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46.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sec-ch1"/>
    <w:p>
      <w:pPr>
        <w:spacing w:before="120" w:after="60" w:line="276" w:lineRule="auto"/>
        <w:ind w:firstLine="0"/>
        <w:jc w:val="center"/>
      </w:pPr>
      <w:r>
        <w:rPr>
          <w:rFonts w:ascii="Times New Roman" w:hAnsi="Times New Roman" w:eastAsia="Times New Roman"/>
          <w:b/>
          <w:i w:val="0"/>
          <w:sz w:val="28"/>
        </w:rPr>
        <w:t>Chương 1</w:t>
      </w:r>
    </w:p>
    <w:p>
      <w:pPr>
        <w:pStyle w:val="Heading1"/>
        <w:spacing w:before="60" w:after="120" w:line="276" w:lineRule="auto"/>
        <w:ind w:firstLine="0"/>
        <w:jc w:val="center"/>
      </w:pPr>
      <w:r>
        <w:rPr>
          <w:rFonts w:ascii="Times New Roman" w:hAnsi="Times New Roman" w:eastAsia="Times New Roman"/>
          <w:b/>
          <w:i w:val="0"/>
          <w:sz w:val="28"/>
        </w:rPr>
        <w:t>TỔNG QUAN VỀ TỶ LỆ SINH LỜI TÀI SẢN, BIẾN ĐỘNG TỶ LỆ SINH LỜI VÀ GIÁ TRỊ CHỊU RỦI RO</w:t>
      </w:r>
    </w:p>
    <w:bookmarkStart w:id="20" w:name="tỷ-lệ-sinh-lời-tài-sản"/>
    <w:p>
      <w:pPr>
        <w:pStyle w:val="Heading2"/>
        <w:spacing w:before="120" w:after="120" w:line="276" w:lineRule="auto"/>
        <w:ind w:firstLine="0"/>
        <w:jc w:val="left"/>
      </w:pPr>
      <w:r>
        <w:rPr>
          <w:rFonts w:ascii="Times New Roman" w:hAnsi="Times New Roman" w:eastAsia="Times New Roman"/>
          <w:b/>
          <w:i w:val="0"/>
          <w:sz w:val="26"/>
        </w:rPr>
        <w:t>1.1 TỶ LỆ SINH LỜI TÀI SẢN</w:t>
      </w:r>
    </w:p>
    <w:bookmarkStart w:id="18" w:name="sec-why-returns"/>
    <w:p>
      <w:pPr>
        <w:pStyle w:val="Heading3"/>
        <w:spacing w:before="120" w:after="120" w:line="276" w:lineRule="auto"/>
        <w:ind w:firstLine="0"/>
        <w:jc w:val="left"/>
      </w:pPr>
      <w:r>
        <w:rPr>
          <w:rFonts w:ascii="Times New Roman" w:hAnsi="Times New Roman" w:eastAsia="Times New Roman"/>
          <w:b/>
          <w:i w:val="0"/>
          <w:sz w:val="26"/>
        </w:rPr>
        <w:t xml:space="preserve">1.1.1 Giá tài sản và tỷ lệ sinh lời trong phân tích định lượng tài chinh</w:t>
      </w:r>
    </w:p>
    <w:p>
      <w:pPr>
        <w:pStyle w:val="FirstParagraph"/>
        <w:spacing w:before="60" w:after="60" w:line="276" w:lineRule="auto"/>
        <w:ind w:firstLine="567"/>
        <w:jc w:val="both"/>
      </w:pPr>
      <w:r>
        <w:rPr>
          <w:rFonts w:ascii="Times New Roman" w:hAnsi="Times New Roman" w:eastAsia="Times New Roman"/>
          <w:sz w:val="26"/>
        </w:rPr>
        <w:t xml:space="preserve">Trong phân tích định lượng tài chính, đặc biệt trong nghiên cứu đo lường rủi ro thị trường, đối tượng phân tích trung tâm thường không phải là mức biến động của</w:t>
      </w:r>
      <w:r>
        <w:rPr>
          <w:rFonts w:ascii="Times New Roman" w:hAnsi="Times New Roman" w:eastAsia="Times New Roman"/>
          <w:sz w:val="26"/>
        </w:rPr>
        <w:t xml:space="preserve"> </w:t>
      </w:r>
      <w:r>
        <w:rPr>
          <w:rFonts w:ascii="Times New Roman" w:hAnsi="Times New Roman" w:eastAsia="Times New Roman"/>
          <w:b/>
          <w:bCs/>
          <w:sz w:val="26"/>
        </w:rPr>
        <w:t xml:space="preserve">giá tài sản</w:t>
      </w:r>
      <w:r>
        <w:rPr>
          <w:rFonts w:ascii="Times New Roman" w:hAnsi="Times New Roman" w:eastAsia="Times New Roman"/>
          <w:sz w:val="26"/>
        </w:rPr>
        <w:t xml:space="preserve"> </w:t>
      </w:r>
      <w:r>
        <w:rPr>
          <w:rFonts w:ascii="Times New Roman" w:hAnsi="Times New Roman" w:eastAsia="Times New Roman"/>
          <w:sz w:val="26"/>
        </w:rPr>
        <w:t xml:space="preserve">mà là</w:t>
      </w:r>
      <w:r>
        <w:rPr>
          <w:rFonts w:ascii="Times New Roman" w:hAnsi="Times New Roman" w:eastAsia="Times New Roman"/>
          <w:sz w:val="26"/>
        </w:rPr>
        <w:t xml:space="preserve"> </w:t>
      </w:r>
      <w:r>
        <w:rPr>
          <w:rFonts w:ascii="Times New Roman" w:hAnsi="Times New Roman" w:eastAsia="Times New Roman"/>
          <w:b/>
          <w:bCs/>
          <w:sz w:val="26"/>
        </w:rPr>
        <w:t xml:space="preserve">tỷ lệ sinh lời</w:t>
      </w:r>
      <w:r>
        <w:rPr>
          <w:rFonts w:ascii="Times New Roman" w:hAnsi="Times New Roman" w:eastAsia="Times New Roman"/>
          <w:sz w:val="26"/>
        </w:rPr>
        <w:t xml:space="preserve">. Giá tài sản cho biết tài sản đang được giao dịch ở mức nào tại một thời điểm cụ thể; trong khi đó, tỷ lệ sinh lời cho biết giá trị đầu tư đã thay đổi bao nhiêu so với số vốn ban đầu trong một khoảng thời gian nhất định. Sự khác biệt này rất quan trọng, vì nhà đầu tư và nhà quản trị rủi ro không chỉ quan tâm tới mức giá tuyệt đối, mà quan tâm chủ yếu tới khả năng sinh lời và mức lỗ tiềm năng của vị thế đầu tư.</w:t>
      </w:r>
    </w:p>
    <w:p>
      <w:pPr>
        <w:pStyle w:val="BodyText"/>
        <w:spacing w:before="60" w:after="60" w:line="276" w:lineRule="auto"/>
        <w:ind w:firstLine="567"/>
        <w:jc w:val="both"/>
      </w:pPr>
      <w:r>
        <w:rPr>
          <w:rFonts w:ascii="Times New Roman" w:hAnsi="Times New Roman" w:eastAsia="Times New Roman"/>
          <w:sz w:val="26"/>
        </w:rPr>
        <w:t xml:space="preserve">Thứ nhất, tỷ lệ sinh lời có ý nghĩa kinh tế trực tiếp hơn so với thay đổi tuyệt đối của giá. Một cổ phiếu tăng từ 20.000 đồng lên 22.000 đồng và một cổ phiếu khác tăng từ 200.000 đồng lên 202.000 đồng đều tăng 2.000 đồng, nhưng kết quả đầu tư là rất khác nhau. Trường hợp thứ nhất tạo ra mức sinh lời 10%, trong khi trường hợp thứ hai chỉ tạo ra mức sinh lời 1%. Vì vậy, nếu chỉ quan sát thay đổi tuyệt đối của giá, nhà phân tích có thể đánh giá sai hiệu quả đầu tư.</w:t>
      </w:r>
    </w:p>
    <w:tbl>
      <w:tblPr>
        <w:tblStyle w:val="Table"/>
        <w:tblW w:type="pct" w:w="5000"/>
        <w:tblLayout w:type="fixed"/>
        <w:tblLook w:firstRow="0" w:lastRow="0" w:firstColumn="0" w:lastColumn="0" w:noHBand="0" w:noVBand="0" w:val="0000"/>
      </w:tblPr>
      <w:tblGrid>
        <w:gridCol w:w="7920"/>
      </w:tblGrid>
      <w:tr>
        <w:tc>
          <w:tcPr>
            <w:vAlign w:val="center"/>
          </w:tcPr>
          <w:bookmarkStart w:id="9" w:name="tbl-price-return-demo"/>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 So sánh thay đổi giá và tỷ lệ sinh lời của hai tài sản</w:t>
            </w:r>
          </w:p>
          <w:tbl>
            <w:tblPr>
              <w:tblStyle w:val="Table"/>
              <w:tblW w:type="pct" w:w="5000"/>
              <w:tblLayout w:type="fixed"/>
              <w:tblLook w:firstRow="1" w:lastRow="0" w:firstColumn="0" w:lastColumn="0" w:noHBand="0" w:noVBand="0" w:val="0020"/>
            </w:tblPr>
            <w:tblGrid>
              <w:gridCol w:w="1048"/>
              <w:gridCol w:w="1397"/>
              <w:gridCol w:w="1514"/>
              <w:gridCol w:w="1630"/>
              <w:gridCol w:w="2329"/>
            </w:tblGrid>
            <w:tr>
              <w:trPr>
                <w:tblHeader w:val="on"/>
              </w:trPr>
              <w:tc>
                <w:tcPr/>
                <w:p>
                  <w:pPr>
                    <w:pStyle w:val="Compact"/>
                    <w:jc w:val="center"/>
                    <w:jc w:val="center"/>
                  </w:pPr>
                  <w:r>
                    <w:t xml:space="preserve">Tài sản</w:t>
                  </w:r>
                </w:p>
              </w:tc>
              <w:tc>
                <w:tcPr/>
                <w:p>
                  <w:pPr>
                    <w:pStyle w:val="Compact"/>
                    <w:jc w:val="center"/>
                    <w:jc w:val="center"/>
                  </w:pPr>
                  <w:r>
                    <w:t xml:space="preserve">Giá đầu kỳ</w:t>
                  </w:r>
                </w:p>
              </w:tc>
              <w:tc>
                <w:tcPr/>
                <w:p>
                  <w:pPr>
                    <w:pStyle w:val="Compact"/>
                    <w:jc w:val="center"/>
                    <w:jc w:val="center"/>
                  </w:pPr>
                  <w:r>
                    <w:t xml:space="preserve">Giá cuối kỳ</w:t>
                  </w:r>
                </w:p>
              </w:tc>
              <w:tc>
                <w:tcPr/>
                <w:p>
                  <w:pPr>
                    <w:pStyle w:val="Compact"/>
                    <w:jc w:val="center"/>
                    <w:jc w:val="center"/>
                  </w:pPr>
                  <w:r>
                    <w:t xml:space="preserve">Thay đổi giá</w:t>
                  </w:r>
                </w:p>
              </w:tc>
              <w:tc>
                <w:tcPr/>
                <w:p>
                  <w:pPr>
                    <w:pStyle w:val="Compact"/>
                    <w:jc w:val="center"/>
                    <w:jc w:val="center"/>
                  </w:pPr>
                  <w:r>
                    <w:t xml:space="preserve">Tỷ lệ sinh lời (%)</w:t>
                  </w:r>
                </w:p>
              </w:tc>
            </w:tr>
            <w:tr>
              <w:tc>
                <w:tcPr/>
                <w:p>
                  <w:pPr>
                    <w:pStyle w:val="Compact"/>
                    <w:jc w:val="center"/>
                    <w:jc w:val="center"/>
                  </w:pPr>
                  <w:r>
                    <w:t xml:space="preserve">A</w:t>
                  </w:r>
                </w:p>
              </w:tc>
              <w:tc>
                <w:tcPr/>
                <w:p>
                  <w:pPr>
                    <w:pStyle w:val="Compact"/>
                    <w:jc w:val="center"/>
                    <w:jc w:val="center"/>
                  </w:pPr>
                  <w:r>
                    <w:t xml:space="preserve">50</w:t>
                  </w:r>
                </w:p>
              </w:tc>
              <w:tc>
                <w:tcPr/>
                <w:p>
                  <w:pPr>
                    <w:pStyle w:val="Compact"/>
                    <w:jc w:val="center"/>
                    <w:jc w:val="center"/>
                  </w:pPr>
                  <w:r>
                    <w:t xml:space="preserve">55</w:t>
                  </w:r>
                </w:p>
              </w:tc>
              <w:tc>
                <w:tcPr/>
                <w:p>
                  <w:pPr>
                    <w:pStyle w:val="Compact"/>
                    <w:jc w:val="center"/>
                    <w:jc w:val="center"/>
                  </w:pPr>
                  <w:r>
                    <w:t xml:space="preserve">5</w:t>
                  </w:r>
                </w:p>
              </w:tc>
              <w:tc>
                <w:tcPr/>
                <w:p>
                  <w:pPr>
                    <w:pStyle w:val="Compact"/>
                    <w:jc w:val="center"/>
                    <w:jc w:val="center"/>
                  </w:pPr>
                  <w:r>
                    <w:t xml:space="preserve">10</w:t>
                  </w:r>
                </w:p>
              </w:tc>
            </w:tr>
            <w:tr>
              <w:tc>
                <w:tcPr/>
                <w:p>
                  <w:pPr>
                    <w:pStyle w:val="Compact"/>
                    <w:jc w:val="center"/>
                    <w:jc w:val="center"/>
                  </w:pPr>
                  <w:r>
                    <w:t xml:space="preserve">B</w:t>
                  </w:r>
                </w:p>
              </w:tc>
              <w:tc>
                <w:tcPr/>
                <w:p>
                  <w:pPr>
                    <w:pStyle w:val="Compact"/>
                    <w:jc w:val="center"/>
                    <w:jc w:val="center"/>
                  </w:pPr>
                  <w:r>
                    <w:t xml:space="preserve">200</w:t>
                  </w:r>
                </w:p>
              </w:tc>
              <w:tc>
                <w:tcPr/>
                <w:p>
                  <w:pPr>
                    <w:pStyle w:val="Compact"/>
                    <w:jc w:val="center"/>
                    <w:jc w:val="center"/>
                  </w:pPr>
                  <w:r>
                    <w:t xml:space="preserve">206</w:t>
                  </w:r>
                </w:p>
              </w:tc>
              <w:tc>
                <w:tcPr/>
                <w:p>
                  <w:pPr>
                    <w:pStyle w:val="Compact"/>
                    <w:jc w:val="center"/>
                    <w:jc w:val="center"/>
                  </w:pPr>
                  <w:r>
                    <w:t xml:space="preserve">6</w:t>
                  </w:r>
                </w:p>
              </w:tc>
              <w:tc>
                <w:tcPr/>
                <w:p>
                  <w:pPr>
                    <w:pStyle w:val="Compact"/>
                    <w:jc w:val="center"/>
                    <w:jc w:val="center"/>
                  </w:pPr>
                  <w:r>
                    <w:t xml:space="preserve">3</w:t>
                  </w:r>
                </w:p>
              </w:tc>
            </w:tr>
          </w:tbl>
          <w:bookmarkEnd w:id="9"/>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1 cho thấy thay đổi tuyệt đối về giá có thể gây nhầm lẫn khi so sánh các tài sản có mức giá ban đầu khác nhau. Tài sản B tăng giá nhiều hơn về giá trị tuyệt đối, nhưng tài sản A mới là tài sản có tỷ lệ sinh lời cao hơn. Do đó, tỷ lệ sinh lời đưa các tài sản về cùng một thang đo tương đối, giúp so sánh hiệu quả đầu tư giữa các tài sản, giữa các giai đoạn và giữa các danh mục đầu tư.</w:t>
      </w:r>
    </w:p>
    <w:p>
      <w:pPr>
        <w:pStyle w:val="BodyText"/>
        <w:spacing w:before="60" w:after="60" w:line="276" w:lineRule="auto"/>
        <w:ind w:firstLine="567"/>
        <w:jc w:val="both"/>
      </w:pPr>
      <w:r>
        <w:rPr>
          <w:rFonts w:ascii="Times New Roman" w:hAnsi="Times New Roman" w:eastAsia="Times New Roman"/>
          <w:sz w:val="26"/>
        </w:rPr>
        <w:t xml:space="preserve">Thứ hai, tỷ lệ sinh lời có tính chất thống kê thuận lợi hơn giá tài sản. Chuỗi giá tài sản tài chính thường có xu hướng thay đổi mức nền theo thời gian và thường không dừng</w:t>
      </w:r>
      <w:r>
        <w:rPr>
          <w:rStyle w:val="FootnoteReference"/>
          <w:rFonts w:ascii="Times New Roman" w:hAnsi="Times New Roman" w:eastAsia="Times New Roman"/>
          <w:sz w:val="26"/>
        </w:rPr>
        <w:footnoteReference w:id="10"/>
      </w:r>
      <w:r>
        <w:rPr>
          <w:rFonts w:ascii="Times New Roman" w:hAnsi="Times New Roman" w:eastAsia="Times New Roman"/>
          <w:sz w:val="26"/>
        </w:rPr>
        <w:t xml:space="preserve">. Nếu mô hình hóa trực tiếp chuỗi giá mà không xử lý đặc điểm không dừng, nhà nghiên cứu có thể gặp hiện tượng hồi quy giả mạo hoặc diễn giải sai quan hệ giữa các biến. Ngược lại, chuỗi tỷ lệ sinh lời, đặc biệt là tỷ lệ sinh lời logarit, thường dao động quanh một mức trung bình nhỏ, gần bằng 0, và có cấu trúc phù hợp hơn cho mô hình chuỗi thời gian tài chính</w:t>
      </w:r>
      <w:r>
        <w:rPr>
          <w:rFonts w:ascii="Times New Roman" w:hAnsi="Times New Roman" w:eastAsia="Times New Roman"/>
          <w:sz w:val="26"/>
        </w:rPr>
        <w:t xml:space="preserve"> </w:t>
      </w:r>
      <w:r>
        <w:rPr>
          <w:rFonts w:ascii="Times New Roman" w:hAnsi="Times New Roman" w:eastAsia="Times New Roman"/>
          <w:sz w:val="26"/>
        </w:rPr>
        <w:t xml:space="preserve">(Brooks, 2019; Tsay, 2013)</w:t>
      </w:r>
      <w:r>
        <w:rPr>
          <w:rFonts w:ascii="Times New Roman" w:hAnsi="Times New Roman" w:eastAsia="Times New Roman"/>
          <w:sz w:val="26"/>
        </w:rPr>
        <w:t xml:space="preserve">. Điều này không có nghĩa là tỷ lệ sinh lời luôn đơn giản hoặc hoàn toàn ổn định; trên thực tế, tỷ lệ sinh lời vẫn có thể có đuôi dày, bất đối xứng và phương sai thay đổi theo thời gian. Tuy nhiên, xét về mặt mô hình hóa, tỷ lệ sinh lời là điểm khởi đầu phù hợp hơn so với chuỗi giá gốc.</w:t>
      </w:r>
    </w:p>
    <w:tbl>
      <w:tblPr>
        <w:tblStyle w:val="Table"/>
        <w:tblW w:type="pct" w:w="5000"/>
        <w:tblLayout w:type="fixed"/>
        <w:tblLook w:firstRow="0" w:lastRow="0" w:firstColumn="0" w:lastColumn="0" w:noHBand="0" w:noVBand="0" w:val="0000"/>
      </w:tblPr>
      <w:tblGrid>
        <w:gridCol w:w="7920"/>
      </w:tblGrid>
      <w:tr>
        <w:tc>
          <w:tcPr>
            <w:vAlign w:val="center"/>
          </w:tcPr>
          <w:bookmarkStart w:id="14" w:name="fig-price-vs-return"/>
          <w:p>
            <w:pPr>
              <w:pStyle w:val="Compact"/>
              <w:spacing w:before="0" w:after="0" w:line="240" w:lineRule="auto"/>
              <w:ind w:firstLine="0"/>
              <w:jc w:val="center"/>
            </w:pPr>
            <w:r>
              <w:rPr>
                <w:rFonts w:ascii="Times New Roman" w:hAnsi="Times New Roman" w:eastAsia="Times New Roman"/>
                <w:b/>
                <w:sz w:val="24"/>
              </w:rPr>
              <w:drawing>
                <wp:inline>
                  <wp:extent cx="5334000" cy="4191000"/>
                  <wp:effectExtent b="0" l="0" r="0" t="0"/>
                  <wp:docPr descr="" title="" id="12" name="Picture"/>
                  <a:graphic>
                    <a:graphicData uri="http://schemas.openxmlformats.org/drawingml/2006/picture">
                      <pic:pic>
                        <pic:nvPicPr>
                          <pic:cNvPr descr="ch01_docx_tmp_files/figure-docx/fig-price-vs-return-1.png" id="13" name="Picture"/>
                          <pic:cNvPicPr>
                            <a:picLocks noChangeArrowheads="1" noChangeAspect="1"/>
                          </pic:cNvPicPr>
                        </pic:nvPicPr>
                        <pic:blipFill>
                          <a:blip r:embed="rId11"/>
                          <a:stretch>
                            <a:fillRect/>
                          </a:stretch>
                        </pic:blipFill>
                        <pic:spPr bwMode="auto">
                          <a:xfrm>
                            <a:off x="0" y="0"/>
                            <a:ext cx="5334000" cy="4191000"/>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1: So sánh chuỗi giá và chuỗi log return của cùng một tài sản</w:t>
            </w:r>
          </w:p>
          <w:bookmarkEnd w:id="14"/>
        </w:tc>
      </w:tr>
    </w:tbl>
    <w:p>
      <w:pPr>
        <w:pStyle w:val="BodyText"/>
        <w:spacing w:before="60" w:after="60" w:line="240" w:lineRule="auto"/>
        <w:ind w:firstLine="0"/>
        <w:jc w:val="center"/>
      </w:pPr>
      <w:r>
        <w:rPr>
          <w:rFonts w:ascii="Times New Roman" w:hAnsi="Times New Roman" w:eastAsia="Times New Roman"/>
          <w:b/>
          <w:i w:val="0"/>
          <w:sz w:val="24"/>
        </w:rPr>
        <w:t>Hình 1 minh họa sự khác biệt giữa chuỗi giá và chuỗi tỷ lệ sinh lời. Chuỗi giá ở panel trên thay đổi mức nền theo thời gian và không dao động quanh một trung tâm ổn định. Trong khi đó, chuỗi log return ở panel dưới dao động quanh mức trung bình gần bằng 0, nhưng vẫn xuất hiện các giai đoạn biến động mạnh. Đây chính là lý do các mô hình biến động có điều kiện, chẳng hạn ARCH/GARCH, và các mô hình đo lường VaR thường được xây dựng trên chuỗi tỷ lệ sinh lời thay vì chuỗi giá.</w:t>
      </w:r>
    </w:p>
    <w:p>
      <w:pPr>
        <w:pStyle w:val="BodyText"/>
        <w:spacing w:before="60" w:after="60" w:line="276" w:lineRule="auto"/>
        <w:ind w:firstLine="567"/>
        <w:jc w:val="both"/>
      </w:pPr>
      <w:r>
        <w:rPr>
          <w:rFonts w:ascii="Times New Roman" w:hAnsi="Times New Roman" w:eastAsia="Times New Roman"/>
          <w:sz w:val="26"/>
        </w:rPr>
        <w:t xml:space="preserve">Thứ ba, tỷ lệ sinh lời là đại lượng phù hợp hơn để đo lường rủi ro thị trường. Rủi ro thị trường không gắn với câu hỏi “giá tài sản bằng bao nhiêu”, mà gắn với câu hỏi “giá trị vị thế có thể thay đổi bất lợi đến mức nào trong một khoảng thời gian nhất định”. Khi tính độ biến động, VaR hoặc Expected Shortfall, nhà quản trị rủi ro cần mô tả phân phối của các khoản lãi/lỗ hoặc tỷ lệ sinh lời, đặc biệt là phần đuôi trái của phân phối. Do đó, tỷ lệ sinh lời là cầu nối trực tiếp giữa dữ liệu thị trường và các thước đo rủi ro định lượng.</w:t>
      </w:r>
    </w:p>
    <w:p>
      <w:pPr>
        <w:pStyle w:val="BodyText"/>
        <w:spacing w:before="60" w:after="60" w:line="276" w:lineRule="auto"/>
        <w:ind w:firstLine="567"/>
        <w:jc w:val="both"/>
      </w:pPr>
      <w:r>
        <w:rPr>
          <w:rFonts w:ascii="Times New Roman" w:hAnsi="Times New Roman" w:eastAsia="Times New Roman"/>
          <w:sz w:val="26"/>
        </w:rPr>
        <w:t xml:space="preserve">Thứ tư, tỷ lệ sinh lời thuận tiện cho việc tổng hợp theo thời gian và theo danh mục. Với tỷ lệ sinh lời giản đơn, sinh lời nhiều kỳ được liên kết theo nguyên tắc lãi kép, còn sinh lời danh mục là trung bình gia quyền của sinh lời các tài sản thành phần. Với tỷ lệ sinh lời logarit, sinh lời nhiều kỳ có thể cộng trực tiếp qua thời gian. Hai tính chất này làm cho tỷ lệ sinh lời trở thành đại lượng nền tảng trong phân tích hiệu quả đầu tư, phân bổ tài sản, mô hình hóa biến động và đo lường VaR ở cấp độ tài sản đơn lẻ cũng như danh mục.</w:t>
      </w:r>
    </w:p>
    <w:p>
      <w:pPr>
        <w:pStyle w:val="BodyText"/>
        <w:spacing w:before="60" w:after="60" w:line="276" w:lineRule="auto"/>
        <w:ind w:firstLine="567"/>
        <w:jc w:val="both"/>
      </w:pPr>
      <w:r>
        <w:rPr>
          <w:rFonts w:ascii="Times New Roman" w:hAnsi="Times New Roman" w:eastAsia="Times New Roman"/>
          <w:sz w:val="26"/>
        </w:rPr>
        <w:t xml:space="preserve">Từ các lý do trên, cuốn sách này sử dụng chuỗi tỷ lệ sinh lời làm dữ liệu đầu vào chính cho các mô hình đo lường và dự báo biến động, cũng như cho các phương pháp tính giá trị chịu rủi ro. Chuỗi giá vẫn giữ vai trò quan trọng vì là dữ liệu gốc quan sát được trên thị trường, nhưng chuỗi giá cần được chuyển đổi thành tỷ lệ sinh lời trước khi thực hiện phần lớn các phân tích rủi ro định lượng.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vAlign w:val="center"/>
          </w:tcPr>
          <w:p>
            <w:pPr>
              <w:pStyle w:val="BodyText"/>
              <w:spacing w:before="0" w:after="0" w:line="240" w:lineRule="auto"/>
              <w:ind w:firstLine="0"/>
              <w:jc w:val="center"/>
            </w:pPr>
            <w:pPr>
              <w:spacing w:before="0" w:after="0"/>
              <w:textAlignment w:val="center"/>
            </w:pPr>
            <w:r>
              <w:rPr>
                <w:rFonts w:ascii="Times New Roman" w:hAnsi="Times New Roman" w:eastAsia="Times New Roman"/>
                <w:b/>
                <w:sz w:val="24"/>
              </w:rPr>
              <w:drawing>
                <wp:inline>
                  <wp:extent cx="152400" cy="152400"/>
                  <wp:effectExtent b="0" l="0" r="0" t="0"/>
                  <wp:docPr descr="" title="" id="16" name="Picture"/>
                  <a:graphic>
                    <a:graphicData uri="http://schemas.openxmlformats.org/drawingml/2006/picture">
                      <pic:pic>
                        <pic:nvPicPr>
                          <pic:cNvPr descr="C:\Program Files\RStudio\resources\app\bin\quarto\share\formats\docx\note.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rPr>
                <w:rFonts w:ascii="Times New Roman" w:hAnsi="Times New Roman" w:eastAsia="Times New Roman"/>
                <w:b/>
                <w:sz w:val="24"/>
              </w:rPr>
              <w:t xml:space="preserve"> </w:t>
            </w:r>
            <w:r>
              <w:rPr>
                <w:rFonts w:ascii="Times New Roman" w:hAnsi="Times New Roman" w:eastAsia="Times New Roman"/>
                <w:b/>
                <w:sz w:val="24"/>
              </w:rPr>
              <w:t xml:space="preserve"> </w:t>
            </w:r>
            <w:r>
              <w:rPr>
                <w:rFonts w:ascii="Times New Roman" w:hAnsi="Times New Roman" w:eastAsia="Times New Roman"/>
                <w:b/>
                <w:sz w:val="24"/>
              </w:rPr>
              <w:t xml:space="preserve">Note</w:t>
            </w:r>
          </w:p>
        </w:tc>
      </w:tr>
      <w:tr>
        <w:trPr>
          <w:cantSplit/>
        </w:trPr>
        <w:tc>
          <w:tcPr>
            <w:tcMar>
              <w:top w:w="108" w:type="dxa"/>
              <w:bottom w:w="108" w:type="dxa"/>
            </w:tcMar>
            <w:vAlign w:val="center"/>
          </w:tcPr>
          <w:p>
            <w:pPr>
              <w:pStyle w:val="BodyText"/>
              <w:spacing w:before="0" w:after="0" w:line="240" w:lineRule="auto"/>
              <w:ind w:firstLine="0"/>
              <w:jc w:val="left"/>
            </w:pPr>
            <w:pPr>
              <w:spacing w:before="16"/>
            </w:pPr>
            <w:r>
              <w:rPr>
                <w:rFonts w:ascii="Times New Roman" w:hAnsi="Times New Roman" w:eastAsia="Times New Roman"/>
                <w:b w:val="0"/>
                <w:sz w:val="24"/>
              </w:rPr>
              <w:t xml:space="preserve">Giá tài sản cho biết</w:t>
            </w:r>
            <w:r>
              <w:rPr>
                <w:rFonts w:ascii="Times New Roman" w:hAnsi="Times New Roman" w:eastAsia="Times New Roman"/>
                <w:b w:val="0"/>
                <w:sz w:val="24"/>
              </w:rPr>
              <w:t xml:space="preserve"> </w:t>
            </w:r>
            <w:r>
              <w:rPr>
                <w:rFonts w:ascii="Times New Roman" w:hAnsi="Times New Roman" w:eastAsia="Times New Roman"/>
                <w:b w:val="0"/>
                <w:bCs/>
                <w:sz w:val="24"/>
              </w:rPr>
              <w:t xml:space="preserve">mức định giá tại một thời điểm</w:t>
            </w:r>
            <w:r>
              <w:rPr>
                <w:rFonts w:ascii="Times New Roman" w:hAnsi="Times New Roman" w:eastAsia="Times New Roman"/>
                <w:b w:val="0"/>
                <w:sz w:val="24"/>
              </w:rPr>
              <w:t xml:space="preserve">;</w:t>
            </w:r>
            <w:r>
              <w:rPr>
                <w:rFonts w:ascii="Times New Roman" w:hAnsi="Times New Roman" w:eastAsia="Times New Roman"/>
                <w:b w:val="0"/>
                <w:sz w:val="24"/>
              </w:rPr>
              <w:br/>
            </w:r>
            <w:r>
              <w:rPr>
                <w:rFonts w:ascii="Times New Roman" w:hAnsi="Times New Roman" w:eastAsia="Times New Roman"/>
                <w:b w:val="0"/>
                <w:sz w:val="24"/>
              </w:rPr>
              <w:t xml:space="preserve">Tỷ lệ sinh lời cho biết</w:t>
            </w:r>
            <w:r>
              <w:rPr>
                <w:rFonts w:ascii="Times New Roman" w:hAnsi="Times New Roman" w:eastAsia="Times New Roman"/>
                <w:b w:val="0"/>
                <w:sz w:val="24"/>
              </w:rPr>
              <w:t xml:space="preserve"> </w:t>
            </w:r>
            <w:r>
              <w:rPr>
                <w:rFonts w:ascii="Times New Roman" w:hAnsi="Times New Roman" w:eastAsia="Times New Roman"/>
                <w:b w:val="0"/>
                <w:bCs/>
                <w:sz w:val="24"/>
              </w:rPr>
              <w:t xml:space="preserve">mức thay đổi của giá trị đầu tư giữa hai thời điểm</w:t>
            </w:r>
            <w:r>
              <w:rPr>
                <w:rFonts w:ascii="Times New Roman" w:hAnsi="Times New Roman" w:eastAsia="Times New Roman"/>
                <w:b w:val="0"/>
                <w:sz w:val="24"/>
              </w:rPr>
              <w:t xml:space="preserve">.</w:t>
            </w:r>
          </w:p>
          <w:p>
            <w:pPr>
              <w:pStyle w:val="BodyText"/>
              <w:spacing w:before="0" w:after="0" w:line="240" w:lineRule="auto"/>
              <w:ind w:firstLine="0"/>
              <w:jc w:val="left"/>
            </w:pPr>
            <w:pPr>
              <w:spacing w:after="16"/>
            </w:pPr>
            <w:r>
              <w:rPr>
                <w:rFonts w:ascii="Times New Roman" w:hAnsi="Times New Roman" w:eastAsia="Times New Roman"/>
                <w:b w:val="0"/>
                <w:sz w:val="24"/>
              </w:rPr>
              <w:t xml:space="preserve">Trong đo lường rủi ro thị trường, điều cần phân tích không phải là “giá đang là bao nhiêu” mà là “giá có thể thay đổi bất lợi đến mức nào”.</w:t>
            </w:r>
          </w:p>
          <w:p>
            <w:pPr>
              <w:spacing w:before="0" w:after="0" w:line="240" w:lineRule="auto"/>
              <w:ind w:firstLine="0"/>
              <w:jc w:val="left"/>
            </w:pPr>
          </w:p>
        </w:tc>
      </w:tr>
    </w:tbl>
    <w:bookmarkEnd w:id="18"/>
    <w:bookmarkStart w:id="19" w:name="asset-return"/>
    <w:p>
      <w:pPr>
        <w:pStyle w:val="Heading3"/>
        <w:spacing w:before="120" w:after="120" w:line="276" w:lineRule="auto"/>
        <w:ind w:firstLine="0"/>
        <w:jc w:val="left"/>
      </w:pPr>
      <w:r>
        <w:rPr>
          <w:rFonts w:ascii="Times New Roman" w:hAnsi="Times New Roman" w:eastAsia="Times New Roman"/>
          <w:b/>
          <w:i w:val="0"/>
          <w:sz w:val="26"/>
        </w:rPr>
        <w:t xml:space="preserve">1.1.2 Đo lường tỷ lệ sinh lời</w:t>
      </w:r>
    </w:p>
    <w:p>
      <w:pPr>
        <w:pStyle w:val="FirstParagraph"/>
        <w:spacing w:before="60" w:after="60" w:line="276" w:lineRule="auto"/>
        <w:ind w:firstLine="567"/>
        <w:jc w:val="both"/>
      </w:pPr>
      <w:r>
        <w:rPr>
          <w:rFonts w:ascii="Times New Roman" w:hAnsi="Times New Roman" w:eastAsia="Times New Roman"/>
          <w:sz w:val="26"/>
        </w:rPr>
        <w:t xml:space="preserve">Trong phân tích tài chính, hai thước đo tỷ lệ sinh lời được sử dụng phổ biến nhất là</w:t>
      </w:r>
      <w:r>
        <w:rPr>
          <w:rFonts w:ascii="Times New Roman" w:hAnsi="Times New Roman" w:eastAsia="Times New Roman"/>
          <w:sz w:val="26"/>
        </w:rPr>
        <w:t xml:space="preserve"> </w:t>
      </w:r>
      <w:r>
        <w:rPr>
          <w:rFonts w:ascii="Times New Roman" w:hAnsi="Times New Roman" w:eastAsia="Times New Roman"/>
          <w:b/>
          <w:bCs/>
          <w:sz w:val="26"/>
        </w:rPr>
        <w:t xml:space="preserve">tỷ lệ sinh lời giản đơn</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simple return</w:t>
      </w:r>
      <w:r>
        <w:rPr>
          <w:rFonts w:ascii="Times New Roman" w:hAnsi="Times New Roman" w:eastAsia="Times New Roman"/>
          <w:sz w:val="26"/>
        </w:rPr>
        <w:t xml:space="preserve">) và</w:t>
      </w:r>
      <w:r>
        <w:rPr>
          <w:rFonts w:ascii="Times New Roman" w:hAnsi="Times New Roman" w:eastAsia="Times New Roman"/>
          <w:sz w:val="26"/>
        </w:rPr>
        <w:t xml:space="preserve"> </w:t>
      </w:r>
      <w:r>
        <w:rPr>
          <w:rFonts w:ascii="Times New Roman" w:hAnsi="Times New Roman" w:eastAsia="Times New Roman"/>
          <w:b/>
          <w:bCs/>
          <w:sz w:val="26"/>
        </w:rPr>
        <w:t xml:space="preserve">tỷ lệ sinh lời logarit</w:t>
      </w:r>
      <w:r>
        <w:rPr>
          <w:rFonts w:ascii="Times New Roman" w:hAnsi="Times New Roman" w:eastAsia="Times New Roman"/>
          <w:sz w:val="26"/>
        </w:rPr>
        <w:t xml:space="preserve">, hay còn gọi là</w:t>
      </w:r>
      <w:r>
        <w:rPr>
          <w:rFonts w:ascii="Times New Roman" w:hAnsi="Times New Roman" w:eastAsia="Times New Roman"/>
          <w:sz w:val="26"/>
        </w:rPr>
        <w:t xml:space="preserve"> </w:t>
      </w:r>
      <w:r>
        <w:rPr>
          <w:rFonts w:ascii="Times New Roman" w:hAnsi="Times New Roman" w:eastAsia="Times New Roman"/>
          <w:b/>
          <w:bCs/>
          <w:sz w:val="26"/>
        </w:rPr>
        <w:t xml:space="preserve">tỷ lệ sinh lời kép liên tục</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log return</w:t>
      </w:r>
      <w:r>
        <w:rPr>
          <w:rFonts w:ascii="Times New Roman" w:hAnsi="Times New Roman" w:eastAsia="Times New Roman"/>
          <w:sz w:val="26"/>
        </w:rPr>
        <w:t xml:space="preserve"> </w:t>
      </w:r>
      <w:r>
        <w:rPr>
          <w:rFonts w:ascii="Times New Roman" w:hAnsi="Times New Roman" w:eastAsia="Times New Roman"/>
          <w:sz w:val="26"/>
        </w:rPr>
        <w:t xml:space="preserve">hoặc</w:t>
      </w:r>
      <w:r>
        <w:rPr>
          <w:rFonts w:ascii="Times New Roman" w:hAnsi="Times New Roman" w:eastAsia="Times New Roman"/>
          <w:sz w:val="26"/>
        </w:rPr>
        <w:t xml:space="preserve"> </w:t>
      </w:r>
      <w:r>
        <w:rPr>
          <w:rFonts w:ascii="Times New Roman" w:hAnsi="Times New Roman" w:eastAsia="Times New Roman"/>
          <w:i/>
          <w:iCs/>
          <w:sz w:val="26"/>
        </w:rPr>
        <w:t xml:space="preserve">continuously compounded return</w:t>
      </w:r>
      <w:r>
        <w:rPr>
          <w:rFonts w:ascii="Times New Roman" w:hAnsi="Times New Roman" w:eastAsia="Times New Roman"/>
          <w:sz w:val="26"/>
        </w:rPr>
        <w:t xml:space="preserve">). Hai thước đo này có quan hệ chặt chẽ với nhau, nhưng phù hợp với các mục tiêu phân tích khác nhau.</w:t>
      </w:r>
    </w:p>
    <w:p>
      <w:pPr>
        <w:pStyle w:val="BodyText"/>
        <w:spacing w:before="60" w:after="60" w:line="276" w:lineRule="auto"/>
        <w:ind w:firstLine="567"/>
        <w:jc w:val="both"/>
      </w:pPr>
      <w:r>
        <w:rPr>
          <w:rFonts w:ascii="Times New Roman" w:hAnsi="Times New Roman" w:eastAsia="Times New Roman"/>
          <w:sz w:val="26"/>
        </w:rPr>
        <w:t xml:space="preserve">Giả sử giá tài sản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là</w:t>
      </w:r>
      <w:r>
        <w:rPr>
          <w:rFonts w:ascii="Times New Roman" w:hAnsi="Times New Roman" w:eastAsia="Times New Roman"/>
          <w:sz w:val="26"/>
        </w:rPr>
        <w:t xml:space="preserve"> </w:t>
      </w:r>
      <m:oMath>
        <m:sSub>
          <m:e>
            <m:r>
              <m:t>P</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và tài sản không chi trả cổ tức trong khoảng thời gian từ</w:t>
      </w:r>
      <w:r>
        <w:rPr>
          <w:rFonts w:ascii="Times New Roman" w:hAnsi="Times New Roman" w:eastAsia="Times New Roman"/>
          <w:sz w:val="26"/>
        </w:rPr>
        <w:t xml:space="preserve"> </w:t>
      </w:r>
      <m:oMath>
        <m:r>
          <m:t>t</m:t>
        </m:r>
        <m:r>
          <m:rPr>
            <m:sty m:val="p"/>
          </m:rPr>
          <m:t>−</m:t>
        </m:r>
        <m:r>
          <m:t>1</m:t>
        </m:r>
      </m:oMath>
      <w:r>
        <w:rPr>
          <w:rFonts w:ascii="Times New Roman" w:hAnsi="Times New Roman" w:eastAsia="Times New Roman"/>
          <w:sz w:val="26"/>
        </w:rPr>
        <w:t xml:space="preserve"> </w:t>
      </w:r>
      <w:r>
        <w:rPr>
          <w:rFonts w:ascii="Times New Roman" w:hAnsi="Times New Roman" w:eastAsia="Times New Roman"/>
          <w:sz w:val="26"/>
        </w:rPr>
        <w:t xml:space="preserve">đến</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Khi đó,</w:t>
      </w:r>
      <w:r>
        <w:rPr>
          <w:rFonts w:ascii="Times New Roman" w:hAnsi="Times New Roman" w:eastAsia="Times New Roman"/>
          <w:sz w:val="26"/>
        </w:rPr>
        <w:t xml:space="preserve"> </w:t>
      </w:r>
      <w:r>
        <w:rPr>
          <w:rFonts w:ascii="Times New Roman" w:hAnsi="Times New Roman" w:eastAsia="Times New Roman"/>
          <w:b/>
          <w:bCs/>
          <w:sz w:val="26"/>
        </w:rPr>
        <w:t xml:space="preserve">tỷ lệ sinh lời giản đơn</w:t>
      </w:r>
      <w:r>
        <w:rPr>
          <w:rFonts w:ascii="Times New Roman" w:hAnsi="Times New Roman" w:eastAsia="Times New Roman"/>
          <w:sz w:val="26"/>
        </w:rPr>
        <w:t xml:space="preserve"> </w:t>
      </w:r>
      <w:r>
        <w:rPr>
          <w:rFonts w:ascii="Times New Roman" w:hAnsi="Times New Roman" w:eastAsia="Times New Roman"/>
          <w:sz w:val="26"/>
        </w:rPr>
        <w:t xml:space="preserve">được xác định bởi:</w:t>
      </w:r>
    </w:p>
    <w:p>
      <w:pPr>
        <w:pStyle w:val="BodyText"/>
      </w:pPr>
      <m:oMathPara>
        <m:oMathParaPr>
          <m:jc m:val="center"/>
        </m:oMathParaPr>
        <m:oMath>
          <m:sSub>
            <m:e>
              <m:r>
                <m:t>R</m:t>
              </m:r>
            </m:e>
            <m:sub>
              <m:r>
                <m:t>t</m:t>
              </m:r>
            </m:sub>
          </m:sSub>
          <m:r>
            <m:rPr>
              <m:sty m:val="p"/>
            </m:rPr>
            <m:t>=</m:t>
          </m:r>
          <m:f>
            <m:fPr>
              <m:type m:val="bar"/>
            </m:fPr>
            <m:num>
              <m:sSub>
                <m:e>
                  <m:r>
                    <m:t>P</m:t>
                  </m:r>
                </m:e>
                <m:sub>
                  <m:r>
                    <m:t>t</m:t>
                  </m:r>
                </m:sub>
              </m:sSub>
            </m:num>
            <m:den>
              <m:sSub>
                <m:e>
                  <m:r>
                    <m:t>P</m:t>
                  </m:r>
                </m:e>
                <m:sub>
                  <m:r>
                    <m:t>t</m:t>
                  </m:r>
                  <m:r>
                    <m:rPr>
                      <m:sty m:val="p"/>
                    </m:rPr>
                    <m:t>−</m:t>
                  </m:r>
                  <m:r>
                    <m:t>1</m:t>
                  </m:r>
                </m:sub>
              </m:sSub>
            </m:den>
          </m:f>
          <m:r>
            <m:rPr>
              <m:sty m:val="p"/>
            </m:rPr>
            <m:t>−</m:t>
          </m:r>
          <m:r>
            <m:t>1</m:t>
          </m:r>
          <m:r>
            <m:rPr>
              <m:sty m:val="p"/>
            </m:rPr>
            <m:t>=</m:t>
          </m:r>
          <m:f>
            <m:fPr>
              <m:type m:val="bar"/>
            </m:fPr>
            <m:num>
              <m:sSub>
                <m:e>
                  <m:r>
                    <m:t>P</m:t>
                  </m:r>
                </m:e>
                <m:sub>
                  <m:r>
                    <m:t>t</m:t>
                  </m:r>
                </m:sub>
              </m:sSub>
              <m:r>
                <m:rPr>
                  <m:sty m:val="p"/>
                </m:rPr>
                <m:t>−</m:t>
              </m:r>
              <m:sSub>
                <m:e>
                  <m:r>
                    <m:t>P</m:t>
                  </m:r>
                </m:e>
                <m:sub>
                  <m:r>
                    <m:t>t</m:t>
                  </m:r>
                  <m:r>
                    <m:rPr>
                      <m:sty m:val="p"/>
                    </m:rPr>
                    <m:t>−</m:t>
                  </m:r>
                  <m:r>
                    <m:t>1</m:t>
                  </m:r>
                </m:sub>
              </m:sSub>
            </m:num>
            <m:den>
              <m:sSub>
                <m:e>
                  <m:r>
                    <m:t>P</m:t>
                  </m:r>
                </m:e>
                <m:sub>
                  <m:r>
                    <m:t>t</m:t>
                  </m:r>
                  <m:r>
                    <m:rPr>
                      <m:sty m:val="p"/>
                    </m:rPr>
                    <m:t>−</m:t>
                  </m:r>
                  <m:r>
                    <m:t>1</m:t>
                  </m:r>
                </m:sub>
              </m:sSub>
            </m:den>
          </m:f>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Đây là đại lượng phản ánh trực tiếp mức lãi hoặc lỗ tương đối so với vốn đầu tư ban đầu trong một kỳ nắm giữ. Nếu</w:t>
      </w:r>
      <w:r>
        <w:rPr>
          <w:rFonts w:ascii="Times New Roman" w:hAnsi="Times New Roman" w:eastAsia="Times New Roman"/>
          <w:sz w:val="26"/>
        </w:rPr>
        <w:t xml:space="preserve"> </w:t>
      </w:r>
      <m:oMath>
        <m:sSub>
          <m:e>
            <m:r>
              <m:t>R</m:t>
            </m:r>
          </m:e>
          <m:sub>
            <m:r>
              <m:t>t</m:t>
            </m:r>
          </m:sub>
        </m:sSub>
        <m:r>
          <m:rPr>
            <m:sty m:val="p"/>
          </m:rPr>
          <m:t>=</m:t>
        </m:r>
        <m:r>
          <m:t>0</m:t>
        </m:r>
        <m:r>
          <m:rPr>
            <m:sty m:val="p"/>
          </m:rPr>
          <m:t>,</m:t>
        </m:r>
        <m:r>
          <m:t>08</m:t>
        </m:r>
      </m:oMath>
      <w:r>
        <w:rPr>
          <w:rFonts w:ascii="Times New Roman" w:hAnsi="Times New Roman" w:eastAsia="Times New Roman"/>
          <w:sz w:val="26"/>
        </w:rPr>
        <w:t xml:space="preserve">, nhà đầu tư thu được mức sinh lời 8% trong kỳ; nếu</w:t>
      </w:r>
      <w:r>
        <w:rPr>
          <w:rFonts w:ascii="Times New Roman" w:hAnsi="Times New Roman" w:eastAsia="Times New Roman"/>
          <w:sz w:val="26"/>
        </w:rPr>
        <w:t xml:space="preserve"> </w:t>
      </w:r>
      <m:oMath>
        <m:sSub>
          <m:e>
            <m:r>
              <m:t>R</m:t>
            </m:r>
          </m:e>
          <m:sub>
            <m:r>
              <m:t>t</m:t>
            </m:r>
          </m:sub>
        </m:sSub>
        <m:r>
          <m:rPr>
            <m:sty m:val="p"/>
          </m:rPr>
          <m:t>=</m:t>
        </m:r>
        <m:r>
          <m:rPr>
            <m:sty m:val="p"/>
          </m:rPr>
          <m:t>−</m:t>
        </m:r>
        <m:r>
          <m:t>0</m:t>
        </m:r>
        <m:r>
          <m:rPr>
            <m:sty m:val="p"/>
          </m:rPr>
          <m:t>,</m:t>
        </m:r>
        <m:r>
          <m:t>08</m:t>
        </m:r>
      </m:oMath>
      <w:r>
        <w:rPr>
          <w:rFonts w:ascii="Times New Roman" w:hAnsi="Times New Roman" w:eastAsia="Times New Roman"/>
          <w:sz w:val="26"/>
        </w:rPr>
        <w:t xml:space="preserve">, nhà đầu tư chịu khoản lỗ 8%.</w:t>
      </w:r>
    </w:p>
    <w:p>
      <w:pPr>
        <w:pStyle w:val="BodyText"/>
        <w:spacing w:before="60" w:after="60" w:line="276" w:lineRule="auto"/>
        <w:ind w:firstLine="567"/>
        <w:jc w:val="both"/>
      </w:pPr>
      <w:r>
        <w:rPr>
          <w:rFonts w:ascii="Times New Roman" w:hAnsi="Times New Roman" w:eastAsia="Times New Roman"/>
          <w:sz w:val="26"/>
        </w:rPr>
        <w:t xml:space="preserve">Khi tài sản có chi trả dòng tiền trung gian, chẳng hạn cổ tức tiền mặt</w:t>
      </w:r>
      <w:r>
        <w:rPr>
          <w:rFonts w:ascii="Times New Roman" w:hAnsi="Times New Roman" w:eastAsia="Times New Roman"/>
          <w:sz w:val="26"/>
        </w:rPr>
        <w:t xml:space="preserve"> </w:t>
      </w:r>
      <m:oMath>
        <m:sSub>
          <m:e>
            <m:r>
              <m:t>D</m:t>
            </m:r>
          </m:e>
          <m:sub>
            <m:r>
              <m:t>t</m:t>
            </m:r>
          </m:sub>
        </m:sSub>
      </m:oMath>
      <w:r>
        <w:rPr>
          <w:rFonts w:ascii="Times New Roman" w:hAnsi="Times New Roman" w:eastAsia="Times New Roman"/>
          <w:sz w:val="26"/>
        </w:rPr>
        <w:t xml:space="preserve">, công thức tỷ lệ sinh lời giản đơn cần được điều chỉnh thành:</w:t>
      </w:r>
    </w:p>
    <w:p>
      <w:pPr>
        <w:pStyle w:val="BodyText"/>
      </w:pPr>
      <m:oMathPara>
        <m:oMathParaPr>
          <m:jc m:val="center"/>
        </m:oMathParaPr>
        <m:oMath>
          <m:sSub>
            <m:e>
              <m:r>
                <m:t>R</m:t>
              </m:r>
            </m:e>
            <m:sub>
              <m:r>
                <m:t>t</m:t>
              </m:r>
            </m:sub>
          </m:sSub>
          <m:r>
            <m:rPr>
              <m:sty m:val="p"/>
            </m:rPr>
            <m:t>=</m:t>
          </m:r>
          <m:f>
            <m:fPr>
              <m:type m:val="bar"/>
            </m:fPr>
            <m:num>
              <m:sSub>
                <m:e>
                  <m:r>
                    <m:t>P</m:t>
                  </m:r>
                </m:e>
                <m:sub>
                  <m:r>
                    <m:t>t</m:t>
                  </m:r>
                </m:sub>
              </m:sSub>
              <m:r>
                <m:rPr>
                  <m:sty m:val="p"/>
                </m:rPr>
                <m:t>+</m:t>
              </m:r>
              <m:sSub>
                <m:e>
                  <m:r>
                    <m:t>D</m:t>
                  </m:r>
                </m:e>
                <m:sub>
                  <m:r>
                    <m:t>t</m:t>
                  </m:r>
                </m:sub>
              </m:sSub>
            </m:num>
            <m:den>
              <m:sSub>
                <m:e>
                  <m:r>
                    <m:t>P</m:t>
                  </m:r>
                </m:e>
                <m:sub>
                  <m:r>
                    <m:t>t</m:t>
                  </m:r>
                  <m:r>
                    <m:rPr>
                      <m:sty m:val="p"/>
                    </m:rPr>
                    <m:t>−</m:t>
                  </m:r>
                  <m:r>
                    <m:t>1</m:t>
                  </m:r>
                </m:sub>
              </m:sSub>
            </m:den>
          </m:f>
          <m:r>
            <m:rPr>
              <m:sty m:val="p"/>
            </m:rPr>
            <m:t>−</m:t>
          </m:r>
          <m:r>
            <m:t>1</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tài sản được nắm giữ trong</w:t>
      </w:r>
      <w:r>
        <w:rPr>
          <w:rFonts w:ascii="Times New Roman" w:hAnsi="Times New Roman" w:eastAsia="Times New Roman"/>
          <w:sz w:val="26"/>
        </w:rPr>
        <w:t xml:space="preserve"> </w:t>
      </w:r>
      <m:oMath>
        <m:r>
          <m:t>k</m:t>
        </m:r>
      </m:oMath>
      <w:r>
        <w:rPr>
          <w:rFonts w:ascii="Times New Roman" w:hAnsi="Times New Roman" w:eastAsia="Times New Roman"/>
          <w:sz w:val="26"/>
        </w:rPr>
        <w:t xml:space="preserve"> </w:t>
      </w:r>
      <w:r>
        <w:rPr>
          <w:rFonts w:ascii="Times New Roman" w:hAnsi="Times New Roman" w:eastAsia="Times New Roman"/>
          <w:sz w:val="26"/>
        </w:rPr>
        <w:t xml:space="preserve">kỳ, tỷ lệ sinh lời giản đơn tích lũy được xác định thông qua tích của các tỷ lệ sinh lời gộp từng kỳ:</w:t>
      </w:r>
    </w:p>
    <w:p>
      <w:pPr>
        <w:pStyle w:val="BodyText"/>
      </w:pPr>
      <m:oMathPara>
        <m:oMathParaPr>
          <m:jc m:val="center"/>
        </m:oMathParaPr>
        <m:oMath>
          <m:r>
            <m:t>1</m:t>
          </m:r>
          <m:r>
            <m:rPr>
              <m:sty m:val="p"/>
            </m:rPr>
            <m:t>+</m:t>
          </m:r>
          <m:sSub>
            <m:e>
              <m:r>
                <m:t>R</m:t>
              </m:r>
            </m:e>
            <m:sub>
              <m:r>
                <m:t>t</m:t>
              </m:r>
            </m:sub>
          </m:sSub>
          <m:r>
            <m:rPr>
              <m:sty m:val="p"/>
            </m:rPr>
            <m:t>[</m:t>
          </m:r>
          <m:r>
            <m:t>k</m:t>
          </m:r>
          <m:r>
            <m:rPr>
              <m:sty m:val="p"/>
            </m:rPr>
            <m:t>]</m:t>
          </m:r>
          <m:r>
            <m:rPr>
              <m:sty m:val="p"/>
            </m:rPr>
            <m:t>=</m:t>
          </m:r>
          <m:f>
            <m:fPr>
              <m:type m:val="bar"/>
            </m:fPr>
            <m:num>
              <m:sSub>
                <m:e>
                  <m:r>
                    <m:t>P</m:t>
                  </m:r>
                </m:e>
                <m:sub>
                  <m:r>
                    <m:t>t</m:t>
                  </m:r>
                </m:sub>
              </m:sSub>
            </m:num>
            <m:den>
              <m:sSub>
                <m:e>
                  <m:r>
                    <m:t>P</m:t>
                  </m:r>
                </m:e>
                <m:sub>
                  <m:r>
                    <m:t>t</m:t>
                  </m:r>
                  <m:r>
                    <m:rPr>
                      <m:sty m:val="p"/>
                    </m:rPr>
                    <m:t>−</m:t>
                  </m:r>
                  <m:r>
                    <m:t>k</m:t>
                  </m:r>
                </m:sub>
              </m:sSub>
            </m:den>
          </m:f>
          <m:r>
            <m:rPr>
              <m:sty m:val="p"/>
            </m:rPr>
            <m:t>=</m:t>
          </m:r>
          <m:r>
            <m:rPr>
              <m:sty m:val="p"/>
            </m:rPr>
            <m:t>(</m:t>
          </m:r>
          <m:r>
            <m:t>1</m:t>
          </m:r>
          <m:r>
            <m:rPr>
              <m:sty m:val="p"/>
            </m:rPr>
            <m:t>+</m:t>
          </m:r>
          <m:sSub>
            <m:e>
              <m:r>
                <m:t>R</m:t>
              </m:r>
            </m:e>
            <m:sub>
              <m:r>
                <m:t>t</m:t>
              </m:r>
            </m:sub>
          </m:sSub>
          <m:r>
            <m:rPr>
              <m:sty m:val="p"/>
            </m:rPr>
            <m:t>)</m:t>
          </m:r>
          <m:r>
            <m:rPr>
              <m:sty m:val="p"/>
            </m:rPr>
            <m:t>(</m:t>
          </m:r>
          <m:r>
            <m:t>1</m:t>
          </m:r>
          <m:r>
            <m:rPr>
              <m:sty m:val="p"/>
            </m:rPr>
            <m:t>+</m:t>
          </m:r>
          <m:sSub>
            <m:e>
              <m:r>
                <m:t>R</m:t>
              </m:r>
            </m:e>
            <m:sub>
              <m:r>
                <m:t>t</m:t>
              </m:r>
              <m:r>
                <m:rPr>
                  <m:sty m:val="p"/>
                </m:rPr>
                <m:t>−</m:t>
              </m:r>
              <m:r>
                <m:t>1</m:t>
              </m:r>
            </m:sub>
          </m:sSub>
          <m:r>
            <m:rPr>
              <m:sty m:val="p"/>
            </m:rPr>
            <m:t>)</m:t>
          </m:r>
          <m:r>
            <m:rPr>
              <m:sty m:val="p"/>
            </m:rPr>
            <m:t>⋯</m:t>
          </m:r>
          <m:r>
            <m:rPr>
              <m:sty m:val="p"/>
            </m:rPr>
            <m:t>(</m:t>
          </m:r>
          <m:r>
            <m:t>1</m:t>
          </m:r>
          <m:r>
            <m:rPr>
              <m:sty m:val="p"/>
            </m:rPr>
            <m:t>+</m:t>
          </m:r>
          <m:sSub>
            <m:e>
              <m:r>
                <m:t>R</m:t>
              </m:r>
            </m:e>
            <m:sub>
              <m:r>
                <m:t>t</m:t>
              </m:r>
              <m:r>
                <m:rPr>
                  <m:sty m:val="p"/>
                </m:rPr>
                <m:t>−</m:t>
              </m:r>
              <m:r>
                <m:t>k</m:t>
              </m:r>
              <m:r>
                <m:rPr>
                  <m:sty m:val="p"/>
                </m:rPr>
                <m:t>+</m:t>
              </m:r>
              <m:r>
                <m:t>1</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Do đó, tỷ lệ sinh lời giản đơn nhiều kỳ không được tính bằng cách cộng trực tiếp các tỷ lệ sinh lời từng kỳ, mà phải được tổng hợp theo nguyên tắc lãi kép. Đây là điểm cần đặc biệt lưu ý khi chuyển đổi tỷ lệ sinh lời ngày sang tỷ lệ sinh lời tuần, tháng hoặc năm.</w:t>
      </w:r>
    </w:p>
    <w:p>
      <w:pPr>
        <w:pStyle w:val="BodyText"/>
        <w:spacing w:before="60" w:after="60" w:line="276" w:lineRule="auto"/>
        <w:ind w:firstLine="567"/>
        <w:jc w:val="both"/>
      </w:pPr>
      <w:r>
        <w:rPr>
          <w:rFonts w:ascii="Times New Roman" w:hAnsi="Times New Roman" w:eastAsia="Times New Roman"/>
          <w:sz w:val="26"/>
        </w:rPr>
        <w:t xml:space="preserve">Một ưu điểm quan trọng của tỷ lệ sinh lời giản đơn là tính chất cộng gộp theo tỷ trọng danh mục. Nếu danh mục đầu tư gồm</w:t>
      </w:r>
      <w:r>
        <w:rPr>
          <w:rFonts w:ascii="Times New Roman" w:hAnsi="Times New Roman" w:eastAsia="Times New Roman"/>
          <w:sz w:val="26"/>
        </w:rPr>
        <w:t xml:space="preserve"> </w:t>
      </w:r>
      <m:oMath>
        <m:r>
          <m:t>N</m:t>
        </m:r>
      </m:oMath>
      <w:r>
        <w:rPr>
          <w:rFonts w:ascii="Times New Roman" w:hAnsi="Times New Roman" w:eastAsia="Times New Roman"/>
          <w:sz w:val="26"/>
        </w:rPr>
        <w:t xml:space="preserve"> </w:t>
      </w:r>
      <w:r>
        <w:rPr>
          <w:rFonts w:ascii="Times New Roman" w:hAnsi="Times New Roman" w:eastAsia="Times New Roman"/>
          <w:sz w:val="26"/>
        </w:rPr>
        <w:t xml:space="preserve">tài sản và tỷ trọng đầu tư vào tài sản</w:t>
      </w:r>
      <w:r>
        <w:rPr>
          <w:rFonts w:ascii="Times New Roman" w:hAnsi="Times New Roman" w:eastAsia="Times New Roman"/>
          <w:sz w:val="26"/>
        </w:rPr>
        <w:t xml:space="preserve"> </w:t>
      </w:r>
      <m:oMath>
        <m:r>
          <m:t>i</m:t>
        </m:r>
      </m:oMath>
      <w:r>
        <w:rPr>
          <w:rFonts w:ascii="Times New Roman" w:hAnsi="Times New Roman" w:eastAsia="Times New Roman"/>
          <w:sz w:val="26"/>
        </w:rPr>
        <w:t xml:space="preserve"> </w:t>
      </w:r>
      <w:r>
        <w:rPr>
          <w:rFonts w:ascii="Times New Roman" w:hAnsi="Times New Roman" w:eastAsia="Times New Roman"/>
          <w:sz w:val="26"/>
        </w:rPr>
        <w:t xml:space="preserve">là</w:t>
      </w:r>
      <w:r>
        <w:rPr>
          <w:rFonts w:ascii="Times New Roman" w:hAnsi="Times New Roman" w:eastAsia="Times New Roman"/>
          <w:sz w:val="26"/>
        </w:rPr>
        <w:t xml:space="preserve"> </w:t>
      </w:r>
      <m:oMath>
        <m:sSub>
          <m:e>
            <m:r>
              <m:t>w</m:t>
            </m:r>
          </m:e>
          <m:sub>
            <m:r>
              <m:t>i</m:t>
            </m:r>
          </m:sub>
        </m:sSub>
      </m:oMath>
      <w:r>
        <w:rPr>
          <w:rFonts w:ascii="Times New Roman" w:hAnsi="Times New Roman" w:eastAsia="Times New Roman"/>
          <w:sz w:val="26"/>
        </w:rPr>
        <w:t xml:space="preserve">, tỷ lệ sinh lời giản đơn của danh mục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được xác định bởi:</w:t>
      </w:r>
    </w:p>
    <w:p>
      <w:pPr>
        <w:pStyle w:val="BodyText"/>
      </w:pPr>
      <m:oMathPara>
        <m:oMathParaPr>
          <m:jc m:val="center"/>
        </m:oMathParaPr>
        <m:oMath>
          <m:sSub>
            <m:e>
              <m:r>
                <m:t>R</m:t>
              </m:r>
            </m:e>
            <m:sub>
              <m:r>
                <m:t>p</m:t>
              </m:r>
              <m:r>
                <m:rPr>
                  <m:sty m:val="p"/>
                </m:rPr>
                <m:t>,</m:t>
              </m:r>
              <m:r>
                <m:t>t</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R</m:t>
              </m:r>
            </m:e>
            <m:sub>
              <m:r>
                <m:t>i</m:t>
              </m:r>
              <m:r>
                <m:rPr>
                  <m:sty m:val="p"/>
                </m:rPr>
                <m:t>,</m:t>
              </m:r>
              <m:r>
                <m:t>t</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Tính chất này làm cho tỷ lệ sinh lời giản đơn rất hữu ích trong phân tích danh mục, đánh giá đóng góp của từng tài sản vào hiệu quả đầu tư chung và tính toán lãi/lỗ danh mục.</w:t>
      </w:r>
    </w:p>
    <w:p>
      <w:pPr>
        <w:pStyle w:val="BodyText"/>
        <w:spacing w:before="60" w:after="60" w:line="276" w:lineRule="auto"/>
        <w:ind w:firstLine="567"/>
        <w:jc w:val="both"/>
      </w:pPr>
      <w:r>
        <w:rPr>
          <w:rFonts w:ascii="Times New Roman" w:hAnsi="Times New Roman" w:eastAsia="Times New Roman"/>
          <w:sz w:val="26"/>
        </w:rPr>
        <w:t xml:space="preserve">Bên cạnh tỷ lệ sinh lời giản đơn,</w:t>
      </w:r>
      <w:r>
        <w:rPr>
          <w:rFonts w:ascii="Times New Roman" w:hAnsi="Times New Roman" w:eastAsia="Times New Roman"/>
          <w:sz w:val="26"/>
        </w:rPr>
        <w:t xml:space="preserve"> </w:t>
      </w:r>
      <w:r>
        <w:rPr>
          <w:rFonts w:ascii="Times New Roman" w:hAnsi="Times New Roman" w:eastAsia="Times New Roman"/>
          <w:b/>
          <w:bCs/>
          <w:sz w:val="26"/>
        </w:rPr>
        <w:t xml:space="preserve">tỷ lệ sinh lời logarit</w:t>
      </w:r>
      <w:r>
        <w:rPr>
          <w:rFonts w:ascii="Times New Roman" w:hAnsi="Times New Roman" w:eastAsia="Times New Roman"/>
          <w:sz w:val="26"/>
        </w:rPr>
        <w:t xml:space="preserve"> </w:t>
      </w:r>
      <w:r>
        <w:rPr>
          <w:rFonts w:ascii="Times New Roman" w:hAnsi="Times New Roman" w:eastAsia="Times New Roman"/>
          <w:sz w:val="26"/>
        </w:rPr>
        <w:t xml:space="preserve">được xác định như sau:</w:t>
      </w:r>
    </w:p>
    <w:p>
      <w:pPr>
        <w:pStyle w:val="BodyText"/>
      </w:pPr>
      <m:oMathPara>
        <m:oMathParaPr>
          <m:jc m:val="center"/>
        </m:oMathParaPr>
        <m:oMath>
          <m:sSub>
            <m:e>
              <m:r>
                <m:t>r</m:t>
              </m:r>
            </m:e>
            <m:sub>
              <m:r>
                <m:t>t</m:t>
              </m:r>
            </m:sub>
          </m:sSub>
          <m:r>
            <m:rPr>
              <m:sty m:val="p"/>
            </m:rPr>
            <m:t>=</m:t>
          </m:r>
          <m:r>
            <m:rPr>
              <m:sty m:val="p"/>
            </m:rPr>
            <m:t>ln</m:t>
          </m:r>
          <m:r>
            <m:rPr>
              <m:sty m:val="p"/>
            </m:rPr>
            <m:t>(</m:t>
          </m:r>
          <m:r>
            <m:t>1</m:t>
          </m:r>
          <m:r>
            <m:rPr>
              <m:sty m:val="p"/>
            </m:rPr>
            <m:t>+</m:t>
          </m:r>
          <m:sSub>
            <m:e>
              <m:r>
                <m:t>R</m:t>
              </m:r>
            </m:e>
            <m:sub>
              <m:r>
                <m:t>t</m:t>
              </m:r>
            </m:sub>
          </m:sSub>
          <m:r>
            <m:rPr>
              <m:sty m:val="p"/>
            </m:rPr>
            <m:t>)</m:t>
          </m:r>
          <m:r>
            <m:rPr>
              <m:sty m:val="p"/>
            </m:rPr>
            <m:t>=</m:t>
          </m:r>
          <m:r>
            <m:rPr>
              <m:sty m:val="p"/>
            </m:rPr>
            <m:t>ln</m:t>
          </m:r>
          <m:d>
            <m:dPr>
              <m:begChr m:val="("/>
              <m:sepChr m:val=""/>
              <m:endChr m:val=")"/>
              <m:grow/>
            </m:dPr>
            <m:e>
              <m:f>
                <m:fPr>
                  <m:type m:val="bar"/>
                </m:fPr>
                <m:num>
                  <m:sSub>
                    <m:e>
                      <m:r>
                        <m:t>P</m:t>
                      </m:r>
                    </m:e>
                    <m:sub>
                      <m:r>
                        <m:t>t</m:t>
                      </m:r>
                    </m:sub>
                  </m:sSub>
                </m:num>
                <m:den>
                  <m:sSub>
                    <m:e>
                      <m:r>
                        <m:t>P</m:t>
                      </m:r>
                    </m:e>
                    <m:sub>
                      <m:r>
                        <m:t>t</m:t>
                      </m:r>
                      <m:r>
                        <m:rPr>
                          <m:sty m:val="p"/>
                        </m:rPr>
                        <m:t>−</m:t>
                      </m:r>
                      <m:r>
                        <m:t>1</m:t>
                      </m:r>
                    </m:sub>
                  </m:sSub>
                </m:den>
              </m:f>
            </m:e>
          </m:d>
          <m:r>
            <m:rPr>
              <m:sty m:val="p"/>
            </m:rPr>
            <m:t>=</m:t>
          </m:r>
          <m:r>
            <m:rPr>
              <m:sty m:val="p"/>
            </m:rPr>
            <m:t>ln</m:t>
          </m:r>
          <m:r>
            <m:rPr>
              <m:sty m:val="p"/>
            </m:rPr>
            <m:t>(</m:t>
          </m:r>
          <m:sSub>
            <m:e>
              <m:r>
                <m:t>P</m:t>
              </m:r>
            </m:e>
            <m:sub>
              <m:r>
                <m:t>t</m:t>
              </m:r>
            </m:sub>
          </m:sSub>
          <m:r>
            <m:rPr>
              <m:sty m:val="p"/>
            </m:rPr>
            <m:t>)</m:t>
          </m:r>
          <m:r>
            <m:rPr>
              <m:sty m:val="p"/>
            </m:rPr>
            <m:t>−</m:t>
          </m:r>
          <m:r>
            <m:rPr>
              <m:sty m:val="p"/>
            </m:rPr>
            <m:t>ln</m:t>
          </m:r>
          <m:r>
            <m:rPr>
              <m:sty m:val="p"/>
            </m:rPr>
            <m:t>(</m:t>
          </m:r>
          <m:sSub>
            <m:e>
              <m:r>
                <m:t>P</m:t>
              </m:r>
            </m:e>
            <m:sub>
              <m:r>
                <m:t>t</m:t>
              </m:r>
              <m:r>
                <m:rPr>
                  <m:sty m:val="p"/>
                </m:rPr>
                <m:t>−</m:t>
              </m:r>
              <m:r>
                <m:t>1</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đặt</w:t>
      </w:r>
      <w:r>
        <w:rPr>
          <w:rFonts w:ascii="Times New Roman" w:hAnsi="Times New Roman" w:eastAsia="Times New Roman"/>
          <w:sz w:val="26"/>
        </w:rPr>
        <w:t xml:space="preserve"> </w:t>
      </w:r>
      <m:oMath>
        <m:sSub>
          <m:e>
            <m:r>
              <m:t>p</m:t>
            </m:r>
          </m:e>
          <m:sub>
            <m:r>
              <m:t>t</m:t>
            </m:r>
          </m:sub>
        </m:sSub>
        <m:r>
          <m:rPr>
            <m:sty m:val="p"/>
          </m:rPr>
          <m:t>=</m:t>
        </m:r>
        <m:r>
          <m:rPr>
            <m:sty m:val="p"/>
          </m:rPr>
          <m:t>ln</m:t>
        </m:r>
        <m:r>
          <m:rPr>
            <m:sty m:val="p"/>
          </m:rPr>
          <m:t>(</m:t>
        </m:r>
        <m:sSub>
          <m:e>
            <m:r>
              <m:t>P</m:t>
            </m:r>
          </m:e>
          <m:sub>
            <m:r>
              <m:t>t</m:t>
            </m:r>
          </m:sub>
        </m:sSub>
        <m:r>
          <m:rPr>
            <m:sty m:val="p"/>
          </m:rPr>
          <m:t>)</m:t>
        </m:r>
      </m:oMath>
      <w:r>
        <w:rPr>
          <w:rFonts w:ascii="Times New Roman" w:hAnsi="Times New Roman" w:eastAsia="Times New Roman"/>
          <w:sz w:val="26"/>
        </w:rPr>
        <w:t xml:space="preserve">, ta có dạng viết gọn:</w:t>
      </w:r>
    </w:p>
    <w:p>
      <w:pPr>
        <w:pStyle w:val="BodyText"/>
      </w:pPr>
      <m:oMathPara>
        <m:oMathParaPr>
          <m:jc m:val="center"/>
        </m:oMathParaPr>
        <m:oMath>
          <m:sSub>
            <m:e>
              <m:r>
                <m:t>r</m:t>
              </m:r>
            </m:e>
            <m:sub>
              <m:r>
                <m:t>t</m:t>
              </m:r>
            </m:sub>
          </m:sSub>
          <m:r>
            <m:rPr>
              <m:sty m:val="p"/>
            </m:rPr>
            <m:t>=</m:t>
          </m:r>
          <m:sSub>
            <m:e>
              <m:r>
                <m:t>p</m:t>
              </m:r>
            </m:e>
            <m:sub>
              <m:r>
                <m:t>t</m:t>
              </m:r>
            </m:sub>
          </m:sSub>
          <m:r>
            <m:rPr>
              <m:sty m:val="p"/>
            </m:rPr>
            <m:t>−</m:t>
          </m:r>
          <m:sSub>
            <m:e>
              <m:r>
                <m:t>p</m:t>
              </m:r>
            </m:e>
            <m:sub>
              <m:r>
                <m:t>t</m:t>
              </m:r>
              <m:r>
                <m:rPr>
                  <m:sty m:val="p"/>
                </m:rPr>
                <m:t>−</m:t>
              </m:r>
              <m:r>
                <m:t>1</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Ưu điểm nổi bật của tỷ lệ sinh lời logarit là khả năng cộng trực tiếp theo thời gian. Với khoảng nắm giữ</w:t>
      </w:r>
      <w:r>
        <w:rPr>
          <w:rFonts w:ascii="Times New Roman" w:hAnsi="Times New Roman" w:eastAsia="Times New Roman"/>
          <w:sz w:val="26"/>
        </w:rPr>
        <w:t xml:space="preserve"> </w:t>
      </w:r>
      <m:oMath>
        <m:r>
          <m:t>k</m:t>
        </m:r>
      </m:oMath>
      <w:r>
        <w:rPr>
          <w:rFonts w:ascii="Times New Roman" w:hAnsi="Times New Roman" w:eastAsia="Times New Roman"/>
          <w:sz w:val="26"/>
        </w:rPr>
        <w:t xml:space="preserve"> </w:t>
      </w:r>
      <w:r>
        <w:rPr>
          <w:rFonts w:ascii="Times New Roman" w:hAnsi="Times New Roman" w:eastAsia="Times New Roman"/>
          <w:sz w:val="26"/>
        </w:rPr>
        <w:t xml:space="preserve">kỳ, ta có:</w:t>
      </w:r>
    </w:p>
    <w:p>
      <w:pPr>
        <w:pStyle w:val="BodyText"/>
      </w:pPr>
      <m:oMathPara>
        <m:oMathParaPr>
          <m:jc m:val="center"/>
        </m:oMathParaPr>
        <m:oMath>
          <m:sSub>
            <m:e>
              <m:r>
                <m:t>r</m:t>
              </m:r>
            </m:e>
            <m:sub>
              <m:r>
                <m:t>t</m:t>
              </m:r>
            </m:sub>
          </m:sSub>
          <m:r>
            <m:rPr>
              <m:sty m:val="p"/>
            </m:rPr>
            <m:t>[</m:t>
          </m:r>
          <m:r>
            <m:t>k</m:t>
          </m:r>
          <m:r>
            <m:rPr>
              <m:sty m:val="p"/>
            </m:rPr>
            <m:t>]</m:t>
          </m:r>
          <m:r>
            <m:rPr>
              <m:sty m:val="p"/>
            </m:rPr>
            <m:t>=</m:t>
          </m:r>
          <m:r>
            <m:rPr>
              <m:sty m:val="p"/>
            </m:rPr>
            <m:t>ln</m:t>
          </m:r>
          <m:r>
            <m:rPr>
              <m:sty m:val="p"/>
            </m:rPr>
            <m:t>(</m:t>
          </m:r>
          <m:r>
            <m:t>1</m:t>
          </m:r>
          <m:r>
            <m:rPr>
              <m:sty m:val="p"/>
            </m:rPr>
            <m:t>+</m:t>
          </m:r>
          <m:sSub>
            <m:e>
              <m:r>
                <m:t>R</m:t>
              </m:r>
            </m:e>
            <m:sub>
              <m:r>
                <m:t>t</m:t>
              </m:r>
            </m:sub>
          </m:sSub>
          <m:r>
            <m:rPr>
              <m:sty m:val="p"/>
            </m:rPr>
            <m:t>[</m:t>
          </m:r>
          <m:r>
            <m:t>k</m:t>
          </m:r>
          <m:r>
            <m:rPr>
              <m:sty m:val="p"/>
            </m:rPr>
            <m:t>]</m:t>
          </m:r>
          <m:r>
            <m:rPr>
              <m:sty m:val="p"/>
            </m:rPr>
            <m:t>)</m:t>
          </m:r>
          <m:r>
            <m:rPr>
              <m:sty m:val="p"/>
            </m:rPr>
            <m:t>=</m:t>
          </m:r>
          <m:sSub>
            <m:e>
              <m:r>
                <m:t>r</m:t>
              </m:r>
            </m:e>
            <m:sub>
              <m:r>
                <m:t>t</m:t>
              </m:r>
            </m:sub>
          </m:sSub>
          <m:r>
            <m:rPr>
              <m:sty m:val="p"/>
            </m:rPr>
            <m:t>+</m:t>
          </m:r>
          <m:sSub>
            <m:e>
              <m:r>
                <m:t>r</m:t>
              </m:r>
            </m:e>
            <m:sub>
              <m:r>
                <m:t>t</m:t>
              </m:r>
              <m:r>
                <m:rPr>
                  <m:sty m:val="p"/>
                </m:rPr>
                <m:t>−</m:t>
              </m:r>
              <m:r>
                <m:t>1</m:t>
              </m:r>
            </m:sub>
          </m:sSub>
          <m:r>
            <m:rPr>
              <m:sty m:val="p"/>
            </m:rPr>
            <m:t>+</m:t>
          </m:r>
          <m:r>
            <m:rPr>
              <m:sty m:val="p"/>
            </m:rPr>
            <m:t>⋯</m:t>
          </m:r>
          <m:r>
            <m:rPr>
              <m:sty m:val="p"/>
            </m:rPr>
            <m:t>+</m:t>
          </m:r>
          <m:sSub>
            <m:e>
              <m:r>
                <m:t>r</m:t>
              </m:r>
            </m:e>
            <m:sub>
              <m:r>
                <m:t>t</m:t>
              </m:r>
              <m:r>
                <m:rPr>
                  <m:sty m:val="p"/>
                </m:rPr>
                <m:t>−</m:t>
              </m:r>
              <m:r>
                <m:t>k</m:t>
              </m:r>
              <m:r>
                <m:rPr>
                  <m:sty m:val="p"/>
                </m:rPr>
                <m:t>+</m:t>
              </m:r>
              <m:r>
                <m:t>1</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Tính chất này đặc biệt thuận tiện trong phân tích chuỗi thời gian tài chính, vì sinh lời logarit nhiều kỳ có thể được tính bằng tổng các sinh lời logarit một kỳ. Theo Tsay</w:t>
      </w:r>
      <w:r>
        <w:rPr>
          <w:rFonts w:ascii="Times New Roman" w:hAnsi="Times New Roman" w:eastAsia="Times New Roman"/>
          <w:sz w:val="26"/>
        </w:rPr>
        <w:t xml:space="preserve"> </w:t>
      </w:r>
      <w:r>
        <w:rPr>
          <w:rFonts w:ascii="Times New Roman" w:hAnsi="Times New Roman" w:eastAsia="Times New Roman"/>
          <w:sz w:val="26"/>
        </w:rPr>
        <w:t xml:space="preserve">(2013)</w:t>
      </w:r>
      <w:r>
        <w:rPr>
          <w:rFonts w:ascii="Times New Roman" w:hAnsi="Times New Roman" w:eastAsia="Times New Roman"/>
          <w:sz w:val="26"/>
        </w:rPr>
        <w:t xml:space="preserve">, tỷ lệ sinh lời logarit thường được sử dụng rộng rãi trong phân tích tài chính vì tính chất cộng theo thời gian và vì các đặc điểm thống kê của nó thuận lợi hơn cho mô hình hóa.</w:t>
      </w:r>
    </w:p>
    <w:p>
      <w:pPr>
        <w:pStyle w:val="BodyText"/>
        <w:spacing w:before="60" w:after="60" w:line="276" w:lineRule="auto"/>
        <w:ind w:firstLine="567"/>
        <w:jc w:val="both"/>
      </w:pPr>
      <w:r>
        <w:rPr>
          <w:rFonts w:ascii="Times New Roman" w:hAnsi="Times New Roman" w:eastAsia="Times New Roman"/>
          <w:sz w:val="26"/>
        </w:rPr>
        <w:t xml:space="preserve">Với tài sản có chi trả dòng tiền trung gian</w:t>
      </w:r>
      <w:r>
        <w:rPr>
          <w:rFonts w:ascii="Times New Roman" w:hAnsi="Times New Roman" w:eastAsia="Times New Roman"/>
          <w:sz w:val="26"/>
        </w:rPr>
        <w:t xml:space="preserve"> </w:t>
      </w:r>
      <m:oMath>
        <m:sSub>
          <m:e>
            <m:r>
              <m:t>D</m:t>
            </m:r>
          </m:e>
          <m:sub>
            <m:r>
              <m:t>t</m:t>
            </m:r>
          </m:sub>
        </m:sSub>
      </m:oMath>
      <w:r>
        <w:rPr>
          <w:rFonts w:ascii="Times New Roman" w:hAnsi="Times New Roman" w:eastAsia="Times New Roman"/>
          <w:sz w:val="26"/>
        </w:rPr>
        <w:t xml:space="preserve">, tỷ lệ sinh lời logarit có thể được điều chỉnh thành:</w:t>
      </w:r>
    </w:p>
    <w:p>
      <w:pPr>
        <w:pStyle w:val="BodyText"/>
      </w:pPr>
      <m:oMathPara>
        <m:oMathParaPr>
          <m:jc m:val="center"/>
        </m:oMathParaPr>
        <m:oMath>
          <m:sSub>
            <m:e>
              <m:r>
                <m:t>r</m:t>
              </m:r>
            </m:e>
            <m:sub>
              <m:r>
                <m:t>t</m:t>
              </m:r>
            </m:sub>
          </m:sSub>
          <m:r>
            <m:rPr>
              <m:sty m:val="p"/>
            </m:rPr>
            <m:t>=</m:t>
          </m:r>
          <m:r>
            <m:rPr>
              <m:sty m:val="p"/>
            </m:rPr>
            <m:t>ln</m:t>
          </m:r>
          <m:r>
            <m:rPr>
              <m:sty m:val="p"/>
            </m:rPr>
            <m:t>(</m:t>
          </m:r>
          <m:sSub>
            <m:e>
              <m:r>
                <m:t>P</m:t>
              </m:r>
            </m:e>
            <m:sub>
              <m:r>
                <m:t>t</m:t>
              </m:r>
            </m:sub>
          </m:sSub>
          <m:r>
            <m:rPr>
              <m:sty m:val="p"/>
            </m:rPr>
            <m:t>+</m:t>
          </m:r>
          <m:sSub>
            <m:e>
              <m:r>
                <m:t>D</m:t>
              </m:r>
            </m:e>
            <m:sub>
              <m:r>
                <m:t>t</m:t>
              </m:r>
            </m:sub>
          </m:sSub>
          <m:r>
            <m:rPr>
              <m:sty m:val="p"/>
            </m:rPr>
            <m:t>)</m:t>
          </m:r>
          <m:r>
            <m:rPr>
              <m:sty m:val="p"/>
            </m:rPr>
            <m:t>−</m:t>
          </m:r>
          <m:r>
            <m:rPr>
              <m:sty m:val="p"/>
            </m:rPr>
            <m:t>ln</m:t>
          </m:r>
          <m:r>
            <m:rPr>
              <m:sty m:val="p"/>
            </m:rPr>
            <m:t>(</m:t>
          </m:r>
          <m:sSub>
            <m:e>
              <m:r>
                <m:t>P</m:t>
              </m:r>
            </m:e>
            <m:sub>
              <m:r>
                <m:t>t</m:t>
              </m:r>
              <m:r>
                <m:rPr>
                  <m:sty m:val="p"/>
                </m:rPr>
                <m:t>−</m:t>
              </m:r>
              <m:r>
                <m:t>1</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Giữa tỷ lệ sinh lời giản đơn và tỷ lệ sinh lời logarit tồn tại quan hệ một-một:</w:t>
      </w:r>
    </w:p>
    <w:p>
      <w:pPr>
        <w:pStyle w:val="BodyText"/>
      </w:pPr>
      <m:oMathPara>
        <m:oMathParaPr>
          <m:jc m:val="center"/>
        </m:oMathParaPr>
        <m:oMath>
          <m:sSub>
            <m:e>
              <m:r>
                <m:t>r</m:t>
              </m:r>
            </m:e>
            <m:sub>
              <m:r>
                <m:t>t</m:t>
              </m:r>
            </m:sub>
          </m:sSub>
          <m:r>
            <m:rPr>
              <m:sty m:val="p"/>
            </m:rPr>
            <m:t>=</m:t>
          </m:r>
          <m:r>
            <m:rPr>
              <m:sty m:val="p"/>
            </m:rPr>
            <m:t>ln</m:t>
          </m:r>
          <m:r>
            <m:rPr>
              <m:sty m:val="p"/>
            </m:rPr>
            <m:t>(</m:t>
          </m:r>
          <m:r>
            <m:t>1</m:t>
          </m:r>
          <m:r>
            <m:rPr>
              <m:sty m:val="p"/>
            </m:rPr>
            <m:t>+</m:t>
          </m:r>
          <m:sSub>
            <m:e>
              <m:r>
                <m:t>R</m:t>
              </m:r>
            </m:e>
            <m:sub>
              <m:r>
                <m:t>t</m:t>
              </m:r>
            </m:sub>
          </m:sSub>
          <m:r>
            <m:rPr>
              <m:sty m:val="p"/>
            </m:rPr>
            <m:t>)</m:t>
          </m:r>
          <m:r>
            <m:rPr>
              <m:sty m:val="p"/>
            </m:rPr>
            <m:t>,</m:t>
          </m:r>
          <m:r>
            <m:t>  </m:t>
          </m:r>
          <m:sSub>
            <m:e>
              <m:r>
                <m:t>R</m:t>
              </m:r>
            </m:e>
            <m:sub>
              <m:r>
                <m:t>t</m:t>
              </m:r>
            </m:sub>
          </m:sSub>
          <m:r>
            <m:rPr>
              <m:sty m:val="p"/>
            </m:rPr>
            <m:t>=</m:t>
          </m:r>
          <m:sSup>
            <m:e>
              <m:r>
                <m:t>e</m:t>
              </m:r>
            </m:e>
            <m:sup>
              <m:sSub>
                <m:e>
                  <m:r>
                    <m:t>r</m:t>
                  </m:r>
                </m:e>
                <m:sub>
                  <m:r>
                    <m:t>t</m:t>
                  </m:r>
                </m:sub>
              </m:sSub>
            </m:sup>
          </m:sSup>
          <m:r>
            <m:rPr>
              <m:sty m:val="p"/>
            </m:rPr>
            <m:t>−</m:t>
          </m:r>
          <m:r>
            <m:t>1</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Khi mức sinh lời trong từng kỳ nhỏ, có thể sử dụng xấp xỉ bậc một:</w:t>
      </w:r>
    </w:p>
    <w:p>
      <w:pPr>
        <w:pStyle w:val="BodyText"/>
      </w:pPr>
      <m:oMathPara>
        <m:oMathParaPr>
          <m:jc m:val="center"/>
        </m:oMathParaPr>
        <m:oMath>
          <m:sSub>
            <m:e>
              <m:r>
                <m:t>r</m:t>
              </m:r>
            </m:e>
            <m:sub>
              <m:r>
                <m:t>t</m:t>
              </m:r>
            </m:sub>
          </m:sSub>
          <m:r>
            <m:rPr>
              <m:sty m:val="p"/>
            </m:rPr>
            <m:t>≈</m:t>
          </m:r>
          <m:sSub>
            <m:e>
              <m:r>
                <m:t>R</m:t>
              </m:r>
            </m:e>
            <m:sub>
              <m:r>
                <m:t>t</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Vì vậy, với dữ liệu tỷ lệ sinh lời ngày của các chỉ số chứng khoán lớn, tỷ lệ sinh lời giản đơn và tỷ lệ sinh lời logarit thường khá gần nhau trong phần lớn quan sát. Tuy nhiên, trong các giai đoạn biến động mạnh hoặc với các tài sản có mức dao động giá lớn, chênh lệch giữa hai thước đo này có thể trở nên đáng kể.</w:t>
      </w:r>
    </w:p>
    <w:p>
      <w:pPr>
        <w:pStyle w:val="BodyText"/>
        <w:spacing w:before="60" w:after="60" w:line="240" w:lineRule="auto"/>
        <w:ind w:firstLine="0"/>
        <w:jc w:val="center"/>
      </w:pPr>
      <w:r>
        <w:rPr>
          <w:rFonts w:ascii="Times New Roman" w:hAnsi="Times New Roman" w:eastAsia="Times New Roman"/>
          <w:b/>
          <w:i w:val="0"/>
          <w:sz w:val="24"/>
        </w:rPr>
        <w:t>Bảng dưới đây tóm tắt sự khác biệt chính giữa hai thước đo tỷ lệ sinh lời.</w:t>
      </w:r>
    </w:p>
    <w:p>
      <w:pPr>
        <w:pStyle w:val="TableCaption"/>
        <w:spacing w:before="60" w:after="60" w:line="276" w:lineRule="auto"/>
        <w:ind w:firstLine="567"/>
        <w:jc w:val="both"/>
      </w:pPr>
      <w:r>
        <w:rPr>
          <w:rFonts w:ascii="Times New Roman" w:hAnsi="Times New Roman" w:eastAsia="Times New Roman"/>
          <w:sz w:val="26"/>
        </w:rPr>
        <w:t xml:space="preserve">So sánh tỷ lệ sinh lời giản đơn và tỷ lệ sinh lời logarit</w:t>
      </w:r>
    </w:p>
    <w:tbl>
      <w:tblPr>
        <w:tblStyle w:val="Table"/>
        <w:tblW w:type="pct" w:w="5000"/>
        <w:tblLayout w:type="fixed"/>
        <w:tblLook w:firstRow="1" w:lastRow="0" w:firstColumn="0" w:lastColumn="0" w:noHBand="0" w:noVBand="0" w:val="0020"/>
        <w:tblCaption w:val="So sánh tỷ lệ sinh lời giản đơn và tỷ lệ sinh lời logarit"/>
      </w:tblPr>
      <w:tblGrid>
        <w:gridCol w:w="2640"/>
        <w:gridCol w:w="2640"/>
        <w:gridCol w:w="2640"/>
      </w:tblGrid>
      <w:tr>
        <w:trPr>
          <w:tblHeader w:val="on"/>
        </w:trPr>
        <w:tc>
          <w:tcPr>
            <w:vAlign w:val="center"/>
          </w:tcPr>
          <w:p>
            <w:pPr>
              <w:pStyle w:val="Compact"/>
              <w:spacing w:before="0" w:after="0" w:line="240" w:lineRule="auto"/>
              <w:ind w:firstLine="0"/>
              <w:jc w:val="center"/>
            </w:pPr>
            <w:r>
              <w:rPr>
                <w:rFonts w:ascii="Times New Roman" w:hAnsi="Times New Roman" w:eastAsia="Times New Roman"/>
                <w:b/>
                <w:sz w:val="24"/>
              </w:rPr>
              <w:t xml:space="preserve">Tiêu chí</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Tỷ lệ sinh lời giản đơn</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Tỷ lệ sinh lời logarit</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Công thức cơ bản</w:t>
            </w:r>
          </w:p>
        </w:tc>
        <w:tc>
          <w:tcPr>
            <w:vAlign w:val="center"/>
          </w:tcPr>
          <w:p>
            <w:pPr>
              <w:pStyle w:val="Compact"/>
              <w:spacing w:before="0" w:after="0" w:line="240" w:lineRule="auto"/>
              <w:ind w:firstLine="0"/>
              <w:jc w:val="left"/>
            </w:pPr>
            <m:oMath>
              <m:sSub>
                <m:e>
                  <m:r>
                    <m:t>R</m:t>
                  </m:r>
                </m:e>
                <m:sub>
                  <m:r>
                    <m:t>t</m:t>
                  </m:r>
                </m:sub>
              </m:sSub>
              <m:r>
                <m:rPr>
                  <m:sty m:val="p"/>
                </m:rPr>
                <m:t>=</m:t>
              </m:r>
              <m:sSub>
                <m:e>
                  <m:r>
                    <m:t>P</m:t>
                  </m:r>
                </m:e>
                <m:sub>
                  <m:r>
                    <m:t>t</m:t>
                  </m:r>
                </m:sub>
              </m:sSub>
              <m:r>
                <m:rPr>
                  <m:sty m:val="p"/>
                </m:rPr>
                <m:t>/</m:t>
              </m:r>
              <m:sSub>
                <m:e>
                  <m:r>
                    <m:t>P</m:t>
                  </m:r>
                </m:e>
                <m:sub>
                  <m:r>
                    <m:t>t</m:t>
                  </m:r>
                  <m:r>
                    <m:rPr>
                      <m:sty m:val="p"/>
                    </m:rPr>
                    <m:t>−</m:t>
                  </m:r>
                  <m:r>
                    <m:t>1</m:t>
                  </m:r>
                </m:sub>
              </m:sSub>
              <m:r>
                <m:rPr>
                  <m:sty m:val="p"/>
                </m:rPr>
                <m:t>−</m:t>
              </m:r>
              <m:r>
                <m:t>1</m:t>
              </m:r>
            </m:oMath>
          </w:p>
        </w:tc>
        <w:tc>
          <w:tcPr>
            <w:vAlign w:val="center"/>
          </w:tcPr>
          <w:p>
            <w:pPr>
              <w:pStyle w:val="Compact"/>
              <w:spacing w:before="0" w:after="0" w:line="240" w:lineRule="auto"/>
              <w:ind w:firstLine="0"/>
              <w:jc w:val="left"/>
            </w:pPr>
            <m:oMath>
              <m:sSub>
                <m:e>
                  <m:r>
                    <m:t>r</m:t>
                  </m:r>
                </m:e>
                <m:sub>
                  <m:r>
                    <m:t>t</m:t>
                  </m:r>
                </m:sub>
              </m:sSub>
              <m:r>
                <m:rPr>
                  <m:sty m:val="p"/>
                </m:rPr>
                <m:t>=</m:t>
              </m:r>
              <m:r>
                <m:rPr>
                  <m:sty m:val="p"/>
                </m:rPr>
                <m:t>ln</m:t>
              </m:r>
              <m:r>
                <m:rPr>
                  <m:sty m:val="p"/>
                </m:rPr>
                <m:t>(</m:t>
              </m:r>
              <m:sSub>
                <m:e>
                  <m:r>
                    <m:t>P</m:t>
                  </m:r>
                </m:e>
                <m:sub>
                  <m:r>
                    <m:t>t</m:t>
                  </m:r>
                </m:sub>
              </m:sSub>
              <m:r>
                <m:rPr>
                  <m:sty m:val="p"/>
                </m:rPr>
                <m:t>)</m:t>
              </m:r>
              <m:r>
                <m:rPr>
                  <m:sty m:val="p"/>
                </m:rPr>
                <m:t>−</m:t>
              </m:r>
              <m:r>
                <m:rPr>
                  <m:sty m:val="p"/>
                </m:rPr>
                <m:t>ln</m:t>
              </m:r>
              <m:r>
                <m:rPr>
                  <m:sty m:val="p"/>
                </m:rPr>
                <m:t>(</m:t>
              </m:r>
              <m:sSub>
                <m:e>
                  <m:r>
                    <m:t>P</m:t>
                  </m:r>
                </m:e>
                <m:sub>
                  <m:r>
                    <m:t>t</m:t>
                  </m:r>
                  <m:r>
                    <m:rPr>
                      <m:sty m:val="p"/>
                    </m:rPr>
                    <m:t>−</m:t>
                  </m:r>
                  <m:r>
                    <m:t>1</m:t>
                  </m:r>
                </m:sub>
              </m:sSub>
              <m:r>
                <m:rPr>
                  <m:sty m:val="p"/>
                </m:rPr>
                <m:t>)</m:t>
              </m:r>
            </m:oMath>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Diễn giải kinh tế</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Trực quan, phản ánh lãi/lỗ tương đối trong một kỳ</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Ít trực quan hơn, nhưng thuận tiện về mặt toán học</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Tổng hợp theo thời gian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Tổng hợp bằng phép nhân lãi kép</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Có thể cộng trực tiếp qua thời gian</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Tổng hợp theo danh mục</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Danh mục là trung bình gia quyền của return thành phần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Không có tính chất trung bình gia quyền chính xác</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Phù hợp nhất khi</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Phân tích hiệu quả đầu tư, lãi/lỗ danh mục, phân bổ tài sản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Mô hình hóa chuỗi thời gian, volatility, GARCH, VaR</w:t>
            </w:r>
          </w:p>
        </w:tc>
      </w:tr>
    </w:tbl>
    <w:p>
      <w:pPr>
        <w:pStyle w:val="BodyText"/>
        <w:spacing w:before="60" w:after="60" w:line="276" w:lineRule="auto"/>
        <w:ind w:firstLine="567"/>
        <w:jc w:val="both"/>
      </w:pPr>
      <w:r>
        <w:rPr>
          <w:rFonts w:ascii="Times New Roman" w:hAnsi="Times New Roman" w:eastAsia="Times New Roman"/>
          <w:sz w:val="26"/>
        </w:rPr>
        <w:t xml:space="preserve">Như vậy, tỷ lệ sinh lời giản đơn và tỷ lệ sinh lời logarit không phải là hai khái niệm cạnh tranh tuyệt đối, mà là hai thước đo phục vụ các mục tiêu khác nhau. Tỷ lệ sinh lời giản đơn có ưu thế về diễn giải kinh tế và phân tích danh mục. Tỷ lệ sinh lời logarit có ưu thế về tổng hợp theo thời gian và mô hình hóa thống kê.</w:t>
      </w:r>
    </w:p>
    <w:p>
      <w:pPr>
        <w:pStyle w:val="BodyText"/>
        <w:spacing w:before="60" w:after="60" w:line="276" w:lineRule="auto"/>
        <w:ind w:firstLine="567"/>
        <w:jc w:val="both"/>
      </w:pPr>
      <w:r>
        <w:rPr>
          <w:rFonts w:ascii="Times New Roman" w:hAnsi="Times New Roman" w:eastAsia="Times New Roman"/>
          <w:sz w:val="26"/>
        </w:rPr>
        <w:t xml:space="preserve">Trong cuốn sách này, do trọng tâm là mô hình hóa biến động, dự báo rủi ro và tính VaR trên chuỗi thời gian tài chính, tỷ lệ sinh lời được sử dụng chủ yếu là</w:t>
      </w:r>
      <w:r>
        <w:rPr>
          <w:rFonts w:ascii="Times New Roman" w:hAnsi="Times New Roman" w:eastAsia="Times New Roman"/>
          <w:sz w:val="26"/>
        </w:rPr>
        <w:t xml:space="preserve"> </w:t>
      </w:r>
      <w:r>
        <w:rPr>
          <w:rFonts w:ascii="Times New Roman" w:hAnsi="Times New Roman" w:eastAsia="Times New Roman"/>
          <w:b/>
          <w:bCs/>
          <w:sz w:val="26"/>
        </w:rPr>
        <w:t xml:space="preserve">tỷ lệ sinh lời logarit</w:t>
      </w:r>
      <w:r>
        <w:rPr>
          <w:rFonts w:ascii="Times New Roman" w:hAnsi="Times New Roman" w:eastAsia="Times New Roman"/>
          <w:sz w:val="26"/>
        </w:rPr>
        <w:t xml:space="preserve">. Khi phân tích danh mục hoặc khi cần diễn giải trực tiếp lãi/lỗ đầu tư, tỷ lệ sinh lời giản đơn vẫn sẽ được sử dụng hoặc chuyển đổi tương ứng khi cần thiết.</w:t>
      </w:r>
    </w:p>
    <w:bookmarkEnd w:id="19"/>
    <w:bookmarkEnd w:id="20"/>
    <w:bookmarkStart w:id="28" w:name="sec-statistical-properties"/>
    <w:p>
      <w:pPr>
        <w:pStyle w:val="Heading2"/>
        <w:spacing w:before="120" w:after="120" w:line="276" w:lineRule="auto"/>
        <w:ind w:firstLine="0"/>
        <w:jc w:val="left"/>
      </w:pPr>
      <w:r>
        <w:rPr>
          <w:rFonts w:ascii="Times New Roman" w:hAnsi="Times New Roman" w:eastAsia="Times New Roman"/>
          <w:b/>
          <w:i w:val="0"/>
          <w:sz w:val="26"/>
        </w:rPr>
        <w:t>1.2 CÁC ĐẶC ĐIỂM THỐNG KÊ CỦA TỶ LỆ SINH LỜI TÀI SẢN</w:t>
      </w:r>
    </w:p>
    <w:p>
      <w:pPr>
        <w:pStyle w:val="FirstParagraph"/>
        <w:spacing w:before="60" w:after="60" w:line="276" w:lineRule="auto"/>
        <w:ind w:firstLine="567"/>
        <w:jc w:val="both"/>
      </w:pPr>
      <w:r>
        <w:rPr>
          <w:rFonts w:ascii="Times New Roman" w:hAnsi="Times New Roman" w:eastAsia="Times New Roman"/>
          <w:sz w:val="26"/>
        </w:rPr>
        <w:t xml:space="preserve">Sau khi chuyển đổi chuỗi giá tài sản thành chuỗi tỷ lệ sinh lời, bước tiếp theo là nhận diện các đặc điểm thống kê cơ bản của chuỗi dữ liệu này. Đây không chỉ là bước mô tả dữ liệu ban đầu, mà còn là cơ sở để lựa chọn mô hình đo lường biến động và giá trị chịu rủi ro phù hợp. Trong phân tích rủi ro thị trường, một mô hình tốt không nên được lựa chọn chỉ vì tính phổ biến về mặt kỹ thuật, mà cần xuất phát từ các đặc điểm thực nghiệm của dữ liệu: chuỗi có dừng hay không, có phân phối chuẩn hay không, có đuôi dày hay bất đối xứng hay không, có tự tương quan tuyến tính hay không, và có tồn tại hiện tượng cụm biến động hay hiệu ứng ARCH hay không.</w:t>
      </w:r>
    </w:p>
    <w:p>
      <w:pPr>
        <w:pStyle w:val="BodyText"/>
        <w:spacing w:before="60" w:after="60" w:line="276" w:lineRule="auto"/>
        <w:ind w:firstLine="567"/>
        <w:jc w:val="both"/>
      </w:pPr>
      <w:r>
        <w:rPr>
          <w:rFonts w:ascii="Times New Roman" w:hAnsi="Times New Roman" w:eastAsia="Times New Roman"/>
          <w:sz w:val="26"/>
        </w:rPr>
        <w:t xml:space="preserve">Các tài liệu về chuỗi thời gian tài chính thường nhấn mạnh rằng tỷ lệ sinh lời tài sản có nhiều đặc điểm khác biệt so với các chuỗi kinh tế vĩ mô thông thường. Chuỗi tỷ lệ sinh lời thường dao động quanh một mức trung bình nhỏ, có phân phối không chuẩn, có đuôi dày, có thể bất đối xứng, ít tự tương quan ở bản thân chuỗi nhưng lại có phụ thuộc rõ rệt trong bình phương hoặc giá trị tuyệt đối của tỷ lệ sinh lời</w:t>
      </w:r>
      <w:r>
        <w:rPr>
          <w:rFonts w:ascii="Times New Roman" w:hAnsi="Times New Roman" w:eastAsia="Times New Roman"/>
          <w:sz w:val="26"/>
        </w:rPr>
        <w:t xml:space="preserve"> </w:t>
      </w:r>
      <w:r>
        <w:rPr>
          <w:rFonts w:ascii="Times New Roman" w:hAnsi="Times New Roman" w:eastAsia="Times New Roman"/>
          <w:sz w:val="26"/>
        </w:rPr>
        <w:t xml:space="preserve">(Brooks, 2019; Tsay, 2010, 2013)</w:t>
      </w:r>
      <w:r>
        <w:rPr>
          <w:rFonts w:ascii="Times New Roman" w:hAnsi="Times New Roman" w:eastAsia="Times New Roman"/>
          <w:sz w:val="26"/>
        </w:rPr>
        <w:t xml:space="preserve">. Những đặc điểm này là nền tảng thực nghiệm cho các mô hình ARCH/GARCH, các phân phối phi chuẩn như</w:t>
      </w:r>
      <w:r>
        <w:rPr>
          <w:rFonts w:ascii="Times New Roman" w:hAnsi="Times New Roman" w:eastAsia="Times New Roman"/>
          <w:sz w:val="26"/>
        </w:rPr>
        <w:t xml:space="preserve"> </w:t>
      </w:r>
      <m:oMath>
        <m:r>
          <m:t>S</m:t>
        </m:r>
        <m:r>
          <m:t>t</m:t>
        </m:r>
        <m:r>
          <m:t>u</m:t>
        </m:r>
        <m:r>
          <m:t>d</m:t>
        </m:r>
        <m:r>
          <m:t>e</m:t>
        </m:r>
        <m:sSub>
          <m:e>
            <m:r>
              <m:t>n</m:t>
            </m:r>
          </m:e>
          <m:sub>
            <m:r>
              <m:t>t</m:t>
            </m:r>
          </m:sub>
        </m:sSub>
      </m:oMath>
      <w:r>
        <w:rPr>
          <w:rFonts w:ascii="Times New Roman" w:hAnsi="Times New Roman" w:eastAsia="Times New Roman"/>
          <w:sz w:val="26"/>
        </w:rPr>
        <w:t xml:space="preserve">, GED,</w:t>
      </w:r>
      <w:r>
        <w:rPr>
          <w:rFonts w:ascii="Times New Roman" w:hAnsi="Times New Roman" w:eastAsia="Times New Roman"/>
          <w:sz w:val="26"/>
        </w:rPr>
        <w:t xml:space="preserve"> </w:t>
      </w:r>
      <m:oMath>
        <m:r>
          <m:t>S</m:t>
        </m:r>
        <m:r>
          <m:t>k</m:t>
        </m:r>
        <m:r>
          <m:t>e</m:t>
        </m:r>
        <m:r>
          <m:t>w</m:t>
        </m:r>
        <m:r>
          <m:t>e</m:t>
        </m:r>
        <m:r>
          <m:t>d</m:t>
        </m:r>
        <m:r>
          <m:rPr>
            <m:sty m:val="p"/>
          </m:rPr>
          <m:t>−</m:t>
        </m:r>
        <m:r>
          <m:t>S</m:t>
        </m:r>
        <m:r>
          <m:t>t</m:t>
        </m:r>
        <m:r>
          <m:t>u</m:t>
        </m:r>
        <m:r>
          <m:t>d</m:t>
        </m:r>
        <m:r>
          <m:t>e</m:t>
        </m:r>
        <m:r>
          <m:t>n</m:t>
        </m:r>
        <m:sSub>
          <m:e>
            <m:r>
              <m:t>t</m:t>
            </m:r>
          </m:e>
          <m:sub>
            <m:r>
              <m:t>t</m:t>
            </m:r>
          </m:sub>
        </m:sSub>
      </m:oMath>
      <w:r>
        <w:rPr>
          <w:rFonts w:ascii="Times New Roman" w:hAnsi="Times New Roman" w:eastAsia="Times New Roman"/>
          <w:sz w:val="26"/>
        </w:rPr>
        <w:t xml:space="preserve">, cũng như các phương pháp VaR dựa trên mô phỏng lịch sử hoặc lý thuyết giá trị cực trị.</w:t>
      </w:r>
    </w:p>
    <w:bookmarkStart w:id="21" w:name="sec-return-moments-distribution"/>
    <w:p>
      <w:pPr>
        <w:pStyle w:val="Heading3"/>
        <w:spacing w:before="120" w:after="120" w:line="276" w:lineRule="auto"/>
        <w:ind w:firstLine="0"/>
        <w:jc w:val="left"/>
      </w:pPr>
      <w:r>
        <w:rPr>
          <w:rFonts w:ascii="Times New Roman" w:hAnsi="Times New Roman" w:eastAsia="Times New Roman"/>
          <w:b/>
          <w:i w:val="0"/>
          <w:sz w:val="26"/>
        </w:rPr>
        <w:t xml:space="preserve">1.2.1 Các moment và phân phối của tỷ lệ sinh lời</w:t>
      </w:r>
    </w:p>
    <w:p>
      <w:pPr>
        <w:pStyle w:val="FirstParagraph"/>
        <w:spacing w:before="60" w:after="60" w:line="276" w:lineRule="auto"/>
        <w:ind w:firstLine="567"/>
        <w:jc w:val="both"/>
      </w:pPr>
      <w:r>
        <w:rPr>
          <w:rFonts w:ascii="Times New Roman" w:hAnsi="Times New Roman" w:eastAsia="Times New Roman"/>
          <w:sz w:val="26"/>
        </w:rPr>
        <w:t xml:space="preserve">Để nghiên cứu biến động và rủi ro trên thị trường chứng khoán, trước hết cần xem tỷ lệ sinh lời như một</w:t>
      </w:r>
      <w:r>
        <w:rPr>
          <w:rFonts w:ascii="Times New Roman" w:hAnsi="Times New Roman" w:eastAsia="Times New Roman"/>
          <w:sz w:val="26"/>
        </w:rPr>
        <w:t xml:space="preserve"> </w:t>
      </w:r>
      <w:r>
        <w:rPr>
          <w:rFonts w:ascii="Times New Roman" w:hAnsi="Times New Roman" w:eastAsia="Times New Roman"/>
          <w:b/>
          <w:bCs/>
          <w:sz w:val="26"/>
        </w:rPr>
        <w:t xml:space="preserve">biến ngẫu nhiên</w:t>
      </w:r>
      <w:r>
        <w:rPr>
          <w:rFonts w:ascii="Times New Roman" w:hAnsi="Times New Roman" w:eastAsia="Times New Roman"/>
          <w:sz w:val="26"/>
        </w:rPr>
        <w:t xml:space="preserve">. Nói cách khác, tỷ lệ sinh lời tại thời điểm (t) không phải là một con số chắc chắn có thể biết trước, mà là kết quả của nhiều yếu tố ngẫu nhiên: thông tin mới trên thị trường, kỳ vọng của nhà đầu tư, thay đổi chính sách, biến động kinh tế vĩ mô, thanh khoản thị trường và các cú sốc bất thường. Vì vậy, thay vì chỉ quan sát từng giá trị riêng lẻ của tỷ lệ sinh lời, nhà nghiên cứu cần quan tâm đến</w:t>
      </w:r>
      <w:r>
        <w:rPr>
          <w:rFonts w:ascii="Times New Roman" w:hAnsi="Times New Roman" w:eastAsia="Times New Roman"/>
          <w:sz w:val="26"/>
        </w:rPr>
        <w:t xml:space="preserve"> </w:t>
      </w:r>
      <w:r>
        <w:rPr>
          <w:rFonts w:ascii="Times New Roman" w:hAnsi="Times New Roman" w:eastAsia="Times New Roman"/>
          <w:b/>
          <w:bCs/>
          <w:sz w:val="26"/>
        </w:rPr>
        <w:t xml:space="preserve">phân phối xác suất</w:t>
      </w:r>
      <w:r>
        <w:rPr>
          <w:rFonts w:ascii="Times New Roman" w:hAnsi="Times New Roman" w:eastAsia="Times New Roman"/>
          <w:sz w:val="26"/>
        </w:rPr>
        <w:t xml:space="preserve"> </w:t>
      </w:r>
      <w:r>
        <w:rPr>
          <w:rFonts w:ascii="Times New Roman" w:hAnsi="Times New Roman" w:eastAsia="Times New Roman"/>
          <w:sz w:val="26"/>
        </w:rPr>
        <w:t xml:space="preserve">của chuỗi tỷ lệ sinh lời.</w:t>
      </w:r>
    </w:p>
    <w:p>
      <w:pPr>
        <w:pStyle w:val="BodyText"/>
        <w:spacing w:before="60" w:after="60" w:line="276" w:lineRule="auto"/>
        <w:ind w:firstLine="567"/>
        <w:jc w:val="both"/>
      </w:pPr>
      <w:r>
        <w:rPr>
          <w:rFonts w:ascii="Times New Roman" w:hAnsi="Times New Roman" w:eastAsia="Times New Roman"/>
          <w:sz w:val="26"/>
        </w:rPr>
        <w:t xml:space="preserve">Nếu ký hiệu (</w:t>
      </w:r>
      <m:oMath>
        <m:sSub>
          <m:e>
            <m:r>
              <m:t>r</m:t>
            </m:r>
          </m:e>
          <m:sub>
            <m:r>
              <m:t>t</m:t>
            </m:r>
          </m:sub>
        </m:sSub>
      </m:oMath>
      <w:r>
        <w:rPr>
          <w:rFonts w:ascii="Times New Roman" w:hAnsi="Times New Roman" w:eastAsia="Times New Roman"/>
          <w:sz w:val="26"/>
        </w:rPr>
        <w:t xml:space="preserve">) là tỷ lệ sinh lời tại thời điểm (</w:t>
      </w:r>
      <m:oMath>
        <m:r>
          <m:t>t</m:t>
        </m:r>
      </m:oMath>
      <w:r>
        <w:rPr>
          <w:rFonts w:ascii="Times New Roman" w:hAnsi="Times New Roman" w:eastAsia="Times New Roman"/>
          <w:sz w:val="26"/>
        </w:rPr>
        <w:t xml:space="preserve">), thì hàm phân phối tích lũy của (</w:t>
      </w:r>
      <m:oMath>
        <m:sSub>
          <m:e>
            <m:r>
              <m:t>r</m:t>
            </m:r>
          </m:e>
          <m:sub>
            <m:r>
              <m:t>t</m:t>
            </m:r>
          </m:sub>
        </m:sSub>
      </m:oMath>
      <w:r>
        <w:rPr>
          <w:rFonts w:ascii="Times New Roman" w:hAnsi="Times New Roman" w:eastAsia="Times New Roman"/>
          <w:sz w:val="26"/>
        </w:rPr>
        <w:t xml:space="preserve">) được viết là:</w:t>
      </w:r>
    </w:p>
    <w:p>
      <w:pPr>
        <w:pStyle w:val="BodyText"/>
      </w:pPr>
      <m:oMathPara>
        <m:oMathParaPr>
          <m:jc m:val="center"/>
        </m:oMathParaPr>
        <m:oMath>
          <m:r>
            <m:t>F</m:t>
          </m:r>
          <m:r>
            <m:rPr>
              <m:sty m:val="p"/>
            </m:rPr>
            <m:t>(</m:t>
          </m:r>
          <m:r>
            <m:t>r</m:t>
          </m:r>
          <m:r>
            <m:rPr>
              <m:sty m:val="p"/>
            </m:rPr>
            <m:t>)</m:t>
          </m:r>
          <m:r>
            <m:rPr>
              <m:sty m:val="p"/>
            </m:rPr>
            <m:t>=</m:t>
          </m:r>
          <m:r>
            <m:t>P</m:t>
          </m:r>
          <m:r>
            <m:rPr>
              <m:sty m:val="p"/>
            </m:rPr>
            <m:t>(</m:t>
          </m:r>
          <m:sSub>
            <m:e>
              <m:r>
                <m:t>r</m:t>
              </m:r>
            </m:e>
            <m:sub>
              <m:r>
                <m:t>t</m:t>
              </m:r>
            </m:sub>
          </m:sSub>
          <m:r>
            <m:rPr>
              <m:sty m:val="p"/>
            </m:rPr>
            <m:t>≤</m:t>
          </m:r>
          <m:r>
            <m:t>r</m:t>
          </m:r>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Hàm phân phối này cho biết xác suất để tỷ lệ sinh lời nhận giá trị nhỏ hơn hoặc bằng một mức (</w:t>
      </w:r>
      <m:oMath>
        <m:r>
          <m:t>r</m:t>
        </m:r>
      </m:oMath>
      <w:r>
        <w:rPr>
          <w:rFonts w:ascii="Times New Roman" w:hAnsi="Times New Roman" w:eastAsia="Times New Roman"/>
          <w:sz w:val="26"/>
        </w:rPr>
        <w:t xml:space="preserve">) bất kỳ. Dưới góc độ trực quan, phân phối của tỷ lệ sinh lời mô tả toàn bộ cấu trúc xác suất của chuỗi: tỷ lệ sinh lời thường tập trung quanh mức nào, mức độ phân tán ra sao, phân phối có cân đối hay không, và khả năng xuất hiện các biến động cực đoan lớn đến mức nào. Đối với đo lường rủi ro, phần đuôi trái của phân phối đặc biệt quan trọng vì đây là vùng phản ánh các khoản lỗ lớn có xác suất thấp nhưng hậu quả nghiêm trọng.</w:t>
      </w:r>
    </w:p>
    <w:p>
      <w:pPr>
        <w:pStyle w:val="BodyText"/>
        <w:spacing w:before="60" w:after="60" w:line="276" w:lineRule="auto"/>
        <w:ind w:firstLine="567"/>
        <w:jc w:val="both"/>
      </w:pPr>
      <w:r>
        <w:rPr>
          <w:rFonts w:ascii="Times New Roman" w:hAnsi="Times New Roman" w:eastAsia="Times New Roman"/>
          <w:sz w:val="26"/>
        </w:rPr>
        <w:t xml:space="preserve">Đặc trưng cơ bản đầu tiên của phân phối là</w:t>
      </w:r>
      <w:r>
        <w:rPr>
          <w:rFonts w:ascii="Times New Roman" w:hAnsi="Times New Roman" w:eastAsia="Times New Roman"/>
          <w:sz w:val="26"/>
        </w:rPr>
        <w:t xml:space="preserve"> </w:t>
      </w:r>
      <w:r>
        <w:rPr>
          <w:rFonts w:ascii="Times New Roman" w:hAnsi="Times New Roman" w:eastAsia="Times New Roman"/>
          <w:b/>
          <w:bCs/>
          <w:sz w:val="26"/>
        </w:rPr>
        <w:t xml:space="preserve">kỳ vọng</w:t>
      </w:r>
      <w:r>
        <w:rPr>
          <w:rFonts w:ascii="Times New Roman" w:hAnsi="Times New Roman" w:eastAsia="Times New Roman"/>
          <w:sz w:val="26"/>
        </w:rPr>
        <w:t xml:space="preserve"> </w:t>
      </w:r>
      <w:r>
        <w:rPr>
          <w:rFonts w:ascii="Times New Roman" w:hAnsi="Times New Roman" w:eastAsia="Times New Roman"/>
          <w:sz w:val="26"/>
        </w:rPr>
        <w:t xml:space="preserve">hay giá trị trung bình. Kỳ vọng của tỷ lệ sinh lời phản ánh mức sinh lời trung tâm mà nhà đầu tư có thể kỳ vọng trong một khoảng thời gian xác định:</w:t>
      </w:r>
    </w:p>
    <w:p>
      <w:pPr>
        <w:pStyle w:val="BodyText"/>
      </w:pPr>
      <m:oMathPara>
        <m:oMathParaPr>
          <m:jc m:val="center"/>
        </m:oMathParaPr>
        <m:oMath>
          <m:r>
            <m:t>μ</m:t>
          </m:r>
          <m:r>
            <m:rPr>
              <m:sty m:val="p"/>
            </m:rPr>
            <m:t>=</m:t>
          </m:r>
          <m:r>
            <m:t>E</m:t>
          </m:r>
          <m:r>
            <m:rPr>
              <m:sty m:val="p"/>
            </m:rPr>
            <m:t>(</m:t>
          </m:r>
          <m:sSub>
            <m:e>
              <m:r>
                <m:t>r</m:t>
              </m:r>
            </m:e>
            <m:sub>
              <m:r>
                <m:t>t</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thực nghiệm, với mẫu gồm (T) quan sát, trung bình mẫu được ước lượng bởi:</w:t>
      </w:r>
    </w:p>
    <w:p>
      <w:pPr>
        <w:pStyle w:val="BodyText"/>
      </w:pPr>
      <m:oMathPara>
        <m:oMathParaPr>
          <m:jc m:val="center"/>
        </m:oMathParaPr>
        <m:oMath>
          <m:acc>
            <m:accPr>
              <m:chr m:val="‾"/>
            </m:accPr>
            <m:e>
              <m:r>
                <m:t>r</m:t>
              </m:r>
            </m:e>
          </m:acc>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r</m:t>
                  </m:r>
                </m:e>
                <m:sub>
                  <m:r>
                    <m:t>t</m:t>
                  </m:r>
                </m:sub>
              </m:sSub>
            </m:e>
          </m:nary>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Về mặt kinh tế, (</w:t>
      </w:r>
      <m:oMath>
        <m:acc>
          <m:accPr>
            <m:chr m:val="‾"/>
          </m:accPr>
          <m:e>
            <m:r>
              <m:t>r</m:t>
            </m:r>
          </m:e>
        </m:acc>
      </m:oMath>
      <w:r>
        <w:rPr>
          <w:rFonts w:ascii="Times New Roman" w:hAnsi="Times New Roman" w:eastAsia="Times New Roman"/>
          <w:sz w:val="26"/>
        </w:rPr>
        <w:t xml:space="preserve">) phản ánh xu hướng sinh lời trung bình của tài sản hoặc chỉ số thị trường trong giai đoạn nghiên cứu. Tuy nhiên, với dữ liệu chứng khoán tần suất ngày, giá trị trung bình thường rất nhỏ so với mức độ dao động của chuỗi. Do đó, trong quản trị rủi ro, câu hỏi quan trọng thường không phải là “tỷ lệ sinh lời trung bình là bao nhiêu”, mà là “tỷ lệ sinh lời có thể dao động bất lợi đến mức nào quanh giá trị trung bình đó”.</w:t>
      </w:r>
    </w:p>
    <w:p>
      <w:pPr>
        <w:pStyle w:val="BodyText"/>
        <w:spacing w:before="60" w:after="60" w:line="276" w:lineRule="auto"/>
        <w:ind w:firstLine="567"/>
        <w:jc w:val="both"/>
      </w:pPr>
      <w:r>
        <w:rPr>
          <w:rFonts w:ascii="Times New Roman" w:hAnsi="Times New Roman" w:eastAsia="Times New Roman"/>
          <w:sz w:val="26"/>
        </w:rPr>
        <w:t xml:space="preserve">Đặc trưng thứ hai là</w:t>
      </w:r>
      <w:r>
        <w:rPr>
          <w:rFonts w:ascii="Times New Roman" w:hAnsi="Times New Roman" w:eastAsia="Times New Roman"/>
          <w:sz w:val="26"/>
        </w:rPr>
        <w:t xml:space="preserve"> </w:t>
      </w:r>
      <w:r>
        <w:rPr>
          <w:rFonts w:ascii="Times New Roman" w:hAnsi="Times New Roman" w:eastAsia="Times New Roman"/>
          <w:b/>
          <w:bCs/>
          <w:sz w:val="26"/>
        </w:rPr>
        <w:t xml:space="preserve">phương sai</w:t>
      </w:r>
      <w:r>
        <w:rPr>
          <w:rFonts w:ascii="Times New Roman" w:hAnsi="Times New Roman" w:eastAsia="Times New Roman"/>
          <w:sz w:val="26"/>
        </w:rPr>
        <w:t xml:space="preserve">, phản ánh mức độ phân tán của tỷ lệ sinh lời quanh kỳ vọng:</w:t>
      </w:r>
    </w:p>
    <w:p>
      <w:pPr>
        <w:pStyle w:val="BodyText"/>
      </w:pPr>
      <m:oMathPara>
        <m:oMathParaPr>
          <m:jc m:val="center"/>
        </m:oMathParaPr>
        <m:oMath>
          <m:r>
            <m:t>V</m:t>
          </m:r>
          <m:r>
            <m:t>a</m:t>
          </m:r>
          <m:r>
            <m:t>r</m:t>
          </m:r>
          <m:r>
            <m:rPr>
              <m:sty m:val="p"/>
            </m:rPr>
            <m:t>(</m:t>
          </m:r>
          <m:sSub>
            <m:e>
              <m:r>
                <m:t>r</m:t>
              </m:r>
            </m:e>
            <m:sub>
              <m:r>
                <m:t>t</m:t>
              </m:r>
            </m:sub>
          </m:sSub>
          <m:r>
            <m:rPr>
              <m:sty m:val="p"/>
            </m:rPr>
            <m:t>)</m:t>
          </m:r>
          <m:r>
            <m:rPr>
              <m:sty m:val="p"/>
            </m:rPr>
            <m:t>=</m:t>
          </m:r>
          <m:r>
            <m:t>E</m:t>
          </m:r>
          <m:r>
            <m:rPr>
              <m:sty m:val="p"/>
            </m:rPr>
            <m:t>[</m:t>
          </m:r>
          <m:r>
            <m:rPr>
              <m:sty m:val="p"/>
            </m:rPr>
            <m:t>(</m:t>
          </m:r>
          <m:sSub>
            <m:e>
              <m:r>
                <m:t>r</m:t>
              </m:r>
            </m:e>
            <m:sub>
              <m:r>
                <m:t>t</m:t>
              </m:r>
            </m:sub>
          </m:sSub>
          <m:r>
            <m:rPr>
              <m:sty m:val="p"/>
            </m:rPr>
            <m:t>−</m:t>
          </m:r>
          <m:r>
            <m:t>μ</m:t>
          </m:r>
          <m:sSup>
            <m:e>
              <m:r>
                <m:rPr>
                  <m:sty m:val="p"/>
                </m:rPr>
                <m:t>)</m:t>
              </m:r>
            </m:e>
            <m:sup>
              <m:r>
                <m:t>2</m:t>
              </m:r>
            </m:sup>
          </m:sSup>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Căn bậc hai của phương sai là</w:t>
      </w:r>
      <w:r>
        <w:rPr>
          <w:rFonts w:ascii="Times New Roman" w:hAnsi="Times New Roman" w:eastAsia="Times New Roman"/>
          <w:sz w:val="26"/>
        </w:rPr>
        <w:t xml:space="preserve"> </w:t>
      </w:r>
      <w:r>
        <w:rPr>
          <w:rFonts w:ascii="Times New Roman" w:hAnsi="Times New Roman" w:eastAsia="Times New Roman"/>
          <w:b/>
          <w:bCs/>
          <w:sz w:val="26"/>
        </w:rPr>
        <w:t xml:space="preserve">độ lệch chuẩn</w:t>
      </w:r>
      <w:r>
        <w:rPr>
          <w:rFonts w:ascii="Times New Roman" w:hAnsi="Times New Roman" w:eastAsia="Times New Roman"/>
          <w:sz w:val="26"/>
        </w:rPr>
        <w:t xml:space="preserve">:</w:t>
      </w:r>
    </w:p>
    <w:p>
      <w:pPr>
        <w:pStyle w:val="BodyText"/>
      </w:pPr>
      <m:oMathPara>
        <m:oMathParaPr>
          <m:jc m:val="center"/>
        </m:oMathParaPr>
        <m:oMath>
          <m:r>
            <m:t>σ</m:t>
          </m:r>
          <m:r>
            <m:rPr>
              <m:sty m:val="p"/>
            </m:rPr>
            <m:t>=</m:t>
          </m:r>
          <m:rad>
            <m:radPr>
              <m:degHide m:val="on"/>
            </m:radPr>
            <m:deg/>
            <m:e>
              <m:r>
                <m:t>V</m:t>
              </m:r>
              <m:r>
                <m:t>a</m:t>
              </m:r>
              <m:r>
                <m:t>r</m:t>
              </m:r>
              <m:r>
                <m:rPr>
                  <m:sty m:val="p"/>
                </m:rPr>
                <m:t>(</m:t>
              </m:r>
              <m:sSub>
                <m:e>
                  <m:r>
                    <m:t>r</m:t>
                  </m:r>
                </m:e>
                <m:sub>
                  <m:r>
                    <m:t>t</m:t>
                  </m:r>
                </m:sub>
              </m:sSub>
              <m:r>
                <m:rPr>
                  <m:sty m:val="p"/>
                </m:rPr>
                <m:t>)</m:t>
              </m:r>
            </m:e>
          </m:ra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tài chính, độ lệch chuẩn của tỷ lệ sinh lời thường được dùng như một thước đo cơ bản của</w:t>
      </w:r>
      <w:r>
        <w:rPr>
          <w:rFonts w:ascii="Times New Roman" w:hAnsi="Times New Roman" w:eastAsia="Times New Roman"/>
          <w:sz w:val="26"/>
        </w:rPr>
        <w:t xml:space="preserve"> </w:t>
      </w:r>
      <w:r>
        <w:rPr>
          <w:rFonts w:ascii="Times New Roman" w:hAnsi="Times New Roman" w:eastAsia="Times New Roman"/>
          <w:b/>
          <w:bCs/>
          <w:sz w:val="26"/>
        </w:rPr>
        <w:t xml:space="preserve">biến động</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volatility</w:t>
      </w:r>
      <w:r>
        <w:rPr>
          <w:rFonts w:ascii="Times New Roman" w:hAnsi="Times New Roman" w:eastAsia="Times New Roman"/>
          <w:sz w:val="26"/>
        </w:rPr>
        <w:t xml:space="preserve">). Nếu (</w:t>
      </w:r>
      <m:oMath>
        <m:r>
          <m:t>σ</m:t>
        </m:r>
      </m:oMath>
      <w:r>
        <w:rPr>
          <w:rFonts w:ascii="Times New Roman" w:hAnsi="Times New Roman" w:eastAsia="Times New Roman"/>
          <w:sz w:val="26"/>
        </w:rPr>
        <w:t xml:space="preserve">) lớn, tỷ lệ sinh lời dao động mạnh quanh giá trị trung bình; nếu</w:t>
      </w:r>
      <w:r>
        <w:rPr>
          <w:rFonts w:ascii="Times New Roman" w:hAnsi="Times New Roman" w:eastAsia="Times New Roman"/>
          <w:sz w:val="26"/>
        </w:rPr>
        <w:t xml:space="preserve"> </w:t>
      </w:r>
      <m:oMath>
        <m:r>
          <m:rPr>
            <m:sty m:val="p"/>
          </m:rPr>
          <m:t>(</m:t>
        </m:r>
        <m:r>
          <m:t>σ</m:t>
        </m:r>
      </m:oMath>
      <w:r>
        <w:rPr>
          <w:rFonts w:ascii="Times New Roman" w:hAnsi="Times New Roman" w:eastAsia="Times New Roman"/>
          <w:sz w:val="26"/>
        </w:rPr>
        <w:t xml:space="preserve">) nhỏ, chuỗi ổn định hơn. Trong thực nghiệm, phương sai mẫu và độ lệch chuẩn mẫu được tính như sau:</w:t>
      </w:r>
    </w:p>
    <w:p>
      <w:pPr>
        <w:pStyle w:val="BodyText"/>
      </w:pPr>
      <m:oMathPara>
        <m:oMathParaPr>
          <m:jc m:val="center"/>
        </m:oMathParaPr>
        <m:oMath>
          <m:sSup>
            <m:e>
              <m:r>
                <m:t>s</m:t>
              </m:r>
            </m:e>
            <m:sup>
              <m:r>
                <m:t>2</m:t>
              </m:r>
            </m:sup>
          </m:sSup>
          <m:r>
            <m:rPr>
              <m:sty m:val="p"/>
            </m:rPr>
            <m:t>=</m:t>
          </m:r>
          <m:f>
            <m:fPr>
              <m:type m:val="bar"/>
            </m:fPr>
            <m:num>
              <m:r>
                <m:t>1</m:t>
              </m:r>
            </m:num>
            <m:den>
              <m:r>
                <m:t>T</m:t>
              </m:r>
              <m:r>
                <m:rPr>
                  <m:sty m:val="p"/>
                </m:rPr>
                <m:t>−</m:t>
              </m:r>
              <m:r>
                <m:t>1</m:t>
              </m:r>
            </m:den>
          </m:f>
          <m:nary>
            <m:naryPr>
              <m:chr m:val="∑"/>
              <m:limLoc m:val="undOvr"/>
              <m:subHide m:val="off"/>
              <m:supHide m:val="off"/>
            </m:naryPr>
            <m:sub>
              <m:r>
                <m:t>t</m:t>
              </m:r>
              <m:r>
                <m:rPr>
                  <m:sty m:val="p"/>
                </m:rPr>
                <m:t>=</m:t>
              </m:r>
              <m:r>
                <m:t>1</m:t>
              </m:r>
            </m:sub>
            <m:sup>
              <m:r>
                <m:t>T</m:t>
              </m:r>
            </m:sup>
            <m:e>
              <m:r>
                <m:rPr>
                  <m:sty m:val="p"/>
                </m:rPr>
                <m:t>(</m:t>
              </m:r>
            </m:e>
          </m:nary>
          <m:sSub>
            <m:e>
              <m:r>
                <m:t>r</m:t>
              </m:r>
            </m:e>
            <m:sub>
              <m:r>
                <m:t>t</m:t>
              </m:r>
            </m:sub>
          </m:sSub>
          <m:r>
            <m:rPr>
              <m:sty m:val="p"/>
            </m:rPr>
            <m:t>−</m:t>
          </m:r>
          <m:acc>
            <m:accPr>
              <m:chr m:val="‾"/>
            </m:accPr>
            <m:e>
              <m:r>
                <m:t>r</m:t>
              </m:r>
            </m:e>
          </m:acc>
          <m:sSup>
            <m:e>
              <m:r>
                <m:rPr>
                  <m:sty m:val="p"/>
                </m:rPr>
                <m:t>)</m:t>
              </m:r>
            </m:e>
            <m:sup>
              <m:r>
                <m:t>2</m:t>
              </m:r>
            </m:sup>
          </m:sSup>
          <m:r>
            <m:rPr>
              <m:sty m:val="p"/>
            </m:rPr>
            <m:t>,</m:t>
          </m:r>
        </m:oMath>
      </m:oMathPara>
    </w:p>
    <w:p>
      <w:pPr>
        <w:pStyle w:val="FirstParagraph"/>
      </w:pPr>
      <m:oMathPara>
        <m:oMathParaPr>
          <m:jc m:val="center"/>
        </m:oMathParaPr>
        <m:oMath>
          <m:r>
            <m:t>s</m:t>
          </m:r>
          <m:r>
            <m:rPr>
              <m:sty m:val="p"/>
            </m:rPr>
            <m:t>=</m:t>
          </m:r>
          <m:rad>
            <m:radPr>
              <m:degHide m:val="on"/>
            </m:radPr>
            <m:deg/>
            <m:e>
              <m:f>
                <m:fPr>
                  <m:type m:val="bar"/>
                </m:fPr>
                <m:num>
                  <m:r>
                    <m:t>1</m:t>
                  </m:r>
                </m:num>
                <m:den>
                  <m:r>
                    <m:t>T</m:t>
                  </m:r>
                  <m:r>
                    <m:rPr>
                      <m:sty m:val="p"/>
                    </m:rPr>
                    <m:t>−</m:t>
                  </m:r>
                  <m:r>
                    <m:t>1</m:t>
                  </m:r>
                </m:den>
              </m:f>
              <m:nary>
                <m:naryPr>
                  <m:chr m:val="∑"/>
                  <m:limLoc m:val="undOvr"/>
                  <m:subHide m:val="off"/>
                  <m:supHide m:val="off"/>
                </m:naryPr>
                <m:sub>
                  <m:r>
                    <m:t>t</m:t>
                  </m:r>
                  <m:r>
                    <m:rPr>
                      <m:sty m:val="p"/>
                    </m:rPr>
                    <m:t>=</m:t>
                  </m:r>
                  <m:r>
                    <m:t>1</m:t>
                  </m:r>
                </m:sub>
                <m:sup>
                  <m:r>
                    <m:t>T</m:t>
                  </m:r>
                </m:sup>
                <m:e>
                  <m:r>
                    <m:rPr>
                      <m:sty m:val="p"/>
                    </m:rPr>
                    <m:t>(</m:t>
                  </m:r>
                </m:e>
              </m:nary>
              <m:sSub>
                <m:e>
                  <m:r>
                    <m:t>r</m:t>
                  </m:r>
                </m:e>
                <m:sub>
                  <m:r>
                    <m:t>t</m:t>
                  </m:r>
                </m:sub>
              </m:sSub>
              <m:r>
                <m:rPr>
                  <m:sty m:val="p"/>
                </m:rPr>
                <m:t>−</m:t>
              </m:r>
              <m:acc>
                <m:accPr>
                  <m:chr m:val="‾"/>
                </m:accPr>
                <m:e>
                  <m:r>
                    <m:t>r</m:t>
                  </m:r>
                </m:e>
              </m:acc>
              <m:sSup>
                <m:e>
                  <m:r>
                    <m:rPr>
                      <m:sty m:val="p"/>
                    </m:rPr>
                    <m:t>)</m:t>
                  </m:r>
                </m:e>
                <m:sup>
                  <m:r>
                    <m:t>2</m:t>
                  </m:r>
                </m:sup>
              </m:sSup>
            </m:e>
          </m:ra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Cần lưu ý rằng độ lệch chuẩn chỉ là cách đo biến động đơn giản nhất. Nó giả định mức biến động được tóm tắt bằng một con số cố định cho toàn bộ giai đoạn quan sát. Trong thực tế, biến động của thị trường thường thay đổi theo thời gian. Vì vậy, độ lệch chuẩn mẫu là điểm khởi đầu hữu ích, nhưng chưa đủ để phản ánh đầy đủ rủi ro động của thị trường.</w:t>
      </w:r>
    </w:p>
    <w:p>
      <w:pPr>
        <w:pStyle w:val="BodyText"/>
        <w:spacing w:before="60" w:after="60" w:line="276" w:lineRule="auto"/>
        <w:ind w:firstLine="567"/>
        <w:jc w:val="both"/>
      </w:pPr>
      <w:r>
        <w:rPr>
          <w:rFonts w:ascii="Times New Roman" w:hAnsi="Times New Roman" w:eastAsia="Times New Roman"/>
          <w:sz w:val="26"/>
        </w:rPr>
        <w:t xml:space="preserve">Đặc trưng thứ ba là</w:t>
      </w:r>
      <w:r>
        <w:rPr>
          <w:rFonts w:ascii="Times New Roman" w:hAnsi="Times New Roman" w:eastAsia="Times New Roman"/>
          <w:sz w:val="26"/>
        </w:rPr>
        <w:t xml:space="preserve"> </w:t>
      </w:r>
      <w:r>
        <w:rPr>
          <w:rFonts w:ascii="Times New Roman" w:hAnsi="Times New Roman" w:eastAsia="Times New Roman"/>
          <w:b/>
          <w:bCs/>
          <w:sz w:val="26"/>
        </w:rPr>
        <w:t xml:space="preserve">độ lệch</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skewness</w:t>
      </w:r>
      <w:r>
        <w:rPr>
          <w:rFonts w:ascii="Times New Roman" w:hAnsi="Times New Roman" w:eastAsia="Times New Roman"/>
          <w:sz w:val="26"/>
        </w:rPr>
        <w:t xml:space="preserve">), phản ánh mức độ bất đối xứng của phân phối quanh giá trị trung tâm:</w:t>
      </w:r>
    </w:p>
    <w:p>
      <w:pPr>
        <w:pStyle w:val="BodyText"/>
      </w:pPr>
      <m:oMathPara>
        <m:oMathParaPr>
          <m:jc m:val="center"/>
        </m:oMathParaPr>
        <m:oMath>
          <m:r>
            <m:t>S</m:t>
          </m:r>
          <m:r>
            <m:t>k</m:t>
          </m:r>
          <m:r>
            <m:t>e</m:t>
          </m:r>
          <m:r>
            <m:t>w</m:t>
          </m:r>
          <m:r>
            <m:t>n</m:t>
          </m:r>
          <m:r>
            <m:t>e</m:t>
          </m:r>
          <m:r>
            <m:t>s</m:t>
          </m:r>
          <m:r>
            <m:t>s</m:t>
          </m:r>
          <m:r>
            <m:rPr>
              <m:sty m:val="p"/>
            </m:rPr>
            <m:t>=</m:t>
          </m:r>
          <m:f>
            <m:fPr>
              <m:type m:val="bar"/>
            </m:fPr>
            <m:num>
              <m:r>
                <m:t>E</m:t>
              </m:r>
              <m:r>
                <m:rPr>
                  <m:sty m:val="p"/>
                </m:rPr>
                <m:t>[</m:t>
              </m:r>
              <m:r>
                <m:rPr>
                  <m:sty m:val="p"/>
                </m:rPr>
                <m:t>(</m:t>
              </m:r>
              <m:sSub>
                <m:e>
                  <m:r>
                    <m:t>r</m:t>
                  </m:r>
                </m:e>
                <m:sub>
                  <m:r>
                    <m:t>t</m:t>
                  </m:r>
                </m:sub>
              </m:sSub>
              <m:r>
                <m:rPr>
                  <m:sty m:val="p"/>
                </m:rPr>
                <m:t>−</m:t>
              </m:r>
              <m:r>
                <m:t>μ</m:t>
              </m:r>
              <m:sSup>
                <m:e>
                  <m:r>
                    <m:rPr>
                      <m:sty m:val="p"/>
                    </m:rPr>
                    <m:t>)</m:t>
                  </m:r>
                </m:e>
                <m:sup>
                  <m:r>
                    <m:t>3</m:t>
                  </m:r>
                </m:sup>
              </m:sSup>
              <m:r>
                <m:rPr>
                  <m:sty m:val="p"/>
                </m:rPr>
                <m:t>]</m:t>
              </m:r>
            </m:num>
            <m:den>
              <m:sSup>
                <m:e>
                  <m:r>
                    <m:t>σ</m:t>
                  </m:r>
                </m:e>
                <m:sup>
                  <m:r>
                    <m:t>3</m:t>
                  </m:r>
                </m:sup>
              </m:sSup>
            </m:den>
          </m:f>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thực nghiệm, độ lệch mẫu có thể được tính xấp xỉ bởi:</w:t>
      </w:r>
    </w:p>
    <w:p>
      <w:pPr>
        <w:pStyle w:val="BodyText"/>
      </w:pPr>
      <m:oMathPara>
        <m:oMathParaPr>
          <m:jc m:val="center"/>
        </m:oMathParaPr>
        <m:oMath>
          <m:r>
            <m:t>S</m:t>
          </m:r>
          <m:r>
            <m:t>k</m:t>
          </m:r>
          <m:r>
            <m:t>e</m:t>
          </m:r>
          <m:r>
            <m:t>w</m:t>
          </m:r>
          <m:r>
            <m:t>n</m:t>
          </m:r>
          <m:r>
            <m:t>e</m:t>
          </m:r>
          <m:r>
            <m:t>s</m:t>
          </m:r>
          <m:r>
            <m:t>s</m:t>
          </m:r>
          <m:r>
            <m:rPr>
              <m:sty m:val="p"/>
            </m:rPr>
            <m:t>=</m:t>
          </m:r>
          <m:f>
            <m:fPr>
              <m:type m:val="bar"/>
            </m:fPr>
            <m:num>
              <m:f>
                <m:fPr>
                  <m:type m:val="bar"/>
                </m:fPr>
                <m:num>
                  <m:r>
                    <m:t>1</m:t>
                  </m:r>
                </m:num>
                <m:den>
                  <m:r>
                    <m:t>T</m:t>
                  </m:r>
                </m:den>
              </m:f>
              <m:nary>
                <m:naryPr>
                  <m:chr m:val="∑"/>
                  <m:limLoc m:val="undOvr"/>
                  <m:subHide m:val="off"/>
                  <m:supHide m:val="off"/>
                </m:naryPr>
                <m:sub>
                  <m:r>
                    <m:t>t</m:t>
                  </m:r>
                  <m:r>
                    <m:rPr>
                      <m:sty m:val="p"/>
                    </m:rPr>
                    <m:t>=</m:t>
                  </m:r>
                  <m:r>
                    <m:t>1</m:t>
                  </m:r>
                </m:sub>
                <m:sup>
                  <m:r>
                    <m:t>T</m:t>
                  </m:r>
                </m:sup>
                <m:e>
                  <m:r>
                    <m:rPr>
                      <m:sty m:val="p"/>
                    </m:rPr>
                    <m:t>(</m:t>
                  </m:r>
                </m:e>
              </m:nary>
              <m:sSub>
                <m:e>
                  <m:r>
                    <m:t>r</m:t>
                  </m:r>
                </m:e>
                <m:sub>
                  <m:r>
                    <m:t>t</m:t>
                  </m:r>
                </m:sub>
              </m:sSub>
              <m:r>
                <m:rPr>
                  <m:sty m:val="p"/>
                </m:rPr>
                <m:t>−</m:t>
              </m:r>
              <m:acc>
                <m:accPr>
                  <m:chr m:val="‾"/>
                </m:accPr>
                <m:e>
                  <m:r>
                    <m:t>r</m:t>
                  </m:r>
                </m:e>
              </m:acc>
              <m:sSup>
                <m:e>
                  <m:r>
                    <m:rPr>
                      <m:sty m:val="p"/>
                    </m:rPr>
                    <m:t>)</m:t>
                  </m:r>
                </m:e>
                <m:sup>
                  <m:r>
                    <m:t>3</m:t>
                  </m:r>
                </m:sup>
              </m:sSup>
            </m:num>
            <m:den>
              <m:sSup>
                <m:e>
                  <m:d>
                    <m:dPr>
                      <m:begChr m:val="["/>
                      <m:sepChr m:val=""/>
                      <m:endChr m:val="]"/>
                      <m:grow/>
                    </m:dPr>
                    <m:e>
                      <m:f>
                        <m:fPr>
                          <m:type m:val="bar"/>
                        </m:fPr>
                        <m:num>
                          <m:r>
                            <m:t>1</m:t>
                          </m:r>
                        </m:num>
                        <m:den>
                          <m:r>
                            <m:t>T</m:t>
                          </m:r>
                        </m:den>
                      </m:f>
                      <m:nary>
                        <m:naryPr>
                          <m:chr m:val="∑"/>
                          <m:limLoc m:val="undOvr"/>
                          <m:subHide m:val="off"/>
                          <m:supHide m:val="off"/>
                        </m:naryPr>
                        <m:sub>
                          <m:r>
                            <m:t>t</m:t>
                          </m:r>
                          <m:r>
                            <m:rPr>
                              <m:sty m:val="p"/>
                            </m:rPr>
                            <m:t>=</m:t>
                          </m:r>
                          <m:r>
                            <m:t>1</m:t>
                          </m:r>
                        </m:sub>
                        <m:sup>
                          <m:r>
                            <m:t>T</m:t>
                          </m:r>
                        </m:sup>
                        <m:e>
                          <m:r>
                            <m:rPr>
                              <m:sty m:val="p"/>
                            </m:rPr>
                            <m:t>(</m:t>
                          </m:r>
                        </m:e>
                      </m:nary>
                      <m:sSub>
                        <m:e>
                          <m:r>
                            <m:t>r</m:t>
                          </m:r>
                        </m:e>
                        <m:sub>
                          <m:r>
                            <m:t>t</m:t>
                          </m:r>
                        </m:sub>
                      </m:sSub>
                      <m:r>
                        <m:rPr>
                          <m:sty m:val="p"/>
                        </m:rPr>
                        <m:t>−</m:t>
                      </m:r>
                      <m:acc>
                        <m:accPr>
                          <m:chr m:val="‾"/>
                        </m:accPr>
                        <m:e>
                          <m:r>
                            <m:t>r</m:t>
                          </m:r>
                        </m:e>
                      </m:acc>
                      <m:sSup>
                        <m:e>
                          <m:r>
                            <m:rPr>
                              <m:sty m:val="p"/>
                            </m:rPr>
                            <m:t>)</m:t>
                          </m:r>
                        </m:e>
                        <m:sup>
                          <m:r>
                            <m:t>2</m:t>
                          </m:r>
                        </m:sup>
                      </m:sSup>
                    </m:e>
                  </m:d>
                </m:e>
                <m:sup>
                  <m:r>
                    <m:t>3</m:t>
                  </m:r>
                  <m:r>
                    <m:rPr>
                      <m:sty m:val="p"/>
                    </m:rPr>
                    <m:t>/</m:t>
                  </m:r>
                  <m:r>
                    <m:t>2</m:t>
                  </m:r>
                </m:sup>
              </m:sSup>
            </m:den>
          </m:f>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độ lệch bằng 0, phân phối được xem là đối xứng quanh trung tâm. Nếu độ lệch âm, phân phối lệch trái, tức là phần đuôi bên trái dài hơn hoặc dày hơn; nếu độ lệch dương, phân phối lệch phải. Trong bối cảnh thị trường chứng khoán, độ lệch âm có ý nghĩa đặc biệt quan trọng vì nó hàm ý rằng các khoản lỗ lớn có thể xuất hiện với xác suất đáng kể hơn so với các khoản lãi lớn cùng độ lớn tuyệt đối. Đây là đặc điểm liên quan trực tiếp đến đo lường VaR và rủi ro đuôi trái.</w:t>
      </w:r>
    </w:p>
    <w:p>
      <w:pPr>
        <w:pStyle w:val="BodyText"/>
        <w:spacing w:before="60" w:after="60" w:line="276" w:lineRule="auto"/>
        <w:ind w:firstLine="567"/>
        <w:jc w:val="both"/>
      </w:pPr>
      <w:r>
        <w:rPr>
          <w:rFonts w:ascii="Times New Roman" w:hAnsi="Times New Roman" w:eastAsia="Times New Roman"/>
          <w:sz w:val="26"/>
        </w:rPr>
        <w:t xml:space="preserve">Đặc trưng thứ tư là</w:t>
      </w:r>
      <w:r>
        <w:rPr>
          <w:rFonts w:ascii="Times New Roman" w:hAnsi="Times New Roman" w:eastAsia="Times New Roman"/>
          <w:sz w:val="26"/>
        </w:rPr>
        <w:t xml:space="preserve"> </w:t>
      </w:r>
      <w:r>
        <w:rPr>
          <w:rFonts w:ascii="Times New Roman" w:hAnsi="Times New Roman" w:eastAsia="Times New Roman"/>
          <w:b/>
          <w:bCs/>
          <w:sz w:val="26"/>
        </w:rPr>
        <w:t xml:space="preserve">độ nhọn</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kurtosis</w:t>
      </w:r>
      <w:r>
        <w:rPr>
          <w:rFonts w:ascii="Times New Roman" w:hAnsi="Times New Roman" w:eastAsia="Times New Roman"/>
          <w:sz w:val="26"/>
        </w:rPr>
        <w:t xml:space="preserve">), phản ánh mức độ tập trung của phân phối quanh trung tâm và độ dày của hai đuôi phân phối:</w:t>
      </w:r>
    </w:p>
    <w:p>
      <w:pPr>
        <w:pStyle w:val="BodyText"/>
      </w:pPr>
      <m:oMathPara>
        <m:oMathParaPr>
          <m:jc m:val="center"/>
        </m:oMathParaPr>
        <m:oMath>
          <m:r>
            <m:t>K</m:t>
          </m:r>
          <m:r>
            <m:t>u</m:t>
          </m:r>
          <m:r>
            <m:t>r</m:t>
          </m:r>
          <m:r>
            <m:t>t</m:t>
          </m:r>
          <m:r>
            <m:t>o</m:t>
          </m:r>
          <m:r>
            <m:t>s</m:t>
          </m:r>
          <m:r>
            <m:t>i</m:t>
          </m:r>
          <m:r>
            <m:t>s</m:t>
          </m:r>
          <m:r>
            <m:rPr>
              <m:sty m:val="p"/>
            </m:rPr>
            <m:t>=</m:t>
          </m:r>
          <m:f>
            <m:fPr>
              <m:type m:val="bar"/>
            </m:fPr>
            <m:num>
              <m:r>
                <m:t>E</m:t>
              </m:r>
              <m:r>
                <m:rPr>
                  <m:sty m:val="p"/>
                </m:rPr>
                <m:t>[</m:t>
              </m:r>
              <m:r>
                <m:rPr>
                  <m:sty m:val="p"/>
                </m:rPr>
                <m:t>(</m:t>
              </m:r>
              <m:sSub>
                <m:e>
                  <m:r>
                    <m:t>r</m:t>
                  </m:r>
                </m:e>
                <m:sub>
                  <m:r>
                    <m:t>t</m:t>
                  </m:r>
                </m:sub>
              </m:sSub>
              <m:r>
                <m:rPr>
                  <m:sty m:val="p"/>
                </m:rPr>
                <m:t>−</m:t>
              </m:r>
              <m:r>
                <m:t>μ</m:t>
              </m:r>
              <m:sSup>
                <m:e>
                  <m:r>
                    <m:rPr>
                      <m:sty m:val="p"/>
                    </m:rPr>
                    <m:t>)</m:t>
                  </m:r>
                </m:e>
                <m:sup>
                  <m:r>
                    <m:t>4</m:t>
                  </m:r>
                </m:sup>
              </m:sSup>
              <m:r>
                <m:rPr>
                  <m:sty m:val="p"/>
                </m:rPr>
                <m:t>]</m:t>
              </m:r>
            </m:num>
            <m:den>
              <m:sSup>
                <m:e>
                  <m:r>
                    <m:t>σ</m:t>
                  </m:r>
                </m:e>
                <m:sup>
                  <m:r>
                    <m:t>4</m:t>
                  </m:r>
                </m:sup>
              </m:sSup>
            </m:den>
          </m:f>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thực nghiệm, độ nhọn mẫu được tính như sau:</w:t>
      </w:r>
    </w:p>
    <w:p>
      <w:pPr>
        <w:pStyle w:val="BodyText"/>
      </w:pPr>
      <m:oMathPara>
        <m:oMathParaPr>
          <m:jc m:val="center"/>
        </m:oMathParaPr>
        <m:oMath>
          <m:r>
            <m:t>K</m:t>
          </m:r>
          <m:r>
            <m:t>u</m:t>
          </m:r>
          <m:r>
            <m:t>r</m:t>
          </m:r>
          <m:r>
            <m:t>t</m:t>
          </m:r>
          <m:r>
            <m:t>o</m:t>
          </m:r>
          <m:r>
            <m:t>s</m:t>
          </m:r>
          <m:r>
            <m:t>i</m:t>
          </m:r>
          <m:r>
            <m:t>s</m:t>
          </m:r>
          <m:r>
            <m:rPr>
              <m:sty m:val="p"/>
            </m:rPr>
            <m:t>=</m:t>
          </m:r>
          <m:f>
            <m:fPr>
              <m:type m:val="bar"/>
            </m:fPr>
            <m:num>
              <m:f>
                <m:fPr>
                  <m:type m:val="bar"/>
                </m:fPr>
                <m:num>
                  <m:r>
                    <m:t>1</m:t>
                  </m:r>
                </m:num>
                <m:den>
                  <m:r>
                    <m:t>T</m:t>
                  </m:r>
                </m:den>
              </m:f>
              <m:nary>
                <m:naryPr>
                  <m:chr m:val="∑"/>
                  <m:limLoc m:val="undOvr"/>
                  <m:subHide m:val="off"/>
                  <m:supHide m:val="off"/>
                </m:naryPr>
                <m:sub>
                  <m:r>
                    <m:t>t</m:t>
                  </m:r>
                  <m:r>
                    <m:rPr>
                      <m:sty m:val="p"/>
                    </m:rPr>
                    <m:t>=</m:t>
                  </m:r>
                  <m:r>
                    <m:t>1</m:t>
                  </m:r>
                </m:sub>
                <m:sup>
                  <m:r>
                    <m:t>T</m:t>
                  </m:r>
                </m:sup>
                <m:e>
                  <m:r>
                    <m:rPr>
                      <m:sty m:val="p"/>
                    </m:rPr>
                    <m:t>(</m:t>
                  </m:r>
                </m:e>
              </m:nary>
              <m:sSub>
                <m:e>
                  <m:r>
                    <m:t>r</m:t>
                  </m:r>
                </m:e>
                <m:sub>
                  <m:r>
                    <m:t>t</m:t>
                  </m:r>
                </m:sub>
              </m:sSub>
              <m:r>
                <m:rPr>
                  <m:sty m:val="p"/>
                </m:rPr>
                <m:t>−</m:t>
              </m:r>
              <m:acc>
                <m:accPr>
                  <m:chr m:val="‾"/>
                </m:accPr>
                <m:e>
                  <m:r>
                    <m:t>r</m:t>
                  </m:r>
                </m:e>
              </m:acc>
              <m:sSup>
                <m:e>
                  <m:r>
                    <m:rPr>
                      <m:sty m:val="p"/>
                    </m:rPr>
                    <m:t>)</m:t>
                  </m:r>
                </m:e>
                <m:sup>
                  <m:r>
                    <m:t>4</m:t>
                  </m:r>
                </m:sup>
              </m:sSup>
            </m:num>
            <m:den>
              <m:sSup>
                <m:e>
                  <m:d>
                    <m:dPr>
                      <m:begChr m:val="["/>
                      <m:sepChr m:val=""/>
                      <m:endChr m:val="]"/>
                      <m:grow/>
                    </m:dPr>
                    <m:e>
                      <m:f>
                        <m:fPr>
                          <m:type m:val="bar"/>
                        </m:fPr>
                        <m:num>
                          <m:r>
                            <m:t>1</m:t>
                          </m:r>
                        </m:num>
                        <m:den>
                          <m:r>
                            <m:t>T</m:t>
                          </m:r>
                        </m:den>
                      </m:f>
                      <m:nary>
                        <m:naryPr>
                          <m:chr m:val="∑"/>
                          <m:limLoc m:val="undOvr"/>
                          <m:subHide m:val="off"/>
                          <m:supHide m:val="off"/>
                        </m:naryPr>
                        <m:sub>
                          <m:r>
                            <m:t>t</m:t>
                          </m:r>
                          <m:r>
                            <m:rPr>
                              <m:sty m:val="p"/>
                            </m:rPr>
                            <m:t>=</m:t>
                          </m:r>
                          <m:r>
                            <m:t>1</m:t>
                          </m:r>
                        </m:sub>
                        <m:sup>
                          <m:r>
                            <m:t>T</m:t>
                          </m:r>
                        </m:sup>
                        <m:e>
                          <m:r>
                            <m:rPr>
                              <m:sty m:val="p"/>
                            </m:rPr>
                            <m:t>(</m:t>
                          </m:r>
                        </m:e>
                      </m:nary>
                      <m:sSub>
                        <m:e>
                          <m:r>
                            <m:t>r</m:t>
                          </m:r>
                        </m:e>
                        <m:sub>
                          <m:r>
                            <m:t>t</m:t>
                          </m:r>
                        </m:sub>
                      </m:sSub>
                      <m:r>
                        <m:rPr>
                          <m:sty m:val="p"/>
                        </m:rPr>
                        <m:t>−</m:t>
                      </m:r>
                      <m:acc>
                        <m:accPr>
                          <m:chr m:val="‾"/>
                        </m:accPr>
                        <m:e>
                          <m:r>
                            <m:t>r</m:t>
                          </m:r>
                        </m:e>
                      </m:acc>
                      <m:sSup>
                        <m:e>
                          <m:r>
                            <m:rPr>
                              <m:sty m:val="p"/>
                            </m:rPr>
                            <m:t>)</m:t>
                          </m:r>
                        </m:e>
                        <m:sup>
                          <m:r>
                            <m:t>2</m:t>
                          </m:r>
                        </m:sup>
                      </m:sSup>
                    </m:e>
                  </m:d>
                </m:e>
                <m:sup>
                  <m:r>
                    <m:t>2</m:t>
                  </m:r>
                </m:sup>
              </m:sSup>
            </m:den>
          </m:f>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Đối với phân phối chuẩn, độ nhọn bằng 3. Nếu độ nhọn lớn hơn 3, phân phối được xem là có</w:t>
      </w:r>
      <w:r>
        <w:rPr>
          <w:rFonts w:ascii="Times New Roman" w:hAnsi="Times New Roman" w:eastAsia="Times New Roman"/>
          <w:sz w:val="26"/>
        </w:rPr>
        <w:t xml:space="preserve"> </w:t>
      </w:r>
      <w:r>
        <w:rPr>
          <w:rFonts w:ascii="Times New Roman" w:hAnsi="Times New Roman" w:eastAsia="Times New Roman"/>
          <w:b/>
          <w:bCs/>
          <w:sz w:val="26"/>
        </w:rPr>
        <w:t xml:space="preserve">đuôi dày</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fat tails</w:t>
      </w:r>
      <w:r>
        <w:rPr>
          <w:rFonts w:ascii="Times New Roman" w:hAnsi="Times New Roman" w:eastAsia="Times New Roman"/>
          <w:sz w:val="26"/>
        </w:rPr>
        <w:t xml:space="preserve">) và</w:t>
      </w:r>
      <w:r>
        <w:rPr>
          <w:rFonts w:ascii="Times New Roman" w:hAnsi="Times New Roman" w:eastAsia="Times New Roman"/>
          <w:sz w:val="26"/>
        </w:rPr>
        <w:t xml:space="preserve"> </w:t>
      </w:r>
      <w:r>
        <w:rPr>
          <w:rFonts w:ascii="Times New Roman" w:hAnsi="Times New Roman" w:eastAsia="Times New Roman"/>
          <w:b/>
          <w:bCs/>
          <w:sz w:val="26"/>
        </w:rPr>
        <w:t xml:space="preserve">đỉnh nhọn hơn</w:t>
      </w:r>
      <w:r>
        <w:rPr>
          <w:rFonts w:ascii="Times New Roman" w:hAnsi="Times New Roman" w:eastAsia="Times New Roman"/>
          <w:sz w:val="26"/>
        </w:rPr>
        <w:t xml:space="preserve"> </w:t>
      </w:r>
      <w:r>
        <w:rPr>
          <w:rFonts w:ascii="Times New Roman" w:hAnsi="Times New Roman" w:eastAsia="Times New Roman"/>
          <w:sz w:val="26"/>
        </w:rPr>
        <w:t xml:space="preserve">phân phối chuẩn. Trong thực hành, người ta cũng thường sử dụng</w:t>
      </w:r>
      <w:r>
        <w:rPr>
          <w:rFonts w:ascii="Times New Roman" w:hAnsi="Times New Roman" w:eastAsia="Times New Roman"/>
          <w:sz w:val="26"/>
        </w:rPr>
        <w:t xml:space="preserve"> </w:t>
      </w:r>
      <w:r>
        <w:rPr>
          <w:rFonts w:ascii="Times New Roman" w:hAnsi="Times New Roman" w:eastAsia="Times New Roman"/>
          <w:b/>
          <w:bCs/>
          <w:sz w:val="26"/>
        </w:rPr>
        <w:t xml:space="preserve">độ nhọn vượt trội</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excess kurtosis</w:t>
      </w:r>
      <w:r>
        <w:rPr>
          <w:rFonts w:ascii="Times New Roman" w:hAnsi="Times New Roman" w:eastAsia="Times New Roman"/>
          <w:sz w:val="26"/>
        </w:rPr>
        <w:t xml:space="preserve">), được tính bằng (Kurtosis-3). Nếu excess kurtosis lớn hơn 0, phân phối có đuôi dày hơn phân phối chuẩn.</w:t>
      </w:r>
    </w:p>
    <w:p>
      <w:pPr>
        <w:pStyle w:val="BodyText"/>
        <w:spacing w:before="60" w:after="60" w:line="276" w:lineRule="auto"/>
        <w:ind w:firstLine="567"/>
        <w:jc w:val="both"/>
      </w:pPr>
      <w:r>
        <w:rPr>
          <w:rFonts w:ascii="Times New Roman" w:hAnsi="Times New Roman" w:eastAsia="Times New Roman"/>
          <w:sz w:val="26"/>
        </w:rPr>
        <w:t xml:space="preserve">Giả định phân phối chuẩn thường được sử dụng như một điểm tham chiếu ban đầu:</w:t>
      </w:r>
    </w:p>
    <w:p>
      <w:pPr>
        <w:pStyle w:val="BodyText"/>
      </w:pPr>
      <m:oMathPara>
        <m:oMathParaPr>
          <m:jc m:val="center"/>
        </m:oMathParaPr>
        <m:oMath>
          <m:sSub>
            <m:e>
              <m:r>
                <m:t>r</m:t>
              </m:r>
            </m:e>
            <m:sub>
              <m:r>
                <m:t>t</m:t>
              </m:r>
            </m:sub>
          </m:sSub>
          <m:r>
            <m:rPr>
              <m:sty m:val="p"/>
            </m:rPr>
            <m:t>∼</m:t>
          </m:r>
          <m:r>
            <m:t>N</m:t>
          </m:r>
          <m:r>
            <m:rPr>
              <m:sty m:val="p"/>
            </m:rPr>
            <m:t>(</m:t>
          </m:r>
          <m:r>
            <m:t>μ</m:t>
          </m:r>
          <m:r>
            <m:rPr>
              <m:sty m:val="p"/>
            </m:rPr>
            <m:t>,</m:t>
          </m:r>
          <m:sSup>
            <m:e>
              <m:r>
                <m:t>σ</m:t>
              </m:r>
            </m:e>
            <m:sup>
              <m:r>
                <m:t>2</m:t>
              </m:r>
            </m:sup>
          </m:sSup>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Ưu điểm của giả định này là đơn giản, dễ diễn giải và thuận tiện cho tính toán. Dưới giả định chuẩn, phân phối tỷ lệ sinh lời được mô tả hoàn toàn bởi hai tham số (</w:t>
      </w:r>
      <m:oMath>
        <m:r>
          <m:t>μ</m:t>
        </m:r>
      </m:oMath>
      <w:r>
        <w:rPr>
          <w:rFonts w:ascii="Times New Roman" w:hAnsi="Times New Roman" w:eastAsia="Times New Roman"/>
          <w:sz w:val="26"/>
        </w:rPr>
        <w:t xml:space="preserve">) và (</w:t>
      </w:r>
      <m:oMath>
        <m:r>
          <m:t>σ</m:t>
        </m:r>
      </m:oMath>
      <w:r>
        <w:rPr>
          <w:rFonts w:ascii="Times New Roman" w:hAnsi="Times New Roman" w:eastAsia="Times New Roman"/>
          <w:sz w:val="26"/>
        </w:rPr>
        <w:t xml:space="preserve">). Tuy nhiên, với dữ liệu tài chính thực tế, phân phối chuẩn chỉ nên được xem là một chuẩn so sánh, không nên mặc nhiên xem là mô tả đúng của dữ liệu. Nếu chuỗi thực tế có đuôi dày hoặc lệch trái nhưng mô hình lại giả định chuẩn, xác suất xảy ra các khoản lỗ cực đoan sẽ bị đánh giá thấp. Đây là một trong những nguyên nhân khiến các mô hình VaR dựa trên giả định chuẩn có thể trở nên quá lạc quan trong các giai đoạn thị trường biến động mạnh.</w:t>
      </w:r>
    </w:p>
    <w:p>
      <w:pPr>
        <w:pStyle w:val="BodyText"/>
        <w:spacing w:before="60" w:after="60" w:line="240" w:lineRule="auto"/>
        <w:ind w:firstLine="0"/>
        <w:jc w:val="center"/>
      </w:pPr>
      <w:r>
        <w:rPr>
          <w:rFonts w:ascii="Times New Roman" w:hAnsi="Times New Roman" w:eastAsia="Times New Roman"/>
          <w:b/>
          <w:i w:val="0"/>
          <w:sz w:val="24"/>
        </w:rPr>
        <w:t xml:space="preserve">Bảng 1.3 tóm tắt ý nghĩa của các thống kê mô tả quan trọng trong phân tích tỷ lệ sinh lời.</w:t>
      </w:r>
    </w:p>
    <w:p>
      <w:pPr>
        <w:pStyle w:val="TableCaption"/>
        <w:spacing w:before="60" w:after="60" w:line="276" w:lineRule="auto"/>
        <w:ind w:firstLine="567"/>
        <w:jc w:val="both"/>
      </w:pPr>
      <w:r>
        <w:rPr>
          <w:rFonts w:ascii="Times New Roman" w:hAnsi="Times New Roman" w:eastAsia="Times New Roman"/>
          <w:sz w:val="26"/>
        </w:rPr>
        <w:t xml:space="preserve">Ý nghĩa của một số thống kê mô tả trong phân tích tỷ lệ sinh lời</w:t>
      </w:r>
    </w:p>
    <w:tbl>
      <w:tblPr>
        <w:tblStyle w:val="Table"/>
        <w:tblW w:type="pct" w:w="5000"/>
        <w:tblLayout w:type="fixed"/>
        <w:tblLook w:firstRow="1" w:lastRow="0" w:firstColumn="0" w:lastColumn="0" w:noHBand="0" w:noVBand="0" w:val="0020"/>
        <w:tblCaption w:val="Ý nghĩa của một số thống kê mô tả trong phân tích tỷ lệ sinh lời"/>
      </w:tblPr>
      <w:tblGrid>
        <w:gridCol w:w="2640"/>
        <w:gridCol w:w="2640"/>
        <w:gridCol w:w="2640"/>
      </w:tblGrid>
      <w:tr>
        <w:trPr>
          <w:tblHeader w:val="on"/>
        </w:trPr>
        <w:tc>
          <w:tcPr>
            <w:vAlign w:val="center"/>
          </w:tcPr>
          <w:p>
            <w:pPr>
              <w:pStyle w:val="Compact"/>
              <w:spacing w:before="0" w:after="0" w:line="240" w:lineRule="auto"/>
              <w:ind w:firstLine="0"/>
              <w:jc w:val="center"/>
            </w:pPr>
            <w:r>
              <w:rPr>
                <w:rFonts w:ascii="Times New Roman" w:hAnsi="Times New Roman" w:eastAsia="Times New Roman"/>
                <w:b/>
                <w:sz w:val="24"/>
              </w:rPr>
              <w:t xml:space="preserve">Thống kê</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Ý nghĩa thống kê</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Ý nghĩa trong đo lường rủi ro</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Trung bình</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Mức sinh lời trung tâm của chuỗi</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Cho biết xu hướng sinh lời bình quân, nhưng thường ít quan trọng hơn biến động trong dữ liệu ngày</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Độ lệch chuẩn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Mức độ phân tán quanh trung bình</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Thước đo volatility cơ bản; là đầu vào của nhiều mô hình VaR tham số</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Skewness</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Mức độ bất đối xứng của phân phối</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Skewness âm hàm ý rủi ro đuôi trái lớn hơn</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Kurtosis</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Mức độ nhọn và dày đuôi của phân phối</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Kurtosis lớn hơn 3 hàm ý xác suất biến động cực đoan cao hơn chuẩn</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Quantile thấp</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Giá trị tại vùng đuôi trái của phân phối</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Liên quan trực tiếp đến VaR và Expected Shortfall</w:t>
            </w:r>
          </w:p>
        </w:tc>
      </w:tr>
    </w:tbl>
    <w:bookmarkEnd w:id="21"/>
    <w:bookmarkStart w:id="24" w:name="sec-conditional-distribution-return"/>
    <w:p>
      <w:pPr>
        <w:pStyle w:val="Heading3"/>
        <w:spacing w:before="120" w:after="120" w:line="276" w:lineRule="auto"/>
        <w:ind w:firstLine="0"/>
        <w:jc w:val="left"/>
      </w:pPr>
      <w:r>
        <w:rPr>
          <w:rFonts w:ascii="Times New Roman" w:hAnsi="Times New Roman" w:eastAsia="Times New Roman"/>
          <w:b/>
          <w:i w:val="0"/>
          <w:sz w:val="26"/>
        </w:rPr>
        <w:t xml:space="preserve">1.2.2 Phân phối có điều kiện và ý nghĩa trong mô hình hóa rủi ro</w:t>
      </w:r>
    </w:p>
    <w:p>
      <w:pPr>
        <w:pStyle w:val="FirstParagraph"/>
        <w:spacing w:before="60" w:after="60" w:line="276" w:lineRule="auto"/>
        <w:ind w:firstLine="567"/>
        <w:jc w:val="both"/>
      </w:pPr>
      <w:r>
        <w:rPr>
          <w:rFonts w:ascii="Times New Roman" w:hAnsi="Times New Roman" w:eastAsia="Times New Roman"/>
          <w:sz w:val="26"/>
        </w:rPr>
        <w:t xml:space="preserve">Phần trên xem tỷ lệ sinh lời như một biến ngẫu nhiên có phân phối chung cho toàn bộ giai đoạn quan sát. Đây là cách tiếp cận</w:t>
      </w:r>
      <w:r>
        <w:rPr>
          <w:rFonts w:ascii="Times New Roman" w:hAnsi="Times New Roman" w:eastAsia="Times New Roman"/>
          <w:sz w:val="26"/>
        </w:rPr>
        <w:t xml:space="preserve"> </w:t>
      </w:r>
      <w:r>
        <w:rPr>
          <w:rFonts w:ascii="Times New Roman" w:hAnsi="Times New Roman" w:eastAsia="Times New Roman"/>
          <w:b/>
          <w:bCs/>
          <w:sz w:val="26"/>
        </w:rPr>
        <w:t xml:space="preserve">không điều kiện</w:t>
      </w:r>
      <w:r>
        <w:rPr>
          <w:rFonts w:ascii="Times New Roman" w:hAnsi="Times New Roman" w:eastAsia="Times New Roman"/>
          <w:sz w:val="26"/>
        </w:rPr>
        <w:t xml:space="preserve">. Tuy nhiên, trong tài chính định lượng, nhà đầu tư và nhà quản trị rủi ro thường quan tâm đến câu hỏi có tính thời điểm hơn: với toàn bộ thông tin sẵn có đến cuối kỳ (</w:t>
      </w:r>
      <m:oMath>
        <m:r>
          <m:t>t</m:t>
        </m:r>
        <m:r>
          <m:rPr>
            <m:sty m:val="p"/>
          </m:rPr>
          <m:t>−</m:t>
        </m:r>
        <m:r>
          <m:t>1</m:t>
        </m:r>
      </m:oMath>
      <w:r>
        <w:rPr>
          <w:rFonts w:ascii="Times New Roman" w:hAnsi="Times New Roman" w:eastAsia="Times New Roman"/>
          <w:sz w:val="26"/>
        </w:rPr>
        <w:t xml:space="preserve">), tỷ lệ sinh lời tại kỳ (</w:t>
      </w:r>
      <m:oMath>
        <m:r>
          <m:t>t</m:t>
        </m:r>
      </m:oMath>
      <w:r>
        <w:rPr>
          <w:rFonts w:ascii="Times New Roman" w:hAnsi="Times New Roman" w:eastAsia="Times New Roman"/>
          <w:sz w:val="26"/>
        </w:rPr>
        <w:t xml:space="preserve">) sẽ có phân phối như thế nào?</w:t>
      </w:r>
    </w:p>
    <w:p>
      <w:pPr>
        <w:pStyle w:val="BodyText"/>
        <w:spacing w:before="60" w:after="60" w:line="276" w:lineRule="auto"/>
        <w:ind w:firstLine="567"/>
        <w:jc w:val="both"/>
      </w:pPr>
      <w:r>
        <w:rPr>
          <w:rFonts w:ascii="Times New Roman" w:hAnsi="Times New Roman" w:eastAsia="Times New Roman"/>
          <w:sz w:val="26"/>
        </w:rPr>
        <w:t xml:space="preserve">Ký hiệu (</w:t>
      </w:r>
      <m:oMath>
        <m:sSub>
          <m:e>
            <m:r>
              <m:rPr>
                <m:scr m:val="script"/>
                <m:sty m:val="p"/>
              </m:rPr>
              <m:t>F</m:t>
            </m:r>
          </m:e>
          <m:sub>
            <m:r>
              <m:t>t</m:t>
            </m:r>
            <m:r>
              <m:rPr>
                <m:sty m:val="p"/>
              </m:rPr>
              <m:t>−</m:t>
            </m:r>
            <m:r>
              <m:t>1</m:t>
            </m:r>
          </m:sub>
        </m:sSub>
      </m:oMath>
      <w:r>
        <w:rPr>
          <w:rFonts w:ascii="Times New Roman" w:hAnsi="Times New Roman" w:eastAsia="Times New Roman"/>
          <w:sz w:val="26"/>
        </w:rPr>
        <w:t xml:space="preserve">) là tập thông tin sẵn có tại thời điểm (</w:t>
      </w:r>
      <m:oMath>
        <m:r>
          <m:t>t</m:t>
        </m:r>
        <m:r>
          <m:rPr>
            <m:sty m:val="p"/>
          </m:rPr>
          <m:t>−</m:t>
        </m:r>
        <m:r>
          <m:t>1</m:t>
        </m:r>
      </m:oMath>
      <w:r>
        <w:rPr>
          <w:rFonts w:ascii="Times New Roman" w:hAnsi="Times New Roman" w:eastAsia="Times New Roman"/>
          <w:sz w:val="26"/>
        </w:rPr>
        <w:t xml:space="preserve">), bao gồm các giá trị quá khứ của tỷ lệ sinh lời, các cú sốc trước đó, trạng thái biến động trước đó và có thể bao gồm thêm thông tin vĩ mô hoặc thông tin thị trường khác. Khi đó, phân phối có điều kiện của tỷ lệ sinh lời được biểu diễn bởi:</w:t>
      </w:r>
    </w:p>
    <w:p>
      <w:pPr>
        <w:pStyle w:val="BodyText"/>
      </w:pPr>
      <m:oMathPara>
        <m:oMathParaPr>
          <m:jc m:val="center"/>
        </m:oMathParaPr>
        <m:oMath>
          <m:sSub>
            <m:e>
              <m:r>
                <m:t>r</m:t>
              </m:r>
            </m:e>
            <m:sub>
              <m:r>
                <m:t>t</m:t>
              </m:r>
            </m:sub>
          </m:sSub>
          <m:r>
            <m:rPr>
              <m:sty m:val="p"/>
            </m:rPr>
            <m:t>∣</m:t>
          </m:r>
          <m:sSub>
            <m:e>
              <m:r>
                <m:rPr>
                  <m:scr m:val="script"/>
                  <m:sty m:val="p"/>
                </m:rPr>
                <m:t>F</m:t>
              </m:r>
            </m:e>
            <m:sub>
              <m:r>
                <m:t>t</m:t>
              </m:r>
              <m:r>
                <m:rPr>
                  <m:sty m:val="p"/>
                </m:rPr>
                <m:t>−</m:t>
              </m:r>
              <m:r>
                <m:t>1</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hoặc thông qua hàm phân phối có điều kiện:</w:t>
      </w:r>
    </w:p>
    <w:p>
      <w:pPr>
        <w:pStyle w:val="BodyText"/>
      </w:pPr>
      <m:oMathPara>
        <m:oMathParaPr>
          <m:jc m:val="center"/>
        </m:oMathParaPr>
        <m:oMath>
          <m:sSub>
            <m:e>
              <m:r>
                <m:t>F</m:t>
              </m:r>
            </m:e>
            <m:sub>
              <m:r>
                <m:t>t</m:t>
              </m:r>
            </m:sub>
          </m:sSub>
          <m:r>
            <m:rPr>
              <m:sty m:val="p"/>
            </m:rPr>
            <m:t>(</m:t>
          </m:r>
          <m:r>
            <m:t>r</m:t>
          </m:r>
          <m:r>
            <m:rPr>
              <m:sty m:val="p"/>
            </m:rPr>
            <m:t>∣</m:t>
          </m:r>
          <m:sSub>
            <m:e>
              <m:r>
                <m:rPr>
                  <m:scr m:val="script"/>
                  <m:sty m:val="p"/>
                </m:rPr>
                <m:t>F</m:t>
              </m:r>
            </m:e>
            <m:sub>
              <m:r>
                <m:t>t</m:t>
              </m:r>
              <m:r>
                <m:rPr>
                  <m:sty m:val="p"/>
                </m:rPr>
                <m:t>−</m:t>
              </m:r>
              <m:r>
                <m:t>1</m:t>
              </m:r>
            </m:sub>
          </m:sSub>
          <m:r>
            <m:rPr>
              <m:sty m:val="p"/>
            </m:rPr>
            <m:t>)</m:t>
          </m:r>
          <m:r>
            <m:rPr>
              <m:sty m:val="p"/>
            </m:rPr>
            <m:t>=</m:t>
          </m:r>
          <m:r>
            <m:t>P</m:t>
          </m:r>
          <m:r>
            <m:rPr>
              <m:sty m:val="p"/>
            </m:rPr>
            <m:t>(</m:t>
          </m:r>
          <m:sSub>
            <m:e>
              <m:r>
                <m:t>r</m:t>
              </m:r>
            </m:e>
            <m:sub>
              <m:r>
                <m:t>t</m:t>
              </m:r>
            </m:sub>
          </m:sSub>
          <m:r>
            <m:rPr>
              <m:sty m:val="p"/>
            </m:rPr>
            <m:t>≤</m:t>
          </m:r>
          <m:r>
            <m:t>r</m:t>
          </m:r>
          <m:r>
            <m:rPr>
              <m:sty m:val="p"/>
            </m:rPr>
            <m:t>∣</m:t>
          </m:r>
          <m:sSub>
            <m:e>
              <m:r>
                <m:rPr>
                  <m:scr m:val="script"/>
                  <m:sty m:val="p"/>
                </m:rPr>
                <m:t>F</m:t>
              </m:r>
            </m:e>
            <m:sub>
              <m:r>
                <m:t>t</m:t>
              </m:r>
              <m:r>
                <m:rPr>
                  <m:sty m:val="p"/>
                </m:rPr>
                <m:t>−</m:t>
              </m:r>
              <m:r>
                <m:t>1</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Cách biểu diễn này cho biết xác suất để tỷ lệ sinh lời tại thời điểm (</w:t>
      </w:r>
      <m:oMath>
        <m:r>
          <m:t>t</m:t>
        </m:r>
      </m:oMath>
      <w:r>
        <w:rPr>
          <w:rFonts w:ascii="Times New Roman" w:hAnsi="Times New Roman" w:eastAsia="Times New Roman"/>
          <w:sz w:val="26"/>
        </w:rPr>
        <w:t xml:space="preserve">) nhỏ hơn hoặc bằng một mức (</w:t>
      </w:r>
      <m:oMath>
        <m:r>
          <m:t>r</m:t>
        </m:r>
      </m:oMath>
      <w:r>
        <w:rPr>
          <w:rFonts w:ascii="Times New Roman" w:hAnsi="Times New Roman" w:eastAsia="Times New Roman"/>
          <w:sz w:val="26"/>
        </w:rPr>
        <w:t xml:space="preserve">), với điều kiện đã biết toàn bộ thông tin đến thời điểm (</w:t>
      </w:r>
      <m:oMath>
        <m:r>
          <m:t>t</m:t>
        </m:r>
        <m:r>
          <m:rPr>
            <m:sty m:val="p"/>
          </m:rPr>
          <m:t>−</m:t>
        </m:r>
        <m:r>
          <m:t>1</m:t>
        </m:r>
      </m:oMath>
      <w:r>
        <w:rPr>
          <w:rFonts w:ascii="Times New Roman" w:hAnsi="Times New Roman" w:eastAsia="Times New Roman"/>
          <w:sz w:val="26"/>
        </w:rPr>
        <w:t xml:space="preserve">). Khái niệm này rất quan trọng vì thị trường tài chính không vận động trong một môi trường tĩnh. Sau một cú sốc lớn, mức rủi ro của ngày tiếp theo thường khác đáng kể so với giai đoạn thị trường ổn định, ngay cả khi tỷ lệ sinh lời kỳ vọng không thay đổi nhiều.</w:t>
      </w:r>
    </w:p>
    <w:p>
      <w:pPr>
        <w:pStyle w:val="BodyText"/>
        <w:spacing w:before="60" w:after="60" w:line="276" w:lineRule="auto"/>
        <w:ind w:firstLine="567"/>
        <w:jc w:val="both"/>
      </w:pPr>
      <w:r>
        <w:rPr>
          <w:rFonts w:ascii="Times New Roman" w:hAnsi="Times New Roman" w:eastAsia="Times New Roman"/>
          <w:sz w:val="26"/>
        </w:rPr>
        <w:t xml:space="preserve">Từ phân phối có điều kiện, ta có thể xác định hai đại lượng trung tâm:</w:t>
      </w:r>
    </w:p>
    <w:p>
      <w:pPr>
        <w:pStyle w:val="BodyText"/>
      </w:pPr>
      <m:oMathPara>
        <m:oMathParaPr>
          <m:jc m:val="center"/>
        </m:oMathParaPr>
        <m:oMath>
          <m:r>
            <m:t>E</m:t>
          </m:r>
          <m:r>
            <m:rPr>
              <m:sty m:val="p"/>
            </m:rPr>
            <m:t>(</m:t>
          </m:r>
          <m:sSub>
            <m:e>
              <m:r>
                <m:t>r</m:t>
              </m:r>
            </m:e>
            <m:sub>
              <m:r>
                <m:t>t</m:t>
              </m:r>
            </m:sub>
          </m:sSub>
          <m:r>
            <m:rPr>
              <m:sty m:val="p"/>
            </m:rPr>
            <m:t>∣</m:t>
          </m:r>
          <m:sSub>
            <m:e>
              <m:r>
                <m:rPr>
                  <m:scr m:val="script"/>
                  <m:sty m:val="p"/>
                </m:rPr>
                <m:t>F</m:t>
              </m:r>
            </m:e>
            <m:sub>
              <m:r>
                <m:t>t</m:t>
              </m:r>
              <m:r>
                <m:rPr>
                  <m:sty m:val="p"/>
                </m:rPr>
                <m:t>−</m:t>
              </m:r>
              <m:r>
                <m:t>1</m:t>
              </m:r>
            </m:sub>
          </m:sSub>
          <m:r>
            <m:rPr>
              <m:sty m:val="p"/>
            </m:rPr>
            <m:t>)</m:t>
          </m:r>
          <m:r>
            <m:rPr>
              <m:sty m:val="p"/>
            </m:rPr>
            <m:t>=</m:t>
          </m:r>
          <m:sSub>
            <m:e>
              <m:r>
                <m:t>μ</m:t>
              </m:r>
            </m:e>
            <m:sub>
              <m:r>
                <m:t>t</m:t>
              </m:r>
            </m:sub>
          </m:sSub>
          <m:r>
            <m:rPr>
              <m:sty m:val="p"/>
            </m:rPr>
            <m:t>,</m:t>
          </m:r>
        </m:oMath>
      </m:oMathPara>
    </w:p>
    <w:p>
      <w:pPr>
        <w:pStyle w:val="FirstParagraph"/>
      </w:pPr>
      <m:oMathPara>
        <m:oMathParaPr>
          <m:jc m:val="center"/>
        </m:oMathParaPr>
        <m:oMath>
          <m:r>
            <m:t>V</m:t>
          </m:r>
          <m:r>
            <m:t>a</m:t>
          </m:r>
          <m:r>
            <m:t>r</m:t>
          </m:r>
          <m:r>
            <m:rPr>
              <m:sty m:val="p"/>
            </m:rPr>
            <m:t>(</m:t>
          </m:r>
          <m:sSub>
            <m:e>
              <m:r>
                <m:t>r</m:t>
              </m:r>
            </m:e>
            <m:sub>
              <m:r>
                <m:t>t</m:t>
              </m:r>
            </m:sub>
          </m:sSub>
          <m:r>
            <m:rPr>
              <m:sty m:val="p"/>
            </m:rPr>
            <m:t>∣</m:t>
          </m:r>
          <m:sSub>
            <m:e>
              <m:r>
                <m:rPr>
                  <m:scr m:val="script"/>
                  <m:sty m:val="p"/>
                </m:rPr>
                <m:t>F</m:t>
              </m:r>
            </m:e>
            <m:sub>
              <m:r>
                <m:t>t</m:t>
              </m:r>
              <m:r>
                <m:rPr>
                  <m:sty m:val="p"/>
                </m:rPr>
                <m:t>−</m:t>
              </m:r>
              <m:r>
                <m:t>1</m:t>
              </m:r>
            </m:sub>
          </m:sSub>
          <m:r>
            <m:rPr>
              <m:sty m:val="p"/>
            </m:rPr>
            <m:t>)</m:t>
          </m:r>
          <m:r>
            <m:rPr>
              <m:sty m:val="p"/>
            </m:rPr>
            <m:t>=</m:t>
          </m:r>
          <m:sSubSup>
            <m:e>
              <m:r>
                <m:t>σ</m:t>
              </m:r>
            </m:e>
            <m:sub>
              <m:r>
                <m:t>t</m:t>
              </m:r>
            </m:sub>
            <m:sup>
              <m:r>
                <m:t>2</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 (</w:t>
      </w:r>
      <m:oMath>
        <m:sSub>
          <m:e>
            <m:r>
              <m:t>μ</m:t>
            </m:r>
          </m:e>
          <m:sub>
            <m:r>
              <m:t>t</m:t>
            </m:r>
          </m:sub>
        </m:sSub>
      </m:oMath>
      <w:r>
        <w:rPr>
          <w:rFonts w:ascii="Times New Roman" w:hAnsi="Times New Roman" w:eastAsia="Times New Roman"/>
          <w:sz w:val="26"/>
        </w:rPr>
        <w:t xml:space="preserve">) là kỳ vọng có điều kiện và (</w:t>
      </w:r>
      <m:oMath>
        <m:sSubSup>
          <m:e>
            <m:r>
              <m:t>σ</m:t>
            </m:r>
          </m:e>
          <m:sub>
            <m:r>
              <m:t>t</m:t>
            </m:r>
          </m:sub>
          <m:sup>
            <m:r>
              <m:t>2</m:t>
            </m:r>
          </m:sup>
        </m:sSubSup>
      </m:oMath>
      <w:r>
        <w:rPr>
          <w:rFonts w:ascii="Times New Roman" w:hAnsi="Times New Roman" w:eastAsia="Times New Roman"/>
          <w:sz w:val="26"/>
        </w:rPr>
        <w:t xml:space="preserve">) là phương sai có điều kiện. Căn bậc hai của phương sai có điều kiện, (</w:t>
      </w:r>
      <m:oMath>
        <m:sSub>
          <m:e>
            <m:r>
              <m:t>σ</m:t>
            </m:r>
          </m:e>
          <m:sub>
            <m:r>
              <m:t>t</m:t>
            </m:r>
          </m:sub>
        </m:sSub>
      </m:oMath>
      <w:r>
        <w:rPr>
          <w:rFonts w:ascii="Times New Roman" w:hAnsi="Times New Roman" w:eastAsia="Times New Roman"/>
          <w:sz w:val="26"/>
        </w:rPr>
        <w:t xml:space="preserve">), được gọi là</w:t>
      </w:r>
      <w:r>
        <w:rPr>
          <w:rFonts w:ascii="Times New Roman" w:hAnsi="Times New Roman" w:eastAsia="Times New Roman"/>
          <w:sz w:val="26"/>
        </w:rPr>
        <w:t xml:space="preserve"> </w:t>
      </w:r>
      <w:r>
        <w:rPr>
          <w:rFonts w:ascii="Times New Roman" w:hAnsi="Times New Roman" w:eastAsia="Times New Roman"/>
          <w:b/>
          <w:bCs/>
          <w:sz w:val="26"/>
        </w:rPr>
        <w:t xml:space="preserve">độ biến động có điều kiện</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conditional volatility</w:t>
      </w:r>
      <w:r>
        <w:rPr>
          <w:rFonts w:ascii="Times New Roman" w:hAnsi="Times New Roman" w:eastAsia="Times New Roman"/>
          <w:sz w:val="26"/>
        </w:rPr>
        <w:t xml:space="preserve">). Đây là đại lượng trung tâm của các mô hình ARCH/GARCH.</w:t>
      </w:r>
    </w:p>
    <w:p>
      <w:pPr>
        <w:pStyle w:val="BodyText"/>
        <w:spacing w:before="60" w:after="60" w:line="276" w:lineRule="auto"/>
        <w:ind w:firstLine="567"/>
        <w:jc w:val="both"/>
      </w:pPr>
      <w:r>
        <w:rPr>
          <w:rFonts w:ascii="Times New Roman" w:hAnsi="Times New Roman" w:eastAsia="Times New Roman"/>
          <w:sz w:val="26"/>
        </w:rPr>
        <w:t xml:space="preserve">Một biểu diễn tổng quát của tỷ lệ sinh lời là:</w:t>
      </w:r>
    </w:p>
    <w:p>
      <w:pPr>
        <w:pStyle w:val="BodyText"/>
      </w:pPr>
      <m:oMathPara>
        <m:oMathParaPr>
          <m:jc m:val="center"/>
        </m:oMathParaPr>
        <m:oMath>
          <m:sSub>
            <m:e>
              <m:r>
                <m:t>r</m:t>
              </m:r>
            </m:e>
            <m:sub>
              <m:r>
                <m:t>t</m:t>
              </m:r>
            </m:sub>
          </m:sSub>
          <m:r>
            <m:rPr>
              <m:sty m:val="p"/>
            </m:rPr>
            <m:t>=</m:t>
          </m:r>
          <m:sSub>
            <m:e>
              <m:r>
                <m:t>μ</m:t>
              </m:r>
            </m:e>
            <m:sub>
              <m:r>
                <m:t>t</m:t>
              </m:r>
            </m:sub>
          </m:sSub>
          <m:r>
            <m:rPr>
              <m:sty m:val="p"/>
            </m:rPr>
            <m:t>+</m:t>
          </m:r>
          <m:sSub>
            <m:e>
              <m:r>
                <m:t>ε</m:t>
              </m:r>
            </m:e>
            <m:sub>
              <m:r>
                <m:t>t</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p>
    <w:p>
      <w:pPr>
        <w:pStyle w:val="BodyText"/>
      </w:pPr>
      <m:oMathPara>
        <m:oMathParaPr>
          <m:jc m:val="center"/>
        </m:oMathParaPr>
        <m:oMath>
          <m:sSub>
            <m:e>
              <m:r>
                <m:t>ε</m:t>
              </m:r>
            </m:e>
            <m:sub>
              <m:r>
                <m:t>t</m:t>
              </m:r>
            </m:sub>
          </m:sSub>
          <m:r>
            <m:rPr>
              <m:sty m:val="p"/>
            </m:rPr>
            <m:t>=</m:t>
          </m:r>
          <m:sSub>
            <m:e>
              <m:r>
                <m:t>σ</m:t>
              </m:r>
            </m:e>
            <m:sub>
              <m:r>
                <m:t>t</m:t>
              </m:r>
            </m:sub>
          </m:sSub>
          <m:sSub>
            <m:e>
              <m:r>
                <m:t>z</m:t>
              </m:r>
            </m:e>
            <m:sub>
              <m:r>
                <m:t>t</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với (</w:t>
      </w:r>
      <m:oMath>
        <m:sSub>
          <m:e>
            <m:r>
              <m:t>z</m:t>
            </m:r>
          </m:e>
          <m:sub>
            <m:r>
              <m:t>t</m:t>
            </m:r>
          </m:sub>
        </m:sSub>
      </m:oMath>
      <w:r>
        <w:rPr>
          <w:rFonts w:ascii="Times New Roman" w:hAnsi="Times New Roman" w:eastAsia="Times New Roman"/>
          <w:sz w:val="26"/>
        </w:rPr>
        <w:t xml:space="preserve">) là nhiễu chuẩn hóa thỏa mãn:</w:t>
      </w:r>
    </w:p>
    <w:p>
      <w:pPr>
        <w:pStyle w:val="BodyText"/>
      </w:pPr>
      <m:oMathPara>
        <m:oMathParaPr>
          <m:jc m:val="center"/>
        </m:oMathParaPr>
        <m:oMath>
          <m:r>
            <m:t>E</m:t>
          </m:r>
          <m:r>
            <m:rPr>
              <m:sty m:val="p"/>
            </m:rPr>
            <m:t>(</m:t>
          </m:r>
          <m:sSub>
            <m:e>
              <m:r>
                <m:t>z</m:t>
              </m:r>
            </m:e>
            <m:sub>
              <m:r>
                <m:t>t</m:t>
              </m:r>
            </m:sub>
          </m:sSub>
          <m:r>
            <m:rPr>
              <m:sty m:val="p"/>
            </m:rPr>
            <m:t>∣</m:t>
          </m:r>
          <m:sSub>
            <m:e>
              <m:r>
                <m:rPr>
                  <m:scr m:val="script"/>
                  <m:sty m:val="p"/>
                </m:rPr>
                <m:t>F</m:t>
              </m:r>
            </m:e>
            <m:sub>
              <m:r>
                <m:t>t</m:t>
              </m:r>
              <m:r>
                <m:rPr>
                  <m:sty m:val="p"/>
                </m:rPr>
                <m:t>−</m:t>
              </m:r>
              <m:r>
                <m:t>1</m:t>
              </m:r>
            </m:sub>
          </m:sSub>
          <m:r>
            <m:rPr>
              <m:sty m:val="p"/>
            </m:rPr>
            <m:t>)</m:t>
          </m:r>
          <m:r>
            <m:rPr>
              <m:sty m:val="p"/>
            </m:rPr>
            <m:t>=</m:t>
          </m:r>
          <m:r>
            <m:t>0</m:t>
          </m:r>
          <m:r>
            <m:rPr>
              <m:sty m:val="p"/>
            </m:rPr>
            <m:t>,</m:t>
          </m:r>
          <m:r>
            <m:t>  </m:t>
          </m:r>
          <m:r>
            <m:t>V</m:t>
          </m:r>
          <m:r>
            <m:t>a</m:t>
          </m:r>
          <m:r>
            <m:t>r</m:t>
          </m:r>
          <m:r>
            <m:rPr>
              <m:sty m:val="p"/>
            </m:rPr>
            <m:t>(</m:t>
          </m:r>
          <m:sSub>
            <m:e>
              <m:r>
                <m:t>z</m:t>
              </m:r>
            </m:e>
            <m:sub>
              <m:r>
                <m:t>t</m:t>
              </m:r>
            </m:sub>
          </m:sSub>
          <m:r>
            <m:rPr>
              <m:sty m:val="p"/>
            </m:rPr>
            <m:t>∣</m:t>
          </m:r>
          <m:sSub>
            <m:e>
              <m:r>
                <m:rPr>
                  <m:scr m:val="script"/>
                  <m:sty m:val="p"/>
                </m:rPr>
                <m:t>F</m:t>
              </m:r>
            </m:e>
            <m:sub>
              <m:r>
                <m:t>t</m:t>
              </m:r>
              <m:r>
                <m:rPr>
                  <m:sty m:val="p"/>
                </m:rPr>
                <m:t>−</m:t>
              </m:r>
              <m:r>
                <m:t>1</m:t>
              </m:r>
            </m:sub>
          </m:sSub>
          <m:r>
            <m:rPr>
              <m:sty m:val="p"/>
            </m:rPr>
            <m:t>)</m:t>
          </m:r>
          <m:r>
            <m:rPr>
              <m:sty m:val="p"/>
            </m:rPr>
            <m:t>=</m:t>
          </m:r>
          <m:r>
            <m:t>1</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Biểu diễn này cho thấy tỷ lệ sinh lời có thể được tách thành hai phần: phần trung bình có điều kiện (</w:t>
      </w:r>
      <m:oMath>
        <m:sSub>
          <m:e>
            <m:r>
              <m:t>μ</m:t>
            </m:r>
          </m:e>
          <m:sub>
            <m:r>
              <m:t>t</m:t>
            </m:r>
          </m:sub>
        </m:sSub>
      </m:oMath>
      <w:r>
        <w:rPr>
          <w:rFonts w:ascii="Times New Roman" w:hAnsi="Times New Roman" w:eastAsia="Times New Roman"/>
          <w:sz w:val="26"/>
        </w:rPr>
        <w:t xml:space="preserve">) và phần sai số ngẫu nhiên (</w:t>
      </w:r>
      <m:oMath>
        <m:sSub>
          <m:e>
            <m:r>
              <m:t>ε</m:t>
            </m:r>
          </m:e>
          <m:sub>
            <m:r>
              <m:t>t</m:t>
            </m:r>
          </m:sub>
        </m:sSub>
      </m:oMath>
      <w:r>
        <w:rPr>
          <w:rFonts w:ascii="Times New Roman" w:hAnsi="Times New Roman" w:eastAsia="Times New Roman"/>
          <w:sz w:val="26"/>
        </w:rPr>
        <w:t xml:space="preserve">), trong đó mức độ dao động của sai số được điều khiển bởi (</w:t>
      </w:r>
      <m:oMath>
        <m:sSub>
          <m:e>
            <m:r>
              <m:t>σ</m:t>
            </m:r>
          </m:e>
          <m:sub>
            <m:r>
              <m:t>t</m:t>
            </m:r>
          </m:sub>
        </m:sSub>
      </m:oMath>
      <w:r>
        <w:rPr>
          <w:rFonts w:ascii="Times New Roman" w:hAnsi="Times New Roman" w:eastAsia="Times New Roman"/>
          <w:sz w:val="26"/>
        </w:rPr>
        <w:t xml:space="preserve">). Nếu (</w:t>
      </w:r>
      <m:oMath>
        <m:sSub>
          <m:e>
            <m:r>
              <m:t>σ</m:t>
            </m:r>
          </m:e>
          <m:sub>
            <m:r>
              <m:t>t</m:t>
            </m:r>
          </m:sub>
        </m:sSub>
      </m:oMath>
      <w:r>
        <w:rPr>
          <w:rFonts w:ascii="Times New Roman" w:hAnsi="Times New Roman" w:eastAsia="Times New Roman"/>
          <w:sz w:val="26"/>
        </w:rPr>
        <w:t xml:space="preserve">) thay đổi theo thời gian, rủi ro thị trường cũng thay đổi theo thời gian. Vì vậy, các mô hình volatility hiện đại không chỉ quan tâm đến việc ước lượng một phương sai cố định, mà tập trung vào việc mô hình hóa và dự báo (</w:t>
      </w:r>
      <m:oMath>
        <m:sSubSup>
          <m:e>
            <m:r>
              <m:t>σ</m:t>
            </m:r>
          </m:e>
          <m:sub>
            <m:r>
              <m:t>t</m:t>
            </m:r>
          </m:sub>
          <m:sup>
            <m:r>
              <m:t>2</m:t>
            </m:r>
          </m:sup>
        </m:sSubSup>
      </m:oMath>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Tư tưởng này cũng là nền tảng của VaR có điều kiện. Nếu (</w:t>
      </w:r>
      <m:oMath>
        <m:sSub>
          <m:e>
            <m:r>
              <m:t>q</m:t>
            </m:r>
          </m:e>
          <m:sub>
            <m:r>
              <m:t>α</m:t>
            </m:r>
            <m:r>
              <m:rPr>
                <m:sty m:val="p"/>
              </m:rPr>
              <m:t>,</m:t>
            </m:r>
            <m:r>
              <m:t>t</m:t>
            </m:r>
          </m:sub>
        </m:sSub>
      </m:oMath>
      <w:r>
        <w:rPr>
          <w:rFonts w:ascii="Times New Roman" w:hAnsi="Times New Roman" w:eastAsia="Times New Roman"/>
          <w:sz w:val="26"/>
        </w:rPr>
        <w:t xml:space="preserve">) là phân vị bậc (</w:t>
      </w:r>
      <m:oMath>
        <m:r>
          <m:t>α</m:t>
        </m:r>
      </m:oMath>
      <w:r>
        <w:rPr>
          <w:rFonts w:ascii="Times New Roman" w:hAnsi="Times New Roman" w:eastAsia="Times New Roman"/>
          <w:sz w:val="26"/>
        </w:rPr>
        <w:t xml:space="preserve">) của phân phối có điều kiện của (</w:t>
      </w:r>
      <m:oMath>
        <m:sSub>
          <m:e>
            <m:r>
              <m:t>r</m:t>
            </m:r>
          </m:e>
          <m:sub>
            <m:r>
              <m:t>t</m:t>
            </m:r>
          </m:sub>
        </m:sSub>
      </m:oMath>
      <w:r>
        <w:rPr>
          <w:rFonts w:ascii="Times New Roman" w:hAnsi="Times New Roman" w:eastAsia="Times New Roman"/>
          <w:sz w:val="26"/>
        </w:rPr>
        <w:t xml:space="preserve">), thì VaR tại thời điểm (t) được xây dựng từ chính phân vị này. Như vậy, VaR không nhất thiết là một con số cố định cho toàn bộ mẫu, mà có thể thay đổi theo trạng thái thông tin và mức biến động hiện hành của thị trường.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vAlign w:val="center"/>
          </w:tcPr>
          <w:p>
            <w:pPr>
              <w:pStyle w:val="BodyText"/>
              <w:spacing w:before="0" w:after="0" w:line="240" w:lineRule="auto"/>
              <w:ind w:firstLine="0"/>
              <w:jc w:val="center"/>
            </w:pPr>
            <w:pPr>
              <w:spacing w:before="0" w:after="0"/>
              <w:textAlignment w:val="center"/>
            </w:pPr>
            <w:r>
              <w:rPr>
                <w:rFonts w:ascii="Times New Roman" w:hAnsi="Times New Roman" w:eastAsia="Times New Roman"/>
                <w:b/>
                <w:sz w:val="24"/>
              </w:rPr>
              <w:drawing>
                <wp:inline>
                  <wp:extent cx="152400" cy="152400"/>
                  <wp:effectExtent b="0" l="0" r="0" t="0"/>
                  <wp:docPr descr="" title="" id="22" name="Picture"/>
                  <a:graphic>
                    <a:graphicData uri="http://schemas.openxmlformats.org/drawingml/2006/picture">
                      <pic:pic>
                        <pic:nvPicPr>
                          <pic:cNvPr descr="C:\Program Files\RStudio\resources\app\bin\quarto\share\formats\docx\note.png" id="2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rPr>
                <w:rFonts w:ascii="Times New Roman" w:hAnsi="Times New Roman" w:eastAsia="Times New Roman"/>
                <w:b/>
                <w:sz w:val="24"/>
              </w:rPr>
              <w:t xml:space="preserve"> </w:t>
            </w:r>
            <w:r>
              <w:rPr>
                <w:rFonts w:ascii="Times New Roman" w:hAnsi="Times New Roman" w:eastAsia="Times New Roman"/>
                <w:b/>
                <w:sz w:val="24"/>
              </w:rPr>
              <w:t xml:space="preserve"> </w:t>
            </w:r>
            <w:r>
              <w:rPr>
                <w:rFonts w:ascii="Times New Roman" w:hAnsi="Times New Roman" w:eastAsia="Times New Roman"/>
                <w:b/>
                <w:sz w:val="24"/>
              </w:rPr>
              <w:t xml:space="preserve">Note</w:t>
            </w:r>
          </w:p>
        </w:tc>
      </w:tr>
      <w:tr>
        <w:trPr>
          <w:cantSplit/>
        </w:trPr>
        <w:tc>
          <w:tcPr>
            <w:tcMar>
              <w:top w:w="108" w:type="dxa"/>
              <w:bottom w:w="108" w:type="dxa"/>
            </w:tcMar>
            <w:vAlign w:val="center"/>
          </w:tcPr>
          <w:p>
            <w:pPr>
              <w:pStyle w:val="BodyText"/>
              <w:spacing w:before="0" w:after="0" w:line="240" w:lineRule="auto"/>
              <w:ind w:firstLine="0"/>
              <w:jc w:val="left"/>
            </w:pPr>
            <w:pPr>
              <w:spacing w:before="16" w:after="16"/>
            </w:pPr>
            <w:r>
              <w:rPr>
                <w:rFonts w:ascii="Times New Roman" w:hAnsi="Times New Roman" w:eastAsia="Times New Roman"/>
                <w:b w:val="0"/>
                <w:sz w:val="24"/>
              </w:rPr>
              <w:t xml:space="preserve">Phân phối vô điều kiện cho biết đặc điểm chung của tỷ lệ sinh lời trong toàn bộ giai đoạn nghiên cứu. Phân phối có điều kiện cho biết tỷ lệ sinh lời kỳ tới có thể diễn biến như thế nào khi đã biết thông tin hiện tại. Trong đo lường VaR động, phân phối có điều kiện thường quan trọng hơn phân phối vô điều kiện.</w:t>
            </w:r>
          </w:p>
          <w:p>
            <w:pPr>
              <w:spacing w:before="0" w:after="0" w:line="240" w:lineRule="auto"/>
              <w:ind w:firstLine="0"/>
              <w:jc w:val="left"/>
            </w:pPr>
          </w:p>
        </w:tc>
      </w:tr>
    </w:tbl>
    <w:bookmarkEnd w:id="24"/>
    <w:bookmarkStart w:id="25" w:name="sec-stylized-facts-returns"/>
    <w:p>
      <w:pPr>
        <w:pStyle w:val="Heading3"/>
        <w:spacing w:before="120" w:after="120" w:line="276" w:lineRule="auto"/>
        <w:ind w:firstLine="0"/>
        <w:jc w:val="left"/>
      </w:pPr>
      <w:r>
        <w:rPr>
          <w:rFonts w:ascii="Times New Roman" w:hAnsi="Times New Roman" w:eastAsia="Times New Roman"/>
          <w:b/>
          <w:i w:val="0"/>
          <w:sz w:val="26"/>
        </w:rPr>
        <w:t xml:space="preserve">1.2.3 Các đặc điểm thực nghiệm điển hình của tỷ lệ sinh lời tài chính</w:t>
      </w:r>
    </w:p>
    <w:p>
      <w:pPr>
        <w:pStyle w:val="FirstParagraph"/>
        <w:spacing w:before="60" w:after="60" w:line="276" w:lineRule="auto"/>
        <w:ind w:firstLine="567"/>
        <w:jc w:val="both"/>
      </w:pPr>
      <w:r>
        <w:rPr>
          <w:rFonts w:ascii="Times New Roman" w:hAnsi="Times New Roman" w:eastAsia="Times New Roman"/>
          <w:sz w:val="26"/>
        </w:rPr>
        <w:t xml:space="preserve">Chuỗi tỷ lệ sinh lời tài chính thường thể hiện một số đặc điểm thực nghiệm lặp lại ở nhiều thị trường và nhiều loại tài sản. Các đặc điểm này thường được gọi là</w:t>
      </w:r>
      <w:r>
        <w:rPr>
          <w:rFonts w:ascii="Times New Roman" w:hAnsi="Times New Roman" w:eastAsia="Times New Roman"/>
          <w:sz w:val="26"/>
        </w:rPr>
        <w:t xml:space="preserve"> </w:t>
      </w:r>
      <w:r>
        <w:rPr>
          <w:rFonts w:ascii="Times New Roman" w:hAnsi="Times New Roman" w:eastAsia="Times New Roman"/>
          <w:b/>
          <w:bCs/>
          <w:sz w:val="26"/>
        </w:rPr>
        <w:t xml:space="preserve">stylized facts</w:t>
      </w:r>
      <w:r>
        <w:rPr>
          <w:rFonts w:ascii="Times New Roman" w:hAnsi="Times New Roman" w:eastAsia="Times New Roman"/>
          <w:sz w:val="26"/>
        </w:rPr>
        <w:t xml:space="preserve"> </w:t>
      </w:r>
      <w:r>
        <w:rPr>
          <w:rFonts w:ascii="Times New Roman" w:hAnsi="Times New Roman" w:eastAsia="Times New Roman"/>
          <w:sz w:val="26"/>
        </w:rPr>
        <w:t xml:space="preserve">của dữ liệu tài chính. Chúng không phải là các quy luật tuyệt đối, nhưng là những hiện tượng đủ phổ biến để trở thành cơ sở cho việc xây dựng mô hình volatility và VaR.</w:t>
      </w:r>
    </w:p>
    <w:p>
      <w:pPr>
        <w:pStyle w:val="BodyText"/>
        <w:spacing w:before="60" w:after="60" w:line="276" w:lineRule="auto"/>
        <w:ind w:firstLine="567"/>
        <w:jc w:val="both"/>
      </w:pPr>
      <w:r>
        <w:rPr>
          <w:rFonts w:ascii="Times New Roman" w:hAnsi="Times New Roman" w:eastAsia="Times New Roman"/>
          <w:sz w:val="26"/>
        </w:rPr>
        <w:t xml:space="preserve">Thứ nhất, tỷ lệ sinh lời thường có</w:t>
      </w:r>
      <w:r>
        <w:rPr>
          <w:rFonts w:ascii="Times New Roman" w:hAnsi="Times New Roman" w:eastAsia="Times New Roman"/>
          <w:sz w:val="26"/>
        </w:rPr>
        <w:t xml:space="preserve"> </w:t>
      </w:r>
      <w:r>
        <w:rPr>
          <w:rFonts w:ascii="Times New Roman" w:hAnsi="Times New Roman" w:eastAsia="Times New Roman"/>
          <w:b/>
          <w:bCs/>
          <w:sz w:val="26"/>
        </w:rPr>
        <w:t xml:space="preserve">giá trị trung bình nhỏ</w:t>
      </w:r>
      <w:r>
        <w:rPr>
          <w:rFonts w:ascii="Times New Roman" w:hAnsi="Times New Roman" w:eastAsia="Times New Roman"/>
          <w:sz w:val="26"/>
        </w:rPr>
        <w:t xml:space="preserve"> </w:t>
      </w:r>
      <w:r>
        <w:rPr>
          <w:rFonts w:ascii="Times New Roman" w:hAnsi="Times New Roman" w:eastAsia="Times New Roman"/>
          <w:sz w:val="26"/>
        </w:rPr>
        <w:t xml:space="preserve">so với độ lệch chuẩn. Với dữ liệu ngày, trung bình của chuỗi thường gần 0, trong khi độ lệch chuẩn lớn hơn nhiều lần. Điều này giải thích vì sao mô hình hóa rủi ro thường tập trung vào phương sai và phân phối đuôi, thay vì chỉ tập trung vào kỳ vọng.</w:t>
      </w:r>
    </w:p>
    <w:p>
      <w:pPr>
        <w:pStyle w:val="BodyText"/>
        <w:spacing w:before="60" w:after="60" w:line="276" w:lineRule="auto"/>
        <w:ind w:firstLine="567"/>
        <w:jc w:val="both"/>
      </w:pPr>
      <w:r>
        <w:rPr>
          <w:rFonts w:ascii="Times New Roman" w:hAnsi="Times New Roman" w:eastAsia="Times New Roman"/>
          <w:sz w:val="26"/>
        </w:rPr>
        <w:t xml:space="preserve">Thứ hai, tỷ lệ sinh lời thường có</w:t>
      </w:r>
      <w:r>
        <w:rPr>
          <w:rFonts w:ascii="Times New Roman" w:hAnsi="Times New Roman" w:eastAsia="Times New Roman"/>
          <w:sz w:val="26"/>
        </w:rPr>
        <w:t xml:space="preserve"> </w:t>
      </w:r>
      <w:r>
        <w:rPr>
          <w:rFonts w:ascii="Times New Roman" w:hAnsi="Times New Roman" w:eastAsia="Times New Roman"/>
          <w:b/>
          <w:bCs/>
          <w:sz w:val="26"/>
        </w:rPr>
        <w:t xml:space="preserve">phân phối không chuẩn</w:t>
      </w:r>
      <w:r>
        <w:rPr>
          <w:rFonts w:ascii="Times New Roman" w:hAnsi="Times New Roman" w:eastAsia="Times New Roman"/>
          <w:sz w:val="26"/>
        </w:rPr>
        <w:t xml:space="preserve">. Đồ thị histogram và Q–Q plot của chuỗi tỷ lệ sinh lời tài chính thường cho thấy phân phối thực nghiệm có đỉnh cao hơn, đuôi dày hơn và đôi khi lệch trái so với phân phối chuẩn. Đây là lý do các mô hình giả định chuẩn cần được kiểm tra cẩn trọng trước khi sử dụng trong đo lường VaR.</w:t>
      </w:r>
    </w:p>
    <w:p>
      <w:pPr>
        <w:pStyle w:val="BodyText"/>
        <w:spacing w:before="60" w:after="60" w:line="276" w:lineRule="auto"/>
        <w:ind w:firstLine="567"/>
        <w:jc w:val="both"/>
      </w:pPr>
      <w:r>
        <w:rPr>
          <w:rFonts w:ascii="Times New Roman" w:hAnsi="Times New Roman" w:eastAsia="Times New Roman"/>
          <w:sz w:val="26"/>
        </w:rPr>
        <w:t xml:space="preserve">Thứ ba, tỷ lệ sinh lời thường có</w:t>
      </w:r>
      <w:r>
        <w:rPr>
          <w:rFonts w:ascii="Times New Roman" w:hAnsi="Times New Roman" w:eastAsia="Times New Roman"/>
          <w:sz w:val="26"/>
        </w:rPr>
        <w:t xml:space="preserve"> </w:t>
      </w:r>
      <w:r>
        <w:rPr>
          <w:rFonts w:ascii="Times New Roman" w:hAnsi="Times New Roman" w:eastAsia="Times New Roman"/>
          <w:b/>
          <w:bCs/>
          <w:sz w:val="26"/>
        </w:rPr>
        <w:t xml:space="preserve">đuôi dày</w:t>
      </w:r>
      <w:r>
        <w:rPr>
          <w:rFonts w:ascii="Times New Roman" w:hAnsi="Times New Roman" w:eastAsia="Times New Roman"/>
          <w:sz w:val="26"/>
        </w:rPr>
        <w:t xml:space="preserve">. Điều này có nghĩa là xác suất xuất hiện các biến động cực đoan, cả tăng mạnh lẫn giảm mạnh, lớn hơn so với dự báo từ phân phối chuẩn. Đối với quản trị rủi ro, đuôi trái là vùng đặc biệt quan trọng vì liên quan trực tiếp đến các khoản lỗ lớn. Nếu mô hình giả định chuẩn trong khi dữ liệu thực tế có đuôi dày, VaR có thể đánh giá thấp rủi ro trong những giai đoạn thị trường bất ổn.</w:t>
      </w:r>
    </w:p>
    <w:p>
      <w:pPr>
        <w:pStyle w:val="BodyText"/>
        <w:spacing w:before="60" w:after="60" w:line="276" w:lineRule="auto"/>
        <w:ind w:firstLine="567"/>
        <w:jc w:val="both"/>
      </w:pPr>
      <w:r>
        <w:rPr>
          <w:rFonts w:ascii="Times New Roman" w:hAnsi="Times New Roman" w:eastAsia="Times New Roman"/>
          <w:sz w:val="26"/>
        </w:rPr>
        <w:t xml:space="preserve">Thứ tư, phân phối tỷ lệ sinh lời có thể</w:t>
      </w:r>
      <w:r>
        <w:rPr>
          <w:rFonts w:ascii="Times New Roman" w:hAnsi="Times New Roman" w:eastAsia="Times New Roman"/>
          <w:sz w:val="26"/>
        </w:rPr>
        <w:t xml:space="preserve"> </w:t>
      </w:r>
      <w:r>
        <w:rPr>
          <w:rFonts w:ascii="Times New Roman" w:hAnsi="Times New Roman" w:eastAsia="Times New Roman"/>
          <w:b/>
          <w:bCs/>
          <w:sz w:val="26"/>
        </w:rPr>
        <w:t xml:space="preserve">bất đối xứng</w:t>
      </w:r>
      <w:r>
        <w:rPr>
          <w:rFonts w:ascii="Times New Roman" w:hAnsi="Times New Roman" w:eastAsia="Times New Roman"/>
          <w:sz w:val="26"/>
        </w:rPr>
        <w:t xml:space="preserve">. Trong nhiều thị trường chứng khoán, đặc biệt là thị trường mới nổi, phân phối tỷ lệ sinh lời có thể lệch trái, phản ánh khả năng xuất hiện các phiên giảm sâu đột ngột. Trong bối cảnh VaR, nếu phân phối lệch trái đáng kể nhưng mô hình lại giả định đối xứng, kết quả ước lượng rủi ro tại các mức xác suất thấp như 1% hoặc 5% có thể bị sai lệch.</w:t>
      </w:r>
    </w:p>
    <w:p>
      <w:pPr>
        <w:pStyle w:val="BodyText"/>
        <w:spacing w:before="60" w:after="60" w:line="276" w:lineRule="auto"/>
        <w:ind w:firstLine="567"/>
        <w:jc w:val="both"/>
      </w:pPr>
      <w:r>
        <w:rPr>
          <w:rFonts w:ascii="Times New Roman" w:hAnsi="Times New Roman" w:eastAsia="Times New Roman"/>
          <w:sz w:val="26"/>
        </w:rPr>
        <w:t xml:space="preserve">Thứ năm, bản thân chuỗi tỷ lệ sinh lời thường</w:t>
      </w:r>
      <w:r>
        <w:rPr>
          <w:rFonts w:ascii="Times New Roman" w:hAnsi="Times New Roman" w:eastAsia="Times New Roman"/>
          <w:sz w:val="26"/>
        </w:rPr>
        <w:t xml:space="preserve"> </w:t>
      </w:r>
      <w:r>
        <w:rPr>
          <w:rFonts w:ascii="Times New Roman" w:hAnsi="Times New Roman" w:eastAsia="Times New Roman"/>
          <w:b/>
          <w:bCs/>
          <w:sz w:val="26"/>
        </w:rPr>
        <w:t xml:space="preserve">ít tự tương quan tuyến tính</w:t>
      </w:r>
      <w:r>
        <w:rPr>
          <w:rFonts w:ascii="Times New Roman" w:hAnsi="Times New Roman" w:eastAsia="Times New Roman"/>
          <w:sz w:val="26"/>
        </w:rPr>
        <w:t xml:space="preserve">, đặc biệt với dữ liệu ngày. Hệ số tự tương quan bậc (k) của chuỗi tỷ lệ sinh lời được xác định bởi:</w:t>
      </w:r>
    </w:p>
    <w:p>
      <w:pPr>
        <w:pStyle w:val="BodyText"/>
      </w:pPr>
      <m:oMathPara>
        <m:oMathParaPr>
          <m:jc m:val="center"/>
        </m:oMathParaPr>
        <m:oMath>
          <m:sSub>
            <m:e>
              <m:r>
                <m:t>ρ</m:t>
              </m:r>
            </m:e>
            <m:sub>
              <m:r>
                <m:t>k</m:t>
              </m:r>
            </m:sub>
          </m:sSub>
          <m:r>
            <m:rPr>
              <m:sty m:val="p"/>
            </m:rPr>
            <m:t>=</m:t>
          </m:r>
          <m:f>
            <m:fPr>
              <m:type m:val="bar"/>
            </m:fPr>
            <m:num>
              <m:nary>
                <m:naryPr>
                  <m:chr m:val="∑"/>
                  <m:limLoc m:val="undOvr"/>
                  <m:subHide m:val="off"/>
                  <m:supHide m:val="off"/>
                </m:naryPr>
                <m:sub>
                  <m:r>
                    <m:t>t</m:t>
                  </m:r>
                  <m:r>
                    <m:rPr>
                      <m:sty m:val="p"/>
                    </m:rPr>
                    <m:t>=</m:t>
                  </m:r>
                  <m:r>
                    <m:t>k</m:t>
                  </m:r>
                  <m:r>
                    <m:rPr>
                      <m:sty m:val="p"/>
                    </m:rPr>
                    <m:t>+</m:t>
                  </m:r>
                  <m:r>
                    <m:t>1</m:t>
                  </m:r>
                </m:sub>
                <m:sup>
                  <m:r>
                    <m:t>T</m:t>
                  </m:r>
                </m:sup>
                <m:e>
                  <m:r>
                    <m:rPr>
                      <m:sty m:val="p"/>
                    </m:rPr>
                    <m:t>(</m:t>
                  </m:r>
                </m:e>
              </m:nary>
              <m:sSub>
                <m:e>
                  <m:r>
                    <m:t>r</m:t>
                  </m:r>
                </m:e>
                <m:sub>
                  <m:r>
                    <m:t>t</m:t>
                  </m:r>
                </m:sub>
              </m:sSub>
              <m:r>
                <m:rPr>
                  <m:sty m:val="p"/>
                </m:rPr>
                <m:t>−</m:t>
              </m:r>
              <m:acc>
                <m:accPr>
                  <m:chr m:val="‾"/>
                </m:accPr>
                <m:e>
                  <m:r>
                    <m:t>r</m:t>
                  </m:r>
                </m:e>
              </m:acc>
              <m:r>
                <m:rPr>
                  <m:sty m:val="p"/>
                </m:rPr>
                <m:t>)</m:t>
              </m:r>
              <m:r>
                <m:rPr>
                  <m:sty m:val="p"/>
                </m:rPr>
                <m:t>(</m:t>
              </m:r>
              <m:sSub>
                <m:e>
                  <m:r>
                    <m:t>r</m:t>
                  </m:r>
                </m:e>
                <m:sub>
                  <m:r>
                    <m:t>t</m:t>
                  </m:r>
                  <m:r>
                    <m:rPr>
                      <m:sty m:val="p"/>
                    </m:rPr>
                    <m:t>−</m:t>
                  </m:r>
                  <m:r>
                    <m:t>k</m:t>
                  </m:r>
                </m:sub>
              </m:sSub>
              <m:r>
                <m:rPr>
                  <m:sty m:val="p"/>
                </m:rPr>
                <m:t>−</m:t>
              </m:r>
              <m:acc>
                <m:accPr>
                  <m:chr m:val="‾"/>
                </m:accPr>
                <m:e>
                  <m:r>
                    <m:t>r</m:t>
                  </m:r>
                </m:e>
              </m:acc>
              <m:r>
                <m:rPr>
                  <m:sty m:val="p"/>
                </m:rPr>
                <m:t>)</m:t>
              </m:r>
            </m:num>
            <m:den>
              <m:nary>
                <m:naryPr>
                  <m:chr m:val="∑"/>
                  <m:limLoc m:val="undOvr"/>
                  <m:subHide m:val="off"/>
                  <m:supHide m:val="off"/>
                </m:naryPr>
                <m:sub>
                  <m:r>
                    <m:t>t</m:t>
                  </m:r>
                  <m:r>
                    <m:rPr>
                      <m:sty m:val="p"/>
                    </m:rPr>
                    <m:t>=</m:t>
                  </m:r>
                  <m:r>
                    <m:t>1</m:t>
                  </m:r>
                </m:sub>
                <m:sup>
                  <m:r>
                    <m:t>T</m:t>
                  </m:r>
                </m:sup>
                <m:e>
                  <m:r>
                    <m:rPr>
                      <m:sty m:val="p"/>
                    </m:rPr>
                    <m:t>(</m:t>
                  </m:r>
                </m:e>
              </m:nary>
              <m:sSub>
                <m:e>
                  <m:r>
                    <m:t>r</m:t>
                  </m:r>
                </m:e>
                <m:sub>
                  <m:r>
                    <m:t>t</m:t>
                  </m:r>
                </m:sub>
              </m:sSub>
              <m:r>
                <m:rPr>
                  <m:sty m:val="p"/>
                </m:rPr>
                <m:t>−</m:t>
              </m:r>
              <m:acc>
                <m:accPr>
                  <m:chr m:val="‾"/>
                </m:accPr>
                <m:e>
                  <m:r>
                    <m:t>r</m:t>
                  </m:r>
                </m:e>
              </m:acc>
              <m:sSup>
                <m:e>
                  <m:r>
                    <m:rPr>
                      <m:sty m:val="p"/>
                    </m:rPr>
                    <m:t>)</m:t>
                  </m:r>
                </m:e>
                <m:sup>
                  <m:r>
                    <m:t>2</m:t>
                  </m:r>
                </m:sup>
              </m:sSup>
            </m:den>
          </m:f>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nhiều trường hợp, các hệ số tự tương quan của (</w:t>
      </w:r>
      <m:oMath>
        <m:sSub>
          <m:e>
            <m:r>
              <m:t>r</m:t>
            </m:r>
          </m:e>
          <m:sub>
            <m:r>
              <m:t>t</m:t>
            </m:r>
          </m:sub>
        </m:sSub>
      </m:oMath>
      <w:r>
        <w:rPr>
          <w:rFonts w:ascii="Times New Roman" w:hAnsi="Times New Roman" w:eastAsia="Times New Roman"/>
          <w:sz w:val="26"/>
        </w:rPr>
        <w:t xml:space="preserve">) nhỏ và không có ý nghĩa thống kê rõ rệt. Điều này hàm ý rằng việc dự báo trực tiếp dấu hoặc mức sinh lời ngắn hạn là rất khó. Tuy nhiên, nếu xét chuỗi (</w:t>
      </w:r>
      <m:oMath>
        <m:sSubSup>
          <m:e>
            <m:r>
              <m:t>r</m:t>
            </m:r>
          </m:e>
          <m:sub>
            <m:r>
              <m:t>t</m:t>
            </m:r>
          </m:sub>
          <m:sup>
            <m:r>
              <m:t>2</m:t>
            </m:r>
          </m:sup>
        </m:sSubSup>
      </m:oMath>
      <w:r>
        <w:rPr>
          <w:rFonts w:ascii="Times New Roman" w:hAnsi="Times New Roman" w:eastAsia="Times New Roman"/>
          <w:sz w:val="26"/>
        </w:rPr>
        <w:t xml:space="preserve">) hoặc (</w:t>
      </w:r>
      <m:oMath>
        <m:r>
          <m:rPr>
            <m:sty m:val="p"/>
          </m:rPr>
          <m:t>|</m:t>
        </m:r>
        <m:sSub>
          <m:e>
            <m:r>
              <m:t>r</m:t>
            </m:r>
          </m:e>
          <m:sub>
            <m:r>
              <m:t>t</m:t>
            </m:r>
          </m:sub>
        </m:sSub>
        <m:r>
          <m:rPr>
            <m:sty m:val="p"/>
          </m:rPr>
          <m:t>|</m:t>
        </m:r>
      </m:oMath>
      <w:r>
        <w:rPr>
          <w:rFonts w:ascii="Times New Roman" w:hAnsi="Times New Roman" w:eastAsia="Times New Roman"/>
          <w:sz w:val="26"/>
        </w:rPr>
        <w:t xml:space="preserve">), tự tương quan thường rõ rệt hơn. Nói cách khác, khó dự báo tỷ lệ sinh lời sẽ tăng hay giảm, nhưng có thể dự báo phần nào mức độ biến động của nó.</w:t>
      </w:r>
    </w:p>
    <w:p>
      <w:pPr>
        <w:pStyle w:val="BodyText"/>
        <w:spacing w:before="60" w:after="60" w:line="276" w:lineRule="auto"/>
        <w:ind w:firstLine="567"/>
        <w:jc w:val="both"/>
      </w:pPr>
      <w:r>
        <w:rPr>
          <w:rFonts w:ascii="Times New Roman" w:hAnsi="Times New Roman" w:eastAsia="Times New Roman"/>
          <w:sz w:val="26"/>
        </w:rPr>
        <w:t xml:space="preserve">Thứ sáu, chuỗi tỷ lệ sinh lời thường có</w:t>
      </w:r>
      <w:r>
        <w:rPr>
          <w:rFonts w:ascii="Times New Roman" w:hAnsi="Times New Roman" w:eastAsia="Times New Roman"/>
          <w:sz w:val="26"/>
        </w:rPr>
        <w:t xml:space="preserve"> </w:t>
      </w:r>
      <w:r>
        <w:rPr>
          <w:rFonts w:ascii="Times New Roman" w:hAnsi="Times New Roman" w:eastAsia="Times New Roman"/>
          <w:b/>
          <w:bCs/>
          <w:sz w:val="26"/>
        </w:rPr>
        <w:t xml:space="preserve">cụm biến động</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volatility clustering</w:t>
      </w:r>
      <w:r>
        <w:rPr>
          <w:rFonts w:ascii="Times New Roman" w:hAnsi="Times New Roman" w:eastAsia="Times New Roman"/>
          <w:sz w:val="26"/>
        </w:rPr>
        <w:t xml:space="preserve">). Các giai đoạn biến động lớn có xu hướng xuất hiện gần nhau, và các giai đoạn biến động nhỏ cũng có xu hướng kéo dài thành cụm. Trên đồ thị chuỗi tỷ lệ sinh lời theo thời gian, hiện tượng này thể hiện qua các đoạn thị trường dao động rất mạnh liên tục, xen kẽ với các đoạn tương đối yên ắng.</w:t>
      </w:r>
    </w:p>
    <w:p>
      <w:pPr>
        <w:pStyle w:val="BodyText"/>
        <w:spacing w:before="60" w:after="60" w:line="276" w:lineRule="auto"/>
        <w:ind w:firstLine="567"/>
        <w:jc w:val="both"/>
      </w:pPr>
      <w:r>
        <w:rPr>
          <w:rFonts w:ascii="Times New Roman" w:hAnsi="Times New Roman" w:eastAsia="Times New Roman"/>
          <w:sz w:val="26"/>
        </w:rPr>
        <w:t xml:space="preserve">Thứ bảy, chuỗi tỷ lệ sinh lời thường có</w:t>
      </w:r>
      <w:r>
        <w:rPr>
          <w:rFonts w:ascii="Times New Roman" w:hAnsi="Times New Roman" w:eastAsia="Times New Roman"/>
          <w:sz w:val="26"/>
        </w:rPr>
        <w:t xml:space="preserve"> </w:t>
      </w:r>
      <w:r>
        <w:rPr>
          <w:rFonts w:ascii="Times New Roman" w:hAnsi="Times New Roman" w:eastAsia="Times New Roman"/>
          <w:b/>
          <w:bCs/>
          <w:sz w:val="26"/>
        </w:rPr>
        <w:t xml:space="preserve">phương sai thay đổi có điều kiện</w:t>
      </w:r>
      <w:r>
        <w:rPr>
          <w:rFonts w:ascii="Times New Roman" w:hAnsi="Times New Roman" w:eastAsia="Times New Roman"/>
          <w:sz w:val="26"/>
        </w:rPr>
        <w:t xml:space="preserve">. Điều này có nghĩa là phương sai tại thời điểm hiện tại phụ thuộc vào trạng thái thông tin và các cú sốc trong quá khứ. Đây là nền tảng thực nghiệm của các mô hình ARCH và GARCH</w:t>
      </w:r>
      <w:r>
        <w:rPr>
          <w:rFonts w:ascii="Times New Roman" w:hAnsi="Times New Roman" w:eastAsia="Times New Roman"/>
          <w:sz w:val="26"/>
        </w:rPr>
        <w:t xml:space="preserve"> </w:t>
      </w:r>
      <w:r>
        <w:rPr>
          <w:rFonts w:ascii="Times New Roman" w:hAnsi="Times New Roman" w:eastAsia="Times New Roman"/>
          <w:sz w:val="26"/>
        </w:rPr>
        <w:t xml:space="preserve">(Bollerslev, 1986; Engle, 1982)</w:t>
      </w:r>
      <w:r>
        <w:rPr>
          <w:rFonts w:ascii="Times New Roman" w:hAnsi="Times New Roman" w:eastAsia="Times New Roman"/>
          <w:sz w:val="26"/>
        </w:rPr>
        <w:t xml:space="preserve">. Nếu sử dụng một độ lệch chuẩn cố định cho toàn bộ mẫu, mô hình có thể đánh giá thấp rủi ro trong giai đoạn biến động mạnh và đánh giá quá cao rủi ro trong giai đoạn thị trường yên ắng.</w:t>
      </w:r>
    </w:p>
    <w:p>
      <w:pPr>
        <w:pStyle w:val="BodyText"/>
        <w:spacing w:before="60" w:after="60" w:line="276" w:lineRule="auto"/>
        <w:ind w:firstLine="567"/>
        <w:jc w:val="both"/>
      </w:pPr>
      <w:r>
        <w:rPr>
          <w:rFonts w:ascii="Times New Roman" w:hAnsi="Times New Roman" w:eastAsia="Times New Roman"/>
          <w:sz w:val="26"/>
        </w:rPr>
        <w:t xml:space="preserve">Thứ tám, chuỗi tỷ lệ sinh lời thường</w:t>
      </w:r>
      <w:r>
        <w:rPr>
          <w:rFonts w:ascii="Times New Roman" w:hAnsi="Times New Roman" w:eastAsia="Times New Roman"/>
          <w:sz w:val="26"/>
        </w:rPr>
        <w:t xml:space="preserve"> </w:t>
      </w:r>
      <w:r>
        <w:rPr>
          <w:rFonts w:ascii="Times New Roman" w:hAnsi="Times New Roman" w:eastAsia="Times New Roman"/>
          <w:b/>
          <w:bCs/>
          <w:sz w:val="26"/>
        </w:rPr>
        <w:t xml:space="preserve">dừng hơn chuỗi giá</w:t>
      </w:r>
      <w:r>
        <w:rPr>
          <w:rFonts w:ascii="Times New Roman" w:hAnsi="Times New Roman" w:eastAsia="Times New Roman"/>
          <w:sz w:val="26"/>
        </w:rPr>
        <w:t xml:space="preserve">. Giá tài sản thường có xu hướng, mức giá hiện tại phụ thuộc mạnh vào mức giá quá khứ, và nhiều chuỗi giá có đặc điểm gần với bước ngẫu nhiên. Ngược lại, tỷ lệ sinh lời thường dao động quanh một mức trung bình tương đối ổn định. Tuy nhiên, cần nhấn mạnh rằng “return dừng” không đồng nghĩa với “phương sai không đổi”. Chuỗi (</w:t>
      </w:r>
      <m:oMath>
        <m:sSub>
          <m:e>
            <m:r>
              <m:t>r</m:t>
            </m:r>
          </m:e>
          <m:sub>
            <m:r>
              <m:t>t</m:t>
            </m:r>
          </m:sub>
        </m:sSub>
      </m:oMath>
      <w:r>
        <w:rPr>
          <w:rFonts w:ascii="Times New Roman" w:hAnsi="Times New Roman" w:eastAsia="Times New Roman"/>
          <w:sz w:val="26"/>
        </w:rPr>
        <w:t xml:space="preserve">) có thể dừng về trung bình nhưng vẫn có phương sai có điều kiện thay đổi theo thời gian.</w:t>
      </w:r>
    </w:p>
    <w:p>
      <w:pPr>
        <w:pStyle w:val="BodyText"/>
        <w:spacing w:before="60" w:after="60" w:line="240" w:lineRule="auto"/>
        <w:ind w:firstLine="0"/>
        <w:jc w:val="center"/>
      </w:pPr>
      <w:r>
        <w:rPr>
          <w:rFonts w:ascii="Times New Roman" w:hAnsi="Times New Roman" w:eastAsia="Times New Roman"/>
          <w:b/>
          <w:i w:val="0"/>
          <w:sz w:val="24"/>
        </w:rPr>
        <w:t>Hình dưới đây là một cách kiểm tra trực quan quan trọng. Nếu các điểm trong Q–Q plot lệch mạnh khỏi đường thẳng ở hai đầu, đặc biệt ở đuôi trái, điều đó gợi ý phân phối có đuôi dày hoặc bất đối xứng. Khi đó, giả định chuẩn trong mô hình VaR tham số cần được sử dụng thận trọng.</w:t>
      </w:r>
    </w:p>
    <w:bookmarkEnd w:id="25"/>
    <w:bookmarkStart w:id="27" w:name="sec-return-diagnostics"/>
    <w:p>
      <w:pPr>
        <w:pStyle w:val="Heading3"/>
        <w:spacing w:before="120" w:after="120" w:line="276" w:lineRule="auto"/>
        <w:ind w:firstLine="0"/>
        <w:jc w:val="left"/>
      </w:pPr>
      <w:r>
        <w:rPr>
          <w:rFonts w:ascii="Times New Roman" w:hAnsi="Times New Roman" w:eastAsia="Times New Roman"/>
          <w:b/>
          <w:i w:val="0"/>
          <w:sz w:val="26"/>
        </w:rPr>
        <w:t xml:space="preserve">1.2.4 Kiểm định và chẩn đoán sơ bộ chuỗi tỷ lệ sinh lời</w:t>
      </w:r>
    </w:p>
    <w:p>
      <w:pPr>
        <w:pStyle w:val="FirstParagraph"/>
        <w:spacing w:before="60" w:after="60" w:line="276" w:lineRule="auto"/>
        <w:ind w:firstLine="567"/>
        <w:jc w:val="both"/>
      </w:pPr>
      <w:r>
        <w:rPr>
          <w:rFonts w:ascii="Times New Roman" w:hAnsi="Times New Roman" w:eastAsia="Times New Roman"/>
          <w:sz w:val="26"/>
        </w:rPr>
        <w:t xml:space="preserve">Các đặc điểm thực nghiệm nêu trên cần được kiểm tra bằng cả công cụ trực quan và kiểm định thống kê. Trong nghiên cứu rủi ro tài chính, mục tiêu của bước chẩn đoán không phải là “chạy càng nhiều kiểm định càng tốt”, mà là xác định xem dữ liệu có những đặc điểm nào đủ quan trọng để ảnh hưởng đến lựa chọn mô hình. Một quy trình chẩn đoán hợp lý thường bao gồm năm nhóm: thống kê mô tả, kiểm định tính chuẩn, kiểm định tính dừng, kiểm định tự tương quan, và kiểm định hiệu ứng ARCH.</w:t>
      </w:r>
    </w:p>
    <w:p>
      <w:pPr>
        <w:pStyle w:val="BodyText"/>
        <w:spacing w:before="60" w:after="60" w:line="276" w:lineRule="auto"/>
        <w:ind w:firstLine="567"/>
        <w:jc w:val="both"/>
      </w:pPr>
      <w:r>
        <w:rPr>
          <w:rFonts w:ascii="Times New Roman" w:hAnsi="Times New Roman" w:eastAsia="Times New Roman"/>
          <w:sz w:val="26"/>
        </w:rPr>
        <w:t xml:space="preserve">Trước hết, cần sử dụng thống kê mô tả để nhận diện sơ bộ hình dạng của phân phối. Ngoài trung bình và độ lệch chuẩn, nên báo cáo skewness, kurtosis, excess kurtosis, giá trị nhỏ nhất, giá trị lớn nhất, và các phân vị ở vùng đuôi như 1%, 5%, 95% và 99%. Đối với VaR, phân vị 1% và 5% thường hữu ích hơn trung bình vì chúng phản ánh trực tiếp vùng lỗ lớn của phân phối.</w:t>
      </w:r>
    </w:p>
    <w:p>
      <w:pPr>
        <w:pStyle w:val="BodyText"/>
        <w:spacing w:before="60" w:after="60" w:line="276" w:lineRule="auto"/>
        <w:ind w:firstLine="567"/>
        <w:jc w:val="both"/>
      </w:pPr>
      <w:r>
        <w:rPr>
          <w:rFonts w:ascii="Times New Roman" w:hAnsi="Times New Roman" w:eastAsia="Times New Roman"/>
          <w:sz w:val="26"/>
        </w:rPr>
        <w:t xml:space="preserve">Xét dưới góc độ kinh tế, cụm biến động phản ánh thực tế rằng thông tin trên thị trường không được hấp thụ một cách độc lập từng ngày. Khi xuất hiện một cú sốc lớn, chẳng hạn như khủng hoảng tài chính, thay đổi chính sách tiền tệ, hoặc sự kiện bất thường về kinh tế - chính trị, tác động của cú sốc đó có thể kéo dài trong nhiều phiên giao dịch liên tiếp, khiến biến động thị trường duy trì ở mức cao trong một khoảng thời gian.</w:t>
      </w:r>
    </w:p>
    <w:p>
      <w:pPr>
        <w:pStyle w:val="BodyText"/>
        <w:spacing w:before="60" w:after="60" w:line="276" w:lineRule="auto"/>
        <w:ind w:firstLine="567"/>
        <w:jc w:val="both"/>
      </w:pPr>
      <w:r>
        <w:rPr>
          <w:rFonts w:ascii="Times New Roman" w:hAnsi="Times New Roman" w:eastAsia="Times New Roman"/>
          <w:sz w:val="26"/>
        </w:rPr>
        <w:t xml:space="preserve">Đặc điểm này cho thấy giả định phương sai không đổi theo thời gian là không phù hợp đối với dữ liệu tài chính. Mặc dù tỷ lệ sinh lời vẫn dao động quanh một mức trung bình tương đối ổn định, mức độ phân tán của chuỗi lại thay đổi đáng kể theo thời gian. Vì vậy, để mô tả đúng bản chất của dữ liệu tài chính, cần sử dụng các mô hình trong đó phương sai là một đại lượng động, có thể thay đổi theo trạng thái thị trường.</w:t>
      </w:r>
    </w:p>
    <w:bookmarkStart w:id="26" w:name="X319dc85f458a2baad9d479fa880d9a77af4f1f4"/>
    <w:p>
      <w:pPr>
        <w:pStyle w:val="Heading4"/>
        <w:spacing w:before="120" w:after="60" w:line="276" w:lineRule="auto"/>
        <w:ind w:firstLine="0"/>
        <w:jc w:val="left"/>
      </w:pPr>
      <w:r>
        <w:rPr>
          <w:rFonts w:ascii="Times New Roman" w:hAnsi="Times New Roman" w:eastAsia="Times New Roman"/>
          <w:b w:val="0"/>
          <w:i/>
          <w:sz w:val="26"/>
        </w:rPr>
        <w:t xml:space="preserve">Phân phối có điều kiện của tỷ lệ sinh lời</w:t>
      </w:r>
    </w:p>
    <w:p>
      <w:pPr>
        <w:pStyle w:val="FirstParagraph"/>
        <w:spacing w:before="60" w:after="60" w:line="276" w:lineRule="auto"/>
        <w:ind w:firstLine="567"/>
        <w:jc w:val="both"/>
      </w:pPr>
      <w:r>
        <w:rPr>
          <w:rFonts w:ascii="Times New Roman" w:hAnsi="Times New Roman" w:eastAsia="Times New Roman"/>
          <w:sz w:val="26"/>
        </w:rPr>
        <w:t xml:space="preserve">Từ những đặc điểm phân phối của tỷ lệ sinh lời kể trên, có thể thấy các tham số của phân phối xác suất ở trên không cố định qua thời gian mà có thể thay đổi tuỳ thuộc vào trạng thái và diễn biến thong tin trên thị trường. Nói cách khác, khi đo lường rủi ro đối với tỷ lệ sinh lời, nhà đầu tư và nhà quản trị rủi ro không quan tâm nhiều đến câu hỏi: “Tỷ lệ sinh lời nói chung có phân phối như thế nào trong toàn bộ giai đoạn quan sát?”, mà quan tâm hơn đến câu hỏi: “Với tất cả thông tin hiện có đến thời điểm</w:t>
      </w:r>
      <w:r>
        <w:rPr>
          <w:rFonts w:ascii="Times New Roman" w:hAnsi="Times New Roman" w:eastAsia="Times New Roman"/>
          <w:sz w:val="26"/>
        </w:rPr>
        <w:t xml:space="preserve"> </w:t>
      </w:r>
      <m:oMath>
        <m:r>
          <m:t>t</m:t>
        </m:r>
        <m:r>
          <m:rPr>
            <m:sty m:val="p"/>
          </m:rPr>
          <m:t>−</m:t>
        </m:r>
        <m:r>
          <m:t>1</m:t>
        </m:r>
      </m:oMath>
      <w:r>
        <w:rPr>
          <w:rFonts w:ascii="Times New Roman" w:hAnsi="Times New Roman" w:eastAsia="Times New Roman"/>
          <w:sz w:val="26"/>
        </w:rPr>
        <w:t xml:space="preserve">, tỷ lệ sinh lời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sẽ có phân phối như thế nào?”. Nói cách khác, thay vì dựa trên</w:t>
      </w:r>
      <w:r>
        <w:rPr>
          <w:rFonts w:ascii="Times New Roman" w:hAnsi="Times New Roman" w:eastAsia="Times New Roman"/>
          <w:sz w:val="26"/>
        </w:rPr>
        <w:t xml:space="preserve"> </w:t>
      </w:r>
      <w:r>
        <w:rPr>
          <w:rFonts w:ascii="Times New Roman" w:hAnsi="Times New Roman" w:eastAsia="Times New Roman"/>
          <w:b/>
          <w:bCs/>
          <w:sz w:val="26"/>
        </w:rPr>
        <w:t xml:space="preserve">phân phối vô điều kiện</w:t>
      </w:r>
      <w:r>
        <w:rPr>
          <w:rFonts w:ascii="Times New Roman" w:hAnsi="Times New Roman" w:eastAsia="Times New Roman"/>
          <w:sz w:val="26"/>
        </w:rPr>
        <w:t xml:space="preserve"> </w:t>
      </w:r>
      <w:r>
        <w:rPr>
          <w:rFonts w:ascii="Times New Roman" w:hAnsi="Times New Roman" w:eastAsia="Times New Roman"/>
          <w:sz w:val="26"/>
        </w:rPr>
        <w:t xml:space="preserve">của tỷ lệ sinh lời, chúng ta sẽ quan tâm tới</w:t>
      </w:r>
      <w:r>
        <w:rPr>
          <w:rFonts w:ascii="Times New Roman" w:hAnsi="Times New Roman" w:eastAsia="Times New Roman"/>
          <w:sz w:val="26"/>
        </w:rPr>
        <w:t xml:space="preserve"> </w:t>
      </w:r>
      <w:r>
        <w:rPr>
          <w:rFonts w:ascii="Times New Roman" w:hAnsi="Times New Roman" w:eastAsia="Times New Roman"/>
          <w:b/>
          <w:bCs/>
          <w:sz w:val="26"/>
        </w:rPr>
        <w:t xml:space="preserve">phân phối có điều kiện</w:t>
      </w:r>
      <w:r>
        <w:rPr>
          <w:rFonts w:ascii="Times New Roman" w:hAnsi="Times New Roman" w:eastAsia="Times New Roman"/>
          <w:sz w:val="26"/>
        </w:rPr>
        <w:t xml:space="preserve"> </w:t>
      </w:r>
      <w:r>
        <w:rPr>
          <w:rFonts w:ascii="Times New Roman" w:hAnsi="Times New Roman" w:eastAsia="Times New Roman"/>
          <w:sz w:val="26"/>
        </w:rPr>
        <w:t xml:space="preserve">theo thời điểm của tài sản. Cụ thể, phân phối vô điều kiện mô tả đặc điểm chung của toàn bộ chuỗi trong cả giai đoạn nghiên cứu, chẳng hạn như trung bình chung, độ lệch chung và độ nhọn chung. Trong khi đó, phân phối có điều kiện phản ánh hành vi của tỷ lệ sinh lời tại một thời điểm cụ thể, khi đã xét đến thông tin quá khứ. Chính vì vậy, nếu mục tiêu là đo lường rủi ro theo thời gian thực hoặc dự báo rủi ro ngắn hạn, thì phân phối có điều kiện là khái niệm phù hợp hơn nhiều so với phân phối vô điều kiện.</w:t>
      </w:r>
    </w:p>
    <w:p>
      <w:pPr>
        <w:pStyle w:val="BodyText"/>
        <w:spacing w:before="60" w:after="60" w:line="276" w:lineRule="auto"/>
        <w:ind w:firstLine="567"/>
        <w:jc w:val="both"/>
      </w:pPr>
      <w:r>
        <w:rPr>
          <w:rFonts w:ascii="Times New Roman" w:hAnsi="Times New Roman" w:eastAsia="Times New Roman"/>
          <w:sz w:val="26"/>
        </w:rPr>
        <w:t xml:space="preserve">Ký hiệu</w:t>
      </w:r>
      <w:r>
        <w:rPr>
          <w:rFonts w:ascii="Times New Roman" w:hAnsi="Times New Roman" w:eastAsia="Times New Roman"/>
          <w:sz w:val="26"/>
        </w:rPr>
        <w:t xml:space="preserve"> </w:t>
      </w:r>
      <m:oMath>
        <m:sSub>
          <m:e>
            <m:r>
              <m:rPr>
                <m:scr m:val="script"/>
                <m:sty m:val="p"/>
              </m:rPr>
              <m:t>F</m:t>
            </m:r>
          </m:e>
          <m:sub>
            <m:r>
              <m:t>t</m:t>
            </m:r>
            <m:r>
              <m:rPr>
                <m:sty m:val="p"/>
              </m:rPr>
              <m:t>−</m:t>
            </m:r>
            <m:r>
              <m:t>1</m:t>
            </m:r>
          </m:sub>
        </m:sSub>
      </m:oMath>
      <w:r>
        <w:rPr>
          <w:rFonts w:ascii="Times New Roman" w:hAnsi="Times New Roman" w:eastAsia="Times New Roman"/>
          <w:sz w:val="26"/>
        </w:rPr>
        <w:t xml:space="preserve"> </w:t>
      </w:r>
      <w:r>
        <w:rPr>
          <w:rFonts w:ascii="Times New Roman" w:hAnsi="Times New Roman" w:eastAsia="Times New Roman"/>
          <w:sz w:val="26"/>
        </w:rPr>
        <w:t xml:space="preserve">là tập thông tin sẵn có tại thời điểm</w:t>
      </w:r>
      <w:r>
        <w:rPr>
          <w:rFonts w:ascii="Times New Roman" w:hAnsi="Times New Roman" w:eastAsia="Times New Roman"/>
          <w:sz w:val="26"/>
        </w:rPr>
        <w:t xml:space="preserve"> </w:t>
      </w:r>
      <m:oMath>
        <m:r>
          <m:t>t</m:t>
        </m:r>
        <m:r>
          <m:rPr>
            <m:sty m:val="p"/>
          </m:rPr>
          <m:t>−</m:t>
        </m:r>
        <m:r>
          <m:t>1</m:t>
        </m:r>
      </m:oMath>
      <w:r>
        <w:rPr>
          <w:rFonts w:ascii="Times New Roman" w:hAnsi="Times New Roman" w:eastAsia="Times New Roman"/>
          <w:sz w:val="26"/>
        </w:rPr>
        <w:t xml:space="preserve">, bao gồm toàn bộ các giá trị quá khứ của tỷ lệ sinh lời, các cú sốc trước đó, và trong một số trường hợp có thể bao gồm thêm các biến giải thích khác. Khi đó, phân phối có điều kiện của tỷ lệ sinh lời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được ký hiệu là:</w:t>
      </w:r>
    </w:p>
    <w:p>
      <w:pPr>
        <w:pStyle w:val="BodyText"/>
      </w:pPr>
      <m:oMathPara>
        <m:oMathParaPr>
          <m:jc m:val="center"/>
        </m:oMathParaPr>
        <m:oMath>
          <m:sSub>
            <m:e>
              <m:r>
                <m:t>r</m:t>
              </m:r>
            </m:e>
            <m:sub>
              <m:r>
                <m:t>t</m:t>
              </m:r>
            </m:sub>
          </m:sSub>
          <m:r>
            <m:rPr>
              <m:sty m:val="p"/>
            </m:rPr>
            <m:t>∣</m:t>
          </m:r>
          <m:sSub>
            <m:e>
              <m:r>
                <m:rPr>
                  <m:scr m:val="script"/>
                  <m:sty m:val="p"/>
                </m:rPr>
                <m:t>F</m:t>
              </m:r>
            </m:e>
            <m:sub>
              <m:r>
                <m:t>t</m:t>
              </m:r>
              <m:r>
                <m:rPr>
                  <m:sty m:val="p"/>
                </m:rPr>
                <m:t>−</m:t>
              </m:r>
              <m:r>
                <m:t>1</m:t>
              </m:r>
            </m:sub>
          </m:sSub>
        </m:oMath>
      </m:oMathPara>
    </w:p>
    <w:p>
      <w:pPr>
        <w:pStyle w:val="FirstParagraph"/>
        <w:spacing w:before="60" w:after="60" w:line="276" w:lineRule="auto"/>
        <w:ind w:firstLine="567"/>
        <w:jc w:val="both"/>
      </w:pPr>
      <w:r>
        <w:rPr>
          <w:rFonts w:ascii="Times New Roman" w:hAnsi="Times New Roman" w:eastAsia="Times New Roman"/>
          <w:sz w:val="26"/>
        </w:rPr>
        <w:t xml:space="preserve">hoặc biểu diễn bằng hàm phân phối có điều kiện:</w:t>
      </w:r>
    </w:p>
    <w:p>
      <w:pPr>
        <w:pStyle w:val="BodyText"/>
      </w:pPr>
      <m:oMathPara>
        <m:oMathParaPr>
          <m:jc m:val="center"/>
        </m:oMathParaPr>
        <m:oMath>
          <m:sSub>
            <m:e>
              <m:r>
                <m:t>F</m:t>
              </m:r>
            </m:e>
            <m:sub>
              <m:r>
                <m:t>t</m:t>
              </m:r>
            </m:sub>
          </m:sSub>
          <m:r>
            <m:rPr>
              <m:sty m:val="p"/>
            </m:rPr>
            <m:t>(</m:t>
          </m:r>
          <m:r>
            <m:t>r</m:t>
          </m:r>
          <m:r>
            <m:rPr>
              <m:sty m:val="p"/>
            </m:rPr>
            <m:t>∣</m:t>
          </m:r>
          <m:sSub>
            <m:e>
              <m:r>
                <m:rPr>
                  <m:scr m:val="script"/>
                  <m:sty m:val="p"/>
                </m:rPr>
                <m:t>F</m:t>
              </m:r>
            </m:e>
            <m:sub>
              <m:r>
                <m:t>t</m:t>
              </m:r>
              <m:r>
                <m:rPr>
                  <m:sty m:val="p"/>
                </m:rPr>
                <m:t>−</m:t>
              </m:r>
              <m:r>
                <m:t>1</m:t>
              </m:r>
            </m:sub>
          </m:sSub>
          <m:r>
            <m:rPr>
              <m:sty m:val="p"/>
            </m:rPr>
            <m:t>)</m:t>
          </m:r>
          <m:r>
            <m:rPr>
              <m:sty m:val="p"/>
            </m:rPr>
            <m:t>=</m:t>
          </m:r>
          <m:r>
            <m:t>P</m:t>
          </m:r>
          <m:r>
            <m:rPr>
              <m:sty m:val="p"/>
            </m:rPr>
            <m:t>(</m:t>
          </m:r>
          <m:sSub>
            <m:e>
              <m:r>
                <m:t>r</m:t>
              </m:r>
            </m:e>
            <m:sub>
              <m:r>
                <m:t>t</m:t>
              </m:r>
            </m:sub>
          </m:sSub>
          <m:r>
            <m:rPr>
              <m:sty m:val="p"/>
            </m:rPr>
            <m:t>≤</m:t>
          </m:r>
          <m:r>
            <m:t>r</m:t>
          </m:r>
          <m:r>
            <m:rPr>
              <m:sty m:val="p"/>
            </m:rPr>
            <m:t>∣</m:t>
          </m:r>
          <m:sSub>
            <m:e>
              <m:r>
                <m:rPr>
                  <m:scr m:val="script"/>
                  <m:sty m:val="p"/>
                </m:rPr>
                <m:t>F</m:t>
              </m:r>
            </m:e>
            <m:sub>
              <m:r>
                <m:t>t</m:t>
              </m:r>
              <m:r>
                <m:rPr>
                  <m:sty m:val="p"/>
                </m:rPr>
                <m:t>−</m:t>
              </m:r>
              <m:r>
                <m:t>1</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Biểu thức này cho biết xác suất để tỷ lệ sinh lời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nhỏ hơn hoặc bằng một mức</w:t>
      </w:r>
      <w:r>
        <w:rPr>
          <w:rFonts w:ascii="Times New Roman" w:hAnsi="Times New Roman" w:eastAsia="Times New Roman"/>
          <w:sz w:val="26"/>
        </w:rPr>
        <w:t xml:space="preserve"> </w:t>
      </w:r>
      <m:oMath>
        <m:r>
          <m:t>r</m:t>
        </m:r>
      </m:oMath>
      <w:r>
        <w:rPr>
          <w:rFonts w:ascii="Times New Roman" w:hAnsi="Times New Roman" w:eastAsia="Times New Roman"/>
          <w:sz w:val="26"/>
        </w:rPr>
        <w:t xml:space="preserve">, với điều kiện đã biết toàn bộ thông tin đến thời điểm</w:t>
      </w:r>
      <w:r>
        <w:rPr>
          <w:rFonts w:ascii="Times New Roman" w:hAnsi="Times New Roman" w:eastAsia="Times New Roman"/>
          <w:sz w:val="26"/>
        </w:rPr>
        <w:t xml:space="preserve"> </w:t>
      </w:r>
      <m:oMath>
        <m:r>
          <m:t>t</m:t>
        </m:r>
        <m:r>
          <m:rPr>
            <m:sty m:val="p"/>
          </m:rPr>
          <m:t>−</m:t>
        </m:r>
        <m:r>
          <m:t>1</m:t>
        </m:r>
      </m:oMath>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Khái niệm phân phối có điều kiện có ý nghĩa rất quan trọng trong tài chính, vì thị trường chứng khoán không vận động trong một môi trường tĩnh. Cùng một mức tỷ lệ sinh lời kỳ vọng, nhưng nếu thị trường vừa trải qua một giai đoạn biến động mạnh thì rủi ro trong ngày tiếp theo có thể rất khác so với khi thị trường đang ổn định. Nói cách khác,</w:t>
      </w:r>
      <w:r>
        <w:rPr>
          <w:rFonts w:ascii="Times New Roman" w:hAnsi="Times New Roman" w:eastAsia="Times New Roman"/>
          <w:sz w:val="26"/>
        </w:rPr>
        <w:t xml:space="preserve"> </w:t>
      </w:r>
      <w:r>
        <w:rPr>
          <w:rFonts w:ascii="Times New Roman" w:hAnsi="Times New Roman" w:eastAsia="Times New Roman"/>
          <w:b/>
          <w:bCs/>
          <w:sz w:val="26"/>
        </w:rPr>
        <w:t xml:space="preserve">phân phối của tỷ lệ sinh lời không chỉ phụ thuộc vào bản thân tài sản, mà còn phụ thuộc vào trạng thái thông tin hiện hành của thị trường</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Từ phân phối có điều kiện, ta có thể xác định các tham số phân phối có điều kiện quan trọng.</w:t>
      </w:r>
    </w:p>
    <w:p>
      <w:pPr>
        <w:pStyle w:val="BodyText"/>
        <w:spacing w:before="60" w:after="60" w:line="276" w:lineRule="auto"/>
        <w:ind w:firstLine="567"/>
        <w:jc w:val="both"/>
      </w:pPr>
      <w:r>
        <w:rPr>
          <w:rFonts w:ascii="Times New Roman" w:hAnsi="Times New Roman" w:eastAsia="Times New Roman"/>
          <w:sz w:val="26"/>
        </w:rPr>
        <w:t xml:space="preserve">Thứ nhất,</w:t>
      </w:r>
      <w:r>
        <w:rPr>
          <w:rFonts w:ascii="Times New Roman" w:hAnsi="Times New Roman" w:eastAsia="Times New Roman"/>
          <w:sz w:val="26"/>
        </w:rPr>
        <w:t xml:space="preserve"> </w:t>
      </w:r>
      <w:r>
        <w:rPr>
          <w:rFonts w:ascii="Times New Roman" w:hAnsi="Times New Roman" w:eastAsia="Times New Roman"/>
          <w:b/>
          <w:bCs/>
          <w:sz w:val="26"/>
        </w:rPr>
        <w:t xml:space="preserve">giá trị kỳ vọng có điều kiện</w:t>
      </w:r>
      <w:r>
        <w:rPr>
          <w:rFonts w:ascii="Times New Roman" w:hAnsi="Times New Roman" w:eastAsia="Times New Roman"/>
          <w:sz w:val="26"/>
        </w:rPr>
        <w:t xml:space="preserve"> </w:t>
      </w:r>
      <w:r>
        <w:rPr>
          <w:rFonts w:ascii="Times New Roman" w:hAnsi="Times New Roman" w:eastAsia="Times New Roman"/>
          <w:sz w:val="26"/>
        </w:rPr>
        <w:t xml:space="preserve">của tỷ lệ sinh lời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là:</w:t>
      </w:r>
    </w:p>
    <w:p>
      <w:pPr>
        <w:pStyle w:val="BodyText"/>
      </w:pPr>
      <m:oMathPara>
        <m:oMathParaPr>
          <m:jc m:val="center"/>
        </m:oMathParaPr>
        <m:oMath>
          <m:r>
            <m:t>E</m:t>
          </m:r>
          <m:r>
            <m:rPr>
              <m:sty m:val="p"/>
            </m:rPr>
            <m:t>(</m:t>
          </m:r>
          <m:sSub>
            <m:e>
              <m:r>
                <m:t>r</m:t>
              </m:r>
            </m:e>
            <m:sub>
              <m:r>
                <m:t>t</m:t>
              </m:r>
            </m:sub>
          </m:sSub>
          <m:r>
            <m:rPr>
              <m:sty m:val="p"/>
            </m:rPr>
            <m:t>∣</m:t>
          </m:r>
          <m:sSub>
            <m:e>
              <m:r>
                <m:rPr>
                  <m:scr m:val="script"/>
                  <m:sty m:val="p"/>
                </m:rPr>
                <m:t>F</m:t>
              </m:r>
            </m:e>
            <m:sub>
              <m:r>
                <m:t>t</m:t>
              </m:r>
              <m:r>
                <m:rPr>
                  <m:sty m:val="p"/>
                </m:rPr>
                <m:t>−</m:t>
              </m:r>
              <m:r>
                <m:t>1</m:t>
              </m:r>
            </m:sub>
          </m:sSub>
          <m:r>
            <m:rPr>
              <m:sty m:val="p"/>
            </m:rPr>
            <m:t>)</m:t>
          </m:r>
          <m:r>
            <m:rPr>
              <m:sty m:val="p"/>
            </m:rPr>
            <m:t>=</m:t>
          </m:r>
          <m:sSub>
            <m:e>
              <m:r>
                <m:t>μ</m:t>
              </m:r>
            </m:e>
            <m:sub>
              <m:r>
                <m:t>t</m:t>
              </m:r>
            </m:sub>
          </m:sSub>
        </m:oMath>
      </m:oMathPara>
    </w:p>
    <w:p>
      <w:pPr>
        <w:pStyle w:val="FirstParagraph"/>
        <w:spacing w:before="60" w:after="60" w:line="276" w:lineRule="auto"/>
        <w:ind w:firstLine="567"/>
        <w:jc w:val="both"/>
      </w:pPr>
      <w:r>
        <w:rPr>
          <w:rFonts w:ascii="Times New Roman" w:hAnsi="Times New Roman" w:eastAsia="Times New Roman"/>
          <w:sz w:val="26"/>
        </w:rPr>
        <w:t xml:space="preserve">Đại lượng này phản ánh mức sinh lời trung bình kỳ vọng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khi đã biết thông tin quá khứ.</w:t>
      </w:r>
    </w:p>
    <w:p>
      <w:pPr>
        <w:pStyle w:val="BodyText"/>
        <w:spacing w:before="60" w:after="60" w:line="276" w:lineRule="auto"/>
        <w:ind w:firstLine="567"/>
        <w:jc w:val="both"/>
      </w:pPr>
      <w:r>
        <w:rPr>
          <w:rFonts w:ascii="Times New Roman" w:hAnsi="Times New Roman" w:eastAsia="Times New Roman"/>
          <w:sz w:val="26"/>
        </w:rPr>
        <w:t xml:space="preserve">Thứ hai,</w:t>
      </w:r>
      <w:r>
        <w:rPr>
          <w:rFonts w:ascii="Times New Roman" w:hAnsi="Times New Roman" w:eastAsia="Times New Roman"/>
          <w:sz w:val="26"/>
        </w:rPr>
        <w:t xml:space="preserve"> </w:t>
      </w:r>
      <w:r>
        <w:rPr>
          <w:rFonts w:ascii="Times New Roman" w:hAnsi="Times New Roman" w:eastAsia="Times New Roman"/>
          <w:b/>
          <w:bCs/>
          <w:sz w:val="26"/>
        </w:rPr>
        <w:t xml:space="preserve">phương sai có điều kiện</w:t>
      </w:r>
      <w:r>
        <w:rPr>
          <w:rFonts w:ascii="Times New Roman" w:hAnsi="Times New Roman" w:eastAsia="Times New Roman"/>
          <w:sz w:val="26"/>
        </w:rPr>
        <w:t xml:space="preserve"> </w:t>
      </w:r>
      <w:r>
        <w:rPr>
          <w:rFonts w:ascii="Times New Roman" w:hAnsi="Times New Roman" w:eastAsia="Times New Roman"/>
          <w:sz w:val="26"/>
        </w:rPr>
        <w:t xml:space="preserve">của tỷ lệ sinh lời là:</w:t>
      </w:r>
    </w:p>
    <w:p>
      <w:pPr>
        <w:pStyle w:val="BodyText"/>
      </w:pPr>
      <m:oMathPara>
        <m:oMathParaPr>
          <m:jc m:val="center"/>
        </m:oMathParaPr>
        <m:oMath>
          <m:r>
            <m:t>V</m:t>
          </m:r>
          <m:r>
            <m:t>a</m:t>
          </m:r>
          <m:r>
            <m:t>r</m:t>
          </m:r>
          <m:r>
            <m:rPr>
              <m:sty m:val="p"/>
            </m:rPr>
            <m:t>(</m:t>
          </m:r>
          <m:sSub>
            <m:e>
              <m:r>
                <m:t>r</m:t>
              </m:r>
            </m:e>
            <m:sub>
              <m:r>
                <m:t>t</m:t>
              </m:r>
            </m:sub>
          </m:sSub>
          <m:r>
            <m:rPr>
              <m:sty m:val="p"/>
            </m:rPr>
            <m:t>∣</m:t>
          </m:r>
          <m:sSub>
            <m:e>
              <m:r>
                <m:rPr>
                  <m:scr m:val="script"/>
                  <m:sty m:val="p"/>
                </m:rPr>
                <m:t>F</m:t>
              </m:r>
            </m:e>
            <m:sub>
              <m:r>
                <m:t>t</m:t>
              </m:r>
              <m:r>
                <m:rPr>
                  <m:sty m:val="p"/>
                </m:rPr>
                <m:t>−</m:t>
              </m:r>
              <m:r>
                <m:t>1</m:t>
              </m:r>
            </m:sub>
          </m:sSub>
          <m:r>
            <m:rPr>
              <m:sty m:val="p"/>
            </m:rPr>
            <m:t>)</m:t>
          </m:r>
          <m:r>
            <m:rPr>
              <m:sty m:val="p"/>
            </m:rPr>
            <m:t>=</m:t>
          </m:r>
          <m:sSubSup>
            <m:e>
              <m:r>
                <m:t>σ</m:t>
              </m:r>
            </m:e>
            <m:sub>
              <m:r>
                <m:t>t</m:t>
              </m:r>
            </m:sub>
            <m:sup>
              <m:r>
                <m:t>2</m:t>
              </m:r>
            </m:sup>
          </m:sSubSup>
        </m:oMath>
      </m:oMathPara>
    </w:p>
    <w:p>
      <w:pPr>
        <w:pStyle w:val="FirstParagraph"/>
        <w:spacing w:before="60" w:after="60" w:line="276" w:lineRule="auto"/>
        <w:ind w:firstLine="567"/>
        <w:jc w:val="both"/>
      </w:pPr>
      <w:r>
        <w:rPr>
          <w:rFonts w:ascii="Times New Roman" w:hAnsi="Times New Roman" w:eastAsia="Times New Roman"/>
          <w:sz w:val="26"/>
        </w:rPr>
        <w:t xml:space="preserve">Đây là đại lượng đặc biệt quan trọng, vì nó đo lường mức độ biến động của tỷ lệ sinh lời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trong điều kiện đã biết trạng thái thông tin hiện tại. Căn bậc hai của phương sai,</w:t>
      </w:r>
      <w:r>
        <w:rPr>
          <w:rFonts w:ascii="Times New Roman" w:hAnsi="Times New Roman" w:eastAsia="Times New Roman"/>
          <w:sz w:val="26"/>
        </w:rPr>
        <w:t xml:space="preserve"> </w:t>
      </w:r>
      <m:oMath>
        <m:sSub>
          <m:e>
            <m:r>
              <m:t>σ</m:t>
            </m:r>
          </m:e>
          <m:sub>
            <m:r>
              <m:t>t</m:t>
            </m:r>
          </m:sub>
        </m:sSub>
      </m:oMath>
      <w:r>
        <w:rPr>
          <w:rFonts w:ascii="Times New Roman" w:hAnsi="Times New Roman" w:eastAsia="Times New Roman"/>
          <w:sz w:val="26"/>
        </w:rPr>
        <w:t xml:space="preserve">, thường được gọi là</w:t>
      </w:r>
      <w:r>
        <w:rPr>
          <w:rFonts w:ascii="Times New Roman" w:hAnsi="Times New Roman" w:eastAsia="Times New Roman"/>
          <w:sz w:val="26"/>
        </w:rPr>
        <w:t xml:space="preserve"> </w:t>
      </w:r>
      <w:r>
        <w:rPr>
          <w:rFonts w:ascii="Times New Roman" w:hAnsi="Times New Roman" w:eastAsia="Times New Roman"/>
          <w:b/>
          <w:bCs/>
          <w:sz w:val="26"/>
        </w:rPr>
        <w:t xml:space="preserve">độ biến động có điều kiện</w:t>
      </w:r>
      <w:r>
        <w:rPr>
          <w:rFonts w:ascii="Times New Roman" w:hAnsi="Times New Roman" w:eastAsia="Times New Roman"/>
          <w:sz w:val="26"/>
        </w:rPr>
        <w:t xml:space="preserve"> </w:t>
      </w:r>
      <w:r>
        <w:rPr>
          <w:rFonts w:ascii="Times New Roman" w:hAnsi="Times New Roman" w:eastAsia="Times New Roman"/>
          <w:sz w:val="26"/>
        </w:rPr>
        <w:t xml:space="preserve">(conditional volatility).</w:t>
      </w:r>
    </w:p>
    <w:p>
      <w:pPr>
        <w:pStyle w:val="BodyText"/>
        <w:spacing w:before="60" w:after="60" w:line="276" w:lineRule="auto"/>
        <w:ind w:firstLine="567"/>
        <w:jc w:val="both"/>
      </w:pPr>
      <w:r>
        <w:rPr>
          <w:rFonts w:ascii="Times New Roman" w:hAnsi="Times New Roman" w:eastAsia="Times New Roman"/>
          <w:sz w:val="26"/>
        </w:rPr>
        <w:t xml:space="preserve">Từ đó, có thể biểu diễn tỷ lệ sinh lời dưới dạng tổng quát:</w:t>
      </w:r>
    </w:p>
    <w:p>
      <w:pPr>
        <w:pStyle w:val="BodyText"/>
      </w:pPr>
      <m:oMathPara>
        <m:oMathParaPr>
          <m:jc m:val="center"/>
        </m:oMathParaPr>
        <m:oMath>
          <m:sSub>
            <m:e>
              <m:r>
                <m:t>r</m:t>
              </m:r>
            </m:e>
            <m:sub>
              <m:r>
                <m:t>t</m:t>
              </m:r>
            </m:sub>
          </m:sSub>
          <m:r>
            <m:rPr>
              <m:sty m:val="p"/>
            </m:rPr>
            <m:t>=</m:t>
          </m:r>
          <m:sSub>
            <m:e>
              <m:r>
                <m:t>μ</m:t>
              </m:r>
            </m:e>
            <m:sub>
              <m:r>
                <m:t>t</m:t>
              </m:r>
            </m:sub>
          </m:sSub>
          <m:r>
            <m:rPr>
              <m:sty m:val="p"/>
            </m:rPr>
            <m:t>+</m:t>
          </m:r>
          <m:sSub>
            <m:e>
              <m:r>
                <m:t>ε</m:t>
              </m:r>
            </m:e>
            <m:sub>
              <m:r>
                <m:t>t</m:t>
              </m:r>
            </m:sub>
          </m:sSub>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p>
    <w:p>
      <w:pPr>
        <w:pStyle w:val="BodyText"/>
      </w:pPr>
      <m:oMathPara>
        <m:oMathParaPr>
          <m:jc m:val="center"/>
        </m:oMathParaPr>
        <m:oMath>
          <m:sSub>
            <m:e>
              <m:r>
                <m:t>ε</m:t>
              </m:r>
            </m:e>
            <m:sub>
              <m:r>
                <m:t>t</m:t>
              </m:r>
            </m:sub>
          </m:sSub>
          <m:r>
            <m:rPr>
              <m:sty m:val="p"/>
            </m:rPr>
            <m:t>=</m:t>
          </m:r>
          <m:sSub>
            <m:e>
              <m:r>
                <m:t>σ</m:t>
              </m:r>
            </m:e>
            <m:sub>
              <m:r>
                <m:t>t</m:t>
              </m:r>
            </m:sub>
          </m:sSub>
          <m:sSub>
            <m:e>
              <m:r>
                <m:t>z</m:t>
              </m:r>
            </m:e>
            <m:sub>
              <m:r>
                <m:t>t</m:t>
              </m:r>
            </m:sub>
          </m:sSub>
        </m:oMath>
      </m:oMathPara>
    </w:p>
    <w:p>
      <w:pPr>
        <w:pStyle w:val="FirstParagraph"/>
        <w:spacing w:before="60" w:after="60" w:line="276" w:lineRule="auto"/>
        <w:ind w:firstLine="567"/>
        <w:jc w:val="both"/>
      </w:pPr>
      <w:r>
        <w:rPr>
          <w:rFonts w:ascii="Times New Roman" w:hAnsi="Times New Roman" w:eastAsia="Times New Roman"/>
          <w:sz w:val="26"/>
        </w:rPr>
        <w:t xml:space="preserve">với</w:t>
      </w:r>
      <w:r>
        <w:rPr>
          <w:rFonts w:ascii="Times New Roman" w:hAnsi="Times New Roman" w:eastAsia="Times New Roman"/>
          <w:sz w:val="26"/>
        </w:rPr>
        <w:t xml:space="preserve"> </w:t>
      </w:r>
      <m:oMath>
        <m:sSub>
          <m:e>
            <m:r>
              <m:t>z</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là nhiễu chuẩn hóa thỏa mãn:</w:t>
      </w:r>
    </w:p>
    <w:p>
      <w:pPr>
        <w:pStyle w:val="BodyText"/>
      </w:pPr>
      <m:oMathPara>
        <m:oMathParaPr>
          <m:jc m:val="center"/>
        </m:oMathParaPr>
        <m:oMath>
          <m:r>
            <m:t>E</m:t>
          </m:r>
          <m:r>
            <m:rPr>
              <m:sty m:val="p"/>
            </m:rPr>
            <m:t>(</m:t>
          </m:r>
          <m:sSub>
            <m:e>
              <m:r>
                <m:t>z</m:t>
              </m:r>
            </m:e>
            <m:sub>
              <m:r>
                <m:t>t</m:t>
              </m:r>
            </m:sub>
          </m:sSub>
          <m:r>
            <m:rPr>
              <m:sty m:val="p"/>
            </m:rPr>
            <m:t>∣</m:t>
          </m:r>
          <m:sSub>
            <m:e>
              <m:r>
                <m:rPr>
                  <m:scr m:val="script"/>
                  <m:sty m:val="p"/>
                </m:rPr>
                <m:t>F</m:t>
              </m:r>
            </m:e>
            <m:sub>
              <m:r>
                <m:t>t</m:t>
              </m:r>
              <m:r>
                <m:rPr>
                  <m:sty m:val="p"/>
                </m:rPr>
                <m:t>−</m:t>
              </m:r>
              <m:r>
                <m:t>1</m:t>
              </m:r>
            </m:sub>
          </m:sSub>
          <m:r>
            <m:rPr>
              <m:sty m:val="p"/>
            </m:rPr>
            <m:t>)</m:t>
          </m:r>
          <m:r>
            <m:rPr>
              <m:sty m:val="p"/>
            </m:rPr>
            <m:t>=</m:t>
          </m:r>
          <m:r>
            <m:t>0</m:t>
          </m:r>
          <m:r>
            <m:rPr>
              <m:sty m:val="p"/>
            </m:rPr>
            <m:t>,</m:t>
          </m:r>
          <m:r>
            <m:t>  </m:t>
          </m:r>
          <m:r>
            <m:t>V</m:t>
          </m:r>
          <m:r>
            <m:t>a</m:t>
          </m:r>
          <m:r>
            <m:t>r</m:t>
          </m:r>
          <m:r>
            <m:rPr>
              <m:sty m:val="p"/>
            </m:rPr>
            <m:t>(</m:t>
          </m:r>
          <m:sSub>
            <m:e>
              <m:r>
                <m:t>z</m:t>
              </m:r>
            </m:e>
            <m:sub>
              <m:r>
                <m:t>t</m:t>
              </m:r>
            </m:sub>
          </m:sSub>
          <m:r>
            <m:rPr>
              <m:sty m:val="p"/>
            </m:rPr>
            <m:t>∣</m:t>
          </m:r>
          <m:sSub>
            <m:e>
              <m:r>
                <m:rPr>
                  <m:scr m:val="script"/>
                  <m:sty m:val="p"/>
                </m:rPr>
                <m:t>F</m:t>
              </m:r>
            </m:e>
            <m:sub>
              <m:r>
                <m:t>t</m:t>
              </m:r>
              <m:r>
                <m:rPr>
                  <m:sty m:val="p"/>
                </m:rPr>
                <m:t>−</m:t>
              </m:r>
              <m:r>
                <m:t>1</m:t>
              </m:r>
            </m:sub>
          </m:sSub>
          <m:r>
            <m:rPr>
              <m:sty m:val="p"/>
            </m:rPr>
            <m:t>)</m:t>
          </m:r>
          <m:r>
            <m:rPr>
              <m:sty m:val="p"/>
            </m:rPr>
            <m:t>=</m:t>
          </m:r>
          <m:r>
            <m:t>1</m:t>
          </m:r>
        </m:oMath>
      </m:oMathPara>
    </w:p>
    <w:p>
      <w:pPr>
        <w:pStyle w:val="FirstParagraph"/>
        <w:spacing w:before="60" w:after="60" w:line="276" w:lineRule="auto"/>
        <w:ind w:firstLine="567"/>
        <w:jc w:val="both"/>
      </w:pPr>
      <w:r>
        <w:rPr>
          <w:rFonts w:ascii="Times New Roman" w:hAnsi="Times New Roman" w:eastAsia="Times New Roman"/>
          <w:sz w:val="26"/>
        </w:rPr>
        <w:t xml:space="preserve">Biểu diễn này rất quan trọng vì nó cho thấy chuỗi tỷ lệ sinh lời có thể được tách thành hai phần: phần trung bình có điều kiện</w:t>
      </w:r>
      <w:r>
        <w:rPr>
          <w:rFonts w:ascii="Times New Roman" w:hAnsi="Times New Roman" w:eastAsia="Times New Roman"/>
          <w:sz w:val="26"/>
        </w:rPr>
        <w:t xml:space="preserve"> </w:t>
      </w:r>
      <m:oMath>
        <m:sSub>
          <m:e>
            <m:r>
              <m:t>μ</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và phần sai số ngẫu nhiên</w:t>
      </w:r>
      <w:r>
        <w:rPr>
          <w:rFonts w:ascii="Times New Roman" w:hAnsi="Times New Roman" w:eastAsia="Times New Roman"/>
          <w:sz w:val="26"/>
        </w:rPr>
        <w:t xml:space="preserve"> </w:t>
      </w:r>
      <m:oMath>
        <m:sSub>
          <m:e>
            <m:r>
              <m:t>ε</m:t>
            </m:r>
          </m:e>
          <m:sub>
            <m:r>
              <m:t>t</m:t>
            </m:r>
          </m:sub>
        </m:sSub>
      </m:oMath>
      <w:r>
        <w:rPr>
          <w:rFonts w:ascii="Times New Roman" w:hAnsi="Times New Roman" w:eastAsia="Times New Roman"/>
          <w:sz w:val="26"/>
        </w:rPr>
        <w:t xml:space="preserve">, trong đó mức độ dao động của sai số được quyết định bởi</w:t>
      </w:r>
      <w:r>
        <w:rPr>
          <w:rFonts w:ascii="Times New Roman" w:hAnsi="Times New Roman" w:eastAsia="Times New Roman"/>
          <w:sz w:val="26"/>
        </w:rPr>
        <w:t xml:space="preserve"> </w:t>
      </w:r>
      <m:oMath>
        <m:sSub>
          <m:e>
            <m:r>
              <m:t>σ</m:t>
            </m:r>
          </m:e>
          <m:sub>
            <m:r>
              <m:t>t</m:t>
            </m:r>
          </m:sub>
        </m:sSub>
      </m:oMath>
      <w:r>
        <w:rPr>
          <w:rFonts w:ascii="Times New Roman" w:hAnsi="Times New Roman" w:eastAsia="Times New Roman"/>
          <w:sz w:val="26"/>
        </w:rPr>
        <w:t xml:space="preserve">. Nếu (</w:t>
      </w:r>
      <w:r>
        <w:rPr>
          <w:rFonts w:ascii="Times New Roman" w:hAnsi="Times New Roman" w:eastAsia="Times New Roman"/>
          <w:sz w:val="26"/>
        </w:rPr>
        <w:t xml:space="preserve">_t) thay đổi theo thời gian, thì rủi ro của thị trường cũng thay đổi theo thời gian.</w:t>
      </w:r>
    </w:p>
    <w:p>
      <w:pPr>
        <w:pStyle w:val="BodyText"/>
        <w:spacing w:before="60" w:after="60" w:line="276" w:lineRule="auto"/>
        <w:ind w:firstLine="567"/>
        <w:jc w:val="both"/>
      </w:pPr>
      <w:r>
        <w:rPr>
          <w:rFonts w:ascii="Times New Roman" w:hAnsi="Times New Roman" w:eastAsia="Times New Roman"/>
          <w:sz w:val="26"/>
        </w:rPr>
        <w:t xml:space="preserve">Tóm lại, việc đưa vào khái niệm phân phối có điều kiện cho phép chuyển từ cách nhìn thống kê tĩnh sang cách nhìn động đối với tỷ lệ sinh lời. Đây là bước chuyển rất quan trọng, vì toàn bộ các mô hình đo lường biến động và giá trị chịu rủi ro trong các chương sau thực chất đều xoay quanh việc ước lượng và dự báo các đặc trưng của phân phối có điều kiện, đặc biệt là kỳ vọng có điều kiện, phương sai có điều kiện và các phân vị có điều kiện của tỷ lệ sinh lời.</w:t>
      </w:r>
    </w:p>
    <w:bookmarkEnd w:id="26"/>
    <w:bookmarkEnd w:id="27"/>
    <w:bookmarkEnd w:id="28"/>
    <w:bookmarkStart w:id="35" w:name="sec-volatility-returns"/>
    <w:p>
      <w:pPr>
        <w:pStyle w:val="Heading2"/>
        <w:spacing w:before="120" w:after="120" w:line="276" w:lineRule="auto"/>
        <w:ind w:firstLine="0"/>
        <w:jc w:val="left"/>
      </w:pPr>
      <w:r>
        <w:rPr>
          <w:rFonts w:ascii="Times New Roman" w:hAnsi="Times New Roman" w:eastAsia="Times New Roman"/>
          <w:b/>
          <w:i w:val="0"/>
          <w:sz w:val="26"/>
        </w:rPr>
        <w:t>1.3 BIẾN ĐỘNG CỦA TỶ LỆ SINH LỜI TÀI SẢN</w:t>
      </w:r>
    </w:p>
    <w:p>
      <w:pPr>
        <w:pStyle w:val="FirstParagraph"/>
        <w:spacing w:before="60" w:after="60" w:line="276" w:lineRule="auto"/>
        <w:ind w:firstLine="567"/>
        <w:jc w:val="both"/>
      </w:pPr>
      <w:r>
        <w:rPr>
          <w:rFonts w:ascii="Times New Roman" w:hAnsi="Times New Roman" w:eastAsia="Times New Roman"/>
          <w:sz w:val="26"/>
        </w:rPr>
        <w:t xml:space="preserve">Biến động tỷ lệ sinh lời (volatility) là một khái niệm nền tảng trong tài chính định lượng, quản trị rủi ro, định giá tài sản và định giá phái sinh. Trong phân tích đầu tư, tỷ lệ sinh lời cho biết tài sản đem lại mức lãi hoặc lỗ như thế nào qua thời gian. Tuy nhiên, để đánh giá đầy đủ một khoản đầu tư, chỉ nhìn vào mức sinh lời là chưa đủ. Nhà đầu tư còn cần biết một câu hỏi quan trọng hơn: mức sinh lời đó ổn định đến đâu, hay dao động mạnh đến mức nào?.Nếu tỷ lệ sinh lời được xem là đại lượng phản ánh kết quả đầu tư, thì biến động phản ánh mức độ bất định của kết quả đó. Một tài sản có thể có mức sinh lời kỳ vọng tương đối hấp dẫn, nhưng nếu tỷ lệ sinh lời của nó lên xuống mạnh qua các kỳ thì rủi ro mà nhà đầu tư phải đối mặt cũng lớn hơn. Vì vậy, trong tài chính hiện đại, biến động thường được xem là đại diện trung tâm của rủi ro thị trường.</w:t>
      </w:r>
    </w:p>
    <w:bookmarkStart w:id="30" w:name="sec-concept-volatility"/>
    <w:p>
      <w:pPr>
        <w:pStyle w:val="Heading3"/>
        <w:spacing w:before="120" w:after="120" w:line="276" w:lineRule="auto"/>
        <w:ind w:firstLine="0"/>
        <w:jc w:val="left"/>
      </w:pPr>
      <w:r>
        <w:rPr>
          <w:rFonts w:ascii="Times New Roman" w:hAnsi="Times New Roman" w:eastAsia="Times New Roman"/>
          <w:b/>
          <w:i w:val="0"/>
          <w:sz w:val="26"/>
        </w:rPr>
        <w:t xml:space="preserve">1.3.1 Khái niệm biến động trong tài chính</w:t>
      </w:r>
    </w:p>
    <w:p>
      <w:pPr>
        <w:pStyle w:val="FirstParagraph"/>
        <w:spacing w:before="60" w:after="60" w:line="276" w:lineRule="auto"/>
        <w:ind w:firstLine="567"/>
        <w:jc w:val="both"/>
      </w:pPr>
      <w:r>
        <w:rPr>
          <w:rFonts w:ascii="Times New Roman" w:hAnsi="Times New Roman" w:eastAsia="Times New Roman"/>
          <w:sz w:val="26"/>
        </w:rPr>
        <w:t xml:space="preserve">Biến động tỷ lệ sinh lời thể hiện mức độ dao động của tỷ lệ sinh lời quanh giá trị kỳ vọng. Xét về mặt thống kê, cách đo đơn giản và phổ biến nhất của biến động là độ lệch chuẩn của tỷ lệ sinh lời như sau:</w:t>
      </w:r>
    </w:p>
    <w:p>
      <w:pPr>
        <w:pStyle w:val="BodyText"/>
      </w:pPr>
      <m:oMathPara>
        <m:oMathParaPr>
          <m:jc m:val="center"/>
        </m:oMathParaPr>
        <m:oMath>
          <m:r>
            <m:t>σ</m:t>
          </m:r>
          <m:r>
            <m:rPr>
              <m:sty m:val="p"/>
            </m:rPr>
            <m:t>=</m:t>
          </m:r>
          <m:rad>
            <m:radPr>
              <m:degHide m:val="on"/>
            </m:radPr>
            <m:deg/>
            <m:e>
              <m:r>
                <m:rPr>
                  <m:sty m:val="p"/>
                </m:rPr>
                <m:t>V</m:t>
              </m:r>
              <m:r>
                <m:rPr>
                  <m:sty m:val="p"/>
                </m:rPr>
                <m:t>a</m:t>
              </m:r>
              <m:r>
                <m:rPr>
                  <m:sty m:val="p"/>
                </m:rPr>
                <m:t>r</m:t>
              </m:r>
              <m:r>
                <m:rPr>
                  <m:sty m:val="p"/>
                </m:rPr>
                <m:t>(</m:t>
              </m:r>
              <m:sSub>
                <m:e>
                  <m:r>
                    <m:t>r</m:t>
                  </m:r>
                </m:e>
                <m:sub>
                  <m:r>
                    <m:t>t</m:t>
                  </m:r>
                </m:sub>
              </m:sSub>
              <m:r>
                <m:rPr>
                  <m:sty m:val="p"/>
                </m:rPr>
                <m:t>)</m:t>
              </m:r>
            </m:e>
          </m:rad>
        </m:oMath>
      </m:oMathPara>
    </w:p>
    <w:p>
      <w:pPr>
        <w:pStyle w:val="FirstParagraph"/>
        <w:spacing w:before="60" w:after="60" w:line="276" w:lineRule="auto"/>
        <w:ind w:firstLine="567"/>
        <w:jc w:val="both"/>
      </w:pPr>
      <w:r>
        <w:rPr>
          <w:rFonts w:ascii="Times New Roman" w:hAnsi="Times New Roman" w:eastAsia="Times New Roman"/>
          <w:sz w:val="26"/>
        </w:rPr>
        <w:t xml:space="preserve">Công thức này cho thấy biến động gắn trực tiếp với phương sai của tỷ lệ sinh lời. Nếu các quan sát</w:t>
      </w:r>
      <w:r>
        <w:rPr>
          <w:rFonts w:ascii="Times New Roman" w:hAnsi="Times New Roman" w:eastAsia="Times New Roman"/>
          <w:sz w:val="26"/>
        </w:rPr>
        <w:t xml:space="preserve"> </w:t>
      </w:r>
      <m:oMath>
        <m:sSub>
          <m:e>
            <m:r>
              <m:t>r</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phân tán mạnh quanh giá trị trung bình, mức độ biến động sẽ lớn; ngược lại, nếu tỷ lệ sinh lời dao động hẹp trong một khoảng nhỏ, mức độ biến động sẽ thấp.Mức độ biến động của tỷ lệ sinh lời không nói cho ta biết tài sản chắc chắn sẽ sinh lời cao hay thấp; nó cho biết kết quả đầu tư</w:t>
      </w:r>
      <w:r>
        <w:rPr>
          <w:rFonts w:ascii="Times New Roman" w:hAnsi="Times New Roman" w:eastAsia="Times New Roman"/>
          <w:sz w:val="26"/>
        </w:rPr>
        <w:t xml:space="preserve"> </w:t>
      </w:r>
      <w:r>
        <w:rPr>
          <w:rFonts w:ascii="Times New Roman" w:hAnsi="Times New Roman" w:eastAsia="Times New Roman"/>
          <w:b/>
          <w:bCs/>
          <w:sz w:val="26"/>
        </w:rPr>
        <w:t xml:space="preserve">khó dự đoán đến mức nào</w:t>
      </w:r>
      <w:r>
        <w:rPr>
          <w:rFonts w:ascii="Times New Roman" w:hAnsi="Times New Roman" w:eastAsia="Times New Roman"/>
          <w:sz w:val="26"/>
        </w:rPr>
        <w:t xml:space="preserve">. Một cổ phiếu có thể có mức sinh lời kỳ vọng hấp dẫn, nhưng nếu biến động tỷ lệ sinh lời rất cao thì khoảng biến thiên thực tế của kết quả đầu tư cũng rất rộng. Do đó, biến động tỷ lệ sinh lời thể hiện rõ sự đánh đổi căn bản trong đầu tư giữa</w:t>
      </w:r>
      <w:r>
        <w:rPr>
          <w:rFonts w:ascii="Times New Roman" w:hAnsi="Times New Roman" w:eastAsia="Times New Roman"/>
          <w:sz w:val="26"/>
        </w:rPr>
        <w:t xml:space="preserve"> </w:t>
      </w:r>
      <w:r>
        <w:rPr>
          <w:rFonts w:ascii="Times New Roman" w:hAnsi="Times New Roman" w:eastAsia="Times New Roman"/>
          <w:b/>
          <w:bCs/>
          <w:sz w:val="26"/>
        </w:rPr>
        <w:t xml:space="preserve">lợi nhuận kỳ vọng</w:t>
      </w:r>
      <w:r>
        <w:rPr>
          <w:rFonts w:ascii="Times New Roman" w:hAnsi="Times New Roman" w:eastAsia="Times New Roman"/>
          <w:sz w:val="26"/>
        </w:rPr>
        <w:t xml:space="preserve"> </w:t>
      </w:r>
      <w:r>
        <w:rPr>
          <w:rFonts w:ascii="Times New Roman" w:hAnsi="Times New Roman" w:eastAsia="Times New Roman"/>
          <w:sz w:val="26"/>
        </w:rPr>
        <w:t xml:space="preserve">và</w:t>
      </w:r>
      <w:r>
        <w:rPr>
          <w:rFonts w:ascii="Times New Roman" w:hAnsi="Times New Roman" w:eastAsia="Times New Roman"/>
          <w:sz w:val="26"/>
        </w:rPr>
        <w:t xml:space="preserve"> </w:t>
      </w:r>
      <w:r>
        <w:rPr>
          <w:rFonts w:ascii="Times New Roman" w:hAnsi="Times New Roman" w:eastAsia="Times New Roman"/>
          <w:b/>
          <w:bCs/>
          <w:sz w:val="26"/>
        </w:rPr>
        <w:t xml:space="preserve">rủi ro</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Ví dụ, giả sử có hai tài sản A và B đều có tỷ lệ sinh lời bình quân ngày xấp xỉ 0,05%. Nếu tỷ lệ sinh lời của A thường chỉ dao động quanh khoảng từ -0,4% đến 0,5%, còn tỷ lệ sinh lời của B thường dao động trong khoảng từ -2,0% đến 2,2%, thì mặc dù mức sinh lời trung bình tương đương nhau, nhà đầu tư sẽ cảm nhận B rủi ro hơn nhiều. Lý do là kết quả đầu tư vào B khó dự đoán hơn và dễ xuất hiện các phiên lỗ lớn hơn.</w:t>
      </w:r>
    </w:p>
    <w:p>
      <w:pPr>
        <w:pStyle w:val="BodyText"/>
        <w:spacing w:before="60" w:after="60" w:line="276" w:lineRule="auto"/>
        <w:ind w:firstLine="567"/>
        <w:jc w:val="both"/>
      </w:pPr>
      <w:r>
        <w:rPr>
          <w:rFonts w:ascii="Times New Roman" w:hAnsi="Times New Roman" w:eastAsia="Times New Roman"/>
          <w:sz w:val="26"/>
        </w:rPr>
        <w:t xml:space="preserve">Trong quản trị rủi ro, biến động của tỷ lệ sinh lời quan trọng vì ít nhất ba lý do. Thứ nhất, biến động của tỷ lệ sinh lờ là đầu vào trực tiếp trong nhiều thước đo rủi ro như giá trị chịu rủi ro (VaR) hay giá trị thiếu hụt vốn kỳ vọng (ES). Thứ hai, biến động của tỷ lệ sinh lời quyết định độ rộng của phân phối dự báo, từ đó ảnh hưởng đến đánh giá tổn thất tiềm tàng. Thứ ba, biến động của tỷ lệ sinh lời còn quyết định độ rộng của phân phối dự báo, từ đó ảnh hưởng trực tiếp đến đánh giá tổn thất tiềm năng của một vị thế đầu tư.</w:t>
      </w:r>
    </w:p>
    <w:p>
      <w:pPr>
        <w:pStyle w:val="BodyText"/>
        <w:spacing w:before="60" w:after="60" w:line="276" w:lineRule="auto"/>
        <w:ind w:firstLine="567"/>
        <w:jc w:val="both"/>
      </w:pPr>
      <w:r>
        <w:rPr>
          <w:rFonts w:ascii="Times New Roman" w:hAnsi="Times New Roman" w:eastAsia="Times New Roman"/>
          <w:sz w:val="26"/>
        </w:rPr>
        <w:t>Để có cảm nhận ban đầu về biến động tỷ lệ sinh lời, Hình 2 minh họa độ lệch chuẩn trượt 30 ngày của tỷ lệ sinh lời ngày trên chỉ số VN-Index. Có thể thấy, biến động tỷ lệ sinh lời của VN-Index tăng mạnh ở những giai đoạn thị trường có mức độ rủi ro cao và biến động mạnh như giai đoạn khủng hoảng tài chính toàn cầu 2007-2009, giai đoạn của đại dịch Covid-19 hay giai đoạn gần đây do khủng hoảng địa chính trị và năng lượng đầu năm 2026 do căng thẳng và chiến tranh giữa Mỹ/Isarel - Iran.</w:t>
      </w:r>
    </w:p>
    <w:tbl>
      <w:tblPr>
        <w:tblStyle w:val="Table"/>
        <w:tblW w:type="pct" w:w="5000"/>
        <w:tblLayout w:type="fixed"/>
        <w:tblLook w:firstRow="0" w:lastRow="0" w:firstColumn="0" w:lastColumn="0" w:noHBand="0" w:noVBand="0" w:val="0000"/>
      </w:tblPr>
      <w:tblGrid>
        <w:gridCol w:w="7920"/>
      </w:tblGrid>
      <w:tr>
        <w:tc>
          <w:tcPr>
            <w:vAlign w:val="center"/>
          </w:tcPr>
          <w:bookmarkStart w:id="29" w:name="fig-rolling-vol-vn"/>
          <w:tbl>
            <w:tblPr>
              <w:tblStyle w:val="Table"/>
              <w:tblW w:type="pct" w:w="5000"/>
              <w:tblLayout w:type="fixed"/>
              <w:tblLook w:firstRow="1" w:lastRow="0" w:firstColumn="0" w:lastColumn="0" w:noHBand="0" w:noVBand="0" w:val="0020"/>
            </w:tblPr>
            <w:tblGrid>
              <w:gridCol w:w="380"/>
              <w:gridCol w:w="456"/>
              <w:gridCol w:w="533"/>
              <w:gridCol w:w="609"/>
              <w:gridCol w:w="609"/>
              <w:gridCol w:w="609"/>
              <w:gridCol w:w="533"/>
              <w:gridCol w:w="533"/>
              <w:gridCol w:w="533"/>
              <w:gridCol w:w="533"/>
              <w:gridCol w:w="685"/>
              <w:gridCol w:w="685"/>
              <w:gridCol w:w="1218"/>
            </w:tblGrid>
            <w:tr>
              <w:trPr>
                <w:tblHeader w:val="on"/>
              </w:trPr>
              <w:tc>
                <w:tcPr/>
                <w:p>
                  <w:pPr>
                    <w:pStyle w:val="Compact"/>
                    <w:jc w:val="right"/>
                    <w:jc w:val="center"/>
                  </w:pPr>
                  <w:r>
                    <w:t xml:space="preserve">n</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min</w:t>
                  </w:r>
                </w:p>
              </w:tc>
              <w:tc>
                <w:tcPr/>
                <w:p>
                  <w:pPr>
                    <w:pStyle w:val="Compact"/>
                    <w:jc w:val="right"/>
                    <w:jc w:val="center"/>
                  </w:pPr>
                  <w:r>
                    <w:t xml:space="preserve">q01</w:t>
                  </w:r>
                </w:p>
              </w:tc>
              <w:tc>
                <w:tcPr/>
                <w:p>
                  <w:pPr>
                    <w:pStyle w:val="Compact"/>
                    <w:jc w:val="right"/>
                    <w:jc w:val="center"/>
                  </w:pPr>
                  <w:r>
                    <w:t xml:space="preserve">q05</w:t>
                  </w:r>
                </w:p>
              </w:tc>
              <w:tc>
                <w:tcPr/>
                <w:p>
                  <w:pPr>
                    <w:pStyle w:val="Compact"/>
                    <w:jc w:val="right"/>
                    <w:jc w:val="center"/>
                  </w:pPr>
                  <w:r>
                    <w:t xml:space="preserve">median</w:t>
                  </w:r>
                </w:p>
              </w:tc>
              <w:tc>
                <w:tcPr/>
                <w:p>
                  <w:pPr>
                    <w:pStyle w:val="Compact"/>
                    <w:jc w:val="right"/>
                    <w:jc w:val="center"/>
                  </w:pPr>
                  <w:r>
                    <w:t xml:space="preserve">q95</w:t>
                  </w:r>
                </w:p>
              </w:tc>
              <w:tc>
                <w:tcPr/>
                <w:p>
                  <w:pPr>
                    <w:pStyle w:val="Compact"/>
                    <w:jc w:val="right"/>
                    <w:jc w:val="center"/>
                  </w:pPr>
                  <w:r>
                    <w:t xml:space="preserve">q99</w:t>
                  </w:r>
                </w:p>
              </w:tc>
              <w:tc>
                <w:tcPr/>
                <w:p>
                  <w:pPr>
                    <w:pStyle w:val="Compact"/>
                    <w:jc w:val="right"/>
                    <w:jc w:val="center"/>
                  </w:pPr>
                  <w:r>
                    <w:t xml:space="preserve">max</w:t>
                  </w:r>
                </w:p>
              </w:tc>
              <w:tc>
                <w:tcPr/>
                <w:p>
                  <w:pPr>
                    <w:pStyle w:val="Compact"/>
                    <w:jc w:val="right"/>
                    <w:jc w:val="center"/>
                  </w:pPr>
                  <w:r>
                    <w:t xml:space="preserve">skewness</w:t>
                  </w:r>
                </w:p>
              </w:tc>
              <w:tc>
                <w:tcPr/>
                <w:p>
                  <w:pPr>
                    <w:pStyle w:val="Compact"/>
                    <w:jc w:val="right"/>
                    <w:jc w:val="center"/>
                  </w:pPr>
                  <w:r>
                    <w:t xml:space="preserve">kurtosis</w:t>
                  </w:r>
                </w:p>
              </w:tc>
              <w:tc>
                <w:tcPr/>
                <w:p>
                  <w:pPr>
                    <w:pStyle w:val="Compact"/>
                    <w:jc w:val="right"/>
                    <w:jc w:val="center"/>
                  </w:pPr>
                  <w:r>
                    <w:t xml:space="preserve">excess_kurtosis</w:t>
                  </w:r>
                </w:p>
              </w:tc>
            </w:tr>
            <w:tr>
              <w:tc>
                <w:tcPr/>
                <w:p>
                  <w:pPr>
                    <w:pStyle w:val="Compact"/>
                    <w:jc w:val="right"/>
                    <w:jc w:val="center"/>
                  </w:pPr>
                  <w:r>
                    <w:t xml:space="preserve">4784</w:t>
                  </w:r>
                </w:p>
              </w:tc>
              <w:tc>
                <w:tcPr/>
                <w:p>
                  <w:pPr>
                    <w:pStyle w:val="Compact"/>
                    <w:jc w:val="right"/>
                    <w:jc w:val="center"/>
                  </w:pPr>
                  <w:r>
                    <w:t xml:space="preserve">2e-04</w:t>
                  </w:r>
                </w:p>
              </w:tc>
              <w:tc>
                <w:tcPr/>
                <w:p>
                  <w:pPr>
                    <w:pStyle w:val="Compact"/>
                    <w:jc w:val="right"/>
                    <w:jc w:val="center"/>
                  </w:pPr>
                  <w:r>
                    <w:t xml:space="preserve">0.0137</w:t>
                  </w:r>
                </w:p>
              </w:tc>
              <w:tc>
                <w:tcPr/>
                <w:p>
                  <w:pPr>
                    <w:pStyle w:val="Compact"/>
                    <w:jc w:val="right"/>
                    <w:jc w:val="center"/>
                  </w:pPr>
                  <w:r>
                    <w:t xml:space="preserve">-0.0691</w:t>
                  </w:r>
                </w:p>
              </w:tc>
              <w:tc>
                <w:tcPr/>
                <w:p>
                  <w:pPr>
                    <w:pStyle w:val="Compact"/>
                    <w:jc w:val="right"/>
                    <w:jc w:val="center"/>
                  </w:pPr>
                  <w:r>
                    <w:t xml:space="preserve">-0.0424</w:t>
                  </w:r>
                </w:p>
              </w:tc>
              <w:tc>
                <w:tcPr/>
                <w:p>
                  <w:pPr>
                    <w:pStyle w:val="Compact"/>
                    <w:jc w:val="right"/>
                    <w:jc w:val="center"/>
                  </w:pPr>
                  <w:r>
                    <w:t xml:space="preserve">-0.0235</w:t>
                  </w:r>
                </w:p>
              </w:tc>
              <w:tc>
                <w:tcPr/>
                <w:p>
                  <w:pPr>
                    <w:pStyle w:val="Compact"/>
                    <w:jc w:val="right"/>
                    <w:jc w:val="center"/>
                  </w:pPr>
                  <w:r>
                    <w:t xml:space="preserve">9e-04</w:t>
                  </w:r>
                </w:p>
              </w:tc>
              <w:tc>
                <w:tcPr/>
                <w:p>
                  <w:pPr>
                    <w:pStyle w:val="Compact"/>
                    <w:jc w:val="right"/>
                    <w:jc w:val="center"/>
                  </w:pPr>
                  <w:r>
                    <w:t xml:space="preserve">0.0208</w:t>
                  </w:r>
                </w:p>
              </w:tc>
              <w:tc>
                <w:tcPr/>
                <w:p>
                  <w:pPr>
                    <w:pStyle w:val="Compact"/>
                    <w:jc w:val="right"/>
                    <w:jc w:val="center"/>
                  </w:pPr>
                  <w:r>
                    <w:t xml:space="preserve">0.0361</w:t>
                  </w:r>
                </w:p>
              </w:tc>
              <w:tc>
                <w:tcPr/>
                <w:p>
                  <w:pPr>
                    <w:pStyle w:val="Compact"/>
                    <w:jc w:val="right"/>
                    <w:jc w:val="center"/>
                  </w:pPr>
                  <w:r>
                    <w:t xml:space="preserve">0.0655</w:t>
                  </w:r>
                </w:p>
              </w:tc>
              <w:tc>
                <w:tcPr/>
                <w:p>
                  <w:pPr>
                    <w:pStyle w:val="Compact"/>
                    <w:jc w:val="right"/>
                    <w:jc w:val="center"/>
                  </w:pPr>
                  <w:r>
                    <w:t xml:space="preserve">-0.4752</w:t>
                  </w:r>
                </w:p>
              </w:tc>
              <w:tc>
                <w:tcPr/>
                <w:p>
                  <w:pPr>
                    <w:pStyle w:val="Compact"/>
                    <w:jc w:val="right"/>
                    <w:jc w:val="center"/>
                  </w:pPr>
                  <w:r>
                    <w:t xml:space="preserve">5.5488</w:t>
                  </w:r>
                </w:p>
              </w:tc>
              <w:tc>
                <w:tcPr/>
                <w:p>
                  <w:pPr>
                    <w:pStyle w:val="Compact"/>
                    <w:jc w:val="right"/>
                    <w:jc w:val="center"/>
                  </w:pPr>
                  <w:r>
                    <w:t xml:space="preserve">2.5488</w:t>
                  </w:r>
                </w:p>
              </w:tc>
            </w:tr>
          </w:tbl>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2: Biến động trượt 30 ngày của tỷ lệ sinh lời logarit ngày trên chỉ số VN-Index.</w:t>
            </w:r>
          </w:p>
          <w:bookmarkEnd w:id="29"/>
        </w:tc>
      </w:tr>
    </w:tbl>
    <w:p>
      <w:pPr>
        <w:pStyle w:val="BodyText"/>
        <w:spacing w:before="60" w:after="60" w:line="276" w:lineRule="auto"/>
        <w:ind w:firstLine="567"/>
        <w:jc w:val="both"/>
      </w:pPr>
      <w:r>
        <w:rPr>
          <w:rFonts w:ascii="Times New Roman" w:hAnsi="Times New Roman" w:eastAsia="Times New Roman"/>
          <w:sz w:val="26"/>
        </w:rPr>
        <w:t xml:space="preserve">Nhóm kiểm định thứ nhất là</w:t>
      </w:r>
      <w:r>
        <w:rPr>
          <w:rFonts w:ascii="Times New Roman" w:hAnsi="Times New Roman" w:eastAsia="Times New Roman"/>
          <w:sz w:val="26"/>
        </w:rPr>
        <w:t xml:space="preserve"> </w:t>
      </w:r>
      <w:r>
        <w:rPr>
          <w:rFonts w:ascii="Times New Roman" w:hAnsi="Times New Roman" w:eastAsia="Times New Roman"/>
          <w:b/>
          <w:bCs/>
          <w:sz w:val="26"/>
        </w:rPr>
        <w:t xml:space="preserve">kiểm định tính chuẩn</w:t>
      </w:r>
      <w:r>
        <w:rPr>
          <w:rFonts w:ascii="Times New Roman" w:hAnsi="Times New Roman" w:eastAsia="Times New Roman"/>
          <w:sz w:val="26"/>
        </w:rPr>
        <w:t xml:space="preserve">. Giả thuyết gốc chung của các kiểm định này là chuỗi tỷ lệ sinh lời được rút ra từ một phân phối chuẩn. Kiểm định Jarque–Bera là kiểm định phổ biến nhất trong tài chính, dựa trên độ lệch và độ nhọn của mẫu</w:t>
      </w:r>
      <w:r>
        <w:rPr>
          <w:rFonts w:ascii="Times New Roman" w:hAnsi="Times New Roman" w:eastAsia="Times New Roman"/>
          <w:sz w:val="26"/>
        </w:rPr>
        <w:t xml:space="preserve"> </w:t>
      </w:r>
      <w:r>
        <w:rPr>
          <w:rFonts w:ascii="Times New Roman" w:hAnsi="Times New Roman" w:eastAsia="Times New Roman"/>
          <w:sz w:val="26"/>
        </w:rPr>
        <w:t xml:space="preserve">(Jarque &amp; Bera, 1980)</w:t>
      </w:r>
      <w:r>
        <w:rPr>
          <w:rFonts w:ascii="Times New Roman" w:hAnsi="Times New Roman" w:eastAsia="Times New Roman"/>
          <w:sz w:val="26"/>
        </w:rPr>
        <w:t xml:space="preserve">:</w:t>
      </w:r>
    </w:p>
    <w:p>
      <w:pPr>
        <w:pStyle w:val="BodyText"/>
      </w:pPr>
      <m:oMathPara>
        <m:oMathParaPr>
          <m:jc m:val="center"/>
        </m:oMathParaPr>
        <m:oMath>
          <m:r>
            <m:t>J</m:t>
          </m:r>
          <m:r>
            <m:t>B</m:t>
          </m:r>
          <m:r>
            <m:rPr>
              <m:sty m:val="p"/>
            </m:rPr>
            <m:t>=</m:t>
          </m:r>
          <m:f>
            <m:fPr>
              <m:type m:val="bar"/>
            </m:fPr>
            <m:num>
              <m:r>
                <m:t>T</m:t>
              </m:r>
            </m:num>
            <m:den>
              <m:r>
                <m:t>6</m:t>
              </m:r>
            </m:den>
          </m:f>
          <m:d>
            <m:dPr>
              <m:begChr m:val="("/>
              <m:sepChr m:val=""/>
              <m:endChr m:val=")"/>
              <m:grow/>
            </m:dPr>
            <m:e>
              <m:sSup>
                <m:e>
                  <m:r>
                    <m:t>S</m:t>
                  </m:r>
                </m:e>
                <m:sup>
                  <m:r>
                    <m:t>2</m:t>
                  </m:r>
                </m:sup>
              </m:sSup>
              <m:r>
                <m:rPr>
                  <m:sty m:val="p"/>
                </m:rPr>
                <m:t>+</m:t>
              </m:r>
              <m:f>
                <m:fPr>
                  <m:type m:val="bar"/>
                </m:fPr>
                <m:num>
                  <m:r>
                    <m:rPr>
                      <m:sty m:val="p"/>
                    </m:rPr>
                    <m:t>(</m:t>
                  </m:r>
                  <m:r>
                    <m:t>K</m:t>
                  </m:r>
                  <m:r>
                    <m:rPr>
                      <m:sty m:val="p"/>
                    </m:rPr>
                    <m:t>−</m:t>
                  </m:r>
                  <m:r>
                    <m:t>3</m:t>
                  </m:r>
                  <m:sSup>
                    <m:e>
                      <m:r>
                        <m:rPr>
                          <m:sty m:val="p"/>
                        </m:rPr>
                        <m:t>)</m:t>
                      </m:r>
                    </m:e>
                    <m:sup>
                      <m:r>
                        <m:t>2</m:t>
                      </m:r>
                    </m:sup>
                  </m:sSup>
                </m:num>
                <m:den>
                  <m:r>
                    <m:t>4</m:t>
                  </m:r>
                </m:den>
              </m:f>
            </m:e>
          </m: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 (S) là độ lệch mẫu và (K) là độ nhọn mẫu. Nếu giá trị thống kê đủ lớn, giả thuyết phân phối chuẩn bị bác bỏ. Ưu điểm của kiểm định Jarque–Bera là đơn giản và gắn trực tiếp với hai đặc điểm quan trọng của dữ liệu tài chính: bất đối xứng và đuôi dày. Tuy nhiên, đây không phải là kiểm định duy nhất và cũng không đánh giá toàn bộ hình dạng phân phối.</w:t>
      </w:r>
    </w:p>
    <w:p>
      <w:pPr>
        <w:pStyle w:val="BodyText"/>
        <w:spacing w:before="60" w:after="60" w:line="276" w:lineRule="auto"/>
        <w:ind w:firstLine="567"/>
        <w:jc w:val="both"/>
      </w:pPr>
      <w:r>
        <w:rPr>
          <w:rFonts w:ascii="Times New Roman" w:hAnsi="Times New Roman" w:eastAsia="Times New Roman"/>
          <w:sz w:val="26"/>
        </w:rPr>
        <w:t xml:space="preserve">Bên cạnh Jarque–Bera, có thể sử dụng thêm Shapiro–Wilk, Anderson–Darling và Lilliefors. Shapiro–Wilk thường có sức mạnh tốt với mẫu nhỏ và vừa</w:t>
      </w:r>
      <w:r>
        <w:rPr>
          <w:rFonts w:ascii="Times New Roman" w:hAnsi="Times New Roman" w:eastAsia="Times New Roman"/>
          <w:sz w:val="26"/>
        </w:rPr>
        <w:t xml:space="preserve"> </w:t>
      </w:r>
      <w:r>
        <w:rPr>
          <w:rFonts w:ascii="Times New Roman" w:hAnsi="Times New Roman" w:eastAsia="Times New Roman"/>
          <w:sz w:val="26"/>
        </w:rPr>
        <w:t xml:space="preserve">(Shapiro &amp; Wilk, 1965)</w:t>
      </w:r>
      <w:r>
        <w:rPr>
          <w:rFonts w:ascii="Times New Roman" w:hAnsi="Times New Roman" w:eastAsia="Times New Roman"/>
          <w:sz w:val="26"/>
        </w:rPr>
        <w:t xml:space="preserve">. Anderson–Darling nhạy hơn ở vùng đuôi phân phối</w:t>
      </w:r>
      <w:r>
        <w:rPr>
          <w:rFonts w:ascii="Times New Roman" w:hAnsi="Times New Roman" w:eastAsia="Times New Roman"/>
          <w:sz w:val="26"/>
        </w:rPr>
        <w:t xml:space="preserve"> </w:t>
      </w:r>
      <w:r>
        <w:rPr>
          <w:rFonts w:ascii="Times New Roman" w:hAnsi="Times New Roman" w:eastAsia="Times New Roman"/>
          <w:sz w:val="26"/>
        </w:rPr>
        <w:t xml:space="preserve">(Anderson &amp; Darling, 1952)</w:t>
      </w:r>
      <w:r>
        <w:rPr>
          <w:rFonts w:ascii="Times New Roman" w:hAnsi="Times New Roman" w:eastAsia="Times New Roman"/>
          <w:sz w:val="26"/>
        </w:rPr>
        <w:t xml:space="preserve">, do đó đặc biệt hữu ích trong bối cảnh VaR. Kolmogorov–Smirnov so sánh hàm phân phối thực nghiệm với phân phối lý thuyết, nhưng nếu trung bình và phương sai của phân phối chuẩn được ước lượng từ chính dữ liệu, nên sử dụng biến thể Lilliefors</w:t>
      </w:r>
      <w:r>
        <w:rPr>
          <w:rFonts w:ascii="Times New Roman" w:hAnsi="Times New Roman" w:eastAsia="Times New Roman"/>
          <w:sz w:val="26"/>
        </w:rPr>
        <w:t xml:space="preserve"> </w:t>
      </w:r>
      <w:r>
        <w:rPr>
          <w:rFonts w:ascii="Times New Roman" w:hAnsi="Times New Roman" w:eastAsia="Times New Roman"/>
          <w:sz w:val="26"/>
        </w:rPr>
        <w:t xml:space="preserve">(Lilliefors, 1967)</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Khi diễn giải các kiểm định tính chuẩn, cần tránh kết luận cơ học chỉ dựa vào p-value. Với dữ liệu tài chính tần suất ngày, kích thước mẫu thường lớn nên các kiểm định normality rất dễ bác bỏ giả thuyết chuẩn, kể cả khi sai lệch nhỏ về mặt thực tế. Vì vậy, kết quả kiểm định nên được đọc cùng với histogram, Q–Q plot, skewness, kurtosis và các phân vị đuôi trái. Trong quản trị rủi ro, câu hỏi quan trọng hơn không phải là “chuỗi có chuẩn tuyệt đối hay không”, mà là “chuỗi lệch khỏi chuẩn theo cách nào và điều đó làm thay đổi ước lượng VaR ra sao”.</w:t>
      </w:r>
    </w:p>
    <w:p>
      <w:pPr>
        <w:pStyle w:val="BodyText"/>
        <w:spacing w:before="60" w:after="60" w:line="276" w:lineRule="auto"/>
        <w:ind w:firstLine="567"/>
        <w:jc w:val="both"/>
      </w:pPr>
      <w:r>
        <w:rPr>
          <w:rFonts w:ascii="Times New Roman" w:hAnsi="Times New Roman" w:eastAsia="Times New Roman"/>
          <w:sz w:val="26"/>
        </w:rPr>
        <w:t xml:space="preserve">Nhóm kiểm định thứ hai là</w:t>
      </w:r>
      <w:r>
        <w:rPr>
          <w:rFonts w:ascii="Times New Roman" w:hAnsi="Times New Roman" w:eastAsia="Times New Roman"/>
          <w:sz w:val="26"/>
        </w:rPr>
        <w:t xml:space="preserve"> </w:t>
      </w:r>
      <w:r>
        <w:rPr>
          <w:rFonts w:ascii="Times New Roman" w:hAnsi="Times New Roman" w:eastAsia="Times New Roman"/>
          <w:b/>
          <w:bCs/>
          <w:sz w:val="26"/>
        </w:rPr>
        <w:t xml:space="preserve">kiểm định tính dừng</w:t>
      </w:r>
      <w:r>
        <w:rPr>
          <w:rFonts w:ascii="Times New Roman" w:hAnsi="Times New Roman" w:eastAsia="Times New Roman"/>
          <w:sz w:val="26"/>
        </w:rPr>
        <w:t xml:space="preserve">. Trong chuỗi thời gian tài chính, chuỗi giá thường không dừng, trong khi chuỗi tỷ lệ sinh lời thường dừng hơn. Hai kiểm định phổ biến là Augmented Dickey–Fuller (ADF)</w:t>
      </w:r>
      <w:r>
        <w:rPr>
          <w:rFonts w:ascii="Times New Roman" w:hAnsi="Times New Roman" w:eastAsia="Times New Roman"/>
          <w:sz w:val="26"/>
        </w:rPr>
        <w:t xml:space="preserve"> </w:t>
      </w:r>
      <w:r>
        <w:rPr>
          <w:rFonts w:ascii="Times New Roman" w:hAnsi="Times New Roman" w:eastAsia="Times New Roman"/>
          <w:sz w:val="26"/>
        </w:rPr>
        <w:t xml:space="preserve">(Dickey &amp; Fuller, 1979)</w:t>
      </w:r>
      <w:r>
        <w:rPr>
          <w:rFonts w:ascii="Times New Roman" w:hAnsi="Times New Roman" w:eastAsia="Times New Roman"/>
          <w:sz w:val="26"/>
        </w:rPr>
        <w:t xml:space="preserve"> </w:t>
      </w:r>
      <w:r>
        <w:rPr>
          <w:rFonts w:ascii="Times New Roman" w:hAnsi="Times New Roman" w:eastAsia="Times New Roman"/>
          <w:sz w:val="26"/>
        </w:rPr>
        <w:t xml:space="preserve">và Phillips–Perron (PP)</w:t>
      </w:r>
      <w:r>
        <w:rPr>
          <w:rFonts w:ascii="Times New Roman" w:hAnsi="Times New Roman" w:eastAsia="Times New Roman"/>
          <w:sz w:val="26"/>
        </w:rPr>
        <w:t xml:space="preserve"> </w:t>
      </w:r>
      <w:r>
        <w:rPr>
          <w:rFonts w:ascii="Times New Roman" w:hAnsi="Times New Roman" w:eastAsia="Times New Roman"/>
          <w:sz w:val="26"/>
        </w:rPr>
        <w:t xml:space="preserve">(Phillips &amp; Perron, 1988)</w:t>
      </w:r>
      <w:r>
        <w:rPr>
          <w:rFonts w:ascii="Times New Roman" w:hAnsi="Times New Roman" w:eastAsia="Times New Roman"/>
          <w:sz w:val="26"/>
        </w:rPr>
        <w:t xml:space="preserve">, trong đó giả thuyết gốc là chuỗi có nghiệm đơn vị. Nếu bác bỏ giả thuyết gốc, có bằng chứng cho thấy chuỗi dừng. Ngược lại, kiểm định KPSS có giả thuyết gốc là chuỗi dừng</w:t>
      </w:r>
      <w:r>
        <w:rPr>
          <w:rFonts w:ascii="Times New Roman" w:hAnsi="Times New Roman" w:eastAsia="Times New Roman"/>
          <w:sz w:val="26"/>
        </w:rPr>
        <w:t xml:space="preserve"> </w:t>
      </w:r>
      <w:r>
        <w:rPr>
          <w:rFonts w:ascii="Times New Roman" w:hAnsi="Times New Roman" w:eastAsia="Times New Roman"/>
          <w:sz w:val="26"/>
        </w:rPr>
        <w:t xml:space="preserve">(Kwiatkowski et al., 1992)</w:t>
      </w:r>
      <w:r>
        <w:rPr>
          <w:rFonts w:ascii="Times New Roman" w:hAnsi="Times New Roman" w:eastAsia="Times New Roman"/>
          <w:sz w:val="26"/>
        </w:rPr>
        <w:t xml:space="preserve">. Vì giả thuyết gốc của ADF/PP và KPSS trái chiều nhau, việc dùng kết hợp các kiểm định này giúp đưa ra kết luận thận trọng hơn.</w:t>
      </w:r>
    </w:p>
    <w:p>
      <w:pPr>
        <w:pStyle w:val="BodyText"/>
        <w:spacing w:before="60" w:after="60" w:line="276" w:lineRule="auto"/>
        <w:ind w:firstLine="567"/>
        <w:jc w:val="both"/>
      </w:pPr>
      <w:r>
        <w:rPr>
          <w:rFonts w:ascii="Times New Roman" w:hAnsi="Times New Roman" w:eastAsia="Times New Roman"/>
          <w:sz w:val="26"/>
        </w:rPr>
        <w:t xml:space="preserve">Nhóm kiểm định thứ ba là</w:t>
      </w:r>
      <w:r>
        <w:rPr>
          <w:rFonts w:ascii="Times New Roman" w:hAnsi="Times New Roman" w:eastAsia="Times New Roman"/>
          <w:sz w:val="26"/>
        </w:rPr>
        <w:t xml:space="preserve"> </w:t>
      </w:r>
      <w:r>
        <w:rPr>
          <w:rFonts w:ascii="Times New Roman" w:hAnsi="Times New Roman" w:eastAsia="Times New Roman"/>
          <w:b/>
          <w:bCs/>
          <w:sz w:val="26"/>
        </w:rPr>
        <w:t xml:space="preserve">kiểm định tự tương quan tuyến tính</w:t>
      </w:r>
      <w:r>
        <w:rPr>
          <w:rFonts w:ascii="Times New Roman" w:hAnsi="Times New Roman" w:eastAsia="Times New Roman"/>
          <w:sz w:val="26"/>
        </w:rPr>
        <w:t xml:space="preserve">. Công cụ trực quan đầu tiên là đồ thị ACF/PACF. Về kiểm định chính thức, Ljung–Box test được sử dụng phổ biến để kiểm tra giả thuyết rằng không có tự tương quan đến một độ trễ nhất định</w:t>
      </w:r>
      <w:r>
        <w:rPr>
          <w:rFonts w:ascii="Times New Roman" w:hAnsi="Times New Roman" w:eastAsia="Times New Roman"/>
          <w:sz w:val="26"/>
        </w:rPr>
        <w:t xml:space="preserve"> </w:t>
      </w:r>
      <w:r>
        <w:rPr>
          <w:rFonts w:ascii="Times New Roman" w:hAnsi="Times New Roman" w:eastAsia="Times New Roman"/>
          <w:sz w:val="26"/>
        </w:rPr>
        <w:t xml:space="preserve">(Ljung &amp; Box, 1978)</w:t>
      </w:r>
      <w:r>
        <w:rPr>
          <w:rFonts w:ascii="Times New Roman" w:hAnsi="Times New Roman" w:eastAsia="Times New Roman"/>
          <w:sz w:val="26"/>
        </w:rPr>
        <w:t xml:space="preserve">. Khi áp dụng cho chuỗi (</w:t>
      </w:r>
      <m:oMath>
        <m:sSub>
          <m:e>
            <m:r>
              <m:t>r</m:t>
            </m:r>
          </m:e>
          <m:sub>
            <m:r>
              <m:t>t</m:t>
            </m:r>
          </m:sub>
        </m:sSub>
      </m:oMath>
      <w:r>
        <w:rPr>
          <w:rFonts w:ascii="Times New Roman" w:hAnsi="Times New Roman" w:eastAsia="Times New Roman"/>
          <w:sz w:val="26"/>
        </w:rPr>
        <w:t xml:space="preserve">), kiểm định này cho biết liệu tỷ lệ sinh lời có phụ thuộc tuyến tính vào quá khứ hay không. Khi áp dụng cho (</w:t>
      </w:r>
      <m:oMath>
        <m:sSubSup>
          <m:e>
            <m:r>
              <m:t>r</m:t>
            </m:r>
          </m:e>
          <m:sub>
            <m:r>
              <m:t>t</m:t>
            </m:r>
          </m:sub>
          <m:sup>
            <m:r>
              <m:t>2</m:t>
            </m:r>
          </m:sup>
        </m:sSubSup>
      </m:oMath>
      <w:r>
        <w:rPr>
          <w:rFonts w:ascii="Times New Roman" w:hAnsi="Times New Roman" w:eastAsia="Times New Roman"/>
          <w:sz w:val="26"/>
        </w:rPr>
        <w:t xml:space="preserve">) hoặc (</w:t>
      </w:r>
      <m:oMath>
        <m:r>
          <m:rPr>
            <m:sty m:val="p"/>
          </m:rPr>
          <m:t>|</m:t>
        </m:r>
        <m:sSub>
          <m:e>
            <m:r>
              <m:t>r</m:t>
            </m:r>
          </m:e>
          <m:sub>
            <m:r>
              <m:t>t</m:t>
            </m:r>
          </m:sub>
        </m:sSub>
        <m:r>
          <m:rPr>
            <m:sty m:val="p"/>
          </m:rPr>
          <m:t>|</m:t>
        </m:r>
      </m:oMath>
      <w:r>
        <w:rPr>
          <w:rFonts w:ascii="Times New Roman" w:hAnsi="Times New Roman" w:eastAsia="Times New Roman"/>
          <w:sz w:val="26"/>
        </w:rPr>
        <w:t xml:space="preserve">), kiểm định này cho biết liệu có phụ thuộc trong biến động hay không.</w:t>
      </w:r>
    </w:p>
    <w:p>
      <w:pPr>
        <w:pStyle w:val="BodyText"/>
        <w:spacing w:before="60" w:after="60" w:line="276" w:lineRule="auto"/>
        <w:ind w:firstLine="567"/>
        <w:jc w:val="both"/>
      </w:pPr>
      <w:r>
        <w:rPr>
          <w:rFonts w:ascii="Times New Roman" w:hAnsi="Times New Roman" w:eastAsia="Times New Roman"/>
          <w:sz w:val="26"/>
        </w:rPr>
        <w:t xml:space="preserve">Nếu Ljung–Box trên (</w:t>
      </w:r>
      <m:oMath>
        <m:sSub>
          <m:e>
            <m:r>
              <m:t>r</m:t>
            </m:r>
          </m:e>
          <m:sub>
            <m:r>
              <m:t>t</m:t>
            </m:r>
          </m:sub>
        </m:sSub>
      </m:oMath>
      <w:r>
        <w:rPr>
          <w:rFonts w:ascii="Times New Roman" w:hAnsi="Times New Roman" w:eastAsia="Times New Roman"/>
          <w:sz w:val="26"/>
        </w:rPr>
        <w:t xml:space="preserve">) không có ý nghĩa nhưng Ljung–Box trên (</w:t>
      </w:r>
      <m:oMath>
        <m:sSubSup>
          <m:e>
            <m:r>
              <m:t>r</m:t>
            </m:r>
          </m:e>
          <m:sub>
            <m:r>
              <m:t>t</m:t>
            </m:r>
          </m:sub>
          <m:sup>
            <m:r>
              <m:t>2</m:t>
            </m:r>
          </m:sup>
        </m:sSubSup>
      </m:oMath>
      <w:r>
        <w:rPr>
          <w:rFonts w:ascii="Times New Roman" w:hAnsi="Times New Roman" w:eastAsia="Times New Roman"/>
          <w:sz w:val="26"/>
        </w:rPr>
        <w:t xml:space="preserve">) hoặc (</w:t>
      </w:r>
      <m:oMath>
        <m:r>
          <m:rPr>
            <m:sty m:val="p"/>
          </m:rPr>
          <m:t>|</m:t>
        </m:r>
        <m:sSub>
          <m:e>
            <m:r>
              <m:t>r</m:t>
            </m:r>
          </m:e>
          <m:sub>
            <m:r>
              <m:t>t</m:t>
            </m:r>
          </m:sub>
        </m:sSub>
        <m:r>
          <m:rPr>
            <m:sty m:val="p"/>
          </m:rPr>
          <m:t>|</m:t>
        </m:r>
      </m:oMath>
      <w:r>
        <w:rPr>
          <w:rFonts w:ascii="Times New Roman" w:hAnsi="Times New Roman" w:eastAsia="Times New Roman"/>
          <w:sz w:val="26"/>
        </w:rPr>
        <w:t xml:space="preserve">) có ý nghĩa, kết quả này thường được xem là bằng chứng cho thấy khả năng dự báo nằm chủ yếu ở phương sai hơn là ở trung bình. Đây là một trong những tín hiệu thực nghiệm quan trọng để chuyển từ mô hình hóa phương trình trung bình sang mô hình hóa phương sai có điều kiện.</w:t>
      </w:r>
    </w:p>
    <w:p>
      <w:pPr>
        <w:pStyle w:val="BodyText"/>
        <w:spacing w:before="60" w:after="60" w:line="276" w:lineRule="auto"/>
        <w:ind w:firstLine="567"/>
        <w:jc w:val="both"/>
      </w:pPr>
      <w:r>
        <w:rPr>
          <w:rFonts w:ascii="Times New Roman" w:hAnsi="Times New Roman" w:eastAsia="Times New Roman"/>
          <w:sz w:val="26"/>
        </w:rPr>
        <w:t xml:space="preserve">Nhóm kiểm định thứ tư là</w:t>
      </w:r>
      <w:r>
        <w:rPr>
          <w:rFonts w:ascii="Times New Roman" w:hAnsi="Times New Roman" w:eastAsia="Times New Roman"/>
          <w:sz w:val="26"/>
        </w:rPr>
        <w:t xml:space="preserve"> </w:t>
      </w:r>
      <w:r>
        <w:rPr>
          <w:rFonts w:ascii="Times New Roman" w:hAnsi="Times New Roman" w:eastAsia="Times New Roman"/>
          <w:b/>
          <w:bCs/>
          <w:sz w:val="26"/>
        </w:rPr>
        <w:t xml:space="preserve">kiểm định ARCH effect</w:t>
      </w:r>
      <w:r>
        <w:rPr>
          <w:rFonts w:ascii="Times New Roman" w:hAnsi="Times New Roman" w:eastAsia="Times New Roman"/>
          <w:sz w:val="26"/>
        </w:rPr>
        <w:t xml:space="preserve">. Kiểm định ARCH-LM do Engle đề xuất dựa trên hồi quy bình phương phần dư theo các độ trễ của chính nó</w:t>
      </w:r>
      <w:r>
        <w:rPr>
          <w:rFonts w:ascii="Times New Roman" w:hAnsi="Times New Roman" w:eastAsia="Times New Roman"/>
          <w:sz w:val="26"/>
        </w:rPr>
        <w:t xml:space="preserve"> </w:t>
      </w:r>
      <w:r>
        <w:rPr>
          <w:rFonts w:ascii="Times New Roman" w:hAnsi="Times New Roman" w:eastAsia="Times New Roman"/>
          <w:sz w:val="26"/>
        </w:rPr>
        <w:t xml:space="preserve">(Engle, 1982)</w:t>
      </w:r>
      <w:r>
        <w:rPr>
          <w:rFonts w:ascii="Times New Roman" w:hAnsi="Times New Roman" w:eastAsia="Times New Roman"/>
          <w:sz w:val="26"/>
        </w:rPr>
        <w:t xml:space="preserve">. Giả thuyết gốc là không tồn tại hiệu ứng ARCH đến bậc (m). Nếu bác bỏ giả thuyết gốc, chuỗi có bằng chứng về phương sai thay đổi có điều kiện, qua đó tạo cơ sở thực nghiệm cho việc sử dụng các mô hình ARCH/GARCH.</w:t>
      </w:r>
    </w:p>
    <w:p>
      <w:pPr>
        <w:pStyle w:val="BodyText"/>
        <w:spacing w:before="60" w:after="60" w:line="240" w:lineRule="auto"/>
        <w:ind w:firstLine="0"/>
        <w:jc w:val="center"/>
      </w:pPr>
      <w:r>
        <w:rPr>
          <w:rFonts w:ascii="Times New Roman" w:hAnsi="Times New Roman" w:eastAsia="Times New Roman"/>
          <w:b/>
          <w:i w:val="0"/>
          <w:sz w:val="24"/>
        </w:rPr>
        <w:t>Bảng dưới đây tóm tắt vai trò của các nhóm kiểm định trong bước chẩn đoán dữ liệu trước khi lựa chọn mô hình volatility và VaR.</w:t>
      </w:r>
    </w:p>
    <w:p>
      <w:pPr>
        <w:pStyle w:val="TableCaption"/>
        <w:spacing w:before="60" w:after="60" w:line="276" w:lineRule="auto"/>
        <w:ind w:firstLine="567"/>
        <w:jc w:val="both"/>
      </w:pPr>
      <w:r>
        <w:rPr>
          <w:rFonts w:ascii="Times New Roman" w:hAnsi="Times New Roman" w:eastAsia="Times New Roman"/>
          <w:sz w:val="26"/>
        </w:rPr>
        <w:t xml:space="preserve">Quy trình chẩn đoán dữ liệu trước khi lựa chọn mô hình volatility và VaR</w:t>
      </w:r>
    </w:p>
    <w:tbl>
      <w:tblPr>
        <w:tblStyle w:val="Table"/>
        <w:tblW w:type="pct" w:w="5000"/>
        <w:tblLayout w:type="fixed"/>
        <w:tblLook w:firstRow="1" w:lastRow="0" w:firstColumn="0" w:lastColumn="0" w:noHBand="0" w:noVBand="0" w:val="0020"/>
        <w:tblCaption w:val="Quy trình chẩn đoán dữ liệu trước khi lựa chọn mô hình volatility và VaR"/>
      </w:tblPr>
      <w:tblGrid>
        <w:gridCol w:w="1980"/>
        <w:gridCol w:w="1980"/>
        <w:gridCol w:w="1980"/>
        <w:gridCol w:w="1980"/>
      </w:tblGrid>
      <w:tr>
        <w:trPr>
          <w:tblHeader w:val="on"/>
        </w:trPr>
        <w:tc>
          <w:tcPr>
            <w:vAlign w:val="center"/>
          </w:tcPr>
          <w:p>
            <w:pPr>
              <w:pStyle w:val="Compact"/>
              <w:spacing w:before="0" w:after="0" w:line="240" w:lineRule="auto"/>
              <w:ind w:firstLine="0"/>
              <w:jc w:val="center"/>
            </w:pPr>
            <w:r>
              <w:rPr>
                <w:rFonts w:ascii="Times New Roman" w:hAnsi="Times New Roman" w:eastAsia="Times New Roman"/>
                <w:b/>
                <w:sz w:val="24"/>
              </w:rPr>
              <w:t xml:space="preserve">Đặc điểm cần kiểm tra</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Công cụ đề xuất</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Giả thuyết/ý nghĩa chính</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Hàm ý mô hình</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Hình dạng phân phối</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Histogram, density, Q–Q plot</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Quan sát trực quan mức lệch khỏi chuẩn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Nếu đuôi dày hoặc lệch trái, cần thận trọng với VaR chuẩn</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Tính chuẩn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JB, Shapiro–Wilk, Anderson–Darling, Lilliefors</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Kiểm tra phân phối có phù hợp với chuẩn hay không</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Nếu bác bỏ chuẩn, cân nhắc Student-(t), skewed-(t), GED hoặc mô phỏng lịch sử</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Tính dừng</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ADF, PP, KPSS</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Kiểm tra chuỗi return có đủ ổn định để mô hình hóa hay không</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Nếu không dừng, cần biến đổi dữ liệu hoặc xem lại cách tính return</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Tự tương quan của return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ACF/PACF, Ljung–Box trên (</w:t>
            </w:r>
            <m:oMath>
              <m:sSub>
                <m:e>
                  <m:r>
                    <m:t>r</m:t>
                  </m:r>
                </m:e>
                <m:sub>
                  <m:r>
                    <m:t>t</m:t>
                  </m:r>
                </m:sub>
              </m:sSub>
            </m:oMath>
            <w:r>
              <w:rPr>
                <w:rFonts w:ascii="Times New Roman" w:hAnsi="Times New Roman" w:eastAsia="Times New Roman"/>
                <w:b w:val="0"/>
                <w:sz w:val="24"/>
              </w:rPr>
              <w:t xml:space="preserve">)</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Kiểm tra phụ thuộc tuyến tính trong trung bình</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Nếu có, cân nhắc ARMA trong phương trình trung bình</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Phụ thuộc trong biến động</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Ljung–Box trên (</w:t>
            </w:r>
            <m:oMath>
              <m:sSubSup>
                <m:e>
                  <m:r>
                    <m:t>r</m:t>
                  </m:r>
                </m:e>
                <m:sub>
                  <m:r>
                    <m:t>t</m:t>
                  </m:r>
                </m:sub>
                <m:sup>
                  <m:r>
                    <m:t>2</m:t>
                  </m:r>
                </m:sup>
              </m:sSubSup>
            </m:oMath>
            <w:r>
              <w:rPr>
                <w:rFonts w:ascii="Times New Roman" w:hAnsi="Times New Roman" w:eastAsia="Times New Roman"/>
                <w:b w:val="0"/>
                <w:sz w:val="24"/>
              </w:rPr>
              <w:t xml:space="preserve">), (</w:t>
            </w:r>
            <w:r>
              <w:rPr>
                <w:rFonts w:ascii="Times New Roman" w:hAnsi="Times New Roman" w:eastAsia="Times New Roman"/>
                <w:b w:val="0"/>
                <w:sz w:val="24"/>
              </w:rPr>
              <w:t xml:space="preserve"> </w:t>
            </w:r>
            <m:oMath>
              <m:r>
                <m:rPr>
                  <m:sty m:val="p"/>
                </m:rPr>
                <m:t>|</m:t>
              </m:r>
              <m:sSub>
                <m:e>
                  <m:r>
                    <m:t>r</m:t>
                  </m:r>
                </m:e>
                <m:sub>
                  <m:r>
                    <m:t>t</m:t>
                  </m:r>
                </m:sub>
              </m:sSub>
              <m:r>
                <m:rPr>
                  <m:sty m:val="p"/>
                </m:rPr>
                <m:t>|</m:t>
              </m:r>
            </m:oMath>
            <w:r>
              <w:rPr>
                <w:rFonts w:ascii="Times New Roman" w:hAnsi="Times New Roman" w:eastAsia="Times New Roman"/>
                <w:b w:val="0"/>
                <w:sz w:val="24"/>
              </w:rPr>
              <w:t xml:space="preserve"> </w:t>
            </w:r>
            <w:r>
              <w:rPr>
                <w:rFonts w:ascii="Times New Roman" w:hAnsi="Times New Roman" w:eastAsia="Times New Roman"/>
                <w:b w:val="0"/>
                <w:sz w:val="24"/>
              </w:rPr>
              <w:t xml:space="preserve">)</w:t>
            </w:r>
          </w:p>
        </w:tc>
        <w:tc>
          <w:tcPr>
            <w:vAlign w:val="center"/>
          </w:tcPr>
          <w:p>
            <w:pPr>
              <w:pStyle w:val="Compact"/>
              <w:spacing w:before="0" w:after="0" w:line="240" w:lineRule="auto"/>
              <w:ind w:firstLine="0"/>
              <w:jc w:val="left"/>
            </w:pPr>
          </w:p>
        </w:tc>
        <w:tc>
          <w:tcPr>
            <w:vAlign w:val="center"/>
          </w:tcPr>
          <w:p>
            <w:pPr>
              <w:pStyle w:val="Compact"/>
              <w:spacing w:before="0" w:after="0" w:line="240" w:lineRule="auto"/>
              <w:ind w:firstLine="0"/>
              <w:jc w:val="left"/>
            </w:pP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ARCH effect</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ARCH-LM</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Kiểm tra phương sai thay đổi có điều kiện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Nếu có, GARCH/EGARCH/GJR-GARCH có cơ sở thực nghiệm</w:t>
            </w:r>
          </w:p>
        </w:tc>
      </w:tr>
    </w:tbl>
    <w:bookmarkEnd w:id="30"/>
    <w:bookmarkStart w:id="34" w:name="sec-statistical-properties-implications"/>
    <w:p>
      <w:pPr>
        <w:pStyle w:val="Heading3"/>
        <w:spacing w:before="120" w:after="120" w:line="276" w:lineRule="auto"/>
        <w:ind w:firstLine="0"/>
        <w:jc w:val="left"/>
      </w:pPr>
      <w:r>
        <w:rPr>
          <w:rFonts w:ascii="Times New Roman" w:hAnsi="Times New Roman" w:eastAsia="Times New Roman"/>
          <w:b/>
          <w:i w:val="0"/>
          <w:sz w:val="26"/>
        </w:rPr>
        <w:t xml:space="preserve">1.3.2 Ý nghĩa của các đặc điểm thống kê đối với nghiên cứu biến động và VaR</w:t>
      </w:r>
    </w:p>
    <w:p>
      <w:pPr>
        <w:pStyle w:val="FirstParagraph"/>
        <w:spacing w:before="60" w:after="60" w:line="276" w:lineRule="auto"/>
        <w:ind w:firstLine="567"/>
        <w:jc w:val="both"/>
      </w:pPr>
      <w:r>
        <w:rPr>
          <w:rFonts w:ascii="Times New Roman" w:hAnsi="Times New Roman" w:eastAsia="Times New Roman"/>
          <w:sz w:val="26"/>
        </w:rPr>
        <w:t xml:space="preserve">Các đặc điểm thống kê của tỷ lệ sinh lời không chỉ là thông tin mô tả dữ liệu. Chúng quyết định trực tiếp cách lựa chọn mô hình đo lường biến động và giá trị chịu rủi ro. Nếu chuỗi có phân phối gần chuẩn, phương sai tương đối ổn định và không có phụ thuộc rõ rệt trong bình phương tỷ lệ sinh lời, các mô hình đơn giản dựa trên độ lệch chuẩn lịch sử có thể cung cấp một điểm khởi đầu hợp lý. Tuy nhiên, đây hiếm khi là bức tranh đầy đủ của dữ liệu tài chính thực tế.</w:t>
      </w:r>
    </w:p>
    <w:p>
      <w:pPr>
        <w:pStyle w:val="BodyText"/>
        <w:spacing w:before="60" w:after="60" w:line="276" w:lineRule="auto"/>
        <w:ind w:firstLine="567"/>
        <w:jc w:val="both"/>
      </w:pPr>
      <w:r>
        <w:rPr>
          <w:rFonts w:ascii="Times New Roman" w:hAnsi="Times New Roman" w:eastAsia="Times New Roman"/>
          <w:sz w:val="26"/>
        </w:rPr>
        <w:t xml:space="preserve">Nếu chuỗi có đuôi dày, giả định chuẩn có thể đánh giá thấp xác suất xảy ra các khoản lỗ cực đoan. Khi đó, các phân phối có đuôi dày như Student-(t), GED hoặc các tiếp cận dựa trên phân vị thực nghiệm trở nên phù hợp hơn. Nếu chuỗi có lệch trái, các mô hình đối xứng có thể chưa phản ánh đầy đủ rủi ro ở vùng thua lỗ lớn. Nếu chuỗi có cụm biến động và ARCH effect, việc dùng một phương sai cố định cho toàn bộ giai đoạn nghiên cứu sẽ không phản ánh đúng trạng thái rủi ro hiện hành của thị trường.</w:t>
      </w:r>
    </w:p>
    <w:p>
      <w:pPr>
        <w:pStyle w:val="BodyText"/>
        <w:spacing w:before="60" w:after="60" w:line="276" w:lineRule="auto"/>
        <w:ind w:firstLine="567"/>
        <w:jc w:val="both"/>
      </w:pPr>
      <w:r>
        <w:rPr>
          <w:rFonts w:ascii="Times New Roman" w:hAnsi="Times New Roman" w:eastAsia="Times New Roman"/>
          <w:sz w:val="26"/>
        </w:rPr>
        <w:t xml:space="preserve">Từ góc độ mô hình hóa, có thể tóm lược logic như sau. Tự tương quan trong (</w:t>
      </w:r>
      <m:oMath>
        <m:sSub>
          <m:e>
            <m:r>
              <m:t>r</m:t>
            </m:r>
          </m:e>
          <m:sub>
            <m:r>
              <m:t>t</m:t>
            </m:r>
          </m:sub>
        </m:sSub>
      </m:oMath>
      <w:r>
        <w:rPr>
          <w:rFonts w:ascii="Times New Roman" w:hAnsi="Times New Roman" w:eastAsia="Times New Roman"/>
          <w:sz w:val="26"/>
        </w:rPr>
        <w:t xml:space="preserve">) gợi ý cần xem xét phương trình trung bình, chẳng hạn ARMA. Tự tương quan trong (</w:t>
      </w:r>
      <m:oMath>
        <m:sSubSup>
          <m:e>
            <m:r>
              <m:t>r</m:t>
            </m:r>
          </m:e>
          <m:sub>
            <m:r>
              <m:t>t</m:t>
            </m:r>
          </m:sub>
          <m:sup>
            <m:r>
              <m:t>2</m:t>
            </m:r>
          </m:sup>
        </m:sSubSup>
      </m:oMath>
      <w:r>
        <w:rPr>
          <w:rFonts w:ascii="Times New Roman" w:hAnsi="Times New Roman" w:eastAsia="Times New Roman"/>
          <w:sz w:val="26"/>
        </w:rPr>
        <w:t xml:space="preserve">) hoặc (</w:t>
      </w:r>
      <m:oMath>
        <m:r>
          <m:rPr>
            <m:sty m:val="p"/>
          </m:rPr>
          <m:t>|</m:t>
        </m:r>
        <m:sSub>
          <m:e>
            <m:r>
              <m:t>r</m:t>
            </m:r>
          </m:e>
          <m:sub>
            <m:r>
              <m:t>t</m:t>
            </m:r>
          </m:sub>
        </m:sSub>
        <m:r>
          <m:rPr>
            <m:sty m:val="p"/>
          </m:rPr>
          <m:t>|</m:t>
        </m:r>
      </m:oMath>
      <w:r>
        <w:rPr>
          <w:rFonts w:ascii="Times New Roman" w:hAnsi="Times New Roman" w:eastAsia="Times New Roman"/>
          <w:sz w:val="26"/>
        </w:rPr>
        <w:t xml:space="preserve">) gợi ý cần mô hình hóa phương sai có điều kiện. Đuôi dày và bất đối xứng gợi ý cần lựa chọn phân phối sai số phù hợp hơn phân phối chuẩn. Phần đuôi trái của phân phối gợi ý cần tập trung vào VaR, Expected Shortfall và các phương pháp đo lường tail risk.</w:t>
      </w:r>
    </w:p>
    <w:p>
      <w:pPr>
        <w:pStyle w:val="BodyText"/>
        <w:spacing w:before="60" w:after="60" w:line="276" w:lineRule="auto"/>
        <w:ind w:firstLine="567"/>
        <w:jc w:val="both"/>
      </w:pPr>
      <w:r>
        <w:rPr>
          <w:rFonts w:ascii="Times New Roman" w:hAnsi="Times New Roman" w:eastAsia="Times New Roman"/>
          <w:sz w:val="26"/>
        </w:rPr>
        <w:t xml:space="preserve">Như vậy, nghiên cứu đặc điểm thống kê của tỷ lệ sinh lời là bước khởi đầu có tính nền tảng cho toàn bộ phân tích tiếp theo về biến động và giá trị chịu rủi ro. Trước khi lựa chọn một mô hình GARCH, EGARCH, GJR-GARCH, VaR tham số, VaR mô phỏng lịch sử hay VaR dựa trên EVT, nhà nghiên cứu cần trả lời câu hỏi: dữ liệu thực nghiệm đang thể hiện những đặc điểm nào và mô hình được chọn có xử lý được các đặc điểm đó hay không?</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vAlign w:val="center"/>
          </w:tcPr>
          <w:p>
            <w:pPr>
              <w:pStyle w:val="BodyText"/>
              <w:spacing w:before="0" w:after="0" w:line="240" w:lineRule="auto"/>
              <w:ind w:firstLine="0"/>
              <w:jc w:val="center"/>
            </w:pPr>
            <w:pPr>
              <w:spacing w:before="0" w:after="0"/>
              <w:textAlignment w:val="center"/>
            </w:pPr>
            <w:r>
              <w:rPr>
                <w:rFonts w:ascii="Times New Roman" w:hAnsi="Times New Roman" w:eastAsia="Times New Roman"/>
                <w:b/>
                <w:sz w:val="24"/>
              </w:rPr>
              <w:drawing>
                <wp:inline>
                  <wp:extent cx="152400" cy="152400"/>
                  <wp:effectExtent b="0" l="0" r="0" t="0"/>
                  <wp:docPr descr="" title="" id="32" name="Picture"/>
                  <a:graphic>
                    <a:graphicData uri="http://schemas.openxmlformats.org/drawingml/2006/picture">
                      <pic:pic>
                        <pic:nvPicPr>
                          <pic:cNvPr descr="C:\Program Files\RStudio\resources\app\bin\quarto\share\formats\docx\tip.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rPr>
                <w:rFonts w:ascii="Times New Roman" w:hAnsi="Times New Roman" w:eastAsia="Times New Roman"/>
                <w:b/>
                <w:sz w:val="24"/>
              </w:rPr>
              <w:t xml:space="preserve"> </w:t>
            </w:r>
            <w:r>
              <w:rPr>
                <w:rFonts w:ascii="Times New Roman" w:hAnsi="Times New Roman" w:eastAsia="Times New Roman"/>
                <w:b/>
                <w:sz w:val="24"/>
              </w:rPr>
              <w:t xml:space="preserve"> </w:t>
            </w:r>
            <w:r>
              <w:rPr>
                <w:rFonts w:ascii="Times New Roman" w:hAnsi="Times New Roman" w:eastAsia="Times New Roman"/>
                <w:b/>
                <w:sz w:val="24"/>
              </w:rPr>
              <w:t xml:space="preserve">Tip</w:t>
            </w:r>
          </w:p>
        </w:tc>
      </w:tr>
      <w:tr>
        <w:trPr>
          <w:cantSplit/>
        </w:trPr>
        <w:tc>
          <w:tcPr>
            <w:tcMar>
              <w:top w:w="108" w:type="dxa"/>
              <w:bottom w:w="108" w:type="dxa"/>
            </w:tcMar>
            <w:vAlign w:val="center"/>
          </w:tcPr>
          <w:p>
            <w:pPr>
              <w:pStyle w:val="BodyText"/>
              <w:spacing w:before="0" w:after="0" w:line="240" w:lineRule="auto"/>
              <w:ind w:firstLine="0"/>
              <w:jc w:val="left"/>
            </w:pPr>
            <w:pPr>
              <w:spacing w:before="16" w:after="16"/>
            </w:pPr>
            <w:r>
              <w:rPr>
                <w:rFonts w:ascii="Times New Roman" w:hAnsi="Times New Roman" w:eastAsia="Times New Roman"/>
                <w:b w:val="0"/>
                <w:sz w:val="24"/>
              </w:rPr>
              <w:t xml:space="preserve">Một quy trình thực nghiệm tốt không bắt đầu bằng việc chọn mô hình phức tạp nhất, mà bắt đầu bằng việc hiểu dữ liệu. Với chuỗi tỷ lệ sinh lời tài chính, các bước tối thiểu nên gồm: vẽ đồ thị chuỗi, mô tả phân phối, kiểm định tính chuẩn, kiểm định tính dừng, kiểm định tự tương quan, kiểm định ARCH effect, sau đó mới lựa chọn mô hình volatility và VaR.</w:t>
            </w:r>
          </w:p>
          <w:p>
            <w:pPr>
              <w:spacing w:before="0" w:after="0" w:line="240" w:lineRule="auto"/>
              <w:ind w:firstLine="0"/>
              <w:jc w:val="left"/>
            </w:pPr>
          </w:p>
        </w:tc>
      </w:tr>
    </w:tbl>
    <w:p>
      <w:pPr>
        <w:pStyle w:val="BodyText"/>
        <w:spacing w:before="60" w:after="60" w:line="276" w:lineRule="auto"/>
        <w:ind w:firstLine="567"/>
        <w:jc w:val="both"/>
      </w:pPr>
      <w:r>
        <w:rPr>
          <w:rFonts w:ascii="Times New Roman" w:hAnsi="Times New Roman" w:eastAsia="Times New Roman"/>
          <w:sz w:val="26"/>
        </w:rPr>
        <w:t xml:space="preserve">Tóm lại, tỷ lệ sinh lời tài sản là một biến ngẫu nhiên có những đặc điểm khác biệt so với nhiều loại dữ liệu kinh tế thông thường. Chuỗi này thường dao động quanh một giá trị trung bình nhỏ, có phân phối không chuẩn, có thể có đuôi dày và bất đối xứng, ít tự tương quan tuyến tính ở bản thân chuỗi nhưng lại thể hiện rõ phụ thuộc trong bình phương hoặc giá trị tuyệt đối của tỷ lệ sinh lời. Ngoài ra, chuỗi tỷ lệ sinh lời thường dừng hơn chuỗi giá, nhưng phương sai có điều kiện của nó vẫn có thể thay đổi mạnh theo thời gian.</w:t>
      </w:r>
    </w:p>
    <w:p>
      <w:pPr>
        <w:pStyle w:val="BodyText"/>
        <w:spacing w:before="60" w:after="60" w:line="276" w:lineRule="auto"/>
        <w:ind w:firstLine="567"/>
        <w:jc w:val="both"/>
      </w:pPr>
      <w:r>
        <w:rPr>
          <w:rFonts w:ascii="Times New Roman" w:hAnsi="Times New Roman" w:eastAsia="Times New Roman"/>
          <w:sz w:val="26"/>
        </w:rPr>
        <w:t xml:space="preserve">Những đặc điểm này lý giải vì sao các mô hình tài chính hiện đại không chỉ quan tâm đến giá trị trung bình của tỷ lệ sinh lời, mà đặc biệt nhấn mạnh việc mô hình hóa biến động, phân phối có điều kiện và phần đuôi của phân phối. Trên cơ sở đó, mục tiếp theo của chương sẽ trình bày trực tiếp hơn về khái niệm biến động tỷ lệ sinh lời, các cách đo lường volatility cơ bản, và vai trò của volatility trong mô hình hóa VaR.</w:t>
      </w:r>
    </w:p>
    <w:bookmarkEnd w:id="34"/>
    <w:bookmarkEnd w:id="35"/>
    <w:bookmarkStart w:id="45" w:name="sec-return-volatility"/>
    <w:p>
      <w:pPr>
        <w:pStyle w:val="Heading2"/>
        <w:spacing w:before="120" w:after="120" w:line="276" w:lineRule="auto"/>
        <w:ind w:firstLine="0"/>
        <w:jc w:val="left"/>
      </w:pPr>
      <w:r>
        <w:rPr>
          <w:rFonts w:ascii="Times New Roman" w:hAnsi="Times New Roman" w:eastAsia="Times New Roman"/>
          <w:b/>
          <w:i w:val="0"/>
          <w:sz w:val="26"/>
        </w:rPr>
        <w:t>1.4 BIẾN ĐỘNG TỶ LỆ SINH LỜI VÀ CÁC CÁCH ĐO LƯỜNG CƠ BẢN</w:t>
      </w:r>
    </w:p>
    <w:p>
      <w:pPr>
        <w:pStyle w:val="FirstParagraph"/>
        <w:spacing w:before="60" w:after="60" w:line="276" w:lineRule="auto"/>
        <w:ind w:firstLine="567"/>
        <w:jc w:val="both"/>
      </w:pPr>
      <w:r>
        <w:rPr>
          <w:rFonts w:ascii="Times New Roman" w:hAnsi="Times New Roman" w:eastAsia="Times New Roman"/>
          <w:sz w:val="26"/>
        </w:rPr>
        <w:t xml:space="preserve">Trong phân tích rủi ro tài chính, tỷ lệ sinh lời cho biết tài sản tăng hoặc giảm bao nhiêu trong một kỳ nắm giữ, còn</w:t>
      </w:r>
      <w:r>
        <w:rPr>
          <w:rFonts w:ascii="Times New Roman" w:hAnsi="Times New Roman" w:eastAsia="Times New Roman"/>
          <w:sz w:val="26"/>
        </w:rPr>
        <w:t xml:space="preserve"> </w:t>
      </w:r>
      <w:r>
        <w:rPr>
          <w:rFonts w:ascii="Times New Roman" w:hAnsi="Times New Roman" w:eastAsia="Times New Roman"/>
          <w:b/>
          <w:bCs/>
          <w:sz w:val="26"/>
        </w:rPr>
        <w:t xml:space="preserve">biến động tỷ lệ sinh lời</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return volatility</w:t>
      </w:r>
      <w:r>
        <w:rPr>
          <w:rFonts w:ascii="Times New Roman" w:hAnsi="Times New Roman" w:eastAsia="Times New Roman"/>
          <w:sz w:val="26"/>
        </w:rPr>
        <w:t xml:space="preserve">) cho biết mức độ dao động không chắc chắn của tỷ lệ sinh lời đó. Nếu tỷ lệ sinh lời là đại lượng phản ánh kết quả đầu tư, thì volatility là đại lượng phản ánh mức độ bất định của kết quả đầu tư. Đây là lý do volatility được xem là một trong những thước đo nền tảng của rủi ro thị trường.</w:t>
      </w:r>
    </w:p>
    <w:p>
      <w:pPr>
        <w:pStyle w:val="BodyText"/>
        <w:spacing w:before="60" w:after="60" w:line="276" w:lineRule="auto"/>
        <w:ind w:firstLine="567"/>
        <w:jc w:val="both"/>
      </w:pPr>
      <w:r>
        <w:rPr>
          <w:rFonts w:ascii="Times New Roman" w:hAnsi="Times New Roman" w:eastAsia="Times New Roman"/>
          <w:sz w:val="26"/>
        </w:rPr>
        <w:t xml:space="preserve">Về mặt trực quan, một tài sản có tỷ lệ sinh lời dao động hẹp quanh giá trị trung bình được xem là có rủi ro thấp hơn một tài sản có tỷ lệ sinh lời dao động mạnh, thường xuyên xuất hiện các mức tăng hoặc giảm lớn. Trong bối cảnh đầu tư chứng khoán, volatility cao không chỉ hàm ý khả năng sinh lời biến động mạnh, mà còn hàm ý xác suất xuất hiện các khoản lỗ lớn có thể cao hơn. Do đó, mô hình hóa volatility là bước trung gian rất quan trọng giữa phân tích chuỗi tỷ lệ sinh lời và đo lường giá trị chịu rủi ro (VaR).</w:t>
      </w:r>
    </w:p>
    <w:p>
      <w:pPr>
        <w:pStyle w:val="BodyText"/>
        <w:spacing w:before="60" w:after="60" w:line="276" w:lineRule="auto"/>
        <w:ind w:firstLine="567"/>
        <w:jc w:val="both"/>
      </w:pPr>
      <w:r>
        <w:rPr>
          <w:rFonts w:ascii="Times New Roman" w:hAnsi="Times New Roman" w:eastAsia="Times New Roman"/>
          <w:sz w:val="26"/>
        </w:rPr>
        <w:t xml:space="preserve">Một điểm cần nhấn mạnh là volatility</w:t>
      </w:r>
      <w:r>
        <w:rPr>
          <w:rFonts w:ascii="Times New Roman" w:hAnsi="Times New Roman" w:eastAsia="Times New Roman"/>
          <w:sz w:val="26"/>
        </w:rPr>
        <w:t xml:space="preserve"> </w:t>
      </w:r>
      <w:r>
        <w:rPr>
          <w:rFonts w:ascii="Times New Roman" w:hAnsi="Times New Roman" w:eastAsia="Times New Roman"/>
          <w:b/>
          <w:bCs/>
          <w:sz w:val="26"/>
        </w:rPr>
        <w:t xml:space="preserve">không quan sát trực tiếp</w:t>
      </w:r>
      <w:r>
        <w:rPr>
          <w:rFonts w:ascii="Times New Roman" w:hAnsi="Times New Roman" w:eastAsia="Times New Roman"/>
          <w:sz w:val="26"/>
        </w:rPr>
        <w:t xml:space="preserve"> </w:t>
      </w:r>
      <w:r>
        <w:rPr>
          <w:rFonts w:ascii="Times New Roman" w:hAnsi="Times New Roman" w:eastAsia="Times New Roman"/>
          <w:sz w:val="26"/>
        </w:rPr>
        <w:t xml:space="preserve">như giá hoặc tỷ lệ sinh lời. Giá tài sản được ghi nhận trên thị trường; tỷ lệ sinh lời được tính trực tiếp từ giá; còn volatility là đặc điểm tiềm ẩn của quá trình sinh lời và chỉ có thể được ước lượng thông qua dữ liệu. Vì vậy, trong thực nghiệm tài chính, cùng một chuỗi tỷ lệ sinh lời có thể được mô tả bằng nhiều thước đo volatility khác nhau tùy theo mục tiêu phân tích, tần suất dữ liệu và giả định mô hình</w:t>
      </w:r>
      <w:r>
        <w:rPr>
          <w:rFonts w:ascii="Times New Roman" w:hAnsi="Times New Roman" w:eastAsia="Times New Roman"/>
          <w:sz w:val="26"/>
        </w:rPr>
        <w:t xml:space="preserve"> </w:t>
      </w:r>
      <w:r>
        <w:rPr>
          <w:rFonts w:ascii="Times New Roman" w:hAnsi="Times New Roman" w:eastAsia="Times New Roman"/>
          <w:sz w:val="26"/>
        </w:rPr>
        <w:t xml:space="preserve">(Brooks, 2019; Tsay, 2010)</w:t>
      </w:r>
      <w:r>
        <w:rPr>
          <w:rFonts w:ascii="Times New Roman" w:hAnsi="Times New Roman" w:eastAsia="Times New Roman"/>
          <w:sz w:val="26"/>
        </w:rPr>
        <w:t xml:space="preserve">.</w:t>
      </w:r>
    </w:p>
    <w:bookmarkStart w:id="38" w:name="sec-volatility-concept"/>
    <w:p>
      <w:pPr>
        <w:pStyle w:val="Heading3"/>
        <w:spacing w:before="120" w:after="120" w:line="276" w:lineRule="auto"/>
        <w:ind w:firstLine="0"/>
        <w:jc w:val="left"/>
      </w:pPr>
      <w:r>
        <w:rPr>
          <w:rFonts w:ascii="Times New Roman" w:hAnsi="Times New Roman" w:eastAsia="Times New Roman"/>
          <w:b/>
          <w:i w:val="0"/>
          <w:sz w:val="26"/>
        </w:rPr>
        <w:t xml:space="preserve">1.4.1 Khái niệm volatility và vai trò trong rủi ro thị trường</w:t>
      </w:r>
    </w:p>
    <w:p>
      <w:pPr>
        <w:pStyle w:val="FirstParagraph"/>
        <w:spacing w:before="60" w:after="60" w:line="276" w:lineRule="auto"/>
        <w:ind w:firstLine="567"/>
        <w:jc w:val="both"/>
      </w:pPr>
      <w:r>
        <w:rPr>
          <w:rFonts w:ascii="Times New Roman" w:hAnsi="Times New Roman" w:eastAsia="Times New Roman"/>
          <w:sz w:val="26"/>
        </w:rPr>
        <w:t xml:space="preserve">Giả sử</w:t>
      </w:r>
      <w:r>
        <w:rPr>
          <w:rFonts w:ascii="Times New Roman" w:hAnsi="Times New Roman" w:eastAsia="Times New Roman"/>
          <w:sz w:val="26"/>
        </w:rPr>
        <w:t xml:space="preserve"> </w:t>
      </w:r>
      <m:oMath>
        <m:sSub>
          <m:e>
            <m:r>
              <m:t>r</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là tỷ lệ sinh lời logarit của một tài sản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Nếu xét trên toàn bộ mẫu quan sát, một thước đo volatility đơn giản là độ lệch chuẩn mẫu của tỷ lệ sinh lời:</w:t>
      </w:r>
    </w:p>
    <w:p>
      <w:pPr>
        <w:pStyle w:val="BodyText"/>
      </w:pPr>
      <m:oMathPara>
        <m:oMathParaPr>
          <m:jc m:val="center"/>
        </m:oMathParaPr>
        <m:oMath>
          <m:acc>
            <m:accPr>
              <m:chr m:val="̂"/>
            </m:accPr>
            <m:e>
              <m:r>
                <m:t>σ</m:t>
              </m:r>
            </m:e>
          </m:acc>
          <m:r>
            <m:rPr>
              <m:sty m:val="p"/>
            </m:rPr>
            <m:t>=</m:t>
          </m:r>
          <m:rad>
            <m:radPr>
              <m:degHide m:val="on"/>
            </m:radPr>
            <m:deg/>
            <m:e>
              <m:f>
                <m:fPr>
                  <m:type m:val="bar"/>
                </m:fPr>
                <m:num>
                  <m:r>
                    <m:t>1</m:t>
                  </m:r>
                </m:num>
                <m:den>
                  <m:r>
                    <m:t>T</m:t>
                  </m:r>
                  <m:r>
                    <m:rPr>
                      <m:sty m:val="p"/>
                    </m:rPr>
                    <m:t>−</m:t>
                  </m:r>
                  <m:r>
                    <m:t>1</m:t>
                  </m:r>
                </m:den>
              </m:f>
              <m:nary>
                <m:naryPr>
                  <m:chr m:val="∑"/>
                  <m:limLoc m:val="undOvr"/>
                  <m:subHide m:val="off"/>
                  <m:supHide m:val="off"/>
                </m:naryPr>
                <m:sub>
                  <m:r>
                    <m:t>t</m:t>
                  </m:r>
                  <m:r>
                    <m:rPr>
                      <m:sty m:val="p"/>
                    </m:rPr>
                    <m:t>=</m:t>
                  </m:r>
                  <m:r>
                    <m:t>1</m:t>
                  </m:r>
                </m:sub>
                <m:sup>
                  <m:r>
                    <m:t>T</m:t>
                  </m:r>
                </m:sup>
                <m:e>
                  <m:r>
                    <m:rPr>
                      <m:sty m:val="p"/>
                    </m:rPr>
                    <m:t>(</m:t>
                  </m:r>
                </m:e>
              </m:nary>
              <m:sSub>
                <m:e>
                  <m:r>
                    <m:t>r</m:t>
                  </m:r>
                </m:e>
                <m:sub>
                  <m:r>
                    <m:t>t</m:t>
                  </m:r>
                </m:sub>
              </m:sSub>
              <m:r>
                <m:rPr>
                  <m:sty m:val="p"/>
                </m:rPr>
                <m:t>−</m:t>
              </m:r>
              <m:acc>
                <m:accPr>
                  <m:chr m:val="‾"/>
                </m:accPr>
                <m:e>
                  <m:r>
                    <m:t>r</m:t>
                  </m:r>
                </m:e>
              </m:acc>
              <m:sSup>
                <m:e>
                  <m:r>
                    <m:rPr>
                      <m:sty m:val="p"/>
                    </m:rPr>
                    <m:t>)</m:t>
                  </m:r>
                </m:e>
                <m:sup>
                  <m:r>
                    <m:t>2</m:t>
                  </m:r>
                </m:sup>
              </m:sSup>
            </m:e>
          </m:ra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acc>
          <m:accPr>
            <m:chr m:val="‾"/>
          </m:accPr>
          <m:e>
            <m:r>
              <m:t>r</m:t>
            </m:r>
          </m:e>
        </m:acc>
      </m:oMath>
      <w:r>
        <w:rPr>
          <w:rFonts w:ascii="Times New Roman" w:hAnsi="Times New Roman" w:eastAsia="Times New Roman"/>
          <w:sz w:val="26"/>
        </w:rPr>
        <w:t xml:space="preserve"> </w:t>
      </w:r>
      <w:r>
        <w:rPr>
          <w:rFonts w:ascii="Times New Roman" w:hAnsi="Times New Roman" w:eastAsia="Times New Roman"/>
          <w:sz w:val="26"/>
        </w:rPr>
        <w:t xml:space="preserve">là tỷ lệ sinh lời trung bình và</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là số quan sát. Công thức này đo lường mức độ phân tán trung bình của tỷ lệ sinh lời quanh giá trị trung bình trong toàn bộ giai đoạn nghiên cứu.</w:t>
      </w:r>
    </w:p>
    <w:p>
      <w:pPr>
        <w:pStyle w:val="BodyText"/>
        <w:spacing w:before="60" w:after="60" w:line="276" w:lineRule="auto"/>
        <w:ind w:firstLine="567"/>
        <w:jc w:val="both"/>
      </w:pPr>
      <w:r>
        <w:rPr>
          <w:rFonts w:ascii="Times New Roman" w:hAnsi="Times New Roman" w:eastAsia="Times New Roman"/>
          <w:sz w:val="26"/>
        </w:rPr>
        <w:t xml:space="preserve">Tuy nhiên, trong thị trường tài chính, volatility thường</w:t>
      </w:r>
      <w:r>
        <w:rPr>
          <w:rFonts w:ascii="Times New Roman" w:hAnsi="Times New Roman" w:eastAsia="Times New Roman"/>
          <w:sz w:val="26"/>
        </w:rPr>
        <w:t xml:space="preserve"> </w:t>
      </w:r>
      <w:r>
        <w:rPr>
          <w:rFonts w:ascii="Times New Roman" w:hAnsi="Times New Roman" w:eastAsia="Times New Roman"/>
          <w:b/>
          <w:bCs/>
          <w:sz w:val="26"/>
        </w:rPr>
        <w:t xml:space="preserve">không cố định</w:t>
      </w:r>
      <w:r>
        <w:rPr>
          <w:rFonts w:ascii="Times New Roman" w:hAnsi="Times New Roman" w:eastAsia="Times New Roman"/>
          <w:sz w:val="26"/>
        </w:rPr>
        <w:t xml:space="preserve">. Một cổ phiếu có thể biến động thấp trong giai đoạn thị trường ổn định, nhưng biến động rất mạnh trong các giai đoạn khủng hoảng, tin tức bất lợi hoặc thanh khoản suy giảm. Do đó, nếu chỉ sử dụng một độ lệch chuẩn duy nhất cho toàn bộ mẫu, nhà nghiên cứu có thể bỏ qua sự thay đổi của rủi ro theo thời gian.</w:t>
      </w:r>
    </w:p>
    <w:p>
      <w:pPr>
        <w:pStyle w:val="BodyText"/>
        <w:spacing w:before="60" w:after="60" w:line="276" w:lineRule="auto"/>
        <w:ind w:firstLine="567"/>
        <w:jc w:val="both"/>
      </w:pPr>
      <w:r>
        <w:rPr>
          <w:rFonts w:ascii="Times New Roman" w:hAnsi="Times New Roman" w:eastAsia="Times New Roman"/>
          <w:sz w:val="26"/>
        </w:rPr>
        <w:t xml:space="preserve">Để thấy rõ hơn, có thể biểu diễn tỷ lệ sinh lời theo dạng đơn giản:</w:t>
      </w:r>
    </w:p>
    <w:p>
      <w:pPr>
        <w:pStyle w:val="BodyText"/>
      </w:pPr>
      <m:oMathPara>
        <m:oMathParaPr>
          <m:jc m:val="center"/>
        </m:oMathParaPr>
        <m:oMath>
          <m:sSub>
            <m:e>
              <m:r>
                <m:t>r</m:t>
              </m:r>
            </m:e>
            <m:sub>
              <m:r>
                <m:t>t</m:t>
              </m:r>
            </m:sub>
          </m:sSub>
          <m:r>
            <m:rPr>
              <m:sty m:val="p"/>
            </m:rPr>
            <m:t>=</m:t>
          </m:r>
          <m:sSub>
            <m:e>
              <m:r>
                <m:t>μ</m:t>
              </m:r>
            </m:e>
            <m:sub>
              <m:r>
                <m:t>t</m:t>
              </m:r>
            </m:sub>
          </m:sSub>
          <m:r>
            <m:rPr>
              <m:sty m:val="p"/>
            </m:rPr>
            <m:t>+</m:t>
          </m:r>
          <m:sSub>
            <m:e>
              <m:r>
                <m:t>ε</m:t>
              </m:r>
            </m:e>
            <m:sub>
              <m:r>
                <m:t>t</m:t>
              </m:r>
            </m:sub>
          </m:sSub>
          <m:r>
            <m:rPr>
              <m:sty m:val="p"/>
            </m:rPr>
            <m:t>,</m:t>
          </m:r>
          <m:r>
            <m:t>  </m:t>
          </m:r>
          <m:sSub>
            <m:e>
              <m:r>
                <m:t>ε</m:t>
              </m:r>
            </m:e>
            <m:sub>
              <m:r>
                <m:t>t</m:t>
              </m:r>
            </m:sub>
          </m:sSub>
          <m:r>
            <m:rPr>
              <m:sty m:val="p"/>
            </m:rPr>
            <m:t>=</m:t>
          </m:r>
          <m:sSub>
            <m:e>
              <m:r>
                <m:t>σ</m:t>
              </m:r>
            </m:e>
            <m:sub>
              <m:r>
                <m:t>t</m:t>
              </m:r>
            </m:sub>
          </m:sSub>
          <m:sSub>
            <m:e>
              <m:r>
                <m:t>z</m:t>
              </m:r>
            </m:e>
            <m:sub>
              <m:r>
                <m:t>t</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sSub>
          <m:e>
            <m:r>
              <m:t>μ</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là kỳ vọng có điều kiện của tỷ lệ sinh lời,</w:t>
      </w:r>
      <w:r>
        <w:rPr>
          <w:rFonts w:ascii="Times New Roman" w:hAnsi="Times New Roman" w:eastAsia="Times New Roman"/>
          <w:sz w:val="26"/>
        </w:rPr>
        <w:t xml:space="preserve"> </w:t>
      </w:r>
      <m:oMath>
        <m:sSub>
          <m:e>
            <m:r>
              <m:t>σ</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là volatility có điều kiện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và</w:t>
      </w:r>
      <w:r>
        <w:rPr>
          <w:rFonts w:ascii="Times New Roman" w:hAnsi="Times New Roman" w:eastAsia="Times New Roman"/>
          <w:sz w:val="26"/>
        </w:rPr>
        <w:t xml:space="preserve"> </w:t>
      </w:r>
      <m:oMath>
        <m:sSub>
          <m:e>
            <m:r>
              <m:t>z</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là nhiễu chuẩn hóa có kỳ vọng bằng 0 và phương sai bằng 1. Dạng biểu diễn này cho thấy rủi ro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không nhất thiết bằng rủi ro trung bình trong toàn bộ mẫu. Thay vào đó, rủi ro có thể thay đổi theo điều kiện thị trường và theo thông tin có sẵn tại thời điểm trước đó.</w:t>
      </w:r>
    </w:p>
    <w:p>
      <w:pPr>
        <w:pStyle w:val="BodyText"/>
        <w:spacing w:before="60" w:after="60" w:line="276" w:lineRule="auto"/>
        <w:ind w:firstLine="567"/>
        <w:jc w:val="both"/>
      </w:pPr>
      <w:r>
        <w:rPr>
          <w:rFonts w:ascii="Times New Roman" w:hAnsi="Times New Roman" w:eastAsia="Times New Roman"/>
          <w:sz w:val="26"/>
        </w:rPr>
        <w:t xml:space="preserve">Trong quản trị rủi ro thị trường, volatility có ít nhất ba vai trò quan trọng.</w:t>
      </w:r>
    </w:p>
    <w:p>
      <w:pPr>
        <w:pStyle w:val="BodyText"/>
        <w:spacing w:before="60" w:after="60" w:line="276" w:lineRule="auto"/>
        <w:ind w:firstLine="567"/>
        <w:jc w:val="both"/>
      </w:pPr>
      <w:r>
        <w:rPr>
          <w:rFonts w:ascii="Times New Roman" w:hAnsi="Times New Roman" w:eastAsia="Times New Roman"/>
          <w:sz w:val="26"/>
        </w:rPr>
        <w:t xml:space="preserve">Thứ nhất, volatility là thước đo cơ bản của mức độ bất định trong tỷ lệ sinh lời. Khi volatility tăng, phân phối tỷ lệ sinh lời trở nên phân tán hơn, làm tăng khả năng xuất hiện cả mức lãi lớn và mức lỗ lớn. Đối với nhà quản trị rủi ro, điều đáng quan tâm hơn là vùng lỗ lớn ở đuôi trái của phân phối.</w:t>
      </w:r>
    </w:p>
    <w:p>
      <w:pPr>
        <w:pStyle w:val="BodyText"/>
        <w:spacing w:before="60" w:after="60" w:line="276" w:lineRule="auto"/>
        <w:ind w:firstLine="567"/>
        <w:jc w:val="both"/>
      </w:pPr>
      <w:r>
        <w:rPr>
          <w:rFonts w:ascii="Times New Roman" w:hAnsi="Times New Roman" w:eastAsia="Times New Roman"/>
          <w:sz w:val="26"/>
        </w:rPr>
        <w:t xml:space="preserve">Thứ hai, volatility là đầu vào trực tiếp trong nhiều mô hình định lượng tài chính, bao gồm mô hình định giá quyền chọn, mô hình phân bổ danh mục, mô hình VaR tham số và mô hình Expected Shortfall. Trong phương pháp VaR tham số, nếu giả định tỷ lệ sinh lời có phân phối chuẩn, VaR thường được tính trực tiếp từ kỳ vọng, độ lệch chuẩn và phân vị chuẩn tương ứng với mức tin cậy.</w:t>
      </w:r>
    </w:p>
    <w:p>
      <w:pPr>
        <w:pStyle w:val="BodyText"/>
        <w:spacing w:before="60" w:after="60" w:line="276" w:lineRule="auto"/>
        <w:ind w:firstLine="567"/>
        <w:jc w:val="both"/>
      </w:pPr>
      <w:r>
        <w:rPr>
          <w:rFonts w:ascii="Times New Roman" w:hAnsi="Times New Roman" w:eastAsia="Times New Roman"/>
          <w:sz w:val="26"/>
        </w:rPr>
        <w:t xml:space="preserve">Thứ ba, volatility là đại lượng có thể dự báo. Khác với tỷ lệ sinh lời trung bình, vốn thường rất khó dự báo trong ngắn hạn, volatility của tài sản tài chính thường có tính dai dẳng và có thể mô hình hóa thông qua các mô hình như EWMA, ARCH, GARCH, EGARCH hoặc GJR-GARCH</w:t>
      </w:r>
      <w:r>
        <w:rPr>
          <w:rFonts w:ascii="Times New Roman" w:hAnsi="Times New Roman" w:eastAsia="Times New Roman"/>
          <w:sz w:val="26"/>
        </w:rPr>
        <w:t xml:space="preserve"> </w:t>
      </w:r>
      <w:r>
        <w:rPr>
          <w:rFonts w:ascii="Times New Roman" w:hAnsi="Times New Roman" w:eastAsia="Times New Roman"/>
          <w:sz w:val="26"/>
        </w:rPr>
        <w:t xml:space="preserve">(Bollerslev, 1986; Engle, 1982)</w:t>
      </w:r>
      <w:r>
        <w:rPr>
          <w:rFonts w:ascii="Times New Roman" w:hAnsi="Times New Roman" w:eastAsia="Times New Roman"/>
          <w:sz w:val="26"/>
        </w:rPr>
        <w:t xml:space="preserve">. Đây là cơ sở thực nghiệm quan trọng để xây dựng các mô hình VaR thay đổi theo thời gian.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vAlign w:val="center"/>
          </w:tcPr>
          <w:p>
            <w:pPr>
              <w:pStyle w:val="BodyText"/>
              <w:spacing w:before="0" w:after="0" w:line="240" w:lineRule="auto"/>
              <w:ind w:firstLine="0"/>
              <w:jc w:val="center"/>
            </w:pPr>
            <w:pPr>
              <w:spacing w:before="0" w:after="0"/>
              <w:textAlignment w:val="center"/>
            </w:pPr>
            <w:r>
              <w:rPr>
                <w:rFonts w:ascii="Times New Roman" w:hAnsi="Times New Roman" w:eastAsia="Times New Roman"/>
                <w:b/>
                <w:sz w:val="24"/>
              </w:rPr>
              <w:drawing>
                <wp:inline>
                  <wp:extent cx="152400" cy="152400"/>
                  <wp:effectExtent b="0" l="0" r="0" t="0"/>
                  <wp:docPr descr="" title="" id="36" name="Picture"/>
                  <a:graphic>
                    <a:graphicData uri="http://schemas.openxmlformats.org/drawingml/2006/picture">
                      <pic:pic>
                        <pic:nvPicPr>
                          <pic:cNvPr descr="C:\Program Files\RStudio\resources\app\bin\quarto\share\formats\docx\note.png" id="3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rPr>
                <w:rFonts w:ascii="Times New Roman" w:hAnsi="Times New Roman" w:eastAsia="Times New Roman"/>
                <w:b/>
                <w:sz w:val="24"/>
              </w:rPr>
              <w:t xml:space="preserve"> </w:t>
            </w:r>
            <w:r>
              <w:rPr>
                <w:rFonts w:ascii="Times New Roman" w:hAnsi="Times New Roman" w:eastAsia="Times New Roman"/>
                <w:b/>
                <w:sz w:val="24"/>
              </w:rPr>
              <w:t xml:space="preserve"> </w:t>
            </w:r>
            <w:r>
              <w:rPr>
                <w:rFonts w:ascii="Times New Roman" w:hAnsi="Times New Roman" w:eastAsia="Times New Roman"/>
                <w:b/>
                <w:sz w:val="24"/>
              </w:rPr>
              <w:t xml:space="preserve">Note</w:t>
            </w:r>
          </w:p>
        </w:tc>
      </w:tr>
      <w:tr>
        <w:trPr>
          <w:cantSplit/>
        </w:trPr>
        <w:tc>
          <w:tcPr>
            <w:tcMar>
              <w:top w:w="108" w:type="dxa"/>
              <w:bottom w:w="108" w:type="dxa"/>
            </w:tcMar>
            <w:vAlign w:val="center"/>
          </w:tcPr>
          <w:p>
            <w:pPr>
              <w:pStyle w:val="BodyText"/>
              <w:spacing w:before="0" w:after="0" w:line="240" w:lineRule="auto"/>
              <w:ind w:firstLine="0"/>
              <w:jc w:val="left"/>
            </w:pPr>
            <w:pPr>
              <w:spacing w:before="16" w:after="16"/>
            </w:pPr>
            <w:r>
              <w:rPr>
                <w:rFonts w:ascii="Times New Roman" w:hAnsi="Times New Roman" w:eastAsia="Times New Roman"/>
                <w:b w:val="0"/>
                <w:sz w:val="24"/>
              </w:rPr>
              <w:t xml:space="preserve">Volatility không nên được hiểu đơn giản là “rủi ro” theo nghĩa tuyệt đối. Volatility đo lường</w:t>
            </w:r>
            <w:r>
              <w:rPr>
                <w:rFonts w:ascii="Times New Roman" w:hAnsi="Times New Roman" w:eastAsia="Times New Roman"/>
                <w:b w:val="0"/>
                <w:sz w:val="24"/>
              </w:rPr>
              <w:t xml:space="preserve"> </w:t>
            </w:r>
            <w:r>
              <w:rPr>
                <w:rFonts w:ascii="Times New Roman" w:hAnsi="Times New Roman" w:eastAsia="Times New Roman"/>
                <w:b w:val="0"/>
                <w:bCs/>
                <w:sz w:val="24"/>
              </w:rPr>
              <w:t xml:space="preserve">mức độ dao động của tỷ lệ sinh lời</w:t>
            </w:r>
            <w:r>
              <w:rPr>
                <w:rFonts w:ascii="Times New Roman" w:hAnsi="Times New Roman" w:eastAsia="Times New Roman"/>
                <w:b w:val="0"/>
                <w:sz w:val="24"/>
              </w:rPr>
              <w:t xml:space="preserve">, trong khi rủi ro đầu tư còn bao gồm nhiều khía cạnh khác như rủi ro thanh khoản, rủi ro tín dụng, rủi ro mô hình và rủi ro sự kiện. Tuy nhiên, trong đo lường rủi ro thị trường, volatility là một thước đo nền tảng vì nó phản ánh trực tiếp mức độ bất định của giá trị tài sản.</w:t>
            </w:r>
          </w:p>
          <w:p>
            <w:pPr>
              <w:spacing w:before="0" w:after="0" w:line="240" w:lineRule="auto"/>
              <w:ind w:firstLine="0"/>
              <w:jc w:val="left"/>
            </w:pPr>
          </w:p>
        </w:tc>
      </w:tr>
    </w:tbl>
    <w:bookmarkEnd w:id="38"/>
    <w:bookmarkStart w:id="43" w:name="sec-volatility-measures"/>
    <w:p>
      <w:pPr>
        <w:pStyle w:val="Heading3"/>
        <w:spacing w:before="120" w:after="120" w:line="276" w:lineRule="auto"/>
        <w:ind w:firstLine="0"/>
        <w:jc w:val="left"/>
      </w:pPr>
      <w:r>
        <w:rPr>
          <w:rFonts w:ascii="Times New Roman" w:hAnsi="Times New Roman" w:eastAsia="Times New Roman"/>
          <w:b/>
          <w:i w:val="0"/>
          <w:sz w:val="26"/>
        </w:rPr>
        <w:t xml:space="preserve">1.4.2 Các cách đo lường volatility trong thực nghiệm tài chính</w:t>
      </w:r>
    </w:p>
    <w:p>
      <w:pPr>
        <w:pStyle w:val="FirstParagraph"/>
        <w:spacing w:before="60" w:after="60" w:line="276" w:lineRule="auto"/>
        <w:ind w:firstLine="567"/>
        <w:jc w:val="both"/>
      </w:pPr>
      <w:r>
        <w:rPr>
          <w:rFonts w:ascii="Times New Roman" w:hAnsi="Times New Roman" w:eastAsia="Times New Roman"/>
          <w:sz w:val="26"/>
        </w:rPr>
        <w:t>Tùy theo mục tiêu nghiên cứu và dữ liệu sẵn có, volatility có thể được đo lường theo nhiều cách khác nhau. Bảng 7 tóm tắt một số thước đo phổ biến.</w:t>
      </w:r>
    </w:p>
    <w:tbl>
      <w:tblPr>
        <w:tblStyle w:val="Table"/>
        <w:tblW w:type="pct" w:w="5000"/>
        <w:tblLayout w:type="fixed"/>
        <w:tblLook w:firstRow="0" w:lastRow="0" w:firstColumn="0" w:lastColumn="0" w:noHBand="0" w:noVBand="0" w:val="0000"/>
      </w:tblPr>
      <w:tblGrid>
        <w:gridCol w:w="7920"/>
      </w:tblGrid>
      <w:tr>
        <w:tc>
          <w:tcPr>
            <w:vAlign w:val="center"/>
          </w:tcPr>
          <w:bookmarkStart w:id="39" w:name="tbl-volatility-measure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7: Một số thước đo volatility phổ biến trong phân tích tài chính</w:t>
            </w:r>
          </w:p>
          <w:tbl>
            <w:tblPr>
              <w:tblStyle w:val="Table"/>
              <w:tblW w:type="pct" w:w="5000"/>
              <w:tblLayout w:type="fixed"/>
              <w:tblLook w:firstRow="1" w:lastRow="0" w:firstColumn="0" w:lastColumn="0" w:noHBand="0" w:noVBand="0" w:val="0020"/>
            </w:tblPr>
            <w:tblGrid>
              <w:gridCol w:w="1035"/>
              <w:gridCol w:w="1980"/>
              <w:gridCol w:w="2610"/>
              <w:gridCol w:w="2295"/>
            </w:tblGrid>
            <w:tr>
              <w:trPr>
                <w:tblHeader w:val="on"/>
              </w:trPr>
              <w:tc>
                <w:tcPr/>
                <w:p>
                  <w:pPr>
                    <w:pStyle w:val="Compact"/>
                    <w:jc w:val="left"/>
                    <w:jc w:val="center"/>
                  </w:pPr>
                  <w:r>
                    <w:t xml:space="preserve">Thước đo</w:t>
                  </w:r>
                </w:p>
              </w:tc>
              <w:tc>
                <w:tcPr/>
                <w:p>
                  <w:pPr>
                    <w:pStyle w:val="Compact"/>
                    <w:jc w:val="left"/>
                    <w:jc w:val="center"/>
                  </w:pPr>
                  <w:r>
                    <w:t xml:space="preserve">Dữ liệu đầu vào</w:t>
                  </w:r>
                </w:p>
              </w:tc>
              <w:tc>
                <w:tcPr/>
                <w:p>
                  <w:pPr>
                    <w:pStyle w:val="Compact"/>
                    <w:jc w:val="left"/>
                    <w:jc w:val="center"/>
                  </w:pPr>
                  <w:r>
                    <w:t xml:space="preserve">Ý tưởng chính</w:t>
                  </w:r>
                </w:p>
              </w:tc>
              <w:tc>
                <w:tcPr/>
                <w:p>
                  <w:pPr>
                    <w:pStyle w:val="Compact"/>
                    <w:jc w:val="left"/>
                    <w:jc w:val="center"/>
                  </w:pPr>
                  <w:r>
                    <w:t xml:space="preserve">Ứng dụng phù hợp</w:t>
                  </w:r>
                </w:p>
              </w:tc>
            </w:tr>
            <w:tr>
              <w:tc>
                <w:tcPr/>
                <w:p>
                  <w:pPr>
                    <w:pStyle w:val="Compact"/>
                    <w:jc w:val="left"/>
                    <w:jc w:val="center"/>
                  </w:pPr>
                  <w:r>
                    <w:t xml:space="preserve">Độ lệch chuẩn mẫu</w:t>
                  </w:r>
                </w:p>
              </w:tc>
              <w:tc>
                <w:tcPr/>
                <w:p>
                  <w:pPr>
                    <w:pStyle w:val="Compact"/>
                    <w:jc w:val="left"/>
                    <w:jc w:val="center"/>
                  </w:pPr>
                  <w:r>
                    <w:t xml:space="preserve">Chuỗi tỷ lệ sinh lời</w:t>
                  </w:r>
                </w:p>
              </w:tc>
              <w:tc>
                <w:tcPr/>
                <w:p>
                  <w:pPr>
                    <w:pStyle w:val="Compact"/>
                    <w:jc w:val="left"/>
                    <w:jc w:val="center"/>
                  </w:pPr>
                  <w:r>
                    <w:t xml:space="preserve">Đo mức phân tán trung bình của return trong toàn bộ mẫu</w:t>
                  </w:r>
                </w:p>
              </w:tc>
              <w:tc>
                <w:tcPr/>
                <w:p>
                  <w:pPr>
                    <w:pStyle w:val="Compact"/>
                    <w:jc w:val="left"/>
                    <w:jc w:val="center"/>
                  </w:pPr>
                  <w:r>
                    <w:t xml:space="preserve">Mô tả rủi ro tổng quát trong một giai đoạn</w:t>
                  </w:r>
                </w:p>
              </w:tc>
            </w:tr>
            <w:tr>
              <w:tc>
                <w:tcPr/>
                <w:p>
                  <w:pPr>
                    <w:pStyle w:val="Compact"/>
                    <w:jc w:val="left"/>
                    <w:jc w:val="center"/>
                  </w:pPr>
                  <w:r>
                    <w:t xml:space="preserve">Historical volatility</w:t>
                  </w:r>
                </w:p>
              </w:tc>
              <w:tc>
                <w:tcPr/>
                <w:p>
                  <w:pPr>
                    <w:pStyle w:val="Compact"/>
                    <w:jc w:val="left"/>
                    <w:jc w:val="center"/>
                  </w:pPr>
                  <w:r>
                    <w:t xml:space="preserve">Return quá khứ</w:t>
                  </w:r>
                </w:p>
              </w:tc>
              <w:tc>
                <w:tcPr/>
                <w:p>
                  <w:pPr>
                    <w:pStyle w:val="Compact"/>
                    <w:jc w:val="left"/>
                    <w:jc w:val="center"/>
                  </w:pPr>
                  <w:r>
                    <w:t xml:space="preserve">Ước lượng volatility từ dữ liệu lịch sử</w:t>
                  </w:r>
                </w:p>
              </w:tc>
              <w:tc>
                <w:tcPr/>
                <w:p>
                  <w:pPr>
                    <w:pStyle w:val="Compact"/>
                    <w:jc w:val="left"/>
                    <w:jc w:val="center"/>
                  </w:pPr>
                  <w:r>
                    <w:t xml:space="preserve">So sánh rủi ro giữa tài sản hoặc giữa giai đoạn</w:t>
                  </w:r>
                </w:p>
              </w:tc>
            </w:tr>
            <w:tr>
              <w:tc>
                <w:tcPr/>
                <w:p>
                  <w:pPr>
                    <w:pStyle w:val="Compact"/>
                    <w:jc w:val="left"/>
                    <w:jc w:val="center"/>
                  </w:pPr>
                  <w:r>
                    <w:t xml:space="preserve">Rolling volatility</w:t>
                  </w:r>
                </w:p>
              </w:tc>
              <w:tc>
                <w:tcPr/>
                <w:p>
                  <w:pPr>
                    <w:pStyle w:val="Compact"/>
                    <w:jc w:val="left"/>
                    <w:jc w:val="center"/>
                  </w:pPr>
                  <w:r>
                    <w:t xml:space="preserve">Return trong cửa sổ trượt</w:t>
                  </w:r>
                </w:p>
              </w:tc>
              <w:tc>
                <w:tcPr/>
                <w:p>
                  <w:pPr>
                    <w:pStyle w:val="Compact"/>
                    <w:jc w:val="left"/>
                    <w:jc w:val="center"/>
                  </w:pPr>
                  <w:r>
                    <w:t xml:space="preserve">Tính độ lệch chuẩn trên một số quan sát gần nhất</w:t>
                  </w:r>
                </w:p>
              </w:tc>
              <w:tc>
                <w:tcPr/>
                <w:p>
                  <w:pPr>
                    <w:pStyle w:val="Compact"/>
                    <w:jc w:val="left"/>
                    <w:jc w:val="center"/>
                  </w:pPr>
                  <w:r>
                    <w:t xml:space="preserve">Theo dõi biến động rủi ro theo thời gian</w:t>
                  </w:r>
                </w:p>
              </w:tc>
            </w:tr>
            <w:tr>
              <w:tc>
                <w:tcPr/>
                <w:p>
                  <w:pPr>
                    <w:pStyle w:val="Compact"/>
                    <w:jc w:val="left"/>
                    <w:jc w:val="center"/>
                  </w:pPr>
                  <w:r>
                    <w:t xml:space="preserve">Realized volatility</w:t>
                  </w:r>
                </w:p>
              </w:tc>
              <w:tc>
                <w:tcPr/>
                <w:p>
                  <w:pPr>
                    <w:pStyle w:val="Compact"/>
                    <w:jc w:val="left"/>
                    <w:jc w:val="center"/>
                  </w:pPr>
                  <w:r>
                    <w:t xml:space="preserve">Dữ liệu tần suất cao hoặc return trong ngày</w:t>
                  </w:r>
                </w:p>
              </w:tc>
              <w:tc>
                <w:tcPr/>
                <w:p>
                  <w:pPr>
                    <w:pStyle w:val="Compact"/>
                    <w:jc w:val="left"/>
                    <w:jc w:val="center"/>
                  </w:pPr>
                  <w:r>
                    <w:t xml:space="preserve">Tổng hợp biến động thực tế từ nhiều return ngắn hạn</w:t>
                  </w:r>
                </w:p>
              </w:tc>
              <w:tc>
                <w:tcPr/>
                <w:p>
                  <w:pPr>
                    <w:pStyle w:val="Compact"/>
                    <w:jc w:val="left"/>
                    <w:jc w:val="center"/>
                  </w:pPr>
                  <w:r>
                    <w:t xml:space="preserve">Đánh giá và so sánh dự báo volatility</w:t>
                  </w:r>
                </w:p>
              </w:tc>
            </w:tr>
            <w:tr>
              <w:tc>
                <w:tcPr/>
                <w:p>
                  <w:pPr>
                    <w:pStyle w:val="Compact"/>
                    <w:jc w:val="left"/>
                    <w:jc w:val="center"/>
                  </w:pPr>
                  <w:r>
                    <w:t xml:space="preserve">Implied volatility</w:t>
                  </w:r>
                </w:p>
              </w:tc>
              <w:tc>
                <w:tcPr/>
                <w:p>
                  <w:pPr>
                    <w:pStyle w:val="Compact"/>
                    <w:jc w:val="left"/>
                    <w:jc w:val="center"/>
                  </w:pPr>
                  <w:r>
                    <w:t xml:space="preserve">Giá quyền chọn</w:t>
                  </w:r>
                </w:p>
              </w:tc>
              <w:tc>
                <w:tcPr/>
                <w:p>
                  <w:pPr>
                    <w:pStyle w:val="Compact"/>
                    <w:jc w:val="left"/>
                    <w:jc w:val="center"/>
                  </w:pPr>
                  <w:r>
                    <w:t xml:space="preserve">Suy ra volatility hàm ý từ giá quyền chọn trên thị trường</w:t>
                  </w:r>
                </w:p>
              </w:tc>
              <w:tc>
                <w:tcPr/>
                <w:p>
                  <w:pPr>
                    <w:pStyle w:val="Compact"/>
                    <w:jc w:val="left"/>
                    <w:jc w:val="center"/>
                  </w:pPr>
                  <w:r>
                    <w:t xml:space="preserve">Đánh giá kỳ vọng thị trường về biến động tương lai</w:t>
                  </w:r>
                </w:p>
              </w:tc>
            </w:tr>
            <w:tr>
              <w:tc>
                <w:tcPr/>
                <w:p>
                  <w:pPr>
                    <w:pStyle w:val="Compact"/>
                    <w:jc w:val="left"/>
                    <w:jc w:val="center"/>
                  </w:pPr>
                  <w:r>
                    <w:t xml:space="preserve">Conditional volatility</w:t>
                  </w:r>
                </w:p>
              </w:tc>
              <w:tc>
                <w:tcPr/>
                <w:p>
                  <w:pPr>
                    <w:pStyle w:val="Compact"/>
                    <w:jc w:val="left"/>
                    <w:jc w:val="center"/>
                  </w:pPr>
                  <w:r>
                    <w:t xml:space="preserve">Mô hình ARCH/GARCH</w:t>
                  </w:r>
                </w:p>
              </w:tc>
              <w:tc>
                <w:tcPr/>
                <w:p>
                  <w:pPr>
                    <w:pStyle w:val="Compact"/>
                    <w:jc w:val="left"/>
                    <w:jc w:val="center"/>
                  </w:pPr>
                  <w:r>
                    <w:t xml:space="preserve">Ước lượng volatility có điều kiện theo thông tin quá khứ</w:t>
                  </w:r>
                </w:p>
              </w:tc>
              <w:tc>
                <w:tcPr/>
                <w:p>
                  <w:pPr>
                    <w:pStyle w:val="Compact"/>
                    <w:jc w:val="left"/>
                    <w:jc w:val="center"/>
                  </w:pPr>
                  <w:r>
                    <w:t xml:space="preserve">Dự báo rủi ro và tính VaR thay đổi theo thời gian</w:t>
                  </w:r>
                </w:p>
              </w:tc>
            </w:tr>
          </w:tbl>
          <w:bookmarkEnd w:id="39"/>
          <w:p>
            <w:pPr>
              <w:spacing w:before="0" w:after="0" w:line="240" w:lineRule="auto"/>
              <w:ind w:firstLine="0"/>
              <w:jc w:val="center"/>
            </w:pPr>
          </w:p>
        </w:tc>
      </w:tr>
    </w:tbl>
    <w:p>
      <w:pPr>
        <w:pStyle w:val="BodyText"/>
        <w:spacing w:before="60" w:after="60" w:line="276" w:lineRule="auto"/>
        <w:ind w:firstLine="567"/>
        <w:jc w:val="both"/>
      </w:pPr>
      <w:r>
        <w:rPr>
          <w:rFonts w:ascii="Times New Roman" w:hAnsi="Times New Roman" w:eastAsia="Times New Roman"/>
          <w:b/>
          <w:bCs/>
          <w:sz w:val="26"/>
        </w:rPr>
        <w:t xml:space="preserve">Historical volatility</w:t>
      </w:r>
      <w:r>
        <w:rPr>
          <w:rFonts w:ascii="Times New Roman" w:hAnsi="Times New Roman" w:eastAsia="Times New Roman"/>
          <w:sz w:val="26"/>
        </w:rPr>
        <w:t xml:space="preserve"> </w:t>
      </w:r>
      <w:r>
        <w:rPr>
          <w:rFonts w:ascii="Times New Roman" w:hAnsi="Times New Roman" w:eastAsia="Times New Roman"/>
          <w:sz w:val="26"/>
        </w:rPr>
        <w:t xml:space="preserve">là cách đo lường đơn giản nhất, thường được tính bằng độ lệch chuẩn của tỷ lệ sinh lời trong quá khứ. Nếu dữ liệu là tỷ lệ sinh lời ngày, historical volatility ngày có thể được tính bằng độ lệch chuẩn của chuỗi return ngày. Khi cần quy đổi sang volatility năm, thực hành phổ biến là nhân độ lệch chuẩn ngày với căn bậc hai của số ngày giao dịch trong năm:</w:t>
      </w:r>
    </w:p>
    <w:bookmarkStart w:id="40" w:name="X35ffa6d92194138a3fcde27f0a636a2832dc320"/>
    <w:p>
      <w:pPr>
        <w:pStyle w:val="Heading4"/>
        <w:spacing w:before="120" w:after="60" w:line="276" w:lineRule="auto"/>
        <w:ind w:firstLine="0"/>
        <w:jc w:val="left"/>
      </w:pPr>
      <w:r>
        <w:rPr>
          <w:rFonts w:ascii="Times New Roman" w:hAnsi="Times New Roman" w:eastAsia="Times New Roman"/>
          <w:b w:val="0"/>
          <w:i/>
          <w:sz w:val="26"/>
        </w:rPr>
        <w:t xml:space="preserve">Biến động tỷ lệ sinh lời quá khứ không điều kiện (Unconditional Volatility)</w:t>
      </w:r>
    </w:p>
    <w:p>
      <w:pPr>
        <w:pStyle w:val="FirstParagraph"/>
        <w:spacing w:before="60" w:after="60" w:line="276" w:lineRule="auto"/>
        <w:ind w:firstLine="567"/>
        <w:jc w:val="both"/>
      </w:pPr>
      <w:r>
        <w:rPr>
          <w:rFonts w:ascii="Times New Roman" w:hAnsi="Times New Roman" w:eastAsia="Times New Roman"/>
          <w:sz w:val="26"/>
        </w:rPr>
        <w:t xml:space="preserve">Các đơn giản nhất để đo lường biến động của tỷ lệ sinh lời là sử dụng độ lệch chuẩn của chuỗi tỷ lệ sinh lời tài sản trong một khoảng thời gian quá khứ mà không có điều kiện rằng buộc về phân phối của tỷ lệ sinh lời (Unconditional volatility). Cụ thể, nếu đo lường biến động tỷ lệ sinh lời dựa trên cửa sổ ước lượng với</w:t>
      </w:r>
      <w:r>
        <w:rPr>
          <w:rFonts w:ascii="Times New Roman" w:hAnsi="Times New Roman" w:eastAsia="Times New Roman"/>
          <w:sz w:val="26"/>
        </w:rPr>
        <w:t xml:space="preserve"> </w:t>
      </w:r>
      <m:oMath>
        <m:r>
          <m:t>m</m:t>
        </m:r>
      </m:oMath>
      <w:r>
        <w:rPr>
          <w:rFonts w:ascii="Times New Roman" w:hAnsi="Times New Roman" w:eastAsia="Times New Roman"/>
          <w:sz w:val="26"/>
        </w:rPr>
        <w:t xml:space="preserve"> </w:t>
      </w:r>
      <w:r>
        <w:rPr>
          <w:rFonts w:ascii="Times New Roman" w:hAnsi="Times New Roman" w:eastAsia="Times New Roman"/>
          <w:sz w:val="26"/>
        </w:rPr>
        <w:t xml:space="preserve">quan sát thì biến động tỷ lệ sinh lời có thể đo lường như sau:</w:t>
      </w:r>
    </w:p>
    <w:p>
      <w:pPr>
        <w:pStyle w:val="BodyText"/>
      </w:pPr>
      <m:oMathPara>
        <m:oMathParaPr>
          <m:jc m:val="center"/>
        </m:oMathParaPr>
        <m:oMath>
          <m:sSub>
            <m:e>
              <m:acc>
                <m:accPr>
                  <m:chr m:val="̂"/>
                </m:accPr>
                <m:e>
                  <m:r>
                    <m:t>σ</m:t>
                  </m:r>
                </m:e>
              </m:acc>
            </m:e>
            <m:sub>
              <m:r>
                <m:t>t</m:t>
              </m:r>
              <m:r>
                <m:rPr>
                  <m:sty m:val="p"/>
                </m:rPr>
                <m:t>,</m:t>
              </m:r>
              <m:r>
                <m:t>m</m:t>
              </m:r>
            </m:sub>
          </m:sSub>
          <m:r>
            <m:rPr>
              <m:sty m:val="p"/>
            </m:rPr>
            <m:t>=</m:t>
          </m:r>
          <m:rad>
            <m:radPr>
              <m:degHide m:val="on"/>
            </m:radPr>
            <m:deg/>
            <m:e>
              <m:f>
                <m:fPr>
                  <m:type m:val="bar"/>
                </m:fPr>
                <m:num>
                  <m:r>
                    <m:t>1</m:t>
                  </m:r>
                </m:num>
                <m:den>
                  <m:r>
                    <m:t>m</m:t>
                  </m:r>
                  <m:r>
                    <m:rPr>
                      <m:sty m:val="p"/>
                    </m:rPr>
                    <m:t>−</m:t>
                  </m:r>
                  <m:r>
                    <m:t>1</m:t>
                  </m:r>
                </m:den>
              </m:f>
              <m:nary>
                <m:naryPr>
                  <m:chr m:val="∑"/>
                  <m:limLoc m:val="undOvr"/>
                  <m:subHide m:val="off"/>
                  <m:supHide m:val="off"/>
                </m:naryPr>
                <m:sub>
                  <m:r>
                    <m:t>i</m:t>
                  </m:r>
                  <m:r>
                    <m:rPr>
                      <m:sty m:val="p"/>
                    </m:rPr>
                    <m:t>=</m:t>
                  </m:r>
                  <m:r>
                    <m:t>0</m:t>
                  </m:r>
                </m:sub>
                <m:sup>
                  <m:r>
                    <m:t>m</m:t>
                  </m:r>
                  <m:r>
                    <m:rPr>
                      <m:sty m:val="p"/>
                    </m:rPr>
                    <m:t>−</m:t>
                  </m:r>
                  <m:r>
                    <m:t>1</m:t>
                  </m:r>
                </m:sup>
                <m:e>
                  <m:sSup>
                    <m:e>
                      <m:d>
                        <m:dPr>
                          <m:begChr m:val="("/>
                          <m:sepChr m:val=""/>
                          <m:endChr m:val=")"/>
                          <m:grow/>
                        </m:dPr>
                        <m:e>
                          <m:sSub>
                            <m:e>
                              <m:r>
                                <m:t>r</m:t>
                              </m:r>
                            </m:e>
                            <m:sub>
                              <m:r>
                                <m:t>t</m:t>
                              </m:r>
                              <m:r>
                                <m:rPr>
                                  <m:sty m:val="p"/>
                                </m:rPr>
                                <m:t>−</m:t>
                              </m:r>
                              <m:r>
                                <m:t>i</m:t>
                              </m:r>
                            </m:sub>
                          </m:sSub>
                          <m:r>
                            <m:rPr>
                              <m:sty m:val="p"/>
                            </m:rPr>
                            <m:t>−</m:t>
                          </m:r>
                          <m:sSub>
                            <m:e>
                              <m:acc>
                                <m:accPr>
                                  <m:chr m:val="‾"/>
                                </m:accPr>
                                <m:e>
                                  <m:r>
                                    <m:t>r</m:t>
                                  </m:r>
                                </m:e>
                              </m:acc>
                            </m:e>
                            <m:sub>
                              <m:r>
                                <m:t>t</m:t>
                              </m:r>
                            </m:sub>
                          </m:sSub>
                        </m:e>
                      </m:d>
                    </m:e>
                    <m:sup>
                      <m:r>
                        <m:t>2</m:t>
                      </m:r>
                    </m:sup>
                  </m:sSup>
                </m:e>
              </m:nary>
            </m:e>
          </m:rad>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sSub>
          <m:e>
            <m:acc>
              <m:accPr>
                <m:chr m:val="‾"/>
              </m:accPr>
              <m:e>
                <m:r>
                  <m:t>r</m:t>
                </m:r>
              </m:e>
            </m:acc>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là tỷ lệ sinh lời trung bình trong cửa sổ</w:t>
      </w:r>
      <w:r>
        <w:rPr>
          <w:rFonts w:ascii="Times New Roman" w:hAnsi="Times New Roman" w:eastAsia="Times New Roman"/>
          <w:sz w:val="26"/>
        </w:rPr>
        <w:t xml:space="preserve"> </w:t>
      </w:r>
      <m:oMath>
        <m:r>
          <m:t>m</m:t>
        </m:r>
      </m:oMath>
      <w:r>
        <w:rPr>
          <w:rFonts w:ascii="Times New Roman" w:hAnsi="Times New Roman" w:eastAsia="Times New Roman"/>
          <w:sz w:val="26"/>
        </w:rPr>
        <w:t xml:space="preserve"> </w:t>
      </w:r>
      <w:r>
        <w:rPr>
          <w:rFonts w:ascii="Times New Roman" w:hAnsi="Times New Roman" w:eastAsia="Times New Roman"/>
          <w:sz w:val="26"/>
        </w:rPr>
        <w:t xml:space="preserve">kỳ gần nhất. Cách đo này phù hợp khi mục tiêu chỉ là mô tả nhanh mức độ dao động gần đây của thị trường. Theo Choudhry (xxx) thì phương pháp này cho phép đo lường biến động của tỷ lệ sinh lời một cách trực quan, dựa trên hiệu suất quá khứ và những thông tin đã xảy ra. Tuy nhiên, nó có một hạn chế quan trọng: mọi quan sát trong cửa sổ thường được đối xử gần như ngang nhau, trong khi thông tin mới nhất trên thị trường thường đáng chú ý hơn thông tin cũ hơn.</w:t>
      </w:r>
    </w:p>
    <w:p>
      <w:pPr>
        <w:pStyle w:val="BodyText"/>
      </w:pPr>
      <m:oMathPara>
        <m:oMathParaPr>
          <m:jc m:val="center"/>
        </m:oMathParaPr>
        <m:oMath>
          <m:sSub>
            <m:e>
              <m:acc>
                <m:accPr>
                  <m:chr m:val="̂"/>
                </m:accPr>
                <m:e>
                  <m:r>
                    <m:t>σ</m:t>
                  </m:r>
                </m:e>
              </m:acc>
            </m:e>
            <m:sub>
              <m:r>
                <m:t>a</m:t>
              </m:r>
              <m:r>
                <m:t>n</m:t>
              </m:r>
              <m:r>
                <m:t>n</m:t>
              </m:r>
              <m:r>
                <m:t>u</m:t>
              </m:r>
              <m:r>
                <m:t>a</m:t>
              </m:r>
              <m:r>
                <m:t>l</m:t>
              </m:r>
            </m:sub>
          </m:sSub>
          <m:r>
            <m:rPr>
              <m:sty m:val="p"/>
            </m:rPr>
            <m:t>=</m:t>
          </m:r>
          <m:sSub>
            <m:e>
              <m:acc>
                <m:accPr>
                  <m:chr m:val="̂"/>
                </m:accPr>
                <m:e>
                  <m:r>
                    <m:t>σ</m:t>
                  </m:r>
                </m:e>
              </m:acc>
            </m:e>
            <m:sub>
              <m:r>
                <m:t>d</m:t>
              </m:r>
              <m:r>
                <m:t>a</m:t>
              </m:r>
              <m:r>
                <m:t>i</m:t>
              </m:r>
              <m:r>
                <m:t>l</m:t>
              </m:r>
              <m:r>
                <m:t>y</m:t>
              </m:r>
            </m:sub>
          </m:sSub>
          <m:rad>
            <m:radPr>
              <m:degHide m:val="on"/>
            </m:radPr>
            <m:deg/>
            <m:e>
              <m:r>
                <m:t>252</m:t>
              </m:r>
            </m:e>
          </m:ra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Quy tắc căn bậc hai của thời gian này dựa trên giả định rằng tỷ lệ sinh lời theo thời gian độc lập và có phương sai không đổi. Trong thực tế, giả định này thường chỉ là xấp xỉ, vì chuỗi tài chính có thể có volatility clustering, tự tương quan trong bình phương return và các giai đoạn biến động bất thường.</w:t>
      </w:r>
    </w:p>
    <w:p>
      <w:pPr>
        <w:pStyle w:val="BodyText"/>
        <w:spacing w:before="60" w:after="60" w:line="276" w:lineRule="auto"/>
        <w:ind w:firstLine="567"/>
        <w:jc w:val="both"/>
      </w:pPr>
      <w:r>
        <w:rPr>
          <w:rFonts w:ascii="Times New Roman" w:hAnsi="Times New Roman" w:eastAsia="Times New Roman"/>
          <w:sz w:val="26"/>
        </w:rPr>
        <w:t xml:space="preserve">Thay vì xem xét biến động tỷ lệ sinh lời cố định theo các cửa sổ ước lượng, phương pháp ước lượng và đo lường biến động tỷ lệ sinh lời thường được áp dụng trong phân tích và đo lường rủi ro là biến động tỷ lệ sinh lời có điều kiện (conditional volatility). Cụ thể, biến động tỷ lệ sinh lời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không còn được xem là một hằng số, mà là một đại lượng phụ thuộc vào thông tin sẵn có đến thời điểm</w:t>
      </w:r>
      <w:r>
        <w:rPr>
          <w:rFonts w:ascii="Times New Roman" w:hAnsi="Times New Roman" w:eastAsia="Times New Roman"/>
          <w:sz w:val="26"/>
        </w:rPr>
        <w:t xml:space="preserve"> </w:t>
      </w:r>
      <m:oMath>
        <m:r>
          <m:t>t</m:t>
        </m:r>
        <m:r>
          <m:rPr>
            <m:sty m:val="p"/>
          </m:rPr>
          <m:t>−</m:t>
        </m:r>
        <m:r>
          <m:t>1</m:t>
        </m:r>
      </m:oMath>
      <w:r>
        <w:rPr>
          <w:rFonts w:ascii="Times New Roman" w:hAnsi="Times New Roman" w:eastAsia="Times New Roman"/>
          <w:sz w:val="26"/>
        </w:rPr>
        <w:t xml:space="preserve">. Đây chính là nền tảng của các mô hình ARCH, GARCH và các mở rộng của chúng.</w:t>
      </w:r>
    </w:p>
    <w:p>
      <w:pPr>
        <w:pStyle w:val="BodyText"/>
        <w:spacing w:before="60" w:after="60" w:line="276" w:lineRule="auto"/>
        <w:ind w:firstLine="567"/>
        <w:jc w:val="both"/>
      </w:pPr>
      <w:r>
        <w:rPr>
          <w:rFonts w:ascii="Times New Roman" w:hAnsi="Times New Roman" w:eastAsia="Times New Roman"/>
          <w:sz w:val="26"/>
        </w:rPr>
        <w:t xml:space="preserve">Ví dụ, trong mô hình GARCH(1,1), ta có:</w:t>
      </w:r>
    </w:p>
    <w:p>
      <w:pPr>
        <w:pStyle w:val="BodyText"/>
      </w:pPr>
      <m:oMathPara>
        <m:oMathParaPr>
          <m:jc m:val="center"/>
        </m:oMathParaPr>
        <m:oMath>
          <m:sSub>
            <m:e>
              <m:r>
                <m:t>r</m:t>
              </m:r>
            </m:e>
            <m:sub>
              <m:r>
                <m:t>t</m:t>
              </m:r>
            </m:sub>
          </m:sSub>
          <m:r>
            <m:rPr>
              <m:sty m:val="p"/>
            </m:rPr>
            <m:t>=</m:t>
          </m:r>
          <m:sSub>
            <m:e>
              <m:r>
                <m:t>μ</m:t>
              </m:r>
            </m:e>
            <m:sub>
              <m:r>
                <m:t>t</m:t>
              </m:r>
            </m:sub>
          </m:sSub>
          <m:r>
            <m:rPr>
              <m:sty m:val="p"/>
            </m:rPr>
            <m:t>+</m:t>
          </m:r>
          <m:sSub>
            <m:e>
              <m:r>
                <m:t>a</m:t>
              </m:r>
            </m:e>
            <m:sub>
              <m:r>
                <m:t>t</m:t>
              </m:r>
            </m:sub>
          </m:sSub>
          <m:r>
            <m:rPr>
              <m:sty m:val="p"/>
            </m:rPr>
            <m:t>,</m:t>
          </m:r>
          <m:r>
            <m:t>  </m:t>
          </m:r>
          <m:sSub>
            <m:e>
              <m:r>
                <m:t>a</m:t>
              </m:r>
            </m:e>
            <m:sub>
              <m:r>
                <m:t>t</m:t>
              </m:r>
            </m:sub>
          </m:sSub>
          <m:r>
            <m:rPr>
              <m:sty m:val="p"/>
            </m:rPr>
            <m:t>=</m:t>
          </m:r>
          <m:sSub>
            <m:e>
              <m:r>
                <m:t>σ</m:t>
              </m:r>
            </m:e>
            <m:sub>
              <m:r>
                <m:t>t</m:t>
              </m:r>
            </m:sub>
          </m:sSub>
          <m:sSub>
            <m:e>
              <m:r>
                <m:t>ε</m:t>
              </m:r>
            </m:e>
            <m:sub>
              <m:r>
                <m:t>t</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với</w:t>
      </w:r>
    </w:p>
    <w:p>
      <w:pPr>
        <w:pStyle w:val="BodyText"/>
      </w:pPr>
      <m:oMathPara>
        <m:oMathParaPr>
          <m:jc m:val="center"/>
        </m:oMathParaPr>
        <m:oMath>
          <m:sSubSup>
            <m:e>
              <m:r>
                <m:t>σ</m:t>
              </m:r>
            </m:e>
            <m:sub>
              <m:r>
                <m:t>t</m:t>
              </m:r>
            </m:sub>
            <m:sup>
              <m:r>
                <m:t>2</m:t>
              </m:r>
            </m:sup>
          </m:sSubSup>
          <m:r>
            <m:rPr>
              <m:sty m:val="p"/>
            </m:rPr>
            <m:t>=</m:t>
          </m:r>
          <m:r>
            <m:t>ω</m:t>
          </m:r>
          <m:r>
            <m:rPr>
              <m:sty m:val="p"/>
            </m:rPr>
            <m:t>+</m:t>
          </m:r>
          <m:r>
            <m:t>α</m:t>
          </m:r>
          <m:sSubSup>
            <m:e>
              <m:r>
                <m:t>a</m:t>
              </m:r>
            </m:e>
            <m:sub>
              <m:r>
                <m:t>t</m:t>
              </m:r>
              <m:r>
                <m:rPr>
                  <m:sty m:val="p"/>
                </m:rPr>
                <m:t>−</m:t>
              </m:r>
              <m:r>
                <m:t>1</m:t>
              </m:r>
            </m:sub>
            <m:sup>
              <m:r>
                <m:t>2</m:t>
              </m:r>
            </m:sup>
          </m:sSubSup>
          <m:r>
            <m:rPr>
              <m:sty m:val="p"/>
            </m:rPr>
            <m:t>+</m:t>
          </m:r>
          <m:r>
            <m:t>β</m:t>
          </m:r>
          <m:sSubSup>
            <m:e>
              <m:r>
                <m:t>σ</m:t>
              </m:r>
            </m:e>
            <m:sub>
              <m:r>
                <m:t>t</m:t>
              </m:r>
              <m:r>
                <m:rPr>
                  <m:sty m:val="p"/>
                </m:rPr>
                <m:t>−</m:t>
              </m:r>
              <m:r>
                <m:t>1</m:t>
              </m:r>
            </m:sub>
            <m:sup>
              <m:r>
                <m:t>2</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sSubSup>
          <m:e>
            <m:r>
              <m:t>σ</m:t>
            </m:r>
          </m:e>
          <m:sub>
            <m:r>
              <m:t>t</m:t>
            </m:r>
          </m:sub>
          <m:sup>
            <m:r>
              <m:t>2</m:t>
            </m:r>
          </m:sup>
        </m:sSubSup>
      </m:oMath>
      <w:r>
        <w:rPr>
          <w:rFonts w:ascii="Times New Roman" w:hAnsi="Times New Roman" w:eastAsia="Times New Roman"/>
          <w:sz w:val="26"/>
        </w:rPr>
        <w:t xml:space="preserve"> </w:t>
      </w:r>
      <w:r>
        <w:rPr>
          <w:rFonts w:ascii="Times New Roman" w:hAnsi="Times New Roman" w:eastAsia="Times New Roman"/>
          <w:sz w:val="26"/>
        </w:rPr>
        <w:t xml:space="preserve">là phương sai có điều kiện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Công thức này có ý nghĩa rất trực giác: biến động tỷ lệ sinh lời hôm nay được quyết định bởi “cú sốc” của ngày hôm qua</w:t>
      </w:r>
      <w:r>
        <w:rPr>
          <w:rFonts w:ascii="Times New Roman" w:hAnsi="Times New Roman" w:eastAsia="Times New Roman"/>
          <w:sz w:val="26"/>
        </w:rPr>
        <w:t xml:space="preserve"> </w:t>
      </w:r>
      <m:oMath>
        <m:d>
          <m:dPr>
            <m:begChr m:val="("/>
            <m:sepChr m:val=""/>
            <m:endChr m:val=")"/>
            <m:grow/>
          </m:dPr>
          <m:e>
            <m:sSubSup>
              <m:e>
                <m:r>
                  <m:t>a</m:t>
                </m:r>
              </m:e>
              <m:sub>
                <m:r>
                  <m:t>t</m:t>
                </m:r>
                <m:r>
                  <m:rPr>
                    <m:sty m:val="p"/>
                  </m:rPr>
                  <m:t>−</m:t>
                </m:r>
                <m:r>
                  <m:t>1</m:t>
                </m:r>
              </m:sub>
              <m:sup>
                <m:r>
                  <m:t>2</m:t>
                </m:r>
              </m:sup>
            </m:sSubSup>
          </m:e>
        </m:d>
      </m:oMath>
      <w:r>
        <w:rPr>
          <w:rFonts w:ascii="Times New Roman" w:hAnsi="Times New Roman" w:eastAsia="Times New Roman"/>
          <w:sz w:val="26"/>
        </w:rPr>
        <w:t xml:space="preserve"> </w:t>
      </w:r>
      <w:r>
        <w:rPr>
          <w:rFonts w:ascii="Times New Roman" w:hAnsi="Times New Roman" w:eastAsia="Times New Roman"/>
          <w:sz w:val="26"/>
        </w:rPr>
        <w:t xml:space="preserve">và mức biến động tỷ lệ sinh lời dự kiến từ hôm qua</w:t>
      </w:r>
      <w:r>
        <w:rPr>
          <w:rFonts w:ascii="Times New Roman" w:hAnsi="Times New Roman" w:eastAsia="Times New Roman"/>
          <w:sz w:val="26"/>
        </w:rPr>
        <w:t xml:space="preserve"> </w:t>
      </w:r>
      <m:oMath>
        <m:d>
          <m:dPr>
            <m:begChr m:val="("/>
            <m:sepChr m:val=""/>
            <m:endChr m:val=")"/>
            <m:grow/>
          </m:dPr>
          <m:e>
            <m:sSubSup>
              <m:e>
                <m:r>
                  <m:t>σ</m:t>
                </m:r>
              </m:e>
              <m:sub>
                <m:r>
                  <m:t>t</m:t>
                </m:r>
                <m:r>
                  <m:rPr>
                    <m:sty m:val="p"/>
                  </m:rPr>
                  <m:t>−</m:t>
                </m:r>
                <m:r>
                  <m:t>1</m:t>
                </m:r>
              </m:sub>
              <m:sup>
                <m:r>
                  <m:t>2</m:t>
                </m:r>
              </m:sup>
            </m:sSubSup>
          </m:e>
        </m:d>
      </m:oMath>
      <w:r>
        <w:rPr>
          <w:rFonts w:ascii="Times New Roman" w:hAnsi="Times New Roman" w:eastAsia="Times New Roman"/>
          <w:sz w:val="26"/>
        </w:rPr>
        <w:t xml:space="preserve">. Khi thị trường vừa trải qua một cú sốc lớn, biến động tỷ lệ sinh lời hiện tại thường tăng lên. Khi biến động tỷ lệ sinh lời đã ở mức cao, biến động này có xu hướng duy trì cao thêm một thời gian.</w:t>
      </w:r>
    </w:p>
    <w:p>
      <w:pPr>
        <w:pStyle w:val="BodyText"/>
        <w:spacing w:before="60" w:after="60" w:line="276" w:lineRule="auto"/>
        <w:ind w:firstLine="567"/>
        <w:jc w:val="both"/>
      </w:pPr>
      <w:r>
        <w:rPr>
          <w:rFonts w:ascii="Times New Roman" w:hAnsi="Times New Roman" w:eastAsia="Times New Roman"/>
          <w:sz w:val="26"/>
        </w:rPr>
        <w:t xml:space="preserve">Như vậy, biến động tỷ lệ sinh lời có điều kiên phù hợp hơn historical volatility khi mục tiêu không chỉ là mô tả quá khứ, mà còn là mô hình hóa và dự báo rủi ro.</w:t>
      </w:r>
    </w:p>
    <w:bookmarkEnd w:id="40"/>
    <w:bookmarkStart w:id="41" w:name="X47b0f48685eb0668c85c9a2014e646246c9b1f3"/>
    <w:p>
      <w:pPr>
        <w:pStyle w:val="Heading4"/>
        <w:spacing w:before="120" w:after="60" w:line="276" w:lineRule="auto"/>
        <w:ind w:firstLine="0"/>
        <w:jc w:val="left"/>
      </w:pPr>
      <w:r>
        <w:rPr>
          <w:rFonts w:ascii="Times New Roman" w:hAnsi="Times New Roman" w:eastAsia="Times New Roman"/>
          <w:b w:val="0"/>
          <w:i/>
          <w:sz w:val="26"/>
        </w:rPr>
        <w:t xml:space="preserve">Biến động tỷ lệ sinh lời hàm ý (Implied Volatility)</w:t>
      </w:r>
    </w:p>
    <w:p>
      <w:pPr>
        <w:pStyle w:val="FirstParagraph"/>
        <w:spacing w:before="60" w:after="60" w:line="276" w:lineRule="auto"/>
        <w:ind w:firstLine="567"/>
        <w:jc w:val="both"/>
      </w:pPr>
      <w:r>
        <w:rPr>
          <w:rFonts w:ascii="Times New Roman" w:hAnsi="Times New Roman" w:eastAsia="Times New Roman"/>
          <w:sz w:val="26"/>
        </w:rPr>
        <w:t xml:space="preserve">Một cách đo lường biến động tỷ lệ sinh lời nữa thường được sử dụng trên thực tế là biến động tỷ lệ sinh lời hàm ý, được xác định từ mức chênh lệch giá quyền chọn mua và bán trên thị trường của tài sản. Thay vì nhìn vào chuỗi tỷ lệ sinh lời trong quá khứ, nhà đầu tư có thể nhìn vào mức giá quyền chọn hiện tại và hỏi ngược lại: nếu đưa giá này vào mô hình định giá quyền chọn, thì thị trường đang “ngầm hàm ý” mức biến động tỷ lệ sinh lời trong tương lai như thế nào?</w:t>
      </w:r>
    </w:p>
    <w:p>
      <w:pPr>
        <w:pStyle w:val="BodyText"/>
        <w:spacing w:before="60" w:after="60" w:line="276" w:lineRule="auto"/>
        <w:ind w:firstLine="567"/>
        <w:jc w:val="both"/>
      </w:pPr>
      <w:r>
        <w:rPr>
          <w:rFonts w:ascii="Times New Roman" w:hAnsi="Times New Roman" w:eastAsia="Times New Roman"/>
          <w:sz w:val="26"/>
        </w:rPr>
        <w:t xml:space="preserve">Điểm quan trọng ở đây là biến động tỷ lệ sinh lời hàm ý thường phản ánh kỳ vọng của thị trường về biến động trong tương lai gần. Vì vậy, nó đặc biệt quan trọng trong định giá phái sinh và trong việc đọc tín hiệu thị trường. Khác với biến động tỷ lệ sinh lời không điều kiện, biến động tỷ lệ sinh lời hàm ý không phải là thước đo “quá khứ”, mà là một thước đo chứa đựng thông tin kỳ vọng chung của thị trường</w:t>
      </w:r>
    </w:p>
    <w:bookmarkEnd w:id="41"/>
    <w:bookmarkStart w:id="42" w:name="sec-realized-vol"/>
    <w:p>
      <w:pPr>
        <w:pStyle w:val="Heading4"/>
        <w:spacing w:before="120" w:after="60" w:line="276" w:lineRule="auto"/>
        <w:ind w:firstLine="0"/>
        <w:jc w:val="left"/>
      </w:pPr>
      <w:r>
        <w:rPr>
          <w:rFonts w:ascii="Times New Roman" w:hAnsi="Times New Roman" w:eastAsia="Times New Roman"/>
          <w:b w:val="0"/>
          <w:i/>
          <w:sz w:val="26"/>
        </w:rPr>
        <w:t xml:space="preserve">Biến động tỷ lệ sinh lời thực tế</w:t>
      </w:r>
    </w:p>
    <w:p>
      <w:pPr>
        <w:pStyle w:val="FirstParagraph"/>
        <w:spacing w:before="60" w:after="60" w:line="276" w:lineRule="auto"/>
        <w:ind w:firstLine="567"/>
        <w:jc w:val="both"/>
      </w:pPr>
      <w:r>
        <w:rPr>
          <w:rFonts w:ascii="Times New Roman" w:hAnsi="Times New Roman" w:eastAsia="Times New Roman"/>
          <w:sz w:val="26"/>
        </w:rPr>
        <w:t xml:space="preserve">Biến động tỷ lệ sinh lời thực tế (realized volatility) là một thước đo biến động được xây dựng từ*dữ liệu tần suất cao trong ngày. Cụ thể, biến động tỷ lệ sinh lời thực tế được đo lường bằn cách chia một ngày giao dịch thành nhiều khoảng nhỏ, tính tỷ lệ sinh lời nội ngày trên từng khoảng, rồi cộng dồn thông tin từ các tỷ lệ sinh lời này để tạo ra một thước đo biến động của cả ngày. Phương pháp đo lường này dựa trên quan sát rằng nếu giá tài sản dao động liên tục trong ngày, thì quan sát giá ở tần suất càng cao sẽ cho thấy bức tranh càng đầy đủ hơn về mức độ biến động thực sự đã xảy ra trong ngày đó. Vì vậy, thay vì chỉ dùng giá đóng cửa của hai ngày liên tiếp, biến động tỷ lệ sinh lời thực tế khai thác toàn bộ các dao động nội ngày để đo biến động một cách chi tiết hơn.</w:t>
      </w:r>
    </w:p>
    <w:p>
      <w:pPr>
        <w:pStyle w:val="BodyText"/>
        <w:spacing w:before="60" w:after="60" w:line="276" w:lineRule="auto"/>
        <w:ind w:firstLine="567"/>
        <w:jc w:val="both"/>
      </w:pPr>
      <w:r>
        <w:rPr>
          <w:rFonts w:ascii="Times New Roman" w:hAnsi="Times New Roman" w:eastAsia="Times New Roman"/>
          <w:sz w:val="26"/>
        </w:rPr>
        <w:t xml:space="preserve">Giả sử trong ngày</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ta chia thời gian giao dịch thành</w:t>
      </w:r>
      <w:r>
        <w:rPr>
          <w:rFonts w:ascii="Times New Roman" w:hAnsi="Times New Roman" w:eastAsia="Times New Roman"/>
          <w:sz w:val="26"/>
        </w:rPr>
        <w:t xml:space="preserve"> </w:t>
      </w:r>
      <m:oMath>
        <m:r>
          <m:t>M</m:t>
        </m:r>
      </m:oMath>
      <w:r>
        <w:rPr>
          <w:rFonts w:ascii="Times New Roman" w:hAnsi="Times New Roman" w:eastAsia="Times New Roman"/>
          <w:sz w:val="26"/>
        </w:rPr>
        <w:t xml:space="preserve"> </w:t>
      </w:r>
      <w:r>
        <w:rPr>
          <w:rFonts w:ascii="Times New Roman" w:hAnsi="Times New Roman" w:eastAsia="Times New Roman"/>
          <w:sz w:val="26"/>
        </w:rPr>
        <w:t xml:space="preserve">khoảng nhỏ. Ký hiệu</w:t>
      </w:r>
      <w:r>
        <w:rPr>
          <w:rFonts w:ascii="Times New Roman" w:hAnsi="Times New Roman" w:eastAsia="Times New Roman"/>
          <w:sz w:val="26"/>
        </w:rPr>
        <w:t xml:space="preserve"> </w:t>
      </w:r>
      <m:oMath>
        <m:sSub>
          <m:e>
            <m:r>
              <m:t>r</m:t>
            </m:r>
          </m:e>
          <m:sub>
            <m:r>
              <m:t>t</m:t>
            </m:r>
            <m:r>
              <m:rPr>
                <m:sty m:val="p"/>
              </m:rPr>
              <m:t>,</m:t>
            </m:r>
            <m:r>
              <m:t>j</m:t>
            </m:r>
          </m:sub>
        </m:sSub>
      </m:oMath>
      <w:r>
        <w:rPr>
          <w:rFonts w:ascii="Times New Roman" w:hAnsi="Times New Roman" w:eastAsia="Times New Roman"/>
          <w:sz w:val="26"/>
        </w:rPr>
        <w:t xml:space="preserve"> </w:t>
      </w:r>
      <w:r>
        <w:rPr>
          <w:rFonts w:ascii="Times New Roman" w:hAnsi="Times New Roman" w:eastAsia="Times New Roman"/>
          <w:sz w:val="26"/>
        </w:rPr>
        <w:t xml:space="preserve">là tỷ lệ sinh lời logarit trong khoảng nhỏ thứ</w:t>
      </w:r>
      <w:r>
        <w:rPr>
          <w:rFonts w:ascii="Times New Roman" w:hAnsi="Times New Roman" w:eastAsia="Times New Roman"/>
          <w:sz w:val="26"/>
        </w:rPr>
        <w:t xml:space="preserve"> </w:t>
      </w:r>
      <m:oMath>
        <m:r>
          <m:t>j</m:t>
        </m:r>
      </m:oMath>
      <w:r>
        <w:rPr>
          <w:rFonts w:ascii="Times New Roman" w:hAnsi="Times New Roman" w:eastAsia="Times New Roman"/>
          <w:sz w:val="26"/>
        </w:rPr>
        <w:t xml:space="preserve">, với</w:t>
      </w:r>
      <w:r>
        <w:rPr>
          <w:rFonts w:ascii="Times New Roman" w:hAnsi="Times New Roman" w:eastAsia="Times New Roman"/>
          <w:sz w:val="26"/>
        </w:rPr>
        <w:t xml:space="preserve"> </w:t>
      </w:r>
      <m:oMath>
        <m:r>
          <m:t>j</m:t>
        </m:r>
        <m:r>
          <m:rPr>
            <m:sty m:val="p"/>
          </m:rPr>
          <m:t>=</m:t>
        </m:r>
        <m:r>
          <m:t>1</m:t>
        </m:r>
        <m:r>
          <m:rPr>
            <m:sty m:val="p"/>
          </m:rPr>
          <m:t>,</m:t>
        </m:r>
        <m:r>
          <m:t>2</m:t>
        </m:r>
        <m:r>
          <m:rPr>
            <m:sty m:val="p"/>
          </m:rPr>
          <m:t>,</m:t>
        </m:r>
        <m:r>
          <m:rPr>
            <m:sty m:val="p"/>
          </m:rPr>
          <m:t>…</m:t>
        </m:r>
        <m:r>
          <m:rPr>
            <m:sty m:val="p"/>
          </m:rPr>
          <m:t>,</m:t>
        </m:r>
        <m:r>
          <m:t>M</m:t>
        </m:r>
      </m:oMath>
      <w:r>
        <w:rPr>
          <w:rFonts w:ascii="Times New Roman" w:hAnsi="Times New Roman" w:eastAsia="Times New Roman"/>
          <w:sz w:val="26"/>
        </w:rPr>
        <w:t xml:space="preserve">. Khi đó, realized volatility trong ngày</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được viết dưới dạng:</w:t>
      </w:r>
    </w:p>
    <w:p>
      <w:pPr>
        <w:pStyle w:val="BodyText"/>
      </w:pPr>
      <m:oMathPara>
        <m:oMathParaPr>
          <m:jc m:val="center"/>
        </m:oMathParaPr>
        <m:oMath>
          <m:r>
            <m:t>R</m:t>
          </m:r>
          <m:sSub>
            <m:e>
              <m:r>
                <m:t>V</m:t>
              </m:r>
            </m:e>
            <m:sub>
              <m:r>
                <m:t>t</m:t>
              </m:r>
            </m:sub>
          </m:sSub>
          <m:r>
            <m:rPr>
              <m:sty m:val="p"/>
            </m:rPr>
            <m:t>=</m:t>
          </m:r>
          <m:nary>
            <m:naryPr>
              <m:chr m:val="∑"/>
              <m:limLoc m:val="undOvr"/>
              <m:subHide m:val="off"/>
              <m:supHide m:val="off"/>
            </m:naryPr>
            <m:sub>
              <m:r>
                <m:t>j</m:t>
              </m:r>
              <m:r>
                <m:rPr>
                  <m:sty m:val="p"/>
                </m:rPr>
                <m:t>=</m:t>
              </m:r>
              <m:r>
                <m:t>1</m:t>
              </m:r>
            </m:sub>
            <m:sup>
              <m:r>
                <m:t>M</m:t>
              </m:r>
            </m:sup>
            <m:e>
              <m:sSubSup>
                <m:e>
                  <m:r>
                    <m:t>r</m:t>
                  </m:r>
                </m:e>
                <m:sub>
                  <m:r>
                    <m:t>t</m:t>
                  </m:r>
                  <m:r>
                    <m:rPr>
                      <m:sty m:val="p"/>
                    </m:rPr>
                    <m:t>,</m:t>
                  </m:r>
                  <m:r>
                    <m:t>j</m:t>
                  </m:r>
                </m:sub>
                <m:sup>
                  <m:r>
                    <m:t>2</m:t>
                  </m:r>
                </m:sup>
              </m:sSubSup>
            </m:e>
          </m:nary>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Như vậy, về mặt bản chất,</w:t>
      </w:r>
      <w:r>
        <w:rPr>
          <w:rFonts w:ascii="Times New Roman" w:hAnsi="Times New Roman" w:eastAsia="Times New Roman"/>
          <w:sz w:val="26"/>
        </w:rPr>
        <w:t xml:space="preserve"> </w:t>
      </w:r>
      <m:oMath>
        <m:r>
          <m:t>R</m:t>
        </m:r>
        <m:sSub>
          <m:e>
            <m:r>
              <m:t>V</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không phải là biến động tỷ lệ sinh lời “dự báo”, mà là biến động tỷ lệ sinh lời</w:t>
      </w:r>
      <w:r>
        <w:rPr>
          <w:rFonts w:ascii="Times New Roman" w:hAnsi="Times New Roman" w:eastAsia="Times New Roman"/>
          <w:sz w:val="26"/>
        </w:rPr>
        <w:t xml:space="preserve"> </w:t>
      </w:r>
      <w:r>
        <w:rPr>
          <w:rFonts w:ascii="Times New Roman" w:hAnsi="Times New Roman" w:eastAsia="Times New Roman"/>
          <w:b/>
          <w:bCs/>
          <w:sz w:val="26"/>
        </w:rPr>
        <w:t xml:space="preserve">đã diễn ra</w:t>
      </w:r>
      <w:r>
        <w:rPr>
          <w:rFonts w:ascii="Times New Roman" w:hAnsi="Times New Roman" w:eastAsia="Times New Roman"/>
          <w:sz w:val="26"/>
        </w:rPr>
        <w:t xml:space="preserve"> </w:t>
      </w:r>
      <w:r>
        <w:rPr>
          <w:rFonts w:ascii="Times New Roman" w:hAnsi="Times New Roman" w:eastAsia="Times New Roman"/>
          <w:sz w:val="26"/>
        </w:rPr>
        <w:t xml:space="preserve">trong ngày</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được ước lượng từ dữ liệu nội ngày. Vì vậy, biến động tỷ lệ sinh lời thực tế thường được xem là một thước đo gần với</w:t>
      </w:r>
      <w:r>
        <w:rPr>
          <w:rFonts w:ascii="Times New Roman" w:hAnsi="Times New Roman" w:eastAsia="Times New Roman"/>
          <w:sz w:val="26"/>
        </w:rPr>
        <w:t xml:space="preserve"> </w:t>
      </w:r>
      <w:r>
        <w:rPr>
          <w:rFonts w:ascii="Times New Roman" w:hAnsi="Times New Roman" w:eastAsia="Times New Roman"/>
          <w:b/>
          <w:bCs/>
          <w:sz w:val="26"/>
        </w:rPr>
        <w:t xml:space="preserve">biến động thực tế quan sát được</w:t>
      </w:r>
      <w:r>
        <w:rPr>
          <w:rFonts w:ascii="Times New Roman" w:hAnsi="Times New Roman" w:eastAsia="Times New Roman"/>
          <w:sz w:val="26"/>
        </w:rPr>
        <w:t xml:space="preserve"> </w:t>
      </w:r>
      <w:r>
        <w:rPr>
          <w:rFonts w:ascii="Times New Roman" w:hAnsi="Times New Roman" w:eastAsia="Times New Roman"/>
          <w:sz w:val="26"/>
        </w:rPr>
        <w:t xml:space="preserve">hơn so với các thước đo chỉ dựa trên dữ liệu đóng cửa hằng ngày. Do đó, biến động tỷ lệ sinh lời thực tế thường được sử dụng như một</w:t>
      </w:r>
      <w:r>
        <w:rPr>
          <w:rFonts w:ascii="Times New Roman" w:hAnsi="Times New Roman" w:eastAsia="Times New Roman"/>
          <w:sz w:val="26"/>
        </w:rPr>
        <w:t xml:space="preserve"> </w:t>
      </w:r>
      <w:r>
        <w:rPr>
          <w:rFonts w:ascii="Times New Roman" w:hAnsi="Times New Roman" w:eastAsia="Times New Roman"/>
          <w:b/>
          <w:bCs/>
          <w:sz w:val="26"/>
        </w:rPr>
        <w:t xml:space="preserve">chuẩn so sánh</w:t>
      </w:r>
      <w:r>
        <w:rPr>
          <w:rFonts w:ascii="Times New Roman" w:hAnsi="Times New Roman" w:eastAsia="Times New Roman"/>
          <w:sz w:val="26"/>
        </w:rPr>
        <w:t xml:space="preserve"> </w:t>
      </w:r>
      <w:r>
        <w:rPr>
          <w:rFonts w:ascii="Times New Roman" w:hAnsi="Times New Roman" w:eastAsia="Times New Roman"/>
          <w:sz w:val="26"/>
        </w:rPr>
        <w:t xml:space="preserve">(benchmark target hoặc proxy) cho các mô hình dự báo biến động tỷ lệ sinh lời.</w:t>
      </w:r>
    </w:p>
    <w:bookmarkEnd w:id="42"/>
    <w:bookmarkEnd w:id="43"/>
    <w:bookmarkStart w:id="44" w:name="X23bf61f672b1e87b1354b2b08c45485454d42bd"/>
    <w:p>
      <w:pPr>
        <w:pStyle w:val="Heading3"/>
        <w:spacing w:before="120" w:after="120" w:line="276" w:lineRule="auto"/>
        <w:ind w:firstLine="0"/>
        <w:jc w:val="left"/>
      </w:pPr>
      <w:r>
        <w:rPr>
          <w:rFonts w:ascii="Times New Roman" w:hAnsi="Times New Roman" w:eastAsia="Times New Roman"/>
          <w:b/>
          <w:i w:val="0"/>
          <w:sz w:val="26"/>
        </w:rPr>
        <w:t xml:space="preserve">1.4.3 Vai trò của biến động tỷ lệ sinh lời trong phân tích tài chính và quản trị rủi ro</w:t>
      </w:r>
    </w:p>
    <w:p>
      <w:pPr>
        <w:pStyle w:val="FirstParagraph"/>
        <w:spacing w:before="60" w:after="60" w:line="276" w:lineRule="auto"/>
        <w:ind w:firstLine="567"/>
        <w:jc w:val="both"/>
      </w:pPr>
      <w:r>
        <w:rPr>
          <w:rFonts w:ascii="Times New Roman" w:hAnsi="Times New Roman" w:eastAsia="Times New Roman"/>
          <w:i/>
          <w:iCs/>
          <w:sz w:val="26"/>
        </w:rPr>
        <w:t xml:space="preserve">Vai trò của biến động tỷ lệ sinh lời trong phân bổ danh mục</w:t>
      </w:r>
    </w:p>
    <w:p>
      <w:pPr>
        <w:pStyle w:val="BodyText"/>
        <w:spacing w:before="60" w:after="60" w:line="276" w:lineRule="auto"/>
        <w:ind w:firstLine="567"/>
        <w:jc w:val="both"/>
      </w:pPr>
      <w:r>
        <w:rPr>
          <w:rFonts w:ascii="Times New Roman" w:hAnsi="Times New Roman" w:eastAsia="Times New Roman"/>
          <w:sz w:val="26"/>
        </w:rPr>
        <w:t xml:space="preserve">Trong lý thuyết danh mục, biến động tỷ lệ sinh lời gắn trực tiếp với khái niệm rủi ro. Một tài sản có thể có mức sinh lời kỳ vọng hấp dẫn, nhưng nếu biến động tỷ lệ sinh lời quá cao thì việc nắm giữ tỷ trọng lớn của tài sản đó có thể làm danh mục trở nên quá rủi ro. Dưới khuôn khổ lý thuyết về quản trị danh mục hiện đại dựa trên lợi nhuận - rủi ro (Mean -Variance Portfolio Theory), quyết định phân bổ vốn phải cân nhắc đồng thời lợi nhuận kỳ vọn và biến động tỷ lệ sinh lời của từng tài sản và tương quan giữa các tài sản và vị thế trong danh mục.</w:t>
      </w:r>
    </w:p>
    <w:p>
      <w:pPr>
        <w:pStyle w:val="BodyText"/>
        <w:spacing w:before="60" w:after="60" w:line="276" w:lineRule="auto"/>
        <w:ind w:firstLine="567"/>
        <w:jc w:val="both"/>
      </w:pPr>
      <w:r>
        <w:rPr>
          <w:rFonts w:ascii="Times New Roman" w:hAnsi="Times New Roman" w:eastAsia="Times New Roman"/>
          <w:i/>
          <w:iCs/>
          <w:sz w:val="26"/>
        </w:rPr>
        <w:t xml:space="preserve">Vai trò của biến động tỷ lệ sinh lời trong trong phái sinh</w:t>
      </w:r>
    </w:p>
    <w:p>
      <w:pPr>
        <w:pStyle w:val="BodyText"/>
        <w:spacing w:before="60" w:after="60" w:line="276" w:lineRule="auto"/>
        <w:ind w:firstLine="567"/>
        <w:jc w:val="both"/>
      </w:pPr>
      <w:r>
        <w:rPr>
          <w:rFonts w:ascii="Times New Roman" w:hAnsi="Times New Roman" w:eastAsia="Times New Roman"/>
          <w:sz w:val="26"/>
        </w:rPr>
        <w:t xml:space="preserve">Đối với thị trường phái sinh, biến động tỷ lệ sinh lời còn là một “đối tượng giao dịch” theo nghĩa rộng. Ví dụ, chỉ số về biến động tỷ lệ sinh lời hàm ý dựa trên chỉ số giá chứng khoán của Mỹ, VIX, là cơ sở cho các công cụ tài chính. Điều này cho thấy biến động tỷ lệ sinh lời không chỉ là một tham số ẩn trong mô hình, mà còn là một thông tin thị trường có thể được theo dõi, định giá và giao dịch.</w:t>
      </w:r>
    </w:p>
    <w:bookmarkEnd w:id="44"/>
    <w:bookmarkEnd w:id="45"/>
    <w:bookmarkStart w:id="53" w:name="sec-var"/>
    <w:p>
      <w:pPr>
        <w:pStyle w:val="Heading2"/>
        <w:spacing w:before="120" w:after="120" w:line="276" w:lineRule="auto"/>
        <w:ind w:firstLine="0"/>
        <w:jc w:val="left"/>
      </w:pPr>
      <w:r>
        <w:rPr>
          <w:rFonts w:ascii="Times New Roman" w:hAnsi="Times New Roman" w:eastAsia="Times New Roman"/>
          <w:b/>
          <w:i w:val="0"/>
          <w:sz w:val="26"/>
        </w:rPr>
        <w:t>1.5 GIÁ TRỊ CHỊU RỦI RO</w:t>
      </w:r>
    </w:p>
    <w:bookmarkStart w:id="50" w:name="khái-niệm-giá-trị-chịu-rủi-ro"/>
    <w:p>
      <w:pPr>
        <w:pStyle w:val="Heading3"/>
        <w:spacing w:before="120" w:after="120" w:line="276" w:lineRule="auto"/>
        <w:ind w:firstLine="0"/>
        <w:jc w:val="left"/>
      </w:pPr>
      <w:r>
        <w:rPr>
          <w:rFonts w:ascii="Times New Roman" w:hAnsi="Times New Roman" w:eastAsia="Times New Roman"/>
          <w:b/>
          <w:i w:val="0"/>
          <w:sz w:val="26"/>
        </w:rPr>
        <w:t xml:space="preserve">1.5.1 Khái niệm giá trị chịu rủi ro</w:t>
      </w:r>
    </w:p>
    <w:p>
      <w:pPr>
        <w:pStyle w:val="FirstParagraph"/>
        <w:spacing w:before="60" w:after="60" w:line="276" w:lineRule="auto"/>
        <w:ind w:firstLine="567"/>
        <w:jc w:val="both"/>
      </w:pPr>
      <w:r>
        <w:rPr>
          <w:rFonts w:ascii="Times New Roman" w:hAnsi="Times New Roman" w:eastAsia="Times New Roman"/>
          <w:sz w:val="26"/>
        </w:rPr>
        <w:t xml:space="preserve">VaR là một trong những thước đo rủi ro nổi tiếng nhất trong tài chính hiện đại. Nếu biến động tỷ lệ sinh lời trả lời câu hỏi</w:t>
      </w:r>
      <w:r>
        <w:rPr>
          <w:rFonts w:ascii="Times New Roman" w:hAnsi="Times New Roman" w:eastAsia="Times New Roman"/>
          <w:sz w:val="26"/>
        </w:rPr>
        <w:t xml:space="preserve"> </w:t>
      </w:r>
      <w:r>
        <w:rPr>
          <w:rFonts w:ascii="Times New Roman" w:hAnsi="Times New Roman" w:eastAsia="Times New Roman"/>
          <w:i/>
          <w:iCs/>
          <w:sz w:val="26"/>
        </w:rPr>
        <w:t xml:space="preserve">“mức độ dao động của tỷ lệ sinh lời lớn đến đâu?”</w:t>
      </w:r>
      <w:r>
        <w:rPr>
          <w:rFonts w:ascii="Times New Roman" w:hAnsi="Times New Roman" w:eastAsia="Times New Roman"/>
          <w:sz w:val="26"/>
        </w:rPr>
        <w:t xml:space="preserve">, thì giá trị chịu rủi ro (VaR) trả lời cho câu hỏi</w:t>
      </w:r>
      <w:r>
        <w:rPr>
          <w:rFonts w:ascii="Times New Roman" w:hAnsi="Times New Roman" w:eastAsia="Times New Roman"/>
          <w:sz w:val="26"/>
        </w:rPr>
        <w:t xml:space="preserve"> </w:t>
      </w:r>
      <w:r>
        <w:rPr>
          <w:rFonts w:ascii="Times New Roman" w:hAnsi="Times New Roman" w:eastAsia="Times New Roman"/>
          <w:i/>
          <w:iCs/>
          <w:sz w:val="26"/>
        </w:rPr>
        <w:t xml:space="preserve">“trong điều kiện thông thường, với một mức tin cậy cho trước, khoản lỗ lớn nhất có thể là bao nhiêu?”</w:t>
      </w:r>
      <w:r>
        <w:rPr>
          <w:rFonts w:ascii="Times New Roman" w:hAnsi="Times New Roman" w:eastAsia="Times New Roman"/>
          <w:sz w:val="26"/>
        </w:rPr>
        <w:t xml:space="preserve">. Ưu điểm lớn nhất của VaR là việc định lượng rủi ro thành</w:t>
      </w:r>
      <w:r>
        <w:rPr>
          <w:rFonts w:ascii="Times New Roman" w:hAnsi="Times New Roman" w:eastAsia="Times New Roman"/>
          <w:i/>
          <w:iCs/>
          <w:sz w:val="26"/>
        </w:rPr>
        <w:t xml:space="preserve">một con số duy nhấ</w:t>
      </w:r>
      <w:r>
        <w:rPr>
          <w:rFonts w:ascii="Times New Roman" w:hAnsi="Times New Roman" w:eastAsia="Times New Roman"/>
          <w:sz w:val="26"/>
        </w:rPr>
        <w:t xml:space="preserve">, có thể diễn đạt trực tiếp bằng tiền. Điều này khiến VaR trở thành một công cụ rất hữu ích trong giao tiếp quản trị, kiểm soát hạn mức và báo cáo rủi ro.</w:t>
      </w:r>
    </w:p>
    <w:p>
      <w:pPr>
        <w:pStyle w:val="BodyText"/>
        <w:spacing w:before="60" w:after="60" w:line="276" w:lineRule="auto"/>
        <w:ind w:firstLine="567"/>
        <w:jc w:val="both"/>
      </w:pPr>
      <w:r>
        <w:rPr>
          <w:rFonts w:ascii="Times New Roman" w:hAnsi="Times New Roman" w:eastAsia="Times New Roman"/>
          <w:sz w:val="26"/>
        </w:rPr>
        <w:t xml:space="preserve">Ví dụ, giả sử một danh mục đầu tư có</w:t>
      </w:r>
      <w:r>
        <w:rPr>
          <w:rFonts w:ascii="Times New Roman" w:hAnsi="Times New Roman" w:eastAsia="Times New Roman"/>
          <w:sz w:val="26"/>
        </w:rPr>
        <w:t xml:space="preserve"> </w:t>
      </w:r>
      <w:r>
        <w:rPr>
          <w:rFonts w:ascii="Times New Roman" w:hAnsi="Times New Roman" w:eastAsia="Times New Roman"/>
          <w:i/>
          <w:iCs/>
          <w:sz w:val="26"/>
        </w:rPr>
        <w:t xml:space="preserve">VaR 99% một ngày bằng 2 tỷ đồng</w:t>
      </w:r>
      <w:r>
        <w:rPr>
          <w:rFonts w:ascii="Times New Roman" w:hAnsi="Times New Roman" w:eastAsia="Times New Roman"/>
          <w:sz w:val="26"/>
        </w:rPr>
        <w:t xml:space="preserve"> </w:t>
      </w:r>
      <w:r>
        <w:rPr>
          <w:rFonts w:ascii="Times New Roman" w:hAnsi="Times New Roman" w:eastAsia="Times New Roman"/>
          <w:sz w:val="26"/>
        </w:rPr>
        <w:t xml:space="preserve">thì có nghĩa là</w:t>
      </w:r>
      <w:r>
        <w:rPr>
          <w:rFonts w:ascii="Times New Roman" w:hAnsi="Times New Roman" w:eastAsia="Times New Roman"/>
          <w:sz w:val="26"/>
        </w:rPr>
        <w:t xml:space="preserve"> </w:t>
      </w:r>
      <w:r>
        <w:rPr>
          <w:rFonts w:ascii="Times New Roman" w:hAnsi="Times New Roman" w:eastAsia="Times New Roman"/>
          <w:i/>
          <w:iCs/>
          <w:sz w:val="26"/>
        </w:rPr>
        <w:t xml:space="preserve">với mức tin cậy 99%, trong một ngày giao dịch, khoản lỗ của danh mục dự kiến sẽ không vượt quá 2 tỷ đồng trong điều kiện thị trường thông thường</w:t>
      </w:r>
      <w:r>
        <w:rPr>
          <w:rFonts w:ascii="Times New Roman" w:hAnsi="Times New Roman" w:eastAsia="Times New Roman"/>
          <w:sz w:val="26"/>
        </w:rPr>
        <w:t xml:space="preserve">. Nói ngược lại, có khoảng 1% xác suất tổn thất thực tế sẽ lớn hơn con số đó. Như vậy, VaR là mức lỗ lớn nhất có thể xảy ra với một mức tin cậy xác định trong một khoảng thời gian nắm giữ nhất định, được xác định từ ba thành phần: mức tin cậy (confidence level), khoảng thời gian nắm giữ (holding period) và*phân phối của lợi nhuận hay tổn thất (loss distribution).</w:t>
      </w:r>
    </w:p>
    <w:p>
      <w:pPr>
        <w:pStyle w:val="BodyText"/>
        <w:spacing w:before="60" w:after="60" w:line="276" w:lineRule="auto"/>
        <w:ind w:firstLine="567"/>
        <w:jc w:val="both"/>
      </w:pPr>
      <w:r>
        <w:rPr>
          <w:rFonts w:ascii="Times New Roman" w:hAnsi="Times New Roman" w:eastAsia="Times New Roman"/>
          <w:sz w:val="26"/>
        </w:rPr>
        <w:t xml:space="preserve">Thành phần thứ nhất là</w:t>
      </w:r>
      <w:r>
        <w:rPr>
          <w:rFonts w:ascii="Times New Roman" w:hAnsi="Times New Roman" w:eastAsia="Times New Roman"/>
          <w:sz w:val="26"/>
        </w:rPr>
        <w:t xml:space="preserve"> </w:t>
      </w:r>
      <w:r>
        <w:rPr>
          <w:rFonts w:ascii="Times New Roman" w:hAnsi="Times New Roman" w:eastAsia="Times New Roman"/>
          <w:b/>
          <w:bCs/>
          <w:sz w:val="26"/>
        </w:rPr>
        <w:t xml:space="preserve">mức tin cậy</w:t>
      </w:r>
      <w:r>
        <w:rPr>
          <w:rFonts w:ascii="Times New Roman" w:hAnsi="Times New Roman" w:eastAsia="Times New Roman"/>
          <w:sz w:val="26"/>
        </w:rPr>
        <w:t xml:space="preserve">. Đây là mức xác suất mà tại đó nhà quản trị muốn mô tả rủi ro, chẳng hạn 95% hoặc 99%. Nếu mức tin cậy càng cao, VaR thường càng lớn về độ lớn tuyệt đối, vì ta đang đi sâu hơn vào phần đuôi bất lợi của phân phối tổn thất.Trên thực tế, 95% và 99% là hai mức độ tin cậy thườn được sử dụng.</w:t>
      </w:r>
    </w:p>
    <w:p>
      <w:pPr>
        <w:pStyle w:val="BodyText"/>
        <w:spacing w:before="60" w:after="60" w:line="276" w:lineRule="auto"/>
        <w:ind w:firstLine="567"/>
        <w:jc w:val="both"/>
      </w:pPr>
      <w:r>
        <w:rPr>
          <w:rFonts w:ascii="Times New Roman" w:hAnsi="Times New Roman" w:eastAsia="Times New Roman"/>
          <w:sz w:val="26"/>
        </w:rPr>
        <w:t xml:space="preserve">Thành phần thứ hai là</w:t>
      </w:r>
      <w:r>
        <w:rPr>
          <w:rFonts w:ascii="Times New Roman" w:hAnsi="Times New Roman" w:eastAsia="Times New Roman"/>
          <w:sz w:val="26"/>
        </w:rPr>
        <w:t xml:space="preserve"> </w:t>
      </w:r>
      <w:r>
        <w:rPr>
          <w:rFonts w:ascii="Times New Roman" w:hAnsi="Times New Roman" w:eastAsia="Times New Roman"/>
          <w:b/>
          <w:bCs/>
          <w:sz w:val="26"/>
        </w:rPr>
        <w:t xml:space="preserve">khoảng thời gian nắm giữ</w:t>
      </w:r>
      <w:r>
        <w:rPr>
          <w:rFonts w:ascii="Times New Roman" w:hAnsi="Times New Roman" w:eastAsia="Times New Roman"/>
          <w:sz w:val="26"/>
        </w:rPr>
        <w:t xml:space="preserve">. VaR một ngày, VaR mười ngày hay VaR một tháng là những con số khác nhau vì mức độ rủi ro tích lũy phụ thuộc vào độ dài của khoảng thời gian đo lường. Trên thực tế, lựa chọn về khoảng thời gian nắm giữ phải phản ánh khoảng thời gian cần thiết để thoát hoặc giảm vị thế của tài sản hoặc danh mục đầu tư.</w:t>
      </w:r>
    </w:p>
    <w:p>
      <w:pPr>
        <w:pStyle w:val="BodyText"/>
        <w:spacing w:before="60" w:after="60" w:line="276" w:lineRule="auto"/>
        <w:ind w:firstLine="567"/>
        <w:jc w:val="both"/>
      </w:pPr>
      <w:r>
        <w:rPr>
          <w:rFonts w:ascii="Times New Roman" w:hAnsi="Times New Roman" w:eastAsia="Times New Roman"/>
          <w:sz w:val="26"/>
        </w:rPr>
        <w:t xml:space="preserve">Thành phần thứ ba là</w:t>
      </w:r>
      <w:r>
        <w:rPr>
          <w:rFonts w:ascii="Times New Roman" w:hAnsi="Times New Roman" w:eastAsia="Times New Roman"/>
          <w:sz w:val="26"/>
        </w:rPr>
        <w:t xml:space="preserve"> </w:t>
      </w:r>
      <w:r>
        <w:rPr>
          <w:rFonts w:ascii="Times New Roman" w:hAnsi="Times New Roman" w:eastAsia="Times New Roman"/>
          <w:b/>
          <w:bCs/>
          <w:sz w:val="26"/>
        </w:rPr>
        <w:t xml:space="preserve">phân phối tổn thất</w:t>
      </w:r>
      <w:r>
        <w:rPr>
          <w:rFonts w:ascii="Times New Roman" w:hAnsi="Times New Roman" w:eastAsia="Times New Roman"/>
          <w:sz w:val="26"/>
        </w:rPr>
        <w:t xml:space="preserve">. Về bản chất, VaR là một</w:t>
      </w:r>
      <w:r>
        <w:rPr>
          <w:rFonts w:ascii="Times New Roman" w:hAnsi="Times New Roman" w:eastAsia="Times New Roman"/>
          <w:sz w:val="26"/>
        </w:rPr>
        <w:t xml:space="preserve"> </w:t>
      </w:r>
      <w:r>
        <w:rPr>
          <w:rFonts w:ascii="Times New Roman" w:hAnsi="Times New Roman" w:eastAsia="Times New Roman"/>
          <w:b/>
          <w:bCs/>
          <w:sz w:val="26"/>
        </w:rPr>
        <w:t xml:space="preserve">phân vị</w:t>
      </w:r>
      <w:r>
        <w:rPr>
          <w:rFonts w:ascii="Times New Roman" w:hAnsi="Times New Roman" w:eastAsia="Times New Roman"/>
          <w:sz w:val="26"/>
        </w:rPr>
        <w:t xml:space="preserve"> </w:t>
      </w:r>
      <w:r>
        <w:rPr>
          <w:rFonts w:ascii="Times New Roman" w:hAnsi="Times New Roman" w:eastAsia="Times New Roman"/>
          <w:sz w:val="26"/>
        </w:rPr>
        <w:t xml:space="preserve">của phân phối tổn thất. Nếu ký hiệu</w:t>
      </w:r>
      <w:r>
        <w:rPr>
          <w:rFonts w:ascii="Times New Roman" w:hAnsi="Times New Roman" w:eastAsia="Times New Roman"/>
          <w:sz w:val="26"/>
        </w:rPr>
        <w:t xml:space="preserve"> </w:t>
      </w:r>
      <m:oMath>
        <m:r>
          <m:t>L</m:t>
        </m:r>
      </m:oMath>
      <w:r>
        <w:rPr>
          <w:rFonts w:ascii="Times New Roman" w:hAnsi="Times New Roman" w:eastAsia="Times New Roman"/>
          <w:sz w:val="26"/>
        </w:rPr>
        <w:t xml:space="preserve"> </w:t>
      </w:r>
      <w:r>
        <w:rPr>
          <w:rFonts w:ascii="Times New Roman" w:hAnsi="Times New Roman" w:eastAsia="Times New Roman"/>
          <w:sz w:val="26"/>
        </w:rPr>
        <w:t xml:space="preserve">là biến ngẫu nhiên biểu diễn tổn thất của danh mục, thì VaR ở mức tin cậy</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 </w:t>
      </w:r>
      <w:r>
        <w:rPr>
          <w:rFonts w:ascii="Times New Roman" w:hAnsi="Times New Roman" w:eastAsia="Times New Roman"/>
          <w:sz w:val="26"/>
        </w:rPr>
        <w:t xml:space="preserve">được viết như sau:</w:t>
      </w:r>
    </w:p>
    <w:p>
      <w:pPr>
        <w:pStyle w:val="BodyText"/>
      </w:pPr>
      <m:oMathPara>
        <m:oMathParaPr>
          <m:jc m:val="center"/>
        </m:oMathParaPr>
        <m:oMath>
          <m:r>
            <m:t>V</m:t>
          </m:r>
          <m:r>
            <m:t>a</m:t>
          </m:r>
          <m:sSub>
            <m:e>
              <m:r>
                <m:t>R</m:t>
              </m:r>
            </m:e>
            <m:sub>
              <m:r>
                <m:t>α</m:t>
              </m:r>
            </m:sub>
          </m:sSub>
          <m:r>
            <m:rPr>
              <m:sty m:val="p"/>
            </m:rPr>
            <m:t>(</m:t>
          </m:r>
          <m:r>
            <m:t>L</m:t>
          </m:r>
          <m:r>
            <m:rPr>
              <m:sty m:val="p"/>
            </m:rPr>
            <m:t>)</m:t>
          </m:r>
          <m:r>
            <m:rPr>
              <m:sty m:val="p"/>
            </m:rPr>
            <m:t>=</m:t>
          </m:r>
          <m:r>
            <m:rPr>
              <m:sty m:val="p"/>
            </m:rPr>
            <m:t>inf</m:t>
          </m:r>
          <m:d>
            <m:dPr>
              <m:begChr m:val="{"/>
              <m:sepChr m:val=""/>
              <m:endChr m:val="}"/>
              <m:grow/>
            </m:dPr>
            <m:e>
              <m:r>
                <m:t>ℓ</m:t>
              </m:r>
              <m:r>
                <m:rPr>
                  <m:sty m:val="p"/>
                </m:rPr>
                <m:t>:</m:t>
              </m:r>
              <m:r>
                <m:t>P</m:t>
              </m:r>
              <m:r>
                <m:rPr>
                  <m:sty m:val="p"/>
                </m:rPr>
                <m:t>(</m:t>
              </m:r>
              <m:r>
                <m:t>L</m:t>
              </m:r>
              <m:r>
                <m:rPr>
                  <m:sty m:val="p"/>
                </m:rPr>
                <m:t>≤</m:t>
              </m:r>
              <m:r>
                <m:t>ℓ</m:t>
              </m:r>
              <m:r>
                <m:rPr>
                  <m:sty m:val="p"/>
                </m:rPr>
                <m:t>)</m:t>
              </m:r>
              <m:r>
                <m:rPr>
                  <m:sty m:val="p"/>
                </m:rPr>
                <m:t>≥</m:t>
              </m:r>
              <m:r>
                <m:t>α</m:t>
              </m:r>
            </m:e>
          </m: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Công thức này cho thấy VaR chính là</w:t>
      </w:r>
      <w:r>
        <w:rPr>
          <w:rFonts w:ascii="Times New Roman" w:hAnsi="Times New Roman" w:eastAsia="Times New Roman"/>
          <w:sz w:val="26"/>
        </w:rPr>
        <w:t xml:space="preserve"> </w:t>
      </w:r>
      <w:r>
        <w:rPr>
          <w:rFonts w:ascii="Times New Roman" w:hAnsi="Times New Roman" w:eastAsia="Times New Roman"/>
          <w:b/>
          <w:bCs/>
          <w:sz w:val="26"/>
        </w:rPr>
        <w:t xml:space="preserve">phân vị bậc</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 </w:t>
      </w:r>
      <w:r>
        <w:rPr>
          <w:rFonts w:ascii="Times New Roman" w:hAnsi="Times New Roman" w:eastAsia="Times New Roman"/>
          <w:sz w:val="26"/>
        </w:rPr>
        <w:t xml:space="preserve">của phân phối tổn thất. Ví dụ,</w:t>
      </w:r>
      <w:r>
        <w:rPr>
          <w:rFonts w:ascii="Times New Roman" w:hAnsi="Times New Roman" w:eastAsia="Times New Roman"/>
          <w:sz w:val="26"/>
        </w:rPr>
        <w:t xml:space="preserve"> </w:t>
      </w:r>
      <m:oMath>
        <m:r>
          <m:t>V</m:t>
        </m:r>
        <m:r>
          <m:t>a</m:t>
        </m:r>
        <m:sSub>
          <m:e>
            <m:r>
              <m:t>R</m:t>
            </m:r>
          </m:e>
          <m:sub>
            <m:r>
              <m:t>0.99</m:t>
            </m:r>
          </m:sub>
        </m:sSub>
      </m:oMath>
      <w:r>
        <w:rPr>
          <w:rFonts w:ascii="Times New Roman" w:hAnsi="Times New Roman" w:eastAsia="Times New Roman"/>
          <w:sz w:val="26"/>
        </w:rPr>
        <w:t xml:space="preserve"> </w:t>
      </w:r>
      <w:r>
        <w:rPr>
          <w:rFonts w:ascii="Times New Roman" w:hAnsi="Times New Roman" w:eastAsia="Times New Roman"/>
          <w:sz w:val="26"/>
        </w:rPr>
        <w:t xml:space="preserve">là mức tổn thất mà xác suất để tổn thất không vượt quá mức đó đạt ít nhất 99%.</w:t>
      </w:r>
    </w:p>
    <w:p>
      <w:pPr>
        <w:pStyle w:val="BodyText"/>
        <w:spacing w:before="60" w:after="60" w:line="276" w:lineRule="auto"/>
        <w:ind w:firstLine="567"/>
        <w:jc w:val="both"/>
      </w:pPr>
      <w:r>
        <w:rPr>
          <w:rFonts w:ascii="Times New Roman" w:hAnsi="Times New Roman" w:eastAsia="Times New Roman"/>
          <w:sz w:val="26"/>
        </w:rPr>
        <w:t xml:space="preserve">Nếu làm việc với</w:t>
      </w:r>
      <w:r>
        <w:rPr>
          <w:rFonts w:ascii="Times New Roman" w:hAnsi="Times New Roman" w:eastAsia="Times New Roman"/>
          <w:sz w:val="26"/>
        </w:rPr>
        <w:t xml:space="preserve"> </w:t>
      </w:r>
      <w:r>
        <w:rPr>
          <w:rFonts w:ascii="Times New Roman" w:hAnsi="Times New Roman" w:eastAsia="Times New Roman"/>
          <w:b/>
          <w:bCs/>
          <w:sz w:val="26"/>
        </w:rPr>
        <w:t xml:space="preserve">tỷ lệ sinh lời</w:t>
      </w:r>
      <w:r>
        <w:rPr>
          <w:rFonts w:ascii="Times New Roman" w:hAnsi="Times New Roman" w:eastAsia="Times New Roman"/>
          <w:sz w:val="26"/>
        </w:rPr>
        <w:t xml:space="preserve"> </w:t>
      </w:r>
      <w:r>
        <w:rPr>
          <w:rFonts w:ascii="Times New Roman" w:hAnsi="Times New Roman" w:eastAsia="Times New Roman"/>
          <w:sz w:val="26"/>
        </w:rPr>
        <w:t xml:space="preserve">thay vì tổn thất, ta thường chuyển đổi như sau. Giả sử</w:t>
      </w:r>
      <w:r>
        <w:rPr>
          <w:rFonts w:ascii="Times New Roman" w:hAnsi="Times New Roman" w:eastAsia="Times New Roman"/>
          <w:sz w:val="26"/>
        </w:rPr>
        <w:t xml:space="preserve"> </w:t>
      </w:r>
      <m:oMath>
        <m:sSub>
          <m:e>
            <m:r>
              <m:t>r</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là tỷ lệ sinh lời của danh mục ở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thì một cách đơn giản để định nghĩa tổn thất theo phần trăm là:</w:t>
      </w:r>
    </w:p>
    <w:p>
      <w:pPr>
        <w:pStyle w:val="BodyText"/>
      </w:pPr>
      <m:oMathPara>
        <m:oMathParaPr>
          <m:jc m:val="center"/>
        </m:oMathParaPr>
        <m:oMath>
          <m:sSub>
            <m:e>
              <m:r>
                <m:t>L</m:t>
              </m:r>
            </m:e>
            <m:sub>
              <m:r>
                <m:t>t</m:t>
              </m:r>
            </m:sub>
          </m:sSub>
          <m:r>
            <m:rPr>
              <m:sty m:val="p"/>
            </m:rPr>
            <m:t>=</m:t>
          </m:r>
          <m:r>
            <m:rPr>
              <m:sty m:val="p"/>
            </m:rPr>
            <m:t>−</m:t>
          </m:r>
          <m:sSub>
            <m:e>
              <m:r>
                <m:t>r</m:t>
              </m:r>
            </m:e>
            <m:sub>
              <m:r>
                <m:t>t</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Khi đó, VaR của danh mục có thể được tính từ phân vị bên phải của</w:t>
      </w:r>
      <w:r>
        <w:rPr>
          <w:rFonts w:ascii="Times New Roman" w:hAnsi="Times New Roman" w:eastAsia="Times New Roman"/>
          <w:sz w:val="26"/>
        </w:rPr>
        <w:t xml:space="preserve"> </w:t>
      </w:r>
      <m:oMath>
        <m:sSub>
          <m:e>
            <m:r>
              <m:t>L</m:t>
            </m:r>
          </m:e>
          <m:sub>
            <m:r>
              <m:t>t</m:t>
            </m:r>
          </m:sub>
        </m:sSub>
      </m:oMath>
      <w:r>
        <w:rPr>
          <w:rFonts w:ascii="Times New Roman" w:hAnsi="Times New Roman" w:eastAsia="Times New Roman"/>
          <w:sz w:val="26"/>
        </w:rPr>
        <w:t xml:space="preserve">, hoặc tương đương là từ phân vị bên trái của</w:t>
      </w:r>
      <w:r>
        <w:rPr>
          <w:rFonts w:ascii="Times New Roman" w:hAnsi="Times New Roman" w:eastAsia="Times New Roman"/>
          <w:sz w:val="26"/>
        </w:rPr>
        <w:t xml:space="preserve"> </w:t>
      </w:r>
      <m:oMath>
        <m:sSub>
          <m:e>
            <m:r>
              <m:t>r</m:t>
            </m:r>
          </m:e>
          <m:sub>
            <m:r>
              <m:t>t</m:t>
            </m:r>
          </m:sub>
        </m:sSub>
      </m:oMath>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Để minh họa rõ hơn, giả sử một danh mục có giá trị thị trường hiện tại là</w:t>
      </w:r>
      <w:r>
        <w:rPr>
          <w:rFonts w:ascii="Times New Roman" w:hAnsi="Times New Roman" w:eastAsia="Times New Roman"/>
          <w:sz w:val="26"/>
        </w:rPr>
        <w:t xml:space="preserve"> </w:t>
      </w:r>
      <m:oMath>
        <m:r>
          <m:t>V</m:t>
        </m:r>
      </m:oMath>
      <w:r>
        <w:rPr>
          <w:rFonts w:ascii="Times New Roman" w:hAnsi="Times New Roman" w:eastAsia="Times New Roman"/>
          <w:sz w:val="26"/>
        </w:rPr>
        <w:t xml:space="preserve">. Nếu</w:t>
      </w:r>
      <w:r>
        <w:rPr>
          <w:rFonts w:ascii="Times New Roman" w:hAnsi="Times New Roman" w:eastAsia="Times New Roman"/>
          <w:sz w:val="26"/>
        </w:rPr>
        <w:t xml:space="preserve"> </w:t>
      </w:r>
      <m:oMath>
        <m:sSub>
          <m:e>
            <m:r>
              <m:t>q</m:t>
            </m:r>
          </m:e>
          <m:sub>
            <m:r>
              <m:t>α</m:t>
            </m:r>
          </m:sub>
        </m:sSub>
      </m:oMath>
      <w:r>
        <w:rPr>
          <w:rFonts w:ascii="Times New Roman" w:hAnsi="Times New Roman" w:eastAsia="Times New Roman"/>
          <w:sz w:val="26"/>
        </w:rPr>
        <w:t xml:space="preserve"> </w:t>
      </w:r>
      <w:r>
        <w:rPr>
          <w:rFonts w:ascii="Times New Roman" w:hAnsi="Times New Roman" w:eastAsia="Times New Roman"/>
          <w:sz w:val="26"/>
        </w:rPr>
        <w:t xml:space="preserve">là phân vị bên trái của phân phối tỷ lệ sinh lời tại mức xác suất</w:t>
      </w:r>
      <w:r>
        <w:rPr>
          <w:rFonts w:ascii="Times New Roman" w:hAnsi="Times New Roman" w:eastAsia="Times New Roman"/>
          <w:sz w:val="26"/>
        </w:rPr>
        <w:t xml:space="preserve"> </w:t>
      </w:r>
      <m:oMath>
        <m:r>
          <m:t>1</m:t>
        </m:r>
        <m:r>
          <m:rPr>
            <m:sty m:val="p"/>
          </m:rPr>
          <m:t>−</m:t>
        </m:r>
        <m:r>
          <m:t>α</m:t>
        </m:r>
      </m:oMath>
      <w:r>
        <w:rPr>
          <w:rFonts w:ascii="Times New Roman" w:hAnsi="Times New Roman" w:eastAsia="Times New Roman"/>
          <w:sz w:val="26"/>
        </w:rPr>
        <w:t xml:space="preserve">, thì VaR theo tiền tệ có thể viết:</w:t>
      </w:r>
    </w:p>
    <w:p>
      <w:pPr>
        <w:pStyle w:val="BodyText"/>
      </w:pPr>
      <m:oMathPara>
        <m:oMathParaPr>
          <m:jc m:val="center"/>
        </m:oMathParaPr>
        <m:oMath>
          <m:r>
            <m:t>V</m:t>
          </m:r>
          <m:r>
            <m:t>a</m:t>
          </m:r>
          <m:sSub>
            <m:e>
              <m:r>
                <m:t>R</m:t>
              </m:r>
            </m:e>
            <m:sub>
              <m:r>
                <m:t>α</m:t>
              </m:r>
            </m:sub>
          </m:sSub>
          <m:r>
            <m:rPr>
              <m:sty m:val="p"/>
            </m:rPr>
            <m:t>=</m:t>
          </m:r>
          <m:r>
            <m:rPr>
              <m:sty m:val="p"/>
            </m:rPr>
            <m:t>−</m:t>
          </m:r>
          <m:r>
            <m:t>V</m:t>
          </m:r>
          <m:r>
            <m:rPr>
              <m:sty m:val="p"/>
            </m:rPr>
            <m:t>×</m:t>
          </m:r>
          <m:sSub>
            <m:e>
              <m:r>
                <m:t>q</m:t>
              </m:r>
            </m:e>
            <m:sub>
              <m:r>
                <m:t>1</m:t>
              </m:r>
              <m:r>
                <m:rPr>
                  <m:sty m:val="p"/>
                </m:rPr>
                <m:t>−</m:t>
              </m:r>
              <m:r>
                <m:t>α</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Chẳng hạn, nếu danh mục trị giá 100 tỷ đồng và phân vị 1% của tỷ lệ sinh lời ngày là</w:t>
      </w:r>
      <w:r>
        <w:rPr>
          <w:rFonts w:ascii="Times New Roman" w:hAnsi="Times New Roman" w:eastAsia="Times New Roman"/>
          <w:sz w:val="26"/>
        </w:rPr>
        <w:t xml:space="preserve"> </w:t>
      </w:r>
      <m:oMath>
        <m:r>
          <m:rPr>
            <m:sty m:val="p"/>
          </m:rPr>
          <m:t>−</m:t>
        </m:r>
        <m:r>
          <m:t>2.3</m:t>
        </m:r>
        <m:r>
          <m:rPr>
            <m:sty m:val="p"/>
          </m:rPr>
          <m:t>%</m:t>
        </m:r>
      </m:oMath>
      <w:r>
        <w:rPr>
          <w:rFonts w:ascii="Times New Roman" w:hAnsi="Times New Roman" w:eastAsia="Times New Roman"/>
          <w:sz w:val="26"/>
        </w:rPr>
        <w:t xml:space="preserve">, thì:</w:t>
      </w:r>
    </w:p>
    <w:p>
      <w:pPr>
        <w:pStyle w:val="BodyText"/>
      </w:pPr>
      <m:oMathPara>
        <m:oMathParaPr>
          <m:jc m:val="center"/>
        </m:oMathParaPr>
        <m:oMath>
          <m:r>
            <m:t>V</m:t>
          </m:r>
          <m:r>
            <m:t>a</m:t>
          </m:r>
          <m:sSub>
            <m:e>
              <m:r>
                <m:t>R</m:t>
              </m:r>
            </m:e>
            <m:sub>
              <m:r>
                <m:t>0.99</m:t>
              </m:r>
            </m:sub>
          </m:sSub>
          <m:r>
            <m:rPr>
              <m:sty m:val="p"/>
            </m:rPr>
            <m:t>=</m:t>
          </m:r>
          <m:r>
            <m:rPr>
              <m:sty m:val="p"/>
            </m:rPr>
            <m:t>−</m:t>
          </m:r>
          <m:r>
            <m:t>100</m:t>
          </m:r>
          <m:r>
            <m:rPr>
              <m:sty m:val="p"/>
            </m:rPr>
            <m:t>×</m:t>
          </m:r>
          <m:r>
            <m:rPr>
              <m:sty m:val="p"/>
            </m:rPr>
            <m:t>(</m:t>
          </m:r>
          <m:r>
            <m:rPr>
              <m:sty m:val="p"/>
            </m:rPr>
            <m:t>−</m:t>
          </m:r>
          <m:r>
            <m:t>0.023</m:t>
          </m:r>
          <m:r>
            <m:rPr>
              <m:sty m:val="p"/>
            </m:rPr>
            <m:t>)</m:t>
          </m:r>
          <m:r>
            <m:rPr>
              <m:sty m:val="p"/>
            </m:rPr>
            <m:t>=</m:t>
          </m:r>
          <m:r>
            <m:t>2.3</m:t>
          </m:r>
          <m:r>
            <m:rPr>
              <m:nor/>
              <m:sty m:val="p"/>
            </m:rPr>
            <m:t> tỷ đồng</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Diễn giải đúng là: với mức tin cậy 99%, khoản lỗ trong một ngày dự kiến không vượt quá 2,3 tỷ đồng trong điều kiện bình thường.</w:t>
      </w:r>
    </w:p>
    <w:p>
      <w:pPr>
        <w:pStyle w:val="BodyText"/>
        <w:spacing w:before="60" w:after="60" w:line="240" w:lineRule="auto"/>
        <w:ind w:firstLine="0"/>
        <w:jc w:val="center"/>
      </w:pPr>
      <w:r>
        <w:rPr>
          <w:rFonts w:ascii="Times New Roman" w:hAnsi="Times New Roman" w:eastAsia="Times New Roman"/>
          <w:b/>
          <w:i w:val="0"/>
          <w:sz w:val="24"/>
        </w:rPr>
        <w:t>Hình dưới đây minh họa VaR như một phân vị ở phần đuôi trái của phân phối tỷ lệ sinh lờ thực tế của VN-index. Trong khi đó, nếu chuyển sang tổn thất, đó chính là một phân vị ở phần đuôi phải của phân phối loss. Rolling volatility khắc phục một phần hạn chế của historical volatility bằng cách tính độ lệch chuẩn trong một cửa sổ quan sát trượt. Ví dụ, rolling volatility 20 ngày tại thời điểm  được tính từ 20 tỷ lệ sinh lời gần nhất. Khi cửa sổ quan sát dịch chuyển theo thời gian, rolling volatility cho phép nhận diện các giai đoạn rủi ro tăng lên hoặc giảm xuống. Đây là một công cụ trực quan rất hữu ích trước khi áp dụng các mô hình volatility có điều kiện.</w:t>
      </w:r>
    </w:p>
    <w:tbl>
      <w:tblPr>
        <w:tblStyle w:val="Table"/>
        <w:tblW w:type="pct" w:w="5000"/>
        <w:tblLayout w:type="fixed"/>
        <w:tblLook w:firstRow="0" w:lastRow="0" w:firstColumn="0" w:lastColumn="0" w:noHBand="0" w:noVBand="0" w:val="0000"/>
      </w:tblPr>
      <w:tblGrid>
        <w:gridCol w:w="7920"/>
      </w:tblGrid>
      <w:tr>
        <w:tc>
          <w:tcPr>
            <w:vAlign w:val="center"/>
          </w:tcPr>
          <w:bookmarkStart w:id="49" w:name="fig-rolling-volatility"/>
          <w:p>
            <w:pPr>
              <w:pStyle w:val="Compact"/>
              <w:spacing w:before="0" w:after="0" w:line="240" w:lineRule="auto"/>
              <w:ind w:firstLine="0"/>
              <w:jc w:val="center"/>
            </w:pPr>
            <w:r>
              <w:rPr>
                <w:rFonts w:ascii="Times New Roman" w:hAnsi="Times New Roman" w:eastAsia="Times New Roman"/>
                <w:b/>
                <w:sz w:val="24"/>
              </w:rPr>
              <w:drawing>
                <wp:inline>
                  <wp:extent cx="5334000" cy="3651250"/>
                  <wp:effectExtent b="0" l="0" r="0" t="0"/>
                  <wp:docPr descr="" title="" id="47" name="Picture"/>
                  <a:graphic>
                    <a:graphicData uri="http://schemas.openxmlformats.org/drawingml/2006/picture">
                      <pic:pic>
                        <pic:nvPicPr>
                          <pic:cNvPr descr="ch01_docx_tmp_files/figure-docx/fig-rolling-volatility-1.pdf" id="48" name="Picture"/>
                          <pic:cNvPicPr>
                            <a:picLocks noChangeArrowheads="1" noChangeAspect="1"/>
                          </pic:cNvPicPr>
                        </pic:nvPicPr>
                        <pic:blipFill>
                          <a:blip r:embed="rId46"/>
                          <a:stretch>
                            <a:fillRect/>
                          </a:stretch>
                        </pic:blipFill>
                        <pic:spPr bwMode="auto">
                          <a:xfrm>
                            <a:off x="0" y="0"/>
                            <a:ext cx="5334000" cy="3651250"/>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3: Minh họa rolling volatility của chuỗi tỷ lệ sinh lời</w:t>
            </w:r>
          </w:p>
          <w:bookmarkEnd w:id="49"/>
        </w:tc>
      </w:tr>
    </w:tbl>
    <w:p>
      <w:pPr>
        <w:pStyle w:val="BodyText"/>
        <w:spacing w:before="60" w:after="60" w:line="240" w:lineRule="auto"/>
        <w:ind w:firstLine="0"/>
        <w:jc w:val="center"/>
      </w:pPr>
      <w:r>
        <w:rPr>
          <w:rFonts w:ascii="Times New Roman" w:hAnsi="Times New Roman" w:eastAsia="Times New Roman"/>
          <w:b/>
          <w:i w:val="0"/>
          <w:sz w:val="24"/>
        </w:rPr>
        <w:t>Hình 3 minh họa một đặc điểm thường gặp trong dữ liệu tài chính: volatility không ổn định mà thay đổi theo từng giai đoạn. Khi thị trường bước vào giai đoạn bất ổn, rolling volatility tăng lên; khi điều kiện thị trường bình thường trở lại, volatility giảm xuống. Dù ví dụ trên chỉ có tính minh họa, logic này cũng thường xuất hiện trong dữ liệu thực tế của chỉ số chứng khoán, tỷ giá, giá hàng hóa và cổ phiếu riêng lẻ.</w:t>
      </w:r>
    </w:p>
    <w:p>
      <w:pPr>
        <w:pStyle w:val="BodyText"/>
        <w:spacing w:before="60" w:after="60" w:line="276" w:lineRule="auto"/>
        <w:ind w:firstLine="567"/>
        <w:jc w:val="both"/>
      </w:pPr>
      <w:r>
        <w:rPr>
          <w:rFonts w:ascii="Times New Roman" w:hAnsi="Times New Roman" w:eastAsia="Times New Roman"/>
          <w:b/>
          <w:bCs/>
          <w:sz w:val="26"/>
        </w:rPr>
        <w:t xml:space="preserve">Realized volatility</w:t>
      </w:r>
      <w:r>
        <w:rPr>
          <w:rFonts w:ascii="Times New Roman" w:hAnsi="Times New Roman" w:eastAsia="Times New Roman"/>
          <w:sz w:val="26"/>
        </w:rPr>
        <w:t xml:space="preserve"> </w:t>
      </w:r>
      <w:r>
        <w:rPr>
          <w:rFonts w:ascii="Times New Roman" w:hAnsi="Times New Roman" w:eastAsia="Times New Roman"/>
          <w:sz w:val="26"/>
        </w:rPr>
        <w:t xml:space="preserve">thường được xây dựng từ dữ liệu tần suất cao. Nếu một ngày giao dịch được chia thành nhiều khoảng thời gian nhỏ và</w:t>
      </w:r>
      <w:r>
        <w:rPr>
          <w:rFonts w:ascii="Times New Roman" w:hAnsi="Times New Roman" w:eastAsia="Times New Roman"/>
          <w:sz w:val="26"/>
        </w:rPr>
        <w:t xml:space="preserve"> </w:t>
      </w:r>
      <m:oMath>
        <m:sSub>
          <m:e>
            <m:r>
              <m:t>r</m:t>
            </m:r>
          </m:e>
          <m:sub>
            <m:r>
              <m:t>t</m:t>
            </m:r>
            <m:r>
              <m:rPr>
                <m:sty m:val="p"/>
              </m:rPr>
              <m:t>,</m:t>
            </m:r>
            <m:r>
              <m:t>j</m:t>
            </m:r>
          </m:sub>
        </m:sSub>
      </m:oMath>
      <w:r>
        <w:rPr>
          <w:rFonts w:ascii="Times New Roman" w:hAnsi="Times New Roman" w:eastAsia="Times New Roman"/>
          <w:sz w:val="26"/>
        </w:rPr>
        <w:t xml:space="preserve"> </w:t>
      </w:r>
      <w:r>
        <w:rPr>
          <w:rFonts w:ascii="Times New Roman" w:hAnsi="Times New Roman" w:eastAsia="Times New Roman"/>
          <w:sz w:val="26"/>
        </w:rPr>
        <w:t xml:space="preserve">là return trong khoảng thời gian thứ</w:t>
      </w:r>
      <w:r>
        <w:rPr>
          <w:rFonts w:ascii="Times New Roman" w:hAnsi="Times New Roman" w:eastAsia="Times New Roman"/>
          <w:sz w:val="26"/>
        </w:rPr>
        <w:t xml:space="preserve"> </w:t>
      </w:r>
      <m:oMath>
        <m:r>
          <m:t>j</m:t>
        </m:r>
      </m:oMath>
      <w:r>
        <w:rPr>
          <w:rFonts w:ascii="Times New Roman" w:hAnsi="Times New Roman" w:eastAsia="Times New Roman"/>
          <w:sz w:val="26"/>
        </w:rPr>
        <w:t xml:space="preserve"> </w:t>
      </w:r>
      <w:r>
        <w:rPr>
          <w:rFonts w:ascii="Times New Roman" w:hAnsi="Times New Roman" w:eastAsia="Times New Roman"/>
          <w:sz w:val="26"/>
        </w:rPr>
        <w:t xml:space="preserve">của ngày</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realized variance có thể được xấp xỉ bởi tổng bình phương các return trong ngày:</w:t>
      </w:r>
    </w:p>
    <w:p>
      <w:pPr>
        <w:pStyle w:val="BodyText"/>
      </w:pPr>
      <m:oMathPara>
        <m:oMathParaPr>
          <m:jc m:val="center"/>
        </m:oMathParaPr>
        <m:oMath>
          <m:r>
            <m:t>R</m:t>
          </m:r>
          <m:sSub>
            <m:e>
              <m:r>
                <m:t>V</m:t>
              </m:r>
            </m:e>
            <m:sub>
              <m:r>
                <m:t>t</m:t>
              </m:r>
            </m:sub>
          </m:sSub>
          <m:r>
            <m:rPr>
              <m:sty m:val="p"/>
            </m:rPr>
            <m:t>=</m:t>
          </m:r>
          <m:nary>
            <m:naryPr>
              <m:chr m:val="∑"/>
              <m:limLoc m:val="undOvr"/>
              <m:subHide m:val="off"/>
              <m:supHide m:val="off"/>
            </m:naryPr>
            <m:sub>
              <m:r>
                <m:t>j</m:t>
              </m:r>
              <m:r>
                <m:rPr>
                  <m:sty m:val="p"/>
                </m:rPr>
                <m:t>=</m:t>
              </m:r>
              <m:r>
                <m:t>1</m:t>
              </m:r>
            </m:sub>
            <m:sup>
              <m:r>
                <m:t>M</m:t>
              </m:r>
            </m:sup>
            <m:e>
              <m:sSubSup>
                <m:e>
                  <m:r>
                    <m:t>r</m:t>
                  </m:r>
                </m:e>
                <m:sub>
                  <m:r>
                    <m:t>t</m:t>
                  </m:r>
                  <m:r>
                    <m:rPr>
                      <m:sty m:val="p"/>
                    </m:rPr>
                    <m:t>,</m:t>
                  </m:r>
                  <m:r>
                    <m:t>j</m:t>
                  </m:r>
                </m:sub>
                <m:sup>
                  <m:r>
                    <m:t>2</m:t>
                  </m:r>
                </m:sup>
              </m:sSubSup>
            </m:e>
          </m:nary>
          <m:r>
            <m:rPr>
              <m:sty m:val="p"/>
            </m:rPr>
            <m:t>,</m:t>
          </m:r>
          <m:r>
            <m:t>  </m:t>
          </m:r>
          <m:rad>
            <m:radPr>
              <m:degHide m:val="on"/>
            </m:radPr>
            <m:deg/>
            <m:e>
              <m:r>
                <m:t>R</m:t>
              </m:r>
              <m:sSub>
                <m:e>
                  <m:r>
                    <m:t>V</m:t>
                  </m:r>
                </m:e>
                <m:sub>
                  <m:r>
                    <m:t>t</m:t>
                  </m:r>
                </m:sub>
              </m:sSub>
            </m:e>
          </m:rad>
          <m:r>
            <m:rPr>
              <m:nor/>
              <m:sty m:val="p"/>
            </m:rPr>
            <m:t> là realized volatility.</m:t>
          </m:r>
        </m:oMath>
      </m:oMathPara>
    </w:p>
    <w:p>
      <w:pPr>
        <w:pStyle w:val="FirstParagraph"/>
        <w:spacing w:before="60" w:after="60" w:line="276" w:lineRule="auto"/>
        <w:ind w:firstLine="567"/>
        <w:jc w:val="both"/>
      </w:pPr>
      <w:r>
        <w:rPr>
          <w:rFonts w:ascii="Times New Roman" w:hAnsi="Times New Roman" w:eastAsia="Times New Roman"/>
          <w:sz w:val="26"/>
        </w:rPr>
        <w:t xml:space="preserve">Realized volatility có lợi thế là sử dụng nhiều thông tin trong ngày hơn so với return đóng cửa hằng ngày. Tuy nhiên, khi dùng dữ liệu tần suất rất cao, nhà nghiên cứu cần chú ý đến nhiễu vi cấu trúc thị trường, chênh lệch giá mua–bán và giao dịch không đồng bộ</w:t>
      </w:r>
      <w:r>
        <w:rPr>
          <w:rFonts w:ascii="Times New Roman" w:hAnsi="Times New Roman" w:eastAsia="Times New Roman"/>
          <w:sz w:val="26"/>
        </w:rPr>
        <w:t xml:space="preserve"> </w:t>
      </w:r>
      <w:r>
        <w:rPr>
          <w:rFonts w:ascii="Times New Roman" w:hAnsi="Times New Roman" w:eastAsia="Times New Roman"/>
          <w:sz w:val="26"/>
        </w:rPr>
        <w:t xml:space="preserve">(Tsay, 2010)</w:t>
      </w:r>
      <w:r>
        <w:rPr>
          <w:rFonts w:ascii="Times New Roman" w:hAnsi="Times New Roman" w:eastAsia="Times New Roman"/>
          <w:sz w:val="26"/>
        </w:rPr>
        <w:t xml:space="preserve">. Trong khuôn khổ nhập môn của chương này, realized volatility được xem như một thước đo thực nghiệm quan trọng, đặc biệt hữu ích khi đánh giá độ chính xác của các mô hình dự báo volatility.</w:t>
      </w:r>
    </w:p>
    <w:p>
      <w:pPr>
        <w:pStyle w:val="BodyText"/>
        <w:spacing w:before="60" w:after="60" w:line="276" w:lineRule="auto"/>
        <w:ind w:firstLine="567"/>
        <w:jc w:val="both"/>
      </w:pPr>
      <w:r>
        <w:rPr>
          <w:rFonts w:ascii="Times New Roman" w:hAnsi="Times New Roman" w:eastAsia="Times New Roman"/>
          <w:b/>
          <w:bCs/>
          <w:sz w:val="26"/>
        </w:rPr>
        <w:t xml:space="preserve">Implied volatility</w:t>
      </w:r>
      <w:r>
        <w:rPr>
          <w:rFonts w:ascii="Times New Roman" w:hAnsi="Times New Roman" w:eastAsia="Times New Roman"/>
          <w:sz w:val="26"/>
        </w:rPr>
        <w:t xml:space="preserve"> </w:t>
      </w:r>
      <w:r>
        <w:rPr>
          <w:rFonts w:ascii="Times New Roman" w:hAnsi="Times New Roman" w:eastAsia="Times New Roman"/>
          <w:sz w:val="26"/>
        </w:rPr>
        <w:t xml:space="preserve">là volatility hàm ý từ giá quyền chọn. Khác với historical volatility và realized volatility, implied volatility không được tính trực tiếp từ chuỗi return quá khứ mà được suy ra từ giá quyền chọn quan sát trên thị trường thông qua một mô hình định giá, chẳng hạn mô hình Black–Scholes. Vì giá quyền chọn phản ánh kỳ vọng và tâm lý thị trường, implied volatility thường được xem là thước đo hướng về tương lai. Tuy nhiên, việc sử dụng implied volatility phụ thuộc vào sự tồn tại của thị trường quyền chọn đủ thanh khoản; điều này có thể là hạn chế trong các thị trường mới nổi.</w:t>
      </w:r>
    </w:p>
    <w:p>
      <w:pPr>
        <w:pStyle w:val="BodyText"/>
        <w:spacing w:before="60" w:after="60" w:line="276" w:lineRule="auto"/>
        <w:ind w:firstLine="567"/>
        <w:jc w:val="both"/>
      </w:pPr>
      <w:r>
        <w:rPr>
          <w:rFonts w:ascii="Times New Roman" w:hAnsi="Times New Roman" w:eastAsia="Times New Roman"/>
          <w:b/>
          <w:bCs/>
          <w:sz w:val="26"/>
        </w:rPr>
        <w:t xml:space="preserve">Conditional volatility</w:t>
      </w:r>
      <w:r>
        <w:rPr>
          <w:rFonts w:ascii="Times New Roman" w:hAnsi="Times New Roman" w:eastAsia="Times New Roman"/>
          <w:sz w:val="26"/>
        </w:rPr>
        <w:t xml:space="preserve"> </w:t>
      </w:r>
      <w:r>
        <w:rPr>
          <w:rFonts w:ascii="Times New Roman" w:hAnsi="Times New Roman" w:eastAsia="Times New Roman"/>
          <w:sz w:val="26"/>
        </w:rPr>
        <w:t xml:space="preserve">là volatility có điều kiện theo thông tin quá khứ. Đây là khái niệm trung tâm trong các mô hình ARCH/GARCH. Thay vì giả định volatility cố định, các mô hình này cho phép</w:t>
      </w:r>
      <w:r>
        <w:rPr>
          <w:rFonts w:ascii="Times New Roman" w:hAnsi="Times New Roman" w:eastAsia="Times New Roman"/>
          <w:sz w:val="26"/>
        </w:rPr>
        <w:t xml:space="preserve"> </w:t>
      </w:r>
      <m:oMath>
        <m:sSubSup>
          <m:e>
            <m:r>
              <m:t>σ</m:t>
            </m:r>
          </m:e>
          <m:sub>
            <m:r>
              <m:t>t</m:t>
            </m:r>
          </m:sub>
          <m:sup>
            <m:r>
              <m:t>2</m:t>
            </m:r>
          </m:sup>
        </m:sSubSup>
      </m:oMath>
      <w:r>
        <w:rPr>
          <w:rFonts w:ascii="Times New Roman" w:hAnsi="Times New Roman" w:eastAsia="Times New Roman"/>
          <w:sz w:val="26"/>
        </w:rPr>
        <w:t xml:space="preserve"> </w:t>
      </w:r>
      <w:r>
        <w:rPr>
          <w:rFonts w:ascii="Times New Roman" w:hAnsi="Times New Roman" w:eastAsia="Times New Roman"/>
          <w:sz w:val="26"/>
        </w:rPr>
        <w:t xml:space="preserve">thay đổi theo thời gian và phụ thuộc vào các cú sốc trong quá khứ cũng như volatility quá khứ. Điều này làm cho mô hình phù hợp hơn với đặc điểm thực nghiệm của dữ liệu tài chính, đặc biệt là hiện tượng volatility clustering.</w:t>
      </w:r>
    </w:p>
    <w:bookmarkEnd w:id="50"/>
    <w:bookmarkStart w:id="52" w:name="sec-volatility-clustering-garch"/>
    <w:p>
      <w:pPr>
        <w:pStyle w:val="Heading3"/>
        <w:spacing w:before="120" w:after="120" w:line="276" w:lineRule="auto"/>
        <w:ind w:firstLine="0"/>
        <w:jc w:val="left"/>
      </w:pPr>
      <w:r>
        <w:rPr>
          <w:rFonts w:ascii="Times New Roman" w:hAnsi="Times New Roman" w:eastAsia="Times New Roman"/>
          <w:b/>
          <w:i w:val="0"/>
          <w:sz w:val="26"/>
        </w:rPr>
        <w:t xml:space="preserve">1.5.2 Từ volatility clustering đến mô hình ARCH/GARCH</w:t>
      </w:r>
    </w:p>
    <w:p>
      <w:pPr>
        <w:pStyle w:val="FirstParagraph"/>
        <w:spacing w:before="60" w:after="60" w:line="276" w:lineRule="auto"/>
        <w:ind w:firstLine="567"/>
        <w:jc w:val="both"/>
      </w:pPr>
      <w:r>
        <w:rPr>
          <w:rFonts w:ascii="Times New Roman" w:hAnsi="Times New Roman" w:eastAsia="Times New Roman"/>
          <w:sz w:val="26"/>
        </w:rPr>
        <w:t xml:space="preserve">Ở tiểu mục trước, chương đã chỉ ra rằng nhiều chuỗi tỷ lệ sinh lời tài chính không có tự tương quan tuyến tính rõ rệt, nhưng bình phương tỷ lệ sinh lời hoặc giá trị tuyệt đối của tỷ lệ sinh lời lại có thể có tự tương quan đáng kể. Đây là biểu hiện thực nghiệm của</w:t>
      </w:r>
      <w:r>
        <w:rPr>
          <w:rFonts w:ascii="Times New Roman" w:hAnsi="Times New Roman" w:eastAsia="Times New Roman"/>
          <w:sz w:val="26"/>
        </w:rPr>
        <w:t xml:space="preserve"> </w:t>
      </w:r>
      <w:r>
        <w:rPr>
          <w:rFonts w:ascii="Times New Roman" w:hAnsi="Times New Roman" w:eastAsia="Times New Roman"/>
          <w:b/>
          <w:bCs/>
          <w:sz w:val="26"/>
        </w:rPr>
        <w:t xml:space="preserve">volatility clustering</w:t>
      </w:r>
      <w:r>
        <w:rPr>
          <w:rFonts w:ascii="Times New Roman" w:hAnsi="Times New Roman" w:eastAsia="Times New Roman"/>
          <w:sz w:val="26"/>
        </w:rPr>
        <w:t xml:space="preserve">: các giai đoạn biến động mạnh thường đi cùng nhau, và các giai đoạn biến động thấp cũng có xu hướng kéo dài.</w:t>
      </w:r>
    </w:p>
    <w:p>
      <w:pPr>
        <w:pStyle w:val="BodyText"/>
        <w:spacing w:before="60" w:after="60" w:line="276" w:lineRule="auto"/>
        <w:ind w:firstLine="567"/>
        <w:jc w:val="both"/>
      </w:pPr>
      <w:r>
        <w:rPr>
          <w:rFonts w:ascii="Times New Roman" w:hAnsi="Times New Roman" w:eastAsia="Times New Roman"/>
          <w:sz w:val="26"/>
        </w:rPr>
        <w:t xml:space="preserve">Hiện tượng này có hàm ý rất quan trọng. Nếu volatility clustering tồn tại, giả định phương sai không đổi trở nên không phù hợp. Khi đó, việc sử dụng một độ lệch chuẩn cố định cho toàn bộ mẫu có thể làm sai lệch đánh giá rủi ro. Cụ thể, trong giai đoạn thị trường ổn định, mô hình dùng volatility cố định có thể đánh giá rủi ro quá cao; ngược lại, trong giai đoạn thị trường căng thẳng, mô hình có thể đánh giá rủi ro quá thấp. Đây là vấn đề đặc biệt nghiêm trọng trong tính VaR, vì VaR cần phản ánh rủi ro tại thời điểm hiện tại, không chỉ rủi ro trung bình trong quá khứ.</w:t>
      </w:r>
    </w:p>
    <w:p>
      <w:pPr>
        <w:pStyle w:val="BodyText"/>
        <w:spacing w:before="60" w:after="60" w:line="276" w:lineRule="auto"/>
        <w:ind w:firstLine="567"/>
        <w:jc w:val="both"/>
      </w:pPr>
      <w:r>
        <w:rPr>
          <w:rFonts w:ascii="Times New Roman" w:hAnsi="Times New Roman" w:eastAsia="Times New Roman"/>
          <w:sz w:val="26"/>
        </w:rPr>
        <w:t xml:space="preserve">Các mô hình ARCH và GARCH được phát triển để giải quyết vấn đề này. Ý tưởng cốt lõi của mô hình ARCH là phương sai có điều kiện tại thời điểm hiện tại phụ thuộc vào bình phương cú sốc trong quá khứ</w:t>
      </w:r>
      <w:r>
        <w:rPr>
          <w:rFonts w:ascii="Times New Roman" w:hAnsi="Times New Roman" w:eastAsia="Times New Roman"/>
          <w:sz w:val="26"/>
        </w:rPr>
        <w:t xml:space="preserve"> </w:t>
      </w:r>
      <w:r>
        <w:rPr>
          <w:rFonts w:ascii="Times New Roman" w:hAnsi="Times New Roman" w:eastAsia="Times New Roman"/>
          <w:sz w:val="26"/>
        </w:rPr>
        <w:t xml:space="preserve">(Engle, 1982)</w:t>
      </w:r>
      <w:r>
        <w:rPr>
          <w:rFonts w:ascii="Times New Roman" w:hAnsi="Times New Roman" w:eastAsia="Times New Roman"/>
          <w:sz w:val="26"/>
        </w:rPr>
        <w:t xml:space="preserve">. Mô hình GARCH mở rộng ý tưởng này bằng cách cho phép phương sai có điều kiện phụ thuộc đồng thời vào bình phương cú sốc quá khứ và chính phương sai có điều kiện quá khứ</w:t>
      </w:r>
      <w:r>
        <w:rPr>
          <w:rFonts w:ascii="Times New Roman" w:hAnsi="Times New Roman" w:eastAsia="Times New Roman"/>
          <w:sz w:val="26"/>
        </w:rPr>
        <w:t xml:space="preserve"> </w:t>
      </w:r>
      <w:r>
        <w:rPr>
          <w:rFonts w:ascii="Times New Roman" w:hAnsi="Times New Roman" w:eastAsia="Times New Roman"/>
          <w:sz w:val="26"/>
        </w:rPr>
        <w:t xml:space="preserve">(Bollerslev, 1986)</w:t>
      </w:r>
      <w:r>
        <w:rPr>
          <w:rFonts w:ascii="Times New Roman" w:hAnsi="Times New Roman" w:eastAsia="Times New Roman"/>
          <w:sz w:val="26"/>
        </w:rPr>
        <w:t xml:space="preserve">. Dạng GARCH(1,1) thường được viết như sau:</w:t>
      </w:r>
    </w:p>
    <w:p>
      <w:pPr>
        <w:pStyle w:val="BodyText"/>
      </w:pPr>
      <m:oMathPara>
        <m:oMathParaPr>
          <m:jc m:val="center"/>
        </m:oMathParaPr>
        <m:oMath>
          <m:sSubSup>
            <m:e>
              <m:r>
                <m:t>σ</m:t>
              </m:r>
            </m:e>
            <m:sub>
              <m:r>
                <m:t>t</m:t>
              </m:r>
            </m:sub>
            <m:sup>
              <m:r>
                <m:t>2</m:t>
              </m:r>
            </m:sup>
          </m:sSubSup>
          <m:r>
            <m:rPr>
              <m:sty m:val="p"/>
            </m:rPr>
            <m:t>=</m:t>
          </m:r>
          <m:r>
            <m:t>ω</m:t>
          </m:r>
          <m:r>
            <m:rPr>
              <m:sty m:val="p"/>
            </m:rPr>
            <m:t>+</m:t>
          </m:r>
          <m:r>
            <m:t>α</m:t>
          </m:r>
          <m:sSubSup>
            <m:e>
              <m:r>
                <m:t>ε</m:t>
              </m:r>
            </m:e>
            <m:sub>
              <m:r>
                <m:t>t</m:t>
              </m:r>
              <m:r>
                <m:rPr>
                  <m:sty m:val="p"/>
                </m:rPr>
                <m:t>−</m:t>
              </m:r>
              <m:r>
                <m:t>1</m:t>
              </m:r>
            </m:sub>
            <m:sup>
              <m:r>
                <m:t>2</m:t>
              </m:r>
            </m:sup>
          </m:sSubSup>
          <m:r>
            <m:rPr>
              <m:sty m:val="p"/>
            </m:rPr>
            <m:t>+</m:t>
          </m:r>
          <m:r>
            <m:t>β</m:t>
          </m:r>
          <m:sSubSup>
            <m:e>
              <m:r>
                <m:t>σ</m:t>
              </m:r>
            </m:e>
            <m:sub>
              <m:r>
                <m:t>t</m:t>
              </m:r>
              <m:r>
                <m:rPr>
                  <m:sty m:val="p"/>
                </m:rPr>
                <m:t>−</m:t>
              </m:r>
              <m:r>
                <m:t>1</m:t>
              </m:r>
            </m:sub>
            <m:sup>
              <m:r>
                <m:t>2</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r>
          <m:t>ω</m:t>
        </m:r>
        <m:r>
          <m:rPr>
            <m:sty m:val="p"/>
          </m:rPr>
          <m:t>&gt;</m:t>
        </m:r>
        <m:r>
          <m:t>0</m:t>
        </m:r>
      </m:oMath>
      <w:r>
        <w:rPr>
          <w:rFonts w:ascii="Times New Roman" w:hAnsi="Times New Roman" w:eastAsia="Times New Roman"/>
          <w:sz w:val="26"/>
        </w:rPr>
        <w:t xml:space="preserve">,</w:t>
      </w:r>
      <w:r>
        <w:rPr>
          <w:rFonts w:ascii="Times New Roman" w:hAnsi="Times New Roman" w:eastAsia="Times New Roman"/>
          <w:sz w:val="26"/>
        </w:rPr>
        <w:t xml:space="preserve"> </w:t>
      </w:r>
      <m:oMath>
        <m:r>
          <m:t>α</m:t>
        </m:r>
        <m:r>
          <m:rPr>
            <m:sty m:val="p"/>
          </m:rPr>
          <m:t>≥</m:t>
        </m:r>
        <m:r>
          <m:t>0</m:t>
        </m:r>
      </m:oMath>
      <w:r>
        <w:rPr>
          <w:rFonts w:ascii="Times New Roman" w:hAnsi="Times New Roman" w:eastAsia="Times New Roman"/>
          <w:sz w:val="26"/>
        </w:rPr>
        <w:t xml:space="preserve">,</w:t>
      </w:r>
      <w:r>
        <w:rPr>
          <w:rFonts w:ascii="Times New Roman" w:hAnsi="Times New Roman" w:eastAsia="Times New Roman"/>
          <w:sz w:val="26"/>
        </w:rPr>
        <w:t xml:space="preserve"> </w:t>
      </w:r>
      <m:oMath>
        <m:r>
          <m:t>β</m:t>
        </m:r>
        <m:r>
          <m:rPr>
            <m:sty m:val="p"/>
          </m:rPr>
          <m:t>≥</m:t>
        </m:r>
        <m:r>
          <m:t>0</m:t>
        </m:r>
      </m:oMath>
      <w:r>
        <w:rPr>
          <w:rFonts w:ascii="Times New Roman" w:hAnsi="Times New Roman" w:eastAsia="Times New Roman"/>
          <w:sz w:val="26"/>
        </w:rPr>
        <w:t xml:space="preserve">. Thành phần</w:t>
      </w:r>
      <w:r>
        <w:rPr>
          <w:rFonts w:ascii="Times New Roman" w:hAnsi="Times New Roman" w:eastAsia="Times New Roman"/>
          <w:sz w:val="26"/>
        </w:rPr>
        <w:t xml:space="preserve"> </w:t>
      </w:r>
      <m:oMath>
        <m:sSubSup>
          <m:e>
            <m:r>
              <m:t>ε</m:t>
            </m:r>
          </m:e>
          <m:sub>
            <m:r>
              <m:t>t</m:t>
            </m:r>
            <m:r>
              <m:rPr>
                <m:sty m:val="p"/>
              </m:rPr>
              <m:t>−</m:t>
            </m:r>
            <m:r>
              <m:t>1</m:t>
            </m:r>
          </m:sub>
          <m:sup>
            <m:r>
              <m:t>2</m:t>
            </m:r>
          </m:sup>
        </m:sSubSup>
      </m:oMath>
      <w:r>
        <w:rPr>
          <w:rFonts w:ascii="Times New Roman" w:hAnsi="Times New Roman" w:eastAsia="Times New Roman"/>
          <w:sz w:val="26"/>
        </w:rPr>
        <w:t xml:space="preserve"> </w:t>
      </w:r>
      <w:r>
        <w:rPr>
          <w:rFonts w:ascii="Times New Roman" w:hAnsi="Times New Roman" w:eastAsia="Times New Roman"/>
          <w:sz w:val="26"/>
        </w:rPr>
        <w:t xml:space="preserve">phản ánh tác động của cú sốc mới trong quá khứ gần, còn</w:t>
      </w:r>
      <w:r>
        <w:rPr>
          <w:rFonts w:ascii="Times New Roman" w:hAnsi="Times New Roman" w:eastAsia="Times New Roman"/>
          <w:sz w:val="26"/>
        </w:rPr>
        <w:t xml:space="preserve"> </w:t>
      </w:r>
      <m:oMath>
        <m:sSubSup>
          <m:e>
            <m:r>
              <m:t>σ</m:t>
            </m:r>
          </m:e>
          <m:sub>
            <m:r>
              <m:t>t</m:t>
            </m:r>
            <m:r>
              <m:rPr>
                <m:sty m:val="p"/>
              </m:rPr>
              <m:t>−</m:t>
            </m:r>
            <m:r>
              <m:t>1</m:t>
            </m:r>
          </m:sub>
          <m:sup>
            <m:r>
              <m:t>2</m:t>
            </m:r>
          </m:sup>
        </m:sSubSup>
      </m:oMath>
      <w:r>
        <w:rPr>
          <w:rFonts w:ascii="Times New Roman" w:hAnsi="Times New Roman" w:eastAsia="Times New Roman"/>
          <w:sz w:val="26"/>
        </w:rPr>
        <w:t xml:space="preserve"> </w:t>
      </w:r>
      <w:r>
        <w:rPr>
          <w:rFonts w:ascii="Times New Roman" w:hAnsi="Times New Roman" w:eastAsia="Times New Roman"/>
          <w:sz w:val="26"/>
        </w:rPr>
        <w:t xml:space="preserve">phản ánh tính dai dẳng của volatility. Nếu</w:t>
      </w:r>
      <w:r>
        <w:rPr>
          <w:rFonts w:ascii="Times New Roman" w:hAnsi="Times New Roman" w:eastAsia="Times New Roman"/>
          <w:sz w:val="26"/>
        </w:rPr>
        <w:t xml:space="preserve"> </w:t>
      </w:r>
      <m:oMath>
        <m:r>
          <m:t>α</m:t>
        </m:r>
        <m:r>
          <m:rPr>
            <m:sty m:val="p"/>
          </m:rPr>
          <m:t>+</m:t>
        </m:r>
        <m:r>
          <m:t>β</m:t>
        </m:r>
      </m:oMath>
      <w:r>
        <w:rPr>
          <w:rFonts w:ascii="Times New Roman" w:hAnsi="Times New Roman" w:eastAsia="Times New Roman"/>
          <w:sz w:val="26"/>
        </w:rPr>
        <w:t xml:space="preserve"> </w:t>
      </w:r>
      <w:r>
        <w:rPr>
          <w:rFonts w:ascii="Times New Roman" w:hAnsi="Times New Roman" w:eastAsia="Times New Roman"/>
          <w:sz w:val="26"/>
        </w:rPr>
        <w:t xml:space="preserve">lớn, cú sốc volatility có xu hướng kéo dài, tức là rủi ro thị trường có tính bền vững cao.</w:t>
      </w:r>
    </w:p>
    <w:p>
      <w:pPr>
        <w:pStyle w:val="BodyText"/>
        <w:spacing w:before="60" w:after="60" w:line="276" w:lineRule="auto"/>
        <w:ind w:firstLine="567"/>
        <w:jc w:val="both"/>
      </w:pPr>
      <w:r>
        <w:rPr>
          <w:rFonts w:ascii="Times New Roman" w:hAnsi="Times New Roman" w:eastAsia="Times New Roman"/>
          <w:sz w:val="26"/>
        </w:rPr>
        <w:t xml:space="preserve">Ở mức nhập môn, có thể hiểu GARCH như một cơ chế cập nhật rủi ro: sau một ngày thị trường biến động mạnh, mô hình sẽ điều chỉnh volatility dự báo cho ngày tiếp theo lên cao hơn; sau một giai đoạn thị trường ổn định, volatility dự báo sẽ giảm dần. Chính nhờ đặc điểm này, GARCH trở thành một trong những mô hình nền tảng trong dự báo volatility và tính VaR có điều kiện.</w:t>
      </w:r>
    </w:p>
    <w:p>
      <w:pPr>
        <w:pStyle w:val="BodyText"/>
        <w:spacing w:before="60" w:after="60" w:line="240" w:lineRule="auto"/>
        <w:ind w:firstLine="0"/>
        <w:jc w:val="center"/>
      </w:pPr>
      <w:r>
        <w:rPr>
          <w:rFonts w:ascii="Times New Roman" w:hAnsi="Times New Roman" w:eastAsia="Times New Roman"/>
          <w:b/>
          <w:i w:val="0"/>
          <w:sz w:val="24"/>
        </w:rPr>
        <w:t>Bảng 8 tóm tắt mối liên hệ giữa đặc điểm dữ liệu, cách đo lường volatility và hàm ý đối với mô hình VaR.</w:t>
      </w:r>
    </w:p>
    <w:tbl>
      <w:tblPr>
        <w:tblStyle w:val="Table"/>
        <w:tblW w:type="pct" w:w="5000"/>
        <w:tblLayout w:type="fixed"/>
        <w:tblLook w:firstRow="0" w:lastRow="0" w:firstColumn="0" w:lastColumn="0" w:noHBand="0" w:noVBand="0" w:val="0000"/>
      </w:tblPr>
      <w:tblGrid>
        <w:gridCol w:w="7920"/>
      </w:tblGrid>
      <w:tr>
        <w:tc>
          <w:tcPr>
            <w:vAlign w:val="center"/>
          </w:tcPr>
          <w:bookmarkStart w:id="51" w:name="tbl-volatility-to-var"/>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8: Từ đặc điểm volatility đến lựa chọn mô hình rủi ro</w:t>
            </w:r>
          </w:p>
          <w:tbl>
            <w:tblPr>
              <w:tblStyle w:val="Table"/>
              <w:tblW w:type="pct" w:w="5000"/>
              <w:tblLayout w:type="fixed"/>
              <w:tblLook w:firstRow="1" w:lastRow="0" w:firstColumn="0" w:lastColumn="0" w:noHBand="0" w:noVBand="0" w:val="0020"/>
            </w:tblPr>
            <w:tblGrid>
              <w:gridCol w:w="1560"/>
              <w:gridCol w:w="2080"/>
              <w:gridCol w:w="2240"/>
              <w:gridCol w:w="2040"/>
            </w:tblGrid>
            <w:tr>
              <w:trPr>
                <w:tblHeader w:val="on"/>
              </w:trPr>
              <w:tc>
                <w:tcPr/>
                <w:p>
                  <w:pPr>
                    <w:pStyle w:val="Compact"/>
                    <w:jc w:val="left"/>
                    <w:jc w:val="center"/>
                  </w:pPr>
                  <w:r>
                    <w:t xml:space="preserve">Đặc điểm quan sát được</w:t>
                  </w:r>
                </w:p>
              </w:tc>
              <w:tc>
                <w:tcPr/>
                <w:p>
                  <w:pPr>
                    <w:pStyle w:val="Compact"/>
                    <w:jc w:val="left"/>
                    <w:jc w:val="center"/>
                  </w:pPr>
                  <w:r>
                    <w:t xml:space="preserve">Công cụ nhận diện</w:t>
                  </w:r>
                </w:p>
              </w:tc>
              <w:tc>
                <w:tcPr/>
                <w:p>
                  <w:pPr>
                    <w:pStyle w:val="Compact"/>
                    <w:jc w:val="left"/>
                    <w:jc w:val="center"/>
                  </w:pPr>
                  <w:r>
                    <w:t xml:space="preserve">Hàm ý về volatility</w:t>
                  </w:r>
                </w:p>
              </w:tc>
              <w:tc>
                <w:tcPr/>
                <w:p>
                  <w:pPr>
                    <w:pStyle w:val="Compact"/>
                    <w:jc w:val="left"/>
                    <w:jc w:val="center"/>
                  </w:pPr>
                  <w:r>
                    <w:t xml:space="preserve">Hàm ý đối với VaR</w:t>
                  </w:r>
                </w:p>
              </w:tc>
            </w:tr>
            <w:tr>
              <w:tc>
                <w:tcPr/>
                <w:p>
                  <w:pPr>
                    <w:pStyle w:val="Compact"/>
                    <w:jc w:val="left"/>
                    <w:jc w:val="center"/>
                  </w:pPr>
                  <w:r>
                    <w:t xml:space="preserve">Return dao động quanh trung bình gần 0</w:t>
                  </w:r>
                </w:p>
              </w:tc>
              <w:tc>
                <w:tcPr/>
                <w:p>
                  <w:pPr>
                    <w:pStyle w:val="Compact"/>
                    <w:jc w:val="left"/>
                    <w:jc w:val="center"/>
                  </w:pPr>
                  <w:r>
                    <w:t xml:space="preserve">Đồ thị chuỗi return, thống kê mô tả</w:t>
                  </w:r>
                </w:p>
              </w:tc>
              <w:tc>
                <w:tcPr/>
                <w:p>
                  <w:pPr>
                    <w:pStyle w:val="Compact"/>
                    <w:jc w:val="left"/>
                    <w:jc w:val="center"/>
                  </w:pPr>
                  <w:r>
                    <w:t xml:space="preserve">Mean có thể đơn giản nhưng variance vẫn cần mô hình hóa</w:t>
                  </w:r>
                </w:p>
              </w:tc>
              <w:tc>
                <w:tcPr/>
                <w:p>
                  <w:pPr>
                    <w:pStyle w:val="Compact"/>
                    <w:jc w:val="left"/>
                    <w:jc w:val="center"/>
                  </w:pPr>
                  <w:r>
                    <w:t xml:space="preserve">VaR thường phụ thuộc nhiều vào volatility hơn mean</w:t>
                  </w:r>
                </w:p>
              </w:tc>
            </w:tr>
            <w:tr>
              <w:tc>
                <w:tcPr/>
                <w:p>
                  <w:pPr>
                    <w:pStyle w:val="Compact"/>
                    <w:jc w:val="left"/>
                    <w:jc w:val="center"/>
                  </w:pPr>
                  <w:r>
                    <w:t xml:space="preserve">Return không chuẩn, có đuôi dày</w:t>
                  </w:r>
                </w:p>
              </w:tc>
              <w:tc>
                <w:tcPr/>
                <w:p>
                  <w:pPr>
                    <w:pStyle w:val="Compact"/>
                    <w:jc w:val="left"/>
                    <w:jc w:val="center"/>
                  </w:pPr>
                  <w:r>
                    <w:t xml:space="preserve">Histogram, Q–Q plot, JB, AD, Lilliefors</w:t>
                  </w:r>
                </w:p>
              </w:tc>
              <w:tc>
                <w:tcPr/>
                <w:p>
                  <w:pPr>
                    <w:pStyle w:val="Compact"/>
                    <w:jc w:val="left"/>
                    <w:jc w:val="center"/>
                  </w:pPr>
                  <w:r>
                    <w:t xml:space="preserve">Cần xem xét phân phối sai số khác chuẩn</w:t>
                  </w:r>
                </w:p>
              </w:tc>
              <w:tc>
                <w:tcPr/>
                <w:p>
                  <w:pPr>
                    <w:pStyle w:val="Compact"/>
                    <w:jc w:val="left"/>
                    <w:jc w:val="center"/>
                  </w:pPr>
                  <w:r>
                    <w:t xml:space="preserve">VaR chuẩn có thể đánh giá thấp tail risk</w:t>
                  </w:r>
                </w:p>
              </w:tc>
            </w:tr>
            <w:tr>
              <w:tc>
                <w:tcPr/>
                <w:p>
                  <w:pPr>
                    <w:pStyle w:val="Compact"/>
                    <w:jc w:val="left"/>
                    <w:jc w:val="center"/>
                  </w:pPr>
                  <w:r>
                    <w:t xml:space="preserve">Return ít tự tương quan</w:t>
                  </w:r>
                </w:p>
              </w:tc>
              <w:tc>
                <w:tcPr/>
                <w:p>
                  <w:pPr>
                    <w:pStyle w:val="Compact"/>
                    <w:jc w:val="left"/>
                    <w:jc w:val="center"/>
                  </w:pPr>
                  <w:r>
                    <w:t xml:space="preserve">ACF/PACF và Ljung–Box trên return</w:t>
                  </w:r>
                </w:p>
              </w:tc>
              <w:tc>
                <w:tcPr/>
                <w:p>
                  <w:pPr>
                    <w:pStyle w:val="Compact"/>
                    <w:jc w:val="left"/>
                    <w:jc w:val="center"/>
                  </w:pPr>
                  <w:r>
                    <w:t xml:space="preserve">Mean return khó dự báo tuyến tính</w:t>
                  </w:r>
                </w:p>
              </w:tc>
              <w:tc>
                <w:tcPr/>
                <w:p>
                  <w:pPr>
                    <w:pStyle w:val="Compact"/>
                    <w:jc w:val="left"/>
                    <w:jc w:val="center"/>
                  </w:pPr>
                  <w:r>
                    <w:t xml:space="preserve">Mean model có thể đơn giản</w:t>
                  </w:r>
                </w:p>
              </w:tc>
            </w:tr>
            <w:tr>
              <w:tc>
                <w:tcPr/>
                <w:p>
                  <w:pPr>
                    <w:pStyle w:val="Compact"/>
                    <w:jc w:val="left"/>
                    <w:jc w:val="center"/>
                  </w:pPr>
                  <w:r>
                    <w:t xml:space="preserve">Squared return có tự tương quan</w:t>
                  </w:r>
                </w:p>
              </w:tc>
              <w:tc>
                <w:tcPr/>
                <w:p>
                  <w:pPr>
                    <w:pStyle w:val="Compact"/>
                    <w:jc w:val="left"/>
                    <w:jc w:val="center"/>
                  </w:pPr>
                  <w:r>
                    <w:t xml:space="preserve">Ljung–Box trên squared return hoặc absolute return</w:t>
                  </w:r>
                </w:p>
              </w:tc>
              <w:tc>
                <w:tcPr/>
                <w:p>
                  <w:pPr>
                    <w:pStyle w:val="Compact"/>
                    <w:jc w:val="left"/>
                    <w:jc w:val="center"/>
                  </w:pPr>
                  <w:r>
                    <w:t xml:space="preserve">Có dấu hiệu volatility clustering</w:t>
                  </w:r>
                </w:p>
              </w:tc>
              <w:tc>
                <w:tcPr/>
                <w:p>
                  <w:pPr>
                    <w:pStyle w:val="Compact"/>
                    <w:jc w:val="left"/>
                    <w:jc w:val="center"/>
                  </w:pPr>
                  <w:r>
                    <w:t xml:space="preserve">VaR nên thay đổi theo thời gian</w:t>
                  </w:r>
                </w:p>
              </w:tc>
            </w:tr>
            <w:tr>
              <w:tc>
                <w:tcPr/>
                <w:p>
                  <w:pPr>
                    <w:pStyle w:val="Compact"/>
                    <w:jc w:val="left"/>
                    <w:jc w:val="center"/>
                  </w:pPr>
                  <w:r>
                    <w:t xml:space="preserve">Có hiệu ứng ARCH</w:t>
                  </w:r>
                </w:p>
              </w:tc>
              <w:tc>
                <w:tcPr/>
                <w:p>
                  <w:pPr>
                    <w:pStyle w:val="Compact"/>
                    <w:jc w:val="left"/>
                    <w:jc w:val="center"/>
                  </w:pPr>
                  <w:r>
                    <w:t xml:space="preserve">ARCH-LM test</w:t>
                  </w:r>
                </w:p>
              </w:tc>
              <w:tc>
                <w:tcPr/>
                <w:p>
                  <w:pPr>
                    <w:pStyle w:val="Compact"/>
                    <w:jc w:val="left"/>
                    <w:jc w:val="center"/>
                  </w:pPr>
                  <w:r>
                    <w:t xml:space="preserve">Cần mô hình phương sai có điều kiện</w:t>
                  </w:r>
                </w:p>
              </w:tc>
              <w:tc>
                <w:tcPr/>
                <w:p>
                  <w:pPr>
                    <w:pStyle w:val="Compact"/>
                    <w:jc w:val="left"/>
                    <w:jc w:val="center"/>
                  </w:pPr>
                  <w:r>
                    <w:t xml:space="preserve">GARCH-based VaR có cơ sở thực nghiệm hơn</w:t>
                  </w:r>
                </w:p>
              </w:tc>
            </w:tr>
          </w:tbl>
          <w:bookmarkEnd w:id="51"/>
          <w:p>
            <w:pPr>
              <w:spacing w:before="0" w:after="0" w:line="240" w:lineRule="auto"/>
              <w:ind w:firstLine="0"/>
              <w:jc w:val="center"/>
            </w:pPr>
          </w:p>
        </w:tc>
      </w:tr>
    </w:tbl>
    <w:p>
      <w:pPr>
        <w:pStyle w:val="BodyText"/>
        <w:spacing w:before="60" w:after="60" w:line="276" w:lineRule="auto"/>
        <w:ind w:firstLine="567"/>
        <w:jc w:val="both"/>
      </w:pPr>
      <w:r>
        <w:rPr>
          <w:rFonts w:ascii="Times New Roman" w:hAnsi="Times New Roman" w:eastAsia="Times New Roman"/>
          <w:sz w:val="26"/>
        </w:rPr>
        <w:t xml:space="preserve">Tóm lại, volatility là cầu nối giữa phân tích tỷ lệ sinh lời và đo lường rủi ro thị trường. Nếu chỉ dừng lại ở phân tích mean return, nhà nghiên cứu sẽ bỏ qua phần quan trọng nhất của rủi ro tài chính: mức độ và sự thay đổi của bất định theo thời gian. Trong các chương tiếp theo, các mô hình volatility sẽ được phát triển chi tiết hơn, bắt đầu từ historical volatility, EWMA, ARCH/GARCH, sau đó mở rộng sang các mô hình bất đối xứng và các ứng dụng trong tính VaR.</w:t>
      </w:r>
    </w:p>
    <w:bookmarkEnd w:id="52"/>
    <w:bookmarkEnd w:id="53"/>
    <w:bookmarkStart w:id="109" w:name="X66e12f1e3bfcde8b0fbb801aa960fcd00b74a73"/>
    <w:p>
      <w:pPr>
        <w:pStyle w:val="Heading2"/>
        <w:spacing w:before="120" w:after="120" w:line="276" w:lineRule="auto"/>
        <w:ind w:firstLine="0"/>
        <w:jc w:val="left"/>
      </w:pPr>
      <w:r>
        <w:rPr>
          <w:rFonts w:ascii="Times New Roman" w:hAnsi="Times New Roman" w:eastAsia="Times New Roman"/>
          <w:b/>
          <w:i w:val="0"/>
          <w:sz w:val="26"/>
        </w:rPr>
        <w:t>1.6 GIÁ TRỊ CHỊU RỦI RO TRONG ĐO LƯỜNG RỦI RO THỊ TRƯỜNG</w:t>
      </w:r>
    </w:p>
    <w:p>
      <w:pPr>
        <w:pStyle w:val="FirstParagraph"/>
        <w:spacing w:before="60" w:after="60" w:line="276" w:lineRule="auto"/>
        <w:ind w:firstLine="567"/>
        <w:jc w:val="both"/>
      </w:pPr>
      <w:r>
        <w:rPr>
          <w:rFonts w:ascii="Times New Roman" w:hAnsi="Times New Roman" w:eastAsia="Times New Roman"/>
          <w:sz w:val="26"/>
        </w:rPr>
        <w:t xml:space="preserve">Các tiểu mục trước đã cho thấy tỷ lệ sinh lời tài sản tài chính thường có nhiều đặc điểm khác biệt so với giả định phân phối chuẩn: trung bình gần bằng không trong ngắn hạn, phương sai thay đổi theo thời gian, phân phối có đuôi dày, có thể bất đối xứng, và tồn tại hiện tượng cụm biến động. Những đặc điểm này không chỉ có ý nghĩa mô tả dữ liệu, mà còn quyết định trực tiếp đến cách đo lường rủi ro thị trường. Trong quản trị rủi ro tài chính, một câu hỏi thực tiễn thường được đặt ra là:</w:t>
      </w:r>
      <w:r>
        <w:rPr>
          <w:rFonts w:ascii="Times New Roman" w:hAnsi="Times New Roman" w:eastAsia="Times New Roman"/>
          <w:sz w:val="26"/>
        </w:rPr>
        <w:t xml:space="preserve"> </w:t>
      </w:r>
      <w:r>
        <w:rPr>
          <w:rFonts w:ascii="Times New Roman" w:hAnsi="Times New Roman" w:eastAsia="Times New Roman"/>
          <w:i/>
          <w:iCs/>
          <w:sz w:val="26"/>
        </w:rPr>
        <w:t xml:space="preserve">với một danh mục đầu tư hiện tại, trong một khoảng thời gian nhất định, mức lỗ lớn nhất có thể xảy ra với một xác suất cho trước là bao nhiêu?</w:t>
      </w:r>
      <w:r>
        <w:rPr>
          <w:rFonts w:ascii="Times New Roman" w:hAnsi="Times New Roman" w:eastAsia="Times New Roman"/>
          <w:sz w:val="26"/>
        </w:rPr>
        <w:t xml:space="preserve"> </w:t>
      </w:r>
      <w:r>
        <w:rPr>
          <w:rFonts w:ascii="Times New Roman" w:hAnsi="Times New Roman" w:eastAsia="Times New Roman"/>
          <w:sz w:val="26"/>
        </w:rPr>
        <w:t xml:space="preserve">Giá trị chịu rủi ro, hay Value-at-Risk (VaR), được xây dựng để trả lời câu hỏi này.</w:t>
      </w:r>
    </w:p>
    <w:p>
      <w:pPr>
        <w:pStyle w:val="BodyText"/>
        <w:spacing w:before="60" w:after="60" w:line="276" w:lineRule="auto"/>
        <w:ind w:firstLine="567"/>
        <w:jc w:val="both"/>
      </w:pPr>
      <w:r>
        <w:rPr>
          <w:rFonts w:ascii="Times New Roman" w:hAnsi="Times New Roman" w:eastAsia="Times New Roman"/>
          <w:sz w:val="26"/>
        </w:rPr>
        <w:t xml:space="preserve">VaR là một trong những thước đo rủi ro được sử dụng rộng rãi trong ngân hàng, công ty chứng khoán, quỹ đầu tư và các tổ chức tài chính. Theo cách tiếp cận phổ biến trong quản trị rủi ro thị trường, VaR tóm tắt rủi ro của một vị thế hoặc một danh mục đầu tư bằng một con số duy nhất, gắn với một mức tin cậy và một kỳ nắm giữ cụ thể</w:t>
      </w:r>
      <w:r>
        <w:rPr>
          <w:rFonts w:ascii="Times New Roman" w:hAnsi="Times New Roman" w:eastAsia="Times New Roman"/>
          <w:sz w:val="26"/>
        </w:rPr>
        <w:t xml:space="preserve"> </w:t>
      </w:r>
      <w:r>
        <w:rPr>
          <w:rFonts w:ascii="Times New Roman" w:hAnsi="Times New Roman" w:eastAsia="Times New Roman"/>
          <w:sz w:val="26"/>
        </w:rPr>
        <w:t xml:space="preserve">(Choudhry, 2013; Tsay, 2013)</w:t>
      </w:r>
      <w:r>
        <w:rPr>
          <w:rFonts w:ascii="Times New Roman" w:hAnsi="Times New Roman" w:eastAsia="Times New Roman"/>
          <w:sz w:val="26"/>
        </w:rPr>
        <w:t xml:space="preserve">. Điểm quan trọng cần nhấn mạnh là VaR không phải là dự báo chính xác khoản lỗ sẽ xảy ra trong tương lai. VaR là một ngưỡng tổn thất thống kê: nếu mô hình, dữ liệu và giả định phân phối là phù hợp, khoản lỗ thực tế được kỳ vọng chỉ vượt quá ngưỡng VaR với một xác suất nhỏ đã được xác định trước.</w:t>
      </w:r>
    </w:p>
    <w:bookmarkStart w:id="58" w:name="Xbf8709262491df989551731e78ee22be4ae92b2"/>
    <w:p>
      <w:pPr>
        <w:pStyle w:val="Heading3"/>
        <w:spacing w:before="120" w:after="120" w:line="276" w:lineRule="auto"/>
        <w:ind w:firstLine="0"/>
        <w:jc w:val="left"/>
      </w:pPr>
      <w:r>
        <w:rPr>
          <w:rFonts w:ascii="Times New Roman" w:hAnsi="Times New Roman" w:eastAsia="Times New Roman"/>
          <w:b/>
          <w:i w:val="0"/>
          <w:sz w:val="26"/>
        </w:rPr>
        <w:t xml:space="preserve">1.6.1 Khái niệm VaR: mức tin cậy, kỳ nắm giữ và vị thế rủi ro</w:t>
      </w:r>
    </w:p>
    <w:p>
      <w:pPr>
        <w:pStyle w:val="FirstParagraph"/>
        <w:spacing w:before="60" w:after="60" w:line="276" w:lineRule="auto"/>
        <w:ind w:firstLine="567"/>
        <w:jc w:val="both"/>
      </w:pPr>
      <w:r>
        <w:rPr>
          <w:rFonts w:ascii="Times New Roman" w:hAnsi="Times New Roman" w:eastAsia="Times New Roman"/>
          <w:sz w:val="26"/>
        </w:rPr>
        <w:t xml:space="preserve">Xét một danh mục đầu tư có giá trị hiện tại là</w:t>
      </w:r>
      <w:r>
        <w:rPr>
          <w:rFonts w:ascii="Times New Roman" w:hAnsi="Times New Roman" w:eastAsia="Times New Roman"/>
          <w:sz w:val="26"/>
        </w:rPr>
        <w:t xml:space="preserve"> </w:t>
      </w:r>
      <m:oMath>
        <m:sSub>
          <m:e>
            <m:r>
              <m:t>V</m:t>
            </m:r>
          </m:e>
          <m:sub>
            <m:r>
              <m:t>t</m:t>
            </m:r>
          </m:sub>
        </m:sSub>
      </m:oMath>
      <w:r>
        <w:rPr>
          <w:rFonts w:ascii="Times New Roman" w:hAnsi="Times New Roman" w:eastAsia="Times New Roman"/>
          <w:sz w:val="26"/>
        </w:rPr>
        <w:t xml:space="preserve">. Gọi</w:t>
      </w:r>
      <w:r>
        <w:rPr>
          <w:rFonts w:ascii="Times New Roman" w:hAnsi="Times New Roman" w:eastAsia="Times New Roman"/>
          <w:sz w:val="26"/>
        </w:rPr>
        <w:t xml:space="preserve"> </w:t>
      </w:r>
      <m:oMath>
        <m:sSub>
          <m:e>
            <m:r>
              <m:t>R</m:t>
            </m:r>
          </m:e>
          <m:sub>
            <m:r>
              <m:t>t</m:t>
            </m:r>
            <m:r>
              <m:rPr>
                <m:sty m:val="p"/>
              </m:rPr>
              <m:t>+</m:t>
            </m:r>
            <m:r>
              <m:t>1</m:t>
            </m:r>
          </m:sub>
        </m:sSub>
      </m:oMath>
      <w:r>
        <w:rPr>
          <w:rFonts w:ascii="Times New Roman" w:hAnsi="Times New Roman" w:eastAsia="Times New Roman"/>
          <w:sz w:val="26"/>
        </w:rPr>
        <w:t xml:space="preserve"> </w:t>
      </w:r>
      <w:r>
        <w:rPr>
          <w:rFonts w:ascii="Times New Roman" w:hAnsi="Times New Roman" w:eastAsia="Times New Roman"/>
          <w:sz w:val="26"/>
        </w:rPr>
        <w:t xml:space="preserve">là tỷ lệ sinh lời của danh mục trong kỳ tiếp theo. Nếu xét rủi ro theo biến lỗ, ta có thể định nghĩa tỷ lệ lỗ là:</w:t>
      </w:r>
    </w:p>
    <w:p>
      <w:pPr>
        <w:pStyle w:val="BodyText"/>
      </w:pPr>
      <m:oMathPara>
        <m:oMathParaPr>
          <m:jc m:val="center"/>
        </m:oMathParaPr>
        <m:oMath>
          <m:r>
            <m:rPr>
              <m:sty m:val="p"/>
            </m:rPr>
            <m:t>[</m:t>
          </m:r>
          <m:sSub>
            <m:e>
              <m:r>
                <m:t>L</m:t>
              </m:r>
            </m:e>
            <m:sub>
              <m:r>
                <m:t>t</m:t>
              </m:r>
              <m:r>
                <m:rPr>
                  <m:sty m:val="p"/>
                </m:rPr>
                <m:t>+</m:t>
              </m:r>
              <m:r>
                <m:t>1</m:t>
              </m:r>
            </m:sub>
          </m:sSub>
          <m:r>
            <m:rPr>
              <m:sty m:val="p"/>
            </m:rPr>
            <m:t>=</m:t>
          </m:r>
          <m:r>
            <m:rPr>
              <m:sty m:val="p"/>
            </m:rPr>
            <m:t>−</m:t>
          </m:r>
          <m:sSub>
            <m:e>
              <m:r>
                <m:t>R</m:t>
              </m:r>
            </m:e>
            <m:sub>
              <m:r>
                <m:t>t</m:t>
              </m:r>
              <m:r>
                <m:rPr>
                  <m:sty m:val="p"/>
                </m:rPr>
                <m:t>+</m:t>
              </m:r>
              <m:r>
                <m:t>1</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Khi tỷ lệ sinh lời âm, biến lỗ</w:t>
      </w:r>
      <w:r>
        <w:rPr>
          <w:rFonts w:ascii="Times New Roman" w:hAnsi="Times New Roman" w:eastAsia="Times New Roman"/>
          <w:sz w:val="26"/>
        </w:rPr>
        <w:t xml:space="preserve"> </w:t>
      </w:r>
      <m:oMath>
        <m:sSub>
          <m:e>
            <m:r>
              <m:t>L</m:t>
            </m:r>
          </m:e>
          <m:sub>
            <m:r>
              <m:t>t</m:t>
            </m:r>
            <m:r>
              <m:rPr>
                <m:sty m:val="p"/>
              </m:rPr>
              <m:t>+</m:t>
            </m:r>
            <m:r>
              <m:t>1</m:t>
            </m:r>
          </m:sub>
        </m:sSub>
      </m:oMath>
      <w:r>
        <w:rPr>
          <w:rFonts w:ascii="Times New Roman" w:hAnsi="Times New Roman" w:eastAsia="Times New Roman"/>
          <w:sz w:val="26"/>
        </w:rPr>
        <w:t xml:space="preserve"> </w:t>
      </w:r>
      <w:r>
        <w:rPr>
          <w:rFonts w:ascii="Times New Roman" w:hAnsi="Times New Roman" w:eastAsia="Times New Roman"/>
          <w:sz w:val="26"/>
        </w:rPr>
        <w:t xml:space="preserve">nhận giá trị dương. Với mức tin cậy</w:t>
      </w:r>
      <w:r>
        <w:rPr>
          <w:rFonts w:ascii="Times New Roman" w:hAnsi="Times New Roman" w:eastAsia="Times New Roman"/>
          <w:sz w:val="26"/>
        </w:rPr>
        <w:t xml:space="preserve"> </w:t>
      </w:r>
      <m:oMath>
        <m:r>
          <m:t>1</m:t>
        </m:r>
        <m:r>
          <m:rPr>
            <m:sty m:val="p"/>
          </m:rPr>
          <m:t>−</m:t>
        </m:r>
        <m:r>
          <m:t>α</m:t>
        </m:r>
      </m:oMath>
      <w:r>
        <w:rPr>
          <w:rFonts w:ascii="Times New Roman" w:hAnsi="Times New Roman" w:eastAsia="Times New Roman"/>
          <w:sz w:val="26"/>
        </w:rPr>
        <w:t xml:space="preserve">, VaR có thể được hiểu là phân vị của phân phối lỗ:</w:t>
      </w:r>
    </w:p>
    <w:p>
      <w:pPr>
        <w:pStyle w:val="BodyText"/>
      </w:pPr>
      <m:oMathPara>
        <m:oMathParaPr>
          <m:jc m:val="center"/>
        </m:oMathParaPr>
        <m:oMath>
          <m:r>
            <m:rPr>
              <m:sty m:val="p"/>
            </m:rPr>
            <m:t>[</m:t>
          </m:r>
          <m:r>
            <m:t>V</m:t>
          </m:r>
          <m:r>
            <m:t>a</m:t>
          </m:r>
          <m:sSub>
            <m:e>
              <m:r>
                <m:t>R</m:t>
              </m:r>
            </m:e>
            <m:sub>
              <m:r>
                <m:t>1</m:t>
              </m:r>
              <m:r>
                <m:rPr>
                  <m:sty m:val="p"/>
                </m:rPr>
                <m:t>−</m:t>
              </m:r>
              <m:r>
                <m:t>α</m:t>
              </m:r>
            </m:sub>
          </m:sSub>
          <m:r>
            <m:rPr>
              <m:sty m:val="p"/>
            </m:rPr>
            <m:t>=</m:t>
          </m:r>
          <m:sSub>
            <m:e>
              <m:r>
                <m:t>q</m:t>
              </m:r>
            </m:e>
            <m:sub>
              <m:r>
                <m:t>1</m:t>
              </m:r>
              <m:r>
                <m:rPr>
                  <m:sty m:val="p"/>
                </m:rPr>
                <m:t>−</m:t>
              </m:r>
              <m:r>
                <m:t>α</m:t>
              </m:r>
            </m:sub>
          </m:sSub>
          <m:r>
            <m:rPr>
              <m:sty m:val="p"/>
            </m:rPr>
            <m:t>(</m:t>
          </m:r>
          <m:sSub>
            <m:e>
              <m:r>
                <m:t>L</m:t>
              </m:r>
            </m:e>
            <m:sub>
              <m:r>
                <m:t>t</m:t>
              </m:r>
              <m:r>
                <m:rPr>
                  <m:sty m:val="p"/>
                </m:rPr>
                <m:t>+</m:t>
              </m:r>
              <m:r>
                <m:t>1</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sSub>
          <m:e>
            <m:r>
              <m:t>q</m:t>
            </m:r>
          </m:e>
          <m:sub>
            <m:r>
              <m:t>1</m:t>
            </m:r>
            <m:r>
              <m:rPr>
                <m:sty m:val="p"/>
              </m:rPr>
              <m:t>−</m:t>
            </m:r>
            <m:r>
              <m:t>α</m:t>
            </m:r>
          </m:sub>
        </m:sSub>
        <m:r>
          <m:rPr>
            <m:sty m:val="p"/>
          </m:rPr>
          <m:t>(</m:t>
        </m:r>
        <m:sSub>
          <m:e>
            <m:r>
              <m:t>L</m:t>
            </m:r>
          </m:e>
          <m:sub>
            <m:r>
              <m:t>t</m:t>
            </m:r>
            <m:r>
              <m:rPr>
                <m:sty m:val="p"/>
              </m:rPr>
              <m:t>+</m:t>
            </m:r>
            <m:r>
              <m:t>1</m:t>
            </m:r>
          </m:sub>
        </m:sSub>
        <m:r>
          <m:rPr>
            <m:sty m:val="p"/>
          </m:rPr>
          <m:t>)</m:t>
        </m:r>
      </m:oMath>
      <w:r>
        <w:rPr>
          <w:rFonts w:ascii="Times New Roman" w:hAnsi="Times New Roman" w:eastAsia="Times New Roman"/>
          <w:sz w:val="26"/>
        </w:rPr>
        <w:t xml:space="preserve"> </w:t>
      </w:r>
      <w:r>
        <w:rPr>
          <w:rFonts w:ascii="Times New Roman" w:hAnsi="Times New Roman" w:eastAsia="Times New Roman"/>
          <w:sz w:val="26"/>
        </w:rPr>
        <w:t xml:space="preserve">là phân vị mức</w:t>
      </w:r>
      <w:r>
        <w:rPr>
          <w:rFonts w:ascii="Times New Roman" w:hAnsi="Times New Roman" w:eastAsia="Times New Roman"/>
          <w:sz w:val="26"/>
        </w:rPr>
        <w:t xml:space="preserve"> </w:t>
      </w:r>
      <m:oMath>
        <m:r>
          <m:t>1</m:t>
        </m:r>
        <m:r>
          <m:rPr>
            <m:sty m:val="p"/>
          </m:rPr>
          <m:t>−</m:t>
        </m:r>
        <m:r>
          <m:t>α</m:t>
        </m:r>
      </m:oMath>
      <w:r>
        <w:rPr>
          <w:rFonts w:ascii="Times New Roman" w:hAnsi="Times New Roman" w:eastAsia="Times New Roman"/>
          <w:sz w:val="26"/>
        </w:rPr>
        <w:t xml:space="preserve"> </w:t>
      </w:r>
      <w:r>
        <w:rPr>
          <w:rFonts w:ascii="Times New Roman" w:hAnsi="Times New Roman" w:eastAsia="Times New Roman"/>
          <w:sz w:val="26"/>
        </w:rPr>
        <w:t xml:space="preserve">của biến lỗ. Trong thực hành quản trị rủi ro, người ta thường nói VaR ở mức tin cậy 95% hoặc 99%. Nếu sử dụng biến lỗ, VaR 99% tương ứng với phân vị 99% của phân phối lỗ. Điều này có nghĩa là xác suất khoản lỗ vượt quá VaR chỉ là 1%:</w:t>
      </w:r>
    </w:p>
    <w:p>
      <w:pPr>
        <w:pStyle w:val="BodyText"/>
      </w:pPr>
      <m:oMathPara>
        <m:oMathParaPr>
          <m:jc m:val="center"/>
        </m:oMathParaPr>
        <m:oMath>
          <m:r>
            <m:rPr>
              <m:sty m:val="p"/>
            </m:rPr>
            <m:t>[</m:t>
          </m:r>
          <m:r>
            <m:t>P</m:t>
          </m:r>
          <m:r>
            <m:rPr>
              <m:sty m:val="p"/>
            </m:rPr>
            <m:t>(</m:t>
          </m:r>
          <m:sSub>
            <m:e>
              <m:r>
                <m:t>L</m:t>
              </m:r>
            </m:e>
            <m:sub>
              <m:r>
                <m:t>t</m:t>
              </m:r>
              <m:r>
                <m:rPr>
                  <m:sty m:val="p"/>
                </m:rPr>
                <m:t>+</m:t>
              </m:r>
              <m:r>
                <m:t>1</m:t>
              </m:r>
            </m:sub>
          </m:sSub>
          <m:r>
            <m:rPr>
              <m:sty m:val="p"/>
            </m:rPr>
            <m:t>&gt;</m:t>
          </m:r>
          <m:r>
            <m:t>V</m:t>
          </m:r>
          <m:r>
            <m:t>a</m:t>
          </m:r>
          <m:sSub>
            <m:e>
              <m:r>
                <m:t>R</m:t>
              </m:r>
            </m:e>
            <m:sub>
              <m:r>
                <m:t>0.99</m:t>
              </m:r>
            </m:sub>
          </m:sSub>
          <m:r>
            <m:rPr>
              <m:sty m:val="p"/>
            </m:rPr>
            <m:t>)</m:t>
          </m:r>
          <m:r>
            <m:rPr>
              <m:sty m:val="p"/>
            </m:rPr>
            <m:t>=</m:t>
          </m:r>
          <m:r>
            <m:t>0.01</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làm việc trực tiếp với tỷ lệ sinh lời</w:t>
      </w:r>
      <w:r>
        <w:rPr>
          <w:rFonts w:ascii="Times New Roman" w:hAnsi="Times New Roman" w:eastAsia="Times New Roman"/>
          <w:sz w:val="26"/>
        </w:rPr>
        <w:t xml:space="preserve"> </w:t>
      </w:r>
      <m:oMath>
        <m:sSub>
          <m:e>
            <m:r>
              <m:t>R</m:t>
            </m:r>
          </m:e>
          <m:sub>
            <m:r>
              <m:t>t</m:t>
            </m:r>
            <m:r>
              <m:rPr>
                <m:sty m:val="p"/>
              </m:rPr>
              <m:t>+</m:t>
            </m:r>
            <m:r>
              <m:t>1</m:t>
            </m:r>
          </m:sub>
        </m:sSub>
      </m:oMath>
      <w:r>
        <w:rPr>
          <w:rFonts w:ascii="Times New Roman" w:hAnsi="Times New Roman" w:eastAsia="Times New Roman"/>
          <w:sz w:val="26"/>
        </w:rPr>
        <w:t xml:space="preserve">, VaR có thể được xác định thông qua phân vị thấp của phân phối tỷ lệ sinh lời. Chẳng hạn, VaR 99% liên quan đến phân vị 1% của tỷ lệ sinh lời:</w:t>
      </w:r>
    </w:p>
    <w:p>
      <w:pPr>
        <w:pStyle w:val="BodyText"/>
      </w:pPr>
      <m:oMathPara>
        <m:oMathParaPr>
          <m:jc m:val="center"/>
        </m:oMathParaPr>
        <m:oMath>
          <m:r>
            <m:rPr>
              <m:sty m:val="p"/>
            </m:rPr>
            <m:t>[</m:t>
          </m:r>
          <m:r>
            <m:t>P</m:t>
          </m:r>
          <m:r>
            <m:rPr>
              <m:sty m:val="p"/>
            </m:rPr>
            <m:t>(</m:t>
          </m:r>
          <m:sSub>
            <m:e>
              <m:r>
                <m:t>R</m:t>
              </m:r>
            </m:e>
            <m:sub>
              <m:r>
                <m:t>t</m:t>
              </m:r>
              <m:r>
                <m:rPr>
                  <m:sty m:val="p"/>
                </m:rPr>
                <m:t>+</m:t>
              </m:r>
              <m:r>
                <m:t>1</m:t>
              </m:r>
            </m:sub>
          </m:sSub>
          <m:r>
            <m:rPr>
              <m:sty m:val="p"/>
            </m:rPr>
            <m:t>&lt;</m:t>
          </m:r>
          <m:sSub>
            <m:e>
              <m:r>
                <m:t>q</m:t>
              </m:r>
            </m:e>
            <m:sub>
              <m:r>
                <m:t>0.01</m:t>
              </m:r>
            </m:sub>
          </m:sSub>
          <m:r>
            <m:rPr>
              <m:sty m:val="p"/>
            </m:rPr>
            <m:t>(</m:t>
          </m:r>
          <m:sSub>
            <m:e>
              <m:r>
                <m:t>R</m:t>
              </m:r>
            </m:e>
            <m:sub>
              <m:r>
                <m:t>t</m:t>
              </m:r>
              <m:r>
                <m:rPr>
                  <m:sty m:val="p"/>
                </m:rPr>
                <m:t>+</m:t>
              </m:r>
              <m:r>
                <m:t>1</m:t>
              </m:r>
            </m:sub>
          </m:sSub>
          <m:r>
            <m:rPr>
              <m:sty m:val="p"/>
            </m:rPr>
            <m:t>)</m:t>
          </m:r>
          <m:r>
            <m:rPr>
              <m:sty m:val="p"/>
            </m:rPr>
            <m:t>)</m:t>
          </m:r>
          <m:r>
            <m:rPr>
              <m:sty m:val="p"/>
            </m:rPr>
            <m:t>=</m:t>
          </m:r>
          <m:r>
            <m:t>0.01</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Khi đó, VaR tính theo tỷ lệ có thể viết là:</w:t>
      </w:r>
    </w:p>
    <w:p>
      <w:pPr>
        <w:pStyle w:val="BodyText"/>
      </w:pPr>
      <m:oMathPara>
        <m:oMathParaPr>
          <m:jc m:val="center"/>
        </m:oMathParaPr>
        <m:oMath>
          <m:r>
            <m:rPr>
              <m:sty m:val="p"/>
            </m:rPr>
            <m:t>[</m:t>
          </m:r>
          <m:r>
            <m:t>V</m:t>
          </m:r>
          <m:r>
            <m:t>a</m:t>
          </m:r>
          <m:sSubSup>
            <m:e>
              <m:r>
                <m:t>R</m:t>
              </m:r>
            </m:e>
            <m:sub>
              <m:r>
                <m:t>0.99</m:t>
              </m:r>
            </m:sub>
            <m:sup>
              <m:r>
                <m:t>r</m:t>
              </m:r>
              <m:r>
                <m:t>e</m:t>
              </m:r>
              <m:r>
                <m:t>t</m:t>
              </m:r>
              <m:r>
                <m:t>u</m:t>
              </m:r>
              <m:r>
                <m:t>r</m:t>
              </m:r>
              <m:r>
                <m:t>n</m:t>
              </m:r>
            </m:sup>
          </m:sSubSup>
          <m:r>
            <m:rPr>
              <m:sty m:val="p"/>
            </m:rPr>
            <m:t>=</m:t>
          </m:r>
          <m:r>
            <m:rPr>
              <m:sty m:val="p"/>
            </m:rPr>
            <m:t>−</m:t>
          </m:r>
          <m:sSub>
            <m:e>
              <m:r>
                <m:t>q</m:t>
              </m:r>
            </m:e>
            <m:sub>
              <m:r>
                <m:t>0.01</m:t>
              </m:r>
            </m:sub>
          </m:sSub>
          <m:r>
            <m:rPr>
              <m:sty m:val="p"/>
            </m:rPr>
            <m:t>(</m:t>
          </m:r>
          <m:sSub>
            <m:e>
              <m:r>
                <m:t>R</m:t>
              </m:r>
            </m:e>
            <m:sub>
              <m:r>
                <m:t>t</m:t>
              </m:r>
              <m:r>
                <m:rPr>
                  <m:sty m:val="p"/>
                </m:rPr>
                <m:t>+</m:t>
              </m:r>
              <m:r>
                <m:t>1</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danh mục có giá trị hiện tại</w:t>
      </w:r>
      <w:r>
        <w:rPr>
          <w:rFonts w:ascii="Times New Roman" w:hAnsi="Times New Roman" w:eastAsia="Times New Roman"/>
          <w:sz w:val="26"/>
        </w:rPr>
        <w:t xml:space="preserve"> </w:t>
      </w:r>
      <m:oMath>
        <m:sSub>
          <m:e>
            <m:r>
              <m:t>V</m:t>
            </m:r>
          </m:e>
          <m:sub>
            <m:r>
              <m:t>t</m:t>
            </m:r>
          </m:sub>
        </m:sSub>
      </m:oMath>
      <w:r>
        <w:rPr>
          <w:rFonts w:ascii="Times New Roman" w:hAnsi="Times New Roman" w:eastAsia="Times New Roman"/>
          <w:sz w:val="26"/>
        </w:rPr>
        <w:t xml:space="preserve">, VaR tính theo giá trị tiền tệ là:</w:t>
      </w:r>
    </w:p>
    <w:p>
      <w:pPr>
        <w:pStyle w:val="BodyText"/>
      </w:pPr>
      <m:oMathPara>
        <m:oMathParaPr>
          <m:jc m:val="center"/>
        </m:oMathParaPr>
        <m:oMath>
          <m:r>
            <m:rPr>
              <m:sty m:val="p"/>
            </m:rPr>
            <m:t>[</m:t>
          </m:r>
          <m:r>
            <m:t>V</m:t>
          </m:r>
          <m:r>
            <m:t>a</m:t>
          </m:r>
          <m:sSubSup>
            <m:e>
              <m:r>
                <m:t>R</m:t>
              </m:r>
            </m:e>
            <m:sub>
              <m:r>
                <m:t>0.99</m:t>
              </m:r>
            </m:sub>
            <m:sup>
              <m:r>
                <m:t>m</m:t>
              </m:r>
              <m:r>
                <m:t>o</m:t>
              </m:r>
              <m:r>
                <m:t>n</m:t>
              </m:r>
              <m:r>
                <m:t>e</m:t>
              </m:r>
              <m:r>
                <m:t>y</m:t>
              </m:r>
            </m:sup>
          </m:sSubSup>
          <m:r>
            <m:rPr>
              <m:sty m:val="p"/>
            </m:rPr>
            <m:t>=</m:t>
          </m:r>
          <m:sSub>
            <m:e>
              <m:r>
                <m:t>V</m:t>
              </m:r>
            </m:e>
            <m:sub>
              <m:r>
                <m:t>t</m:t>
              </m:r>
            </m:sub>
          </m:sSub>
          <m:r>
            <m:rPr>
              <m:sty m:val="p"/>
            </m:rPr>
            <m:t>×</m:t>
          </m:r>
          <m:r>
            <m:t>V</m:t>
          </m:r>
          <m:r>
            <m:t>a</m:t>
          </m:r>
          <m:sSubSup>
            <m:e>
              <m:r>
                <m:t>R</m:t>
              </m:r>
            </m:e>
            <m:sub>
              <m:r>
                <m:t>0.99</m:t>
              </m:r>
            </m:sub>
            <m:sup>
              <m:r>
                <m:t>r</m:t>
              </m:r>
              <m:r>
                <m:t>e</m:t>
              </m:r>
              <m:r>
                <m:t>t</m:t>
              </m:r>
              <m:r>
                <m:t>u</m:t>
              </m:r>
              <m:r>
                <m:t>r</m:t>
              </m:r>
              <m:r>
                <m:t>n</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Ví dụ, nếu một danh mục trị giá 100 tỷ đồng có VaR 1 ngày ở mức tin cậy 99% bằng 2%, thì VaR tiền tệ là 2 tỷ đồng. Diễn giải đúng là: với mô hình và dữ liệu đang sử dụng, trong điều kiện thị trường thông thường, xác suất danh mục lỗ nhiều hơn 2 tỷ đồng trong một ngày là khoảng 1%. Không nên diễn giải rằng khoản lỗ tối đa chắc chắn chỉ là 2 tỷ đồng. Trong những tình huống thị trường cực đoan, khoản lỗ thực tế có thể vượt xa VaR, đặc biệt khi mô hình đánh giá thấp rủi ro đuôi.</w:t>
      </w:r>
    </w:p>
    <w:p>
      <w:pPr>
        <w:pStyle w:val="BodyText"/>
        <w:spacing w:before="60" w:after="60" w:line="276" w:lineRule="auto"/>
        <w:ind w:firstLine="567"/>
        <w:jc w:val="both"/>
      </w:pPr>
      <w:r>
        <w:rPr>
          <w:rFonts w:ascii="Times New Roman" w:hAnsi="Times New Roman" w:eastAsia="Times New Roman"/>
          <w:sz w:val="26"/>
        </w:rPr>
        <w:t xml:space="preserve">Ba thành phần luôn phải được nêu rõ khi báo cáo VaR gồm: giá trị vị thế hoặc danh mục, kỳ nắm giữ và mức tin cậy. Thiếu một trong ba thành phần này, con số VaR không có ý nghĩa đầy đủ. Chẳng hạn, phát biểu “VaR của danh mục là 2 tỷ đồng” là chưa đủ. Cách trình bày đầy đủ phải là: “VaR 1 ngày ở mức tin cậy 99% của danh mục là 2 tỷ đồng”.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vAlign w:val="center"/>
          </w:tcPr>
          <w:p>
            <w:pPr>
              <w:pStyle w:val="Compact"/>
              <w:spacing w:before="0" w:after="0" w:line="240" w:lineRule="auto"/>
              <w:ind w:firstLine="0"/>
              <w:jc w:val="center"/>
            </w:pPr>
            <w:r>
              <w:rPr>
                <w:rFonts w:ascii="Times New Roman" w:hAnsi="Times New Roman" w:eastAsia="Times New Roman"/>
                <w:b/>
                <w:sz w:val="24"/>
              </w:rPr>
              <w:t xml:space="preserve">Thành phần</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Ý nghĩa</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Ví dụ</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Giá trị vị thế/danh mục</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Quy mô tài sản chịu rủi ro</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Danh mục cổ phiếu trị giá 100 tỷ đồng</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Kỳ nắm giữ</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Khoảng thời gian đo lường rủi ro</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1 ngày, 10 ngày, 1 tháng</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Mức tin cậy</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Xác suất khoản lỗ không vượt quá VaR</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95%, 99%</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Đơn vị đo lường</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VaR có thể tính theo tỷ lệ hoặc tiền tệ</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2% hoặc 2 tỷ đồng</w:t>
            </w:r>
          </w:p>
        </w:tc>
      </w:tr>
    </w:tbl>
    <w:p>
      <w:pPr>
        <w:pStyle w:val="BodyText"/>
        <w:spacing w:before="60" w:after="60" w:line="276" w:lineRule="auto"/>
        <w:ind w:firstLine="567"/>
        <w:jc w:val="both"/>
      </w:pPr>
      <w:r>
        <w:rPr>
          <w:rFonts w:ascii="Times New Roman" w:hAnsi="Times New Roman" w:eastAsia="Times New Roman"/>
          <w:sz w:val="26"/>
        </w:rPr>
        <w:t xml:space="preserve">Từ góc nhìn người học mới, có thể hiểu VaR như một “mốc cảnh báo rủi ro có xác suất”. Nếu VaR 1 ngày ở mức 99% là 2 tỷ đồng, thì mô hình nói rằng chỉ trong khoảng 1% số ngày, khoản lỗ có thể vượt 2 tỷ đồng. Trong 100 ngày giao dịch, nếu mô hình VaR hoạt động tốt, số lần lỗ vượt VaR 99% được kỳ vọng xấp xỉ 1 lần. Đây cũng là ý tưởng nền tảng của kiểm định ngược, hay backtesting, trong các chương sau.</w:t>
      </w:r>
    </w:p>
    <w:tbl>
      <w:tblPr>
        <w:tblStyle w:val="Table"/>
        <w:tblW w:type="pct" w:w="5000"/>
        <w:tblLayout w:type="fixed"/>
        <w:tblLook w:firstRow="0" w:lastRow="0" w:firstColumn="0" w:lastColumn="0" w:noHBand="0" w:noVBand="0" w:val="0000"/>
      </w:tblPr>
      <w:tblGrid>
        <w:gridCol w:w="7920"/>
      </w:tblGrid>
      <w:tr>
        <w:tc>
          <w:tcPr>
            <w:vAlign w:val="center"/>
          </w:tcPr>
          <w:bookmarkStart w:id="57" w:name="fig-var-tail-concept"/>
          <w:p>
            <w:pPr>
              <w:pStyle w:val="Compact"/>
              <w:spacing w:before="0" w:after="0" w:line="240" w:lineRule="auto"/>
              <w:ind w:firstLine="0"/>
              <w:jc w:val="center"/>
            </w:pPr>
            <w:r>
              <w:rPr>
                <w:rFonts w:ascii="Times New Roman" w:hAnsi="Times New Roman" w:eastAsia="Times New Roman"/>
                <w:b/>
                <w:sz w:val="24"/>
              </w:rPr>
              <w:drawing>
                <wp:inline>
                  <wp:extent cx="4620126" cy="3696101"/>
                  <wp:effectExtent b="0" l="0" r="0" t="0"/>
                  <wp:docPr descr="" title="" id="55" name="Picture"/>
                  <a:graphic>
                    <a:graphicData uri="http://schemas.openxmlformats.org/drawingml/2006/picture">
                      <pic:pic>
                        <pic:nvPicPr>
                          <pic:cNvPr descr="ch01_docx_tmp_files/figure-docx/fig-var-tail-concept-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4: VaR như một ngưỡng tổn thất ở vùng đuôi phải của phân phối lỗ</w:t>
            </w:r>
          </w:p>
          <w:bookmarkEnd w:id="57"/>
        </w:tc>
      </w:tr>
    </w:tbl>
    <w:p>
      <w:pPr>
        <w:pStyle w:val="BodyText"/>
        <w:spacing w:before="60" w:after="60" w:line="240" w:lineRule="auto"/>
        <w:ind w:firstLine="0"/>
        <w:jc w:val="center"/>
      </w:pPr>
      <w:r>
        <w:rPr>
          <w:rFonts w:ascii="Times New Roman" w:hAnsi="Times New Roman" w:eastAsia="Times New Roman"/>
          <w:b/>
          <w:i w:val="0"/>
          <w:sz w:val="24"/>
        </w:rPr>
        <w:t>Hình 4 minh họa trực quan cách VaR được xác định từ phân phối lỗ. VaR không phải là điểm cuối cùng của phân phối, mà là một ngưỡng phân vị. Phần diện tích nằm bên phải đường VaR thể hiện các trường hợp khoản lỗ thực tế vượt quá mức VaR. Với VaR 99%, diện tích này về mặt lý thuyết chiếm khoảng 1% phân phối lỗ.</w:t>
      </w:r>
    </w:p>
    <w:bookmarkEnd w:id="58"/>
    <w:bookmarkStart w:id="62" w:name="Xe81be8ec1e4dc99e7d44367261e4793e9e450de"/>
    <w:p>
      <w:pPr>
        <w:pStyle w:val="Heading3"/>
        <w:spacing w:before="120" w:after="120" w:line="276" w:lineRule="auto"/>
        <w:ind w:firstLine="0"/>
        <w:jc w:val="left"/>
      </w:pPr>
      <w:r>
        <w:rPr>
          <w:rFonts w:ascii="Times New Roman" w:hAnsi="Times New Roman" w:eastAsia="Times New Roman"/>
          <w:b/>
          <w:i w:val="0"/>
          <w:sz w:val="26"/>
        </w:rPr>
        <w:t xml:space="preserve">1.6.2 VaR, volatility và phân phối tỷ lệ sinh lời</w:t>
      </w:r>
    </w:p>
    <w:p>
      <w:pPr>
        <w:pStyle w:val="FirstParagraph"/>
        <w:spacing w:before="60" w:after="60" w:line="276" w:lineRule="auto"/>
        <w:ind w:firstLine="567"/>
        <w:jc w:val="both"/>
      </w:pPr>
      <w:r>
        <w:rPr>
          <w:rFonts w:ascii="Times New Roman" w:hAnsi="Times New Roman" w:eastAsia="Times New Roman"/>
          <w:sz w:val="26"/>
        </w:rPr>
        <w:t xml:space="preserve">VaR có quan hệ chặt chẽ với volatility, nhưng VaR không đồng nhất với volatility. Volatility đo mức độ dao động chung của tỷ lệ sinh lời quanh giá trị trung bình. VaR đo mức tổn thất tại một vùng xác suất cụ thể của phân phối, thường là vùng đuôi trái của phân phối tỷ lệ sinh lời hoặc vùng đuôi phải của phân phối lỗ. Vì vậy, hai danh mục có cùng volatility vẫn có thể có VaR khác nhau nếu phân phối tỷ lệ sinh lời có độ lệch, độ nhọn hoặc cấu trúc đuôi khác nhau.</w:t>
      </w:r>
    </w:p>
    <w:p>
      <w:pPr>
        <w:pStyle w:val="BodyText"/>
        <w:spacing w:before="60" w:after="60" w:line="276" w:lineRule="auto"/>
        <w:ind w:firstLine="567"/>
        <w:jc w:val="both"/>
      </w:pPr>
      <w:r>
        <w:rPr>
          <w:rFonts w:ascii="Times New Roman" w:hAnsi="Times New Roman" w:eastAsia="Times New Roman"/>
          <w:sz w:val="26"/>
        </w:rPr>
        <w:t xml:space="preserve">Trong trường hợp đơn giản, giả sử tỷ lệ sinh lời danh mục tuân theo phân phối chuẩn có điều kiện:</w:t>
      </w:r>
    </w:p>
    <w:p>
      <w:pPr>
        <w:pStyle w:val="BodyText"/>
      </w:pPr>
      <m:oMathPara>
        <m:oMathParaPr>
          <m:jc m:val="center"/>
        </m:oMathParaPr>
        <m:oMath>
          <m:r>
            <m:rPr>
              <m:sty m:val="p"/>
            </m:rPr>
            <m:t>[</m:t>
          </m:r>
          <m:sSub>
            <m:e>
              <m:r>
                <m:t>R</m:t>
              </m:r>
            </m:e>
            <m:sub>
              <m:r>
                <m:t>t</m:t>
              </m:r>
              <m:r>
                <m:rPr>
                  <m:sty m:val="p"/>
                </m:rPr>
                <m:t>+</m:t>
              </m:r>
              <m:r>
                <m:t>1</m:t>
              </m:r>
            </m:sub>
          </m:sSub>
          <m:r>
            <m:rPr>
              <m:sty m:val="p"/>
            </m:rPr>
            <m:t>∣</m:t>
          </m:r>
          <m:sSub>
            <m:e>
              <m:r>
                <m:rPr>
                  <m:scr m:val="script"/>
                  <m:sty m:val="p"/>
                </m:rPr>
                <m:t>F</m:t>
              </m:r>
            </m:e>
            <m:sub>
              <m:r>
                <m:t>t</m:t>
              </m:r>
            </m:sub>
          </m:sSub>
          <m:r>
            <m:rPr>
              <m:sty m:val="p"/>
            </m:rPr>
            <m:t>∼</m:t>
          </m:r>
          <m:r>
            <m:t>N</m:t>
          </m:r>
          <m:r>
            <m:rPr>
              <m:sty m:val="p"/>
            </m:rPr>
            <m:t>(</m:t>
          </m:r>
          <m:sSub>
            <m:e>
              <m:r>
                <m:t>μ</m:t>
              </m:r>
            </m:e>
            <m:sub>
              <m:r>
                <m:t>t</m:t>
              </m:r>
              <m:r>
                <m:rPr>
                  <m:sty m:val="p"/>
                </m:rPr>
                <m:t>+</m:t>
              </m:r>
              <m:r>
                <m:t>1</m:t>
              </m:r>
            </m:sub>
          </m:sSub>
          <m:r>
            <m:rPr>
              <m:sty m:val="p"/>
            </m:rPr>
            <m:t>,</m:t>
          </m:r>
          <m:sSubSup>
            <m:e>
              <m:r>
                <m:t>σ</m:t>
              </m:r>
            </m:e>
            <m:sub>
              <m:r>
                <m:t>t</m:t>
              </m:r>
              <m:r>
                <m:rPr>
                  <m:sty m:val="p"/>
                </m:rPr>
                <m:t>+</m:t>
              </m:r>
              <m:r>
                <m:t>1</m:t>
              </m:r>
            </m:sub>
            <m:sup>
              <m:r>
                <m:t>2</m:t>
              </m:r>
            </m:sup>
          </m:sSubSup>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sSub>
          <m:e>
            <m:r>
              <m:rPr>
                <m:scr m:val="script"/>
                <m:sty m:val="p"/>
              </m:rPr>
              <m:t>F</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là tập thông tin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w:t>
      </w:r>
      <w:r>
        <w:rPr>
          <w:rFonts w:ascii="Times New Roman" w:hAnsi="Times New Roman" w:eastAsia="Times New Roman"/>
          <w:sz w:val="26"/>
        </w:rPr>
        <w:t xml:space="preserve"> </w:t>
      </w:r>
      <m:oMath>
        <m:sSub>
          <m:e>
            <m:r>
              <m:t>μ</m:t>
            </m:r>
          </m:e>
          <m:sub>
            <m:r>
              <m:t>t</m:t>
            </m:r>
            <m:r>
              <m:rPr>
                <m:sty m:val="p"/>
              </m:rPr>
              <m:t>+</m:t>
            </m:r>
            <m:r>
              <m:t>1</m:t>
            </m:r>
          </m:sub>
        </m:sSub>
      </m:oMath>
      <w:r>
        <w:rPr>
          <w:rFonts w:ascii="Times New Roman" w:hAnsi="Times New Roman" w:eastAsia="Times New Roman"/>
          <w:sz w:val="26"/>
        </w:rPr>
        <w:t xml:space="preserve"> </w:t>
      </w:r>
      <w:r>
        <w:rPr>
          <w:rFonts w:ascii="Times New Roman" w:hAnsi="Times New Roman" w:eastAsia="Times New Roman"/>
          <w:sz w:val="26"/>
        </w:rPr>
        <w:t xml:space="preserve">là kỳ vọng có điều kiện và</w:t>
      </w:r>
      <w:r>
        <w:rPr>
          <w:rFonts w:ascii="Times New Roman" w:hAnsi="Times New Roman" w:eastAsia="Times New Roman"/>
          <w:sz w:val="26"/>
        </w:rPr>
        <w:t xml:space="preserve"> </w:t>
      </w:r>
      <m:oMath>
        <m:sSub>
          <m:e>
            <m:r>
              <m:t>σ</m:t>
            </m:r>
          </m:e>
          <m:sub>
            <m:r>
              <m:t>t</m:t>
            </m:r>
            <m:r>
              <m:rPr>
                <m:sty m:val="p"/>
              </m:rPr>
              <m:t>+</m:t>
            </m:r>
            <m:r>
              <m:t>1</m:t>
            </m:r>
          </m:sub>
        </m:sSub>
      </m:oMath>
      <w:r>
        <w:rPr>
          <w:rFonts w:ascii="Times New Roman" w:hAnsi="Times New Roman" w:eastAsia="Times New Roman"/>
          <w:sz w:val="26"/>
        </w:rPr>
        <w:t xml:space="preserve"> </w:t>
      </w:r>
      <w:r>
        <w:rPr>
          <w:rFonts w:ascii="Times New Roman" w:hAnsi="Times New Roman" w:eastAsia="Times New Roman"/>
          <w:sz w:val="26"/>
        </w:rPr>
        <w:t xml:space="preserve">là volatility có điều kiện. Khi đó, VaR ở mức tin cậy</w:t>
      </w:r>
      <w:r>
        <w:rPr>
          <w:rFonts w:ascii="Times New Roman" w:hAnsi="Times New Roman" w:eastAsia="Times New Roman"/>
          <w:sz w:val="26"/>
        </w:rPr>
        <w:t xml:space="preserve"> </w:t>
      </w:r>
      <m:oMath>
        <m:r>
          <m:t>1</m:t>
        </m:r>
        <m:r>
          <m:rPr>
            <m:sty m:val="p"/>
          </m:rPr>
          <m:t>−</m:t>
        </m:r>
        <m:r>
          <m:t>α</m:t>
        </m:r>
      </m:oMath>
      <w:r>
        <w:rPr>
          <w:rFonts w:ascii="Times New Roman" w:hAnsi="Times New Roman" w:eastAsia="Times New Roman"/>
          <w:sz w:val="26"/>
        </w:rPr>
        <w:t xml:space="preserve"> </w:t>
      </w:r>
      <w:r>
        <w:rPr>
          <w:rFonts w:ascii="Times New Roman" w:hAnsi="Times New Roman" w:eastAsia="Times New Roman"/>
          <w:sz w:val="26"/>
        </w:rPr>
        <w:t xml:space="preserve">có thể được tính theo công thức:</w:t>
      </w:r>
    </w:p>
    <w:p>
      <w:pPr>
        <w:pStyle w:val="BodyText"/>
      </w:pPr>
      <m:oMathPara>
        <m:oMathParaPr>
          <m:jc m:val="center"/>
        </m:oMathParaPr>
        <m:oMath>
          <m:r>
            <m:rPr>
              <m:sty m:val="p"/>
            </m:rPr>
            <m:t>[</m:t>
          </m:r>
          <m:r>
            <m:t>V</m:t>
          </m:r>
          <m:r>
            <m:t>a</m:t>
          </m:r>
          <m:sSubSup>
            <m:e>
              <m:r>
                <m:t>R</m:t>
              </m:r>
            </m:e>
            <m:sub>
              <m:r>
                <m:t>1</m:t>
              </m:r>
              <m:r>
                <m:rPr>
                  <m:sty m:val="p"/>
                </m:rPr>
                <m:t>−</m:t>
              </m:r>
              <m:r>
                <m:t>α</m:t>
              </m:r>
              <m:r>
                <m:rPr>
                  <m:sty m:val="p"/>
                </m:rPr>
                <m:t>,</m:t>
              </m:r>
              <m:r>
                <m:t>t</m:t>
              </m:r>
              <m:r>
                <m:rPr>
                  <m:sty m:val="p"/>
                </m:rPr>
                <m:t>+</m:t>
              </m:r>
              <m:r>
                <m:t>1</m:t>
              </m:r>
            </m:sub>
            <m:sup>
              <m:r>
                <m:t>r</m:t>
              </m:r>
              <m:r>
                <m:t>e</m:t>
              </m:r>
              <m:r>
                <m:t>t</m:t>
              </m:r>
              <m:r>
                <m:t>u</m:t>
              </m:r>
              <m:r>
                <m:t>r</m:t>
              </m:r>
              <m:r>
                <m:t>n</m:t>
              </m:r>
            </m:sup>
          </m:sSubSup>
          <m:r>
            <m:rPr>
              <m:sty m:val="p"/>
            </m:rPr>
            <m:t>=</m:t>
          </m:r>
          <m:r>
            <m:rPr>
              <m:sty m:val="p"/>
            </m:rPr>
            <m:t>−</m:t>
          </m:r>
          <m:d>
            <m:dPr>
              <m:begChr m:val="("/>
              <m:sepChr m:val=""/>
              <m:endChr m:val=")"/>
              <m:grow/>
            </m:dPr>
            <m:e>
              <m:sSub>
                <m:e>
                  <m:r>
                    <m:t>μ</m:t>
                  </m:r>
                </m:e>
                <m:sub>
                  <m:r>
                    <m:t>t</m:t>
                  </m:r>
                  <m:r>
                    <m:rPr>
                      <m:sty m:val="p"/>
                    </m:rPr>
                    <m:t>+</m:t>
                  </m:r>
                  <m:r>
                    <m:t>1</m:t>
                  </m:r>
                </m:sub>
              </m:sSub>
              <m:r>
                <m:rPr>
                  <m:sty m:val="p"/>
                </m:rPr>
                <m:t>+</m:t>
              </m:r>
              <m:sSub>
                <m:e>
                  <m:r>
                    <m:t>z</m:t>
                  </m:r>
                </m:e>
                <m:sub>
                  <m:r>
                    <m:t>α</m:t>
                  </m:r>
                </m:sub>
              </m:sSub>
              <m:sSub>
                <m:e>
                  <m:r>
                    <m:t>σ</m:t>
                  </m:r>
                </m:e>
                <m:sub>
                  <m:r>
                    <m:t>t</m:t>
                  </m:r>
                  <m:r>
                    <m:rPr>
                      <m:sty m:val="p"/>
                    </m:rPr>
                    <m:t>+</m:t>
                  </m:r>
                  <m:r>
                    <m:t>1</m:t>
                  </m:r>
                </m:sub>
              </m:sSub>
            </m:e>
          </m: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Hạn chế thứ nhất là phụ thuộc vào mô hình và giả định phân phối. Nếu phân phối lợi nhuận được giả định không phù hợp, VaR sẽ cho tín hiệu sai về mức độ rủi ro.</w:t>
      </w:r>
      <w:r>
        <w:rPr>
          <w:rFonts w:ascii="Times New Roman" w:hAnsi="Times New Roman" w:eastAsia="Times New Roman"/>
          <w:sz w:val="26"/>
        </w:rPr>
        <w:t xml:space="preserve"> </w:t>
      </w:r>
      <w:r>
        <w:rPr>
          <w:rFonts w:ascii="Times New Roman" w:hAnsi="Times New Roman" w:eastAsia="Times New Roman"/>
          <w:sz w:val="26"/>
        </w:rPr>
        <w:t xml:space="preserve">trong đó</w:t>
      </w:r>
      <w:r>
        <w:rPr>
          <w:rFonts w:ascii="Times New Roman" w:hAnsi="Times New Roman" w:eastAsia="Times New Roman"/>
          <w:sz w:val="26"/>
        </w:rPr>
        <w:t xml:space="preserve"> </w:t>
      </w:r>
      <m:oMath>
        <m:sSub>
          <m:e>
            <m:r>
              <m:t>z</m:t>
            </m:r>
          </m:e>
          <m:sub>
            <m:r>
              <m:t>α</m:t>
            </m:r>
          </m:sub>
        </m:sSub>
      </m:oMath>
      <w:r>
        <w:rPr>
          <w:rFonts w:ascii="Times New Roman" w:hAnsi="Times New Roman" w:eastAsia="Times New Roman"/>
          <w:sz w:val="26"/>
        </w:rPr>
        <w:t xml:space="preserve"> </w:t>
      </w:r>
      <w:r>
        <w:rPr>
          <w:rFonts w:ascii="Times New Roman" w:hAnsi="Times New Roman" w:eastAsia="Times New Roman"/>
          <w:sz w:val="26"/>
        </w:rPr>
        <w:t xml:space="preserve">là phân vị mức</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 </w:t>
      </w:r>
      <w:r>
        <w:rPr>
          <w:rFonts w:ascii="Times New Roman" w:hAnsi="Times New Roman" w:eastAsia="Times New Roman"/>
          <w:sz w:val="26"/>
        </w:rPr>
        <w:t xml:space="preserve">của phân phối chuẩn chuẩn hóa. Với VaR 99%, ta thường dùng</w:t>
      </w:r>
      <w:r>
        <w:rPr>
          <w:rFonts w:ascii="Times New Roman" w:hAnsi="Times New Roman" w:eastAsia="Times New Roman"/>
          <w:sz w:val="26"/>
        </w:rPr>
        <w:t xml:space="preserve"> </w:t>
      </w:r>
      <m:oMath>
        <m:r>
          <m:t>α</m:t>
        </m:r>
        <m:r>
          <m:rPr>
            <m:sty m:val="p"/>
          </m:rPr>
          <m:t>=</m:t>
        </m:r>
        <m:r>
          <m:t>0.01</m:t>
        </m:r>
      </m:oMath>
      <w:r>
        <w:rPr>
          <w:rFonts w:ascii="Times New Roman" w:hAnsi="Times New Roman" w:eastAsia="Times New Roman"/>
          <w:sz w:val="26"/>
        </w:rPr>
        <w:t xml:space="preserve">, và</w:t>
      </w:r>
      <w:r>
        <w:rPr>
          <w:rFonts w:ascii="Times New Roman" w:hAnsi="Times New Roman" w:eastAsia="Times New Roman"/>
          <w:sz w:val="26"/>
        </w:rPr>
        <w:t xml:space="preserve"> </w:t>
      </w:r>
      <m:oMath>
        <m:sSub>
          <m:e>
            <m:r>
              <m:t>z</m:t>
            </m:r>
          </m:e>
          <m:sub>
            <m:r>
              <m:t>0.01</m:t>
            </m:r>
          </m:sub>
        </m:sSub>
        <m:r>
          <m:rPr>
            <m:sty m:val="p"/>
          </m:rPr>
          <m:t>≈</m:t>
        </m:r>
        <m:r>
          <m:rPr>
            <m:sty m:val="p"/>
          </m:rPr>
          <m:t>−</m:t>
        </m:r>
        <m:r>
          <m:t>2.33</m:t>
        </m:r>
      </m:oMath>
      <w:r>
        <w:rPr>
          <w:rFonts w:ascii="Times New Roman" w:hAnsi="Times New Roman" w:eastAsia="Times New Roman"/>
          <w:sz w:val="26"/>
        </w:rPr>
        <w:t xml:space="preserve">. Nếu trung bình tỷ lệ sinh lời ngắn hạn gần bằng không, công thức trên có thể xấp xỉ thành:</w:t>
      </w:r>
    </w:p>
    <w:p>
      <w:pPr>
        <w:pStyle w:val="BodyText"/>
      </w:pPr>
      <m:oMathPara>
        <m:oMathParaPr>
          <m:jc m:val="center"/>
        </m:oMathParaPr>
        <m:oMath>
          <m:r>
            <m:rPr>
              <m:sty m:val="p"/>
            </m:rPr>
            <m:t>[</m:t>
          </m:r>
          <m:r>
            <m:t>V</m:t>
          </m:r>
          <m:r>
            <m:t>a</m:t>
          </m:r>
          <m:sSubSup>
            <m:e>
              <m:r>
                <m:t>R</m:t>
              </m:r>
            </m:e>
            <m:sub>
              <m:r>
                <m:t>0.99</m:t>
              </m:r>
              <m:r>
                <m:rPr>
                  <m:sty m:val="p"/>
                </m:rPr>
                <m:t>,</m:t>
              </m:r>
              <m:r>
                <m:t>t</m:t>
              </m:r>
              <m:r>
                <m:rPr>
                  <m:sty m:val="p"/>
                </m:rPr>
                <m:t>+</m:t>
              </m:r>
              <m:r>
                <m:t>1</m:t>
              </m:r>
            </m:sub>
            <m:sup>
              <m:r>
                <m:t>r</m:t>
              </m:r>
              <m:r>
                <m:t>e</m:t>
              </m:r>
              <m:r>
                <m:t>t</m:t>
              </m:r>
              <m:r>
                <m:t>u</m:t>
              </m:r>
              <m:r>
                <m:t>r</m:t>
              </m:r>
              <m:r>
                <m:t>n</m:t>
              </m:r>
            </m:sup>
          </m:sSubSup>
          <m:r>
            <m:rPr>
              <m:sty m:val="p"/>
            </m:rPr>
            <m:t>≈</m:t>
          </m:r>
          <m:r>
            <m:t>2.33</m:t>
          </m:r>
          <m:sSub>
            <m:e>
              <m:r>
                <m:t>σ</m:t>
              </m:r>
            </m:e>
            <m:sub>
              <m:r>
                <m:t>t</m:t>
              </m:r>
              <m:r>
                <m:rPr>
                  <m:sty m:val="p"/>
                </m:rPr>
                <m:t>+</m:t>
              </m:r>
              <m:r>
                <m:t>1</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Để khắc phục nhược điểm “không nhìn vào phần lỗ vượt ngưỡng”,giá trị tổn thất kỳ vọng (ES - Expected Shortfall) gần đây đang được sử dụng như một công cụ đo lường rủi ro đuôi bổ sung cho VaR. ES được định nghĩa là mức lỗ kỳ vọng với điều kiện VaR đã bị vượt qua.Nếu</w:t>
      </w:r>
      <w:r>
        <w:rPr>
          <w:rFonts w:ascii="Times New Roman" w:hAnsi="Times New Roman" w:eastAsia="Times New Roman"/>
          <w:sz w:val="26"/>
        </w:rPr>
        <w:t xml:space="preserve"> </w:t>
      </w:r>
      <m:oMath>
        <m:r>
          <m:t>L</m:t>
        </m:r>
      </m:oMath>
      <w:r>
        <w:rPr>
          <w:rFonts w:ascii="Times New Roman" w:hAnsi="Times New Roman" w:eastAsia="Times New Roman"/>
          <w:sz w:val="26"/>
        </w:rPr>
        <w:t xml:space="preserve"> </w:t>
      </w:r>
      <w:r>
        <w:rPr>
          <w:rFonts w:ascii="Times New Roman" w:hAnsi="Times New Roman" w:eastAsia="Times New Roman"/>
          <w:sz w:val="26"/>
        </w:rPr>
        <w:t xml:space="preserve">là tổn thất và</w:t>
      </w:r>
      <w:r>
        <w:rPr>
          <w:rFonts w:ascii="Times New Roman" w:hAnsi="Times New Roman" w:eastAsia="Times New Roman"/>
          <w:sz w:val="26"/>
        </w:rPr>
        <w:t xml:space="preserve"> </w:t>
      </w:r>
      <m:oMath>
        <m:r>
          <m:t>V</m:t>
        </m:r>
        <m:r>
          <m:t>a</m:t>
        </m:r>
        <m:sSub>
          <m:e>
            <m:r>
              <m:t>R</m:t>
            </m:r>
          </m:e>
          <m:sub>
            <m:r>
              <m:t>α</m:t>
            </m:r>
          </m:sub>
        </m:sSub>
      </m:oMath>
      <w:r>
        <w:rPr>
          <w:rFonts w:ascii="Times New Roman" w:hAnsi="Times New Roman" w:eastAsia="Times New Roman"/>
          <w:sz w:val="26"/>
        </w:rPr>
        <w:t xml:space="preserve"> </w:t>
      </w:r>
      <w:r>
        <w:rPr>
          <w:rFonts w:ascii="Times New Roman" w:hAnsi="Times New Roman" w:eastAsia="Times New Roman"/>
          <w:sz w:val="26"/>
        </w:rPr>
        <w:t xml:space="preserve">là ngưỡng VaR tại mức tin cậy</w:t>
      </w:r>
      <w:r>
        <w:rPr>
          <w:rFonts w:ascii="Times New Roman" w:hAnsi="Times New Roman" w:eastAsia="Times New Roman"/>
          <w:sz w:val="26"/>
        </w:rPr>
        <w:t xml:space="preserve"> </w:t>
      </w:r>
      <m:oMath>
        <m:r>
          <m:t>α</m:t>
        </m:r>
      </m:oMath>
      <w:r>
        <w:rPr>
          <w:rFonts w:ascii="Times New Roman" w:hAnsi="Times New Roman" w:eastAsia="Times New Roman"/>
          <w:sz w:val="26"/>
        </w:rPr>
        <w:t xml:space="preserve">, thì ES có thể viết:</w:t>
      </w:r>
    </w:p>
    <w:p>
      <w:pPr>
        <w:pStyle w:val="BodyText"/>
      </w:pPr>
      <m:oMathPara>
        <m:oMathParaPr>
          <m:jc m:val="center"/>
        </m:oMathParaPr>
        <m:oMath>
          <m:r>
            <m:t>E</m:t>
          </m:r>
          <m:sSub>
            <m:e>
              <m:r>
                <m:t>S</m:t>
              </m:r>
            </m:e>
            <m:sub>
              <m:r>
                <m:t>α</m:t>
              </m:r>
            </m:sub>
          </m:sSub>
          <m:r>
            <m:rPr>
              <m:sty m:val="p"/>
            </m:rPr>
            <m:t>(</m:t>
          </m:r>
          <m:r>
            <m:t>L</m:t>
          </m:r>
          <m:r>
            <m:rPr>
              <m:sty m:val="p"/>
            </m:rPr>
            <m:t>)</m:t>
          </m:r>
          <m:r>
            <m:rPr>
              <m:sty m:val="p"/>
            </m:rPr>
            <m:t>=</m:t>
          </m:r>
          <m:r>
            <m:t>E</m:t>
          </m:r>
          <m:r>
            <m:rPr>
              <m:sty m:val="p"/>
            </m:rPr>
            <m:t>(</m:t>
          </m:r>
          <m:r>
            <m:t>L</m:t>
          </m:r>
          <m:r>
            <m:rPr>
              <m:sty m:val="p"/>
            </m:rPr>
            <m:t>|</m:t>
          </m:r>
          <m:r>
            <m:t>L</m:t>
          </m:r>
          <m:r>
            <m:rPr>
              <m:sty m:val="p"/>
            </m:rPr>
            <m:t>&gt;</m:t>
          </m:r>
          <m:r>
            <m:t>V</m:t>
          </m:r>
          <m:r>
            <m:t>a</m:t>
          </m:r>
          <m:sSub>
            <m:e>
              <m:r>
                <m:t>R</m:t>
              </m:r>
            </m:e>
            <m:sub>
              <m:r>
                <m:t>α</m:t>
              </m:r>
            </m:sub>
          </m:sSub>
          <m:r>
            <m:rPr>
              <m:sty m:val="p"/>
            </m:rPr>
            <m:t>(</m:t>
          </m:r>
          <m:r>
            <m:t>L</m:t>
          </m:r>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Công thức này cho thấy trong cách tiếp cận tham số dựa trên phân phối chuẩn, VaR phụ thuộc trực tiếp vào volatility. Khi volatility tăng, VaR tăng; khi volatility giảm, VaR giảm. Đây là lý do các mô hình volatility như EWMA, ARCH, GARCH, EGARCH hoặc GJR-GARCH có vai trò quan trọng trong ước lượng VaR động</w:t>
      </w:r>
      <w:r>
        <w:rPr>
          <w:rFonts w:ascii="Times New Roman" w:hAnsi="Times New Roman" w:eastAsia="Times New Roman"/>
          <w:sz w:val="26"/>
        </w:rPr>
        <w:t xml:space="preserve"> </w:t>
      </w:r>
      <w:r>
        <w:rPr>
          <w:rFonts w:ascii="Times New Roman" w:hAnsi="Times New Roman" w:eastAsia="Times New Roman"/>
          <w:sz w:val="26"/>
        </w:rPr>
        <w:t xml:space="preserve">(Bollerslev, 1986; Engle, 1982; Tsay, 2010)</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Tuy nhiên, công thức VaR chuẩn cũng cho thấy một hạn chế quan trọng: nếu phân phối tỷ lệ sinh lời thực tế có đuôi dày hơn phân phối chuẩn, phân vị đuôi trái thực tế sẽ nghiêm trọng hơn so với phân vị chuẩn. Khi đó, VaR dựa trên giả định chuẩn có thể đánh giá thấp xác suất xảy ra khoản lỗ lớn. Đây là một trong những lý do phần kiểm định tính chuẩn, độ nhọn, Q–Q plot và các kiểm định như Jarque–Bera hoặc Anderson–Darling có ý nghĩa quan trọng trước khi lựa chọn phương pháp VaR.</w:t>
      </w:r>
    </w:p>
    <w:p>
      <w:pPr>
        <w:pStyle w:val="BodyText"/>
        <w:spacing w:before="60" w:after="60" w:line="276" w:lineRule="auto"/>
        <w:ind w:firstLine="567"/>
        <w:jc w:val="both"/>
      </w:pPr>
      <w:r>
        <w:rPr>
          <w:rFonts w:ascii="Times New Roman" w:hAnsi="Times New Roman" w:eastAsia="Times New Roman"/>
          <w:sz w:val="26"/>
        </w:rPr>
        <w:t xml:space="preserve">Đối với dữ liệu tài chính, đặc biệt là dữ liệu cổ phiếu và chỉ số chứng khoán, phân phối tỷ lệ sinh lời thường có excess kurtosis dương, tức là đuôi phân phối dày hơn chuẩn. Điều này hàm ý rằng các biến động cực đoan xảy ra thường xuyên hơn so với dự báo của phân phối chuẩn. Nếu sử dụng mô hình VaR chuẩn trong bối cảnh này, nhà quản trị rủi ro có thể bị tạo cảm giác an toàn giả tạo. Do đó, trong thực nghiệm, người nghiên cứu thường cân nhắc các phân phối thay thế như Student-t, skewed Student-t, GED, hoặc các cách tiếp cận phi tham số như mô phỏng lịch sử</w:t>
      </w:r>
      <w:r>
        <w:rPr>
          <w:rFonts w:ascii="Times New Roman" w:hAnsi="Times New Roman" w:eastAsia="Times New Roman"/>
          <w:sz w:val="26"/>
        </w:rPr>
        <w:t xml:space="preserve"> </w:t>
      </w:r>
      <w:r>
        <w:rPr>
          <w:rFonts w:ascii="Times New Roman" w:hAnsi="Times New Roman" w:eastAsia="Times New Roman"/>
          <w:sz w:val="26"/>
        </w:rPr>
        <w:t xml:space="preserve">(Brooks, 2019; Tsay, 2013)</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VaR cũng có vai trò quan trọng trong</w:t>
      </w:r>
      <w:r>
        <w:rPr>
          <w:rFonts w:ascii="Times New Roman" w:hAnsi="Times New Roman" w:eastAsia="Times New Roman"/>
          <w:sz w:val="26"/>
        </w:rPr>
        <w:t xml:space="preserve"> </w:t>
      </w:r>
      <w:r>
        <w:rPr>
          <w:rFonts w:ascii="Times New Roman" w:hAnsi="Times New Roman" w:eastAsia="Times New Roman"/>
          <w:b/>
          <w:bCs/>
          <w:sz w:val="26"/>
        </w:rPr>
        <w:t xml:space="preserve">khung giám sát ngân hàng theo Basel</w:t>
      </w:r>
      <w:r>
        <w:rPr>
          <w:rFonts w:ascii="Times New Roman" w:hAnsi="Times New Roman" w:eastAsia="Times New Roman"/>
          <w:sz w:val="26"/>
        </w:rPr>
        <w:t xml:space="preserve">. Cụ thể, VaR là một công cụ trung tâm trong đo lường rủi ro thị trường của sổ kinh daonh trong khung quản trị rủi ro của Hiệp ước Basel. Điều này phản ánh đúng ưu điểm của VaR: nó cho phép lượng hóa rủi ro danh mục thành một con số tương đối chuẩn hóa, có thể gắn với yêu cầu vốn và quy trình giám sát.</w:t>
      </w:r>
    </w:p>
    <w:p>
      <w:pPr>
        <w:pStyle w:val="BodyText"/>
      </w:pPr>
      <w:r>
        <w:drawing>
          <wp:inline>
            <wp:extent cx="4620126" cy="3696101"/>
            <wp:effectExtent b="0" l="0" r="0" t="0"/>
            <wp:docPr descr="" title="" id="60" name="Picture"/>
            <a:graphic>
              <a:graphicData uri="http://schemas.openxmlformats.org/drawingml/2006/picture">
                <pic:pic>
                  <pic:nvPicPr>
                    <pic:cNvPr descr="ch01_docx_tmp_files/figure-docx/unnamed-chunk-1-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spacing w:before="60" w:after="60" w:line="240" w:lineRule="auto"/>
        <w:ind w:firstLine="0"/>
        <w:jc w:val="center"/>
      </w:pPr>
      <w:r>
        <w:rPr>
          <w:rFonts w:ascii="Times New Roman" w:hAnsi="Times New Roman" w:eastAsia="Times New Roman"/>
          <w:b/>
          <w:i w:val="0"/>
          <w:sz w:val="24"/>
        </w:rPr>
        <w:t>Hình dưới đây cho thấy với cùng một mức volatility, giả định phân phối khác nhau có thể tạo ra VaR khác nhau. Phân phối Student-t có đuôi dày hơn nên phân vị 1% nằm xa hơn về phía trái so với phân phối chuẩn. Đây là minh họa trực quan cho lập luận rằng VaR không chỉ phụ thuộc vào volatility, mà còn phụ thuộc vào hình dạng phân phối, đặc biệt là vùng đuôi.</w:t>
      </w:r>
    </w:p>
    <w:bookmarkEnd w:id="62"/>
    <w:bookmarkStart w:id="67" w:name="Xf635235f8fa3ff865240bf61b6f59a9c0c001ed"/>
    <w:p>
      <w:pPr>
        <w:pStyle w:val="Heading3"/>
        <w:spacing w:before="120" w:after="120" w:line="276" w:lineRule="auto"/>
        <w:ind w:firstLine="0"/>
        <w:jc w:val="left"/>
      </w:pPr>
      <w:r>
        <w:rPr>
          <w:rFonts w:ascii="Times New Roman" w:hAnsi="Times New Roman" w:eastAsia="Times New Roman"/>
          <w:b/>
          <w:i w:val="0"/>
          <w:sz w:val="26"/>
        </w:rPr>
        <w:t xml:space="preserve">1.6.3 Ba cách tiếp cận cơ bản trong ước lượng VaR</w:t>
      </w:r>
    </w:p>
    <w:p>
      <w:pPr>
        <w:pStyle w:val="FirstParagraph"/>
        <w:spacing w:before="60" w:after="60" w:line="276" w:lineRule="auto"/>
        <w:ind w:firstLine="567"/>
        <w:jc w:val="both"/>
      </w:pPr>
      <w:r>
        <w:rPr>
          <w:rFonts w:ascii="Times New Roman" w:hAnsi="Times New Roman" w:eastAsia="Times New Roman"/>
          <w:sz w:val="26"/>
        </w:rPr>
        <w:t xml:space="preserve">Trong thực hành, có nhiều phương pháp ước lượng VaR. Tuy nhiên, ở mức nhập môn, có thể phân loại thành ba nhóm chính: phương pháp tham số, mô phỏng lịch sử và mô phỏng Monte Carlo. Ba nhóm phương pháp này khác nhau chủ yếu ở cách mô hình hóa phân phối tỷ lệ sinh lời hoặc phân phối lỗ của danh mục</w:t>
      </w:r>
      <w:r>
        <w:rPr>
          <w:rFonts w:ascii="Times New Roman" w:hAnsi="Times New Roman" w:eastAsia="Times New Roman"/>
          <w:sz w:val="26"/>
        </w:rPr>
        <w:t xml:space="preserve"> </w:t>
      </w:r>
      <w:r>
        <w:rPr>
          <w:rFonts w:ascii="Times New Roman" w:hAnsi="Times New Roman" w:eastAsia="Times New Roman"/>
          <w:sz w:val="26"/>
        </w:rPr>
        <w:t xml:space="preserve">(Choudhry, 2013; Tsay, 2013)</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b/>
          <w:bCs/>
          <w:sz w:val="26"/>
        </w:rPr>
        <w:t xml:space="preserve">Phương pháp tham số</w:t>
      </w:r>
      <w:r>
        <w:rPr>
          <w:rFonts w:ascii="Times New Roman" w:hAnsi="Times New Roman" w:eastAsia="Times New Roman"/>
          <w:sz w:val="26"/>
        </w:rPr>
        <w:t xml:space="preserve">, còn gọi là phương pháp variance–covariance hoặc analytic VaR, giả định rằng tỷ lệ sinh lời tuân theo một phân phối xác định, thường là phân phối chuẩn hoặc Student-t. Khi biết trung bình, volatility và phân vị của phân phối giả định, VaR có thể được tính trực tiếp bằng công thức. Ưu điểm của phương pháp này là đơn giản, dễ triển khai, ít tốn kém về tính toán và phù hợp để giới thiệu nền tảng lý thuyết. Hạn chế chính là kết quả VaR phụ thuộc mạnh vào giả định phân phối. Nếu giả định chuẩn không phù hợp, đặc biệt khi dữ liệu có đuôi dày hoặc bất đối xứng, VaR có thể bị sai lệch đáng kể.</w:t>
      </w:r>
    </w:p>
    <w:p>
      <w:pPr>
        <w:pStyle w:val="BodyText"/>
        <w:spacing w:before="60" w:after="60" w:line="276" w:lineRule="auto"/>
        <w:ind w:firstLine="567"/>
        <w:jc w:val="both"/>
      </w:pPr>
      <w:r>
        <w:rPr>
          <w:rFonts w:ascii="Times New Roman" w:hAnsi="Times New Roman" w:eastAsia="Times New Roman"/>
          <w:b/>
          <w:bCs/>
          <w:sz w:val="26"/>
        </w:rPr>
        <w:t xml:space="preserve">Mô phỏng lịch sử</w:t>
      </w:r>
      <w:r>
        <w:rPr>
          <w:rFonts w:ascii="Times New Roman" w:hAnsi="Times New Roman" w:eastAsia="Times New Roman"/>
          <w:sz w:val="26"/>
        </w:rPr>
        <w:t xml:space="preserve"> </w:t>
      </w:r>
      <w:r>
        <w:rPr>
          <w:rFonts w:ascii="Times New Roman" w:hAnsi="Times New Roman" w:eastAsia="Times New Roman"/>
          <w:sz w:val="26"/>
        </w:rPr>
        <w:t xml:space="preserve">không giả định một dạng phân phối tham số cụ thể. Phương pháp này sử dụng trực tiếp các quan sát tỷ lệ sinh lời trong quá khứ để xây dựng phân phối thực nghiệm, sau đó lấy phân vị tương ứng để tính VaR. Ví dụ, để tính VaR 99% từ 1.000 quan sát tỷ lệ sinh lời quá khứ, ta sắp xếp các tỷ lệ sinh lời từ thấp đến cao và lấy phân vị 1%. Ưu điểm của phương pháp này là trực quan và phản ánh được phần nào đặc điểm thực nghiệm của dữ liệu như đuôi dày hoặc bất đối xứng. Tuy nhiên, mô phỏng lịch sử phụ thuộc mạnh vào cửa sổ dữ liệu được chọn và giả định rằng quá khứ là đại diện hợp lý cho rủi ro tương lai. Nếu thị trường bước vào một trạng thái mới chưa từng xuất hiện trong mẫu dữ liệu, VaR lịch sử có thể đánh giá thấp rủi ro.</w:t>
      </w:r>
    </w:p>
    <w:p>
      <w:pPr>
        <w:pStyle w:val="BodyText"/>
        <w:spacing w:before="60" w:after="60" w:line="276" w:lineRule="auto"/>
        <w:ind w:firstLine="567"/>
        <w:jc w:val="both"/>
      </w:pPr>
      <w:r>
        <w:rPr>
          <w:rFonts w:ascii="Times New Roman" w:hAnsi="Times New Roman" w:eastAsia="Times New Roman"/>
          <w:b/>
          <w:bCs/>
          <w:sz w:val="26"/>
        </w:rPr>
        <w:t xml:space="preserve">Mô phỏng Monte Carlo</w:t>
      </w:r>
      <w:r>
        <w:rPr>
          <w:rFonts w:ascii="Times New Roman" w:hAnsi="Times New Roman" w:eastAsia="Times New Roman"/>
          <w:sz w:val="26"/>
        </w:rPr>
        <w:t xml:space="preserve"> </w:t>
      </w:r>
      <w:r>
        <w:rPr>
          <w:rFonts w:ascii="Times New Roman" w:hAnsi="Times New Roman" w:eastAsia="Times New Roman"/>
          <w:sz w:val="26"/>
        </w:rPr>
        <w:t xml:space="preserve">tạo ra một số lượng lớn kịch bản tỷ lệ sinh lời hoặc giá trị danh mục dựa trên một mô hình xác suất đã được lựa chọn. Sau đó, VaR được tính từ phân phối mô phỏng của khoản lỗ. Phương pháp này linh hoạt hơn hai phương pháp trên vì có thể xử lý danh mục phi tuyến, quyền chọn, sản phẩm phái sinh và các giả định phức tạp về động thái giá tài sản. Hạn chế là Monte Carlo đòi hỏi mô hình đầu vào phù hợp, năng lực tính toán cao hơn và có thể tạo ra cảm giác chính xác giả nếu mô hình mô phỏng sai.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vAlign w:val="center"/>
          </w:tcPr>
          <w:p>
            <w:pPr>
              <w:pStyle w:val="Compact"/>
              <w:spacing w:before="0" w:after="0" w:line="240" w:lineRule="auto"/>
              <w:ind w:firstLine="0"/>
              <w:jc w:val="center"/>
            </w:pPr>
            <w:r>
              <w:rPr>
                <w:rFonts w:ascii="Times New Roman" w:hAnsi="Times New Roman" w:eastAsia="Times New Roman"/>
                <w:b/>
                <w:sz w:val="24"/>
              </w:rPr>
              <w:t xml:space="preserve">Phương pháp</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Ý tưởng chính</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Ưu điểm</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Hạn chế</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Phù hợp khi</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VaR tham số</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Giả định phân phối của tỷ lệ sinh lời, thường là chuẩn hoặc Student-t</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Đơn giản, nhanh, dễ giải thích</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Nhạy cảm với giả định phân phối</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Danh mục tuyến tính, mục tiêu minh họa, dữ liệu tương đối ổn định</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Mô phỏng lịch sử</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Dùng phân phối thực nghiệm của tỷ lệ sinh lời quá khứ</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Ít giả định tham số, trực quan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Phụ thuộc cửa sổ dữ liệu, khó phản ánh kịch bản chưa từng xảy ra</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Có đủ dữ liệu quá khứ và cấu trúc danh mục không quá phức tạp</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Monte Carlo</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Mô phỏng nhiều kịch bản dựa trên mô hình xác suất</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Linh hoạt, xử lý được sản phẩm phi tuyến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Phụ thuộc mô hình, tốn tính toán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Danh mục phức tạp, có phái sinh, cần mô phỏng nhiều kịch bản</w:t>
            </w:r>
          </w:p>
        </w:tc>
      </w:tr>
    </w:tbl>
    <w:p>
      <w:pPr>
        <w:pStyle w:val="BodyText"/>
        <w:spacing w:before="60" w:after="60" w:line="276" w:lineRule="auto"/>
        <w:ind w:firstLine="567"/>
        <w:jc w:val="both"/>
      </w:pPr>
      <w:r>
        <w:rPr>
          <w:rFonts w:ascii="Times New Roman" w:hAnsi="Times New Roman" w:eastAsia="Times New Roman"/>
          <w:sz w:val="26"/>
        </w:rPr>
        <w:t xml:space="preserve">Ba phương pháp trên không nên được xem là các lựa chọn tách biệt hoàn toàn. Trong thực nghiệm quản trị rủi ro, nhà phân tích thường so sánh nhiều phương pháp VaR trên cùng một tập dữ liệu để đánh giá độ nhạy của kết quả. Chẳng hạn, VaR chuẩn có thể được dùng như mô hình nền; VaR lịch sử giúp kiểm tra phân phối thực nghiệm; VaR dựa trên GARCH cho phép volatility thay đổi theo thời gian; và VaR với phân phối Student-t hoặc EVT có thể được dùng khi dữ liệu có rủi ro đuôi lớn. Việc lựa chọn phương pháp VaR phải xuất phát từ đặc điểm dữ liệu, cấu trúc danh mục và mục tiêu quản trị rủi ro.</w:t>
      </w:r>
    </w:p>
    <w:tbl>
      <w:tblPr>
        <w:tblStyle w:val="Table"/>
        <w:tblW w:type="pct" w:w="5000"/>
        <w:tblLayout w:type="fixed"/>
        <w:tblLook w:firstRow="0" w:lastRow="0" w:firstColumn="0" w:lastColumn="0" w:noHBand="0" w:noVBand="0" w:val="0000"/>
      </w:tblPr>
      <w:tblGrid>
        <w:gridCol w:w="7920"/>
      </w:tblGrid>
      <w:tr>
        <w:tc>
          <w:tcPr>
            <w:vAlign w:val="center"/>
          </w:tcPr>
          <w:bookmarkStart w:id="66" w:name="fig-var-methods-flow"/>
          <w:p>
            <w:pPr>
              <w:pStyle w:val="Compact"/>
              <w:spacing w:before="0" w:after="0" w:line="240" w:lineRule="auto"/>
              <w:ind w:firstLine="0"/>
              <w:jc w:val="center"/>
            </w:pPr>
            <w:r>
              <w:rPr>
                <w:rFonts w:ascii="Times New Roman" w:hAnsi="Times New Roman" w:eastAsia="Times New Roman"/>
                <w:b/>
                <w:sz w:val="24"/>
              </w:rPr>
              <w:drawing>
                <wp:inline>
                  <wp:extent cx="5334000" cy="3382040"/>
                  <wp:effectExtent b="0" l="0" r="0" t="0"/>
                  <wp:docPr descr="" title="" id="64" name="Picture"/>
                  <a:graphic>
                    <a:graphicData uri="http://schemas.openxmlformats.org/drawingml/2006/picture">
                      <pic:pic>
                        <pic:nvPicPr>
                          <pic:cNvPr descr="ch01_docx_tmp_files/figure-docx/fig-var-methods-flow-1.png" id="65" name="Picture"/>
                          <pic:cNvPicPr>
                            <a:picLocks noChangeArrowheads="1" noChangeAspect="1"/>
                          </pic:cNvPicPr>
                        </pic:nvPicPr>
                        <pic:blipFill>
                          <a:blip r:embed="rId63"/>
                          <a:stretch>
                            <a:fillRect/>
                          </a:stretch>
                        </pic:blipFill>
                        <pic:spPr bwMode="auto">
                          <a:xfrm>
                            <a:off x="0" y="0"/>
                            <a:ext cx="5334000" cy="3382040"/>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5: Ba cách tiếp cận cơ bản trong ước lượng VaR</w:t>
            </w:r>
          </w:p>
          <w:bookmarkEnd w:id="66"/>
        </w:tc>
      </w:tr>
    </w:tbl>
    <w:p>
      <w:pPr>
        <w:pStyle w:val="BodyText"/>
        <w:spacing w:before="60" w:after="60" w:line="240" w:lineRule="auto"/>
        <w:ind w:firstLine="0"/>
        <w:jc w:val="center"/>
      </w:pPr>
      <w:r>
        <w:rPr>
          <w:rFonts w:ascii="Times New Roman" w:hAnsi="Times New Roman" w:eastAsia="Times New Roman"/>
          <w:b/>
          <w:i w:val="0"/>
          <w:sz w:val="24"/>
        </w:rPr>
        <w:t>Hình 5 tóm tắt logic chung của ba nhóm phương pháp VaR. Dữ liệu tỷ lệ sinh lời là điểm xuất phát; phương pháp ước lượng khác nhau ở bước xây dựng phân phối lỗ hoặc phân phối tỷ lệ sinh lời; VaR cuối cùng được lấy từ phân vị tương ứng của phân phối đó.</w:t>
      </w:r>
    </w:p>
    <w:bookmarkEnd w:id="67"/>
    <w:bookmarkStart w:id="73" w:name="X11c07cce4decab6c6fa9d4a92233feffcdc9edc"/>
    <w:p>
      <w:pPr>
        <w:pStyle w:val="Heading3"/>
        <w:spacing w:before="120" w:after="120" w:line="276" w:lineRule="auto"/>
        <w:ind w:firstLine="0"/>
        <w:jc w:val="left"/>
      </w:pPr>
      <w:r>
        <w:rPr>
          <w:rFonts w:ascii="Times New Roman" w:hAnsi="Times New Roman" w:eastAsia="Times New Roman"/>
          <w:b/>
          <w:i w:val="0"/>
          <w:sz w:val="26"/>
        </w:rPr>
        <w:t xml:space="preserve">1.6.4 Ví dụ minh họa đơn giản về VaR tham số và VaR lịch sử</w:t>
      </w:r>
    </w:p>
    <w:p>
      <w:pPr>
        <w:pStyle w:val="FirstParagraph"/>
        <w:spacing w:before="60" w:after="60" w:line="276" w:lineRule="auto"/>
        <w:ind w:firstLine="567"/>
        <w:jc w:val="both"/>
      </w:pPr>
      <w:r>
        <w:rPr>
          <w:rFonts w:ascii="Times New Roman" w:hAnsi="Times New Roman" w:eastAsia="Times New Roman"/>
          <w:sz w:val="26"/>
        </w:rPr>
        <w:t xml:space="preserve">Giả sử ta có một chuỗi tỷ lệ sinh lời ngày của một chỉ số chứng khoán. Để đơn giản, xét VaR 1 ngày ở mức tin cậy 99%. Nếu sử dụng phương pháp tham số với giả định chuẩn, ta cần ước lượng trung bình và độ lệch chuẩn của tỷ lệ sinh lời. Nếu sử dụng mô phỏng lịch sử, ta chỉ cần lấy phân vị 1% của chuỗi tỷ lệ sinh lời quan sát được. Hai cách tính này có thể cho kết quả khác nhau, đặc biệt khi phân phối tỷ lệ sinh lời có đuôi dày hoặc bất đối xứng.</w:t>
      </w:r>
    </w:p>
    <w:tbl>
      <w:tblPr>
        <w:tblStyle w:val="Table"/>
        <w:tblW w:type="pct" w:w="5000"/>
        <w:tblLayout w:type="fixed"/>
        <w:tblLook w:firstRow="0" w:lastRow="0" w:firstColumn="0" w:lastColumn="0" w:noHBand="0" w:noVBand="0" w:val="0000"/>
      </w:tblPr>
      <w:tblGrid>
        <w:gridCol w:w="7920"/>
      </w:tblGrid>
      <w:tr>
        <w:tc>
          <w:tcPr>
            <w:vAlign w:val="center"/>
          </w:tcPr>
          <w:bookmarkStart w:id="68" w:name="tbl-var-example"/>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9: Ví dụ tính VaR 1 ngày ở mức tin cậy 99% bằng phương pháp tham số và mô phỏng lịch sử</w:t>
            </w:r>
          </w:p>
          <w:tbl>
            <w:tblPr>
              <w:tblStyle w:val="Table"/>
              <w:tblW w:type="pct" w:w="5000"/>
              <w:tblLayout w:type="fixed"/>
              <w:tblLook w:firstRow="1" w:lastRow="0" w:firstColumn="0" w:lastColumn="0" w:noHBand="0" w:noVBand="0" w:val="0020"/>
            </w:tblPr>
            <w:tblGrid>
              <w:gridCol w:w="2944"/>
              <w:gridCol w:w="1523"/>
              <w:gridCol w:w="3452"/>
            </w:tblGrid>
            <w:tr>
              <w:trPr>
                <w:tblHeader w:val="on"/>
              </w:trPr>
              <w:tc>
                <w:tcPr/>
                <w:p>
                  <w:pPr>
                    <w:pStyle w:val="Compact"/>
                    <w:jc w:val="left"/>
                    <w:jc w:val="center"/>
                  </w:pPr>
                  <w:r>
                    <w:t xml:space="preserve">Phương pháp</w:t>
                  </w:r>
                </w:p>
              </w:tc>
              <w:tc>
                <w:tcPr/>
                <w:p>
                  <w:pPr>
                    <w:pStyle w:val="Compact"/>
                    <w:jc w:val="right"/>
                    <w:jc w:val="center"/>
                  </w:pPr>
                  <w:r>
                    <w:t xml:space="preserve">VaR theo tỷ lệ</w:t>
                  </w:r>
                </w:p>
              </w:tc>
              <w:tc>
                <w:tcPr/>
                <w:p>
                  <w:pPr>
                    <w:pStyle w:val="Compact"/>
                    <w:jc w:val="right"/>
                    <w:jc w:val="center"/>
                  </w:pPr>
                  <w:r>
                    <w:t xml:space="preserve">VaR tiền tệ, danh mục 100 tỷ đồng</w:t>
                  </w:r>
                </w:p>
              </w:tc>
            </w:tr>
            <w:tr>
              <w:tc>
                <w:tcPr/>
                <w:p>
                  <w:pPr>
                    <w:pStyle w:val="Compact"/>
                    <w:jc w:val="left"/>
                    <w:jc w:val="center"/>
                  </w:pPr>
                  <w:r>
                    <w:t xml:space="preserve">VaR tham số - giả định chuẩn</w:t>
                  </w:r>
                </w:p>
              </w:tc>
              <w:tc>
                <w:tcPr/>
                <w:p>
                  <w:pPr>
                    <w:pStyle w:val="Compact"/>
                    <w:jc w:val="right"/>
                    <w:jc w:val="center"/>
                  </w:pPr>
                  <w:r>
                    <w:t xml:space="preserve">3.66%</w:t>
                  </w:r>
                </w:p>
              </w:tc>
              <w:tc>
                <w:tcPr/>
                <w:p>
                  <w:pPr>
                    <w:pStyle w:val="Compact"/>
                    <w:jc w:val="right"/>
                    <w:jc w:val="center"/>
                  </w:pPr>
                  <w:r>
                    <w:t xml:space="preserve">3.658.022.123 đồng</w:t>
                  </w:r>
                </w:p>
              </w:tc>
            </w:tr>
            <w:tr>
              <w:tc>
                <w:tcPr/>
                <w:p>
                  <w:pPr>
                    <w:pStyle w:val="Compact"/>
                    <w:jc w:val="left"/>
                    <w:jc w:val="center"/>
                  </w:pPr>
                  <w:r>
                    <w:t xml:space="preserve">VaR mô phỏng lịch sử</w:t>
                  </w:r>
                </w:p>
              </w:tc>
              <w:tc>
                <w:tcPr/>
                <w:p>
                  <w:pPr>
                    <w:pStyle w:val="Compact"/>
                    <w:jc w:val="right"/>
                    <w:jc w:val="center"/>
                  </w:pPr>
                  <w:r>
                    <w:t xml:space="preserve">4.38%</w:t>
                  </w:r>
                </w:p>
              </w:tc>
              <w:tc>
                <w:tcPr/>
                <w:p>
                  <w:pPr>
                    <w:pStyle w:val="Compact"/>
                    <w:jc w:val="right"/>
                    <w:jc w:val="center"/>
                  </w:pPr>
                  <w:r>
                    <w:t xml:space="preserve">4.378.209.002 đồng</w:t>
                  </w:r>
                </w:p>
              </w:tc>
            </w:tr>
          </w:tbl>
          <w:bookmarkEnd w:id="68"/>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9 minh họa sự khác biệt giữa VaR tham số và VaR lịch sử. Trong ví dụ này, dữ liệu được mô phỏng từ phân phối Student-t để phản ánh hiện tượng đuôi dày thường gặp trong tỷ lệ sinh lời tài chính. Khi áp dụng vào dữ liệu thực tế, người đọc có thể thay chuỗi r bằng tỷ lệ sinh lời của VN-Index, VN30 hoặc một cổ phiếu cụ thể. Nếu VaR lịch sử lớn hơn đáng kể so với VaR tham số chuẩn, đây có thể là dấu hiệu cho thấy giả định chuẩn đang đánh giá thấp rủi ro ở vùng đuôi.</w:t>
      </w:r>
    </w:p>
    <w:tbl>
      <w:tblPr>
        <w:tblStyle w:val="Table"/>
        <w:tblW w:type="pct" w:w="5000"/>
        <w:tblLayout w:type="fixed"/>
        <w:tblLook w:firstRow="0" w:lastRow="0" w:firstColumn="0" w:lastColumn="0" w:noHBand="0" w:noVBand="0" w:val="0000"/>
      </w:tblPr>
      <w:tblGrid>
        <w:gridCol w:w="7920"/>
      </w:tblGrid>
      <w:tr>
        <w:tc>
          <w:tcPr>
            <w:vAlign w:val="center"/>
          </w:tcPr>
          <w:bookmarkStart w:id="72" w:name="fig-var-confidence-levels"/>
          <w:p>
            <w:pPr>
              <w:pStyle w:val="Compact"/>
              <w:spacing w:before="0" w:after="0" w:line="240" w:lineRule="auto"/>
              <w:ind w:firstLine="0"/>
              <w:jc w:val="center"/>
            </w:pPr>
            <w:r>
              <w:rPr>
                <w:rFonts w:ascii="Times New Roman" w:hAnsi="Times New Roman" w:eastAsia="Times New Roman"/>
                <w:b/>
                <w:sz w:val="24"/>
              </w:rPr>
              <w:drawing>
                <wp:inline>
                  <wp:extent cx="4620126" cy="3696101"/>
                  <wp:effectExtent b="0" l="0" r="0" t="0"/>
                  <wp:docPr descr="" title="" id="70" name="Picture"/>
                  <a:graphic>
                    <a:graphicData uri="http://schemas.openxmlformats.org/drawingml/2006/picture">
                      <pic:pic>
                        <pic:nvPicPr>
                          <pic:cNvPr descr="ch01_docx_tmp_files/figure-docx/fig-var-confidence-levels-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6: VaR tăng khi mức tin cậy tăng</w:t>
            </w:r>
          </w:p>
          <w:bookmarkEnd w:id="72"/>
        </w:tc>
      </w:tr>
    </w:tbl>
    <w:p>
      <w:pPr>
        <w:pStyle w:val="BodyText"/>
        <w:spacing w:before="60" w:after="60" w:line="240" w:lineRule="auto"/>
        <w:ind w:firstLine="0"/>
        <w:jc w:val="center"/>
      </w:pPr>
      <w:r>
        <w:rPr>
          <w:rFonts w:ascii="Times New Roman" w:hAnsi="Times New Roman" w:eastAsia="Times New Roman"/>
          <w:b/>
          <w:i w:val="0"/>
          <w:sz w:val="24"/>
        </w:rPr>
        <w:t>Hình 6 cho thấy VaR thay đổi đáng kể khi thay đổi mức tin cậy, ngay cả khi volatility được giữ cố định. Đây là lý do mọi báo cáo VaR phải ghi rõ mức tin cậy. VaR 99% không thể so sánh trực tiếp với VaR 95% nếu không chú ý đến khác biệt về xác suất đuôi.</w:t>
      </w:r>
    </w:p>
    <w:bookmarkEnd w:id="73"/>
    <w:bookmarkStart w:id="78" w:name="var-và-expected-shortfall"/>
    <w:p>
      <w:pPr>
        <w:pStyle w:val="Heading3"/>
        <w:spacing w:before="120" w:after="120" w:line="276" w:lineRule="auto"/>
        <w:ind w:firstLine="0"/>
        <w:jc w:val="left"/>
      </w:pPr>
      <w:r>
        <w:rPr>
          <w:rFonts w:ascii="Times New Roman" w:hAnsi="Times New Roman" w:eastAsia="Times New Roman"/>
          <w:b/>
          <w:i w:val="0"/>
          <w:sz w:val="26"/>
        </w:rPr>
        <w:t xml:space="preserve">1.6.5 VaR và Expected Shortfall</w:t>
      </w:r>
    </w:p>
    <w:p>
      <w:pPr>
        <w:pStyle w:val="FirstParagraph"/>
        <w:spacing w:before="60" w:after="60" w:line="276" w:lineRule="auto"/>
        <w:ind w:firstLine="567"/>
        <w:jc w:val="both"/>
      </w:pPr>
      <w:r>
        <w:rPr>
          <w:rFonts w:ascii="Times New Roman" w:hAnsi="Times New Roman" w:eastAsia="Times New Roman"/>
          <w:sz w:val="26"/>
        </w:rPr>
        <w:t xml:space="preserve">Mặc dù VaR được sử dụng rộng rãi, thước đo này có một hạn chế cơ bản: VaR chỉ cho biết ngưỡng tổn thất tại một mức xác suất nhất định, nhưng không cho biết mức lỗ trung bình trong trường hợp khoản lỗ đã vượt qua ngưỡng đó. Nói cách khác, VaR trả lời câu hỏi “ngưỡng lỗ là bao nhiêu?”, nhưng không trả lời đầy đủ câu hỏi “nếu lỗ vượt ngưỡng, mức lỗ có thể nghiêm trọng đến đâu?”.</w:t>
      </w:r>
    </w:p>
    <w:p>
      <w:pPr>
        <w:pStyle w:val="BodyText"/>
        <w:spacing w:before="60" w:after="60" w:line="276" w:lineRule="auto"/>
        <w:ind w:firstLine="567"/>
        <w:jc w:val="both"/>
      </w:pPr>
      <w:r>
        <w:rPr>
          <w:rFonts w:ascii="Times New Roman" w:hAnsi="Times New Roman" w:eastAsia="Times New Roman"/>
          <w:sz w:val="26"/>
        </w:rPr>
        <w:t xml:space="preserve">Expected Shortfall (ES), còn gọi là Conditional VaR trong một số tài liệu, được sử dụng để bổ sung cho VaR bằng cách đo lường mức lỗ kỳ vọng có điều kiện khi khoản lỗ vượt quá VaR. Với biến lỗ</w:t>
      </w:r>
      <w:r>
        <w:rPr>
          <w:rFonts w:ascii="Times New Roman" w:hAnsi="Times New Roman" w:eastAsia="Times New Roman"/>
          <w:sz w:val="26"/>
        </w:rPr>
        <w:t xml:space="preserve"> </w:t>
      </w:r>
      <m:oMath>
        <m:sSub>
          <m:e>
            <m:r>
              <m:t>L</m:t>
            </m:r>
          </m:e>
          <m:sub>
            <m:r>
              <m:t>t</m:t>
            </m:r>
            <m:r>
              <m:rPr>
                <m:sty m:val="p"/>
              </m:rPr>
              <m:t>+</m:t>
            </m:r>
            <m:r>
              <m:t>1</m:t>
            </m:r>
          </m:sub>
        </m:sSub>
      </m:oMath>
      <w:r>
        <w:rPr>
          <w:rFonts w:ascii="Times New Roman" w:hAnsi="Times New Roman" w:eastAsia="Times New Roman"/>
          <w:sz w:val="26"/>
        </w:rPr>
        <w:t xml:space="preserve">, ES ở mức tin cậy</w:t>
      </w:r>
      <w:r>
        <w:rPr>
          <w:rFonts w:ascii="Times New Roman" w:hAnsi="Times New Roman" w:eastAsia="Times New Roman"/>
          <w:sz w:val="26"/>
        </w:rPr>
        <w:t xml:space="preserve"> </w:t>
      </w:r>
      <m:oMath>
        <m:r>
          <m:t>1</m:t>
        </m:r>
        <m:r>
          <m:rPr>
            <m:sty m:val="p"/>
          </m:rPr>
          <m:t>−</m:t>
        </m:r>
        <m:r>
          <m:t>α</m:t>
        </m:r>
      </m:oMath>
      <w:r>
        <w:rPr>
          <w:rFonts w:ascii="Times New Roman" w:hAnsi="Times New Roman" w:eastAsia="Times New Roman"/>
          <w:sz w:val="26"/>
        </w:rPr>
        <w:t xml:space="preserve"> </w:t>
      </w:r>
      <w:r>
        <w:rPr>
          <w:rFonts w:ascii="Times New Roman" w:hAnsi="Times New Roman" w:eastAsia="Times New Roman"/>
          <w:sz w:val="26"/>
        </w:rPr>
        <w:t xml:space="preserve">có thể được viết dưới dạng:</w:t>
      </w:r>
    </w:p>
    <w:p>
      <w:pPr>
        <w:pStyle w:val="BodyText"/>
      </w:pPr>
      <m:oMathPara>
        <m:oMathParaPr>
          <m:jc m:val="center"/>
        </m:oMathParaPr>
        <m:oMath>
          <m:r>
            <m:rPr>
              <m:sty m:val="p"/>
            </m:rPr>
            <m:t>[</m:t>
          </m:r>
          <m:r>
            <m:t>E</m:t>
          </m:r>
          <m:sSub>
            <m:e>
              <m:r>
                <m:t>S</m:t>
              </m:r>
            </m:e>
            <m:sub>
              <m:r>
                <m:t>1</m:t>
              </m:r>
              <m:r>
                <m:rPr>
                  <m:sty m:val="p"/>
                </m:rPr>
                <m:t>−</m:t>
              </m:r>
              <m:r>
                <m:t>α</m:t>
              </m:r>
            </m:sub>
          </m:sSub>
          <m:r>
            <m:rPr>
              <m:sty m:val="p"/>
            </m:rPr>
            <m:t>=</m:t>
          </m:r>
          <m:r>
            <m:t>E</m:t>
          </m:r>
          <m:r>
            <m:rPr>
              <m:sty m:val="p"/>
            </m:rPr>
            <m:t>(</m:t>
          </m:r>
          <m:sSub>
            <m:e>
              <m:r>
                <m:t>L</m:t>
              </m:r>
            </m:e>
            <m:sub>
              <m:r>
                <m:t>t</m:t>
              </m:r>
              <m:r>
                <m:rPr>
                  <m:sty m:val="p"/>
                </m:rPr>
                <m:t>+</m:t>
              </m:r>
              <m:r>
                <m:t>1</m:t>
              </m:r>
            </m:sub>
          </m:sSub>
          <m:r>
            <m:rPr>
              <m:sty m:val="p"/>
            </m:rPr>
            <m:t>∣</m:t>
          </m:r>
          <m:sSub>
            <m:e>
              <m:r>
                <m:t>L</m:t>
              </m:r>
            </m:e>
            <m:sub>
              <m:r>
                <m:t>t</m:t>
              </m:r>
              <m:r>
                <m:rPr>
                  <m:sty m:val="p"/>
                </m:rPr>
                <m:t>+</m:t>
              </m:r>
              <m:r>
                <m:t>1</m:t>
              </m:r>
            </m:sub>
          </m:sSub>
          <m:r>
            <m:rPr>
              <m:sty m:val="p"/>
            </m:rPr>
            <m:t>&gt;</m:t>
          </m:r>
          <m:r>
            <m:t>V</m:t>
          </m:r>
          <m:r>
            <m:t>a</m:t>
          </m:r>
          <m:sSub>
            <m:e>
              <m:r>
                <m:t>R</m:t>
              </m:r>
            </m:e>
            <m:sub>
              <m:r>
                <m:t>1</m:t>
              </m:r>
              <m:r>
                <m:rPr>
                  <m:sty m:val="p"/>
                </m:rPr>
                <m:t>−</m:t>
              </m:r>
              <m:r>
                <m:t>α</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VaR 99% là 2 tỷ đồng, ES 99% sẽ trả lời câu hỏi: trong những trường hợp 1% xấu nhất khi khoản lỗ vượt quá 2 tỷ đồng, mức lỗ trung bình là bao nhiêu? Đây là thông tin đặc biệt quan trọng đối với quản trị rủi ro đuôi, vì hai danh mục có cùng VaR vẫn có thể có ES rất khác nhau. Một danh mục có thể chỉ vượt VaR với mức lỗ không quá xa ngưỡng VaR, trong khi danh mục khác có thể chịu những khoản lỗ cực lớn khi vượt ngưỡng.</w:t>
      </w:r>
    </w:p>
    <w:tbl>
      <w:tblPr>
        <w:tblStyle w:val="Table"/>
        <w:tblW w:type="pct" w:w="5000"/>
        <w:tblLayout w:type="fixed"/>
        <w:tblLook w:firstRow="0" w:lastRow="0" w:firstColumn="0" w:lastColumn="0" w:noHBand="0" w:noVBand="0" w:val="0000"/>
      </w:tblPr>
      <w:tblGrid>
        <w:gridCol w:w="7920"/>
      </w:tblGrid>
      <w:tr>
        <w:tc>
          <w:tcPr>
            <w:vAlign w:val="center"/>
          </w:tcPr>
          <w:bookmarkStart w:id="77" w:name="fig-var-vs-es"/>
          <w:p>
            <w:pPr>
              <w:pStyle w:val="Compact"/>
              <w:spacing w:before="0" w:after="0" w:line="240" w:lineRule="auto"/>
              <w:ind w:firstLine="0"/>
              <w:jc w:val="center"/>
            </w:pPr>
            <w:r>
              <w:rPr>
                <w:rFonts w:ascii="Times New Roman" w:hAnsi="Times New Roman" w:eastAsia="Times New Roman"/>
                <w:b/>
                <w:sz w:val="24"/>
              </w:rPr>
              <w:drawing>
                <wp:inline>
                  <wp:extent cx="5334000" cy="3333750"/>
                  <wp:effectExtent b="0" l="0" r="0" t="0"/>
                  <wp:docPr descr="" title="" id="75" name="Picture"/>
                  <a:graphic>
                    <a:graphicData uri="http://schemas.openxmlformats.org/drawingml/2006/picture">
                      <pic:pic>
                        <pic:nvPicPr>
                          <pic:cNvPr descr="ch01_docx_tmp_files/figure-docx/fig-var-vs-es-1.png" id="76" name="Picture"/>
                          <pic:cNvPicPr>
                            <a:picLocks noChangeArrowheads="1" noChangeAspect="1"/>
                          </pic:cNvPicPr>
                        </pic:nvPicPr>
                        <pic:blipFill>
                          <a:blip r:embed="rId74"/>
                          <a:stretch>
                            <a:fillRect/>
                          </a:stretch>
                        </pic:blipFill>
                        <pic:spPr bwMode="auto">
                          <a:xfrm>
                            <a:off x="0" y="0"/>
                            <a:ext cx="5334000" cy="3333750"/>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7: So sánh VaR và Expected Shortfall trong vùng tổn thất cực đoan</w:t>
            </w:r>
          </w:p>
          <w:bookmarkEnd w:id="77"/>
        </w:tc>
      </w:tr>
    </w:tbl>
    <w:p>
      <w:pPr>
        <w:pStyle w:val="BodyText"/>
        <w:spacing w:before="60" w:after="60" w:line="240" w:lineRule="auto"/>
        <w:ind w:firstLine="0"/>
        <w:jc w:val="center"/>
      </w:pPr>
      <w:r>
        <w:rPr>
          <w:rFonts w:ascii="Times New Roman" w:hAnsi="Times New Roman" w:eastAsia="Times New Roman"/>
          <w:b/>
          <w:i w:val="0"/>
          <w:sz w:val="24"/>
        </w:rPr>
        <w:t>Hình 7 minh họa sự khác nhau giữa VaR và ES. VaR là điểm bắt đầu của vùng tổn thất cực đoan, trong khi ES nằm sâu hơn trong vùng đuôi và phản ánh mức lỗ trung bình khi khoản lỗ đã vượt ngưỡng VaR. Vì vậy, ES thường lớn hơn VaR khi đo theo biến lỗ.</w:t>
      </w:r>
    </w:p>
    <w:p>
      <w:pPr>
        <w:pStyle w:val="BodyText"/>
        <w:spacing w:before="60" w:after="60" w:line="276" w:lineRule="auto"/>
        <w:ind w:firstLine="567"/>
        <w:jc w:val="both"/>
      </w:pPr>
      <w:r>
        <w:rPr>
          <w:rFonts w:ascii="Times New Roman" w:hAnsi="Times New Roman" w:eastAsia="Times New Roman"/>
          <w:sz w:val="26"/>
        </w:rPr>
        <w:t xml:space="preserve">Trong phạm vi chương mở đầu, VaR được sử dụng như thước đo trung tâm vì tính trực quan và vai trò lịch sử trong quản trị rủi ro thị trường. Tuy nhiên, các chương sau cần xem ES như một thước đo bổ sung quan trọng, đặc biệt khi nghiên cứu rủi ro đuôi, phân phối đuôi dày và các phương pháp như EVT. Đối với thị trường chứng khoán Việt Nam, nơi biến động mạnh có thể tập trung trong các giai đoạn căng thẳng thanh khoản hoặc điều chỉnh chính sách, việc báo cáo đồng thời VaR và ES sẽ giúp đánh giá rủi ro thận trọng hơn.</w:t>
      </w:r>
    </w:p>
    <w:bookmarkEnd w:id="78"/>
    <w:bookmarkStart w:id="108" w:name="những-lưu-ý-khi-diễn-giải-var"/>
    <w:p>
      <w:pPr>
        <w:pStyle w:val="Heading3"/>
        <w:spacing w:before="120" w:after="120" w:line="276" w:lineRule="auto"/>
        <w:ind w:firstLine="0"/>
        <w:jc w:val="left"/>
      </w:pPr>
      <w:r>
        <w:rPr>
          <w:rFonts w:ascii="Times New Roman" w:hAnsi="Times New Roman" w:eastAsia="Times New Roman"/>
          <w:b/>
          <w:i w:val="0"/>
          <w:sz w:val="26"/>
        </w:rPr>
        <w:t xml:space="preserve">1.6.6 Những lưu ý khi diễn giải VaR</w:t>
      </w:r>
    </w:p>
    <w:p>
      <w:pPr>
        <w:pStyle w:val="FirstParagraph"/>
        <w:spacing w:before="60" w:after="60" w:line="276" w:lineRule="auto"/>
        <w:ind w:firstLine="567"/>
        <w:jc w:val="both"/>
      </w:pPr>
      <w:r>
        <w:rPr>
          <w:rFonts w:ascii="Times New Roman" w:hAnsi="Times New Roman" w:eastAsia="Times New Roman"/>
          <w:sz w:val="26"/>
        </w:rPr>
        <w:t xml:space="preserve">VaR là một thước đo hữu ích nhưng dễ bị hiểu sai nếu chỉ nhìn vào con số cuối cùng. Có ít nhất năm điểm cần lưu ý khi diễn giải VaR.</w:t>
      </w:r>
    </w:p>
    <w:p>
      <w:pPr>
        <w:pStyle w:val="BodyText"/>
        <w:spacing w:before="60" w:after="60" w:line="276" w:lineRule="auto"/>
        <w:ind w:firstLine="567"/>
        <w:jc w:val="both"/>
      </w:pPr>
      <w:r>
        <w:rPr>
          <w:rFonts w:ascii="Times New Roman" w:hAnsi="Times New Roman" w:eastAsia="Times New Roman"/>
          <w:sz w:val="26"/>
        </w:rPr>
        <w:t xml:space="preserve">Thứ nhất, VaR phụ thuộc vào mô hình và giả định phân phối. Nếu mô hình giả định tỷ lệ sinh lời phân phối chuẩn trong khi dữ liệu thực tế có đuôi dày, VaR có thể đánh giá thấp rủi ro. Vì vậy, phần kiểm định và chẩn đoán dữ liệu ở mục 1.2 không phải là bước kỹ thuật phụ, mà là điều kiện nền tảng trước khi tính VaR.</w:t>
      </w:r>
    </w:p>
    <w:p>
      <w:pPr>
        <w:pStyle w:val="BodyText"/>
        <w:spacing w:before="60" w:after="60" w:line="276" w:lineRule="auto"/>
        <w:ind w:firstLine="567"/>
        <w:jc w:val="both"/>
      </w:pPr>
      <w:r>
        <w:rPr>
          <w:rFonts w:ascii="Times New Roman" w:hAnsi="Times New Roman" w:eastAsia="Times New Roman"/>
          <w:sz w:val="26"/>
        </w:rPr>
        <w:t xml:space="preserve">Thứ hai, VaR phụ thuộc vào kỳ nắm giữ. VaR 1 ngày không thể được so sánh trực tiếp với VaR 10 ngày nếu không quy đổi phù hợp. Trong trường hợp đơn giản với giả định lợi suất độc lập và cùng phân phối, VaR có thể được quy đổi theo quy tắc căn bậc hai của thời gian. Tuy nhiên, quy tắc này có thể không phù hợp khi volatility thay đổi theo thời gian, tỷ lệ sinh lời có tự tương quan hoặc tồn tại volatility clustering.</w:t>
      </w:r>
    </w:p>
    <w:p>
      <w:pPr>
        <w:pStyle w:val="BodyText"/>
        <w:spacing w:before="60" w:after="60" w:line="276" w:lineRule="auto"/>
        <w:ind w:firstLine="567"/>
        <w:jc w:val="both"/>
      </w:pPr>
      <w:r>
        <w:rPr>
          <w:rFonts w:ascii="Times New Roman" w:hAnsi="Times New Roman" w:eastAsia="Times New Roman"/>
          <w:sz w:val="26"/>
        </w:rPr>
        <w:t xml:space="preserve">Thứ ba, VaR phụ thuộc vào mức tin cậy. VaR 99% thường lớn hơn VaR 95% vì nó đo vùng đuôi xa hơn của phân phối lỗ. Do đó, khi so sánh VaR giữa các danh mục hoặc mô hình, phải đảm bảo cùng mức tin cậy và cùng kỳ nắm giữ.</w:t>
      </w:r>
    </w:p>
    <w:p>
      <w:pPr>
        <w:pStyle w:val="BodyText"/>
        <w:spacing w:before="60" w:after="60" w:line="276" w:lineRule="auto"/>
        <w:ind w:firstLine="567"/>
        <w:jc w:val="both"/>
      </w:pPr>
      <w:r>
        <w:rPr>
          <w:rFonts w:ascii="Times New Roman" w:hAnsi="Times New Roman" w:eastAsia="Times New Roman"/>
          <w:sz w:val="26"/>
        </w:rPr>
        <w:t xml:space="preserve">Thứ tư, VaR không phải là khoản lỗ tối đa tuyệt đối. VaR chỉ là một phân vị của phân phối lỗ. Những khoản lỗ vượt VaR vẫn có thể xảy ra. Trong các giai đoạn khủng hoảng hoặc biến động cực đoan, số lần vượt VaR có thể nhiều hơn kỳ vọng nếu mô hình không phản ánh đầy đủ rủi ro thị trường.</w:t>
      </w:r>
    </w:p>
    <w:p>
      <w:pPr>
        <w:pStyle w:val="BodyText"/>
        <w:spacing w:before="60" w:after="60" w:line="276" w:lineRule="auto"/>
        <w:ind w:firstLine="567"/>
        <w:jc w:val="both"/>
      </w:pPr>
      <w:r>
        <w:rPr>
          <w:rFonts w:ascii="Times New Roman" w:hAnsi="Times New Roman" w:eastAsia="Times New Roman"/>
          <w:sz w:val="26"/>
        </w:rPr>
        <w:t xml:space="preserve">Thứ năm, VaR cần được kiểm định ngược. Một mô hình VaR không nên chỉ được đánh giá bằng công thức tính, mà phải được kiểm tra bằng số lần khoản lỗ thực tế vượt VaR trong giai đoạn ngoài mẫu. Nếu VaR 99% nhưng số lần vượt VaR cao hơn nhiều so với 1% số quan sát, mô hình có thể đang đánh giá thấp rủi ro. Nếu số lần vượt quá thấp, mô hình có thể quá bảo thủ, dẫn tới phân bổ vốn hoặc giới hạn rủi ro kém hiệu quả.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vAlign w:val="center"/>
          </w:tcPr>
          <w:p>
            <w:pPr>
              <w:pStyle w:val="Compact"/>
              <w:spacing w:before="0" w:after="0" w:line="240" w:lineRule="auto"/>
              <w:ind w:firstLine="0"/>
              <w:jc w:val="center"/>
            </w:pPr>
            <w:r>
              <w:rPr>
                <w:rFonts w:ascii="Times New Roman" w:hAnsi="Times New Roman" w:eastAsia="Times New Roman"/>
                <w:b/>
                <w:sz w:val="24"/>
              </w:rPr>
              <w:t xml:space="preserve">Vấn đề khi diễn giải VaR</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Ý nghĩa thực tiễn</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Hàm ý với mô hình</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Phụ thuộc giả định phân phối</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VaR chuẩn có thể thấp nếu dữ liệu có đuôi dày</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Cần kiểm định normality, skewness, kurtosis và cân nhắc Student-t/EVT</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Phụ thuộc volatility</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Khi thị trường biến động mạnh, VaR phải tăng</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Cần mô hình volatility động như EWMA hoặc GARCH</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Phụ thuộc kỳ nắm giữ</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VaR 1 ngày khác VaR 10 ngày</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Không nên quy đổi cơ học nếu dữ liệu có volatility clustering</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Không đo mức lỗ sau khi vượt ngưỡng</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Không phản ánh đầy đủ tail severity</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Nên báo cáo thêm Expected Shortfall</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Cần backtesting</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VaR chỉ hữu ích nếu phù hợp với dữ liệu thực tế</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Cần kiểm định số lần vượt VaR và tính độc lập của exceedances</w:t>
            </w:r>
          </w:p>
        </w:tc>
      </w:tr>
    </w:tbl>
    <w:tbl>
      <w:tblPr>
        <w:tblStyle w:val="Table"/>
        <w:tblW w:type="pct" w:w="5000"/>
        <w:tblLayout w:type="fixed"/>
        <w:tblLook w:firstRow="0" w:lastRow="0" w:firstColumn="0" w:lastColumn="0" w:noHBand="0" w:noVBand="0" w:val="0000"/>
      </w:tblPr>
      <w:tblGrid>
        <w:gridCol w:w="7920"/>
      </w:tblGrid>
      <w:tr>
        <w:tc>
          <w:tcPr>
            <w:vAlign w:val="center"/>
          </w:tcPr>
          <w:bookmarkStart w:id="82" w:name="fig-var-exceedances"/>
          <w:p>
            <w:pPr>
              <w:pStyle w:val="Compact"/>
              <w:spacing w:before="0" w:after="0" w:line="240" w:lineRule="auto"/>
              <w:ind w:firstLine="0"/>
              <w:jc w:val="center"/>
            </w:pPr>
            <w:r>
              <w:rPr>
                <w:rFonts w:ascii="Times New Roman" w:hAnsi="Times New Roman" w:eastAsia="Times New Roman"/>
                <w:b/>
                <w:sz w:val="24"/>
              </w:rPr>
              <w:drawing>
                <wp:inline>
                  <wp:extent cx="4620126" cy="3696101"/>
                  <wp:effectExtent b="0" l="0" r="0" t="0"/>
                  <wp:docPr descr="" title="" id="80" name="Picture"/>
                  <a:graphic>
                    <a:graphicData uri="http://schemas.openxmlformats.org/drawingml/2006/picture">
                      <pic:pic>
                        <pic:nvPicPr>
                          <pic:cNvPr descr="ch01_docx_tmp_files/figure-docx/fig-var-exceedances-1.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8: Minh họa các ngày lỗ vượt VaR trong kiểm định ngược</w:t>
            </w:r>
          </w:p>
          <w:bookmarkEnd w:id="82"/>
        </w:tc>
      </w:tr>
    </w:tbl>
    <w:p>
      <w:pPr>
        <w:pStyle w:val="BodyText"/>
        <w:spacing w:before="60" w:after="60" w:line="240" w:lineRule="auto"/>
        <w:ind w:firstLine="0"/>
        <w:jc w:val="center"/>
      </w:pPr>
      <w:r>
        <w:rPr>
          <w:rFonts w:ascii="Times New Roman" w:hAnsi="Times New Roman" w:eastAsia="Times New Roman"/>
          <w:b/>
          <w:i w:val="0"/>
          <w:sz w:val="24"/>
        </w:rPr>
        <w:t>Hình 8 minh họa ý tưởng kiểm định ngược VaR. Đường liền biểu thị tỷ lệ lỗ thực tế, đường đứt nét là VaR 99% ước lượng từ cửa sổ dữ liệu quá khứ, còn các điểm nổi bật là những ngày lỗ thực tế vượt VaR. Trong các chương sau, ý tưởng này sẽ được phát triển thành các kiểm định chính thức về tỷ lệ vượt VaR và tính độc lập của các lần vượt VaR.</w:t>
      </w:r>
    </w:p>
    <w:p>
      <w:pPr>
        <w:pStyle w:val="BodyText"/>
        <w:spacing w:before="60" w:after="60" w:line="276" w:lineRule="auto"/>
        <w:ind w:firstLine="567"/>
        <w:jc w:val="both"/>
      </w:pPr>
      <w:r>
        <w:rPr>
          <w:rFonts w:ascii="Times New Roman" w:hAnsi="Times New Roman" w:eastAsia="Times New Roman"/>
          <w:sz w:val="26"/>
        </w:rPr>
        <w:t xml:space="preserve">Tóm lại, VaR là cầu nối giữa thống kê tỷ lệ sinh lời, mô hình volatility và quản trị rủi ro thị trường. Để ước lượng VaR đáng tin cậy, nhà phân tích cần hiểu rõ dữ liệu đầu vào, kiểm định các đặc điểm phân phối, lựa chọn mô hình volatility phù hợp và đánh giá lại mô hình bằng kiểm định ngược. Đây cũng là logic triển khai của các chương tiếp theo trong cuốn sách: từ phân tích dữ liệu tài chính, mô hình hóa volatility, ước lượng VaR, đến đánh giá chất lượng dự báo rủi ro.</w:t>
      </w:r>
    </w:p>
    <w:bookmarkStart w:id="107" w:name="refs"/>
    <w:bookmarkStart w:id="84" w:name="ref-AndersonDarling1952"/>
    <w:p>
      <w:pPr>
        <w:pStyle w:val="Bibliography"/>
        <w:spacing w:before="0" w:after="60" w:line="276" w:lineRule="auto"/>
        <w:ind w:hanging="454" w:left="454"/>
        <w:jc w:val="left"/>
      </w:pPr>
      <w:r>
        <w:rPr>
          <w:rFonts w:ascii="Times New Roman" w:hAnsi="Times New Roman" w:eastAsia="Times New Roman"/>
          <w:b w:val="0"/>
          <w:i w:val="0"/>
          <w:sz w:val="24"/>
        </w:rPr>
        <w:t xml:space="preserve">Anderson, T. W., &amp; Darling, D. A. (1952). Asymptotic theory of certain goodness of fit criteria based on stochastic processes.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The Annals of Mathematical Statistics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23</w:t>
      </w:r>
      <w:r>
        <w:rPr>
          <w:rFonts w:ascii="Times New Roman" w:hAnsi="Times New Roman" w:eastAsia="Times New Roman"/>
          <w:b w:val="0"/>
          <w:i w:val="0"/>
          <w:sz w:val="24"/>
        </w:rPr>
        <w:t xml:space="preserve">(2), 193–212.</w:t>
      </w:r>
      <w:r>
        <w:rPr>
          <w:rFonts w:ascii="Times New Roman" w:hAnsi="Times New Roman" w:eastAsia="Times New Roman"/>
          <w:b w:val="0"/>
          <w:i w:val="0"/>
          <w:sz w:val="24"/>
        </w:rPr>
        <w:t xml:space="preserve"> </w:t>
      </w:r>
      <w:hyperlink r:id="rId83">
        <w:r>
          <w:rPr>
            <w:rStyle w:val="Hyperlink"/>
          </w:rPr>
          <w:t xml:space="preserve">https://doi.org/10.1214/aoms/1177729437</w:t>
        </w:r>
      </w:hyperlink>
    </w:p>
    <w:bookmarkEnd w:id="84"/>
    <w:bookmarkStart w:id="86" w:name="ref-Bollerslev1986"/>
    <w:p>
      <w:pPr>
        <w:pStyle w:val="Bibliography"/>
        <w:spacing w:before="0" w:after="60" w:line="276" w:lineRule="auto"/>
        <w:ind w:hanging="454" w:left="454"/>
        <w:jc w:val="left"/>
      </w:pPr>
      <w:r>
        <w:rPr>
          <w:rFonts w:ascii="Times New Roman" w:hAnsi="Times New Roman" w:eastAsia="Times New Roman"/>
          <w:b w:val="0"/>
          <w:i w:val="0"/>
          <w:sz w:val="24"/>
        </w:rPr>
        <w:t xml:space="preserve">Bollerslev, T. (1986). Generalized autoregressive conditional heteroskedasticity.</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Journal of Econometrics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31</w:t>
      </w:r>
      <w:r>
        <w:rPr>
          <w:rFonts w:ascii="Times New Roman" w:hAnsi="Times New Roman" w:eastAsia="Times New Roman"/>
          <w:b w:val="0"/>
          <w:i w:val="0"/>
          <w:sz w:val="24"/>
        </w:rPr>
        <w:t xml:space="preserve">(3), 307–327.</w:t>
      </w:r>
      <w:r>
        <w:rPr>
          <w:rFonts w:ascii="Times New Roman" w:hAnsi="Times New Roman" w:eastAsia="Times New Roman"/>
          <w:b w:val="0"/>
          <w:i w:val="0"/>
          <w:sz w:val="24"/>
        </w:rPr>
        <w:t xml:space="preserve"> </w:t>
      </w:r>
      <w:hyperlink r:id="rId85">
        <w:r>
          <w:rPr>
            <w:rStyle w:val="Hyperlink"/>
          </w:rPr>
          <w:t xml:space="preserve">https://doi.org/10.1016/0304-4076(86)90063-1</w:t>
        </w:r>
      </w:hyperlink>
    </w:p>
    <w:bookmarkEnd w:id="86"/>
    <w:bookmarkStart w:id="87" w:name="ref-Brooks2019"/>
    <w:p>
      <w:pPr>
        <w:pStyle w:val="Bibliography"/>
        <w:spacing w:before="0" w:after="60" w:line="276" w:lineRule="auto"/>
        <w:ind w:hanging="454" w:left="454"/>
        <w:jc w:val="left"/>
      </w:pPr>
      <w:r>
        <w:rPr>
          <w:rFonts w:ascii="Times New Roman" w:hAnsi="Times New Roman" w:eastAsia="Times New Roman"/>
          <w:b w:val="0"/>
          <w:i w:val="0"/>
          <w:sz w:val="24"/>
        </w:rPr>
        <w:t xml:space="preserve">Brooks, C. (2019).</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Introductory econometrics for finance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(4th ed.). Cambridge University Press.</w:t>
      </w:r>
    </w:p>
    <w:bookmarkEnd w:id="87"/>
    <w:bookmarkStart w:id="88" w:name="ref-Choudhry2013"/>
    <w:p>
      <w:pPr>
        <w:pStyle w:val="Bibliography"/>
        <w:spacing w:before="0" w:after="60" w:line="276" w:lineRule="auto"/>
        <w:ind w:hanging="454" w:left="454"/>
        <w:jc w:val="left"/>
      </w:pPr>
      <w:r>
        <w:rPr>
          <w:rFonts w:ascii="Times New Roman" w:hAnsi="Times New Roman" w:eastAsia="Times New Roman"/>
          <w:b w:val="0"/>
          <w:i w:val="0"/>
          <w:sz w:val="24"/>
        </w:rPr>
        <w:t xml:space="preserve">Choudhry, M. (2013).</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 introduction to value-at-risk</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(5th ed.). John Wiley &amp; Sons.</w:t>
      </w:r>
    </w:p>
    <w:bookmarkEnd w:id="88"/>
    <w:bookmarkStart w:id="90" w:name="ref-DickeyFuller1979"/>
    <w:p>
      <w:pPr>
        <w:pStyle w:val="Bibliography"/>
        <w:spacing w:before="0" w:after="60" w:line="276" w:lineRule="auto"/>
        <w:ind w:hanging="454" w:left="454"/>
        <w:jc w:val="left"/>
      </w:pPr>
      <w:r>
        <w:rPr>
          <w:rFonts w:ascii="Times New Roman" w:hAnsi="Times New Roman" w:eastAsia="Times New Roman"/>
          <w:b w:val="0"/>
          <w:i w:val="0"/>
          <w:sz w:val="24"/>
        </w:rPr>
        <w:t xml:space="preserve">Dickey, D. A., &amp; Fuller, W. A. (1979). Distribution of the estimators for autoregressive time series with a unit root.</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Journal of the American Statistical Association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74</w:t>
      </w:r>
      <w:r>
        <w:rPr>
          <w:rFonts w:ascii="Times New Roman" w:hAnsi="Times New Roman" w:eastAsia="Times New Roman"/>
          <w:b w:val="0"/>
          <w:i w:val="0"/>
          <w:sz w:val="24"/>
        </w:rPr>
        <w:t xml:space="preserve">(366), 427–431.</w:t>
      </w:r>
      <w:r>
        <w:rPr>
          <w:rFonts w:ascii="Times New Roman" w:hAnsi="Times New Roman" w:eastAsia="Times New Roman"/>
          <w:b w:val="0"/>
          <w:i w:val="0"/>
          <w:sz w:val="24"/>
        </w:rPr>
        <w:t xml:space="preserve"> </w:t>
      </w:r>
      <w:hyperlink r:id="rId89">
        <w:r>
          <w:rPr>
            <w:rStyle w:val="Hyperlink"/>
          </w:rPr>
          <w:t xml:space="preserve">https://doi.org/10.1080/01621459.1979.10482531</w:t>
        </w:r>
      </w:hyperlink>
    </w:p>
    <w:bookmarkEnd w:id="90"/>
    <w:bookmarkStart w:id="92" w:name="ref-Engle1982"/>
    <w:p>
      <w:pPr>
        <w:pStyle w:val="Bibliography"/>
        <w:spacing w:before="0" w:after="60" w:line="276" w:lineRule="auto"/>
        <w:ind w:hanging="454" w:left="454"/>
        <w:jc w:val="left"/>
      </w:pPr>
      <w:r>
        <w:rPr>
          <w:rFonts w:ascii="Times New Roman" w:hAnsi="Times New Roman" w:eastAsia="Times New Roman"/>
          <w:b w:val="0"/>
          <w:i w:val="0"/>
          <w:sz w:val="24"/>
        </w:rPr>
        <w:t xml:space="preserve">Engle, R. F. (1982). Autoregressive conditional heteroscedasticity with estimates of the variance of united kingdom inflation.</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Econometrica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50</w:t>
      </w:r>
      <w:r>
        <w:rPr>
          <w:rFonts w:ascii="Times New Roman" w:hAnsi="Times New Roman" w:eastAsia="Times New Roman"/>
          <w:b w:val="0"/>
          <w:i w:val="0"/>
          <w:sz w:val="24"/>
        </w:rPr>
        <w:t xml:space="preserve">(4), 987–1007.</w:t>
      </w:r>
      <w:r>
        <w:rPr>
          <w:rFonts w:ascii="Times New Roman" w:hAnsi="Times New Roman" w:eastAsia="Times New Roman"/>
          <w:b w:val="0"/>
          <w:i w:val="0"/>
          <w:sz w:val="24"/>
        </w:rPr>
        <w:t xml:space="preserve"> </w:t>
      </w:r>
      <w:hyperlink r:id="rId91">
        <w:r>
          <w:rPr>
            <w:rStyle w:val="Hyperlink"/>
          </w:rPr>
          <w:t xml:space="preserve">https://doi.org/10.2307/1912773</w:t>
        </w:r>
      </w:hyperlink>
    </w:p>
    <w:bookmarkEnd w:id="92"/>
    <w:bookmarkStart w:id="94" w:name="ref-JarqueBera1980"/>
    <w:p>
      <w:pPr>
        <w:pStyle w:val="Bibliography"/>
        <w:spacing w:before="0" w:after="60" w:line="276" w:lineRule="auto"/>
        <w:ind w:hanging="454" w:left="454"/>
        <w:jc w:val="left"/>
      </w:pPr>
      <w:r>
        <w:rPr>
          <w:rFonts w:ascii="Times New Roman" w:hAnsi="Times New Roman" w:eastAsia="Times New Roman"/>
          <w:b w:val="0"/>
          <w:i w:val="0"/>
          <w:sz w:val="24"/>
        </w:rPr>
        <w:t xml:space="preserve">Jarque, C. M., &amp; Bera, A. K. (1980). Efficient tests for normality, homoscedasticity and serial independence of regression residuals.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Economics Letters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6</w:t>
      </w:r>
      <w:r>
        <w:rPr>
          <w:rFonts w:ascii="Times New Roman" w:hAnsi="Times New Roman" w:eastAsia="Times New Roman"/>
          <w:b w:val="0"/>
          <w:i w:val="0"/>
          <w:sz w:val="24"/>
        </w:rPr>
        <w:t xml:space="preserve">(3), 255–259.</w:t>
      </w:r>
      <w:r>
        <w:rPr>
          <w:rFonts w:ascii="Times New Roman" w:hAnsi="Times New Roman" w:eastAsia="Times New Roman"/>
          <w:b w:val="0"/>
          <w:i w:val="0"/>
          <w:sz w:val="24"/>
        </w:rPr>
        <w:t xml:space="preserve"> </w:t>
      </w:r>
      <w:hyperlink r:id="rId93">
        <w:r>
          <w:rPr>
            <w:rStyle w:val="Hyperlink"/>
          </w:rPr>
          <w:t xml:space="preserve">https://doi.org/10.1016/0165-1765(80)90024-5</w:t>
        </w:r>
      </w:hyperlink>
    </w:p>
    <w:bookmarkEnd w:id="94"/>
    <w:bookmarkStart w:id="96" w:name="ref-Kwiatkowski1992"/>
    <w:p>
      <w:pPr>
        <w:pStyle w:val="Bibliography"/>
        <w:spacing w:before="0" w:after="60" w:line="276" w:lineRule="auto"/>
        <w:ind w:hanging="454" w:left="454"/>
        <w:jc w:val="left"/>
      </w:pPr>
      <w:r>
        <w:rPr>
          <w:rFonts w:ascii="Times New Roman" w:hAnsi="Times New Roman" w:eastAsia="Times New Roman"/>
          <w:b w:val="0"/>
          <w:i w:val="0"/>
          <w:sz w:val="24"/>
        </w:rPr>
        <w:t xml:space="preserve">Kwiatkowski, D., Phillips, P. C. B., Schmidt, P., &amp; Shin, Y. (1992). Testing the null hypothesis of stationarity against the alternative of a unit root.</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Journal of Econometrics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54</w:t>
      </w:r>
      <w:r>
        <w:rPr>
          <w:rFonts w:ascii="Times New Roman" w:hAnsi="Times New Roman" w:eastAsia="Times New Roman"/>
          <w:b w:val="0"/>
          <w:i w:val="0"/>
          <w:sz w:val="24"/>
        </w:rPr>
        <w:t xml:space="preserve">(1–3), 159–178.</w:t>
      </w:r>
      <w:r>
        <w:rPr>
          <w:rFonts w:ascii="Times New Roman" w:hAnsi="Times New Roman" w:eastAsia="Times New Roman"/>
          <w:b w:val="0"/>
          <w:i w:val="0"/>
          <w:sz w:val="24"/>
        </w:rPr>
        <w:t xml:space="preserve"> </w:t>
      </w:r>
      <w:hyperlink r:id="rId95">
        <w:r>
          <w:rPr>
            <w:rStyle w:val="Hyperlink"/>
          </w:rPr>
          <w:t xml:space="preserve">https://doi.org/10.1016/0304-4076(92)90104-Y</w:t>
        </w:r>
      </w:hyperlink>
    </w:p>
    <w:bookmarkEnd w:id="96"/>
    <w:bookmarkStart w:id="98" w:name="ref-Lilliefors1967"/>
    <w:p>
      <w:pPr>
        <w:pStyle w:val="Bibliography"/>
        <w:spacing w:before="0" w:after="60" w:line="276" w:lineRule="auto"/>
        <w:ind w:hanging="454" w:left="454"/>
        <w:jc w:val="left"/>
      </w:pPr>
      <w:r>
        <w:rPr>
          <w:rFonts w:ascii="Times New Roman" w:hAnsi="Times New Roman" w:eastAsia="Times New Roman"/>
          <w:b w:val="0"/>
          <w:i w:val="0"/>
          <w:sz w:val="24"/>
        </w:rPr>
        <w:t xml:space="preserve">Lilliefors, H. W. (1967). On the kolmogorov-smirnov test for normality with mean and variance unknown.</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Journal of the American Statistical Association</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62</w:t>
      </w:r>
      <w:r>
        <w:rPr>
          <w:rFonts w:ascii="Times New Roman" w:hAnsi="Times New Roman" w:eastAsia="Times New Roman"/>
          <w:b w:val="0"/>
          <w:i w:val="0"/>
          <w:sz w:val="24"/>
        </w:rPr>
        <w:t xml:space="preserve">(318), 399–402.</w:t>
      </w:r>
      <w:r>
        <w:rPr>
          <w:rFonts w:ascii="Times New Roman" w:hAnsi="Times New Roman" w:eastAsia="Times New Roman"/>
          <w:b w:val="0"/>
          <w:i w:val="0"/>
          <w:sz w:val="24"/>
        </w:rPr>
        <w:t xml:space="preserve"> </w:t>
      </w:r>
      <w:hyperlink r:id="rId97">
        <w:r>
          <w:rPr>
            <w:rStyle w:val="Hyperlink"/>
          </w:rPr>
          <w:t xml:space="preserve">https://doi.org/10.1080/01621459.1967.10482916</w:t>
        </w:r>
      </w:hyperlink>
    </w:p>
    <w:bookmarkEnd w:id="98"/>
    <w:bookmarkStart w:id="100" w:name="ref-LjungBox1978"/>
    <w:p>
      <w:pPr>
        <w:pStyle w:val="Bibliography"/>
        <w:spacing w:before="0" w:after="60" w:line="276" w:lineRule="auto"/>
        <w:ind w:hanging="454" w:left="454"/>
        <w:jc w:val="left"/>
      </w:pPr>
      <w:r>
        <w:rPr>
          <w:rFonts w:ascii="Times New Roman" w:hAnsi="Times New Roman" w:eastAsia="Times New Roman"/>
          <w:b w:val="0"/>
          <w:i w:val="0"/>
          <w:sz w:val="24"/>
        </w:rPr>
        <w:t xml:space="preserve">Ljung, G. M., &amp; Box, G. E. P. (1978). On a measure of lack of fit in time series models.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Biometrika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65</w:t>
      </w:r>
      <w:r>
        <w:rPr>
          <w:rFonts w:ascii="Times New Roman" w:hAnsi="Times New Roman" w:eastAsia="Times New Roman"/>
          <w:b w:val="0"/>
          <w:i w:val="0"/>
          <w:sz w:val="24"/>
        </w:rPr>
        <w:t xml:space="preserve">(2), 297–303.</w:t>
      </w:r>
      <w:r>
        <w:rPr>
          <w:rFonts w:ascii="Times New Roman" w:hAnsi="Times New Roman" w:eastAsia="Times New Roman"/>
          <w:b w:val="0"/>
          <w:i w:val="0"/>
          <w:sz w:val="24"/>
        </w:rPr>
        <w:t xml:space="preserve"> </w:t>
      </w:r>
      <w:hyperlink r:id="rId99">
        <w:r>
          <w:rPr>
            <w:rStyle w:val="Hyperlink"/>
          </w:rPr>
          <w:t xml:space="preserve">https://doi.org/10.1093/biomet/65.2.297</w:t>
        </w:r>
      </w:hyperlink>
    </w:p>
    <w:bookmarkEnd w:id="100"/>
    <w:bookmarkStart w:id="102" w:name="ref-PhillipsPerron1988"/>
    <w:p>
      <w:pPr>
        <w:pStyle w:val="Bibliography"/>
        <w:spacing w:before="0" w:after="60" w:line="276" w:lineRule="auto"/>
        <w:ind w:hanging="454" w:left="454"/>
        <w:jc w:val="left"/>
      </w:pPr>
      <w:r>
        <w:rPr>
          <w:rFonts w:ascii="Times New Roman" w:hAnsi="Times New Roman" w:eastAsia="Times New Roman"/>
          <w:b w:val="0"/>
          <w:i w:val="0"/>
          <w:sz w:val="24"/>
        </w:rPr>
        <w:t xml:space="preserve">Phillips, P. C. B., &amp; Perron, P. (1988). Testing for a unit root in time series regression.</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Biometrika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75</w:t>
      </w:r>
      <w:r>
        <w:rPr>
          <w:rFonts w:ascii="Times New Roman" w:hAnsi="Times New Roman" w:eastAsia="Times New Roman"/>
          <w:b w:val="0"/>
          <w:i w:val="0"/>
          <w:sz w:val="24"/>
        </w:rPr>
        <w:t xml:space="preserve">(2), 335–346.</w:t>
      </w:r>
      <w:r>
        <w:rPr>
          <w:rFonts w:ascii="Times New Roman" w:hAnsi="Times New Roman" w:eastAsia="Times New Roman"/>
          <w:b w:val="0"/>
          <w:i w:val="0"/>
          <w:sz w:val="24"/>
        </w:rPr>
        <w:t xml:space="preserve"> </w:t>
      </w:r>
      <w:hyperlink r:id="rId101">
        <w:r>
          <w:rPr>
            <w:rStyle w:val="Hyperlink"/>
          </w:rPr>
          <w:t xml:space="preserve">https://doi.org/10.1093/biomet/75.2.335</w:t>
        </w:r>
      </w:hyperlink>
    </w:p>
    <w:bookmarkEnd w:id="102"/>
    <w:bookmarkStart w:id="104" w:name="ref-ShapiroWilk1965"/>
    <w:p>
      <w:pPr>
        <w:pStyle w:val="Bibliography"/>
        <w:spacing w:before="0" w:after="60" w:line="276" w:lineRule="auto"/>
        <w:ind w:hanging="454" w:left="454"/>
        <w:jc w:val="left"/>
      </w:pPr>
      <w:r>
        <w:rPr>
          <w:rFonts w:ascii="Times New Roman" w:hAnsi="Times New Roman" w:eastAsia="Times New Roman"/>
          <w:b w:val="0"/>
          <w:i w:val="0"/>
          <w:sz w:val="24"/>
        </w:rPr>
        <w:t xml:space="preserve">Shapiro, S. S., &amp; Wilk, M. B. (1965). An analysis of variance test for normality: Complete samples.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Biometrika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52</w:t>
      </w:r>
      <w:r>
        <w:rPr>
          <w:rFonts w:ascii="Times New Roman" w:hAnsi="Times New Roman" w:eastAsia="Times New Roman"/>
          <w:b w:val="0"/>
          <w:i w:val="0"/>
          <w:sz w:val="24"/>
        </w:rPr>
        <w:t xml:space="preserve">(3/4), 591–611.</w:t>
      </w:r>
      <w:r>
        <w:rPr>
          <w:rFonts w:ascii="Times New Roman" w:hAnsi="Times New Roman" w:eastAsia="Times New Roman"/>
          <w:b w:val="0"/>
          <w:i w:val="0"/>
          <w:sz w:val="24"/>
        </w:rPr>
        <w:t xml:space="preserve"> </w:t>
      </w:r>
      <w:hyperlink r:id="rId103">
        <w:r>
          <w:rPr>
            <w:rStyle w:val="Hyperlink"/>
          </w:rPr>
          <w:t xml:space="preserve">https://doi.org/10.2307/2333709</w:t>
        </w:r>
      </w:hyperlink>
    </w:p>
    <w:bookmarkEnd w:id="104"/>
    <w:bookmarkStart w:id="105" w:name="ref-Tsay2010"/>
    <w:p>
      <w:pPr>
        <w:pStyle w:val="Bibliography"/>
        <w:spacing w:before="0" w:after="60" w:line="276" w:lineRule="auto"/>
        <w:ind w:hanging="454" w:left="454"/>
        <w:jc w:val="left"/>
      </w:pPr>
      <w:r>
        <w:rPr>
          <w:rFonts w:ascii="Times New Roman" w:hAnsi="Times New Roman" w:eastAsia="Times New Roman"/>
          <w:b w:val="0"/>
          <w:i w:val="0"/>
          <w:sz w:val="24"/>
        </w:rPr>
        <w:t xml:space="preserve">Tsay, R. S. (2010).</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Analysis of financial time series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(3rd ed.). John Wiley &amp; Sons.</w:t>
      </w:r>
    </w:p>
    <w:bookmarkEnd w:id="105"/>
    <w:bookmarkStart w:id="106" w:name="ref-Tsay2013"/>
    <w:p>
      <w:pPr>
        <w:pStyle w:val="Bibliography"/>
        <w:spacing w:before="0" w:after="60" w:line="276" w:lineRule="auto"/>
        <w:ind w:hanging="454" w:left="454"/>
        <w:jc w:val="left"/>
      </w:pPr>
      <w:r>
        <w:rPr>
          <w:rFonts w:ascii="Times New Roman" w:hAnsi="Times New Roman" w:eastAsia="Times New Roman"/>
          <w:b w:val="0"/>
          <w:i w:val="0"/>
          <w:sz w:val="24"/>
        </w:rPr>
        <w:t xml:space="preserve">Tsay, R. S. (2013).</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 introduction to analysis of financial data with r</w:t>
      </w:r>
      <w:r>
        <w:rPr>
          <w:rFonts w:ascii="Times New Roman" w:hAnsi="Times New Roman" w:eastAsia="Times New Roman"/>
          <w:b w:val="0"/>
          <w:i w:val="0"/>
          <w:sz w:val="24"/>
        </w:rPr>
        <w:t xml:space="preserve">. John Wiley &amp; Sons.</w:t>
      </w:r>
    </w:p>
    <w:bookmarkEnd w:id="106"/>
    <w:bookmarkEnd w:id="107"/>
    <w:bookmarkEnd w:id="108"/>
    <w:bookmarkEnd w:id="109"/>
    <w:bookmarkEnd w:id="110"/>
    <w:sectPr>
      <w:footerReference w:type="default" r:id="rId9"/>
      <w:footnotePr>
        <w:numRestart w:val="eachSect"/>
      </w:footnotePr>
      <w:type w:val="continuous"/>
      <w:pgSz w:w="11906" w:h="16838"/>
      <w:pgMar w:top="1417" w:bottom="1417" w:left="1984" w:right="1134" w:header="720" w:footer="720"/>
      <w:mirrorMargin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Trong phân tích chuỗi thời gian, một chuỗi được gọi là</w:t>
      </w:r>
      <w:r>
        <w:t xml:space="preserve"> </w:t>
      </w:r>
      <w:r>
        <w:rPr>
          <w:i/>
          <w:iCs/>
        </w:rPr>
        <w:t xml:space="preserve">dừng</w:t>
      </w:r>
      <w:r>
        <w:t xml:space="preserve"> </w:t>
      </w:r>
      <w:r>
        <w:t xml:space="preserve">nếu các đặc trưng xác suất cơ bản của nó, như kỳ vọng, phương sai và hiệp phương sai theo độ trễ, không thay đổi theo thời gian. Nói một cách trực quan, chuỗi dừng dao động quanh một mức trung tâm tương đối ổn định; chuỗi không dừng thường có xu hướng, thay đổi mức nền hoặc có cấu trúc phụ thuộc kéo dài theo thời gian. Trong tài chính, chuỗi giá thường gần với quá trình có nghiệm đơn vị, trong khi chuỗi tỷ lệ sinh lời thường ổn định hơn và vì vậy phù hợp hơn cho mô hình hóa thống kê.</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60" w:after="60" w:line="276" w:lineRule="auto"/>
      <w:ind w:firstLine="567"/>
      <w:jc w:val="both"/>
    </w:pPr>
    <w:rPr>
      <w:rFonts w:ascii="Times New Roman" w:hAnsi="Times New Roman" w:eastAsia="Times New Roman"/>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120"/>
      <w:ind w:firstLine="0"/>
      <w:jc w:val="center"/>
      <w:outlineLvl w:val="0"/>
    </w:pPr>
    <w:rPr>
      <w:rFonts w:asciiTheme="majorHAnsi" w:cstheme="majorBidi" w:eastAsiaTheme="majorEastAsia" w:hAnsiTheme="majorHAnsi" w:ascii="Times New Roman" w:hAnsi="Times New Roman" w:eastAsia="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120"/>
      <w:ind w:firstLine="0"/>
      <w:jc w:val="left"/>
      <w:outlineLvl w:val="1"/>
    </w:pPr>
    <w:rPr>
      <w:rFonts w:asciiTheme="majorHAnsi" w:cstheme="majorBidi" w:eastAsiaTheme="majorEastAsia" w:hAnsiTheme="majorHAnsi" w:ascii="Times New Roman" w:hAnsi="Times New Roman" w:eastAsia="Times New Roman"/>
      <w:b/>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120"/>
      <w:ind w:firstLine="0"/>
      <w:jc w:val="left"/>
      <w:outlineLvl w:val="2"/>
    </w:pPr>
    <w:rPr>
      <w:rFonts w:cstheme="majorBidi" w:eastAsiaTheme="majorEastAsia" w:ascii="Times New Roman" w:hAnsi="Times New Roman" w:eastAsia="Times New Roman"/>
      <w:b/>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31" Type="http://schemas.openxmlformats.org/officeDocument/2006/relationships/image" Target="media/rId31.png"/><Relationship Id="rId11" Type="http://schemas.openxmlformats.org/officeDocument/2006/relationships/image" Target="media/rId11.png"/><Relationship Id="rId46" Type="http://schemas.openxmlformats.org/officeDocument/2006/relationships/image" Target="media/rId46.pdf"/><Relationship Id="rId69" Type="http://schemas.openxmlformats.org/officeDocument/2006/relationships/image" Target="media/rId69.png"/><Relationship Id="rId79" Type="http://schemas.openxmlformats.org/officeDocument/2006/relationships/image" Target="media/rId79.png"/><Relationship Id="rId63" Type="http://schemas.openxmlformats.org/officeDocument/2006/relationships/image" Target="media/rId63.png"/><Relationship Id="rId54" Type="http://schemas.openxmlformats.org/officeDocument/2006/relationships/image" Target="media/rId54.png"/><Relationship Id="rId74" Type="http://schemas.openxmlformats.org/officeDocument/2006/relationships/image" Target="media/rId74.png"/><Relationship Id="rId59" Type="http://schemas.openxmlformats.org/officeDocument/2006/relationships/image" Target="media/rId59.png"/><Relationship Id="rId93" Type="http://schemas.openxmlformats.org/officeDocument/2006/relationships/hyperlink" Target="https://doi.org/10.1016/0165-1765(80)90024-5" TargetMode="External"/><Relationship Id="rId85" Type="http://schemas.openxmlformats.org/officeDocument/2006/relationships/hyperlink" Target="https://doi.org/10.1016/0304-4076(86)90063-1" TargetMode="External"/><Relationship Id="rId95" Type="http://schemas.openxmlformats.org/officeDocument/2006/relationships/hyperlink" Target="https://doi.org/10.1016/0304-4076(92)90104-Y" TargetMode="External"/><Relationship Id="rId97" Type="http://schemas.openxmlformats.org/officeDocument/2006/relationships/hyperlink" Target="https://doi.org/10.1080/01621459.1967.10482916" TargetMode="External"/><Relationship Id="rId89" Type="http://schemas.openxmlformats.org/officeDocument/2006/relationships/hyperlink" Target="https://doi.org/10.1080/01621459.1979.10482531" TargetMode="External"/><Relationship Id="rId99" Type="http://schemas.openxmlformats.org/officeDocument/2006/relationships/hyperlink" Target="https://doi.org/10.1093/biomet/65.2.297" TargetMode="External"/><Relationship Id="rId101" Type="http://schemas.openxmlformats.org/officeDocument/2006/relationships/hyperlink" Target="https://doi.org/10.1093/biomet/75.2.335" TargetMode="External"/><Relationship Id="rId83" Type="http://schemas.openxmlformats.org/officeDocument/2006/relationships/hyperlink" Target="https://doi.org/10.1214/aoms/1177729437" TargetMode="External"/><Relationship Id="rId91" Type="http://schemas.openxmlformats.org/officeDocument/2006/relationships/hyperlink" Target="https://doi.org/10.2307/1912773" TargetMode="External"/><Relationship Id="rId103" Type="http://schemas.openxmlformats.org/officeDocument/2006/relationships/hyperlink" Target="https://doi.org/10.2307/2333709"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3" Type="http://schemas.openxmlformats.org/officeDocument/2006/relationships/hyperlink" Target="https://doi.org/10.1016/0165-1765(80)90024-5" TargetMode="External"/><Relationship Id="rId85" Type="http://schemas.openxmlformats.org/officeDocument/2006/relationships/hyperlink" Target="https://doi.org/10.1016/0304-4076(86)90063-1" TargetMode="External"/><Relationship Id="rId95" Type="http://schemas.openxmlformats.org/officeDocument/2006/relationships/hyperlink" Target="https://doi.org/10.1016/0304-4076(92)90104-Y" TargetMode="External"/><Relationship Id="rId97" Type="http://schemas.openxmlformats.org/officeDocument/2006/relationships/hyperlink" Target="https://doi.org/10.1080/01621459.1967.10482916" TargetMode="External"/><Relationship Id="rId89" Type="http://schemas.openxmlformats.org/officeDocument/2006/relationships/hyperlink" Target="https://doi.org/10.1080/01621459.1979.10482531" TargetMode="External"/><Relationship Id="rId99" Type="http://schemas.openxmlformats.org/officeDocument/2006/relationships/hyperlink" Target="https://doi.org/10.1093/biomet/65.2.297" TargetMode="External"/><Relationship Id="rId101" Type="http://schemas.openxmlformats.org/officeDocument/2006/relationships/hyperlink" Target="https://doi.org/10.1093/biomet/75.2.335" TargetMode="External"/><Relationship Id="rId83" Type="http://schemas.openxmlformats.org/officeDocument/2006/relationships/hyperlink" Target="https://doi.org/10.1214/aoms/1177729437" TargetMode="External"/><Relationship Id="rId91" Type="http://schemas.openxmlformats.org/officeDocument/2006/relationships/hyperlink" Target="https://doi.org/10.2307/1912773" TargetMode="External"/><Relationship Id="rId103" Type="http://schemas.openxmlformats.org/officeDocument/2006/relationships/hyperlink" Target="https://doi.org/10.2307/2333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2026-06-11T04:09:15Z</dcterms:created>
  <dcterms:modified xsi:type="dcterms:W3CDTF">2026-06-11T04:09:15Z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../apa.csl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