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ĐỀ CƯƠNG SÁCH CHUYÊN KHẢO (PHIÊN BẢN 3.2)</w:t>
      </w:r>
    </w:p>
    <w:p>
      <w:pPr>
        <w:jc w:val="center"/>
      </w:pPr>
      <w:r>
        <w:rPr>
          <w:b/>
          <w:i w:val="0"/>
        </w:rPr>
        <w:t>Đo lường và dự báo biến động, giá trị chịu rủi ro và tổn thất kỳ vọng có điều kiện trên thị trường chứng khoán Việt Nam</w:t>
      </w:r>
    </w:p>
    <w:p>
      <w:pPr>
        <w:jc w:val="center"/>
      </w:pPr>
      <w:r>
        <w:rPr>
          <w:b w:val="0"/>
          <w:i/>
          <w:sz w:val="22"/>
        </w:rPr>
        <w:t>Bản 3.2, 22/10/2026 · sửa từ outline_v3.docx (bản 3.1) theo quyết định của tác giả ngày 22/10/2026: bỏ VN30 và chỉ số ngành; HNX-Index là chuỗi đối chứng duy nhất · outline.docx, outline_v2.docx, outline_v3.docx giữ nguyên</w:t>
      </w:r>
    </w:p>
    <w:p>
      <w:r>
        <w:rPr>
          <w:b/>
          <w:i w:val="0"/>
        </w:rPr>
        <w:t>Ghi chú sử dụng</w:t>
      </w:r>
    </w:p>
    <w:p>
      <w:pPr>
        <w:pStyle w:val="ListBullet"/>
      </w:pPr>
      <w:r>
        <w:t>Heading 1 = chương/phần; Heading 2 = mục (x.y); Heading 3 = tiểu mục (x.y.z). Dưới cấp x.y.z dùng tiêu đề in đậm không đánh số trong thân chương.</w:t>
      </w:r>
    </w:p>
    <w:p>
      <w:pPr>
        <w:pStyle w:val="ListBullet"/>
      </w:pPr>
      <w:r>
        <w:t>Nguyên tắc đặt tiêu đề: ngắn gọn; không đan xen tiếng Anh – tiếng Việt; thuật ngữ tiếng Anh, tên kiểm định và tên tác giả đưa vào thân bài. Tên riêng của mô hình (ARCH, GARCH) và tên chỉ số (VN-Index, HNX-Index) được giữ.</w:t>
      </w:r>
    </w:p>
    <w:p>
      <w:pPr>
        <w:pStyle w:val="ListBullet"/>
      </w:pPr>
      <w:r>
        <w:t>Thuật ngữ dùng trong tiêu đề: tỷ suất sinh lời; giá trị chịu rủi ro (VaR); tổn thất kỳ vọng có điều kiện (ES); rủi ro đuôi (bao gồm cả giá trị chịu rủi ro và tổn thất kỳ vọng có điều kiện). Đối chiếu Anh–Việt ở bảng cuối tài liệu.</w:t>
      </w:r>
    </w:p>
    <w:p>
      <w:pPr>
        <w:pStyle w:val="ListBullet"/>
      </w:pPr>
      <w:r>
        <w:t>Luận điểm trung tâm: Cung cấp bằng chứng thực nghiệm về các phương pháp đo lường biến động tỷ suất sinh lời và rủi ro đuôi của tỷ suất sinh lời ở thị trường mới nổi với sample là Việt Nam. Ở thị trường mới nổi có biên độ giá, thanh khoản không đều và nhà đầu tư cá nhân chiếm đa số như Việt Nam, điều này đặc biệt quan trọng bởi rủi ro mô hình có thể dẫn tới các quyết định đầu tư, hedging kém hiệu quả</w:t>
      </w:r>
    </w:p>
    <w:p>
      <w:r>
        <w:rPr>
          <w:b/>
          <w:i w:val="0"/>
        </w:rPr>
        <w:t>Mục lục tự động</w:t>
      </w:r>
    </w:p>
    <w:p>
      <w:r>
        <w:fldChar w:fldCharType="begin"/>
        <w:instrText xml:space="preserve">TOC \o "1-3" \h \z \u</w:instrText>
        <w:fldChar w:fldCharType="separate"/>
        <w:t>[Nhấn chuột phải → Update Field để cập nhật mục lục]</w:t>
        <w:fldChar w:fldCharType="end"/>
      </w:r>
    </w:p>
    <w:p>
      <w:r>
        <w:br w:type="page"/>
      </w:r>
    </w:p>
    <w:p>
      <w:pPr>
        <w:pStyle w:val="Heading1"/>
      </w:pPr>
      <w:r>
        <w:t>MỞ ĐẦU</w:t>
      </w:r>
    </w:p>
    <w:p>
      <w:pPr>
        <w:pStyle w:val="Heading2"/>
      </w:pPr>
      <w:r>
        <w:t>Vấn đề và câu hỏi nghiên cứu</w:t>
      </w:r>
    </w:p>
    <w:p>
      <w:pPr>
        <w:pStyle w:val="Heading2"/>
      </w:pPr>
      <w:r>
        <w:t>Luận điểm trung tâm và đóng góp</w:t>
      </w:r>
    </w:p>
    <w:p>
      <w:pPr>
        <w:pStyle w:val="Heading2"/>
      </w:pPr>
      <w:r>
        <w:t>Dữ liệu, phạm vi và nguyên tắc tái lập</w:t>
      </w:r>
    </w:p>
    <w:p>
      <w:pPr>
        <w:pStyle w:val="Heading2"/>
      </w:pPr>
      <w:r>
        <w:t>Cấu trúc sách</w:t>
      </w:r>
    </w:p>
    <w:p>
      <w:pPr>
        <w:pStyle w:val="Heading1"/>
      </w:pPr>
      <w:r>
        <w:t>Chương 1. Cơ sở lý luận về tỷ suất sinh lời, biến động và rủi ro đuôi</w:t>
      </w:r>
    </w:p>
    <w:p>
      <w:pPr>
        <w:pStyle w:val="Heading2"/>
      </w:pPr>
      <w:r>
        <w:t>1.1. Rủi ro thị trường và yêu cầu đo lường</w:t>
      </w:r>
    </w:p>
    <w:p>
      <w:pPr>
        <w:pStyle w:val="Heading3"/>
      </w:pPr>
      <w:r>
        <w:t>1.1.1. Từ biến động giá đến tổn thất của vị thế đầu tư</w:t>
      </w:r>
    </w:p>
    <w:p>
      <w:pPr>
        <w:pStyle w:val="Heading3"/>
      </w:pPr>
      <w:r>
        <w:t>1.1.2. Vai trò của đo lường biến động và rủi ro đuôi</w:t>
      </w:r>
    </w:p>
    <w:p>
      <w:pPr>
        <w:pStyle w:val="Heading2"/>
      </w:pPr>
      <w:r>
        <w:t>1.2. Tỷ suất sinh lời của tài sản</w:t>
      </w:r>
    </w:p>
    <w:p>
      <w:pPr>
        <w:pStyle w:val="Heading3"/>
      </w:pPr>
      <w:r>
        <w:t>1.2.1. Tỷ suất sinh lời của một tài sản</w:t>
      </w:r>
    </w:p>
    <w:p>
      <w:pPr>
        <w:pStyle w:val="Heading3"/>
      </w:pPr>
      <w:r>
        <w:t>1.2.2. Tỷ suất sinh lời danh mục và lãi/lỗ của vị thế</w:t>
      </w:r>
    </w:p>
    <w:p>
      <w:pPr>
        <w:pStyle w:val="Heading2"/>
      </w:pPr>
      <w:r>
        <w:t>1.3. Các đặc điểm thực nghiệm của tỷ suất sinh lời</w:t>
      </w:r>
    </w:p>
    <w:p>
      <w:pPr>
        <w:pStyle w:val="Heading3"/>
      </w:pPr>
      <w:r>
        <w:t>1.3.1. Trung bình khó dự báo và phương sai phụ thuộc theo thời gian</w:t>
      </w:r>
    </w:p>
    <w:p>
      <w:pPr>
        <w:pStyle w:val="Heading3"/>
      </w:pPr>
      <w:r>
        <w:t>1.3.2. Đuôi dày, độ lệch và hiệu ứng bất đối xứng</w:t>
      </w:r>
    </w:p>
    <w:p>
      <w:pPr>
        <w:pStyle w:val="Heading3"/>
      </w:pPr>
      <w:r>
        <w:t>1.3.3. Hàm ý đối với mô hình hóa</w:t>
      </w:r>
    </w:p>
    <w:p>
      <w:pPr>
        <w:pStyle w:val="Heading2"/>
      </w:pPr>
      <w:r>
        <w:t>1.4. Biến động tỷ suất sinh lời và rủi ro đuôi</w:t>
      </w:r>
    </w:p>
    <w:p>
      <w:pPr>
        <w:pStyle w:val="Heading3"/>
      </w:pPr>
      <w:r>
        <w:t>1.4.1. Biến động tỷ suất sinh lời</w:t>
      </w:r>
    </w:p>
    <w:p>
      <w:pPr>
        <w:pStyle w:val="Heading3"/>
      </w:pPr>
      <w:r>
        <w:t>1.4.2. Giá trị chịu rủi ro</w:t>
      </w:r>
    </w:p>
    <w:p>
      <w:pPr>
        <w:pStyle w:val="Heading3"/>
      </w:pPr>
      <w:r>
        <w:t>1.4.3. Tổn thất kỳ vọng có điều kiện</w:t>
      </w:r>
    </w:p>
    <w:p>
      <w:pPr>
        <w:pStyle w:val="Heading2"/>
      </w:pPr>
      <w:r>
        <w:t>1.5. Quy trình đo lường biến động tỷ suất sinh lời, giá trị chịu rủi ro và tổn thất kỳ vọng có điều kiện</w:t>
      </w:r>
    </w:p>
    <w:p>
      <w:pPr>
        <w:pStyle w:val="Heading2"/>
      </w:pPr>
      <w:r>
        <w:t>1.6. Kết luận chương</w:t>
      </w:r>
    </w:p>
    <w:p>
      <w:pPr>
        <w:pStyle w:val="Heading1"/>
      </w:pPr>
      <w:r>
        <w:t>Chương 2. Mô hình đo lường và dự báo biến động</w:t>
      </w:r>
    </w:p>
    <w:p>
      <w:pPr>
        <w:pStyle w:val="Heading2"/>
      </w:pPr>
      <w:r>
        <w:t>2.1. Các phương pháp đo lường giản đơn</w:t>
      </w:r>
    </w:p>
    <w:p>
      <w:pPr>
        <w:pStyle w:val="Heading3"/>
      </w:pPr>
      <w:r>
        <w:t>2.1.1. Biến động lịch sử và cửa sổ trượt</w:t>
      </w:r>
    </w:p>
    <w:p>
      <w:pPr>
        <w:pStyle w:val="Heading3"/>
      </w:pPr>
      <w:r>
        <w:t>2.1.2. Trung bình trượt có trọng số mũ</w:t>
      </w:r>
    </w:p>
    <w:p>
      <w:pPr>
        <w:pStyle w:val="Heading3"/>
      </w:pPr>
      <w:r>
        <w:t>2.1.3. Ước lượng dựa trên biên độ giá</w:t>
      </w:r>
    </w:p>
    <w:p>
      <w:pPr>
        <w:pStyle w:val="Heading2"/>
      </w:pPr>
      <w:r>
        <w:t>2.2. Họ mô hình GARCH</w:t>
      </w:r>
    </w:p>
    <w:p>
      <w:pPr>
        <w:pStyle w:val="Heading3"/>
      </w:pPr>
      <w:r>
        <w:t>2.2.1. ARCH và GARCH(1,1)</w:t>
      </w:r>
    </w:p>
    <w:p>
      <w:pPr>
        <w:pStyle w:val="Heading3"/>
      </w:pPr>
      <w:r>
        <w:t>2.2.2. Tính bền và khả năng hồi quy về trung bình</w:t>
      </w:r>
    </w:p>
    <w:p>
      <w:pPr>
        <w:pStyle w:val="Heading3"/>
      </w:pPr>
      <w:r>
        <w:t>2.2.3. Nhóm mô hình GARCH bất đối xứng</w:t>
      </w:r>
    </w:p>
    <w:p>
      <w:pPr>
        <w:pStyle w:val="Heading3"/>
      </w:pPr>
      <w:r>
        <w:t>2.2.4. Nhóm mô hình GARCH có bộ nhớ dài</w:t>
      </w:r>
    </w:p>
    <w:p>
      <w:pPr>
        <w:pStyle w:val="Heading2"/>
      </w:pPr>
      <w:r>
        <w:t>2.3. Phân phối sai số chuẩn hóa</w:t>
      </w:r>
    </w:p>
    <w:p>
      <w:pPr>
        <w:pStyle w:val="Heading3"/>
      </w:pPr>
      <w:r>
        <w:t>2.3.1. Phân phối chuẩn và các phân phối đuôi dày</w:t>
      </w:r>
    </w:p>
    <w:p>
      <w:pPr>
        <w:pStyle w:val="Heading3"/>
      </w:pPr>
      <w:r>
        <w:t>2.3.2. Hàm ý đối với rủi ro đuôi</w:t>
      </w:r>
    </w:p>
    <w:p>
      <w:pPr>
        <w:pStyle w:val="Heading2"/>
      </w:pPr>
      <w:r>
        <w:t>2.4. Ước lượng, lựa chọn và chẩn đoán mô hình</w:t>
      </w:r>
    </w:p>
    <w:p>
      <w:pPr>
        <w:pStyle w:val="Heading3"/>
      </w:pPr>
      <w:r>
        <w:t>2.4.1. Phương trình trung bình và phương pháp ước lượng</w:t>
      </w:r>
    </w:p>
    <w:p>
      <w:pPr>
        <w:pStyle w:val="Heading3"/>
      </w:pPr>
      <w:r>
        <w:t>2.4.2. Tiêu chí thông tin và chẩn đoán phần dư</w:t>
      </w:r>
    </w:p>
    <w:p>
      <w:pPr>
        <w:pStyle w:val="Heading2"/>
      </w:pPr>
      <w:r>
        <w:t>2.5. Biến động thực hiện và biến động hàm ý</w:t>
      </w:r>
    </w:p>
    <w:p>
      <w:pPr>
        <w:pStyle w:val="Heading3"/>
      </w:pPr>
      <w:r>
        <w:t>2.5.1. Biến động thực hiện</w:t>
      </w:r>
    </w:p>
    <w:p>
      <w:pPr>
        <w:pStyle w:val="Heading3"/>
      </w:pPr>
      <w:r>
        <w:t>2.5.2. Biến động hàm ý</w:t>
      </w:r>
    </w:p>
    <w:p>
      <w:pPr>
        <w:pStyle w:val="Heading2"/>
      </w:pPr>
      <w:r>
        <w:t>2.6. Thiết kế và đánh giá dự báo</w:t>
      </w:r>
    </w:p>
    <w:p>
      <w:pPr>
        <w:pStyle w:val="Heading3"/>
      </w:pPr>
      <w:r>
        <w:t>2.6.1. Cửa sổ ước lượng và kỳ dự báo</w:t>
      </w:r>
    </w:p>
    <w:p>
      <w:pPr>
        <w:pStyle w:val="Heading3"/>
      </w:pPr>
      <w:r>
        <w:t>2.6.2. Thước đo đối chứng và hàm tổn thất</w:t>
      </w:r>
    </w:p>
    <w:p>
      <w:pPr>
        <w:pStyle w:val="Heading3"/>
      </w:pPr>
      <w:r>
        <w:t>2.6.3. Kiểm định so sánh khả năng dự báo</w:t>
      </w:r>
    </w:p>
    <w:p>
      <w:pPr>
        <w:pStyle w:val="Heading2"/>
      </w:pPr>
      <w:r>
        <w:t>2.7. Kết luận chương</w:t>
      </w:r>
    </w:p>
    <w:p>
      <w:pPr>
        <w:pStyle w:val="Heading1"/>
      </w:pPr>
      <w:r>
        <w:t>Chương 3. Thực nghiệm đo lường và dự báo biến động trên thị trường Việt Nam</w:t>
      </w:r>
    </w:p>
    <w:p>
      <w:pPr>
        <w:pStyle w:val="Heading2"/>
      </w:pPr>
      <w:r>
        <w:t>3.1. Tổng quan nghiên cứu và giả thuyết</w:t>
      </w:r>
    </w:p>
    <w:p>
      <w:pPr>
        <w:pStyle w:val="Heading3"/>
      </w:pPr>
      <w:r>
        <w:t>3.1.1. Bằng chứng quốc tế và thị trường mới nổi</w:t>
      </w:r>
    </w:p>
    <w:p>
      <w:pPr>
        <w:pStyle w:val="Heading3"/>
      </w:pPr>
      <w:r>
        <w:t>3.1.2. Bằng chứng tại Việt Nam và khoảng trống nghiên cứu</w:t>
      </w:r>
    </w:p>
    <w:p>
      <w:pPr>
        <w:pStyle w:val="Heading3"/>
      </w:pPr>
      <w:r>
        <w:t>3.1.3. Câu hỏi và giả thuyết nghiên cứu</w:t>
      </w:r>
    </w:p>
    <w:p>
      <w:pPr>
        <w:pStyle w:val="Heading2"/>
      </w:pPr>
      <w:r>
        <w:t>3.2. Dữ liệu và thiết kế thực nghiệm</w:t>
      </w:r>
    </w:p>
    <w:p>
      <w:pPr>
        <w:pStyle w:val="Heading3"/>
      </w:pPr>
      <w:r>
        <w:t>3.2.1. Các chuỗi chỉ số và vai trò của từng chuỗi</w:t>
      </w:r>
    </w:p>
    <w:p>
      <w:pPr>
        <w:pStyle w:val="Heading3"/>
      </w:pPr>
      <w:r>
        <w:t>3.2.2. Xử lý dữ liệu và thước đo biến động đối chứng</w:t>
      </w:r>
    </w:p>
    <w:p>
      <w:pPr>
        <w:pStyle w:val="Heading3"/>
      </w:pPr>
      <w:r>
        <w:t>3.2.3. Tập mô hình và thiết kế dự báo ngoài mẫu</w:t>
      </w:r>
    </w:p>
    <w:p>
      <w:pPr>
        <w:pStyle w:val="Heading2"/>
      </w:pPr>
      <w:r>
        <w:t>3.3. Đặc điểm thống kê của các chuỗi tỷ suất sinh lời</w:t>
      </w:r>
    </w:p>
    <w:p>
      <w:pPr>
        <w:pStyle w:val="Heading3"/>
      </w:pPr>
      <w:r>
        <w:t>3.3.1. Thống kê mô tả</w:t>
      </w:r>
    </w:p>
    <w:p>
      <w:pPr>
        <w:pStyle w:val="Heading3"/>
      </w:pPr>
      <w:r>
        <w:t>3.3.2. Kiểm định phân phối, tính dừng, hiệu ứng ARCH và bất đối xứng</w:t>
      </w:r>
    </w:p>
    <w:p>
      <w:pPr>
        <w:pStyle w:val="Heading2"/>
      </w:pPr>
      <w:r>
        <w:t>3.4. Kết quả ước lượng trong mẫu với VN-Index</w:t>
      </w:r>
    </w:p>
    <w:p>
      <w:pPr>
        <w:pStyle w:val="Heading3"/>
      </w:pPr>
      <w:r>
        <w:t>3.4.1. Ước lượng và lựa chọn mô hình</w:t>
      </w:r>
    </w:p>
    <w:p>
      <w:pPr>
        <w:pStyle w:val="Heading3"/>
      </w:pPr>
      <w:r>
        <w:t>3.4.2. Ý nghĩa kinh tế của các tham số</w:t>
      </w:r>
    </w:p>
    <w:p>
      <w:pPr>
        <w:pStyle w:val="Heading2"/>
      </w:pPr>
      <w:r>
        <w:t>3.5. Kết quả dự báo ngoài mẫu với VN-Index</w:t>
      </w:r>
    </w:p>
    <w:p>
      <w:pPr>
        <w:pStyle w:val="Heading3"/>
      </w:pPr>
      <w:r>
        <w:t>3.5.1. Sai số dự báo theo hàm tổn thất và kỳ dự báo</w:t>
      </w:r>
    </w:p>
    <w:p>
      <w:pPr>
        <w:pStyle w:val="Heading3"/>
      </w:pPr>
      <w:r>
        <w:t>3.5.2. Kiểm định so sánh và xếp hạng mô hình</w:t>
      </w:r>
    </w:p>
    <w:p>
      <w:pPr>
        <w:pStyle w:val="Heading2"/>
      </w:pPr>
      <w:r>
        <w:t>3.6. Phân tích theo giai đoạn thị trường</w:t>
      </w:r>
    </w:p>
    <w:p>
      <w:pPr>
        <w:pStyle w:val="Heading2"/>
      </w:pPr>
      <w:r>
        <w:t>3.7. Tính khái quát trên HNX-Index</w:t>
      </w:r>
    </w:p>
    <w:p>
      <w:pPr>
        <w:pStyle w:val="Heading3"/>
      </w:pPr>
      <w:r>
        <w:t>3.7.1. Kết quả ước lượng và dự báo với HNX-Index</w:t>
      </w:r>
    </w:p>
    <w:p>
      <w:pPr>
        <w:pStyle w:val="Heading3"/>
      </w:pPr>
      <w:r>
        <w:t>3.7.2. So sánh với VN-Index</w:t>
      </w:r>
    </w:p>
    <w:p>
      <w:pPr>
        <w:pStyle w:val="Heading2"/>
      </w:pPr>
      <w:r>
        <w:t>3.8. Kiểm định độ bền</w:t>
      </w:r>
    </w:p>
    <w:p>
      <w:pPr>
        <w:pStyle w:val="Heading2"/>
      </w:pPr>
      <w:r>
        <w:t>3.9. Kết luận về biến động tại Việt Nam</w:t>
      </w:r>
    </w:p>
    <w:p>
      <w:pPr>
        <w:pStyle w:val="Heading1"/>
      </w:pPr>
      <w:r>
        <w:t>Chương 4. Các phương pháp đo lường giá trị chịu rủi ro và tổn thất kỳ vọng có điều kiện</w:t>
      </w:r>
    </w:p>
    <w:p>
      <w:pPr>
        <w:pStyle w:val="Heading2"/>
      </w:pPr>
      <w:r>
        <w:t>4.1. Từ dự báo biến động đến đo lường rủi ro đuôi</w:t>
      </w:r>
    </w:p>
    <w:p>
      <w:pPr>
        <w:pStyle w:val="Heading3"/>
      </w:pPr>
      <w:r>
        <w:t>4.1.1. Phân vị và kỳ vọng vùng đuôi</w:t>
      </w:r>
    </w:p>
    <w:p>
      <w:pPr>
        <w:pStyle w:val="Heading3"/>
      </w:pPr>
      <w:r>
        <w:t>4.1.2. Tính chất của thước đo rủi ro</w:t>
      </w:r>
    </w:p>
    <w:p>
      <w:pPr>
        <w:pStyle w:val="Heading2"/>
      </w:pPr>
      <w:r>
        <w:t>4.2. Phương pháp phi tham số</w:t>
      </w:r>
    </w:p>
    <w:p>
      <w:pPr>
        <w:pStyle w:val="Heading3"/>
      </w:pPr>
      <w:r>
        <w:t>4.2.1. Mô phỏng lịch sử</w:t>
      </w:r>
    </w:p>
    <w:p>
      <w:pPr>
        <w:pStyle w:val="Heading3"/>
      </w:pPr>
      <w:r>
        <w:t>4.2.2. Mô phỏng lịch sử có trọng số</w:t>
      </w:r>
    </w:p>
    <w:p>
      <w:pPr>
        <w:pStyle w:val="Heading2"/>
      </w:pPr>
      <w:r>
        <w:t>4.3. Phương pháp tham số</w:t>
      </w:r>
    </w:p>
    <w:p>
      <w:pPr>
        <w:pStyle w:val="Heading3"/>
      </w:pPr>
      <w:r>
        <w:t>4.3.1. Mô hình tham số không điều kiện</w:t>
      </w:r>
    </w:p>
    <w:p>
      <w:pPr>
        <w:pStyle w:val="Heading3"/>
      </w:pPr>
      <w:r>
        <w:t>4.3.2. Mô hình tham số có điều kiện</w:t>
      </w:r>
    </w:p>
    <w:p>
      <w:pPr>
        <w:pStyle w:val="Heading3"/>
      </w:pPr>
      <w:r>
        <w:t>4.3.3. Kỳ hạn nắm giữ nhiều ngày</w:t>
      </w:r>
    </w:p>
    <w:p>
      <w:pPr>
        <w:pStyle w:val="Heading2"/>
      </w:pPr>
      <w:r>
        <w:t>4.4. Phương pháp mô phỏng</w:t>
      </w:r>
    </w:p>
    <w:p>
      <w:pPr>
        <w:pStyle w:val="Heading3"/>
      </w:pPr>
      <w:r>
        <w:t>4.4.1. Mô phỏng ngẫu nhiên</w:t>
      </w:r>
    </w:p>
    <w:p>
      <w:pPr>
        <w:pStyle w:val="Heading3"/>
      </w:pPr>
      <w:r>
        <w:t>4.4.2. Mô phỏng lịch sử có lọc</w:t>
      </w:r>
    </w:p>
    <w:p>
      <w:pPr>
        <w:pStyle w:val="Heading2"/>
      </w:pPr>
      <w:r>
        <w:t>4.5. Phương pháp bán tham số</w:t>
      </w:r>
    </w:p>
    <w:p>
      <w:pPr>
        <w:pStyle w:val="Heading3"/>
      </w:pPr>
      <w:r>
        <w:t>4.5.1. Lý thuyết giá trị cực trị</w:t>
      </w:r>
    </w:p>
    <w:p>
      <w:pPr>
        <w:pStyle w:val="Heading3"/>
      </w:pPr>
      <w:r>
        <w:t>4.5.2. Hồi quy phân vị</w:t>
      </w:r>
    </w:p>
    <w:p>
      <w:pPr>
        <w:pStyle w:val="Heading2"/>
      </w:pPr>
      <w:r>
        <w:t>4.6. Kiểm định ngược</w:t>
      </w:r>
    </w:p>
    <w:p>
      <w:pPr>
        <w:pStyle w:val="Heading3"/>
      </w:pPr>
      <w:r>
        <w:t>4.6.1. Kiểm định ngược giá trị chịu rủi ro</w:t>
      </w:r>
    </w:p>
    <w:p>
      <w:pPr>
        <w:pStyle w:val="Heading3"/>
      </w:pPr>
      <w:r>
        <w:t>4.6.2. Kiểm định ngược tổn thất kỳ vọng có điều kiện</w:t>
      </w:r>
    </w:p>
    <w:p>
      <w:pPr>
        <w:pStyle w:val="Heading2"/>
      </w:pPr>
      <w:r>
        <w:t>4.7. So sánh và lựa chọn mô hình</w:t>
      </w:r>
    </w:p>
    <w:p>
      <w:pPr>
        <w:pStyle w:val="Heading3"/>
      </w:pPr>
      <w:r>
        <w:t>4.7.1. Hàm điểm và kiểm định so sánh</w:t>
      </w:r>
    </w:p>
    <w:p>
      <w:pPr>
        <w:pStyle w:val="Heading3"/>
      </w:pPr>
      <w:r>
        <w:t>4.7.2. Rủi ro mô hình</w:t>
      </w:r>
    </w:p>
    <w:p>
      <w:pPr>
        <w:pStyle w:val="Heading2"/>
      </w:pPr>
      <w:r>
        <w:t>4.8. Kết luận chương</w:t>
      </w:r>
    </w:p>
    <w:p>
      <w:pPr>
        <w:pStyle w:val="Heading1"/>
      </w:pPr>
      <w:r>
        <w:t>Chương 5. Thực nghiệm đo lường và dự báo rủi ro đuôi trên thị trường Việt Nam</w:t>
      </w:r>
    </w:p>
    <w:p>
      <w:pPr>
        <w:pStyle w:val="Heading2"/>
      </w:pPr>
      <w:r>
        <w:t>5.1. Tổng quan nghiên cứu và giả thuyết</w:t>
      </w:r>
    </w:p>
    <w:p>
      <w:pPr>
        <w:pStyle w:val="Heading3"/>
      </w:pPr>
      <w:r>
        <w:t>5.1.1. Bằng chứng quốc tế và thị trường mới nổi</w:t>
      </w:r>
    </w:p>
    <w:p>
      <w:pPr>
        <w:pStyle w:val="Heading3"/>
      </w:pPr>
      <w:r>
        <w:t>5.1.2. Bằng chứng tại Việt Nam và khoảng trống nghiên cứu</w:t>
      </w:r>
    </w:p>
    <w:p>
      <w:pPr>
        <w:pStyle w:val="Heading3"/>
      </w:pPr>
      <w:r>
        <w:t>5.1.3. Câu hỏi và giả thuyết nghiên cứu</w:t>
      </w:r>
    </w:p>
    <w:p>
      <w:pPr>
        <w:pStyle w:val="Heading2"/>
      </w:pPr>
      <w:r>
        <w:t>5.2. Dữ liệu và thiết kế kiểm định ngược</w:t>
      </w:r>
    </w:p>
    <w:p>
      <w:pPr>
        <w:pStyle w:val="Heading3"/>
      </w:pPr>
      <w:r>
        <w:t>5.2.1. Chuỗi tổn thất và tập mô hình</w:t>
      </w:r>
    </w:p>
    <w:p>
      <w:pPr>
        <w:pStyle w:val="Heading3"/>
      </w:pPr>
      <w:r>
        <w:t>5.2.2. Mức tin cậy, kỳ hạn nắm giữ và cửa sổ trượt</w:t>
      </w:r>
    </w:p>
    <w:p>
      <w:pPr>
        <w:pStyle w:val="Heading2"/>
      </w:pPr>
      <w:r>
        <w:t>5.3. Kết quả giá trị chịu rủi ro với VN-Index</w:t>
      </w:r>
    </w:p>
    <w:p>
      <w:pPr>
        <w:pStyle w:val="Heading3"/>
      </w:pPr>
      <w:r>
        <w:t>5.3.1. Tần suất vi phạm và kiểm định độ phủ</w:t>
      </w:r>
    </w:p>
    <w:p>
      <w:pPr>
        <w:pStyle w:val="Heading3"/>
      </w:pPr>
      <w:r>
        <w:t>5.3.2. Sự tập trung của các vi phạm</w:t>
      </w:r>
    </w:p>
    <w:p>
      <w:pPr>
        <w:pStyle w:val="Heading2"/>
      </w:pPr>
      <w:r>
        <w:t>5.4. Kết quả tổn thất kỳ vọng có điều kiện với VN-Index</w:t>
      </w:r>
    </w:p>
    <w:p>
      <w:pPr>
        <w:pStyle w:val="Heading3"/>
      </w:pPr>
      <w:r>
        <w:t>5.4.1. Mức độ nghiêm trọng của tổn thất vượt ngưỡng</w:t>
      </w:r>
    </w:p>
    <w:p>
      <w:pPr>
        <w:pStyle w:val="Heading3"/>
      </w:pPr>
      <w:r>
        <w:t>5.4.2. Kiểm định ngược và hàm điểm</w:t>
      </w:r>
    </w:p>
    <w:p>
      <w:pPr>
        <w:pStyle w:val="Heading2"/>
      </w:pPr>
      <w:r>
        <w:t>5.5. So sánh mô hình theo nhóm phương pháp</w:t>
      </w:r>
    </w:p>
    <w:p>
      <w:pPr>
        <w:pStyle w:val="Heading3"/>
      </w:pPr>
      <w:r>
        <w:t>5.5.1. Phi tham số, tham số và bán tham số</w:t>
      </w:r>
    </w:p>
    <w:p>
      <w:pPr>
        <w:pStyle w:val="Heading3"/>
      </w:pPr>
      <w:r>
        <w:t>5.5.2. Đánh đổi giữa độ chính xác và khả năng triển khai</w:t>
      </w:r>
    </w:p>
    <w:p>
      <w:pPr>
        <w:pStyle w:val="Heading2"/>
      </w:pPr>
      <w:r>
        <w:t>5.6. Từ dự báo biến động đến dự báo rủi ro đuôi</w:t>
      </w:r>
    </w:p>
    <w:p>
      <w:pPr>
        <w:pStyle w:val="Heading3"/>
      </w:pPr>
      <w:r>
        <w:t>5.6.1. Đối chiếu xếp hạng mô hình với Chương 3</w:t>
      </w:r>
    </w:p>
    <w:p>
      <w:pPr>
        <w:pStyle w:val="Heading3"/>
      </w:pPr>
      <w:r>
        <w:t>5.6.2. Vai trò của phương trình phương sai và phân phối sai số</w:t>
      </w:r>
    </w:p>
    <w:p>
      <w:pPr>
        <w:pStyle w:val="Heading2"/>
      </w:pPr>
      <w:r>
        <w:t>5.7. Phân tích theo giai đoạn thị trường</w:t>
      </w:r>
    </w:p>
    <w:p>
      <w:pPr>
        <w:pStyle w:val="Heading2"/>
      </w:pPr>
      <w:r>
        <w:t>5.8. Tính khái quát trên HNX-Index</w:t>
      </w:r>
    </w:p>
    <w:p>
      <w:pPr>
        <w:pStyle w:val="Heading3"/>
      </w:pPr>
      <w:r>
        <w:t>5.8.1. Kết quả giá trị chịu rủi ro và tổn thất kỳ vọng có điều kiện với HNX-Index</w:t>
      </w:r>
    </w:p>
    <w:p>
      <w:pPr>
        <w:pStyle w:val="Heading3"/>
      </w:pPr>
      <w:r>
        <w:t>5.8.2. So sánh với VN-Index</w:t>
      </w:r>
    </w:p>
    <w:p>
      <w:pPr>
        <w:pStyle w:val="Heading2"/>
      </w:pPr>
      <w:r>
        <w:t>5.9. Kiểm định độ bền</w:t>
      </w:r>
    </w:p>
    <w:p>
      <w:pPr>
        <w:pStyle w:val="Heading2"/>
      </w:pPr>
      <w:r>
        <w:t>5.10. Kết luận về rủi ro đuôi tại Việt Nam</w:t>
      </w:r>
    </w:p>
    <w:p>
      <w:pPr>
        <w:pStyle w:val="Heading1"/>
      </w:pPr>
      <w:r>
        <w:t>Chương 6. Tổng hợp, hàm ý và hướng phát triển</w:t>
      </w:r>
    </w:p>
    <w:p>
      <w:pPr>
        <w:pStyle w:val="Heading2"/>
      </w:pPr>
      <w:r>
        <w:t>6.1. Tổng hợp bằng chứng của sách</w:t>
      </w:r>
    </w:p>
    <w:p>
      <w:pPr>
        <w:pStyle w:val="Heading3"/>
      </w:pPr>
      <w:r>
        <w:t>6.1.1. Về mô hình biến động</w:t>
      </w:r>
    </w:p>
    <w:p>
      <w:pPr>
        <w:pStyle w:val="Heading3"/>
      </w:pPr>
      <w:r>
        <w:t>6.1.2. Về mô hình rủi ro đuôi</w:t>
      </w:r>
    </w:p>
    <w:p>
      <w:pPr>
        <w:pStyle w:val="Heading3"/>
      </w:pPr>
      <w:r>
        <w:t>6.1.3. Mức độ ủng hộ đối với luận điểm trung tâm</w:t>
      </w:r>
    </w:p>
    <w:p>
      <w:pPr>
        <w:pStyle w:val="Heading2"/>
      </w:pPr>
      <w:r>
        <w:t>6.2. Hàm ý cho nhà đầu tư và tổ chức kinh doanh chứng khoán</w:t>
      </w:r>
    </w:p>
    <w:p>
      <w:pPr>
        <w:pStyle w:val="Heading3"/>
      </w:pPr>
      <w:r>
        <w:t>6.2.1. Nhà đầu tư</w:t>
      </w:r>
    </w:p>
    <w:p>
      <w:pPr>
        <w:pStyle w:val="Heading3"/>
      </w:pPr>
      <w:r>
        <w:t>6.2.2. Công ty chứng khoán và quỹ đầu tư</w:t>
      </w:r>
    </w:p>
    <w:p>
      <w:pPr>
        <w:pStyle w:val="Heading2"/>
      </w:pPr>
      <w:r>
        <w:t>6.3. Hàm ý cho ngân hàng và cơ quan quản lý</w:t>
      </w:r>
    </w:p>
    <w:p>
      <w:pPr>
        <w:pStyle w:val="Heading2"/>
      </w:pPr>
      <w:r>
        <w:t>6.4. Hướng phát triển về mô hình và dữ liệu</w:t>
      </w:r>
    </w:p>
    <w:p>
      <w:pPr>
        <w:pStyle w:val="Heading3"/>
      </w:pPr>
      <w:r>
        <w:t>6.4.1. Mô hình biến động</w:t>
      </w:r>
    </w:p>
    <w:p>
      <w:pPr>
        <w:pStyle w:val="Heading3"/>
      </w:pPr>
      <w:r>
        <w:t>6.4.2. Mô hình rủi ro đuôi</w:t>
      </w:r>
    </w:p>
    <w:p>
      <w:pPr>
        <w:pStyle w:val="Heading3"/>
      </w:pPr>
      <w:r>
        <w:t>6.4.3. Dữ liệu mới</w:t>
      </w:r>
    </w:p>
    <w:p>
      <w:pPr>
        <w:pStyle w:val="Heading2"/>
      </w:pPr>
      <w:r>
        <w:t>6.5. Hạn chế và hướng nghiên cứu tiếp theo</w:t>
      </w:r>
    </w:p>
    <w:p>
      <w:pPr>
        <w:pStyle w:val="Heading2"/>
      </w:pPr>
      <w:r>
        <w:t>6.6. Kết luận cuối sách</w:t>
      </w:r>
    </w:p>
    <w:p>
      <w:pPr>
        <w:pStyle w:val="Heading1"/>
      </w:pPr>
      <w:r>
        <w:t>PHỤ LỤC</w:t>
      </w:r>
    </w:p>
    <w:p>
      <w:pPr>
        <w:pStyle w:val="Heading2"/>
      </w:pPr>
      <w:r>
        <w:t>Phụ lục A. Ký hiệu, thuật ngữ Anh–Việt và công thức chính</w:t>
      </w:r>
    </w:p>
    <w:p>
      <w:pPr>
        <w:pStyle w:val="Heading2"/>
      </w:pPr>
      <w:r>
        <w:t>Phụ lục B. Dữ liệu và quy trình tái lập</w:t>
      </w:r>
    </w:p>
    <w:p>
      <w:pPr>
        <w:pStyle w:val="Heading2"/>
      </w:pPr>
      <w:r>
        <w:t>Phụ lục C. Mã lệnh R</w:t>
      </w:r>
    </w:p>
    <w:p>
      <w:pPr>
        <w:pStyle w:val="Heading2"/>
      </w:pPr>
      <w:r>
        <w:t>Phụ lục D. Bảng kết quả bổ sung với HNX-Index</w:t>
      </w:r>
    </w:p>
    <w:p>
      <w:r>
        <w:br w:type="page"/>
      </w:r>
    </w:p>
    <w:p>
      <w:pPr>
        <w:pStyle w:val="Heading1"/>
      </w:pPr>
      <w:r>
        <w:t>GHI CHÚ BIÊN TẬP (xóa khi hoàn tất đề cương)</w:t>
      </w:r>
    </w:p>
    <w:p>
      <w:pPr>
        <w:pStyle w:val="Heading2"/>
      </w:pPr>
      <w:r>
        <w:t>Xử lý góp ý trên bản v2</w:t>
      </w:r>
    </w:p>
    <w:tbl>
      <w:tblPr>
        <w:tblStyle w:val="TableGrid"/>
        <w:tblW w:type="auto" w:w="0"/>
        <w:tblLook w:firstColumn="1" w:firstRow="1" w:lastColumn="0" w:lastRow="0" w:noHBand="0" w:noVBand="1" w:val="04A0"/>
      </w:tblPr>
      <w:tblGrid>
        <w:gridCol w:w="3024"/>
        <w:gridCol w:w="3024"/>
        <w:gridCol w:w="3024"/>
      </w:tblGrid>
      <w:tr>
        <w:tc>
          <w:tcPr>
            <w:tcW w:type="dxa" w:w="1474"/>
          </w:tcPr>
          <w:p>
            <w:r>
              <w:rPr>
                <w:b/>
                <w:sz w:val="20"/>
              </w:rPr>
              <w:t>Vị trí v2</w:t>
            </w:r>
          </w:p>
        </w:tc>
        <w:tc>
          <w:tcPr>
            <w:tcW w:type="dxa" w:w="2835"/>
          </w:tcPr>
          <w:p>
            <w:r>
              <w:rPr>
                <w:b/>
                <w:sz w:val="20"/>
              </w:rPr>
              <w:t>Góp ý</w:t>
            </w:r>
          </w:p>
        </w:tc>
        <w:tc>
          <w:tcPr>
            <w:tcW w:type="dxa" w:w="4762"/>
          </w:tcPr>
          <w:p>
            <w:r>
              <w:rPr>
                <w:b/>
                <w:sz w:val="20"/>
              </w:rPr>
              <w:t>Xử lý ở v3</w:t>
            </w:r>
          </w:p>
        </w:tc>
      </w:tr>
      <w:tr>
        <w:tc>
          <w:tcPr>
            <w:tcW w:type="dxa" w:w="1474"/>
          </w:tcPr>
          <w:p>
            <w:r>
              <w:rPr>
                <w:b w:val="0"/>
                <w:sz w:val="20"/>
              </w:rPr>
              <w:t>2.1 (bị đánh số 2.2.x)</w:t>
            </w:r>
          </w:p>
        </w:tc>
        <w:tc>
          <w:tcPr>
            <w:tcW w:type="dxa" w:w="2835"/>
          </w:tcPr>
          <w:p>
            <w:r>
              <w:rPr>
                <w:b w:val="0"/>
                <w:sz w:val="20"/>
              </w:rPr>
              <w:t>Tác giả bỏ mục Mục tiêu và gộp</w:t>
            </w:r>
          </w:p>
        </w:tc>
        <w:tc>
          <w:tcPr>
            <w:tcW w:type="dxa" w:w="4762"/>
          </w:tcPr>
          <w:p>
            <w:r>
              <w:rPr>
                <w:b w:val="0"/>
                <w:sz w:val="20"/>
              </w:rPr>
              <w:t>Đánh số lại toàn chương 2.1–2.7</w:t>
            </w:r>
          </w:p>
        </w:tc>
      </w:tr>
      <w:tr>
        <w:tc>
          <w:tcPr>
            <w:tcW w:type="dxa" w:w="1474"/>
          </w:tcPr>
          <w:p>
            <w:r>
              <w:rPr>
                <w:b w:val="0"/>
                <w:sz w:val="20"/>
              </w:rPr>
              <w:t>2.3.2</w:t>
            </w:r>
          </w:p>
        </w:tc>
        <w:tc>
          <w:tcPr>
            <w:tcW w:type="dxa" w:w="2835"/>
          </w:tcPr>
          <w:p>
            <w:r>
              <w:rPr>
                <w:b w:val="0"/>
                <w:sz w:val="20"/>
              </w:rPr>
              <w:t>Dịch sang tiếng Việt, không đan xen Anh–Việt</w:t>
            </w:r>
          </w:p>
        </w:tc>
        <w:tc>
          <w:tcPr>
            <w:tcW w:type="dxa" w:w="4762"/>
          </w:tcPr>
          <w:p>
            <w:r>
              <w:rPr>
                <w:b w:val="0"/>
                <w:sz w:val="20"/>
              </w:rPr>
              <w:t>2.2.2 Tính bền và khả năng hồi quy về trung bình (chu kỳ bán rã trình bày trong thân bài)</w:t>
            </w:r>
          </w:p>
        </w:tc>
      </w:tr>
      <w:tr>
        <w:tc>
          <w:tcPr>
            <w:tcW w:type="dxa" w:w="1474"/>
          </w:tcPr>
          <w:p>
            <w:r>
              <w:rPr>
                <w:b w:val="0"/>
                <w:sz w:val="20"/>
              </w:rPr>
              <w:t>2.3.4</w:t>
            </w:r>
          </w:p>
        </w:tc>
        <w:tc>
          <w:tcPr>
            <w:tcW w:type="dxa" w:w="2835"/>
          </w:tcPr>
          <w:p>
            <w:r>
              <w:rPr>
                <w:b w:val="0"/>
                <w:sz w:val="20"/>
              </w:rPr>
              <w:t>Đặt tên có điểm chung</w:t>
            </w:r>
          </w:p>
        </w:tc>
        <w:tc>
          <w:tcPr>
            <w:tcW w:type="dxa" w:w="4762"/>
          </w:tcPr>
          <w:p>
            <w:r>
              <w:rPr>
                <w:b w:val="0"/>
                <w:sz w:val="20"/>
              </w:rPr>
              <w:t>2.2.4 Nhóm mô hình GARCH có bộ nhớ dài (IGARCH, GARCH thành phần, FIGARCH); GARCH-M chuyển sang 2.4.1 vì là mở rộng của phương trình trung bình</w:t>
            </w:r>
          </w:p>
        </w:tc>
      </w:tr>
      <w:tr>
        <w:tc>
          <w:tcPr>
            <w:tcW w:type="dxa" w:w="1474"/>
          </w:tcPr>
          <w:p>
            <w:r>
              <w:rPr>
                <w:b w:val="0"/>
                <w:sz w:val="20"/>
              </w:rPr>
              <w:t>2.6, 2.6.2</w:t>
            </w:r>
          </w:p>
        </w:tc>
        <w:tc>
          <w:tcPr>
            <w:tcW w:type="dxa" w:w="2835"/>
          </w:tcPr>
          <w:p>
            <w:r>
              <w:rPr>
                <w:b w:val="0"/>
                <w:sz w:val="20"/>
              </w:rPr>
              <w:t>Đưa vào chỗ phù hợp với mạch chương</w:t>
            </w:r>
          </w:p>
        </w:tc>
        <w:tc>
          <w:tcPr>
            <w:tcW w:type="dxa" w:w="4762"/>
          </w:tcPr>
          <w:p>
            <w:r>
              <w:rPr>
                <w:b w:val="0"/>
                <w:sz w:val="20"/>
              </w:rPr>
              <w:t>Ước lượng dựa trên biên độ giá → 2.1.3 (cùng nhóm thước đo giản đơn từ dữ liệu ngày). Biến động thực hiện và biến động hàm ý → 2.5, đặt ngay trước thiết kế dự báo vì chủ yếu đóng vai trò thước đo đối chứng khi đánh giá dự báo</w:t>
            </w:r>
          </w:p>
        </w:tc>
      </w:tr>
      <w:tr>
        <w:tc>
          <w:tcPr>
            <w:tcW w:type="dxa" w:w="1474"/>
          </w:tcPr>
          <w:p>
            <w:r>
              <w:rPr>
                <w:b w:val="0"/>
                <w:sz w:val="20"/>
              </w:rPr>
              <w:t>2.7.1, 2.7.3</w:t>
            </w:r>
          </w:p>
        </w:tc>
        <w:tc>
          <w:tcPr>
            <w:tcW w:type="dxa" w:w="2835"/>
          </w:tcPr>
          <w:p>
            <w:r>
              <w:rPr>
                <w:b w:val="0"/>
                <w:sz w:val="20"/>
              </w:rPr>
              <w:t>Không để tiêu đề nửa Anh nửa Việt</w:t>
            </w:r>
          </w:p>
        </w:tc>
        <w:tc>
          <w:tcPr>
            <w:tcW w:type="dxa" w:w="4762"/>
          </w:tcPr>
          <w:p>
            <w:r>
              <w:rPr>
                <w:b w:val="0"/>
                <w:sz w:val="20"/>
              </w:rPr>
              <w:t>2.6.1 Cửa sổ ước lượng và kỳ dự báo; 2.6.3 Kiểm định so sánh khả năng dự báo (tên kiểm định đưa vào thân bài)</w:t>
            </w:r>
          </w:p>
        </w:tc>
      </w:tr>
      <w:tr>
        <w:tc>
          <w:tcPr>
            <w:tcW w:type="dxa" w:w="1474"/>
          </w:tcPr>
          <w:p>
            <w:r>
              <w:rPr>
                <w:b w:val="0"/>
                <w:sz w:val="20"/>
              </w:rPr>
              <w:t>3.2.2</w:t>
            </w:r>
          </w:p>
        </w:tc>
        <w:tc>
          <w:tcPr>
            <w:tcW w:type="dxa" w:w="2835"/>
          </w:tcPr>
          <w:p>
            <w:r>
              <w:rPr>
                <w:b w:val="0"/>
                <w:sz w:val="20"/>
              </w:rPr>
              <w:t>Không nửa Anh nửa Việt</w:t>
            </w:r>
          </w:p>
        </w:tc>
        <w:tc>
          <w:tcPr>
            <w:tcW w:type="dxa" w:w="4762"/>
          </w:tcPr>
          <w:p>
            <w:r>
              <w:rPr>
                <w:b w:val="0"/>
                <w:sz w:val="20"/>
              </w:rPr>
              <w:t>3.2.2 Xử lý dữ liệu và thước đo biến động đối chứng; đồng thời 3.2.3 → thiết kế dự báo ngoài mẫu</w:t>
            </w:r>
          </w:p>
        </w:tc>
      </w:tr>
      <w:tr>
        <w:tc>
          <w:tcPr>
            <w:tcW w:type="dxa" w:w="1474"/>
          </w:tcPr>
          <w:p>
            <w:r>
              <w:rPr>
                <w:b w:val="0"/>
                <w:sz w:val="20"/>
              </w:rPr>
              <w:t>3.4</w:t>
            </w:r>
          </w:p>
        </w:tc>
        <w:tc>
          <w:tcPr>
            <w:tcW w:type="dxa" w:w="2835"/>
          </w:tcPr>
          <w:p>
            <w:r>
              <w:rPr>
                <w:b w:val="0"/>
                <w:sz w:val="20"/>
              </w:rPr>
              <w:t>Sử dụng thuật ngữ phù hợp</w:t>
            </w:r>
          </w:p>
        </w:tc>
        <w:tc>
          <w:tcPr>
            <w:tcW w:type="dxa" w:w="4762"/>
          </w:tcPr>
          <w:p>
            <w:r>
              <w:rPr>
                <w:b w:val="0"/>
                <w:sz w:val="20"/>
              </w:rPr>
              <w:t>3.4 Kết quả ước lượng trong mẫu với VN-Index</w:t>
            </w:r>
          </w:p>
        </w:tc>
      </w:tr>
      <w:tr>
        <w:tc>
          <w:tcPr>
            <w:tcW w:type="dxa" w:w="1474"/>
          </w:tcPr>
          <w:p>
            <w:r>
              <w:rPr>
                <w:b w:val="0"/>
                <w:sz w:val="20"/>
              </w:rPr>
              <w:t>3.5, 3.5.1</w:t>
            </w:r>
          </w:p>
        </w:tc>
        <w:tc>
          <w:tcPr>
            <w:tcW w:type="dxa" w:w="2835"/>
          </w:tcPr>
          <w:p>
            <w:r>
              <w:rPr>
                <w:b w:val="0"/>
                <w:sz w:val="20"/>
              </w:rPr>
              <w:t>Tránh thuật ngữ tiếng Anh</w:t>
            </w:r>
          </w:p>
        </w:tc>
        <w:tc>
          <w:tcPr>
            <w:tcW w:type="dxa" w:w="4762"/>
          </w:tcPr>
          <w:p>
            <w:r>
              <w:rPr>
                <w:b w:val="0"/>
                <w:sz w:val="20"/>
              </w:rPr>
              <w:t>3.5 Kết quả dự báo ngoài mẫu với VN-Index; 3.5.1 Sai số dự báo theo hàm tổn thất và kỳ dự báo</w:t>
            </w:r>
          </w:p>
        </w:tc>
      </w:tr>
      <w:tr>
        <w:tc>
          <w:tcPr>
            <w:tcW w:type="dxa" w:w="1474"/>
          </w:tcPr>
          <w:p>
            <w:r>
              <w:rPr>
                <w:b w:val="0"/>
                <w:sz w:val="20"/>
              </w:rPr>
              <w:t>Chương 4</w:t>
            </w:r>
          </w:p>
        </w:tc>
        <w:tc>
          <w:tcPr>
            <w:tcW w:type="dxa" w:w="2835"/>
          </w:tcPr>
          <w:p>
            <w:r>
              <w:rPr>
                <w:b w:val="0"/>
                <w:sz w:val="20"/>
              </w:rPr>
              <w:t>Thuật ngữ</w:t>
            </w:r>
          </w:p>
        </w:tc>
        <w:tc>
          <w:tcPr>
            <w:tcW w:type="dxa" w:w="4762"/>
          </w:tcPr>
          <w:p>
            <w:r>
              <w:rPr>
                <w:b w:val="0"/>
                <w:sz w:val="20"/>
              </w:rPr>
              <w:t>Các phương pháp đo lường giá trị chịu rủi ro và tổn thất kỳ vọng có điều kiện</w:t>
            </w:r>
          </w:p>
        </w:tc>
      </w:tr>
      <w:tr>
        <w:tc>
          <w:tcPr>
            <w:tcW w:type="dxa" w:w="1474"/>
          </w:tcPr>
          <w:p>
            <w:r>
              <w:rPr>
                <w:b w:val="0"/>
                <w:sz w:val="20"/>
              </w:rPr>
              <w:t>4.3, 4.3.3</w:t>
            </w:r>
          </w:p>
        </w:tc>
        <w:tc>
          <w:tcPr>
            <w:tcW w:type="dxa" w:w="2835"/>
          </w:tcPr>
          <w:p>
            <w:r>
              <w:rPr>
                <w:b w:val="0"/>
                <w:sz w:val="20"/>
              </w:rPr>
              <w:t>Chú ý tên tiêu đề</w:t>
            </w:r>
          </w:p>
        </w:tc>
        <w:tc>
          <w:tcPr>
            <w:tcW w:type="dxa" w:w="4762"/>
          </w:tcPr>
          <w:p>
            <w:r>
              <w:rPr>
                <w:b w:val="0"/>
                <w:sz w:val="20"/>
              </w:rPr>
              <w:t>4.3.1–4.3.2 đặt theo không điều kiện/có điều kiện; 4.3.3 chỉ còn kỳ hạn nắm giữ; rủi ro mô hình tách thành 4.7.2</w:t>
            </w:r>
          </w:p>
        </w:tc>
      </w:tr>
      <w:tr>
        <w:tc>
          <w:tcPr>
            <w:tcW w:type="dxa" w:w="1474"/>
          </w:tcPr>
          <w:p>
            <w:r>
              <w:rPr>
                <w:b w:val="0"/>
                <w:sz w:val="20"/>
              </w:rPr>
              <w:t>4.4.1, 4.4.2</w:t>
            </w:r>
          </w:p>
        </w:tc>
        <w:tc>
          <w:tcPr>
            <w:tcW w:type="dxa" w:w="2835"/>
          </w:tcPr>
          <w:p>
            <w:r>
              <w:rPr>
                <w:b w:val="0"/>
                <w:sz w:val="20"/>
              </w:rPr>
              <w:t>Chú ý tên tiêu đề</w:t>
            </w:r>
          </w:p>
        </w:tc>
        <w:tc>
          <w:tcPr>
            <w:tcW w:type="dxa" w:w="4762"/>
          </w:tcPr>
          <w:p>
            <w:r>
              <w:rPr>
                <w:b w:val="0"/>
                <w:sz w:val="20"/>
              </w:rPr>
              <w:t>Mô phỏng ngẫu nhiên; Mô phỏng lịch sử có lọc</w:t>
            </w:r>
          </w:p>
        </w:tc>
      </w:tr>
    </w:tbl>
    <w:p>
      <w:pPr>
        <w:pStyle w:val="Heading2"/>
      </w:pPr>
      <w:r>
        <w:t>Thay đổi tác giả đã thực hiện ở v2 (giữ nguyên ở v3)</w:t>
      </w:r>
    </w:p>
    <w:p>
      <w:pPr>
        <w:pStyle w:val="ListBullet"/>
      </w:pPr>
      <w:r>
        <w:t>Đổi tên Chương 1; dùng “rủi ro phân vị” (v3.1 đổi thành “rủi ro đuôi”); ES gọi là “tổn thất kỳ vọng có điều kiện”; 1.2 Tỷ suất sinh lời của cổ phiếu; bỏ 1.2.3 và mục Đặc thù thị trường Việt Nam.</w:t>
      </w:r>
    </w:p>
    <w:p>
      <w:pPr>
        <w:pStyle w:val="ListBullet"/>
      </w:pPr>
      <w:r>
        <w:t>Chương 2 bỏ mục Mục tiêu; 2.3.3 Nhóm mô hình GARCH bất đối xứng; 2.4.2 Hàm ý đối với rủi ro phân vị.</w:t>
      </w:r>
    </w:p>
    <w:p>
      <w:pPr>
        <w:pStyle w:val="ListBullet"/>
      </w:pPr>
      <w:r>
        <w:t>3.1 Tổng quan nghiên cứu thực nghiệm; tiêu đề kết luận 3.9 viết đầy đủ.</w:t>
      </w:r>
    </w:p>
    <w:p>
      <w:pPr>
        <w:pStyle w:val="ListBullet"/>
      </w:pPr>
      <w:r>
        <w:t>Bỏ phương án dùng cổ phiếu riêng lẻ (đưa vào hướng nghiên cứu 6.5).</w:t>
      </w:r>
    </w:p>
    <w:p>
      <w:pPr>
        <w:pStyle w:val="Heading2"/>
      </w:pPr>
      <w:r>
        <w:t>Sửa thêm để nhất quán (tác giả xem lại)</w:t>
      </w:r>
    </w:p>
    <w:p>
      <w:pPr>
        <w:pStyle w:val="ListBullet"/>
      </w:pPr>
      <w:r>
        <w:t>Sửa lỗi chính tả “Giá tị” → “Giá trị” (1.4.2); “tỷ lệ sinh lời” → “tỷ suất sinh lời” (1.5, 3.9); “Việt nam” → “Việt Nam” (3.9).</w:t>
      </w:r>
    </w:p>
    <w:p>
      <w:pPr>
        <w:pStyle w:val="ListBullet"/>
      </w:pPr>
      <w:r>
        <w:t>Chương 4: tiêu đề tiểu mục không còn tên tiếng Anh (Cornish–Fisher, EWMA, POT, GPD, CAViaR, Basel traffic light, Model Confidence Set chuyển vào thân bài). Kiểm định ngược gộp thành 4.6 (giá trị chịu rủi ro/tổn thất kỳ vọng); so sánh mô hình và rủi ro mô hình thành 4.7.</w:t>
      </w:r>
    </w:p>
    <w:p>
      <w:pPr>
        <w:pStyle w:val="ListBullet"/>
      </w:pPr>
      <w:r>
        <w:t>Chương 5: song song với Chương 3 — 5.1 có ba tiểu mục như 3.1; 5.8 dùng cùng hai tiểu mục như 3.7; tiêu đề kết luận 5.10 viết đầy đủ như 3.9; nội dung biên độ giá và thanh khoản giữa các sàn trình bày trong 5.8.1.</w:t>
      </w:r>
    </w:p>
    <w:p>
      <w:pPr>
        <w:pStyle w:val="ListBullet"/>
      </w:pPr>
      <w:r>
        <w:t>Chương 6 và Phụ lục: chỉ thay “volatility” → “biến động”, “VaR/ES” → “rủi ro đuôi”.</w:t>
      </w:r>
    </w:p>
    <w:p>
      <w:pPr>
        <w:pStyle w:val="Heading2"/>
      </w:pPr>
      <w:r>
        <w:t>Đã thống nhất ngày 22/10/2026</w:t>
      </w:r>
    </w:p>
    <w:p>
      <w:pPr>
        <w:pStyle w:val="ListBullet"/>
      </w:pPr>
      <w:r>
        <w:t>Dùng “rủi ro đuôi” thay cho “rủi ro phân vị” ở mọi tiêu đề (Chương 1, 2.3.2, 4.1, Chương 5, 5.6, Chương 6).</w:t>
      </w:r>
    </w:p>
    <w:p>
      <w:pPr>
        <w:pStyle w:val="ListBullet"/>
      </w:pPr>
      <w:r>
        <w:t>1.2 Tỷ suất sinh lời của tài sản; 1.2.1 Tỷ suất sinh lời của một tài sản.</w:t>
      </w:r>
    </w:p>
    <w:p>
      <w:pPr>
        <w:pStyle w:val="ListBullet"/>
      </w:pPr>
      <w:r>
        <w:t>Rút gọn tiêu đề kết luận: 3.9 Kết luận về biến động tại Việt Nam; 5.10 Kết luận về rủi ro đuôi tại Việt Nam.</w:t>
      </w:r>
    </w:p>
    <w:p>
      <w:pPr>
        <w:pStyle w:val="ListBullet"/>
      </w:pPr>
      <w:r>
        <w:t>3.1 và 5.1 đổi tên thành Tổng quan nghiên cứu và giả thuyết.</w:t>
      </w:r>
    </w:p>
    <w:p>
      <w:pPr>
        <w:pStyle w:val="Heading2"/>
      </w:pPr>
      <w:r>
        <w:t>Thay đổi ở bản 3.2 (22/10/2026)</w:t>
      </w:r>
    </w:p>
    <w:p>
      <w:pPr>
        <w:pStyle w:val="ListBullet"/>
      </w:pPr>
      <w:r>
        <w:t>3.7 và 5.8 đổi thành "Tính khái quát trên HNX-Index"; 3.7.1 "Kết quả ước lượng và dự báo với HNX-Index", 3.7.2 "So sánh với VN-Index"; 5.8.1 "Kết quả giá trị chịu rủi ro và tổn thất kỳ vọng có điều kiện với HNX-Index", 5.8.2 "So sánh với VN-Index". Nội dung biên độ giá và thanh khoản giữa hai sàn trình bày ở 3.7.2 và 5.8.2.</w:t>
      </w:r>
    </w:p>
    <w:p>
      <w:pPr>
        <w:pStyle w:val="ListBullet"/>
      </w:pPr>
      <w:r>
        <w:t>Phụ lục D đổi thành "Bảng kết quả bổ sung với HNX-Index". Bảng phương án dữ liệu: VN30 và chỉ số ngành HOSE chuyển sang "Bỏ".</w:t>
      </w:r>
    </w:p>
    <w:p>
      <w:pPr>
        <w:pStyle w:val="ListBullet"/>
      </w:pPr>
      <w:r>
        <w:t>Số mục và tiểu mục không đổi: 46 mục, 78 tiểu mục trong 6 chương.</w:t>
      </w:r>
    </w:p>
    <w:p>
      <w:pPr>
        <w:pStyle w:val="Heading2"/>
      </w:pPr>
      <w:r>
        <w:t>Đối chiếu thuật ngữ dùng trong tiêu đề</w:t>
      </w:r>
    </w:p>
    <w:tbl>
      <w:tblPr>
        <w:tblStyle w:val="TableGrid"/>
        <w:tblW w:type="auto" w:w="0"/>
        <w:tblLook w:firstColumn="1" w:firstRow="1" w:lastColumn="0" w:lastRow="0" w:noHBand="0" w:noVBand="1" w:val="04A0"/>
      </w:tblPr>
      <w:tblGrid>
        <w:gridCol w:w="4536"/>
        <w:gridCol w:w="4536"/>
      </w:tblGrid>
      <w:tr>
        <w:tc>
          <w:tcPr>
            <w:tcW w:type="dxa" w:w="3969"/>
          </w:tcPr>
          <w:p>
            <w:r>
              <w:rPr>
                <w:b/>
                <w:sz w:val="20"/>
              </w:rPr>
              <w:t>Tiếng Việt (tiêu đề)</w:t>
            </w:r>
          </w:p>
        </w:tc>
        <w:tc>
          <w:tcPr>
            <w:tcW w:type="dxa" w:w="5102"/>
          </w:tcPr>
          <w:p>
            <w:r>
              <w:rPr>
                <w:b/>
                <w:sz w:val="20"/>
              </w:rPr>
              <w:t>Tiếng Anh (thân bài, Phụ lục A)</w:t>
            </w:r>
          </w:p>
        </w:tc>
      </w:tr>
      <w:tr>
        <w:tc>
          <w:tcPr>
            <w:tcW w:type="dxa" w:w="3969"/>
          </w:tcPr>
          <w:p>
            <w:r>
              <w:rPr>
                <w:b w:val="0"/>
                <w:sz w:val="20"/>
              </w:rPr>
              <w:t>Giá trị chịu rủi ro</w:t>
            </w:r>
          </w:p>
        </w:tc>
        <w:tc>
          <w:tcPr>
            <w:tcW w:type="dxa" w:w="5102"/>
          </w:tcPr>
          <w:p>
            <w:r>
              <w:rPr>
                <w:b w:val="0"/>
                <w:sz w:val="20"/>
              </w:rPr>
              <w:t>Value-at-Risk (VaR)</w:t>
            </w:r>
          </w:p>
        </w:tc>
      </w:tr>
      <w:tr>
        <w:tc>
          <w:tcPr>
            <w:tcW w:type="dxa" w:w="3969"/>
          </w:tcPr>
          <w:p>
            <w:r>
              <w:rPr>
                <w:b w:val="0"/>
                <w:sz w:val="20"/>
              </w:rPr>
              <w:t>Tổn thất kỳ vọng có điều kiện</w:t>
            </w:r>
          </w:p>
        </w:tc>
        <w:tc>
          <w:tcPr>
            <w:tcW w:type="dxa" w:w="5102"/>
          </w:tcPr>
          <w:p>
            <w:r>
              <w:rPr>
                <w:b w:val="0"/>
                <w:sz w:val="20"/>
              </w:rPr>
              <w:t>Expected Shortfall (ES)</w:t>
            </w:r>
          </w:p>
        </w:tc>
      </w:tr>
      <w:tr>
        <w:tc>
          <w:tcPr>
            <w:tcW w:type="dxa" w:w="3969"/>
          </w:tcPr>
          <w:p>
            <w:r>
              <w:rPr>
                <w:b w:val="0"/>
                <w:sz w:val="20"/>
              </w:rPr>
              <w:t>Trung bình trượt có trọng số mũ</w:t>
            </w:r>
          </w:p>
        </w:tc>
        <w:tc>
          <w:tcPr>
            <w:tcW w:type="dxa" w:w="5102"/>
          </w:tcPr>
          <w:p>
            <w:r>
              <w:rPr>
                <w:b w:val="0"/>
                <w:sz w:val="20"/>
              </w:rPr>
              <w:t>EWMA / RiskMetrics</w:t>
            </w:r>
          </w:p>
        </w:tc>
      </w:tr>
      <w:tr>
        <w:tc>
          <w:tcPr>
            <w:tcW w:type="dxa" w:w="3969"/>
          </w:tcPr>
          <w:p>
            <w:r>
              <w:rPr>
                <w:b w:val="0"/>
                <w:sz w:val="20"/>
              </w:rPr>
              <w:t>Ước lượng dựa trên biên độ giá</w:t>
            </w:r>
          </w:p>
        </w:tc>
        <w:tc>
          <w:tcPr>
            <w:tcW w:type="dxa" w:w="5102"/>
          </w:tcPr>
          <w:p>
            <w:r>
              <w:rPr>
                <w:b w:val="0"/>
                <w:sz w:val="20"/>
              </w:rPr>
              <w:t>Range-based estimators</w:t>
            </w:r>
          </w:p>
        </w:tc>
      </w:tr>
      <w:tr>
        <w:tc>
          <w:tcPr>
            <w:tcW w:type="dxa" w:w="3969"/>
          </w:tcPr>
          <w:p>
            <w:r>
              <w:rPr>
                <w:b w:val="0"/>
                <w:sz w:val="20"/>
              </w:rPr>
              <w:t>Hồi quy về trung bình</w:t>
            </w:r>
          </w:p>
        </w:tc>
        <w:tc>
          <w:tcPr>
            <w:tcW w:type="dxa" w:w="5102"/>
          </w:tcPr>
          <w:p>
            <w:r>
              <w:rPr>
                <w:b w:val="0"/>
                <w:sz w:val="20"/>
              </w:rPr>
              <w:t>Mean reversion (half-life: chu kỳ bán rã)</w:t>
            </w:r>
          </w:p>
        </w:tc>
      </w:tr>
      <w:tr>
        <w:tc>
          <w:tcPr>
            <w:tcW w:type="dxa" w:w="3969"/>
          </w:tcPr>
          <w:p>
            <w:r>
              <w:rPr>
                <w:b w:val="0"/>
                <w:sz w:val="20"/>
              </w:rPr>
              <w:t>Bộ nhớ dài</w:t>
            </w:r>
          </w:p>
        </w:tc>
        <w:tc>
          <w:tcPr>
            <w:tcW w:type="dxa" w:w="5102"/>
          </w:tcPr>
          <w:p>
            <w:r>
              <w:rPr>
                <w:b w:val="0"/>
                <w:sz w:val="20"/>
              </w:rPr>
              <w:t>Long memory (IGARCH, component GARCH, FIGARCH)</w:t>
            </w:r>
          </w:p>
        </w:tc>
      </w:tr>
      <w:tr>
        <w:tc>
          <w:tcPr>
            <w:tcW w:type="dxa" w:w="3969"/>
          </w:tcPr>
          <w:p>
            <w:r>
              <w:rPr>
                <w:b w:val="0"/>
                <w:sz w:val="20"/>
              </w:rPr>
              <w:t>Phương pháp ước lượng</w:t>
            </w:r>
          </w:p>
        </w:tc>
        <w:tc>
          <w:tcPr>
            <w:tcW w:type="dxa" w:w="5102"/>
          </w:tcPr>
          <w:p>
            <w:r>
              <w:rPr>
                <w:b w:val="0"/>
                <w:sz w:val="20"/>
              </w:rPr>
              <w:t>(Q)MLE</w:t>
            </w:r>
          </w:p>
        </w:tc>
      </w:tr>
      <w:tr>
        <w:tc>
          <w:tcPr>
            <w:tcW w:type="dxa" w:w="3969"/>
          </w:tcPr>
          <w:p>
            <w:r>
              <w:rPr>
                <w:b w:val="0"/>
                <w:sz w:val="20"/>
              </w:rPr>
              <w:t>Biến động thực hiện / biến động hàm ý</w:t>
            </w:r>
          </w:p>
        </w:tc>
        <w:tc>
          <w:tcPr>
            <w:tcW w:type="dxa" w:w="5102"/>
          </w:tcPr>
          <w:p>
            <w:r>
              <w:rPr>
                <w:b w:val="0"/>
                <w:sz w:val="20"/>
              </w:rPr>
              <w:t>Realized / implied volatility (HAR)</w:t>
            </w:r>
          </w:p>
        </w:tc>
      </w:tr>
      <w:tr>
        <w:tc>
          <w:tcPr>
            <w:tcW w:type="dxa" w:w="3969"/>
          </w:tcPr>
          <w:p>
            <w:r>
              <w:rPr>
                <w:b w:val="0"/>
                <w:sz w:val="20"/>
              </w:rPr>
              <w:t>Kỳ dự báo</w:t>
            </w:r>
          </w:p>
        </w:tc>
        <w:tc>
          <w:tcPr>
            <w:tcW w:type="dxa" w:w="5102"/>
          </w:tcPr>
          <w:p>
            <w:r>
              <w:rPr>
                <w:b w:val="0"/>
                <w:sz w:val="20"/>
              </w:rPr>
              <w:t>Forecast horizon</w:t>
            </w:r>
          </w:p>
        </w:tc>
      </w:tr>
      <w:tr>
        <w:tc>
          <w:tcPr>
            <w:tcW w:type="dxa" w:w="3969"/>
          </w:tcPr>
          <w:p>
            <w:r>
              <w:rPr>
                <w:b w:val="0"/>
                <w:sz w:val="20"/>
              </w:rPr>
              <w:t>Thước đo đối chứng</w:t>
            </w:r>
          </w:p>
        </w:tc>
        <w:tc>
          <w:tcPr>
            <w:tcW w:type="dxa" w:w="5102"/>
          </w:tcPr>
          <w:p>
            <w:r>
              <w:rPr>
                <w:b w:val="0"/>
                <w:sz w:val="20"/>
              </w:rPr>
              <w:t>Volatility proxy</w:t>
            </w:r>
          </w:p>
        </w:tc>
      </w:tr>
      <w:tr>
        <w:tc>
          <w:tcPr>
            <w:tcW w:type="dxa" w:w="3969"/>
          </w:tcPr>
          <w:p>
            <w:r>
              <w:rPr>
                <w:b w:val="0"/>
                <w:sz w:val="20"/>
              </w:rPr>
              <w:t>Hàm tổn thất</w:t>
            </w:r>
          </w:p>
        </w:tc>
        <w:tc>
          <w:tcPr>
            <w:tcW w:type="dxa" w:w="5102"/>
          </w:tcPr>
          <w:p>
            <w:r>
              <w:rPr>
                <w:b w:val="0"/>
                <w:sz w:val="20"/>
              </w:rPr>
              <w:t>Loss function (MSE, QLIKE)</w:t>
            </w:r>
          </w:p>
        </w:tc>
      </w:tr>
      <w:tr>
        <w:tc>
          <w:tcPr>
            <w:tcW w:type="dxa" w:w="3969"/>
          </w:tcPr>
          <w:p>
            <w:r>
              <w:rPr>
                <w:b w:val="0"/>
                <w:sz w:val="20"/>
              </w:rPr>
              <w:t>Kiểm định so sánh khả năng dự báo</w:t>
            </w:r>
          </w:p>
        </w:tc>
        <w:tc>
          <w:tcPr>
            <w:tcW w:type="dxa" w:w="5102"/>
          </w:tcPr>
          <w:p>
            <w:r>
              <w:rPr>
                <w:b w:val="0"/>
                <w:sz w:val="20"/>
              </w:rPr>
              <w:t>Mincer–Zarnowitz, Diebold–Mariano, MCS</w:t>
            </w:r>
          </w:p>
        </w:tc>
      </w:tr>
      <w:tr>
        <w:tc>
          <w:tcPr>
            <w:tcW w:type="dxa" w:w="3969"/>
          </w:tcPr>
          <w:p>
            <w:r>
              <w:rPr>
                <w:b w:val="0"/>
                <w:sz w:val="20"/>
              </w:rPr>
              <w:t>Trong mẫu / ngoài mẫu</w:t>
            </w:r>
          </w:p>
        </w:tc>
        <w:tc>
          <w:tcPr>
            <w:tcW w:type="dxa" w:w="5102"/>
          </w:tcPr>
          <w:p>
            <w:r>
              <w:rPr>
                <w:b w:val="0"/>
                <w:sz w:val="20"/>
              </w:rPr>
              <w:t>In-sample / out-of-sample</w:t>
            </w:r>
          </w:p>
        </w:tc>
      </w:tr>
      <w:tr>
        <w:tc>
          <w:tcPr>
            <w:tcW w:type="dxa" w:w="3969"/>
          </w:tcPr>
          <w:p>
            <w:r>
              <w:rPr>
                <w:b w:val="0"/>
                <w:sz w:val="20"/>
              </w:rPr>
              <w:t>Mô phỏng ngẫu nhiên</w:t>
            </w:r>
          </w:p>
        </w:tc>
        <w:tc>
          <w:tcPr>
            <w:tcW w:type="dxa" w:w="5102"/>
          </w:tcPr>
          <w:p>
            <w:r>
              <w:rPr>
                <w:b w:val="0"/>
                <w:sz w:val="20"/>
              </w:rPr>
              <w:t>Monte Carlo simulation</w:t>
            </w:r>
          </w:p>
        </w:tc>
      </w:tr>
      <w:tr>
        <w:tc>
          <w:tcPr>
            <w:tcW w:type="dxa" w:w="3969"/>
          </w:tcPr>
          <w:p>
            <w:r>
              <w:rPr>
                <w:b w:val="0"/>
                <w:sz w:val="20"/>
              </w:rPr>
              <w:t>Mô phỏng lịch sử có lọc</w:t>
            </w:r>
          </w:p>
        </w:tc>
        <w:tc>
          <w:tcPr>
            <w:tcW w:type="dxa" w:w="5102"/>
          </w:tcPr>
          <w:p>
            <w:r>
              <w:rPr>
                <w:b w:val="0"/>
                <w:sz w:val="20"/>
              </w:rPr>
              <w:t>Filtered historical simulation</w:t>
            </w:r>
          </w:p>
        </w:tc>
      </w:tr>
      <w:tr>
        <w:tc>
          <w:tcPr>
            <w:tcW w:type="dxa" w:w="3969"/>
          </w:tcPr>
          <w:p>
            <w:r>
              <w:rPr>
                <w:b w:val="0"/>
                <w:sz w:val="20"/>
              </w:rPr>
              <w:t>Lý thuyết giá trị cực trị</w:t>
            </w:r>
          </w:p>
        </w:tc>
        <w:tc>
          <w:tcPr>
            <w:tcW w:type="dxa" w:w="5102"/>
          </w:tcPr>
          <w:p>
            <w:r>
              <w:rPr>
                <w:b w:val="0"/>
                <w:sz w:val="20"/>
              </w:rPr>
              <w:t>EVT (POT, GPD, GARCH-EVT)</w:t>
            </w:r>
          </w:p>
        </w:tc>
      </w:tr>
      <w:tr>
        <w:tc>
          <w:tcPr>
            <w:tcW w:type="dxa" w:w="3969"/>
          </w:tcPr>
          <w:p>
            <w:r>
              <w:rPr>
                <w:b w:val="0"/>
                <w:sz w:val="20"/>
              </w:rPr>
              <w:t>Hồi quy phân vị</w:t>
            </w:r>
          </w:p>
        </w:tc>
        <w:tc>
          <w:tcPr>
            <w:tcW w:type="dxa" w:w="5102"/>
          </w:tcPr>
          <w:p>
            <w:r>
              <w:rPr>
                <w:b w:val="0"/>
                <w:sz w:val="20"/>
              </w:rPr>
              <w:t>Quantile regression, CAViaR</w:t>
            </w:r>
          </w:p>
        </w:tc>
      </w:tr>
      <w:tr>
        <w:tc>
          <w:tcPr>
            <w:tcW w:type="dxa" w:w="3969"/>
          </w:tcPr>
          <w:p>
            <w:r>
              <w:rPr>
                <w:b w:val="0"/>
                <w:sz w:val="20"/>
              </w:rPr>
              <w:t>Kiểm định ngược</w:t>
            </w:r>
          </w:p>
        </w:tc>
        <w:tc>
          <w:tcPr>
            <w:tcW w:type="dxa" w:w="5102"/>
          </w:tcPr>
          <w:p>
            <w:r>
              <w:rPr>
                <w:b w:val="0"/>
                <w:sz w:val="20"/>
              </w:rPr>
              <w:t>Backtesting</w:t>
            </w:r>
          </w:p>
        </w:tc>
      </w:tr>
      <w:tr>
        <w:tc>
          <w:tcPr>
            <w:tcW w:type="dxa" w:w="3969"/>
          </w:tcPr>
          <w:p>
            <w:r>
              <w:rPr>
                <w:b w:val="0"/>
                <w:sz w:val="20"/>
              </w:rPr>
              <w:t>Kiểm định độ phủ</w:t>
            </w:r>
          </w:p>
        </w:tc>
        <w:tc>
          <w:tcPr>
            <w:tcW w:type="dxa" w:w="5102"/>
          </w:tcPr>
          <w:p>
            <w:r>
              <w:rPr>
                <w:b w:val="0"/>
                <w:sz w:val="20"/>
              </w:rPr>
              <w:t>Coverage tests (Kupiec, Christoffersen, DQ)</w:t>
            </w:r>
          </w:p>
        </w:tc>
      </w:tr>
      <w:tr>
        <w:tc>
          <w:tcPr>
            <w:tcW w:type="dxa" w:w="3969"/>
          </w:tcPr>
          <w:p>
            <w:r>
              <w:rPr>
                <w:b w:val="0"/>
                <w:sz w:val="20"/>
              </w:rPr>
              <w:t>Hàm điểm</w:t>
            </w:r>
          </w:p>
        </w:tc>
        <w:tc>
          <w:tcPr>
            <w:tcW w:type="dxa" w:w="5102"/>
          </w:tcPr>
          <w:p>
            <w:r>
              <w:rPr>
                <w:b w:val="0"/>
                <w:sz w:val="20"/>
              </w:rPr>
              <w:t>Scoring function (FZ loss)</w:t>
            </w:r>
          </w:p>
        </w:tc>
      </w:tr>
      <w:tr>
        <w:tc>
          <w:tcPr>
            <w:tcW w:type="dxa" w:w="3969"/>
          </w:tcPr>
          <w:p>
            <w:r>
              <w:rPr>
                <w:b w:val="0"/>
                <w:sz w:val="20"/>
              </w:rPr>
              <w:t>Kỳ hạn nắm giữ</w:t>
            </w:r>
          </w:p>
        </w:tc>
        <w:tc>
          <w:tcPr>
            <w:tcW w:type="dxa" w:w="5102"/>
          </w:tcPr>
          <w:p>
            <w:r>
              <w:rPr>
                <w:b w:val="0"/>
                <w:sz w:val="20"/>
              </w:rPr>
              <w:t>Holding period</w:t>
            </w:r>
          </w:p>
        </w:tc>
      </w:tr>
      <w:tr>
        <w:tc>
          <w:tcPr>
            <w:tcW w:type="dxa" w:w="3969"/>
          </w:tcPr>
          <w:p>
            <w:r>
              <w:rPr>
                <w:b w:val="0"/>
                <w:sz w:val="20"/>
              </w:rPr>
              <w:t>Cửa sổ trượt</w:t>
            </w:r>
          </w:p>
        </w:tc>
        <w:tc>
          <w:tcPr>
            <w:tcW w:type="dxa" w:w="5102"/>
          </w:tcPr>
          <w:p>
            <w:r>
              <w:rPr>
                <w:b w:val="0"/>
                <w:sz w:val="20"/>
              </w:rPr>
              <w:t>Rolling window</w:t>
            </w:r>
          </w:p>
        </w:tc>
      </w:tr>
    </w:tbl>
    <w:p>
      <w:pPr>
        <w:pStyle w:val="Heading2"/>
      </w:pPr>
      <w:r>
        <w:t>Phương án dữ liệu đã thống nhất</w:t>
      </w:r>
    </w:p>
    <w:tbl>
      <w:tblPr>
        <w:tblStyle w:val="TableGrid"/>
        <w:tblW w:type="auto" w:w="0"/>
        <w:tblLook w:firstColumn="1" w:firstRow="1" w:lastColumn="0" w:lastRow="0" w:noHBand="0" w:noVBand="1" w:val="04A0"/>
      </w:tblPr>
      <w:tblGrid>
        <w:gridCol w:w="3024"/>
        <w:gridCol w:w="3024"/>
        <w:gridCol w:w="3024"/>
      </w:tblGrid>
      <w:tr>
        <w:tc>
          <w:tcPr>
            <w:tcW w:type="dxa" w:w="1984"/>
          </w:tcPr>
          <w:p>
            <w:r>
              <w:rPr>
                <w:b/>
                <w:sz w:val="20"/>
              </w:rPr>
              <w:t>Dữ liệu</w:t>
            </w:r>
          </w:p>
        </w:tc>
        <w:tc>
          <w:tcPr>
            <w:tcW w:type="dxa" w:w="2268"/>
          </w:tcPr>
          <w:p>
            <w:r>
              <w:rPr>
                <w:b/>
                <w:sz w:val="20"/>
              </w:rPr>
              <w:t>Vai trò</w:t>
            </w:r>
          </w:p>
        </w:tc>
        <w:tc>
          <w:tcPr>
            <w:tcW w:type="dxa" w:w="4819"/>
          </w:tcPr>
          <w:p>
            <w:r>
              <w:rPr>
                <w:b/>
                <w:sz w:val="20"/>
              </w:rPr>
              <w:t>Cách dùng</w:t>
            </w:r>
          </w:p>
        </w:tc>
      </w:tr>
      <w:tr>
        <w:tc>
          <w:tcPr>
            <w:tcW w:type="dxa" w:w="1984"/>
          </w:tcPr>
          <w:p>
            <w:r>
              <w:rPr>
                <w:b w:val="0"/>
                <w:sz w:val="20"/>
              </w:rPr>
              <w:t>VN-Index</w:t>
            </w:r>
          </w:p>
        </w:tc>
        <w:tc>
          <w:tcPr>
            <w:tcW w:type="dxa" w:w="2268"/>
          </w:tcPr>
          <w:p>
            <w:r>
              <w:rPr>
                <w:b w:val="0"/>
                <w:sz w:val="20"/>
              </w:rPr>
              <w:t>Chuỗi chính</w:t>
            </w:r>
          </w:p>
        </w:tc>
        <w:tc>
          <w:tcPr>
            <w:tcW w:type="dxa" w:w="4819"/>
          </w:tcPr>
          <w:p>
            <w:r>
              <w:rPr>
                <w:b w:val="0"/>
                <w:sz w:val="20"/>
              </w:rPr>
              <w:t>Phân tích đầy đủ Chương 3 và 5</w:t>
            </w:r>
          </w:p>
        </w:tc>
      </w:tr>
      <w:tr>
        <w:tc>
          <w:tcPr>
            <w:tcW w:type="dxa" w:w="1984"/>
          </w:tcPr>
          <w:p>
            <w:r>
              <w:rPr>
                <w:b w:val="0"/>
                <w:sz w:val="20"/>
              </w:rPr>
              <w:t>HNX-Index</w:t>
            </w:r>
          </w:p>
        </w:tc>
        <w:tc>
          <w:tcPr>
            <w:tcW w:type="dxa" w:w="2268"/>
          </w:tcPr>
          <w:p>
            <w:r>
              <w:rPr>
                <w:b w:val="0"/>
                <w:sz w:val="20"/>
              </w:rPr>
              <w:t>Chuỗi đối chứng duy nhất</w:t>
            </w:r>
          </w:p>
        </w:tc>
        <w:tc>
          <w:tcPr>
            <w:tcW w:type="dxa" w:w="4819"/>
          </w:tcPr>
          <w:p>
            <w:r>
              <w:rPr>
                <w:b w:val="0"/>
                <w:sz w:val="20"/>
              </w:rPr>
              <w:t>Toàn bộ tập mô hình; báo cáo gọn ở 3.7 và 5.8, chi tiết ở Phụ lục D; xử lý giao dịch không đồng bộ</w:t>
            </w:r>
          </w:p>
        </w:tc>
      </w:tr>
      <w:tr>
        <w:tc>
          <w:tcPr>
            <w:tcW w:type="dxa" w:w="1984"/>
          </w:tcPr>
          <w:p>
            <w:r>
              <w:rPr>
                <w:b w:val="0"/>
                <w:sz w:val="20"/>
              </w:rPr>
              <w:t>VN30</w:t>
            </w:r>
          </w:p>
        </w:tc>
        <w:tc>
          <w:tcPr>
            <w:tcW w:type="dxa" w:w="2268"/>
          </w:tcPr>
          <w:p>
            <w:r>
              <w:rPr>
                <w:b w:val="0"/>
                <w:sz w:val="20"/>
              </w:rPr>
              <w:t>Bỏ (tác giả, 22/10/2026)</w:t>
            </w:r>
          </w:p>
        </w:tc>
        <w:tc>
          <w:tcPr>
            <w:tcW w:type="dxa" w:w="4819"/>
          </w:tcPr>
          <w:p>
            <w:r>
              <w:rPr>
                <w:b w:val="0"/>
                <w:sz w:val="20"/>
              </w:rPr>
              <w:t>—</w:t>
            </w:r>
          </w:p>
        </w:tc>
      </w:tr>
      <w:tr>
        <w:tc>
          <w:tcPr>
            <w:tcW w:type="dxa" w:w="1984"/>
          </w:tcPr>
          <w:p>
            <w:r>
              <w:rPr>
                <w:b w:val="0"/>
                <w:sz w:val="20"/>
              </w:rPr>
              <w:t>Chỉ số ngành HOSE</w:t>
            </w:r>
          </w:p>
        </w:tc>
        <w:tc>
          <w:tcPr>
            <w:tcW w:type="dxa" w:w="2268"/>
          </w:tcPr>
          <w:p>
            <w:r>
              <w:rPr>
                <w:b w:val="0"/>
                <w:sz w:val="20"/>
              </w:rPr>
              <w:t>Bỏ (tác giả, 22/10/2026)</w:t>
            </w:r>
          </w:p>
        </w:tc>
        <w:tc>
          <w:tcPr>
            <w:tcW w:type="dxa" w:w="4819"/>
          </w:tcPr>
          <w:p>
            <w:r>
              <w:rPr>
                <w:b w:val="0"/>
                <w:sz w:val="20"/>
              </w:rPr>
              <w:t>Nêu ở 6.5 Hạn chế và hướng nghiên cứu</w:t>
            </w:r>
          </w:p>
        </w:tc>
      </w:tr>
      <w:tr>
        <w:tc>
          <w:tcPr>
            <w:tcW w:type="dxa" w:w="1984"/>
          </w:tcPr>
          <w:p>
            <w:r>
              <w:rPr>
                <w:b w:val="0"/>
                <w:sz w:val="20"/>
              </w:rPr>
              <w:t>Cổ phiếu riêng lẻ</w:t>
            </w:r>
          </w:p>
        </w:tc>
        <w:tc>
          <w:tcPr>
            <w:tcW w:type="dxa" w:w="2268"/>
          </w:tcPr>
          <w:p>
            <w:r>
              <w:rPr>
                <w:b w:val="0"/>
                <w:sz w:val="20"/>
              </w:rPr>
              <w:t>Không dùng (tác giả đồng ý)</w:t>
            </w:r>
          </w:p>
        </w:tc>
        <w:tc>
          <w:tcPr>
            <w:tcW w:type="dxa" w:w="4819"/>
          </w:tcPr>
          <w:p>
            <w:r>
              <w:rPr>
                <w:b w:val="0"/>
                <w:sz w:val="20"/>
              </w:rPr>
              <w:t>Đưa vào 6.5 Hạn chế và hướng nghiên cứu</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60"/>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cs="Times New Roman" w:eastAsia="Times New Roman"/>
      <w:b w:val="0"/>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