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10.pdf" ContentType="application/pdf"/>
  <Override PartName="/word/media/rId21.pdf" ContentType="application/pdf"/>
  <Override PartName="/word/media/rId26.pdf" ContentType="application/pdf"/>
  <Override PartName="/word/media/rId35.pdf" ContentType="application/pdf"/>
  <Override PartName="/word/media/rId45.pdf" ContentType="application/pdf"/>
  <Override PartName="/word/media/rId51.pdf" ContentType="application/pdf"/>
  <Override PartName="/word/media/rId59.pdf" ContentType="application/pd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89ffe3a20a003828a37b90aaf75631e04aa3071"/>
    <w:p>
      <w:pPr>
        <w:spacing w:before="120" w:after="60" w:line="276" w:lineRule="auto"/>
        <w:ind w:firstLine="0"/>
        <w:jc w:val="center"/>
      </w:pPr>
      <w:r>
        <w:rPr>
          <w:rFonts w:ascii="Times New Roman" w:hAnsi="Times New Roman" w:eastAsia="Times New Roman"/>
          <w:b/>
          <w:i w:val="0"/>
          <w:sz w:val="28"/>
        </w:rPr>
        <w:t>Chương 4</w:t>
      </w:r>
    </w:p>
    <w:p>
      <w:pPr>
        <w:pStyle w:val="Heading1"/>
        <w:spacing w:before="60" w:after="120" w:line="276" w:lineRule="auto"/>
        <w:ind w:firstLine="0"/>
        <w:jc w:val="center"/>
      </w:pPr>
      <w:r>
        <w:rPr>
          <w:rFonts w:ascii="Times New Roman" w:hAnsi="Times New Roman" w:eastAsia="Times New Roman"/>
          <w:b/>
          <w:i w:val="0"/>
          <w:sz w:val="28"/>
        </w:rPr>
        <w:t>MÔ HÌNH ĐO LƯỜNG GIÁ TRỊ CHỊU RỦI RO VÀ TỔN THẤT KỲ VỌNG</w:t>
      </w:r>
    </w:p>
    <w:p>
      <w:pPr>
        <w:pStyle w:val="FirstParagraph"/>
        <w:spacing w:before="60" w:after="60" w:line="276" w:lineRule="auto"/>
        <w:ind w:firstLine="567"/>
        <w:jc w:val="both"/>
      </w:pPr>
      <w:r>
        <w:rPr>
          <w:rFonts w:ascii="Times New Roman" w:hAnsi="Times New Roman" w:eastAsia="Times New Roman"/>
          <w:sz w:val="26"/>
        </w:rPr>
        <w:t xml:space="preserve">Chương 1 đã giới thiệu tỷ lệ sinh lời, phân phối tỷ lệ sinh lời và ý nghĩa trực giác của Giá trị chịu rủi ro (</w:t>
      </w:r>
      <w:r>
        <w:rPr>
          <w:rFonts w:ascii="Times New Roman" w:hAnsi="Times New Roman" w:eastAsia="Times New Roman"/>
          <w:i/>
          <w:iCs/>
          <w:sz w:val="26"/>
        </w:rPr>
        <w:t xml:space="preserve">Value-at-Risk</w:t>
      </w:r>
      <w:r>
        <w:rPr>
          <w:rFonts w:ascii="Times New Roman" w:hAnsi="Times New Roman" w:eastAsia="Times New Roman"/>
          <w:sz w:val="26"/>
        </w:rPr>
        <w:t xml:space="preserve">, VaR) trong quản trị rủi ro thị trường. Chương 2 trình bày các mô hình đo lường và dự báo volatility, còn Chương 3 áp dụng các mô hình volatility cho VN-Index. Chương này chuyển trọng tâm sang</w:t>
      </w:r>
      <w:r>
        <w:rPr>
          <w:rFonts w:ascii="Times New Roman" w:hAnsi="Times New Roman" w:eastAsia="Times New Roman"/>
          <w:sz w:val="26"/>
        </w:rPr>
        <w:t xml:space="preserve"> </w:t>
      </w:r>
      <w:r>
        <w:rPr>
          <w:rFonts w:ascii="Times New Roman" w:hAnsi="Times New Roman" w:eastAsia="Times New Roman"/>
          <w:b/>
          <w:bCs/>
          <w:sz w:val="26"/>
        </w:rPr>
        <w:t xml:space="preserve">mô hình đo lường rủi ro đuôi</w:t>
      </w:r>
      <w:r>
        <w:rPr>
          <w:rFonts w:ascii="Times New Roman" w:hAnsi="Times New Roman" w:eastAsia="Times New Roman"/>
          <w:sz w:val="26"/>
        </w:rPr>
        <w:t xml:space="preserve"> </w:t>
      </w:r>
      <w:r>
        <w:rPr>
          <w:rFonts w:ascii="Times New Roman" w:hAnsi="Times New Roman" w:eastAsia="Times New Roman"/>
          <w:sz w:val="26"/>
        </w:rPr>
        <w:t xml:space="preserve">(</w:t>
      </w:r>
      <w:r>
        <w:rPr>
          <w:rFonts w:ascii="Times New Roman" w:hAnsi="Times New Roman" w:eastAsia="Times New Roman"/>
          <w:i/>
          <w:iCs/>
          <w:sz w:val="26"/>
        </w:rPr>
        <w:t xml:space="preserve">tail risk models</w:t>
      </w:r>
      <w:r>
        <w:rPr>
          <w:rFonts w:ascii="Times New Roman" w:hAnsi="Times New Roman" w:eastAsia="Times New Roman"/>
          <w:sz w:val="26"/>
        </w:rPr>
        <w:t xml:space="preserve">), trong đó hai thước đo trung tâm là</w:t>
      </w:r>
      <w:r>
        <w:rPr>
          <w:rFonts w:ascii="Times New Roman" w:hAnsi="Times New Roman" w:eastAsia="Times New Roman"/>
          <w:sz w:val="26"/>
        </w:rPr>
        <w:t xml:space="preserve"> </w:t>
      </w:r>
      <w:r>
        <w:rPr>
          <w:rFonts w:ascii="Times New Roman" w:hAnsi="Times New Roman" w:eastAsia="Times New Roman"/>
          <w:b/>
          <w:bCs/>
          <w:sz w:val="26"/>
        </w:rPr>
        <w:t xml:space="preserve">VaR</w:t>
      </w:r>
      <w:r>
        <w:rPr>
          <w:rFonts w:ascii="Times New Roman" w:hAnsi="Times New Roman" w:eastAsia="Times New Roman"/>
          <w:sz w:val="26"/>
        </w:rPr>
        <w:t xml:space="preserve"> </w:t>
      </w:r>
      <w:r>
        <w:rPr>
          <w:rFonts w:ascii="Times New Roman" w:hAnsi="Times New Roman" w:eastAsia="Times New Roman"/>
          <w:sz w:val="26"/>
        </w:rPr>
        <w:t xml:space="preserve">và</w:t>
      </w:r>
      <w:r>
        <w:rPr>
          <w:rFonts w:ascii="Times New Roman" w:hAnsi="Times New Roman" w:eastAsia="Times New Roman"/>
          <w:sz w:val="26"/>
        </w:rPr>
        <w:t xml:space="preserve"> </w:t>
      </w:r>
      <w:r>
        <w:rPr>
          <w:rFonts w:ascii="Times New Roman" w:hAnsi="Times New Roman" w:eastAsia="Times New Roman"/>
          <w:b/>
          <w:bCs/>
          <w:sz w:val="26"/>
        </w:rPr>
        <w:t xml:space="preserve">Tổn thất kỳ vọng</w:t>
      </w:r>
      <w:r>
        <w:rPr>
          <w:rFonts w:ascii="Times New Roman" w:hAnsi="Times New Roman" w:eastAsia="Times New Roman"/>
          <w:sz w:val="26"/>
        </w:rPr>
        <w:t xml:space="preserve"> </w:t>
      </w:r>
      <w:r>
        <w:rPr>
          <w:rFonts w:ascii="Times New Roman" w:hAnsi="Times New Roman" w:eastAsia="Times New Roman"/>
          <w:sz w:val="26"/>
        </w:rPr>
        <w:t xml:space="preserve">(</w:t>
      </w:r>
      <w:r>
        <w:rPr>
          <w:rFonts w:ascii="Times New Roman" w:hAnsi="Times New Roman" w:eastAsia="Times New Roman"/>
          <w:i/>
          <w:iCs/>
          <w:sz w:val="26"/>
        </w:rPr>
        <w:t xml:space="preserve">Expected Shortfall</w:t>
      </w:r>
      <w:r>
        <w:rPr>
          <w:rFonts w:ascii="Times New Roman" w:hAnsi="Times New Roman" w:eastAsia="Times New Roman"/>
          <w:sz w:val="26"/>
        </w:rPr>
        <w:t xml:space="preserve">, ES).</w:t>
      </w:r>
    </w:p>
    <w:p>
      <w:pPr>
        <w:pStyle w:val="BodyText"/>
        <w:spacing w:before="60" w:after="60" w:line="276" w:lineRule="auto"/>
        <w:ind w:firstLine="567"/>
        <w:jc w:val="both"/>
      </w:pPr>
      <w:r>
        <w:rPr>
          <w:rFonts w:ascii="Times New Roman" w:hAnsi="Times New Roman" w:eastAsia="Times New Roman"/>
          <w:sz w:val="26"/>
        </w:rPr>
        <w:t xml:space="preserve">Về mặt phương pháp, VaR và ES không tách rời khỏi volatility. Hầu hết mô hình VaR đều cần một cách mô tả phân phối tỷ lệ sinh lời hoặc phân phối lỗ trong tương lai. Phân phối này có thể được xây dựng từ dữ liệu lịch sử, từ giả định tham số như chuẩn hoặc Student-t, từ mô phỏng Monte Carlo, từ mô hình volatility có điều kiện như EWMA/GARCH, hoặc từ mô hình trực tiếp của phân vị có điều kiện. Vì vậy, Chương 4 đóng vai trò là chương nền tảng cho Chương 5: Chương 4 giải thích cơ chế mô hình, còn Chương 5 sẽ dùng cùng khung phương pháp để đánh giá VaR và ES thực nghiệm cho VN-Index</w:t>
      </w:r>
      <w:r>
        <w:rPr>
          <w:rFonts w:ascii="Times New Roman" w:hAnsi="Times New Roman" w:eastAsia="Times New Roman"/>
          <w:sz w:val="26"/>
        </w:rPr>
        <w:t xml:space="preserve"> </w:t>
      </w:r>
      <w:r>
        <w:rPr>
          <w:rFonts w:ascii="Times New Roman" w:hAnsi="Times New Roman" w:eastAsia="Times New Roman"/>
          <w:sz w:val="26"/>
        </w:rPr>
        <w:t xml:space="preserve">(Brooks, 2019; Choudhry, 2013; Jorion, 2007; Tsay, 2010, 2013)</w:t>
      </w:r>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Chương này sử dụng chuỗi tỷ lệ sinh lời mô phỏng để minh họa. Mục tiêu không phải là đưa ra kết luận về một thị trường cụ thể, mà là giúp người đọc hiểu rõ: VaR và ES được định nghĩa như thế nào; historical simulation, parametric VaR, GARCH VaR và semi-parametric VaR khác nhau ra sao; vì sao giả định phân phối ảnh hưởng mạnh đến rủi ro đuôi; và tại sao mọi mô hình VaR phải được kiểm định ngược trước khi sử dụng trong quản trị rủi ro.</w:t>
      </w:r>
    </w:p>
    <w:tbl>
      <w:tblPr>
        <w:tblStyle w:val="Table"/>
        <w:tblW w:type="pct" w:w="5000"/>
        <w:tblLayout w:type="fixed"/>
        <w:tblLook w:firstRow="0" w:lastRow="0" w:firstColumn="0" w:lastColumn="0" w:noHBand="0" w:noVBand="0" w:val="0000"/>
      </w:tblPr>
      <w:tblGrid>
        <w:gridCol w:w="7920"/>
      </w:tblGrid>
      <w:tr>
        <w:tc>
          <w:tcPr>
            <w:vAlign w:val="center"/>
          </w:tcPr>
          <w:bookmarkStart w:id="9" w:name="tbl-demo-data-ch04"/>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1: Thông tin chuỗi tỷ lệ sinh lời mô phỏng sử dụng trong Chương 4</w:t>
            </w:r>
          </w:p>
          <w:tbl>
            <w:tblPr>
              <w:tblStyle w:val="Table"/>
              <w:tblW w:type="pct" w:w="5000"/>
              <w:tblLayout w:type="fixed"/>
              <w:tblLook w:firstRow="1" w:lastRow="0" w:firstColumn="0" w:lastColumn="0" w:noHBand="0" w:noVBand="0" w:val="0020"/>
            </w:tblPr>
            <w:tblGrid>
              <w:gridCol w:w="1848"/>
              <w:gridCol w:w="6072"/>
            </w:tblGrid>
            <w:tr>
              <w:trPr>
                <w:tblHeader w:val="on"/>
              </w:trPr>
              <w:tc>
                <w:tcPr/>
                <w:p>
                  <w:pPr>
                    <w:pStyle w:val="Compact"/>
                    <w:jc w:val="left"/>
                    <w:jc w:val="center"/>
                  </w:pPr>
                  <w:r>
                    <w:t xml:space="preserve">Nội dung</w:t>
                  </w:r>
                </w:p>
              </w:tc>
              <w:tc>
                <w:tcPr/>
                <w:p>
                  <w:pPr>
                    <w:pStyle w:val="Compact"/>
                    <w:jc w:val="left"/>
                    <w:jc w:val="center"/>
                  </w:pPr>
                  <w:r>
                    <w:t xml:space="preserve">Thông tin</w:t>
                  </w:r>
                </w:p>
              </w:tc>
            </w:tr>
            <w:tr>
              <w:tc>
                <w:tcPr/>
                <w:p>
                  <w:pPr>
                    <w:pStyle w:val="Compact"/>
                    <w:jc w:val="left"/>
                    <w:jc w:val="center"/>
                  </w:pPr>
                  <w:r>
                    <w:t xml:space="preserve">Loại dữ liệu</w:t>
                  </w:r>
                </w:p>
              </w:tc>
              <w:tc>
                <w:tcPr/>
                <w:p>
                  <w:pPr>
                    <w:pStyle w:val="Compact"/>
                    <w:jc w:val="left"/>
                    <w:jc w:val="center"/>
                  </w:pPr>
                  <w:r>
                    <w:t xml:space="preserve">Chuỗi tỷ lệ sinh lời mô phỏng</w:t>
                  </w:r>
                </w:p>
              </w:tc>
            </w:tr>
            <w:tr>
              <w:tc>
                <w:tcPr/>
                <w:p>
                  <w:pPr>
                    <w:pStyle w:val="Compact"/>
                    <w:jc w:val="left"/>
                    <w:jc w:val="center"/>
                  </w:pPr>
                  <w:r>
                    <w:t xml:space="preserve">Số quan sát</w:t>
                  </w:r>
                </w:p>
              </w:tc>
              <w:tc>
                <w:tcPr/>
                <w:p>
                  <w:pPr>
                    <w:pStyle w:val="Compact"/>
                    <w:jc w:val="left"/>
                    <w:jc w:val="center"/>
                  </w:pPr>
                  <w:r>
                    <w:t xml:space="preserve">1.600</w:t>
                  </w:r>
                </w:p>
              </w:tc>
            </w:tr>
            <w:tr>
              <w:tc>
                <w:tcPr/>
                <w:p>
                  <w:pPr>
                    <w:pStyle w:val="Compact"/>
                    <w:jc w:val="left"/>
                    <w:jc w:val="center"/>
                  </w:pPr>
                  <w:r>
                    <w:t xml:space="preserve">Cấu trúc mô phỏng</w:t>
                  </w:r>
                </w:p>
              </w:tc>
              <w:tc>
                <w:tcPr/>
                <w:p>
                  <w:pPr>
                    <w:pStyle w:val="Compact"/>
                    <w:jc w:val="left"/>
                    <w:jc w:val="center"/>
                  </w:pPr>
                  <w:r>
                    <w:t xml:space="preserve">Volatility có điều kiện với cú sốc Student-t</w:t>
                  </w:r>
                </w:p>
              </w:tc>
            </w:tr>
            <w:tr>
              <w:tc>
                <w:tcPr/>
                <w:p>
                  <w:pPr>
                    <w:pStyle w:val="Compact"/>
                    <w:jc w:val="left"/>
                    <w:jc w:val="center"/>
                  </w:pPr>
                  <w:r>
                    <w:t xml:space="preserve">Đặc điểm chính</w:t>
                  </w:r>
                </w:p>
              </w:tc>
              <w:tc>
                <w:tcPr/>
                <w:p>
                  <w:pPr>
                    <w:pStyle w:val="Compact"/>
                    <w:jc w:val="left"/>
                    <w:jc w:val="center"/>
                  </w:pPr>
                  <w:r>
                    <w:t xml:space="preserve">Volatility clustering, đuôi dày, phản ứng bất đối xứng với cú sốc âm</w:t>
                  </w:r>
                </w:p>
              </w:tc>
            </w:tr>
            <w:tr>
              <w:tc>
                <w:tcPr/>
                <w:p>
                  <w:pPr>
                    <w:pStyle w:val="Compact"/>
                    <w:jc w:val="left"/>
                    <w:jc w:val="center"/>
                  </w:pPr>
                  <w:r>
                    <w:t xml:space="preserve">Vai trò trong chương</w:t>
                  </w:r>
                </w:p>
              </w:tc>
              <w:tc>
                <w:tcPr/>
                <w:p>
                  <w:pPr>
                    <w:pStyle w:val="Compact"/>
                    <w:jc w:val="left"/>
                    <w:jc w:val="center"/>
                  </w:pPr>
                  <w:r>
                    <w:t xml:space="preserve">Minh họa VaR, ES, mô hình VaR động và backtesting</w:t>
                  </w:r>
                </w:p>
              </w:tc>
            </w:tr>
          </w:tbl>
          <w:bookmarkEnd w:id="9"/>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1 mô tả dữ liệu minh họa của chương. Việc sử dụng chuỗi mô phỏng có chủ đích giúp tách phần phương pháp khỏi phần kết luận thực nghiệm. Trong dữ liệu thực, volatility thật không quan sát được; trong dữ liệu mô phỏng, volatility được tạo ra từ quá trình có điều kiện, vì vậy người học có thể thấy rõ tại sao VaR cần thay đổi khi điều kiện thị trường thay đổi.</w:t>
      </w:r>
    </w:p>
    <w:p>
      <w:pPr>
        <w:pStyle w:val="BodyText"/>
        <w:spacing w:before="60" w:after="60" w:line="276" w:lineRule="auto"/>
        <w:ind w:firstLine="567"/>
        <w:jc w:val="both"/>
      </w:pPr>
      <w:r>
        <w:rPr>
          <w:rFonts w:ascii="Times New Roman" w:hAnsi="Times New Roman" w:eastAsia="Times New Roman"/>
          <w:sz w:val="26"/>
        </w:rPr>
        <w:t xml:space="preserve">Gọi</w:t>
      </w:r>
      <w:r>
        <w:rPr>
          <w:rFonts w:ascii="Times New Roman" w:hAnsi="Times New Roman" w:eastAsia="Times New Roman"/>
          <w:sz w:val="26"/>
        </w:rPr>
        <w:t xml:space="preserve"> </w:t>
      </w:r>
      <m:oMath>
        <m:sSub>
          <m:e>
            <m:r>
              <m:t>r</m:t>
            </m:r>
          </m:e>
          <m:sub>
            <m:r>
              <m:t>t</m:t>
            </m:r>
            <m:r>
              <m:rPr>
                <m:sty m:val="p"/>
              </m:rPr>
              <m:t>+</m:t>
            </m:r>
            <m:r>
              <m:t>1</m:t>
            </m:r>
          </m:sub>
        </m:sSub>
      </m:oMath>
      <w:r>
        <w:rPr>
          <w:rFonts w:ascii="Times New Roman" w:hAnsi="Times New Roman" w:eastAsia="Times New Roman"/>
          <w:sz w:val="26"/>
        </w:rPr>
        <w:t xml:space="preserve"> </w:t>
      </w:r>
      <w:r>
        <w:rPr>
          <w:rFonts w:ascii="Times New Roman" w:hAnsi="Times New Roman" w:eastAsia="Times New Roman"/>
          <w:sz w:val="26"/>
        </w:rPr>
        <w:t xml:space="preserve">là tỷ lệ sinh lời của tài sản hoặc danh mục trong kỳ tiếp theo. Nếu xét rủi ro theo biến lỗ, ta định nghĩa:</w:t>
      </w:r>
    </w:p>
    <w:p>
      <w:pPr>
        <w:pStyle w:val="BodyText"/>
      </w:pPr>
      <m:oMathPara>
        <m:oMathParaPr>
          <m:jc m:val="center"/>
        </m:oMathParaPr>
        <m:oMath>
          <m:sSub>
            <m:e>
              <m:r>
                <m:t>L</m:t>
              </m:r>
            </m:e>
            <m:sub>
              <m:r>
                <m:t>t</m:t>
              </m:r>
              <m:r>
                <m:rPr>
                  <m:sty m:val="p"/>
                </m:rPr>
                <m:t>+</m:t>
              </m:r>
              <m:r>
                <m:t>1</m:t>
              </m:r>
            </m:sub>
          </m:sSub>
          <m:r>
            <m:rPr>
              <m:sty m:val="p"/>
            </m:rPr>
            <m:t>=</m:t>
          </m:r>
          <m:r>
            <m:rPr>
              <m:sty m:val="p"/>
            </m:rPr>
            <m:t>−</m:t>
          </m:r>
          <m:sSub>
            <m:e>
              <m:r>
                <m:t>r</m:t>
              </m:r>
            </m:e>
            <m:sub>
              <m:r>
                <m:t>t</m:t>
              </m:r>
              <m:r>
                <m:rPr>
                  <m:sty m:val="p"/>
                </m:rPr>
                <m:t>+</m:t>
              </m:r>
              <m:r>
                <m:t>1</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Với mức tin cậy</w:t>
      </w:r>
      <w:r>
        <w:rPr>
          <w:rFonts w:ascii="Times New Roman" w:hAnsi="Times New Roman" w:eastAsia="Times New Roman"/>
          <w:sz w:val="26"/>
        </w:rPr>
        <w:t xml:space="preserve"> </w:t>
      </w:r>
      <m:oMath>
        <m:r>
          <m:t>1</m:t>
        </m:r>
        <m:r>
          <m:rPr>
            <m:sty m:val="p"/>
          </m:rPr>
          <m:t>−</m:t>
        </m:r>
        <m:r>
          <m:t>α</m:t>
        </m:r>
      </m:oMath>
      <w:r>
        <w:rPr>
          <w:rFonts w:ascii="Times New Roman" w:hAnsi="Times New Roman" w:eastAsia="Times New Roman"/>
          <w:sz w:val="26"/>
        </w:rPr>
        <w:t xml:space="preserve">, VaR là phân vị mức</w:t>
      </w:r>
      <w:r>
        <w:rPr>
          <w:rFonts w:ascii="Times New Roman" w:hAnsi="Times New Roman" w:eastAsia="Times New Roman"/>
          <w:sz w:val="26"/>
        </w:rPr>
        <w:t xml:space="preserve"> </w:t>
      </w:r>
      <m:oMath>
        <m:r>
          <m:t>1</m:t>
        </m:r>
        <m:r>
          <m:rPr>
            <m:sty m:val="p"/>
          </m:rPr>
          <m:t>−</m:t>
        </m:r>
        <m:r>
          <m:t>α</m:t>
        </m:r>
      </m:oMath>
      <w:r>
        <w:rPr>
          <w:rFonts w:ascii="Times New Roman" w:hAnsi="Times New Roman" w:eastAsia="Times New Roman"/>
          <w:sz w:val="26"/>
        </w:rPr>
        <w:t xml:space="preserve"> </w:t>
      </w:r>
      <w:r>
        <w:rPr>
          <w:rFonts w:ascii="Times New Roman" w:hAnsi="Times New Roman" w:eastAsia="Times New Roman"/>
          <w:sz w:val="26"/>
        </w:rPr>
        <w:t xml:space="preserve">của phân phối lỗ:</w:t>
      </w:r>
    </w:p>
    <w:p>
      <w:pPr>
        <w:pStyle w:val="BodyText"/>
      </w:pPr>
      <m:oMathPara>
        <m:oMathParaPr>
          <m:jc m:val="center"/>
        </m:oMathParaPr>
        <m:oMath>
          <m:r>
            <m:t>V</m:t>
          </m:r>
          <m:r>
            <m:t>a</m:t>
          </m:r>
          <m:sSub>
            <m:e>
              <m:r>
                <m:t>R</m:t>
              </m:r>
            </m:e>
            <m:sub>
              <m:r>
                <m:t>1</m:t>
              </m:r>
              <m:r>
                <m:rPr>
                  <m:sty m:val="p"/>
                </m:rPr>
                <m:t>−</m:t>
              </m:r>
              <m:r>
                <m:t>α</m:t>
              </m:r>
            </m:sub>
          </m:sSub>
          <m:r>
            <m:rPr>
              <m:sty m:val="p"/>
            </m:rPr>
            <m:t>=</m:t>
          </m:r>
          <m:sSub>
            <m:e>
              <m:r>
                <m:t>q</m:t>
              </m:r>
            </m:e>
            <m:sub>
              <m:r>
                <m:t>1</m:t>
              </m:r>
              <m:r>
                <m:rPr>
                  <m:sty m:val="p"/>
                </m:rPr>
                <m:t>−</m:t>
              </m:r>
              <m:r>
                <m:t>α</m:t>
              </m:r>
            </m:sub>
          </m:sSub>
          <m:r>
            <m:rPr>
              <m:sty m:val="p"/>
            </m:rPr>
            <m:t>(</m:t>
          </m:r>
          <m:sSub>
            <m:e>
              <m:r>
                <m:t>L</m:t>
              </m:r>
            </m:e>
            <m:sub>
              <m:r>
                <m:t>t</m:t>
              </m:r>
              <m:r>
                <m:rPr>
                  <m:sty m:val="p"/>
                </m:rPr>
                <m:t>+</m:t>
              </m:r>
              <m:r>
                <m:t>1</m:t>
              </m:r>
            </m:sub>
          </m:sSub>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Cách diễn giải là: nếu mô hình phân phối được chỉ định đúng, xác suất lỗ vượt VaR bằng</w:t>
      </w:r>
      <w:r>
        <w:rPr>
          <w:rFonts w:ascii="Times New Roman" w:hAnsi="Times New Roman" w:eastAsia="Times New Roman"/>
          <w:sz w:val="26"/>
        </w:rPr>
        <w:t xml:space="preserve"> </w:t>
      </w:r>
      <m:oMath>
        <m:r>
          <m:t>α</m:t>
        </m:r>
      </m:oMath>
      <w:r>
        <w:rPr>
          <w:rFonts w:ascii="Times New Roman" w:hAnsi="Times New Roman" w:eastAsia="Times New Roman"/>
          <w:sz w:val="26"/>
        </w:rPr>
        <w:t xml:space="preserve">:</w:t>
      </w:r>
    </w:p>
    <w:p>
      <w:pPr>
        <w:pStyle w:val="BodyText"/>
      </w:pPr>
      <m:oMathPara>
        <m:oMathParaPr>
          <m:jc m:val="center"/>
        </m:oMathParaPr>
        <m:oMath>
          <m:r>
            <m:t>P</m:t>
          </m:r>
          <m:r>
            <m:rPr>
              <m:sty m:val="p"/>
            </m:rPr>
            <m:t>(</m:t>
          </m:r>
          <m:sSub>
            <m:e>
              <m:r>
                <m:t>L</m:t>
              </m:r>
            </m:e>
            <m:sub>
              <m:r>
                <m:t>t</m:t>
              </m:r>
              <m:r>
                <m:rPr>
                  <m:sty m:val="p"/>
                </m:rPr>
                <m:t>+</m:t>
              </m:r>
              <m:r>
                <m:t>1</m:t>
              </m:r>
            </m:sub>
          </m:sSub>
          <m:r>
            <m:rPr>
              <m:sty m:val="p"/>
            </m:rPr>
            <m:t>&gt;</m:t>
          </m:r>
          <m:r>
            <m:t>V</m:t>
          </m:r>
          <m:r>
            <m:t>a</m:t>
          </m:r>
          <m:sSub>
            <m:e>
              <m:r>
                <m:t>R</m:t>
              </m:r>
            </m:e>
            <m:sub>
              <m:r>
                <m:t>1</m:t>
              </m:r>
              <m:r>
                <m:rPr>
                  <m:sty m:val="p"/>
                </m:rPr>
                <m:t>−</m:t>
              </m:r>
              <m:r>
                <m:t>α</m:t>
              </m:r>
            </m:sub>
          </m:sSub>
          <m:r>
            <m:rPr>
              <m:sty m:val="p"/>
            </m:rPr>
            <m:t>)</m:t>
          </m:r>
          <m:r>
            <m:rPr>
              <m:sty m:val="p"/>
            </m:rPr>
            <m:t>=</m:t>
          </m:r>
          <m:r>
            <m:t>α</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Nếu làm việc trực tiếp với tỷ lệ sinh lời, VaR được viết thông qua phân vị đuôi trái của tỷ lệ sinh lời:</w:t>
      </w:r>
    </w:p>
    <w:p>
      <w:pPr>
        <w:pStyle w:val="BodyText"/>
      </w:pPr>
      <m:oMathPara>
        <m:oMathParaPr>
          <m:jc m:val="center"/>
        </m:oMathParaPr>
        <m:oMath>
          <m:r>
            <m:t>V</m:t>
          </m:r>
          <m:r>
            <m:t>a</m:t>
          </m:r>
          <m:sSubSup>
            <m:e>
              <m:r>
                <m:t>R</m:t>
              </m:r>
            </m:e>
            <m:sub>
              <m:r>
                <m:t>1</m:t>
              </m:r>
              <m:r>
                <m:rPr>
                  <m:sty m:val="p"/>
                </m:rPr>
                <m:t>−</m:t>
              </m:r>
              <m:r>
                <m:t>α</m:t>
              </m:r>
            </m:sub>
            <m:sup>
              <m:r>
                <m:t>r</m:t>
              </m:r>
              <m:r>
                <m:t>e</m:t>
              </m:r>
              <m:r>
                <m:t>t</m:t>
              </m:r>
              <m:r>
                <m:t>u</m:t>
              </m:r>
              <m:r>
                <m:t>r</m:t>
              </m:r>
              <m:r>
                <m:t>n</m:t>
              </m:r>
            </m:sup>
          </m:sSubSup>
          <m:r>
            <m:rPr>
              <m:sty m:val="p"/>
            </m:rPr>
            <m:t>=</m:t>
          </m:r>
          <m:r>
            <m:rPr>
              <m:sty m:val="p"/>
            </m:rPr>
            <m:t>−</m:t>
          </m:r>
          <m:sSub>
            <m:e>
              <m:r>
                <m:t>q</m:t>
              </m:r>
            </m:e>
            <m:sub>
              <m:r>
                <m:t>α</m:t>
              </m:r>
            </m:sub>
          </m:sSub>
          <m:r>
            <m:rPr>
              <m:sty m:val="p"/>
            </m:rPr>
            <m:t>(</m:t>
          </m:r>
          <m:sSub>
            <m:e>
              <m:r>
                <m:t>r</m:t>
              </m:r>
            </m:e>
            <m:sub>
              <m:r>
                <m:t>t</m:t>
              </m:r>
              <m:r>
                <m:rPr>
                  <m:sty m:val="p"/>
                </m:rPr>
                <m:t>+</m:t>
              </m:r>
              <m:r>
                <m:t>1</m:t>
              </m:r>
            </m:sub>
          </m:sSub>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VaR là một ngưỡng tổn thất, nhưng không cho biết mức lỗ trung bình khi khoản lỗ đã vượt qua ngưỡng đó.</w:t>
      </w:r>
      <w:r>
        <w:rPr>
          <w:rFonts w:ascii="Times New Roman" w:hAnsi="Times New Roman" w:eastAsia="Times New Roman"/>
          <w:sz w:val="26"/>
        </w:rPr>
        <w:t xml:space="preserve"> </w:t>
      </w:r>
      <w:r>
        <w:rPr>
          <w:rFonts w:ascii="Times New Roman" w:hAnsi="Times New Roman" w:eastAsia="Times New Roman"/>
          <w:b/>
          <w:bCs/>
          <w:sz w:val="26"/>
        </w:rPr>
        <w:t xml:space="preserve">Expected Shortfall</w:t>
      </w:r>
      <w:r>
        <w:rPr>
          <w:rFonts w:ascii="Times New Roman" w:hAnsi="Times New Roman" w:eastAsia="Times New Roman"/>
          <w:sz w:val="26"/>
        </w:rPr>
        <w:t xml:space="preserve"> </w:t>
      </w:r>
      <w:r>
        <w:rPr>
          <w:rFonts w:ascii="Times New Roman" w:hAnsi="Times New Roman" w:eastAsia="Times New Roman"/>
          <w:sz w:val="26"/>
        </w:rPr>
        <w:t xml:space="preserve">bổ sung thông tin này bằng cách đo lường mức lỗ kỳ vọng trong vùng tổn thất vượt VaR:</w:t>
      </w:r>
    </w:p>
    <w:p>
      <w:pPr>
        <w:pStyle w:val="BodyText"/>
      </w:pPr>
      <m:oMathPara>
        <m:oMathParaPr>
          <m:jc m:val="center"/>
        </m:oMathParaPr>
        <m:oMath>
          <m:r>
            <m:t>E</m:t>
          </m:r>
          <m:sSub>
            <m:e>
              <m:r>
                <m:t>S</m:t>
              </m:r>
            </m:e>
            <m:sub>
              <m:r>
                <m:t>1</m:t>
              </m:r>
              <m:r>
                <m:rPr>
                  <m:sty m:val="p"/>
                </m:rPr>
                <m:t>−</m:t>
              </m:r>
              <m:r>
                <m:t>α</m:t>
              </m:r>
            </m:sub>
          </m:sSub>
          <m:r>
            <m:rPr>
              <m:sty m:val="p"/>
            </m:rPr>
            <m:t>=</m:t>
          </m:r>
          <m:r>
            <m:t>E</m:t>
          </m:r>
          <m:r>
            <m:rPr>
              <m:sty m:val="p"/>
            </m:rPr>
            <m:t>(</m:t>
          </m:r>
          <m:sSub>
            <m:e>
              <m:r>
                <m:t>L</m:t>
              </m:r>
            </m:e>
            <m:sub>
              <m:r>
                <m:t>t</m:t>
              </m:r>
              <m:r>
                <m:rPr>
                  <m:sty m:val="p"/>
                </m:rPr>
                <m:t>+</m:t>
              </m:r>
              <m:r>
                <m:t>1</m:t>
              </m:r>
            </m:sub>
          </m:sSub>
          <m:r>
            <m:rPr>
              <m:sty m:val="p"/>
            </m:rPr>
            <m:t>∣</m:t>
          </m:r>
          <m:sSub>
            <m:e>
              <m:r>
                <m:t>L</m:t>
              </m:r>
            </m:e>
            <m:sub>
              <m:r>
                <m:t>t</m:t>
              </m:r>
              <m:r>
                <m:rPr>
                  <m:sty m:val="p"/>
                </m:rPr>
                <m:t>+</m:t>
              </m:r>
              <m:r>
                <m:t>1</m:t>
              </m:r>
            </m:sub>
          </m:sSub>
          <m:r>
            <m:rPr>
              <m:sty m:val="p"/>
            </m:rPr>
            <m:t>&gt;</m:t>
          </m:r>
          <m:r>
            <m:t>V</m:t>
          </m:r>
          <m:r>
            <m:t>a</m:t>
          </m:r>
          <m:sSub>
            <m:e>
              <m:r>
                <m:t>R</m:t>
              </m:r>
            </m:e>
            <m:sub>
              <m:r>
                <m:t>1</m:t>
              </m:r>
              <m:r>
                <m:rPr>
                  <m:sty m:val="p"/>
                </m:rPr>
                <m:t>−</m:t>
              </m:r>
              <m:r>
                <m:t>α</m:t>
              </m:r>
            </m:sub>
          </m:sSub>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Trong quản trị rủi ro, ES thường được xem là thước đo thận trọng hơn VaR vì nó phản ánh mức độ nghiêm trọng của các tổn thất nằm ngoài ngưỡng VaR. Điểm này đặc biệt quan trọng khi phân phối tỷ lệ sinh lời có đuôi dày, vì hai mô hình có cùng số lần vượt VaR vẫn có thể tạo ra mức tổn thất vượt ngưỡng rất khác nhau (Acerbi &amp; Tasche, 2002; Tsay, 2013).</w:t>
      </w:r>
    </w:p>
    <w:tbl>
      <w:tblPr>
        <w:tblStyle w:val="Table"/>
        <w:tblW w:type="pct" w:w="5000"/>
        <w:tblLayout w:type="fixed"/>
        <w:tblLook w:firstRow="0" w:lastRow="0" w:firstColumn="0" w:lastColumn="0" w:noHBand="0" w:noVBand="0" w:val="0000"/>
      </w:tblPr>
      <w:tblGrid>
        <w:gridCol w:w="7920"/>
      </w:tblGrid>
      <w:tr>
        <w:tc>
          <w:tcPr>
            <w:vAlign w:val="center"/>
          </w:tcPr>
          <w:bookmarkStart w:id="13" w:name="fig-var-es-concept"/>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11" name="Picture"/>
                  <a:graphic>
                    <a:graphicData uri="http://schemas.openxmlformats.org/drawingml/2006/picture">
                      <pic:pic>
                        <pic:nvPicPr>
                          <pic:cNvPr descr="ch04_docx_tmp_files/figure-docx/fig-var-es-concept-1.pdf" id="12" name="Picture"/>
                          <pic:cNvPicPr>
                            <a:picLocks noChangeArrowheads="1" noChangeAspect="1"/>
                          </pic:cNvPicPr>
                        </pic:nvPicPr>
                        <pic:blipFill>
                          <a:blip r:embed="rId10"/>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1: VaR là ngưỡng phân vị, ES là tổn thất trung bình trong vùng vượt ngưỡng</w:t>
            </w:r>
          </w:p>
          <w:bookmarkEnd w:id="13"/>
        </w:tc>
      </w:tr>
    </w:tbl>
    <w:p>
      <w:pPr>
        <w:pStyle w:val="BodyText"/>
        <w:spacing w:before="60" w:after="60" w:line="240" w:lineRule="auto"/>
        <w:ind w:firstLine="0"/>
        <w:jc w:val="center"/>
      </w:pPr>
      <w:r>
        <w:rPr>
          <w:rFonts w:ascii="Times New Roman" w:hAnsi="Times New Roman" w:eastAsia="Times New Roman"/>
          <w:b/>
          <w:i w:val="0"/>
          <w:sz w:val="24"/>
        </w:rPr>
        <w:t>Hình 1 nhấn mạnh sự khác biệt giữa hai thước đo. VaR trả lời câu hỏi “ngưỡng lỗ tại mức xác suất cho trước là bao nhiêu?”, trong khi ES trả lời câu hỏi “nếu tổn thất vượt ngưỡng đó, mức lỗ trung bình là bao nhiêu?”. Vì vậy, VaR phù hợp để mô tả tần suất vượt ngưỡng, còn ES phù hợp hơn để mô tả mức độ nghiêm trọng của tổn thất đuôi.</w:t>
      </w:r>
    </w:p>
    <w:bookmarkStart w:id="19" w:name="mô-hình-mô-phỏng-lịch-sử"/>
    <w:p>
      <w:pPr>
        <w:pStyle w:val="Heading2"/>
        <w:spacing w:before="120" w:after="120" w:line="276" w:lineRule="auto"/>
        <w:ind w:firstLine="0"/>
        <w:jc w:val="left"/>
      </w:pPr>
      <w:r>
        <w:rPr>
          <w:rFonts w:ascii="Times New Roman" w:hAnsi="Times New Roman" w:eastAsia="Times New Roman"/>
          <w:b/>
          <w:i w:val="0"/>
          <w:sz w:val="26"/>
        </w:rPr>
        <w:t>1.1 MÔ HÌNH MÔ PHỎNG LỊCH SỬ</w:t>
      </w:r>
    </w:p>
    <w:bookmarkStart w:id="16" w:name="mô-hình-mô-phỏng-lịch-sử-với-var"/>
    <w:p>
      <w:pPr>
        <w:pStyle w:val="Heading3"/>
        <w:spacing w:before="120" w:after="120" w:line="276" w:lineRule="auto"/>
        <w:ind w:firstLine="0"/>
        <w:jc w:val="left"/>
      </w:pPr>
      <w:r>
        <w:rPr>
          <w:rFonts w:ascii="Times New Roman" w:hAnsi="Times New Roman" w:eastAsia="Times New Roman"/>
          <w:b/>
          <w:i w:val="0"/>
          <w:sz w:val="26"/>
        </w:rPr>
        <w:t xml:space="preserve">1.1.1 Mô hình mô phỏng lịch sử với VaR</w:t>
      </w:r>
    </w:p>
    <w:p>
      <w:pPr>
        <w:pStyle w:val="FirstParagraph"/>
        <w:spacing w:before="60" w:after="60" w:line="276" w:lineRule="auto"/>
        <w:ind w:firstLine="567"/>
        <w:jc w:val="both"/>
      </w:pPr>
      <w:r>
        <w:rPr>
          <w:rFonts w:ascii="Times New Roman" w:hAnsi="Times New Roman" w:eastAsia="Times New Roman"/>
          <w:b/>
          <w:bCs/>
          <w:sz w:val="26"/>
        </w:rPr>
        <w:t xml:space="preserve">Mô phỏng lịch sử</w:t>
      </w:r>
      <w:r>
        <w:rPr>
          <w:rFonts w:ascii="Times New Roman" w:hAnsi="Times New Roman" w:eastAsia="Times New Roman"/>
          <w:sz w:val="26"/>
        </w:rPr>
        <w:t xml:space="preserve"> </w:t>
      </w:r>
      <w:r>
        <w:rPr>
          <w:rFonts w:ascii="Times New Roman" w:hAnsi="Times New Roman" w:eastAsia="Times New Roman"/>
          <w:sz w:val="26"/>
        </w:rPr>
        <w:t xml:space="preserve">(</w:t>
      </w:r>
      <w:r>
        <w:rPr>
          <w:rFonts w:ascii="Times New Roman" w:hAnsi="Times New Roman" w:eastAsia="Times New Roman"/>
          <w:i/>
          <w:iCs/>
          <w:sz w:val="26"/>
        </w:rPr>
        <w:t xml:space="preserve">historical simulation</w:t>
      </w:r>
      <w:r>
        <w:rPr>
          <w:rFonts w:ascii="Times New Roman" w:hAnsi="Times New Roman" w:eastAsia="Times New Roman"/>
          <w:sz w:val="26"/>
        </w:rPr>
        <w:t xml:space="preserve">) là phương pháp tính VaR trực tiếp từ phân phối thực nghiệm của tỷ lệ sinh lời quá khứ. Với chuỗi tỷ lệ sinh lời</w:t>
      </w:r>
      <w:r>
        <w:rPr>
          <w:rFonts w:ascii="Times New Roman" w:hAnsi="Times New Roman" w:eastAsia="Times New Roman"/>
          <w:sz w:val="26"/>
        </w:rPr>
        <w:t xml:space="preserve"> </w:t>
      </w:r>
      <m:oMath>
        <m:sSub>
          <m:e>
            <m:r>
              <m:t>r</m:t>
            </m:r>
          </m:e>
          <m:sub>
            <m:r>
              <m:t>1</m:t>
            </m:r>
          </m:sub>
        </m:sSub>
        <m:r>
          <m:rPr>
            <m:sty m:val="p"/>
          </m:rPr>
          <m:t>,</m:t>
        </m:r>
        <m:r>
          <m:rPr>
            <m:sty m:val="p"/>
          </m:rPr>
          <m:t>…</m:t>
        </m:r>
        <m:r>
          <m:rPr>
            <m:sty m:val="p"/>
          </m:rPr>
          <m:t>,</m:t>
        </m:r>
        <m:sSub>
          <m:e>
            <m:r>
              <m:t>r</m:t>
            </m:r>
          </m:e>
          <m:sub>
            <m:r>
              <m:t>T</m:t>
            </m:r>
          </m:sub>
        </m:sSub>
      </m:oMath>
      <w:r>
        <w:rPr>
          <w:rFonts w:ascii="Times New Roman" w:hAnsi="Times New Roman" w:eastAsia="Times New Roman"/>
          <w:sz w:val="26"/>
        </w:rPr>
        <w:t xml:space="preserve">, ta sắp xếp các quan sát từ thấp đến cao và lấy phân vị đuôi trái mức</w:t>
      </w:r>
      <w:r>
        <w:rPr>
          <w:rFonts w:ascii="Times New Roman" w:hAnsi="Times New Roman" w:eastAsia="Times New Roman"/>
          <w:sz w:val="26"/>
        </w:rPr>
        <w:t xml:space="preserve"> </w:t>
      </w:r>
      <m:oMath>
        <m:r>
          <m:t>α</m:t>
        </m:r>
      </m:oMath>
      <w:r>
        <w:rPr>
          <w:rFonts w:ascii="Times New Roman" w:hAnsi="Times New Roman" w:eastAsia="Times New Roman"/>
          <w:sz w:val="26"/>
        </w:rPr>
        <w:t xml:space="preserve">. Nếu làm việc với tỷ lệ sinh lời, VaR lịch sử được xác định bởi:</w:t>
      </w:r>
    </w:p>
    <w:p>
      <w:pPr>
        <w:pStyle w:val="BodyText"/>
      </w:pPr>
      <m:oMathPara>
        <m:oMathParaPr>
          <m:jc m:val="center"/>
        </m:oMathParaPr>
        <m:oMath>
          <m:r>
            <m:t>V</m:t>
          </m:r>
          <m:r>
            <m:t>a</m:t>
          </m:r>
          <m:sSubSup>
            <m:e>
              <m:r>
                <m:t>R</m:t>
              </m:r>
            </m:e>
            <m:sub>
              <m:r>
                <m:t>1</m:t>
              </m:r>
              <m:r>
                <m:rPr>
                  <m:sty m:val="p"/>
                </m:rPr>
                <m:t>−</m:t>
              </m:r>
              <m:r>
                <m:t>α</m:t>
              </m:r>
            </m:sub>
            <m:sup>
              <m:r>
                <m:t>H</m:t>
              </m:r>
              <m:r>
                <m:t>S</m:t>
              </m:r>
            </m:sup>
          </m:sSubSup>
          <m:r>
            <m:rPr>
              <m:sty m:val="p"/>
            </m:rPr>
            <m:t>=</m:t>
          </m:r>
          <m:r>
            <m:rPr>
              <m:sty m:val="p"/>
            </m:rPr>
            <m:t>−</m:t>
          </m:r>
          <m:sSub>
            <m:e>
              <m:acc>
                <m:accPr>
                  <m:chr m:val="̂"/>
                </m:accPr>
                <m:e>
                  <m:r>
                    <m:t>q</m:t>
                  </m:r>
                </m:e>
              </m:acc>
            </m:e>
            <m:sub>
              <m:r>
                <m:t>α</m:t>
              </m:r>
            </m:sub>
          </m:sSub>
          <m:r>
            <m:rPr>
              <m:sty m:val="p"/>
            </m:rPr>
            <m:t>(</m:t>
          </m:r>
          <m:sSub>
            <m:e>
              <m:r>
                <m:t>r</m:t>
              </m:r>
            </m:e>
            <m:sub>
              <m:r>
                <m:t>1</m:t>
              </m:r>
            </m:sub>
          </m:sSub>
          <m:r>
            <m:rPr>
              <m:sty m:val="p"/>
            </m:rPr>
            <m:t>,</m:t>
          </m:r>
          <m:r>
            <m:rPr>
              <m:sty m:val="p"/>
            </m:rPr>
            <m:t>…</m:t>
          </m:r>
          <m:r>
            <m:rPr>
              <m:sty m:val="p"/>
            </m:rPr>
            <m:t>,</m:t>
          </m:r>
          <m:sSub>
            <m:e>
              <m:r>
                <m:t>r</m:t>
              </m:r>
            </m:e>
            <m:sub>
              <m:r>
                <m:t>T</m:t>
              </m:r>
            </m:sub>
          </m:sSub>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Nếu làm việc với biến lỗ</w:t>
      </w:r>
      <w:r>
        <w:rPr>
          <w:rFonts w:ascii="Times New Roman" w:hAnsi="Times New Roman" w:eastAsia="Times New Roman"/>
          <w:sz w:val="26"/>
        </w:rPr>
        <w:t xml:space="preserve"> </w:t>
      </w:r>
      <m:oMath>
        <m:sSub>
          <m:e>
            <m:r>
              <m:t>L</m:t>
            </m:r>
          </m:e>
          <m:sub>
            <m:r>
              <m:t>t</m:t>
            </m:r>
          </m:sub>
        </m:sSub>
        <m:r>
          <m:rPr>
            <m:sty m:val="p"/>
          </m:rPr>
          <m:t>=</m:t>
        </m:r>
        <m:r>
          <m:rPr>
            <m:sty m:val="p"/>
          </m:rPr>
          <m:t>−</m:t>
        </m:r>
        <m:sSub>
          <m:e>
            <m:r>
              <m:t>r</m:t>
            </m:r>
          </m:e>
          <m:sub>
            <m:r>
              <m:t>t</m:t>
            </m:r>
          </m:sub>
        </m:sSub>
      </m:oMath>
      <w:r>
        <w:rPr>
          <w:rFonts w:ascii="Times New Roman" w:hAnsi="Times New Roman" w:eastAsia="Times New Roman"/>
          <w:sz w:val="26"/>
        </w:rPr>
        <w:t xml:space="preserve">, công thức tương đương là:</w:t>
      </w:r>
    </w:p>
    <w:p>
      <w:pPr>
        <w:pStyle w:val="BodyText"/>
      </w:pPr>
      <m:oMathPara>
        <m:oMathParaPr>
          <m:jc m:val="center"/>
        </m:oMathParaPr>
        <m:oMath>
          <m:r>
            <m:t>V</m:t>
          </m:r>
          <m:r>
            <m:t>a</m:t>
          </m:r>
          <m:sSubSup>
            <m:e>
              <m:r>
                <m:t>R</m:t>
              </m:r>
            </m:e>
            <m:sub>
              <m:r>
                <m:t>1</m:t>
              </m:r>
              <m:r>
                <m:rPr>
                  <m:sty m:val="p"/>
                </m:rPr>
                <m:t>−</m:t>
              </m:r>
              <m:r>
                <m:t>α</m:t>
              </m:r>
            </m:sub>
            <m:sup>
              <m:r>
                <m:t>H</m:t>
              </m:r>
              <m:r>
                <m:t>S</m:t>
              </m:r>
            </m:sup>
          </m:sSubSup>
          <m:r>
            <m:rPr>
              <m:sty m:val="p"/>
            </m:rPr>
            <m:t>=</m:t>
          </m:r>
          <m:sSub>
            <m:e>
              <m:acc>
                <m:accPr>
                  <m:chr m:val="̂"/>
                </m:accPr>
                <m:e>
                  <m:r>
                    <m:t>q</m:t>
                  </m:r>
                </m:e>
              </m:acc>
            </m:e>
            <m:sub>
              <m:r>
                <m:t>1</m:t>
              </m:r>
              <m:r>
                <m:rPr>
                  <m:sty m:val="p"/>
                </m:rPr>
                <m:t>−</m:t>
              </m:r>
              <m:r>
                <m:t>α</m:t>
              </m:r>
            </m:sub>
          </m:sSub>
          <m:r>
            <m:rPr>
              <m:sty m:val="p"/>
            </m:rPr>
            <m:t>(</m:t>
          </m:r>
          <m:sSub>
            <m:e>
              <m:r>
                <m:t>L</m:t>
              </m:r>
            </m:e>
            <m:sub>
              <m:r>
                <m:t>1</m:t>
              </m:r>
            </m:sub>
          </m:sSub>
          <m:r>
            <m:rPr>
              <m:sty m:val="p"/>
            </m:rPr>
            <m:t>,</m:t>
          </m:r>
          <m:r>
            <m:rPr>
              <m:sty m:val="p"/>
            </m:rPr>
            <m:t>…</m:t>
          </m:r>
          <m:r>
            <m:rPr>
              <m:sty m:val="p"/>
            </m:rPr>
            <m:t>,</m:t>
          </m:r>
          <m:sSub>
            <m:e>
              <m:r>
                <m:t>L</m:t>
              </m:r>
            </m:e>
            <m:sub>
              <m:r>
                <m:t>T</m:t>
              </m:r>
            </m:sub>
          </m:sSub>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Ưu điểm chính của phương pháp này là không cần giả định phân phối chuẩn, Student-t hay bất kỳ phân phối tham số nào. Toàn bộ thông tin về đuôi dày, bất đối xứng và các cú sốc lớn được lấy trực tiếp từ dữ liệu quá khứ. Đây là lý do mô phỏng lịch sử thường được dùng làm benchmark trong các nghiên cứu VaR và trong thực hành quản trị rủi ro</w:t>
      </w:r>
      <w:r>
        <w:rPr>
          <w:rFonts w:ascii="Times New Roman" w:hAnsi="Times New Roman" w:eastAsia="Times New Roman"/>
          <w:sz w:val="26"/>
        </w:rPr>
        <w:t xml:space="preserve"> </w:t>
      </w:r>
      <w:r>
        <w:rPr>
          <w:rFonts w:ascii="Times New Roman" w:hAnsi="Times New Roman" w:eastAsia="Times New Roman"/>
          <w:sz w:val="26"/>
        </w:rPr>
        <w:t xml:space="preserve">(Choudhry, 2013; Tsay, 2013)</w:t>
      </w:r>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Tuy nhiên, phương pháp này có hai hạn chế quan trọng. Thứ nhất, nó phụ thuộc mạnh vào độ dài cửa sổ dữ liệu. Cửa sổ quá ngắn làm VaR nhiễu; cửa sổ quá dài làm VaR phản ứng chậm với thay đổi chế độ thị trường. Thứ hai, mô phỏng lịch sử giả định quá khứ đại diện cho tương lai. Nếu giai đoạn lịch sử không chứa khủng hoảng, VaR có thể đánh giá thấp rủi ro; nếu chứa một cú sốc cực đoan rất cũ, VaR có thể duy trì ở mức cao cho đến khi cú sốc đó rơi ra khỏi cửa sổ tính toán.</w:t>
      </w:r>
    </w:p>
    <w:tbl>
      <w:tblPr>
        <w:tblStyle w:val="Table"/>
        <w:tblW w:type="pct" w:w="5000"/>
        <w:tblLayout w:type="fixed"/>
        <w:tblLook w:firstRow="0" w:lastRow="0" w:firstColumn="0" w:lastColumn="0" w:noHBand="0" w:noVBand="0" w:val="0000"/>
      </w:tblPr>
      <w:tblGrid>
        <w:gridCol w:w="7920"/>
      </w:tblGrid>
      <w:tr>
        <w:tc>
          <w:tcPr>
            <w:vAlign w:val="center"/>
          </w:tcPr>
          <w:bookmarkStart w:id="14" w:name="tbl-historical-methods"/>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2: Các biến thể thường gặp của mô phỏng lịch sử</w:t>
            </w:r>
          </w:p>
          <w:tbl>
            <w:tblPr>
              <w:tblStyle w:val="Table"/>
              <w:tblW w:type="pct" w:w="5000"/>
              <w:tblLayout w:type="fixed"/>
              <w:tblLook w:firstRow="1" w:lastRow="0" w:firstColumn="0" w:lastColumn="0" w:noHBand="0" w:noVBand="0" w:val="0020"/>
            </w:tblPr>
            <w:tblGrid>
              <w:gridCol w:w="1072"/>
              <w:gridCol w:w="2801"/>
              <w:gridCol w:w="2040"/>
              <w:gridCol w:w="2005"/>
            </w:tblGrid>
            <w:tr>
              <w:trPr>
                <w:tblHeader w:val="on"/>
              </w:trPr>
              <w:tc>
                <w:tcPr/>
                <w:p>
                  <w:pPr>
                    <w:pStyle w:val="Compact"/>
                    <w:jc w:val="left"/>
                    <w:jc w:val="center"/>
                  </w:pPr>
                  <w:r>
                    <w:t xml:space="preserve">Biến thể</w:t>
                  </w:r>
                </w:p>
              </w:tc>
              <w:tc>
                <w:tcPr/>
                <w:p>
                  <w:pPr>
                    <w:pStyle w:val="Compact"/>
                    <w:jc w:val="left"/>
                    <w:jc w:val="center"/>
                  </w:pPr>
                  <w:r>
                    <w:t xml:space="preserve">Cách thực hiện</w:t>
                  </w:r>
                </w:p>
              </w:tc>
              <w:tc>
                <w:tcPr/>
                <w:p>
                  <w:pPr>
                    <w:pStyle w:val="Compact"/>
                    <w:jc w:val="left"/>
                    <w:jc w:val="center"/>
                  </w:pPr>
                  <w:r>
                    <w:t xml:space="preserve">Điểm mạnh</w:t>
                  </w:r>
                </w:p>
              </w:tc>
              <w:tc>
                <w:tcPr/>
                <w:p>
                  <w:pPr>
                    <w:pStyle w:val="Compact"/>
                    <w:jc w:val="left"/>
                    <w:jc w:val="center"/>
                  </w:pPr>
                  <w:r>
                    <w:t xml:space="preserve">Hạn chế</w:t>
                  </w:r>
                </w:p>
              </w:tc>
            </w:tr>
            <w:tr>
              <w:tc>
                <w:tcPr/>
                <w:p>
                  <w:pPr>
                    <w:pStyle w:val="Compact"/>
                    <w:jc w:val="left"/>
                    <w:jc w:val="center"/>
                  </w:pPr>
                  <w:r>
                    <w:t xml:space="preserve">Historical simulation toàn mẫu</w:t>
                  </w:r>
                </w:p>
              </w:tc>
              <w:tc>
                <w:tcPr/>
                <w:p>
                  <w:pPr>
                    <w:pStyle w:val="Compact"/>
                    <w:jc w:val="left"/>
                    <w:jc w:val="center"/>
                  </w:pPr>
                  <w:r>
                    <w:t xml:space="preserve">Dùng toàn bộ dữ liệu quá khứ để lấy phân vị thực nghiệm</w:t>
                  </w:r>
                </w:p>
              </w:tc>
              <w:tc>
                <w:tcPr/>
                <w:p>
                  <w:pPr>
                    <w:pStyle w:val="Compact"/>
                    <w:jc w:val="left"/>
                    <w:jc w:val="center"/>
                  </w:pPr>
                  <w:r>
                    <w:t xml:space="preserve">Đơn giản, dễ giải thích</w:t>
                  </w:r>
                </w:p>
              </w:tc>
              <w:tc>
                <w:tcPr/>
                <w:p>
                  <w:pPr>
                    <w:pStyle w:val="Compact"/>
                    <w:jc w:val="left"/>
                    <w:jc w:val="center"/>
                  </w:pPr>
                  <w:r>
                    <w:t xml:space="preserve">Phản ứng chậm với structural breaks</w:t>
                  </w:r>
                </w:p>
              </w:tc>
            </w:tr>
            <w:tr>
              <w:tc>
                <w:tcPr/>
                <w:p>
                  <w:pPr>
                    <w:pStyle w:val="Compact"/>
                    <w:jc w:val="left"/>
                    <w:jc w:val="center"/>
                  </w:pPr>
                  <w:r>
                    <w:t xml:space="preserve">Rolling historical simulation</w:t>
                  </w:r>
                </w:p>
              </w:tc>
              <w:tc>
                <w:tcPr/>
                <w:p>
                  <w:pPr>
                    <w:pStyle w:val="Compact"/>
                    <w:jc w:val="left"/>
                    <w:jc w:val="center"/>
                  </w:pPr>
                  <w:r>
                    <w:t xml:space="preserve">Dùng cửa sổ trượt gồm các quan sát gần nhất</w:t>
                  </w:r>
                </w:p>
              </w:tc>
              <w:tc>
                <w:tcPr/>
                <w:p>
                  <w:pPr>
                    <w:pStyle w:val="Compact"/>
                    <w:jc w:val="left"/>
                    <w:jc w:val="center"/>
                  </w:pPr>
                  <w:r>
                    <w:t xml:space="preserve">Cập nhật theo điều kiện thị trường gần đây</w:t>
                  </w:r>
                </w:p>
              </w:tc>
              <w:tc>
                <w:tcPr/>
                <w:p>
                  <w:pPr>
                    <w:pStyle w:val="Compact"/>
                    <w:jc w:val="left"/>
                    <w:jc w:val="center"/>
                  </w:pPr>
                  <w:r>
                    <w:t xml:space="preserve">Nhạy với lựa chọn độ dài cửa sổ</w:t>
                  </w:r>
                </w:p>
              </w:tc>
            </w:tr>
            <w:tr>
              <w:tc>
                <w:tcPr/>
                <w:p>
                  <w:pPr>
                    <w:pStyle w:val="Compact"/>
                    <w:jc w:val="left"/>
                    <w:jc w:val="center"/>
                  </w:pPr>
                  <w:r>
                    <w:t xml:space="preserve">Weighted historical simulation</w:t>
                  </w:r>
                </w:p>
              </w:tc>
              <w:tc>
                <w:tcPr/>
                <w:p>
                  <w:pPr>
                    <w:pStyle w:val="Compact"/>
                    <w:jc w:val="left"/>
                    <w:jc w:val="center"/>
                  </w:pPr>
                  <w:r>
                    <w:t xml:space="preserve">Gán trọng số lớn hơn cho quan sát gần hiện tại</w:t>
                  </w:r>
                </w:p>
              </w:tc>
              <w:tc>
                <w:tcPr/>
                <w:p>
                  <w:pPr>
                    <w:pStyle w:val="Compact"/>
                    <w:jc w:val="left"/>
                    <w:jc w:val="center"/>
                  </w:pPr>
                  <w:r>
                    <w:t xml:space="preserve">Phản ứng nhanh hơn với thay đổi volatility</w:t>
                  </w:r>
                </w:p>
              </w:tc>
              <w:tc>
                <w:tcPr/>
                <w:p>
                  <w:pPr>
                    <w:pStyle w:val="Compact"/>
                    <w:jc w:val="left"/>
                    <w:jc w:val="center"/>
                  </w:pPr>
                  <w:r>
                    <w:t xml:space="preserve">Cần chọn quy luật trọng số</w:t>
                  </w:r>
                </w:p>
              </w:tc>
            </w:tr>
            <w:tr>
              <w:tc>
                <w:tcPr/>
                <w:p>
                  <w:pPr>
                    <w:pStyle w:val="Compact"/>
                    <w:jc w:val="left"/>
                    <w:jc w:val="center"/>
                  </w:pPr>
                  <w:r>
                    <w:t xml:space="preserve">Filtered historical simulation</w:t>
                  </w:r>
                </w:p>
              </w:tc>
              <w:tc>
                <w:tcPr/>
                <w:p>
                  <w:pPr>
                    <w:pStyle w:val="Compact"/>
                    <w:jc w:val="left"/>
                    <w:jc w:val="center"/>
                  </w:pPr>
                  <w:r>
                    <w:t xml:space="preserve">Chuẩn hóa tỷ lệ sinh lời bằng volatility động rồi tái nhân với volatility dự báo</w:t>
                  </w:r>
                </w:p>
              </w:tc>
              <w:tc>
                <w:tcPr/>
                <w:p>
                  <w:pPr>
                    <w:pStyle w:val="Compact"/>
                    <w:jc w:val="left"/>
                    <w:jc w:val="center"/>
                  </w:pPr>
                  <w:r>
                    <w:t xml:space="preserve">Kết hợp ưu điểm của mô phỏng lịch sử và mô hình volatility</w:t>
                  </w:r>
                </w:p>
              </w:tc>
              <w:tc>
                <w:tcPr/>
                <w:p>
                  <w:pPr>
                    <w:pStyle w:val="Compact"/>
                    <w:jc w:val="left"/>
                    <w:jc w:val="center"/>
                  </w:pPr>
                  <w:r>
                    <w:t xml:space="preserve">Phụ thuộc vào mô hình volatility được dùng để lọc dữ liệu</w:t>
                  </w:r>
                </w:p>
              </w:tc>
            </w:tr>
          </w:tbl>
          <w:bookmarkEnd w:id="14"/>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2 cho thấy mô phỏng lịch sử không chỉ có một cách triển khai. Trong Chương 5, khi áp dụng cho VN-Index, rolling historical simulation nên được sử dụng như một benchmark vì nó phản ánh cách nhà quản trị rủi ro cập nhật VaR theo thời gian.</w:t>
      </w:r>
    </w:p>
    <w:tbl>
      <w:tblPr>
        <w:tblStyle w:val="Table"/>
        <w:tblW w:type="pct" w:w="5000"/>
        <w:tblLayout w:type="fixed"/>
        <w:tblLook w:firstRow="0" w:lastRow="0" w:firstColumn="0" w:lastColumn="0" w:noHBand="0" w:noVBand="0" w:val="0000"/>
      </w:tblPr>
      <w:tblGrid>
        <w:gridCol w:w="7920"/>
      </w:tblGrid>
      <w:tr>
        <w:tc>
          <w:tcPr>
            <w:vAlign w:val="center"/>
          </w:tcPr>
          <w:bookmarkStart w:id="15" w:name="tbl-historical-var"/>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3: VaR theo mô phỏng lịch sử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Phương pháp</w:t>
                  </w:r>
                </w:p>
              </w:tc>
              <w:tc>
                <w:tcPr/>
                <w:p>
                  <w:pPr>
                    <w:pStyle w:val="Compact"/>
                    <w:jc w:val="left"/>
                    <w:jc w:val="center"/>
                  </w:pPr>
                  <w:r>
                    <w:t xml:space="preserve">Mức tin cậy</w:t>
                  </w:r>
                </w:p>
              </w:tc>
              <w:tc>
                <w:tcPr/>
                <w:p>
                  <w:pPr>
                    <w:pStyle w:val="Compact"/>
                    <w:jc w:val="right"/>
                    <w:jc w:val="center"/>
                  </w:pPr>
                  <w:r>
                    <w:t xml:space="preserve">VaR, tỷ lệ</w:t>
                  </w:r>
                </w:p>
              </w:tc>
              <w:tc>
                <w:tcPr/>
                <w:p>
                  <w:pPr>
                    <w:pStyle w:val="Compact"/>
                    <w:jc w:val="right"/>
                    <w:jc w:val="center"/>
                  </w:pPr>
                  <w:r>
                    <w:t xml:space="preserve">VaR, danh mục 100 tỷ đồng</w:t>
                  </w:r>
                </w:p>
              </w:tc>
            </w:tr>
            <w:tr>
              <w:tc>
                <w:tcPr/>
                <w:p>
                  <w:pPr>
                    <w:pStyle w:val="Compact"/>
                    <w:jc w:val="left"/>
                    <w:jc w:val="center"/>
                  </w:pPr>
                  <w:r>
                    <w:t xml:space="preserve">Mô phỏng lịch sử</w:t>
                  </w:r>
                </w:p>
              </w:tc>
              <w:tc>
                <w:tcPr/>
                <w:p>
                  <w:pPr>
                    <w:pStyle w:val="Compact"/>
                    <w:jc w:val="left"/>
                    <w:jc w:val="center"/>
                  </w:pPr>
                  <w:r>
                    <w:t xml:space="preserve">99,00%</w:t>
                  </w:r>
                </w:p>
              </w:tc>
              <w:tc>
                <w:tcPr/>
                <w:p>
                  <w:pPr>
                    <w:pStyle w:val="Compact"/>
                    <w:jc w:val="right"/>
                    <w:jc w:val="center"/>
                  </w:pPr>
                  <w:r>
                    <w:t xml:space="preserve">2,34%</w:t>
                  </w:r>
                </w:p>
              </w:tc>
              <w:tc>
                <w:tcPr/>
                <w:p>
                  <w:pPr>
                    <w:pStyle w:val="Compact"/>
                    <w:jc w:val="right"/>
                    <w:jc w:val="center"/>
                  </w:pPr>
                  <w:r>
                    <w:t xml:space="preserve">2.336.393.002 đồng</w:t>
                  </w:r>
                </w:p>
              </w:tc>
            </w:tr>
          </w:tbl>
          <w:bookmarkEnd w:id="15"/>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3 minh họa cách chuyển VaR từ tỷ lệ sang giá trị tiền tệ. Nếu danh mục có giá trị 100 tỷ đồng, VaR tỷ lệ được nhân trực tiếp với giá trị danh mục để có mức tổn thất tiền tệ tương ứng. Trong thực tế, phép chuyển đổi này chỉ đúng khi VaR được tính cho tỷ lệ sinh lời của chính danh mục đang xét.</w:t>
      </w:r>
    </w:p>
    <w:bookmarkEnd w:id="16"/>
    <w:bookmarkStart w:id="18" w:name="mô-hình-mô-phỏng-lịch-sử-với-es"/>
    <w:p>
      <w:pPr>
        <w:pStyle w:val="Heading3"/>
        <w:spacing w:before="120" w:after="120" w:line="276" w:lineRule="auto"/>
        <w:ind w:firstLine="0"/>
        <w:jc w:val="left"/>
      </w:pPr>
      <w:r>
        <w:rPr>
          <w:rFonts w:ascii="Times New Roman" w:hAnsi="Times New Roman" w:eastAsia="Times New Roman"/>
          <w:b/>
          <w:i w:val="0"/>
          <w:sz w:val="26"/>
        </w:rPr>
        <w:t xml:space="preserve">1.1.2 Mô hình mô phỏng lịch sử với ES</w:t>
      </w:r>
    </w:p>
    <w:p>
      <w:pPr>
        <w:pStyle w:val="FirstParagraph"/>
        <w:spacing w:before="60" w:after="60" w:line="276" w:lineRule="auto"/>
        <w:ind w:firstLine="567"/>
        <w:jc w:val="both"/>
      </w:pPr>
      <w:r>
        <w:rPr>
          <w:rFonts w:ascii="Times New Roman" w:hAnsi="Times New Roman" w:eastAsia="Times New Roman"/>
          <w:sz w:val="26"/>
        </w:rPr>
        <w:t xml:space="preserve">Historical simulation cũng có thể dùng để tính ES. Sau khi xác định phân vị</w:t>
      </w:r>
      <w:r>
        <w:rPr>
          <w:rFonts w:ascii="Times New Roman" w:hAnsi="Times New Roman" w:eastAsia="Times New Roman"/>
          <w:sz w:val="26"/>
        </w:rPr>
        <w:t xml:space="preserve"> </w:t>
      </w:r>
      <m:oMath>
        <m:sSub>
          <m:e>
            <m:acc>
              <m:accPr>
                <m:chr m:val="̂"/>
              </m:accPr>
              <m:e>
                <m:r>
                  <m:t>q</m:t>
                </m:r>
              </m:e>
            </m:acc>
          </m:e>
          <m:sub>
            <m:r>
              <m:t>α</m:t>
            </m:r>
          </m:sub>
        </m:sSub>
      </m:oMath>
      <w:r>
        <w:rPr>
          <w:rFonts w:ascii="Times New Roman" w:hAnsi="Times New Roman" w:eastAsia="Times New Roman"/>
          <w:sz w:val="26"/>
        </w:rPr>
        <w:t xml:space="preserve"> </w:t>
      </w:r>
      <w:r>
        <w:rPr>
          <w:rFonts w:ascii="Times New Roman" w:hAnsi="Times New Roman" w:eastAsia="Times New Roman"/>
          <w:sz w:val="26"/>
        </w:rPr>
        <w:t xml:space="preserve">của tỷ lệ sinh lời, ES lịch sử là trung bình của các tỷ lệ sinh lời nằm trong vùng đuôi trái:</w:t>
      </w:r>
    </w:p>
    <w:p>
      <w:pPr>
        <w:pStyle w:val="BodyText"/>
      </w:pPr>
      <m:oMathPara>
        <m:oMathParaPr>
          <m:jc m:val="center"/>
        </m:oMathParaPr>
        <m:oMath>
          <m:r>
            <m:t>E</m:t>
          </m:r>
          <m:sSubSup>
            <m:e>
              <m:r>
                <m:t>S</m:t>
              </m:r>
            </m:e>
            <m:sub>
              <m:r>
                <m:t>1</m:t>
              </m:r>
              <m:r>
                <m:rPr>
                  <m:sty m:val="p"/>
                </m:rPr>
                <m:t>−</m:t>
              </m:r>
              <m:r>
                <m:t>α</m:t>
              </m:r>
            </m:sub>
            <m:sup>
              <m:r>
                <m:t>H</m:t>
              </m:r>
              <m:r>
                <m:t>S</m:t>
              </m:r>
            </m:sup>
          </m:sSubSup>
          <m:r>
            <m:rPr>
              <m:sty m:val="p"/>
            </m:rPr>
            <m:t>=</m:t>
          </m:r>
          <m:r>
            <m:rPr>
              <m:sty m:val="p"/>
            </m:rPr>
            <m:t>−</m:t>
          </m:r>
          <m:f>
            <m:fPr>
              <m:type m:val="bar"/>
            </m:fPr>
            <m:num>
              <m:r>
                <m:t>1</m:t>
              </m:r>
            </m:num>
            <m:den>
              <m:sSub>
                <m:e>
                  <m:r>
                    <m:t>N</m:t>
                  </m:r>
                </m:e>
                <m:sub>
                  <m:r>
                    <m:t>α</m:t>
                  </m:r>
                </m:sub>
              </m:sSub>
            </m:den>
          </m:f>
          <m:nary>
            <m:naryPr>
              <m:chr m:val="∑"/>
              <m:limLoc m:val="undOvr"/>
              <m:subHide m:val="off"/>
              <m:supHide m:val="on"/>
            </m:naryPr>
            <m:sub>
              <m:r>
                <m:t>t</m:t>
              </m:r>
              <m:r>
                <m:rPr>
                  <m:sty m:val="p"/>
                </m:rPr>
                <m:t>:</m:t>
              </m:r>
              <m:sSub>
                <m:e>
                  <m:r>
                    <m:t>r</m:t>
                  </m:r>
                </m:e>
                <m:sub>
                  <m:r>
                    <m:t>t</m:t>
                  </m:r>
                </m:sub>
              </m:sSub>
              <m:r>
                <m:rPr>
                  <m:sty m:val="p"/>
                </m:rPr>
                <m:t>≤</m:t>
              </m:r>
              <m:sSub>
                <m:e>
                  <m:acc>
                    <m:accPr>
                      <m:chr m:val="̂"/>
                    </m:accPr>
                    <m:e>
                      <m:r>
                        <m:t>q</m:t>
                      </m:r>
                    </m:e>
                  </m:acc>
                </m:e>
                <m:sub>
                  <m:r>
                    <m:t>α</m:t>
                  </m:r>
                </m:sub>
              </m:sSub>
            </m:sub>
            <m:sup>
              <m:r>
                <m:t>​</m:t>
              </m:r>
            </m:sup>
            <m:e>
              <m:sSub>
                <m:e>
                  <m:r>
                    <m:t>r</m:t>
                  </m:r>
                </m:e>
                <m:sub>
                  <m:r>
                    <m:t>t</m:t>
                  </m:r>
                </m:sub>
              </m:sSub>
            </m:e>
          </m:nary>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r>
        <w:rPr>
          <w:rFonts w:ascii="Times New Roman" w:hAnsi="Times New Roman" w:eastAsia="Times New Roman"/>
          <w:sz w:val="26"/>
        </w:rPr>
        <w:t xml:space="preserve"> </w:t>
      </w:r>
      <m:oMath>
        <m:sSub>
          <m:e>
            <m:r>
              <m:t>N</m:t>
            </m:r>
          </m:e>
          <m:sub>
            <m:r>
              <m:t>α</m:t>
            </m:r>
          </m:sub>
        </m:sSub>
      </m:oMath>
      <w:r>
        <w:rPr>
          <w:rFonts w:ascii="Times New Roman" w:hAnsi="Times New Roman" w:eastAsia="Times New Roman"/>
          <w:sz w:val="26"/>
        </w:rPr>
        <w:t xml:space="preserve"> </w:t>
      </w:r>
      <w:r>
        <w:rPr>
          <w:rFonts w:ascii="Times New Roman" w:hAnsi="Times New Roman" w:eastAsia="Times New Roman"/>
          <w:sz w:val="26"/>
        </w:rPr>
        <w:t xml:space="preserve">là số quan sát nằm trong vùng vượt ngưỡng. Nếu làm việc với biến lỗ, công thức có dạng:</w:t>
      </w:r>
    </w:p>
    <w:p>
      <w:pPr>
        <w:pStyle w:val="BodyText"/>
      </w:pPr>
      <m:oMathPara>
        <m:oMathParaPr>
          <m:jc m:val="center"/>
        </m:oMathParaPr>
        <m:oMath>
          <m:r>
            <m:t>E</m:t>
          </m:r>
          <m:sSubSup>
            <m:e>
              <m:r>
                <m:t>S</m:t>
              </m:r>
            </m:e>
            <m:sub>
              <m:r>
                <m:t>1</m:t>
              </m:r>
              <m:r>
                <m:rPr>
                  <m:sty m:val="p"/>
                </m:rPr>
                <m:t>−</m:t>
              </m:r>
              <m:r>
                <m:t>α</m:t>
              </m:r>
            </m:sub>
            <m:sup>
              <m:r>
                <m:t>H</m:t>
              </m:r>
              <m:r>
                <m:t>S</m:t>
              </m:r>
            </m:sup>
          </m:sSubSup>
          <m:r>
            <m:rPr>
              <m:sty m:val="p"/>
            </m:rPr>
            <m:t>=</m:t>
          </m:r>
          <m:f>
            <m:fPr>
              <m:type m:val="bar"/>
            </m:fPr>
            <m:num>
              <m:r>
                <m:t>1</m:t>
              </m:r>
            </m:num>
            <m:den>
              <m:sSub>
                <m:e>
                  <m:r>
                    <m:t>N</m:t>
                  </m:r>
                </m:e>
                <m:sub>
                  <m:r>
                    <m:t>α</m:t>
                  </m:r>
                </m:sub>
              </m:sSub>
            </m:den>
          </m:f>
          <m:nary>
            <m:naryPr>
              <m:chr m:val="∑"/>
              <m:limLoc m:val="undOvr"/>
              <m:subHide m:val="off"/>
              <m:supHide m:val="on"/>
            </m:naryPr>
            <m:sub>
              <m:r>
                <m:t>t</m:t>
              </m:r>
              <m:r>
                <m:rPr>
                  <m:sty m:val="p"/>
                </m:rPr>
                <m:t>:</m:t>
              </m:r>
              <m:sSub>
                <m:e>
                  <m:r>
                    <m:t>L</m:t>
                  </m:r>
                </m:e>
                <m:sub>
                  <m:r>
                    <m:t>t</m:t>
                  </m:r>
                </m:sub>
              </m:sSub>
              <m:r>
                <m:rPr>
                  <m:sty m:val="p"/>
                </m:rPr>
                <m:t>≥</m:t>
              </m:r>
              <m:sSub>
                <m:e>
                  <m:acc>
                    <m:accPr>
                      <m:chr m:val="̂"/>
                    </m:accPr>
                    <m:e>
                      <m:r>
                        <m:t>V</m:t>
                      </m:r>
                      <m:r>
                        <m:t>a</m:t>
                      </m:r>
                      <m:r>
                        <m:t>R</m:t>
                      </m:r>
                    </m:e>
                  </m:acc>
                </m:e>
                <m:sub>
                  <m:r>
                    <m:t>1</m:t>
                  </m:r>
                  <m:r>
                    <m:rPr>
                      <m:sty m:val="p"/>
                    </m:rPr>
                    <m:t>−</m:t>
                  </m:r>
                  <m:r>
                    <m:t>α</m:t>
                  </m:r>
                </m:sub>
              </m:sSub>
            </m:sub>
            <m:sup>
              <m:r>
                <m:t>​</m:t>
              </m:r>
            </m:sup>
            <m:e>
              <m:sSub>
                <m:e>
                  <m:r>
                    <m:t>L</m:t>
                  </m:r>
                </m:e>
                <m:sub>
                  <m:r>
                    <m:t>t</m:t>
                  </m:r>
                </m:sub>
              </m:sSub>
            </m:e>
          </m:nary>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Điểm khác biệt cốt lõi là VaR chỉ sử dụng vị trí của phân vị, còn ES sử dụng thông tin của toàn bộ các quan sát vượt ngưỡng. Vì vậy, ES nhạy hơn với độ nghiêm trọng của rủi ro đuôi. Đây là lý do ES thường được xem là bổ sung cần thiết cho VaR, đặc biệt trong bối cảnh VaR có thể không phản ánh đầy đủ mức tổn thất cực đoan sau khi ngưỡng đã bị vượt qua (Tsay, 2010, 2013).</w:t>
      </w:r>
    </w:p>
    <w:tbl>
      <w:tblPr>
        <w:tblStyle w:val="Table"/>
        <w:tblW w:type="pct" w:w="5000"/>
        <w:tblLayout w:type="fixed"/>
        <w:tblLook w:firstRow="0" w:lastRow="0" w:firstColumn="0" w:lastColumn="0" w:noHBand="0" w:noVBand="0" w:val="0000"/>
      </w:tblPr>
      <w:tblGrid>
        <w:gridCol w:w="7920"/>
      </w:tblGrid>
      <w:tr>
        <w:tc>
          <w:tcPr>
            <w:vAlign w:val="center"/>
          </w:tcPr>
          <w:bookmarkStart w:id="17" w:name="tbl-historical-var-es"/>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4: VaR và ES theo mô phỏng lịch sử</w:t>
            </w:r>
          </w:p>
          <w:tbl>
            <w:tblPr>
              <w:tblStyle w:val="Table"/>
              <w:tblW w:type="pct" w:w="5000"/>
              <w:tblLayout w:type="fixed"/>
              <w:tblLook w:firstRow="1" w:lastRow="0" w:firstColumn="0" w:lastColumn="0" w:noHBand="0" w:noVBand="0" w:val="0020"/>
            </w:tblPr>
            <w:tblGrid>
              <w:gridCol w:w="1333"/>
              <w:gridCol w:w="940"/>
              <w:gridCol w:w="862"/>
              <w:gridCol w:w="784"/>
              <w:gridCol w:w="2038"/>
              <w:gridCol w:w="1960"/>
            </w:tblGrid>
            <w:tr>
              <w:trPr>
                <w:tblHeader w:val="on"/>
              </w:trPr>
              <w:tc>
                <w:tcPr/>
                <w:p>
                  <w:pPr>
                    <w:pStyle w:val="Compact"/>
                    <w:jc w:val="left"/>
                    <w:jc w:val="center"/>
                  </w:pPr>
                  <w:r>
                    <w:t xml:space="preserve">Phương pháp</w:t>
                  </w:r>
                </w:p>
              </w:tc>
              <w:tc>
                <w:tcPr/>
                <w:p>
                  <w:pPr>
                    <w:pStyle w:val="Compact"/>
                    <w:jc w:val="left"/>
                    <w:jc w:val="center"/>
                  </w:pPr>
                  <w:r>
                    <w:t xml:space="preserve">Mức tin cậy</w:t>
                  </w:r>
                </w:p>
              </w:tc>
              <w:tc>
                <w:tcPr/>
                <w:p>
                  <w:pPr>
                    <w:pStyle w:val="Compact"/>
                    <w:jc w:val="right"/>
                    <w:jc w:val="center"/>
                  </w:pPr>
                  <w:r>
                    <w:t xml:space="preserve">VaR, tỷ lệ</w:t>
                  </w:r>
                </w:p>
              </w:tc>
              <w:tc>
                <w:tcPr/>
                <w:p>
                  <w:pPr>
                    <w:pStyle w:val="Compact"/>
                    <w:jc w:val="right"/>
                    <w:jc w:val="center"/>
                  </w:pPr>
                  <w:r>
                    <w:t xml:space="preserve">ES, tỷ lệ</w:t>
                  </w:r>
                </w:p>
              </w:tc>
              <w:tc>
                <w:tcPr/>
                <w:p>
                  <w:pPr>
                    <w:pStyle w:val="Compact"/>
                    <w:jc w:val="right"/>
                    <w:jc w:val="center"/>
                  </w:pPr>
                  <w:r>
                    <w:t xml:space="preserve">VaR, danh mục 100 tỷ đồng</w:t>
                  </w:r>
                </w:p>
              </w:tc>
              <w:tc>
                <w:tcPr/>
                <w:p>
                  <w:pPr>
                    <w:pStyle w:val="Compact"/>
                    <w:jc w:val="right"/>
                    <w:jc w:val="center"/>
                  </w:pPr>
                  <w:r>
                    <w:t xml:space="preserve">ES, danh mục 100 tỷ đồng</w:t>
                  </w:r>
                </w:p>
              </w:tc>
            </w:tr>
            <w:tr>
              <w:tc>
                <w:tcPr/>
                <w:p>
                  <w:pPr>
                    <w:pStyle w:val="Compact"/>
                    <w:jc w:val="left"/>
                    <w:jc w:val="center"/>
                  </w:pPr>
                  <w:r>
                    <w:t xml:space="preserve">Mô phỏng lịch sử</w:t>
                  </w:r>
                </w:p>
              </w:tc>
              <w:tc>
                <w:tcPr/>
                <w:p>
                  <w:pPr>
                    <w:pStyle w:val="Compact"/>
                    <w:jc w:val="left"/>
                    <w:jc w:val="center"/>
                  </w:pPr>
                  <w:r>
                    <w:t xml:space="preserve">99,00%</w:t>
                  </w:r>
                </w:p>
              </w:tc>
              <w:tc>
                <w:tcPr/>
                <w:p>
                  <w:pPr>
                    <w:pStyle w:val="Compact"/>
                    <w:jc w:val="right"/>
                    <w:jc w:val="center"/>
                  </w:pPr>
                  <w:r>
                    <w:t xml:space="preserve">2,34%</w:t>
                  </w:r>
                </w:p>
              </w:tc>
              <w:tc>
                <w:tcPr/>
                <w:p>
                  <w:pPr>
                    <w:pStyle w:val="Compact"/>
                    <w:jc w:val="right"/>
                    <w:jc w:val="center"/>
                  </w:pPr>
                  <w:r>
                    <w:t xml:space="preserve">3,44%</w:t>
                  </w:r>
                </w:p>
              </w:tc>
              <w:tc>
                <w:tcPr/>
                <w:p>
                  <w:pPr>
                    <w:pStyle w:val="Compact"/>
                    <w:jc w:val="right"/>
                    <w:jc w:val="center"/>
                  </w:pPr>
                  <w:r>
                    <w:t xml:space="preserve">2.336.393.002 đồng</w:t>
                  </w:r>
                </w:p>
              </w:tc>
              <w:tc>
                <w:tcPr/>
                <w:p>
                  <w:pPr>
                    <w:pStyle w:val="Compact"/>
                    <w:jc w:val="right"/>
                    <w:jc w:val="center"/>
                  </w:pPr>
                  <w:r>
                    <w:t xml:space="preserve">3.437.792.946 đồng</w:t>
                  </w:r>
                </w:p>
              </w:tc>
            </w:tr>
          </w:tbl>
          <w:bookmarkEnd w:id="17"/>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4 cho thấy ES lớn hơn VaR vì ES là trung bình của vùng tổn thất nghiêm trọng hơn VaR. Khi diễn giải cho nhà quản trị rủi ro, có thể nói: VaR là ngưỡng cảnh báo, còn ES là mức tổn thất trung bình trong các tình huống ngưỡng cảnh báo bị phá vỡ.</w:t>
      </w:r>
    </w:p>
    <w:bookmarkEnd w:id="18"/>
    <w:bookmarkEnd w:id="19"/>
    <w:bookmarkStart w:id="31" w:name="mô-hình-tham-số"/>
    <w:p>
      <w:pPr>
        <w:pStyle w:val="Heading2"/>
        <w:spacing w:before="120" w:after="120" w:line="276" w:lineRule="auto"/>
        <w:ind w:firstLine="0"/>
        <w:jc w:val="left"/>
      </w:pPr>
      <w:r>
        <w:rPr>
          <w:rFonts w:ascii="Times New Roman" w:hAnsi="Times New Roman" w:eastAsia="Times New Roman"/>
          <w:b/>
          <w:i w:val="0"/>
          <w:sz w:val="26"/>
        </w:rPr>
        <w:t>1.2 MÔ HÌNH THAM SỐ</w:t>
      </w:r>
    </w:p>
    <w:bookmarkStart w:id="25" w:name="mô-hình-biến-động-giản-đơn"/>
    <w:p>
      <w:pPr>
        <w:pStyle w:val="Heading3"/>
        <w:spacing w:before="120" w:after="120" w:line="276" w:lineRule="auto"/>
        <w:ind w:firstLine="0"/>
        <w:jc w:val="left"/>
      </w:pPr>
      <w:r>
        <w:rPr>
          <w:rFonts w:ascii="Times New Roman" w:hAnsi="Times New Roman" w:eastAsia="Times New Roman"/>
          <w:b/>
          <w:i w:val="0"/>
          <w:sz w:val="26"/>
        </w:rPr>
        <w:t xml:space="preserve">1.2.1 Mô hình biến động giản đơn</w:t>
      </w:r>
    </w:p>
    <w:p>
      <w:pPr>
        <w:pStyle w:val="FirstParagraph"/>
        <w:spacing w:before="60" w:after="60" w:line="276" w:lineRule="auto"/>
        <w:ind w:firstLine="567"/>
        <w:jc w:val="both"/>
      </w:pPr>
      <w:r>
        <w:rPr>
          <w:rFonts w:ascii="Times New Roman" w:hAnsi="Times New Roman" w:eastAsia="Times New Roman"/>
          <w:sz w:val="26"/>
        </w:rPr>
        <w:t xml:space="preserve">Phương pháp tham số bắt đầu từ giả định về phân phối tỷ lệ sinh lời. Trường hợp đơn giản nhất là giả định tỷ lệ sinh lời có điều kiện tuân theo phân phối chuẩn:</w:t>
      </w:r>
    </w:p>
    <w:p>
      <w:pPr>
        <w:pStyle w:val="BodyText"/>
      </w:pPr>
      <m:oMathPara>
        <m:oMathParaPr>
          <m:jc m:val="center"/>
        </m:oMathParaPr>
        <m:oMath>
          <m:sSub>
            <m:e>
              <m:r>
                <m:t>r</m:t>
              </m:r>
            </m:e>
            <m:sub>
              <m:r>
                <m:t>t</m:t>
              </m:r>
              <m:r>
                <m:rPr>
                  <m:sty m:val="p"/>
                </m:rPr>
                <m:t>+</m:t>
              </m:r>
              <m:r>
                <m:t>1</m:t>
              </m:r>
            </m:sub>
          </m:sSub>
          <m:r>
            <m:rPr>
              <m:sty m:val="p"/>
            </m:rPr>
            <m:t>∣</m:t>
          </m:r>
          <m:sSub>
            <m:e>
              <m:r>
                <m:rPr>
                  <m:scr m:val="script"/>
                  <m:sty m:val="p"/>
                </m:rPr>
                <m:t>F</m:t>
              </m:r>
            </m:e>
            <m:sub>
              <m:r>
                <m:t>t</m:t>
              </m:r>
            </m:sub>
          </m:sSub>
          <m:r>
            <m:rPr>
              <m:sty m:val="p"/>
            </m:rPr>
            <m:t>∼</m:t>
          </m:r>
          <m:r>
            <m:t>N</m:t>
          </m:r>
          <m:r>
            <m:rPr>
              <m:sty m:val="p"/>
            </m:rPr>
            <m:t>(</m:t>
          </m:r>
          <m:sSub>
            <m:e>
              <m:r>
                <m:t>μ</m:t>
              </m:r>
            </m:e>
            <m:sub>
              <m:r>
                <m:t>t</m:t>
              </m:r>
              <m:r>
                <m:rPr>
                  <m:sty m:val="p"/>
                </m:rPr>
                <m:t>+</m:t>
              </m:r>
              <m:r>
                <m:t>1</m:t>
              </m:r>
            </m:sub>
          </m:sSub>
          <m:r>
            <m:rPr>
              <m:sty m:val="p"/>
            </m:rPr>
            <m:t>,</m:t>
          </m:r>
          <m:sSubSup>
            <m:e>
              <m:r>
                <m:t>σ</m:t>
              </m:r>
            </m:e>
            <m:sub>
              <m:r>
                <m:t>t</m:t>
              </m:r>
              <m:r>
                <m:rPr>
                  <m:sty m:val="p"/>
                </m:rPr>
                <m:t>+</m:t>
              </m:r>
              <m:r>
                <m:t>1</m:t>
              </m:r>
            </m:sub>
            <m:sup>
              <m:r>
                <m:t>2</m:t>
              </m:r>
            </m:sup>
          </m:sSubSup>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Khi đó, VaR theo tỷ lệ ở mức tin cậy</w:t>
      </w:r>
      <w:r>
        <w:rPr>
          <w:rFonts w:ascii="Times New Roman" w:hAnsi="Times New Roman" w:eastAsia="Times New Roman"/>
          <w:sz w:val="26"/>
        </w:rPr>
        <w:t xml:space="preserve"> </w:t>
      </w:r>
      <m:oMath>
        <m:r>
          <m:t>1</m:t>
        </m:r>
        <m:r>
          <m:rPr>
            <m:sty m:val="p"/>
          </m:rPr>
          <m:t>−</m:t>
        </m:r>
        <m:r>
          <m:t>α</m:t>
        </m:r>
      </m:oMath>
      <w:r>
        <w:rPr>
          <w:rFonts w:ascii="Times New Roman" w:hAnsi="Times New Roman" w:eastAsia="Times New Roman"/>
          <w:sz w:val="26"/>
        </w:rPr>
        <w:t xml:space="preserve"> </w:t>
      </w:r>
      <w:r>
        <w:rPr>
          <w:rFonts w:ascii="Times New Roman" w:hAnsi="Times New Roman" w:eastAsia="Times New Roman"/>
          <w:sz w:val="26"/>
        </w:rPr>
        <w:t xml:space="preserve">là:</w:t>
      </w:r>
    </w:p>
    <w:p>
      <w:pPr>
        <w:pStyle w:val="BodyText"/>
      </w:pPr>
      <m:oMathPara>
        <m:oMathParaPr>
          <m:jc m:val="center"/>
        </m:oMathParaPr>
        <m:oMath>
          <m:r>
            <m:t>V</m:t>
          </m:r>
          <m:r>
            <m:t>a</m:t>
          </m:r>
          <m:sSubSup>
            <m:e>
              <m:r>
                <m:t>R</m:t>
              </m:r>
            </m:e>
            <m:sub>
              <m:r>
                <m:t>1</m:t>
              </m:r>
              <m:r>
                <m:rPr>
                  <m:sty m:val="p"/>
                </m:rPr>
                <m:t>−</m:t>
              </m:r>
              <m:r>
                <m:t>α</m:t>
              </m:r>
              <m:r>
                <m:rPr>
                  <m:sty m:val="p"/>
                </m:rPr>
                <m:t>,</m:t>
              </m:r>
              <m:r>
                <m:t>t</m:t>
              </m:r>
              <m:r>
                <m:rPr>
                  <m:sty m:val="p"/>
                </m:rPr>
                <m:t>+</m:t>
              </m:r>
              <m:r>
                <m:t>1</m:t>
              </m:r>
            </m:sub>
            <m:sup>
              <m:r>
                <m:t>N</m:t>
              </m:r>
            </m:sup>
          </m:sSubSup>
          <m:r>
            <m:rPr>
              <m:sty m:val="p"/>
            </m:rPr>
            <m:t>=</m:t>
          </m:r>
          <m:r>
            <m:rPr>
              <m:sty m:val="p"/>
            </m:rPr>
            <m:t>−</m:t>
          </m:r>
          <m:d>
            <m:dPr>
              <m:begChr m:val="("/>
              <m:sepChr m:val=""/>
              <m:endChr m:val=")"/>
              <m:grow/>
            </m:dPr>
            <m:e>
              <m:sSub>
                <m:e>
                  <m:r>
                    <m:t>μ</m:t>
                  </m:r>
                </m:e>
                <m:sub>
                  <m:r>
                    <m:t>t</m:t>
                  </m:r>
                  <m:r>
                    <m:rPr>
                      <m:sty m:val="p"/>
                    </m:rPr>
                    <m:t>+</m:t>
                  </m:r>
                  <m:r>
                    <m:t>1</m:t>
                  </m:r>
                </m:sub>
              </m:sSub>
              <m:r>
                <m:rPr>
                  <m:sty m:val="p"/>
                </m:rPr>
                <m:t>+</m:t>
              </m:r>
              <m:sSub>
                <m:e>
                  <m:r>
                    <m:t>z</m:t>
                  </m:r>
                </m:e>
                <m:sub>
                  <m:r>
                    <m:t>α</m:t>
                  </m:r>
                </m:sub>
              </m:sSub>
              <m:sSub>
                <m:e>
                  <m:r>
                    <m:t>σ</m:t>
                  </m:r>
                </m:e>
                <m:sub>
                  <m:r>
                    <m:t>t</m:t>
                  </m:r>
                  <m:r>
                    <m:rPr>
                      <m:sty m:val="p"/>
                    </m:rPr>
                    <m:t>+</m:t>
                  </m:r>
                  <m:r>
                    <m:t>1</m:t>
                  </m:r>
                </m:sub>
              </m:sSub>
            </m:e>
          </m:d>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r>
        <w:rPr>
          <w:rFonts w:ascii="Times New Roman" w:hAnsi="Times New Roman" w:eastAsia="Times New Roman"/>
          <w:sz w:val="26"/>
        </w:rPr>
        <w:t xml:space="preserve"> </w:t>
      </w:r>
      <m:oMath>
        <m:sSub>
          <m:e>
            <m:r>
              <m:t>z</m:t>
            </m:r>
          </m:e>
          <m:sub>
            <m:r>
              <m:t>α</m:t>
            </m:r>
          </m:sub>
        </m:sSub>
      </m:oMath>
      <w:r>
        <w:rPr>
          <w:rFonts w:ascii="Times New Roman" w:hAnsi="Times New Roman" w:eastAsia="Times New Roman"/>
          <w:sz w:val="26"/>
        </w:rPr>
        <w:t xml:space="preserve"> </w:t>
      </w:r>
      <w:r>
        <w:rPr>
          <w:rFonts w:ascii="Times New Roman" w:hAnsi="Times New Roman" w:eastAsia="Times New Roman"/>
          <w:sz w:val="26"/>
        </w:rPr>
        <w:t xml:space="preserve">là phân vị mức</w:t>
      </w:r>
      <w:r>
        <w:rPr>
          <w:rFonts w:ascii="Times New Roman" w:hAnsi="Times New Roman" w:eastAsia="Times New Roman"/>
          <w:sz w:val="26"/>
        </w:rPr>
        <w:t xml:space="preserve"> </w:t>
      </w:r>
      <m:oMath>
        <m:r>
          <m:t>α</m:t>
        </m:r>
      </m:oMath>
      <w:r>
        <w:rPr>
          <w:rFonts w:ascii="Times New Roman" w:hAnsi="Times New Roman" w:eastAsia="Times New Roman"/>
          <w:sz w:val="26"/>
        </w:rPr>
        <w:t xml:space="preserve"> </w:t>
      </w:r>
      <w:r>
        <w:rPr>
          <w:rFonts w:ascii="Times New Roman" w:hAnsi="Times New Roman" w:eastAsia="Times New Roman"/>
          <w:sz w:val="26"/>
        </w:rPr>
        <w:t xml:space="preserve">của phân phối chuẩn chuẩn hóa. Với</w:t>
      </w:r>
      <w:r>
        <w:rPr>
          <w:rFonts w:ascii="Times New Roman" w:hAnsi="Times New Roman" w:eastAsia="Times New Roman"/>
          <w:sz w:val="26"/>
        </w:rPr>
        <w:t xml:space="preserve"> </w:t>
      </w:r>
      <m:oMath>
        <m:r>
          <m:t>α</m:t>
        </m:r>
        <m:r>
          <m:rPr>
            <m:sty m:val="p"/>
          </m:rPr>
          <m:t>=</m:t>
        </m:r>
        <m:r>
          <m:t>0</m:t>
        </m:r>
        <m:r>
          <m:rPr>
            <m:sty m:val="p"/>
          </m:rPr>
          <m:t>,</m:t>
        </m:r>
        <m:r>
          <m:t>01</m:t>
        </m:r>
      </m:oMath>
      <w:r>
        <w:rPr>
          <w:rFonts w:ascii="Times New Roman" w:hAnsi="Times New Roman" w:eastAsia="Times New Roman"/>
          <w:sz w:val="26"/>
        </w:rPr>
        <w:t xml:space="preserve">,</w:t>
      </w:r>
      <w:r>
        <w:rPr>
          <w:rFonts w:ascii="Times New Roman" w:hAnsi="Times New Roman" w:eastAsia="Times New Roman"/>
          <w:sz w:val="26"/>
        </w:rPr>
        <w:t xml:space="preserve"> </w:t>
      </w:r>
      <m:oMath>
        <m:sSub>
          <m:e>
            <m:r>
              <m:t>z</m:t>
            </m:r>
          </m:e>
          <m:sub>
            <m:r>
              <m:t>0.01</m:t>
            </m:r>
          </m:sub>
        </m:sSub>
        <m:r>
          <m:rPr>
            <m:sty m:val="p"/>
          </m:rPr>
          <m:t>≈</m:t>
        </m:r>
        <m:r>
          <m:rPr>
            <m:sty m:val="p"/>
          </m:rPr>
          <m:t>−</m:t>
        </m:r>
        <m:r>
          <m:t>2</m:t>
        </m:r>
        <m:r>
          <m:rPr>
            <m:sty m:val="p"/>
          </m:rPr>
          <m:t>,</m:t>
        </m:r>
        <m:r>
          <m:t>33</m:t>
        </m:r>
      </m:oMath>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ES dưới giả định chuẩn được tính bởi:</w:t>
      </w:r>
    </w:p>
    <w:p>
      <w:pPr>
        <w:pStyle w:val="BodyText"/>
      </w:pPr>
      <m:oMathPara>
        <m:oMathParaPr>
          <m:jc m:val="center"/>
        </m:oMathParaPr>
        <m:oMath>
          <m:r>
            <m:t>E</m:t>
          </m:r>
          <m:sSubSup>
            <m:e>
              <m:r>
                <m:t>S</m:t>
              </m:r>
            </m:e>
            <m:sub>
              <m:r>
                <m:t>1</m:t>
              </m:r>
              <m:r>
                <m:rPr>
                  <m:sty m:val="p"/>
                </m:rPr>
                <m:t>−</m:t>
              </m:r>
              <m:r>
                <m:t>α</m:t>
              </m:r>
              <m:r>
                <m:rPr>
                  <m:sty m:val="p"/>
                </m:rPr>
                <m:t>,</m:t>
              </m:r>
              <m:r>
                <m:t>t</m:t>
              </m:r>
              <m:r>
                <m:rPr>
                  <m:sty m:val="p"/>
                </m:rPr>
                <m:t>+</m:t>
              </m:r>
              <m:r>
                <m:t>1</m:t>
              </m:r>
            </m:sub>
            <m:sup>
              <m:r>
                <m:t>N</m:t>
              </m:r>
            </m:sup>
          </m:sSubSup>
          <m:r>
            <m:rPr>
              <m:sty m:val="p"/>
            </m:rPr>
            <m:t>=</m:t>
          </m:r>
          <m:r>
            <m:rPr>
              <m:sty m:val="p"/>
            </m:rPr>
            <m:t>−</m:t>
          </m:r>
          <m:d>
            <m:dPr>
              <m:begChr m:val="("/>
              <m:sepChr m:val=""/>
              <m:endChr m:val=")"/>
              <m:grow/>
            </m:dPr>
            <m:e>
              <m:sSub>
                <m:e>
                  <m:r>
                    <m:t>μ</m:t>
                  </m:r>
                </m:e>
                <m:sub>
                  <m:r>
                    <m:t>t</m:t>
                  </m:r>
                  <m:r>
                    <m:rPr>
                      <m:sty m:val="p"/>
                    </m:rPr>
                    <m:t>+</m:t>
                  </m:r>
                  <m:r>
                    <m:t>1</m:t>
                  </m:r>
                </m:sub>
              </m:sSub>
              <m:r>
                <m:rPr>
                  <m:sty m:val="p"/>
                </m:rPr>
                <m:t>−</m:t>
              </m:r>
              <m:sSub>
                <m:e>
                  <m:r>
                    <m:t>σ</m:t>
                  </m:r>
                </m:e>
                <m:sub>
                  <m:r>
                    <m:t>t</m:t>
                  </m:r>
                  <m:r>
                    <m:rPr>
                      <m:sty m:val="p"/>
                    </m:rPr>
                    <m:t>+</m:t>
                  </m:r>
                  <m:r>
                    <m:t>1</m:t>
                  </m:r>
                </m:sub>
              </m:sSub>
              <m:f>
                <m:fPr>
                  <m:type m:val="bar"/>
                </m:fPr>
                <m:num>
                  <m:r>
                    <m:t>ϕ</m:t>
                  </m:r>
                  <m:r>
                    <m:rPr>
                      <m:sty m:val="p"/>
                    </m:rPr>
                    <m:t>(</m:t>
                  </m:r>
                  <m:sSub>
                    <m:e>
                      <m:r>
                        <m:t>z</m:t>
                      </m:r>
                    </m:e>
                    <m:sub>
                      <m:r>
                        <m:t>α</m:t>
                      </m:r>
                    </m:sub>
                  </m:sSub>
                  <m:r>
                    <m:rPr>
                      <m:sty m:val="p"/>
                    </m:rPr>
                    <m:t>)</m:t>
                  </m:r>
                </m:num>
                <m:den>
                  <m:r>
                    <m:t>α</m:t>
                  </m:r>
                </m:den>
              </m:f>
            </m:e>
          </m:d>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r>
        <w:rPr>
          <w:rFonts w:ascii="Times New Roman" w:hAnsi="Times New Roman" w:eastAsia="Times New Roman"/>
          <w:sz w:val="26"/>
        </w:rPr>
        <w:t xml:space="preserve"> </w:t>
      </w:r>
      <m:oMath>
        <m:r>
          <m:t>ϕ</m:t>
        </m:r>
        <m:r>
          <m:rPr>
            <m:sty m:val="p"/>
          </m:rPr>
          <m:t>(</m:t>
        </m:r>
        <m:r>
          <m:rPr>
            <m:sty m:val="p"/>
          </m:rPr>
          <m:t>⋅</m:t>
        </m:r>
        <m:r>
          <m:rPr>
            <m:sty m:val="p"/>
          </m:rPr>
          <m:t>)</m:t>
        </m:r>
      </m:oMath>
      <w:r>
        <w:rPr>
          <w:rFonts w:ascii="Times New Roman" w:hAnsi="Times New Roman" w:eastAsia="Times New Roman"/>
          <w:sz w:val="26"/>
        </w:rPr>
        <w:t xml:space="preserve"> </w:t>
      </w:r>
      <w:r>
        <w:rPr>
          <w:rFonts w:ascii="Times New Roman" w:hAnsi="Times New Roman" w:eastAsia="Times New Roman"/>
          <w:sz w:val="26"/>
        </w:rPr>
        <w:t xml:space="preserve">là hàm mật độ của phân phối chuẩn chuẩn hóa.</w:t>
      </w:r>
    </w:p>
    <w:p>
      <w:pPr>
        <w:pStyle w:val="BodyText"/>
        <w:spacing w:before="60" w:after="60" w:line="276" w:lineRule="auto"/>
        <w:ind w:firstLine="567"/>
        <w:jc w:val="both"/>
      </w:pPr>
      <w:r>
        <w:rPr>
          <w:rFonts w:ascii="Times New Roman" w:hAnsi="Times New Roman" w:eastAsia="Times New Roman"/>
          <w:sz w:val="26"/>
        </w:rPr>
        <w:t xml:space="preserve">Mô hình chuẩn có ưu điểm là đơn giản và dễ triển khai. Tuy nhiên, tỷ lệ sinh lời tài chính thường có đuôi dày và bất đối xứng. Khi đó, phân phối Student-t có thể phù hợp hơn vì cho phép xác suất xuất hiện cú sốc cực đoan cao hơn phân phối chuẩn. Với cùng volatility, Student-t thường tạo VaR và ES lớn hơn ở vùng đuôi xa</w:t>
      </w:r>
      <w:r>
        <w:rPr>
          <w:rFonts w:ascii="Times New Roman" w:hAnsi="Times New Roman" w:eastAsia="Times New Roman"/>
          <w:sz w:val="26"/>
        </w:rPr>
        <w:t xml:space="preserve"> </w:t>
      </w:r>
      <w:r>
        <w:rPr>
          <w:rFonts w:ascii="Times New Roman" w:hAnsi="Times New Roman" w:eastAsia="Times New Roman"/>
          <w:sz w:val="26"/>
        </w:rPr>
        <w:t xml:space="preserve">(Brooks, 2019; Tsay, 2010)</w:t>
      </w:r>
      <w:r>
        <w:rPr>
          <w:rFonts w:ascii="Times New Roman" w:hAnsi="Times New Roman" w:eastAsia="Times New Roman"/>
          <w:sz w:val="26"/>
        </w:rPr>
        <w:t xml:space="preserve">.</w:t>
      </w:r>
    </w:p>
    <w:tbl>
      <w:tblPr>
        <w:tblStyle w:val="Table"/>
        <w:tblW w:type="pct" w:w="5000"/>
        <w:tblLayout w:type="fixed"/>
        <w:tblLook w:firstRow="0" w:lastRow="0" w:firstColumn="0" w:lastColumn="0" w:noHBand="0" w:noVBand="0" w:val="0000"/>
      </w:tblPr>
      <w:tblGrid>
        <w:gridCol w:w="7920"/>
      </w:tblGrid>
      <w:tr>
        <w:tc>
          <w:tcPr>
            <w:vAlign w:val="center"/>
          </w:tcPr>
          <w:bookmarkStart w:id="20" w:name="tbl-parametric-var-es"/>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5: VaR và ES tham số dưới giả định chuẩn và Student-t</w:t>
            </w:r>
          </w:p>
          <w:tbl>
            <w:tblPr>
              <w:tblStyle w:val="Table"/>
              <w:tblW w:type="pct" w:w="5000"/>
              <w:tblLayout w:type="fixed"/>
              <w:tblLook w:firstRow="1" w:lastRow="0" w:firstColumn="0" w:lastColumn="0" w:noHBand="0" w:noVBand="0" w:val="0020"/>
            </w:tblPr>
            <w:tblGrid>
              <w:gridCol w:w="880"/>
              <w:gridCol w:w="1320"/>
              <w:gridCol w:w="1232"/>
              <w:gridCol w:w="2288"/>
              <w:gridCol w:w="2200"/>
            </w:tblGrid>
            <w:tr>
              <w:trPr>
                <w:tblHeader w:val="on"/>
              </w:trPr>
              <w:tc>
                <w:tcPr/>
                <w:p>
                  <w:pPr>
                    <w:pStyle w:val="Compact"/>
                    <w:jc w:val="left"/>
                    <w:jc w:val="center"/>
                  </w:pPr>
                  <w:r>
                    <w:t xml:space="preserve">Phân phối</w:t>
                  </w:r>
                </w:p>
              </w:tc>
              <w:tc>
                <w:tcPr/>
                <w:p>
                  <w:pPr>
                    <w:pStyle w:val="Compact"/>
                    <w:jc w:val="right"/>
                    <w:jc w:val="center"/>
                  </w:pPr>
                  <w:r>
                    <w:t xml:space="preserve">VaR 99%, tỷ lệ</w:t>
                  </w:r>
                </w:p>
              </w:tc>
              <w:tc>
                <w:tcPr/>
                <w:p>
                  <w:pPr>
                    <w:pStyle w:val="Compact"/>
                    <w:jc w:val="right"/>
                    <w:jc w:val="center"/>
                  </w:pPr>
                  <w:r>
                    <w:t xml:space="preserve">ES 99%, tỷ lệ</w:t>
                  </w:r>
                </w:p>
              </w:tc>
              <w:tc>
                <w:tcPr/>
                <w:p>
                  <w:pPr>
                    <w:pStyle w:val="Compact"/>
                    <w:jc w:val="right"/>
                    <w:jc w:val="center"/>
                  </w:pPr>
                  <w:r>
                    <w:t xml:space="preserve">VaR, danh mục 100 tỷ đồng</w:t>
                  </w:r>
                </w:p>
              </w:tc>
              <w:tc>
                <w:tcPr/>
                <w:p>
                  <w:pPr>
                    <w:pStyle w:val="Compact"/>
                    <w:jc w:val="right"/>
                    <w:jc w:val="center"/>
                  </w:pPr>
                  <w:r>
                    <w:t xml:space="preserve">ES, danh mục 100 tỷ đồng</w:t>
                  </w:r>
                </w:p>
              </w:tc>
            </w:tr>
            <w:tr>
              <w:tc>
                <w:tcPr/>
                <w:p>
                  <w:pPr>
                    <w:pStyle w:val="Compact"/>
                    <w:jc w:val="left"/>
                    <w:jc w:val="center"/>
                  </w:pPr>
                  <w:r>
                    <w:t xml:space="preserve">Chuẩn</w:t>
                  </w:r>
                </w:p>
              </w:tc>
              <w:tc>
                <w:tcPr/>
                <w:p>
                  <w:pPr>
                    <w:pStyle w:val="Compact"/>
                    <w:jc w:val="right"/>
                    <w:jc w:val="center"/>
                  </w:pPr>
                  <w:r>
                    <w:t xml:space="preserve">2,00%</w:t>
                  </w:r>
                </w:p>
              </w:tc>
              <w:tc>
                <w:tcPr/>
                <w:p>
                  <w:pPr>
                    <w:pStyle w:val="Compact"/>
                    <w:jc w:val="right"/>
                    <w:jc w:val="center"/>
                  </w:pPr>
                  <w:r>
                    <w:t xml:space="preserve">2,29%</w:t>
                  </w:r>
                </w:p>
              </w:tc>
              <w:tc>
                <w:tcPr/>
                <w:p>
                  <w:pPr>
                    <w:pStyle w:val="Compact"/>
                    <w:jc w:val="right"/>
                    <w:jc w:val="center"/>
                  </w:pPr>
                  <w:r>
                    <w:t xml:space="preserve">1.998.017.854 đồng</w:t>
                  </w:r>
                </w:p>
              </w:tc>
              <w:tc>
                <w:tcPr/>
                <w:p>
                  <w:pPr>
                    <w:pStyle w:val="Compact"/>
                    <w:jc w:val="right"/>
                    <w:jc w:val="center"/>
                  </w:pPr>
                  <w:r>
                    <w:t xml:space="preserve">2.291.885.340 đồng</w:t>
                  </w:r>
                </w:p>
              </w:tc>
            </w:tr>
            <w:tr>
              <w:tc>
                <w:tcPr/>
                <w:p>
                  <w:pPr>
                    <w:pStyle w:val="Compact"/>
                    <w:jc w:val="left"/>
                    <w:jc w:val="center"/>
                  </w:pPr>
                  <w:r>
                    <w:t xml:space="preserve">Student-t</w:t>
                  </w:r>
                </w:p>
              </w:tc>
              <w:tc>
                <w:tcPr/>
                <w:p>
                  <w:pPr>
                    <w:pStyle w:val="Compact"/>
                    <w:jc w:val="right"/>
                    <w:jc w:val="center"/>
                  </w:pPr>
                  <w:r>
                    <w:t xml:space="preserve">2,21%</w:t>
                  </w:r>
                </w:p>
              </w:tc>
              <w:tc>
                <w:tcPr/>
                <w:p>
                  <w:pPr>
                    <w:pStyle w:val="Compact"/>
                    <w:jc w:val="right"/>
                    <w:jc w:val="center"/>
                  </w:pPr>
                  <w:r>
                    <w:t xml:space="preserve">2,84%</w:t>
                  </w:r>
                </w:p>
              </w:tc>
              <w:tc>
                <w:tcPr/>
                <w:p>
                  <w:pPr>
                    <w:pStyle w:val="Compact"/>
                    <w:jc w:val="right"/>
                    <w:jc w:val="center"/>
                  </w:pPr>
                  <w:r>
                    <w:t xml:space="preserve">2.205.826.936 đồng</w:t>
                  </w:r>
                </w:p>
              </w:tc>
              <w:tc>
                <w:tcPr/>
                <w:p>
                  <w:pPr>
                    <w:pStyle w:val="Compact"/>
                    <w:jc w:val="right"/>
                    <w:jc w:val="center"/>
                  </w:pPr>
                  <w:r>
                    <w:t xml:space="preserve">2.835.911.443 đồng</w:t>
                  </w:r>
                </w:p>
              </w:tc>
            </w:tr>
          </w:tbl>
          <w:bookmarkEnd w:id="20"/>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5 cho thấy vai trò của giả định phân phối. Nếu dữ liệu có đuôi dày, VaR và ES dựa trên Student-t thường thận trọng hơn so với giả định chuẩn. Đây là lý do trong thực nghiệm tài chính, mô hình normal VaR thường nên được xem như benchmark, không nên là mô hình duy nhất.</w:t>
      </w:r>
    </w:p>
    <w:tbl>
      <w:tblPr>
        <w:tblStyle w:val="Table"/>
        <w:tblW w:type="pct" w:w="5000"/>
        <w:tblLayout w:type="fixed"/>
        <w:tblLook w:firstRow="0" w:lastRow="0" w:firstColumn="0" w:lastColumn="0" w:noHBand="0" w:noVBand="0" w:val="0000"/>
      </w:tblPr>
      <w:tblGrid>
        <w:gridCol w:w="7920"/>
      </w:tblGrid>
      <w:tr>
        <w:tc>
          <w:tcPr>
            <w:vAlign w:val="center"/>
          </w:tcPr>
          <w:bookmarkStart w:id="24" w:name="fig-normal-vs-student-var"/>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22" name="Picture"/>
                  <a:graphic>
                    <a:graphicData uri="http://schemas.openxmlformats.org/drawingml/2006/picture">
                      <pic:pic>
                        <pic:nvPicPr>
                          <pic:cNvPr descr="ch04_docx_tmp_files/figure-docx/fig-normal-vs-student-var-1.pdf" id="23" name="Picture"/>
                          <pic:cNvPicPr>
                            <a:picLocks noChangeArrowheads="1" noChangeAspect="1"/>
                          </pic:cNvPicPr>
                        </pic:nvPicPr>
                        <pic:blipFill>
                          <a:blip r:embed="rId21"/>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2: Tác động của phân phối đuôi dày đến VaR</w:t>
            </w:r>
          </w:p>
          <w:bookmarkEnd w:id="24"/>
        </w:tc>
      </w:tr>
    </w:tbl>
    <w:p>
      <w:pPr>
        <w:pStyle w:val="BodyText"/>
        <w:spacing w:before="60" w:after="60" w:line="240" w:lineRule="auto"/>
        <w:ind w:firstLine="0"/>
        <w:jc w:val="center"/>
      </w:pPr>
      <w:r>
        <w:rPr>
          <w:rFonts w:ascii="Times New Roman" w:hAnsi="Times New Roman" w:eastAsia="Times New Roman"/>
          <w:b/>
          <w:i w:val="0"/>
          <w:sz w:val="24"/>
        </w:rPr>
        <w:t>Hình 2 minh họa trực quan tác động của giả định phân phối. Khi phân phối có đuôi dày, vùng tổn thất cực đoan có xác suất lớn hơn so với phân phối chuẩn, làm ngưỡng VaR dịch sâu hơn về phía đuôi trái của tỷ lệ sinh lời.</w:t>
      </w:r>
    </w:p>
    <w:bookmarkEnd w:id="25"/>
    <w:bookmarkStart w:id="30" w:name="mô-hình-garch"/>
    <w:p>
      <w:pPr>
        <w:pStyle w:val="Heading3"/>
        <w:spacing w:before="120" w:after="120" w:line="276" w:lineRule="auto"/>
        <w:ind w:firstLine="0"/>
        <w:jc w:val="left"/>
      </w:pPr>
      <w:r>
        <w:rPr>
          <w:rFonts w:ascii="Times New Roman" w:hAnsi="Times New Roman" w:eastAsia="Times New Roman"/>
          <w:b/>
          <w:i w:val="0"/>
          <w:sz w:val="26"/>
        </w:rPr>
        <w:t xml:space="preserve">1.2.2 Mô hình GARCH</w:t>
      </w:r>
    </w:p>
    <w:p>
      <w:pPr>
        <w:pStyle w:val="FirstParagraph"/>
        <w:spacing w:before="60" w:after="60" w:line="276" w:lineRule="auto"/>
        <w:ind w:firstLine="567"/>
        <w:jc w:val="both"/>
      </w:pPr>
      <w:r>
        <w:rPr>
          <w:rFonts w:ascii="Times New Roman" w:hAnsi="Times New Roman" w:eastAsia="Times New Roman"/>
          <w:sz w:val="26"/>
        </w:rPr>
        <w:t xml:space="preserve">Mô hình tham số ở trên sử dụng một volatility cố định cho toàn bộ mẫu. Cách tiếp cận đó không phù hợp khi dữ liệu có volatility clustering. Trong quản trị rủi ro ngắn hạn, VaR phải phản ứng với điều kiện thị trường hiện tại: khi volatility tăng, VaR tăng; khi volatility giảm, VaR giảm. Do đó, mô hình volatility có điều kiện như EWMA, GARCH, GJR-GARCH hoặc EGARCH là đầu vào tự nhiên cho VaR động</w:t>
      </w:r>
      <w:r>
        <w:rPr>
          <w:rFonts w:ascii="Times New Roman" w:hAnsi="Times New Roman" w:eastAsia="Times New Roman"/>
          <w:sz w:val="26"/>
        </w:rPr>
        <w:t xml:space="preserve"> </w:t>
      </w:r>
      <w:r>
        <w:rPr>
          <w:rFonts w:ascii="Times New Roman" w:hAnsi="Times New Roman" w:eastAsia="Times New Roman"/>
          <w:sz w:val="26"/>
        </w:rPr>
        <w:t xml:space="preserve">(Brooks, 2019; Ding &amp; Meade, 2010; Tsay, 2013)</w:t>
      </w:r>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Nếu mô hình cung cấp dự báo một bước trước</w:t>
      </w:r>
      <w:r>
        <w:rPr>
          <w:rFonts w:ascii="Times New Roman" w:hAnsi="Times New Roman" w:eastAsia="Times New Roman"/>
          <w:sz w:val="26"/>
        </w:rPr>
        <w:t xml:space="preserve"> </w:t>
      </w:r>
      <m:oMath>
        <m:sSub>
          <m:e>
            <m:acc>
              <m:accPr>
                <m:chr m:val="̂"/>
              </m:accPr>
              <m:e>
                <m:r>
                  <m:t>σ</m:t>
                </m:r>
              </m:e>
            </m:acc>
          </m:e>
          <m:sub>
            <m:r>
              <m:t>t</m:t>
            </m:r>
            <m:r>
              <m:rPr>
                <m:sty m:val="p"/>
              </m:rPr>
              <m:t>+</m:t>
            </m:r>
            <m:r>
              <m:t>1</m:t>
            </m:r>
            <m:r>
              <m:rPr>
                <m:sty m:val="p"/>
              </m:rPr>
              <m:t>|</m:t>
            </m:r>
            <m:r>
              <m:t>t</m:t>
            </m:r>
          </m:sub>
        </m:sSub>
      </m:oMath>
      <w:r>
        <w:rPr>
          <w:rFonts w:ascii="Times New Roman" w:hAnsi="Times New Roman" w:eastAsia="Times New Roman"/>
          <w:sz w:val="26"/>
        </w:rPr>
        <w:t xml:space="preserve">, conditional VaR có thể viết:</w:t>
      </w:r>
    </w:p>
    <w:p>
      <w:pPr>
        <w:pStyle w:val="BodyText"/>
      </w:pPr>
      <m:oMathPara>
        <m:oMathParaPr>
          <m:jc m:val="center"/>
        </m:oMathParaPr>
        <m:oMath>
          <m:r>
            <m:t>V</m:t>
          </m:r>
          <m:r>
            <m:t>a</m:t>
          </m:r>
          <m:sSub>
            <m:e>
              <m:r>
                <m:t>R</m:t>
              </m:r>
            </m:e>
            <m:sub>
              <m:r>
                <m:t>1</m:t>
              </m:r>
              <m:r>
                <m:rPr>
                  <m:sty m:val="p"/>
                </m:rPr>
                <m:t>−</m:t>
              </m:r>
              <m:r>
                <m:t>α</m:t>
              </m:r>
              <m:r>
                <m:rPr>
                  <m:sty m:val="p"/>
                </m:rPr>
                <m:t>,</m:t>
              </m:r>
              <m:r>
                <m:t>t</m:t>
              </m:r>
              <m:r>
                <m:rPr>
                  <m:sty m:val="p"/>
                </m:rPr>
                <m:t>+</m:t>
              </m:r>
              <m:r>
                <m:t>1</m:t>
              </m:r>
            </m:sub>
          </m:sSub>
          <m:r>
            <m:rPr>
              <m:sty m:val="p"/>
            </m:rPr>
            <m:t>=</m:t>
          </m:r>
          <m:r>
            <m:rPr>
              <m:sty m:val="p"/>
            </m:rPr>
            <m:t>−</m:t>
          </m:r>
          <m:d>
            <m:dPr>
              <m:begChr m:val="("/>
              <m:sepChr m:val=""/>
              <m:endChr m:val=")"/>
              <m:grow/>
            </m:dPr>
            <m:e>
              <m:sSub>
                <m:e>
                  <m:acc>
                    <m:accPr>
                      <m:chr m:val="̂"/>
                    </m:accPr>
                    <m:e>
                      <m:r>
                        <m:t>μ</m:t>
                      </m:r>
                    </m:e>
                  </m:acc>
                </m:e>
                <m:sub>
                  <m:r>
                    <m:t>t</m:t>
                  </m:r>
                  <m:r>
                    <m:rPr>
                      <m:sty m:val="p"/>
                    </m:rPr>
                    <m:t>+</m:t>
                  </m:r>
                  <m:r>
                    <m:t>1</m:t>
                  </m:r>
                  <m:r>
                    <m:rPr>
                      <m:sty m:val="p"/>
                    </m:rPr>
                    <m:t>|</m:t>
                  </m:r>
                  <m:r>
                    <m:t>t</m:t>
                  </m:r>
                </m:sub>
              </m:sSub>
              <m:r>
                <m:rPr>
                  <m:sty m:val="p"/>
                </m:rPr>
                <m:t>+</m:t>
              </m:r>
              <m:sSub>
                <m:e>
                  <m:r>
                    <m:t>q</m:t>
                  </m:r>
                </m:e>
                <m:sub>
                  <m:r>
                    <m:t>α</m:t>
                  </m:r>
                </m:sub>
              </m:sSub>
              <m:sSub>
                <m:e>
                  <m:acc>
                    <m:accPr>
                      <m:chr m:val="̂"/>
                    </m:accPr>
                    <m:e>
                      <m:r>
                        <m:t>σ</m:t>
                      </m:r>
                    </m:e>
                  </m:acc>
                </m:e>
                <m:sub>
                  <m:r>
                    <m:t>t</m:t>
                  </m:r>
                  <m:r>
                    <m:rPr>
                      <m:sty m:val="p"/>
                    </m:rPr>
                    <m:t>+</m:t>
                  </m:r>
                  <m:r>
                    <m:t>1</m:t>
                  </m:r>
                  <m:r>
                    <m:rPr>
                      <m:sty m:val="p"/>
                    </m:rPr>
                    <m:t>|</m:t>
                  </m:r>
                  <m:r>
                    <m:t>t</m:t>
                  </m:r>
                </m:sub>
              </m:sSub>
            </m:e>
          </m:d>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r>
        <w:rPr>
          <w:rFonts w:ascii="Times New Roman" w:hAnsi="Times New Roman" w:eastAsia="Times New Roman"/>
          <w:sz w:val="26"/>
        </w:rPr>
        <w:t xml:space="preserve"> </w:t>
      </w:r>
      <m:oMath>
        <m:sSub>
          <m:e>
            <m:r>
              <m:t>q</m:t>
            </m:r>
          </m:e>
          <m:sub>
            <m:r>
              <m:t>α</m:t>
            </m:r>
          </m:sub>
        </m:sSub>
      </m:oMath>
      <w:r>
        <w:rPr>
          <w:rFonts w:ascii="Times New Roman" w:hAnsi="Times New Roman" w:eastAsia="Times New Roman"/>
          <w:sz w:val="26"/>
        </w:rPr>
        <w:t xml:space="preserve"> </w:t>
      </w:r>
      <w:r>
        <w:rPr>
          <w:rFonts w:ascii="Times New Roman" w:hAnsi="Times New Roman" w:eastAsia="Times New Roman"/>
          <w:sz w:val="26"/>
        </w:rPr>
        <w:t xml:space="preserve">là phân vị của sai số chuẩn hóa. Nếu sai số chuẩn hóa là chuẩn,</w:t>
      </w:r>
      <w:r>
        <w:rPr>
          <w:rFonts w:ascii="Times New Roman" w:hAnsi="Times New Roman" w:eastAsia="Times New Roman"/>
          <w:sz w:val="26"/>
        </w:rPr>
        <w:t xml:space="preserve"> </w:t>
      </w:r>
      <m:oMath>
        <m:sSub>
          <m:e>
            <m:r>
              <m:t>q</m:t>
            </m:r>
          </m:e>
          <m:sub>
            <m:r>
              <m:t>α</m:t>
            </m:r>
          </m:sub>
        </m:sSub>
        <m:r>
          <m:rPr>
            <m:sty m:val="p"/>
          </m:rPr>
          <m:t>=</m:t>
        </m:r>
        <m:sSub>
          <m:e>
            <m:r>
              <m:t>z</m:t>
            </m:r>
          </m:e>
          <m:sub>
            <m:r>
              <m:t>α</m:t>
            </m:r>
          </m:sub>
        </m:sSub>
      </m:oMath>
      <w:r>
        <w:rPr>
          <w:rFonts w:ascii="Times New Roman" w:hAnsi="Times New Roman" w:eastAsia="Times New Roman"/>
          <w:sz w:val="26"/>
        </w:rPr>
        <w:t xml:space="preserve">. Nếu sai số theo Student-t chuẩn hóa,</w:t>
      </w:r>
      <w:r>
        <w:rPr>
          <w:rFonts w:ascii="Times New Roman" w:hAnsi="Times New Roman" w:eastAsia="Times New Roman"/>
          <w:sz w:val="26"/>
        </w:rPr>
        <w:t xml:space="preserve"> </w:t>
      </w:r>
      <m:oMath>
        <m:sSub>
          <m:e>
            <m:r>
              <m:t>q</m:t>
            </m:r>
          </m:e>
          <m:sub>
            <m:r>
              <m:t>α</m:t>
            </m:r>
          </m:sub>
        </m:sSub>
      </m:oMath>
      <w:r>
        <w:rPr>
          <w:rFonts w:ascii="Times New Roman" w:hAnsi="Times New Roman" w:eastAsia="Times New Roman"/>
          <w:sz w:val="26"/>
        </w:rPr>
        <w:t xml:space="preserve"> </w:t>
      </w:r>
      <w:r>
        <w:rPr>
          <w:rFonts w:ascii="Times New Roman" w:hAnsi="Times New Roman" w:eastAsia="Times New Roman"/>
          <w:sz w:val="26"/>
        </w:rPr>
        <w:t xml:space="preserve">là phân vị Student-t đã chuẩn hóa.</w:t>
      </w:r>
    </w:p>
    <w:p>
      <w:pPr>
        <w:pStyle w:val="BodyText"/>
        <w:spacing w:before="60" w:after="60" w:line="276" w:lineRule="auto"/>
        <w:ind w:firstLine="567"/>
        <w:jc w:val="both"/>
      </w:pPr>
      <w:r>
        <w:rPr>
          <w:rFonts w:ascii="Times New Roman" w:hAnsi="Times New Roman" w:eastAsia="Times New Roman"/>
          <w:sz w:val="26"/>
        </w:rPr>
        <w:t xml:space="preserve">Với GARCH(1,1), phương trình volatility thường được viết:</w:t>
      </w:r>
    </w:p>
    <w:p>
      <w:pPr>
        <w:pStyle w:val="BodyText"/>
      </w:pPr>
      <m:oMathPara>
        <m:oMathParaPr>
          <m:jc m:val="center"/>
        </m:oMathParaPr>
        <m:oMath>
          <m:sSubSup>
            <m:e>
              <m:r>
                <m:t>σ</m:t>
              </m:r>
            </m:e>
            <m:sub>
              <m:r>
                <m:t>t</m:t>
              </m:r>
            </m:sub>
            <m:sup>
              <m:r>
                <m:t>2</m:t>
              </m:r>
            </m:sup>
          </m:sSubSup>
          <m:r>
            <m:rPr>
              <m:sty m:val="p"/>
            </m:rPr>
            <m:t>=</m:t>
          </m:r>
          <m:r>
            <m:t>ω</m:t>
          </m:r>
          <m:r>
            <m:rPr>
              <m:sty m:val="p"/>
            </m:rPr>
            <m:t>+</m:t>
          </m:r>
          <m:r>
            <m:t>α</m:t>
          </m:r>
          <m:sSubSup>
            <m:e>
              <m:r>
                <m:t>ε</m:t>
              </m:r>
            </m:e>
            <m:sub>
              <m:r>
                <m:t>t</m:t>
              </m:r>
              <m:r>
                <m:rPr>
                  <m:sty m:val="p"/>
                </m:rPr>
                <m:t>−</m:t>
              </m:r>
              <m:r>
                <m:t>1</m:t>
              </m:r>
            </m:sub>
            <m:sup>
              <m:r>
                <m:t>2</m:t>
              </m:r>
            </m:sup>
          </m:sSubSup>
          <m:r>
            <m:rPr>
              <m:sty m:val="p"/>
            </m:rPr>
            <m:t>+</m:t>
          </m:r>
          <m:r>
            <m:t>β</m:t>
          </m:r>
          <m:sSubSup>
            <m:e>
              <m:r>
                <m:t>σ</m:t>
              </m:r>
            </m:e>
            <m:sub>
              <m:r>
                <m:t>t</m:t>
              </m:r>
              <m:r>
                <m:rPr>
                  <m:sty m:val="p"/>
                </m:rPr>
                <m:t>−</m:t>
              </m:r>
              <m:r>
                <m:t>1</m:t>
              </m:r>
            </m:sub>
            <m:sup>
              <m:r>
                <m:t>2</m:t>
              </m:r>
            </m:sup>
          </m:sSubSup>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Với GJR-GARCH, tác động bất đối xứng của cú sốc âm được đưa vào thông qua biến chỉ báo:</w:t>
      </w:r>
    </w:p>
    <w:p>
      <w:pPr>
        <w:pStyle w:val="BodyText"/>
      </w:pPr>
      <m:oMathPara>
        <m:oMathParaPr>
          <m:jc m:val="center"/>
        </m:oMathParaPr>
        <m:oMath>
          <m:sSubSup>
            <m:e>
              <m:r>
                <m:t>σ</m:t>
              </m:r>
            </m:e>
            <m:sub>
              <m:r>
                <m:t>t</m:t>
              </m:r>
            </m:sub>
            <m:sup>
              <m:r>
                <m:t>2</m:t>
              </m:r>
            </m:sup>
          </m:sSubSup>
          <m:r>
            <m:rPr>
              <m:sty m:val="p"/>
            </m:rPr>
            <m:t>=</m:t>
          </m:r>
          <m:r>
            <m:t>ω</m:t>
          </m:r>
          <m:r>
            <m:rPr>
              <m:sty m:val="p"/>
            </m:rPr>
            <m:t>+</m:t>
          </m:r>
          <m:r>
            <m:t>α</m:t>
          </m:r>
          <m:sSubSup>
            <m:e>
              <m:r>
                <m:t>ε</m:t>
              </m:r>
            </m:e>
            <m:sub>
              <m:r>
                <m:t>t</m:t>
              </m:r>
              <m:r>
                <m:rPr>
                  <m:sty m:val="p"/>
                </m:rPr>
                <m:t>−</m:t>
              </m:r>
              <m:r>
                <m:t>1</m:t>
              </m:r>
            </m:sub>
            <m:sup>
              <m:r>
                <m:t>2</m:t>
              </m:r>
            </m:sup>
          </m:sSubSup>
          <m:r>
            <m:rPr>
              <m:sty m:val="p"/>
            </m:rPr>
            <m:t>+</m:t>
          </m:r>
          <m:r>
            <m:t>γ</m:t>
          </m:r>
          <m:r>
            <m:t>I</m:t>
          </m:r>
          <m:r>
            <m:rPr>
              <m:sty m:val="p"/>
            </m:rPr>
            <m:t>(</m:t>
          </m:r>
          <m:sSub>
            <m:e>
              <m:r>
                <m:t>ε</m:t>
              </m:r>
            </m:e>
            <m:sub>
              <m:r>
                <m:t>t</m:t>
              </m:r>
              <m:r>
                <m:rPr>
                  <m:sty m:val="p"/>
                </m:rPr>
                <m:t>−</m:t>
              </m:r>
              <m:r>
                <m:t>1</m:t>
              </m:r>
            </m:sub>
          </m:sSub>
          <m:r>
            <m:rPr>
              <m:sty m:val="p"/>
            </m:rPr>
            <m:t>&lt;</m:t>
          </m:r>
          <m:r>
            <m:t>0</m:t>
          </m:r>
          <m:r>
            <m:rPr>
              <m:sty m:val="p"/>
            </m:rPr>
            <m:t>)</m:t>
          </m:r>
          <m:sSubSup>
            <m:e>
              <m:r>
                <m:t>ε</m:t>
              </m:r>
            </m:e>
            <m:sub>
              <m:r>
                <m:t>t</m:t>
              </m:r>
              <m:r>
                <m:rPr>
                  <m:sty m:val="p"/>
                </m:rPr>
                <m:t>−</m:t>
              </m:r>
              <m:r>
                <m:t>1</m:t>
              </m:r>
            </m:sub>
            <m:sup>
              <m:r>
                <m:t>2</m:t>
              </m:r>
            </m:sup>
          </m:sSubSup>
          <m:r>
            <m:rPr>
              <m:sty m:val="p"/>
            </m:rPr>
            <m:t>+</m:t>
          </m:r>
          <m:r>
            <m:t>β</m:t>
          </m:r>
          <m:sSubSup>
            <m:e>
              <m:r>
                <m:t>σ</m:t>
              </m:r>
            </m:e>
            <m:sub>
              <m:r>
                <m:t>t</m:t>
              </m:r>
              <m:r>
                <m:rPr>
                  <m:sty m:val="p"/>
                </m:rPr>
                <m:t>−</m:t>
              </m:r>
              <m:r>
                <m:t>1</m:t>
              </m:r>
            </m:sub>
            <m:sup>
              <m:r>
                <m:t>2</m:t>
              </m:r>
            </m:sup>
          </m:sSubSup>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Nếu</w:t>
      </w:r>
      <w:r>
        <w:rPr>
          <w:rFonts w:ascii="Times New Roman" w:hAnsi="Times New Roman" w:eastAsia="Times New Roman"/>
          <w:sz w:val="26"/>
        </w:rPr>
        <w:t xml:space="preserve"> </w:t>
      </w:r>
      <m:oMath>
        <m:r>
          <m:t>γ</m:t>
        </m:r>
        <m:r>
          <m:rPr>
            <m:sty m:val="p"/>
          </m:rPr>
          <m:t>&gt;</m:t>
        </m:r>
        <m:r>
          <m:t>0</m:t>
        </m:r>
      </m:oMath>
      <w:r>
        <w:rPr>
          <w:rFonts w:ascii="Times New Roman" w:hAnsi="Times New Roman" w:eastAsia="Times New Roman"/>
          <w:sz w:val="26"/>
        </w:rPr>
        <w:t xml:space="preserve">, cú sốc âm làm volatility tăng mạnh hơn cú sốc dương có cùng độ lớn. Đây là đặc điểm thường gặp ở thị trường cổ phiếu và đặc biệt quan trọng khi ước lượng VaR cho các thị trường mới nổi.</w:t>
      </w:r>
    </w:p>
    <w:tbl>
      <w:tblPr>
        <w:tblStyle w:val="Table"/>
        <w:tblW w:type="pct" w:w="5000"/>
        <w:tblLayout w:type="fixed"/>
        <w:tblLook w:firstRow="0" w:lastRow="0" w:firstColumn="0" w:lastColumn="0" w:noHBand="0" w:noVBand="0" w:val="0000"/>
      </w:tblPr>
      <w:tblGrid>
        <w:gridCol w:w="7920"/>
      </w:tblGrid>
      <w:tr>
        <w:tc>
          <w:tcPr>
            <w:vAlign w:val="center"/>
          </w:tcPr>
          <w:bookmarkStart w:id="29" w:name="fig-dynamic-var-methods"/>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27" name="Picture"/>
                  <a:graphic>
                    <a:graphicData uri="http://schemas.openxmlformats.org/drawingml/2006/picture">
                      <pic:pic>
                        <pic:nvPicPr>
                          <pic:cNvPr descr="ch04_docx_tmp_files/figure-docx/fig-dynamic-var-methods-1.pdf" id="28" name="Picture"/>
                          <pic:cNvPicPr>
                            <a:picLocks noChangeArrowheads="1" noChangeAspect="1"/>
                          </pic:cNvPicPr>
                        </pic:nvPicPr>
                        <pic:blipFill>
                          <a:blip r:embed="rId26"/>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3: VaR động từ các phương pháp khác nhau</w:t>
            </w:r>
          </w:p>
          <w:bookmarkEnd w:id="29"/>
        </w:tc>
      </w:tr>
    </w:tbl>
    <w:p>
      <w:pPr>
        <w:pStyle w:val="BodyText"/>
        <w:spacing w:before="60" w:after="60" w:line="240" w:lineRule="auto"/>
        <w:ind w:firstLine="0"/>
        <w:jc w:val="center"/>
      </w:pPr>
      <w:r>
        <w:rPr>
          <w:rFonts w:ascii="Times New Roman" w:hAnsi="Times New Roman" w:eastAsia="Times New Roman"/>
          <w:b/>
          <w:i w:val="0"/>
          <w:sz w:val="24"/>
        </w:rPr>
        <w:t>Hình 3 cho thấy VaR động thay đổi theo điều kiện volatility. Nếu VaR phản ứng quá chậm, số lần lỗ vượt VaR có thể tăng trong giai đoạn biến động mạnh. Nếu VaR quá bảo thủ, tổ chức có thể giữ vốn rủi ro quá lớn so với nhu cầu thực tế.</w:t>
      </w:r>
    </w:p>
    <w:bookmarkEnd w:id="30"/>
    <w:bookmarkEnd w:id="31"/>
    <w:bookmarkStart w:id="40" w:name="mô-hình-bán-tham-số"/>
    <w:p>
      <w:pPr>
        <w:pStyle w:val="Heading2"/>
        <w:spacing w:before="120" w:after="120" w:line="276" w:lineRule="auto"/>
        <w:ind w:firstLine="0"/>
        <w:jc w:val="left"/>
      </w:pPr>
      <w:r>
        <w:rPr>
          <w:rFonts w:ascii="Times New Roman" w:hAnsi="Times New Roman" w:eastAsia="Times New Roman"/>
          <w:b/>
          <w:i w:val="0"/>
          <w:sz w:val="26"/>
        </w:rPr>
        <w:t>1.3 MÔ HÌNH BÁN THAM SỐ</w:t>
      </w:r>
    </w:p>
    <w:bookmarkStart w:id="33" w:name="giá-trị-phân-vị-của-phân-phối-xác-suất"/>
    <w:p>
      <w:pPr>
        <w:pStyle w:val="Heading3"/>
        <w:spacing w:before="120" w:after="120" w:line="276" w:lineRule="auto"/>
        <w:ind w:firstLine="0"/>
        <w:jc w:val="left"/>
      </w:pPr>
      <w:r>
        <w:rPr>
          <w:rFonts w:ascii="Times New Roman" w:hAnsi="Times New Roman" w:eastAsia="Times New Roman"/>
          <w:b/>
          <w:i w:val="0"/>
          <w:sz w:val="26"/>
        </w:rPr>
        <w:t xml:space="preserve">1.3.1 Giá trị phân vị của phân phối xác suất</w:t>
      </w:r>
    </w:p>
    <w:p>
      <w:pPr>
        <w:pStyle w:val="FirstParagraph"/>
        <w:spacing w:before="60" w:after="60" w:line="276" w:lineRule="auto"/>
        <w:ind w:firstLine="567"/>
        <w:jc w:val="both"/>
      </w:pPr>
      <w:r>
        <w:rPr>
          <w:rFonts w:ascii="Times New Roman" w:hAnsi="Times New Roman" w:eastAsia="Times New Roman"/>
          <w:sz w:val="26"/>
        </w:rPr>
        <w:t xml:space="preserve">VaR về bản chất là một bài toán phân vị. Vì vậy, trước khi đi vào các mô hình phức tạp, cần phân biệt ba cách hiểu về phân vị.</w:t>
      </w:r>
    </w:p>
    <w:p>
      <w:pPr>
        <w:pStyle w:val="BodyText"/>
        <w:spacing w:before="60" w:after="60" w:line="276" w:lineRule="auto"/>
        <w:ind w:firstLine="567"/>
        <w:jc w:val="both"/>
      </w:pPr>
      <w:r>
        <w:rPr>
          <w:rFonts w:ascii="Times New Roman" w:hAnsi="Times New Roman" w:eastAsia="Times New Roman"/>
          <w:sz w:val="26"/>
        </w:rPr>
        <w:t xml:space="preserve">Thứ nhất,</w:t>
      </w:r>
      <w:r>
        <w:rPr>
          <w:rFonts w:ascii="Times New Roman" w:hAnsi="Times New Roman" w:eastAsia="Times New Roman"/>
          <w:sz w:val="26"/>
        </w:rPr>
        <w:t xml:space="preserve"> </w:t>
      </w:r>
      <w:r>
        <w:rPr>
          <w:rFonts w:ascii="Times New Roman" w:hAnsi="Times New Roman" w:eastAsia="Times New Roman"/>
          <w:b/>
          <w:bCs/>
          <w:sz w:val="26"/>
        </w:rPr>
        <w:t xml:space="preserve">phân vị thực nghiệm</w:t>
      </w:r>
      <w:r>
        <w:rPr>
          <w:rFonts w:ascii="Times New Roman" w:hAnsi="Times New Roman" w:eastAsia="Times New Roman"/>
          <w:sz w:val="26"/>
        </w:rPr>
        <w:t xml:space="preserve"> </w:t>
      </w:r>
      <w:r>
        <w:rPr>
          <w:rFonts w:ascii="Times New Roman" w:hAnsi="Times New Roman" w:eastAsia="Times New Roman"/>
          <w:sz w:val="26"/>
        </w:rPr>
        <w:t xml:space="preserve">(</w:t>
      </w:r>
      <w:r>
        <w:rPr>
          <w:rFonts w:ascii="Times New Roman" w:hAnsi="Times New Roman" w:eastAsia="Times New Roman"/>
          <w:i/>
          <w:iCs/>
          <w:sz w:val="26"/>
        </w:rPr>
        <w:t xml:space="preserve">empirical quantile</w:t>
      </w:r>
      <w:r>
        <w:rPr>
          <w:rFonts w:ascii="Times New Roman" w:hAnsi="Times New Roman" w:eastAsia="Times New Roman"/>
          <w:sz w:val="26"/>
        </w:rPr>
        <w:t xml:space="preserve">) được lấy trực tiếp từ dữ liệu đã quan sát. Historical simulation sử dụng đúng logic này. Thứ hai,</w:t>
      </w:r>
      <w:r>
        <w:rPr>
          <w:rFonts w:ascii="Times New Roman" w:hAnsi="Times New Roman" w:eastAsia="Times New Roman"/>
          <w:sz w:val="26"/>
        </w:rPr>
        <w:t xml:space="preserve"> </w:t>
      </w:r>
      <w:r>
        <w:rPr>
          <w:rFonts w:ascii="Times New Roman" w:hAnsi="Times New Roman" w:eastAsia="Times New Roman"/>
          <w:b/>
          <w:bCs/>
          <w:sz w:val="26"/>
        </w:rPr>
        <w:t xml:space="preserve">phân vị dựa trên mô hình</w:t>
      </w:r>
      <w:r>
        <w:rPr>
          <w:rFonts w:ascii="Times New Roman" w:hAnsi="Times New Roman" w:eastAsia="Times New Roman"/>
          <w:sz w:val="26"/>
        </w:rPr>
        <w:t xml:space="preserve"> </w:t>
      </w:r>
      <w:r>
        <w:rPr>
          <w:rFonts w:ascii="Times New Roman" w:hAnsi="Times New Roman" w:eastAsia="Times New Roman"/>
          <w:sz w:val="26"/>
        </w:rPr>
        <w:t xml:space="preserve">(</w:t>
      </w:r>
      <w:r>
        <w:rPr>
          <w:rFonts w:ascii="Times New Roman" w:hAnsi="Times New Roman" w:eastAsia="Times New Roman"/>
          <w:i/>
          <w:iCs/>
          <w:sz w:val="26"/>
        </w:rPr>
        <w:t xml:space="preserve">model-based quantile</w:t>
      </w:r>
      <w:r>
        <w:rPr>
          <w:rFonts w:ascii="Times New Roman" w:hAnsi="Times New Roman" w:eastAsia="Times New Roman"/>
          <w:sz w:val="26"/>
        </w:rPr>
        <w:t xml:space="preserve">) được suy ra từ một phân phối tham số, chẳng hạn chuẩn hoặc Student-t. Thứ ba,</w:t>
      </w:r>
      <w:r>
        <w:rPr>
          <w:rFonts w:ascii="Times New Roman" w:hAnsi="Times New Roman" w:eastAsia="Times New Roman"/>
          <w:sz w:val="26"/>
        </w:rPr>
        <w:t xml:space="preserve"> </w:t>
      </w:r>
      <w:r>
        <w:rPr>
          <w:rFonts w:ascii="Times New Roman" w:hAnsi="Times New Roman" w:eastAsia="Times New Roman"/>
          <w:b/>
          <w:bCs/>
          <w:sz w:val="26"/>
        </w:rPr>
        <w:t xml:space="preserve">phân vị có điều kiện</w:t>
      </w:r>
      <w:r>
        <w:rPr>
          <w:rFonts w:ascii="Times New Roman" w:hAnsi="Times New Roman" w:eastAsia="Times New Roman"/>
          <w:sz w:val="26"/>
        </w:rPr>
        <w:t xml:space="preserve"> </w:t>
      </w:r>
      <w:r>
        <w:rPr>
          <w:rFonts w:ascii="Times New Roman" w:hAnsi="Times New Roman" w:eastAsia="Times New Roman"/>
          <w:sz w:val="26"/>
        </w:rPr>
        <w:t xml:space="preserve">(</w:t>
      </w:r>
      <w:r>
        <w:rPr>
          <w:rFonts w:ascii="Times New Roman" w:hAnsi="Times New Roman" w:eastAsia="Times New Roman"/>
          <w:i/>
          <w:iCs/>
          <w:sz w:val="26"/>
        </w:rPr>
        <w:t xml:space="preserve">conditional quantile</w:t>
      </w:r>
      <w:r>
        <w:rPr>
          <w:rFonts w:ascii="Times New Roman" w:hAnsi="Times New Roman" w:eastAsia="Times New Roman"/>
          <w:sz w:val="26"/>
        </w:rPr>
        <w:t xml:space="preserve">) mô tả phân vị của tỷ lệ sinh lời hoặc biến lỗ sau khi đã biết thông tin tại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Ký hiệu</w:t>
      </w:r>
      <w:r>
        <w:rPr>
          <w:rFonts w:ascii="Times New Roman" w:hAnsi="Times New Roman" w:eastAsia="Times New Roman"/>
          <w:sz w:val="26"/>
        </w:rPr>
        <w:t xml:space="preserve"> </w:t>
      </w:r>
      <m:oMath>
        <m:sSub>
          <m:e>
            <m:r>
              <m:t>Q</m:t>
            </m:r>
          </m:e>
          <m:sub>
            <m:r>
              <m:t>τ</m:t>
            </m:r>
          </m:sub>
        </m:sSub>
        <m:r>
          <m:rPr>
            <m:sty m:val="p"/>
          </m:rPr>
          <m:t>(</m:t>
        </m:r>
        <m:r>
          <m:t>Y</m:t>
        </m:r>
        <m:r>
          <m:rPr>
            <m:sty m:val="p"/>
          </m:rPr>
          <m:t>)</m:t>
        </m:r>
      </m:oMath>
      <w:r>
        <w:rPr>
          <w:rFonts w:ascii="Times New Roman" w:hAnsi="Times New Roman" w:eastAsia="Times New Roman"/>
          <w:sz w:val="26"/>
        </w:rPr>
        <w:t xml:space="preserve"> </w:t>
      </w:r>
      <w:r>
        <w:rPr>
          <w:rFonts w:ascii="Times New Roman" w:hAnsi="Times New Roman" w:eastAsia="Times New Roman"/>
          <w:sz w:val="26"/>
        </w:rPr>
        <w:t xml:space="preserve">là phân vị mức</w:t>
      </w:r>
      <w:r>
        <w:rPr>
          <w:rFonts w:ascii="Times New Roman" w:hAnsi="Times New Roman" w:eastAsia="Times New Roman"/>
          <w:sz w:val="26"/>
        </w:rPr>
        <w:t xml:space="preserve"> </w:t>
      </w:r>
      <m:oMath>
        <m:r>
          <m:t>τ</m:t>
        </m:r>
      </m:oMath>
      <w:r>
        <w:rPr>
          <w:rFonts w:ascii="Times New Roman" w:hAnsi="Times New Roman" w:eastAsia="Times New Roman"/>
          <w:sz w:val="26"/>
        </w:rPr>
        <w:t xml:space="preserve"> </w:t>
      </w:r>
      <w:r>
        <w:rPr>
          <w:rFonts w:ascii="Times New Roman" w:hAnsi="Times New Roman" w:eastAsia="Times New Roman"/>
          <w:sz w:val="26"/>
        </w:rPr>
        <w:t xml:space="preserve">của biến ngẫu nhiên</w:t>
      </w:r>
      <w:r>
        <w:rPr>
          <w:rFonts w:ascii="Times New Roman" w:hAnsi="Times New Roman" w:eastAsia="Times New Roman"/>
          <w:sz w:val="26"/>
        </w:rPr>
        <w:t xml:space="preserve"> </w:t>
      </w:r>
      <m:oMath>
        <m:r>
          <m:t>Y</m:t>
        </m:r>
      </m:oMath>
      <w:r>
        <w:rPr>
          <w:rFonts w:ascii="Times New Roman" w:hAnsi="Times New Roman" w:eastAsia="Times New Roman"/>
          <w:sz w:val="26"/>
        </w:rPr>
        <w:t xml:space="preserve">. Khi</w:t>
      </w:r>
      <w:r>
        <w:rPr>
          <w:rFonts w:ascii="Times New Roman" w:hAnsi="Times New Roman" w:eastAsia="Times New Roman"/>
          <w:sz w:val="26"/>
        </w:rPr>
        <w:t xml:space="preserve"> </w:t>
      </w:r>
      <m:oMath>
        <m:r>
          <m:t>Y</m:t>
        </m:r>
        <m:r>
          <m:rPr>
            <m:sty m:val="p"/>
          </m:rPr>
          <m:t>=</m:t>
        </m:r>
        <m:sSub>
          <m:e>
            <m:r>
              <m:t>L</m:t>
            </m:r>
          </m:e>
          <m:sub>
            <m:r>
              <m:t>t</m:t>
            </m:r>
            <m:r>
              <m:rPr>
                <m:sty m:val="p"/>
              </m:rPr>
              <m:t>+</m:t>
            </m:r>
            <m:r>
              <m:t>1</m:t>
            </m:r>
          </m:sub>
        </m:sSub>
      </m:oMath>
      <w:r>
        <w:rPr>
          <w:rFonts w:ascii="Times New Roman" w:hAnsi="Times New Roman" w:eastAsia="Times New Roman"/>
          <w:sz w:val="26"/>
        </w:rPr>
        <w:t xml:space="preserve"> </w:t>
      </w:r>
      <w:r>
        <w:rPr>
          <w:rFonts w:ascii="Times New Roman" w:hAnsi="Times New Roman" w:eastAsia="Times New Roman"/>
          <w:sz w:val="26"/>
        </w:rPr>
        <w:t xml:space="preserve">là biến lỗ, VaR ở mức tin cậy</w:t>
      </w:r>
      <w:r>
        <w:rPr>
          <w:rFonts w:ascii="Times New Roman" w:hAnsi="Times New Roman" w:eastAsia="Times New Roman"/>
          <w:sz w:val="26"/>
        </w:rPr>
        <w:t xml:space="preserve"> </w:t>
      </w:r>
      <m:oMath>
        <m:r>
          <m:t>τ</m:t>
        </m:r>
        <m:r>
          <m:rPr>
            <m:sty m:val="p"/>
          </m:rPr>
          <m:t>=</m:t>
        </m:r>
        <m:r>
          <m:t>1</m:t>
        </m:r>
        <m:r>
          <m:rPr>
            <m:sty m:val="p"/>
          </m:rPr>
          <m:t>−</m:t>
        </m:r>
        <m:r>
          <m:t>α</m:t>
        </m:r>
      </m:oMath>
      <w:r>
        <w:rPr>
          <w:rFonts w:ascii="Times New Roman" w:hAnsi="Times New Roman" w:eastAsia="Times New Roman"/>
          <w:sz w:val="26"/>
        </w:rPr>
        <w:t xml:space="preserve"> </w:t>
      </w:r>
      <w:r>
        <w:rPr>
          <w:rFonts w:ascii="Times New Roman" w:hAnsi="Times New Roman" w:eastAsia="Times New Roman"/>
          <w:sz w:val="26"/>
        </w:rPr>
        <w:t xml:space="preserve">là:</w:t>
      </w:r>
    </w:p>
    <w:p>
      <w:pPr>
        <w:pStyle w:val="BodyText"/>
      </w:pPr>
      <m:oMathPara>
        <m:oMathParaPr>
          <m:jc m:val="center"/>
        </m:oMathParaPr>
        <m:oMath>
          <m:r>
            <m:t>V</m:t>
          </m:r>
          <m:r>
            <m:t>a</m:t>
          </m:r>
          <m:sSub>
            <m:e>
              <m:r>
                <m:t>R</m:t>
              </m:r>
            </m:e>
            <m:sub>
              <m:r>
                <m:t>τ</m:t>
              </m:r>
            </m:sub>
          </m:sSub>
          <m:r>
            <m:rPr>
              <m:sty m:val="p"/>
            </m:rPr>
            <m:t>=</m:t>
          </m:r>
          <m:sSub>
            <m:e>
              <m:r>
                <m:t>Q</m:t>
              </m:r>
            </m:e>
            <m:sub>
              <m:r>
                <m:t>τ</m:t>
              </m:r>
            </m:sub>
          </m:sSub>
          <m:r>
            <m:rPr>
              <m:sty m:val="p"/>
            </m:rPr>
            <m:t>(</m:t>
          </m:r>
          <m:sSub>
            <m:e>
              <m:r>
                <m:t>L</m:t>
              </m:r>
            </m:e>
            <m:sub>
              <m:r>
                <m:t>t</m:t>
              </m:r>
              <m:r>
                <m:rPr>
                  <m:sty m:val="p"/>
                </m:rPr>
                <m:t>+</m:t>
              </m:r>
              <m:r>
                <m:t>1</m:t>
              </m:r>
            </m:sub>
          </m:sSub>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Nếu xét thông tin hiện tại</w:t>
      </w:r>
      <w:r>
        <w:rPr>
          <w:rFonts w:ascii="Times New Roman" w:hAnsi="Times New Roman" w:eastAsia="Times New Roman"/>
          <w:sz w:val="26"/>
        </w:rPr>
        <w:t xml:space="preserve"> </w:t>
      </w:r>
      <m:oMath>
        <m:sSub>
          <m:e>
            <m:r>
              <m:rPr>
                <m:scr m:val="script"/>
                <m:sty m:val="p"/>
              </m:rPr>
              <m:t>F</m:t>
            </m:r>
          </m:e>
          <m:sub>
            <m:r>
              <m:t>t</m:t>
            </m:r>
          </m:sub>
        </m:sSub>
      </m:oMath>
      <w:r>
        <w:rPr>
          <w:rFonts w:ascii="Times New Roman" w:hAnsi="Times New Roman" w:eastAsia="Times New Roman"/>
          <w:sz w:val="26"/>
        </w:rPr>
        <w:t xml:space="preserve">, VaR động là phân vị có điều kiện:</w:t>
      </w:r>
    </w:p>
    <w:p>
      <w:pPr>
        <w:pStyle w:val="BodyText"/>
      </w:pPr>
      <m:oMathPara>
        <m:oMathParaPr>
          <m:jc m:val="center"/>
        </m:oMathParaPr>
        <m:oMath>
          <m:r>
            <m:t>V</m:t>
          </m:r>
          <m:r>
            <m:t>a</m:t>
          </m:r>
          <m:sSub>
            <m:e>
              <m:r>
                <m:t>R</m:t>
              </m:r>
            </m:e>
            <m:sub>
              <m:r>
                <m:t>τ</m:t>
              </m:r>
              <m:r>
                <m:rPr>
                  <m:sty m:val="p"/>
                </m:rPr>
                <m:t>,</m:t>
              </m:r>
              <m:r>
                <m:t>t</m:t>
              </m:r>
              <m:r>
                <m:rPr>
                  <m:sty m:val="p"/>
                </m:rPr>
                <m:t>+</m:t>
              </m:r>
              <m:r>
                <m:t>1</m:t>
              </m:r>
            </m:sub>
          </m:sSub>
          <m:r>
            <m:rPr>
              <m:sty m:val="p"/>
            </m:rPr>
            <m:t>=</m:t>
          </m:r>
          <m:sSub>
            <m:e>
              <m:r>
                <m:t>Q</m:t>
              </m:r>
            </m:e>
            <m:sub>
              <m:r>
                <m:t>τ</m:t>
              </m:r>
            </m:sub>
          </m:sSub>
          <m:r>
            <m:rPr>
              <m:sty m:val="p"/>
            </m:rPr>
            <m:t>(</m:t>
          </m:r>
          <m:sSub>
            <m:e>
              <m:r>
                <m:t>L</m:t>
              </m:r>
            </m:e>
            <m:sub>
              <m:r>
                <m:t>t</m:t>
              </m:r>
              <m:r>
                <m:rPr>
                  <m:sty m:val="p"/>
                </m:rPr>
                <m:t>+</m:t>
              </m:r>
              <m:r>
                <m:t>1</m:t>
              </m:r>
            </m:sub>
          </m:sSub>
          <m:r>
            <m:rPr>
              <m:sty m:val="p"/>
            </m:rPr>
            <m:t>∣</m:t>
          </m:r>
          <m:sSub>
            <m:e>
              <m:r>
                <m:rPr>
                  <m:scr m:val="script"/>
                  <m:sty m:val="p"/>
                </m:rPr>
                <m:t>F</m:t>
              </m:r>
            </m:e>
            <m:sub>
              <m:r>
                <m:t>t</m:t>
              </m:r>
            </m:sub>
          </m:sSub>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Cách viết này cho thấy VaR không bắt buộc phải được xây dựng qua volatility. GARCH VaR là một cách gián tiếp: dự báo volatility trước, sau đó nhân với phân vị của sai số chuẩn hóa. Quantile regression là một cách trực tiếp hơn: mô hình hóa phân vị có điều kiện của lỗ hoặc tỷ lệ sinh lời</w:t>
      </w:r>
      <w:r>
        <w:rPr>
          <w:rFonts w:ascii="Times New Roman" w:hAnsi="Times New Roman" w:eastAsia="Times New Roman"/>
          <w:sz w:val="26"/>
        </w:rPr>
        <w:t xml:space="preserve"> </w:t>
      </w:r>
      <w:r>
        <w:rPr>
          <w:rFonts w:ascii="Times New Roman" w:hAnsi="Times New Roman" w:eastAsia="Times New Roman"/>
          <w:sz w:val="26"/>
        </w:rPr>
        <w:t xml:space="preserve">(Brooks, 2019; Tsay, 2013)</w:t>
      </w:r>
      <w:r>
        <w:rPr>
          <w:rFonts w:ascii="Times New Roman" w:hAnsi="Times New Roman" w:eastAsia="Times New Roman"/>
          <w:sz w:val="26"/>
        </w:rPr>
        <w:t xml:space="preserve">.</w:t>
      </w:r>
    </w:p>
    <w:tbl>
      <w:tblPr>
        <w:tblStyle w:val="Table"/>
        <w:tblW w:type="pct" w:w="5000"/>
        <w:tblLayout w:type="fixed"/>
        <w:tblLook w:firstRow="0" w:lastRow="0" w:firstColumn="0" w:lastColumn="0" w:noHBand="0" w:noVBand="0" w:val="0000"/>
      </w:tblPr>
      <w:tblGrid>
        <w:gridCol w:w="7920"/>
      </w:tblGrid>
      <w:tr>
        <w:tc>
          <w:tcPr>
            <w:vAlign w:val="center"/>
          </w:tcPr>
          <w:bookmarkStart w:id="32" w:name="tbl-quantile-approaches"/>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6: Ba cách tiếp cận phân vị trong mô hình VaR</w:t>
            </w:r>
          </w:p>
          <w:tbl>
            <w:tblPr>
              <w:tblStyle w:val="Table"/>
              <w:tblW w:type="pct" w:w="5000"/>
              <w:tblLayout w:type="fixed"/>
              <w:tblLook w:firstRow="1" w:lastRow="0" w:firstColumn="0" w:lastColumn="0" w:noHBand="0" w:noVBand="0" w:val="0020"/>
            </w:tblPr>
            <w:tblGrid>
              <w:gridCol w:w="1137"/>
              <w:gridCol w:w="2685"/>
              <w:gridCol w:w="1957"/>
              <w:gridCol w:w="2139"/>
            </w:tblGrid>
            <w:tr>
              <w:trPr>
                <w:tblHeader w:val="on"/>
              </w:trPr>
              <w:tc>
                <w:tcPr/>
                <w:p>
                  <w:pPr>
                    <w:pStyle w:val="Compact"/>
                    <w:jc w:val="left"/>
                    <w:jc w:val="center"/>
                  </w:pPr>
                  <w:r>
                    <w:t xml:space="preserve">Loại phân vị</w:t>
                  </w:r>
                </w:p>
              </w:tc>
              <w:tc>
                <w:tcPr/>
                <w:p>
                  <w:pPr>
                    <w:pStyle w:val="Compact"/>
                    <w:jc w:val="left"/>
                    <w:jc w:val="center"/>
                  </w:pPr>
                  <w:r>
                    <w:t xml:space="preserve">Cách tính</w:t>
                  </w:r>
                </w:p>
              </w:tc>
              <w:tc>
                <w:tcPr/>
                <w:p>
                  <w:pPr>
                    <w:pStyle w:val="Compact"/>
                    <w:jc w:val="left"/>
                    <w:jc w:val="center"/>
                  </w:pPr>
                  <w:r>
                    <w:t xml:space="preserve">Ví dụ VaR</w:t>
                  </w:r>
                </w:p>
              </w:tc>
              <w:tc>
                <w:tcPr/>
                <w:p>
                  <w:pPr>
                    <w:pStyle w:val="Compact"/>
                    <w:jc w:val="left"/>
                    <w:jc w:val="center"/>
                  </w:pPr>
                  <w:r>
                    <w:t xml:space="preserve">Hàm ý</w:t>
                  </w:r>
                </w:p>
              </w:tc>
            </w:tr>
            <w:tr>
              <w:tc>
                <w:tcPr/>
                <w:p>
                  <w:pPr>
                    <w:pStyle w:val="Compact"/>
                    <w:jc w:val="left"/>
                    <w:jc w:val="center"/>
                  </w:pPr>
                  <w:r>
                    <w:t xml:space="preserve">Phân vị thực nghiệm</w:t>
                  </w:r>
                </w:p>
              </w:tc>
              <w:tc>
                <w:tcPr/>
                <w:p>
                  <w:pPr>
                    <w:pStyle w:val="Compact"/>
                    <w:jc w:val="left"/>
                    <w:jc w:val="center"/>
                  </w:pPr>
                  <w:r>
                    <w:t xml:space="preserve">Sắp xếp dữ liệu lịch sử và lấy quantile</w:t>
                  </w:r>
                </w:p>
              </w:tc>
              <w:tc>
                <w:tcPr/>
                <w:p>
                  <w:pPr>
                    <w:pStyle w:val="Compact"/>
                    <w:jc w:val="left"/>
                    <w:jc w:val="center"/>
                  </w:pPr>
                  <w:r>
                    <w:t xml:space="preserve">Historical simulation VaR</w:t>
                  </w:r>
                </w:p>
              </w:tc>
              <w:tc>
                <w:tcPr/>
                <w:p>
                  <w:pPr>
                    <w:pStyle w:val="Compact"/>
                    <w:jc w:val="left"/>
                    <w:jc w:val="center"/>
                  </w:pPr>
                  <w:r>
                    <w:t xml:space="preserve">Đơn giản nhưng phụ thuộc mẫu lịch sử</w:t>
                  </w:r>
                </w:p>
              </w:tc>
            </w:tr>
            <w:tr>
              <w:tc>
                <w:tcPr/>
                <w:p>
                  <w:pPr>
                    <w:pStyle w:val="Compact"/>
                    <w:jc w:val="left"/>
                    <w:jc w:val="center"/>
                  </w:pPr>
                  <w:r>
                    <w:t xml:space="preserve">Phân vị dựa trên mô hình</w:t>
                  </w:r>
                </w:p>
              </w:tc>
              <w:tc>
                <w:tcPr/>
                <w:p>
                  <w:pPr>
                    <w:pStyle w:val="Compact"/>
                    <w:jc w:val="left"/>
                    <w:jc w:val="center"/>
                  </w:pPr>
                  <w:r>
                    <w:t xml:space="preserve">Ước lượng tham số phân phối rồi lấy quantile lý thuyết</w:t>
                  </w:r>
                </w:p>
              </w:tc>
              <w:tc>
                <w:tcPr/>
                <w:p>
                  <w:pPr>
                    <w:pStyle w:val="Compact"/>
                    <w:jc w:val="left"/>
                    <w:jc w:val="center"/>
                  </w:pPr>
                  <w:r>
                    <w:t xml:space="preserve">Normal VaR, Student-t VaR</w:t>
                  </w:r>
                </w:p>
              </w:tc>
              <w:tc>
                <w:tcPr/>
                <w:p>
                  <w:pPr>
                    <w:pStyle w:val="Compact"/>
                    <w:jc w:val="left"/>
                    <w:jc w:val="center"/>
                  </w:pPr>
                  <w:r>
                    <w:t xml:space="preserve">Rõ công thức nhưng nhạy với giả định phân phối</w:t>
                  </w:r>
                </w:p>
              </w:tc>
            </w:tr>
            <w:tr>
              <w:tc>
                <w:tcPr/>
                <w:p>
                  <w:pPr>
                    <w:pStyle w:val="Compact"/>
                    <w:jc w:val="left"/>
                    <w:jc w:val="center"/>
                  </w:pPr>
                  <w:r>
                    <w:t xml:space="preserve">Phân vị có điều kiện</w:t>
                  </w:r>
                </w:p>
              </w:tc>
              <w:tc>
                <w:tcPr/>
                <w:p>
                  <w:pPr>
                    <w:pStyle w:val="Compact"/>
                    <w:jc w:val="left"/>
                    <w:jc w:val="center"/>
                  </w:pPr>
                  <w:r>
                    <w:t xml:space="preserve">Ước lượng quantile phụ thuộc vào thông tin tại thời điểm t</w:t>
                  </w:r>
                </w:p>
              </w:tc>
              <w:tc>
                <w:tcPr/>
                <w:p>
                  <w:pPr>
                    <w:pStyle w:val="Compact"/>
                    <w:jc w:val="left"/>
                    <w:jc w:val="center"/>
                  </w:pPr>
                  <w:r>
                    <w:t xml:space="preserve">GARCH VaR, quantile regression VaR, CAViaR</w:t>
                  </w:r>
                </w:p>
              </w:tc>
              <w:tc>
                <w:tcPr/>
                <w:p>
                  <w:pPr>
                    <w:pStyle w:val="Compact"/>
                    <w:jc w:val="left"/>
                    <w:jc w:val="center"/>
                  </w:pPr>
                  <w:r>
                    <w:t xml:space="preserve">Phù hợp khi tail risk thay đổi theo thời gian</w:t>
                  </w:r>
                </w:p>
              </w:tc>
            </w:tr>
          </w:tbl>
          <w:bookmarkEnd w:id="32"/>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6 là cầu nối giữa historical simulation, parametric VaR và các mô hình bán tham số. Điểm chung của các phương pháp là đều đi tìm phân vị của phân phối lỗ; điểm khác nhau nằm ở cách xây dựng phân phối đó.</w:t>
      </w:r>
    </w:p>
    <w:bookmarkEnd w:id="33"/>
    <w:bookmarkStart w:id="39" w:name="mô-hình-hồi-quy-phân-vị"/>
    <w:p>
      <w:pPr>
        <w:pStyle w:val="Heading3"/>
        <w:spacing w:before="120" w:after="120" w:line="276" w:lineRule="auto"/>
        <w:ind w:firstLine="0"/>
        <w:jc w:val="left"/>
      </w:pPr>
      <w:r>
        <w:rPr>
          <w:rFonts w:ascii="Times New Roman" w:hAnsi="Times New Roman" w:eastAsia="Times New Roman"/>
          <w:b/>
          <w:i w:val="0"/>
          <w:sz w:val="26"/>
        </w:rPr>
        <w:t xml:space="preserve">1.3.2 Mô hình hồi quy phân vị</w:t>
      </w:r>
    </w:p>
    <w:p>
      <w:pPr>
        <w:pStyle w:val="FirstParagraph"/>
        <w:spacing w:before="60" w:after="60" w:line="276" w:lineRule="auto"/>
        <w:ind w:firstLine="567"/>
        <w:jc w:val="both"/>
      </w:pPr>
      <w:r>
        <w:rPr>
          <w:rFonts w:ascii="Times New Roman" w:hAnsi="Times New Roman" w:eastAsia="Times New Roman"/>
          <w:sz w:val="26"/>
        </w:rPr>
        <w:t xml:space="preserve">Hồi quy phân vị (</w:t>
      </w:r>
      <w:r>
        <w:rPr>
          <w:rFonts w:ascii="Times New Roman" w:hAnsi="Times New Roman" w:eastAsia="Times New Roman"/>
          <w:i/>
          <w:iCs/>
          <w:sz w:val="26"/>
        </w:rPr>
        <w:t xml:space="preserve">quantile regression</w:t>
      </w:r>
      <w:r>
        <w:rPr>
          <w:rFonts w:ascii="Times New Roman" w:hAnsi="Times New Roman" w:eastAsia="Times New Roman"/>
          <w:sz w:val="26"/>
        </w:rPr>
        <w:t xml:space="preserve">) mô hình hóa trực tiếp phân vị có điều kiện của biến phụ thuộc. Nếu biến phụ thuộc là lỗ</w:t>
      </w:r>
      <w:r>
        <w:rPr>
          <w:rFonts w:ascii="Times New Roman" w:hAnsi="Times New Roman" w:eastAsia="Times New Roman"/>
          <w:sz w:val="26"/>
        </w:rPr>
        <w:t xml:space="preserve"> </w:t>
      </w:r>
      <m:oMath>
        <m:sSub>
          <m:e>
            <m:r>
              <m:t>L</m:t>
            </m:r>
          </m:e>
          <m:sub>
            <m:r>
              <m:t>t</m:t>
            </m:r>
          </m:sub>
        </m:sSub>
      </m:oMath>
      <w:r>
        <w:rPr>
          <w:rFonts w:ascii="Times New Roman" w:hAnsi="Times New Roman" w:eastAsia="Times New Roman"/>
          <w:sz w:val="26"/>
        </w:rPr>
        <w:t xml:space="preserve">, mô hình đơn giản có thể viết:</w:t>
      </w:r>
    </w:p>
    <w:p>
      <w:pPr>
        <w:pStyle w:val="BodyText"/>
      </w:pPr>
      <m:oMathPara>
        <m:oMathParaPr>
          <m:jc m:val="center"/>
        </m:oMathParaPr>
        <m:oMath>
          <m:sSub>
            <m:e>
              <m:r>
                <m:t>Q</m:t>
              </m:r>
            </m:e>
            <m:sub>
              <m:r>
                <m:t>τ</m:t>
              </m:r>
            </m:sub>
          </m:sSub>
          <m:r>
            <m:rPr>
              <m:sty m:val="p"/>
            </m:rPr>
            <m:t>(</m:t>
          </m:r>
          <m:sSub>
            <m:e>
              <m:r>
                <m:t>L</m:t>
              </m:r>
            </m:e>
            <m:sub>
              <m:r>
                <m:t>t</m:t>
              </m:r>
            </m:sub>
          </m:sSub>
          <m:r>
            <m:rPr>
              <m:sty m:val="p"/>
            </m:rPr>
            <m:t>∣</m:t>
          </m:r>
          <m:sSub>
            <m:e>
              <m:r>
                <m:t>X</m:t>
              </m:r>
            </m:e>
            <m:sub>
              <m:r>
                <m:t>t</m:t>
              </m:r>
              <m:r>
                <m:rPr>
                  <m:sty m:val="p"/>
                </m:rPr>
                <m:t>−</m:t>
              </m:r>
              <m:r>
                <m:t>1</m:t>
              </m:r>
            </m:sub>
          </m:sSub>
          <m:r>
            <m:rPr>
              <m:sty m:val="p"/>
            </m:rPr>
            <m:t>)</m:t>
          </m:r>
          <m:r>
            <m:rPr>
              <m:sty m:val="p"/>
            </m:rPr>
            <m:t>=</m:t>
          </m:r>
          <m:sSubSup>
            <m:e>
              <m:r>
                <m:t>X</m:t>
              </m:r>
            </m:e>
            <m:sub>
              <m:r>
                <m:t>t</m:t>
              </m:r>
              <m:r>
                <m:rPr>
                  <m:sty m:val="p"/>
                </m:rPr>
                <m:t>−</m:t>
              </m:r>
              <m:r>
                <m:t>1</m:t>
              </m:r>
            </m:sub>
            <m:sup>
              <m:r>
                <m:rPr>
                  <m:sty m:val="p"/>
                </m:rPr>
                <m:t>′</m:t>
              </m:r>
            </m:sup>
          </m:sSubSup>
          <m:sSub>
            <m:e>
              <m:r>
                <m:t>β</m:t>
              </m:r>
            </m:e>
            <m:sub>
              <m:r>
                <m:t>τ</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r>
        <w:rPr>
          <w:rFonts w:ascii="Times New Roman" w:hAnsi="Times New Roman" w:eastAsia="Times New Roman"/>
          <w:sz w:val="26"/>
        </w:rPr>
        <w:t xml:space="preserve"> </w:t>
      </w:r>
      <m:oMath>
        <m:r>
          <m:t>τ</m:t>
        </m:r>
        <m:r>
          <m:rPr>
            <m:sty m:val="p"/>
          </m:rPr>
          <m:t>=</m:t>
        </m:r>
        <m:r>
          <m:t>1</m:t>
        </m:r>
        <m:r>
          <m:rPr>
            <m:sty m:val="p"/>
          </m:rPr>
          <m:t>−</m:t>
        </m:r>
        <m:r>
          <m:t>α</m:t>
        </m:r>
      </m:oMath>
      <w:r>
        <w:rPr>
          <w:rFonts w:ascii="Times New Roman" w:hAnsi="Times New Roman" w:eastAsia="Times New Roman"/>
          <w:sz w:val="26"/>
        </w:rPr>
        <w:t xml:space="preserve"> </w:t>
      </w:r>
      <w:r>
        <w:rPr>
          <w:rFonts w:ascii="Times New Roman" w:hAnsi="Times New Roman" w:eastAsia="Times New Roman"/>
          <w:sz w:val="26"/>
        </w:rPr>
        <w:t xml:space="preserve">đối với VaR trên biến lỗ. Khác với OLS mô hình hóa kỳ vọng có điều kiện, hồi quy phân vị mô hình hóa một vị trí cụ thể của phân phối có điều kiện. Vì vậy, nó phù hợp để đo tail risk khi phần đuôi của phân phối phụ thuộc vào các biến giải thích như lỗ quá khứ, volatility quá khứ hoặc biến thị trường.</w:t>
      </w:r>
    </w:p>
    <w:p>
      <w:pPr>
        <w:pStyle w:val="BodyText"/>
        <w:spacing w:before="60" w:after="60" w:line="276" w:lineRule="auto"/>
        <w:ind w:firstLine="567"/>
        <w:jc w:val="both"/>
      </w:pPr>
      <w:r>
        <w:rPr>
          <w:rFonts w:ascii="Times New Roman" w:hAnsi="Times New Roman" w:eastAsia="Times New Roman"/>
          <w:sz w:val="26"/>
        </w:rPr>
        <w:t xml:space="preserve">Về ước lượng, hồi quy phân vị tối thiểu hóa hàm mất mát bất đối xứng:</w:t>
      </w:r>
    </w:p>
    <w:p>
      <w:pPr>
        <w:pStyle w:val="BodyText"/>
      </w:pPr>
      <m:oMathPara>
        <m:oMathParaPr>
          <m:jc m:val="center"/>
        </m:oMathParaPr>
        <m:oMath>
          <m:limLow>
            <m:e>
              <m:r>
                <m:rPr>
                  <m:sty m:val="p"/>
                </m:rPr>
                <m:t>min</m:t>
              </m:r>
            </m:e>
            <m:lim>
              <m:r>
                <m:t>β</m:t>
              </m:r>
            </m:lim>
          </m:limLow>
          <m:nary>
            <m:naryPr>
              <m:chr m:val="∑"/>
              <m:limLoc m:val="undOvr"/>
              <m:subHide m:val="off"/>
              <m:supHide m:val="on"/>
            </m:naryPr>
            <m:sub>
              <m:r>
                <m:t>t</m:t>
              </m:r>
            </m:sub>
            <m:sup>
              <m:r>
                <m:t>​</m:t>
              </m:r>
            </m:sup>
            <m:e>
              <m:sSub>
                <m:e>
                  <m:r>
                    <m:t>ρ</m:t>
                  </m:r>
                </m:e>
                <m:sub>
                  <m:r>
                    <m:t>τ</m:t>
                  </m:r>
                </m:sub>
              </m:sSub>
            </m:e>
          </m:nary>
          <m:r>
            <m:rPr>
              <m:sty m:val="p"/>
            </m:rPr>
            <m:t>(</m:t>
          </m:r>
          <m:sSub>
            <m:e>
              <m:r>
                <m:t>L</m:t>
              </m:r>
            </m:e>
            <m:sub>
              <m:r>
                <m:t>t</m:t>
              </m:r>
            </m:sub>
          </m:sSub>
          <m:r>
            <m:rPr>
              <m:sty m:val="p"/>
            </m:rPr>
            <m:t>−</m:t>
          </m:r>
          <m:sSubSup>
            <m:e>
              <m:r>
                <m:t>X</m:t>
              </m:r>
            </m:e>
            <m:sub>
              <m:r>
                <m:t>t</m:t>
              </m:r>
              <m:r>
                <m:rPr>
                  <m:sty m:val="p"/>
                </m:rPr>
                <m:t>−</m:t>
              </m:r>
              <m:r>
                <m:t>1</m:t>
              </m:r>
            </m:sub>
            <m:sup>
              <m:r>
                <m:rPr>
                  <m:sty m:val="p"/>
                </m:rPr>
                <m:t>′</m:t>
              </m:r>
            </m:sup>
          </m:sSubSup>
          <m:r>
            <m:t>β</m:t>
          </m:r>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với:</w:t>
      </w:r>
    </w:p>
    <w:p>
      <w:pPr>
        <w:pStyle w:val="BodyText"/>
      </w:pPr>
      <m:oMathPara>
        <m:oMathParaPr>
          <m:jc m:val="center"/>
        </m:oMathParaPr>
        <m:oMath>
          <m:sSub>
            <m:e>
              <m:r>
                <m:t>ρ</m:t>
              </m:r>
            </m:e>
            <m:sub>
              <m:r>
                <m:t>τ</m:t>
              </m:r>
            </m:sub>
          </m:sSub>
          <m:r>
            <m:rPr>
              <m:sty m:val="p"/>
            </m:rPr>
            <m:t>(</m:t>
          </m:r>
          <m:r>
            <m:t>u</m:t>
          </m:r>
          <m:r>
            <m:rPr>
              <m:sty m:val="p"/>
            </m:rPr>
            <m:t>)</m:t>
          </m:r>
          <m:r>
            <m:rPr>
              <m:sty m:val="p"/>
            </m:rPr>
            <m:t>=</m:t>
          </m:r>
          <m:r>
            <m:t>u</m:t>
          </m:r>
          <m:d>
            <m:dPr>
              <m:begChr m:val="("/>
              <m:sepChr m:val=""/>
              <m:endChr m:val=")"/>
              <m:grow/>
            </m:dPr>
            <m:e>
              <m:r>
                <m:t>τ</m:t>
              </m:r>
              <m:r>
                <m:rPr>
                  <m:sty m:val="p"/>
                </m:rPr>
                <m:t>−</m:t>
              </m:r>
              <m:r>
                <m:t>I</m:t>
              </m:r>
              <m:r>
                <m:rPr>
                  <m:sty m:val="p"/>
                </m:rPr>
                <m:t>(</m:t>
              </m:r>
              <m:r>
                <m:t>u</m:t>
              </m:r>
              <m:r>
                <m:rPr>
                  <m:sty m:val="p"/>
                </m:rPr>
                <m:t>&lt;</m:t>
              </m:r>
              <m:r>
                <m:t>0</m:t>
              </m:r>
              <m:r>
                <m:rPr>
                  <m:sty m:val="p"/>
                </m:rPr>
                <m:t>)</m:t>
              </m:r>
            </m:e>
          </m:d>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Mô hình dưới đây minh họa một VaR bán tham số, trong đó VaR của lỗ phụ thuộc vào lỗ ngày trước và độ lớn tuyệt đối của tỷ lệ sinh lời ngày trước.</w:t>
      </w:r>
    </w:p>
    <w:tbl>
      <w:tblPr>
        <w:tblStyle w:val="Table"/>
        <w:tblW w:type="pct" w:w="5000"/>
        <w:tblLayout w:type="fixed"/>
        <w:tblLook w:firstRow="0" w:lastRow="0" w:firstColumn="0" w:lastColumn="0" w:noHBand="0" w:noVBand="0" w:val="0000"/>
      </w:tblPr>
      <w:tblGrid>
        <w:gridCol w:w="7920"/>
      </w:tblGrid>
      <w:tr>
        <w:tc>
          <w:tcPr>
            <w:vAlign w:val="center"/>
          </w:tcPr>
          <w:bookmarkStart w:id="34" w:name="tbl-quantile-regression-coef"/>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7: Minh họa hệ số mô hình VaR bán tham số bằng hồi quy phân vị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Biến</w:t>
                  </w:r>
                </w:p>
              </w:tc>
              <w:tc>
                <w:tcPr/>
                <w:p>
                  <w:pPr>
                    <w:pStyle w:val="Compact"/>
                    <w:jc w:val="right"/>
                    <w:jc w:val="center"/>
                  </w:pPr>
                  <w:r>
                    <w:t xml:space="preserve">Hệ số phân vị 99%</w:t>
                  </w:r>
                </w:p>
              </w:tc>
            </w:tr>
            <w:tr>
              <w:tc>
                <w:tcPr/>
                <w:p>
                  <w:pPr>
                    <w:pStyle w:val="Compact"/>
                    <w:jc w:val="left"/>
                    <w:jc w:val="center"/>
                  </w:pPr>
                  <w:r>
                    <w:t xml:space="preserve">Hằng số</w:t>
                  </w:r>
                </w:p>
              </w:tc>
              <w:tc>
                <w:tcPr/>
                <w:p>
                  <w:pPr>
                    <w:pStyle w:val="Compact"/>
                    <w:jc w:val="right"/>
                    <w:jc w:val="center"/>
                  </w:pPr>
                  <w:r>
                    <w:t xml:space="preserve">0,01299</w:t>
                  </w:r>
                </w:p>
              </w:tc>
            </w:tr>
            <w:tr>
              <w:tc>
                <w:tcPr/>
                <w:p>
                  <w:pPr>
                    <w:pStyle w:val="Compact"/>
                    <w:jc w:val="left"/>
                    <w:jc w:val="center"/>
                  </w:pPr>
                  <w:r>
                    <w:t xml:space="preserve">Lỗ kỳ trước</w:t>
                  </w:r>
                </w:p>
              </w:tc>
              <w:tc>
                <w:tcPr/>
                <w:p>
                  <w:pPr>
                    <w:pStyle w:val="Compact"/>
                    <w:jc w:val="right"/>
                    <w:jc w:val="center"/>
                  </w:pPr>
                  <w:r>
                    <w:t xml:space="preserve">-0,14977</w:t>
                  </w:r>
                </w:p>
              </w:tc>
            </w:tr>
            <w:tr>
              <w:tc>
                <w:tcPr/>
                <w:p>
                  <w:pPr>
                    <w:pStyle w:val="Compact"/>
                    <w:jc w:val="left"/>
                    <w:jc w:val="center"/>
                  </w:pPr>
                  <w:r>
                    <w:t xml:space="preserve">|Tỷ lệ sinh lời kỳ trước|</w:t>
                  </w:r>
                </w:p>
              </w:tc>
              <w:tc>
                <w:tcPr/>
                <w:p>
                  <w:pPr>
                    <w:pStyle w:val="Compact"/>
                    <w:jc w:val="right"/>
                    <w:jc w:val="center"/>
                  </w:pPr>
                  <w:r>
                    <w:t xml:space="preserve">0,49595</w:t>
                  </w:r>
                </w:p>
              </w:tc>
            </w:tr>
          </w:tbl>
          <w:bookmarkEnd w:id="34"/>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7 không nhằm diễn giải một thị trường cụ thể. Mục đích là cho thấy VaR có thể được mô hình hóa trực tiếp như một phân vị có điều kiện. Trong Chương 5, cách tiếp cận này có thể được dùng như một mô hình đối chiếu với historical simulation và GARCH-type VaR.</w:t>
      </w:r>
    </w:p>
    <w:tbl>
      <w:tblPr>
        <w:tblStyle w:val="Table"/>
        <w:tblW w:type="pct" w:w="5000"/>
        <w:tblLayout w:type="fixed"/>
        <w:tblLook w:firstRow="0" w:lastRow="0" w:firstColumn="0" w:lastColumn="0" w:noHBand="0" w:noVBand="0" w:val="0000"/>
      </w:tblPr>
      <w:tblGrid>
        <w:gridCol w:w="7920"/>
      </w:tblGrid>
      <w:tr>
        <w:tc>
          <w:tcPr>
            <w:vAlign w:val="center"/>
          </w:tcPr>
          <w:bookmarkStart w:id="38" w:name="fig-quantile-regression-var"/>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36" name="Picture"/>
                  <a:graphic>
                    <a:graphicData uri="http://schemas.openxmlformats.org/drawingml/2006/picture">
                      <pic:pic>
                        <pic:nvPicPr>
                          <pic:cNvPr descr="ch04_docx_tmp_files/figure-docx/fig-quantile-regression-var-1.pdf" id="37" name="Picture"/>
                          <pic:cNvPicPr>
                            <a:picLocks noChangeArrowheads="1" noChangeAspect="1"/>
                          </pic:cNvPicPr>
                        </pic:nvPicPr>
                        <pic:blipFill>
                          <a:blip r:embed="rId35"/>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4: VaR bán tham số từ hồi quy phân vị</w:t>
            </w:r>
          </w:p>
          <w:bookmarkEnd w:id="38"/>
        </w:tc>
      </w:tr>
    </w:tbl>
    <w:p>
      <w:pPr>
        <w:pStyle w:val="BodyText"/>
        <w:spacing w:before="60" w:after="60" w:line="240" w:lineRule="auto"/>
        <w:ind w:firstLine="0"/>
        <w:jc w:val="center"/>
      </w:pPr>
      <w:r>
        <w:rPr>
          <w:rFonts w:ascii="Times New Roman" w:hAnsi="Times New Roman" w:eastAsia="Times New Roman"/>
          <w:b/>
          <w:i w:val="0"/>
          <w:sz w:val="24"/>
        </w:rPr>
        <w:t>Hình 4 minh họa cách VaR từ hồi quy phân vị thay đổi theo thông tin quá khứ. Ưu điểm của cách tiếp cận này là ít phụ thuộc hơn vào giả định phân phối chuẩn. Hạn chế là kết quả phụ thuộc vào lựa chọn biến giải thích, dạng hàm và độ ổn định của quan hệ giữa các biến giải thích với tail risk.</w:t>
      </w:r>
    </w:p>
    <w:bookmarkEnd w:id="39"/>
    <w:bookmarkEnd w:id="40"/>
    <w:bookmarkStart w:id="50" w:name="kiểm-định-ước-lượng-giá-trị-chịu-rủi-ro"/>
    <w:p>
      <w:pPr>
        <w:pStyle w:val="Heading2"/>
        <w:spacing w:before="120" w:after="120" w:line="276" w:lineRule="auto"/>
        <w:ind w:firstLine="0"/>
        <w:jc w:val="left"/>
      </w:pPr>
      <w:r>
        <w:rPr>
          <w:rFonts w:ascii="Times New Roman" w:hAnsi="Times New Roman" w:eastAsia="Times New Roman"/>
          <w:b/>
          <w:i w:val="0"/>
          <w:sz w:val="26"/>
        </w:rPr>
        <w:t>1.4 KIỂM ĐỊNH ƯỚC LƯỢNG GIÁ TRỊ CHỊU RỦI RO</w:t>
      </w:r>
    </w:p>
    <w:bookmarkStart w:id="41" w:name="phương-pháp-kiểm-định-ước-lượng-var"/>
    <w:p>
      <w:pPr>
        <w:pStyle w:val="Heading3"/>
        <w:spacing w:before="120" w:after="120" w:line="276" w:lineRule="auto"/>
        <w:ind w:firstLine="0"/>
        <w:jc w:val="left"/>
      </w:pPr>
      <w:r>
        <w:rPr>
          <w:rFonts w:ascii="Times New Roman" w:hAnsi="Times New Roman" w:eastAsia="Times New Roman"/>
          <w:b/>
          <w:i w:val="0"/>
          <w:sz w:val="26"/>
        </w:rPr>
        <w:t xml:space="preserve">1.4.1 Phương pháp kiểm định ước lượng VaR</w:t>
      </w:r>
    </w:p>
    <w:p>
      <w:pPr>
        <w:pStyle w:val="FirstParagraph"/>
        <w:spacing w:before="60" w:after="60" w:line="276" w:lineRule="auto"/>
        <w:ind w:firstLine="567"/>
        <w:jc w:val="both"/>
      </w:pPr>
      <w:r>
        <w:rPr>
          <w:rFonts w:ascii="Times New Roman" w:hAnsi="Times New Roman" w:eastAsia="Times New Roman"/>
          <w:sz w:val="26"/>
        </w:rPr>
        <w:t xml:space="preserve">Một mô hình VaR chỉ hữu ích nếu được kiểm định ngược (</w:t>
      </w:r>
      <w:r>
        <w:rPr>
          <w:rFonts w:ascii="Times New Roman" w:hAnsi="Times New Roman" w:eastAsia="Times New Roman"/>
          <w:i/>
          <w:iCs/>
          <w:sz w:val="26"/>
        </w:rPr>
        <w:t xml:space="preserve">backtesting</w:t>
      </w:r>
      <w:r>
        <w:rPr>
          <w:rFonts w:ascii="Times New Roman" w:hAnsi="Times New Roman" w:eastAsia="Times New Roman"/>
          <w:sz w:val="26"/>
        </w:rPr>
        <w:t xml:space="preserve">). Với VaR ở mức tin cậy</w:t>
      </w:r>
      <w:r>
        <w:rPr>
          <w:rFonts w:ascii="Times New Roman" w:hAnsi="Times New Roman" w:eastAsia="Times New Roman"/>
          <w:sz w:val="26"/>
        </w:rPr>
        <w:t xml:space="preserve"> </w:t>
      </w:r>
      <m:oMath>
        <m:r>
          <m:t>1</m:t>
        </m:r>
        <m:r>
          <m:rPr>
            <m:sty m:val="p"/>
          </m:rPr>
          <m:t>−</m:t>
        </m:r>
        <m:r>
          <m:t>α</m:t>
        </m:r>
      </m:oMath>
      <w:r>
        <w:rPr>
          <w:rFonts w:ascii="Times New Roman" w:hAnsi="Times New Roman" w:eastAsia="Times New Roman"/>
          <w:sz w:val="26"/>
        </w:rPr>
        <w:t xml:space="preserve">, biến vi phạm VaR được định nghĩa:</w:t>
      </w:r>
    </w:p>
    <w:p>
      <w:pPr>
        <w:pStyle w:val="BodyText"/>
      </w:pPr>
      <m:oMathPara>
        <m:oMathParaPr>
          <m:jc m:val="center"/>
        </m:oMathParaPr>
        <m:oMath>
          <m:sSub>
            <m:e>
              <m:r>
                <m:t>I</m:t>
              </m:r>
            </m:e>
            <m:sub>
              <m:r>
                <m:t>t</m:t>
              </m:r>
            </m:sub>
          </m:sSub>
          <m:r>
            <m:rPr>
              <m:sty m:val="p"/>
            </m:rPr>
            <m:t>=</m:t>
          </m:r>
          <m:r>
            <m:t>I</m:t>
          </m:r>
          <m:r>
            <m:rPr>
              <m:sty m:val="p"/>
            </m:rPr>
            <m:t>(</m:t>
          </m:r>
          <m:sSub>
            <m:e>
              <m:r>
                <m:t>L</m:t>
              </m:r>
            </m:e>
            <m:sub>
              <m:r>
                <m:t>t</m:t>
              </m:r>
            </m:sub>
          </m:sSub>
          <m:r>
            <m:rPr>
              <m:sty m:val="p"/>
            </m:rPr>
            <m:t>&gt;</m:t>
          </m:r>
          <m:r>
            <m:t>V</m:t>
          </m:r>
          <m:r>
            <m:t>a</m:t>
          </m:r>
          <m:sSub>
            <m:e>
              <m:r>
                <m:t>R</m:t>
              </m:r>
            </m:e>
            <m:sub>
              <m:r>
                <m:t>t</m:t>
              </m:r>
            </m:sub>
          </m:sSub>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Nếu mô hình đúng,</w:t>
      </w:r>
      <w:r>
        <w:rPr>
          <w:rFonts w:ascii="Times New Roman" w:hAnsi="Times New Roman" w:eastAsia="Times New Roman"/>
          <w:sz w:val="26"/>
        </w:rPr>
        <w:t xml:space="preserve"> </w:t>
      </w:r>
      <m:oMath>
        <m:sSub>
          <m:e>
            <m:r>
              <m:t>I</m:t>
            </m:r>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có xác suất nhận giá trị 1 bằng</w:t>
      </w:r>
      <w:r>
        <w:rPr>
          <w:rFonts w:ascii="Times New Roman" w:hAnsi="Times New Roman" w:eastAsia="Times New Roman"/>
          <w:sz w:val="26"/>
        </w:rPr>
        <w:t xml:space="preserve"> </w:t>
      </w:r>
      <m:oMath>
        <m:r>
          <m:t>α</m:t>
        </m:r>
      </m:oMath>
      <w:r>
        <w:rPr>
          <w:rFonts w:ascii="Times New Roman" w:hAnsi="Times New Roman" w:eastAsia="Times New Roman"/>
          <w:sz w:val="26"/>
        </w:rPr>
        <w:t xml:space="preserve">. Với VaR 99%, xác suất vi phạm kỳ vọng là 1%. Backtesting không chỉ xem tổng số vi phạm có phù hợp hay không, mà còn xem các vi phạm có độc lập theo thời gian hay không. Nếu các vi phạm tập trung thành cụm, mô hình có thể đang phản ứng chậm với thay đổi volatility</w:t>
      </w:r>
      <w:r>
        <w:rPr>
          <w:rFonts w:ascii="Times New Roman" w:hAnsi="Times New Roman" w:eastAsia="Times New Roman"/>
          <w:sz w:val="26"/>
        </w:rPr>
        <w:t xml:space="preserve"> </w:t>
      </w:r>
      <w:r>
        <w:rPr>
          <w:rFonts w:ascii="Times New Roman" w:hAnsi="Times New Roman" w:eastAsia="Times New Roman"/>
          <w:sz w:val="26"/>
        </w:rPr>
        <w:t xml:space="preserve">(Choudhry, 2013; Christoffersen, 1998; Kupiec, 1995)</w:t>
      </w:r>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Ba tiêu chí cơ bản thường được xem xét là:</w:t>
      </w:r>
    </w:p>
    <w:p>
      <w:pPr>
        <w:pStyle w:val="Compact"/>
        <w:numPr>
          <w:ilvl w:val="0"/>
          <w:numId w:val="1001"/>
        </w:numPr>
        <w:spacing w:before="60" w:after="60" w:line="276" w:lineRule="auto"/>
        <w:ind w:firstLine="567"/>
        <w:jc w:val="both"/>
      </w:pPr>
      <w:r>
        <w:rPr>
          <w:rFonts w:ascii="Times New Roman" w:hAnsi="Times New Roman" w:eastAsia="Times New Roman"/>
          <w:b/>
          <w:bCs/>
          <w:sz w:val="26"/>
        </w:rPr>
        <w:t xml:space="preserve">Unconditional coverage:</w:t>
      </w:r>
      <w:r>
        <w:rPr>
          <w:rFonts w:ascii="Times New Roman" w:hAnsi="Times New Roman" w:eastAsia="Times New Roman"/>
          <w:sz w:val="26"/>
        </w:rPr>
        <w:t xml:space="preserve"> </w:t>
      </w:r>
      <w:r>
        <w:rPr>
          <w:rFonts w:ascii="Times New Roman" w:hAnsi="Times New Roman" w:eastAsia="Times New Roman"/>
          <w:sz w:val="26"/>
        </w:rPr>
        <w:t xml:space="preserve">tỷ lệ vi phạm thực tế có xấp xỉ</w:t>
      </w:r>
      <w:r>
        <w:rPr>
          <w:rFonts w:ascii="Times New Roman" w:hAnsi="Times New Roman" w:eastAsia="Times New Roman"/>
          <w:sz w:val="26"/>
        </w:rPr>
        <w:t xml:space="preserve"> </w:t>
      </w:r>
      <m:oMath>
        <m:r>
          <m:t>α</m:t>
        </m:r>
      </m:oMath>
      <w:r>
        <w:rPr>
          <w:rFonts w:ascii="Times New Roman" w:hAnsi="Times New Roman" w:eastAsia="Times New Roman"/>
          <w:sz w:val="26"/>
        </w:rPr>
        <w:t xml:space="preserve"> </w:t>
      </w:r>
      <w:r>
        <w:rPr>
          <w:rFonts w:ascii="Times New Roman" w:hAnsi="Times New Roman" w:eastAsia="Times New Roman"/>
          <w:sz w:val="26"/>
        </w:rPr>
        <w:t xml:space="preserve">hay không.</w:t>
      </w:r>
    </w:p>
    <w:p>
      <w:pPr>
        <w:pStyle w:val="Compact"/>
        <w:numPr>
          <w:ilvl w:val="0"/>
          <w:numId w:val="1001"/>
        </w:numPr>
        <w:spacing w:before="60" w:after="60" w:line="276" w:lineRule="auto"/>
        <w:ind w:firstLine="567"/>
        <w:jc w:val="both"/>
      </w:pPr>
      <w:r>
        <w:rPr>
          <w:rFonts w:ascii="Times New Roman" w:hAnsi="Times New Roman" w:eastAsia="Times New Roman"/>
          <w:b/>
          <w:bCs/>
          <w:sz w:val="26"/>
        </w:rPr>
        <w:t xml:space="preserve">Independence:</w:t>
      </w:r>
      <w:r>
        <w:rPr>
          <w:rFonts w:ascii="Times New Roman" w:hAnsi="Times New Roman" w:eastAsia="Times New Roman"/>
          <w:sz w:val="26"/>
        </w:rPr>
        <w:t xml:space="preserve"> </w:t>
      </w:r>
      <w:r>
        <w:rPr>
          <w:rFonts w:ascii="Times New Roman" w:hAnsi="Times New Roman" w:eastAsia="Times New Roman"/>
          <w:sz w:val="26"/>
        </w:rPr>
        <w:t xml:space="preserve">các vi phạm có độc lập theo thời gian hay không.</w:t>
      </w:r>
    </w:p>
    <w:p>
      <w:pPr>
        <w:pStyle w:val="Compact"/>
        <w:numPr>
          <w:ilvl w:val="0"/>
          <w:numId w:val="1001"/>
        </w:numPr>
        <w:spacing w:before="60" w:after="60" w:line="276" w:lineRule="auto"/>
        <w:ind w:firstLine="567"/>
        <w:jc w:val="both"/>
      </w:pPr>
      <w:r>
        <w:rPr>
          <w:rFonts w:ascii="Times New Roman" w:hAnsi="Times New Roman" w:eastAsia="Times New Roman"/>
          <w:b/>
          <w:bCs/>
          <w:sz w:val="26"/>
        </w:rPr>
        <w:t xml:space="preserve">Conditional coverage:</w:t>
      </w:r>
      <w:r>
        <w:rPr>
          <w:rFonts w:ascii="Times New Roman" w:hAnsi="Times New Roman" w:eastAsia="Times New Roman"/>
          <w:sz w:val="26"/>
        </w:rPr>
        <w:t xml:space="preserve"> </w:t>
      </w:r>
      <w:r>
        <w:rPr>
          <w:rFonts w:ascii="Times New Roman" w:hAnsi="Times New Roman" w:eastAsia="Times New Roman"/>
          <w:sz w:val="26"/>
        </w:rPr>
        <w:t xml:space="preserve">mô hình có đồng thời thỏa mãn tỷ lệ vi phạm đúng và tính độc lập của vi phạm hay không.</w:t>
      </w:r>
    </w:p>
    <w:p>
      <w:pPr>
        <w:pStyle w:val="FirstParagraph"/>
        <w:spacing w:before="60" w:after="60" w:line="276" w:lineRule="auto"/>
        <w:ind w:firstLine="567"/>
        <w:jc w:val="both"/>
      </w:pPr>
      <w:r>
        <w:rPr>
          <w:rFonts w:ascii="Times New Roman" w:hAnsi="Times New Roman" w:eastAsia="Times New Roman"/>
          <w:sz w:val="26"/>
        </w:rPr>
        <w:t xml:space="preserve">Ngoài ba tiêu chí này, các nghiên cứu gần đây thường bổ sung hàm mất mát phân vị, kiểm định dynamic quantile và các scoring rules cho cặp VaR–ES</w:t>
      </w:r>
      <w:r>
        <w:rPr>
          <w:rFonts w:ascii="Times New Roman" w:hAnsi="Times New Roman" w:eastAsia="Times New Roman"/>
          <w:sz w:val="26"/>
        </w:rPr>
        <w:t xml:space="preserve"> </w:t>
      </w:r>
      <w:r>
        <w:rPr>
          <w:rFonts w:ascii="Times New Roman" w:hAnsi="Times New Roman" w:eastAsia="Times New Roman"/>
          <w:sz w:val="26"/>
        </w:rPr>
        <w:t xml:space="preserve">(Alexander &amp; Dakos, 2023; Engle &amp; Manganelli, 2004; Fissler &amp; Ziegel, 2016)</w:t>
      </w:r>
      <w:r>
        <w:rPr>
          <w:rFonts w:ascii="Times New Roman" w:hAnsi="Times New Roman" w:eastAsia="Times New Roman"/>
          <w:sz w:val="26"/>
        </w:rPr>
        <w:t xml:space="preserve">.</w:t>
      </w:r>
    </w:p>
    <w:bookmarkEnd w:id="41"/>
    <w:bookmarkStart w:id="42" w:name="kiểm-định-tính-phủ-không-điều-kiện"/>
    <w:p>
      <w:pPr>
        <w:pStyle w:val="Heading3"/>
        <w:spacing w:before="120" w:after="120" w:line="276" w:lineRule="auto"/>
        <w:ind w:firstLine="0"/>
        <w:jc w:val="left"/>
      </w:pPr>
      <w:r>
        <w:rPr>
          <w:rFonts w:ascii="Times New Roman" w:hAnsi="Times New Roman" w:eastAsia="Times New Roman"/>
          <w:b/>
          <w:i w:val="0"/>
          <w:sz w:val="26"/>
        </w:rPr>
        <w:t xml:space="preserve">1.4.2 Kiểm định tính phủ không điều kiện</w:t>
      </w:r>
    </w:p>
    <w:p>
      <w:pPr>
        <w:pStyle w:val="FirstParagraph"/>
        <w:spacing w:before="60" w:after="60" w:line="276" w:lineRule="auto"/>
        <w:ind w:firstLine="567"/>
        <w:jc w:val="both"/>
      </w:pPr>
      <w:r>
        <w:rPr>
          <w:rFonts w:ascii="Times New Roman" w:hAnsi="Times New Roman" w:eastAsia="Times New Roman"/>
          <w:sz w:val="26"/>
        </w:rPr>
        <w:t xml:space="preserve">Kiểm định Kupiec đánh giá giả thuyết:</w:t>
      </w:r>
    </w:p>
    <w:p>
      <w:pPr>
        <w:pStyle w:val="BodyText"/>
      </w:pPr>
      <m:oMathPara>
        <m:oMathParaPr>
          <m:jc m:val="center"/>
        </m:oMathParaPr>
        <m:oMath>
          <m:sSub>
            <m:e>
              <m:r>
                <m:t>H</m:t>
              </m:r>
            </m:e>
            <m:sub>
              <m:r>
                <m:t>0</m:t>
              </m:r>
            </m:sub>
          </m:sSub>
          <m:r>
            <m:rPr>
              <m:sty m:val="p"/>
            </m:rPr>
            <m:t>:</m:t>
          </m:r>
          <m:r>
            <m:t>p</m:t>
          </m:r>
          <m:r>
            <m:rPr>
              <m:sty m:val="p"/>
            </m:rPr>
            <m:t>=</m:t>
          </m:r>
          <m:r>
            <m:t>α</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r>
        <w:rPr>
          <w:rFonts w:ascii="Times New Roman" w:hAnsi="Times New Roman" w:eastAsia="Times New Roman"/>
          <w:sz w:val="26"/>
        </w:rPr>
        <w:t xml:space="preserve"> </w:t>
      </w:r>
      <m:oMath>
        <m:r>
          <m:t>p</m:t>
        </m:r>
      </m:oMath>
      <w:r>
        <w:rPr>
          <w:rFonts w:ascii="Times New Roman" w:hAnsi="Times New Roman" w:eastAsia="Times New Roman"/>
          <w:sz w:val="26"/>
        </w:rPr>
        <w:t xml:space="preserve"> </w:t>
      </w:r>
      <w:r>
        <w:rPr>
          <w:rFonts w:ascii="Times New Roman" w:hAnsi="Times New Roman" w:eastAsia="Times New Roman"/>
          <w:sz w:val="26"/>
        </w:rPr>
        <w:t xml:space="preserve">là xác suất vi phạm thực tế của mô hình. Nếu</w:t>
      </w:r>
      <w:r>
        <w:rPr>
          <w:rFonts w:ascii="Times New Roman" w:hAnsi="Times New Roman" w:eastAsia="Times New Roman"/>
          <w:sz w:val="26"/>
        </w:rPr>
        <w:t xml:space="preserve"> </w:t>
      </w:r>
      <m:oMath>
        <m:r>
          <m:t>x</m:t>
        </m:r>
      </m:oMath>
      <w:r>
        <w:rPr>
          <w:rFonts w:ascii="Times New Roman" w:hAnsi="Times New Roman" w:eastAsia="Times New Roman"/>
          <w:sz w:val="26"/>
        </w:rPr>
        <w:t xml:space="preserve"> </w:t>
      </w:r>
      <w:r>
        <w:rPr>
          <w:rFonts w:ascii="Times New Roman" w:hAnsi="Times New Roman" w:eastAsia="Times New Roman"/>
          <w:sz w:val="26"/>
        </w:rPr>
        <w:t xml:space="preserve">là số lần vi phạm trên tổng số</w:t>
      </w:r>
      <w:r>
        <w:rPr>
          <w:rFonts w:ascii="Times New Roman" w:hAnsi="Times New Roman" w:eastAsia="Times New Roman"/>
          <w:sz w:val="26"/>
        </w:rPr>
        <w:t xml:space="preserve"> </w:t>
      </w:r>
      <m:oMath>
        <m:r>
          <m:t>n</m:t>
        </m:r>
      </m:oMath>
      <w:r>
        <w:rPr>
          <w:rFonts w:ascii="Times New Roman" w:hAnsi="Times New Roman" w:eastAsia="Times New Roman"/>
          <w:sz w:val="26"/>
        </w:rPr>
        <w:t xml:space="preserve"> </w:t>
      </w:r>
      <w:r>
        <w:rPr>
          <w:rFonts w:ascii="Times New Roman" w:hAnsi="Times New Roman" w:eastAsia="Times New Roman"/>
          <w:sz w:val="26"/>
        </w:rPr>
        <w:t xml:space="preserve">quan sát backtesting, tỷ lệ vi phạm mẫu là</w:t>
      </w:r>
      <w:r>
        <w:rPr>
          <w:rFonts w:ascii="Times New Roman" w:hAnsi="Times New Roman" w:eastAsia="Times New Roman"/>
          <w:sz w:val="26"/>
        </w:rPr>
        <w:t xml:space="preserve"> </w:t>
      </w:r>
      <m:oMath>
        <m:acc>
          <m:accPr>
            <m:chr m:val="̂"/>
          </m:accPr>
          <m:e>
            <m:r>
              <m:t>p</m:t>
            </m:r>
          </m:e>
        </m:acc>
        <m:r>
          <m:rPr>
            <m:sty m:val="p"/>
          </m:rPr>
          <m:t>=</m:t>
        </m:r>
        <m:r>
          <m:t>x</m:t>
        </m:r>
        <m:r>
          <m:rPr>
            <m:sty m:val="p"/>
          </m:rPr>
          <m:t>/</m:t>
        </m:r>
        <m:r>
          <m:t>n</m:t>
        </m:r>
      </m:oMath>
      <w:r>
        <w:rPr>
          <w:rFonts w:ascii="Times New Roman" w:hAnsi="Times New Roman" w:eastAsia="Times New Roman"/>
          <w:sz w:val="26"/>
        </w:rPr>
        <w:t xml:space="preserve">. Kiểm định so sánh likelihood dưới giả thuyết</w:t>
      </w:r>
      <w:r>
        <w:rPr>
          <w:rFonts w:ascii="Times New Roman" w:hAnsi="Times New Roman" w:eastAsia="Times New Roman"/>
          <w:sz w:val="26"/>
        </w:rPr>
        <w:t xml:space="preserve"> </w:t>
      </w:r>
      <m:oMath>
        <m:r>
          <m:t>p</m:t>
        </m:r>
        <m:r>
          <m:rPr>
            <m:sty m:val="p"/>
          </m:rPr>
          <m:t>=</m:t>
        </m:r>
        <m:r>
          <m:t>α</m:t>
        </m:r>
      </m:oMath>
      <w:r>
        <w:rPr>
          <w:rFonts w:ascii="Times New Roman" w:hAnsi="Times New Roman" w:eastAsia="Times New Roman"/>
          <w:sz w:val="26"/>
        </w:rPr>
        <w:t xml:space="preserve"> </w:t>
      </w:r>
      <w:r>
        <w:rPr>
          <w:rFonts w:ascii="Times New Roman" w:hAnsi="Times New Roman" w:eastAsia="Times New Roman"/>
          <w:sz w:val="26"/>
        </w:rPr>
        <w:t xml:space="preserve">với likelihood dưới giả thuyết thay thế</w:t>
      </w:r>
      <w:r>
        <w:rPr>
          <w:rFonts w:ascii="Times New Roman" w:hAnsi="Times New Roman" w:eastAsia="Times New Roman"/>
          <w:sz w:val="26"/>
        </w:rPr>
        <w:t xml:space="preserve"> </w:t>
      </w:r>
      <m:oMath>
        <m:r>
          <m:t>p</m:t>
        </m:r>
        <m:r>
          <m:rPr>
            <m:sty m:val="p"/>
          </m:rPr>
          <m:t>=</m:t>
        </m:r>
        <m:acc>
          <m:accPr>
            <m:chr m:val="̂"/>
          </m:accPr>
          <m:e>
            <m:r>
              <m:t>p</m:t>
            </m:r>
          </m:e>
        </m:acc>
      </m:oMath>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Nếu p-value của kiểm định Kupiec nhỏ, mô hình bị bác bỏ về mặt unconditional coverage. Tuy nhiên, một mô hình có thể có số vi phạm đúng kỳ vọng nhưng các vi phạm lại tập trung thành cụm. Khi đó, cần kiểm định tính độc lập.</w:t>
      </w:r>
    </w:p>
    <w:bookmarkEnd w:id="42"/>
    <w:bookmarkStart w:id="43" w:name="kiểm-định-tính-phủ-có-điều-kiện"/>
    <w:p>
      <w:pPr>
        <w:pStyle w:val="Heading3"/>
        <w:spacing w:before="120" w:after="120" w:line="276" w:lineRule="auto"/>
        <w:ind w:firstLine="0"/>
        <w:jc w:val="left"/>
      </w:pPr>
      <w:r>
        <w:rPr>
          <w:rFonts w:ascii="Times New Roman" w:hAnsi="Times New Roman" w:eastAsia="Times New Roman"/>
          <w:b/>
          <w:i w:val="0"/>
          <w:sz w:val="26"/>
        </w:rPr>
        <w:t xml:space="preserve">1.4.3 Kiểm định tính phủ có điều kiện</w:t>
      </w:r>
    </w:p>
    <w:p>
      <w:pPr>
        <w:pStyle w:val="FirstParagraph"/>
        <w:spacing w:before="60" w:after="60" w:line="276" w:lineRule="auto"/>
        <w:ind w:firstLine="567"/>
        <w:jc w:val="both"/>
      </w:pPr>
      <w:r>
        <w:rPr>
          <w:rFonts w:ascii="Times New Roman" w:hAnsi="Times New Roman" w:eastAsia="Times New Roman"/>
          <w:sz w:val="26"/>
        </w:rPr>
        <w:t xml:space="preserve">Kiểm định Christoffersen mở rộng logic của Kupiec bằng cách xem chuỗi vi phạm như một chuỗi nhị phân. Nếu mô hình phản ứng đúng với thay đổi của rủi ro, vi phạm không nên tạo thành cụm. Nói cách khác, xác suất vi phạm hôm nay không nên phụ thuộc mạnh vào việc hôm qua có vi phạm hay không.</w:t>
      </w:r>
    </w:p>
    <w:p>
      <w:pPr>
        <w:pStyle w:val="BodyText"/>
        <w:spacing w:before="60" w:after="60" w:line="276" w:lineRule="auto"/>
        <w:ind w:firstLine="567"/>
        <w:jc w:val="both"/>
      </w:pPr>
      <w:r>
        <w:rPr>
          <w:rFonts w:ascii="Times New Roman" w:hAnsi="Times New Roman" w:eastAsia="Times New Roman"/>
          <w:sz w:val="26"/>
        </w:rPr>
        <w:t xml:space="preserve">Kiểm định conditional coverage kết hợp hai thành phần: unconditional coverage và independence. Vì vậy, đây là kiểm định nghiêm ngặt hơn Kupiec. Trong thực nghiệm, một mô hình VaR được xem là tốt hơn nếu không bị bác bỏ bởi cả Kupiec và Christoffersen, đồng thời có hàm mất mát dự báo thấp.</w:t>
      </w:r>
    </w:p>
    <w:bookmarkEnd w:id="43"/>
    <w:bookmarkStart w:id="49" w:name="kiểm-định-phân-vị-biến-thiên"/>
    <w:p>
      <w:pPr>
        <w:pStyle w:val="Heading3"/>
        <w:spacing w:before="120" w:after="120" w:line="276" w:lineRule="auto"/>
        <w:ind w:firstLine="0"/>
        <w:jc w:val="left"/>
      </w:pPr>
      <w:r>
        <w:rPr>
          <w:rFonts w:ascii="Times New Roman" w:hAnsi="Times New Roman" w:eastAsia="Times New Roman"/>
          <w:b/>
          <w:i w:val="0"/>
          <w:sz w:val="26"/>
        </w:rPr>
        <w:t xml:space="preserve">1.4.4 Kiểm định phân vị biến thiên</w:t>
      </w:r>
    </w:p>
    <w:p>
      <w:pPr>
        <w:pStyle w:val="FirstParagraph"/>
        <w:spacing w:before="60" w:after="60" w:line="276" w:lineRule="auto"/>
        <w:ind w:firstLine="567"/>
        <w:jc w:val="both"/>
      </w:pPr>
      <w:r>
        <w:rPr>
          <w:rFonts w:ascii="Times New Roman" w:hAnsi="Times New Roman" w:eastAsia="Times New Roman"/>
          <w:sz w:val="26"/>
        </w:rPr>
        <w:t xml:space="preserve">Kiểm định phân vị biến thiên (</w:t>
      </w:r>
      <w:r>
        <w:rPr>
          <w:rFonts w:ascii="Times New Roman" w:hAnsi="Times New Roman" w:eastAsia="Times New Roman"/>
          <w:i/>
          <w:iCs/>
          <w:sz w:val="26"/>
        </w:rPr>
        <w:t xml:space="preserve">dynamic quantile test</w:t>
      </w:r>
      <w:r>
        <w:rPr>
          <w:rFonts w:ascii="Times New Roman" w:hAnsi="Times New Roman" w:eastAsia="Times New Roman"/>
          <w:sz w:val="26"/>
        </w:rPr>
        <w:t xml:space="preserve">) đánh giá liệu chuỗi hit có còn phụ thuộc vào thông tin quá khứ hay không. Ý tưởng trực giác là: nếu VaR là phân vị có điều kiện đúng, phần vi phạm sau khi trừ xác suất kỳ vọng</w:t>
      </w:r>
      <w:r>
        <w:rPr>
          <w:rFonts w:ascii="Times New Roman" w:hAnsi="Times New Roman" w:eastAsia="Times New Roman"/>
          <w:sz w:val="26"/>
        </w:rPr>
        <w:t xml:space="preserve"> </w:t>
      </w:r>
      <m:oMath>
        <m:r>
          <m:t>α</m:t>
        </m:r>
      </m:oMath>
      <w:r>
        <w:rPr>
          <w:rFonts w:ascii="Times New Roman" w:hAnsi="Times New Roman" w:eastAsia="Times New Roman"/>
          <w:sz w:val="26"/>
        </w:rPr>
        <w:t xml:space="preserve"> </w:t>
      </w:r>
      <w:r>
        <w:rPr>
          <w:rFonts w:ascii="Times New Roman" w:hAnsi="Times New Roman" w:eastAsia="Times New Roman"/>
          <w:sz w:val="26"/>
        </w:rPr>
        <w:t xml:space="preserve">không nên còn dự báo được bằng các biến trễ hoặc bằng chính VaR.</w:t>
      </w:r>
    </w:p>
    <w:p>
      <w:pPr>
        <w:pStyle w:val="BodyText"/>
        <w:spacing w:before="60" w:after="60" w:line="276" w:lineRule="auto"/>
        <w:ind w:firstLine="567"/>
        <w:jc w:val="both"/>
      </w:pPr>
      <w:r>
        <w:rPr>
          <w:rFonts w:ascii="Times New Roman" w:hAnsi="Times New Roman" w:eastAsia="Times New Roman"/>
          <w:sz w:val="26"/>
        </w:rPr>
        <w:t xml:space="preserve">Gọi:</w:t>
      </w:r>
    </w:p>
    <w:p>
      <w:pPr>
        <w:pStyle w:val="BodyText"/>
      </w:pPr>
      <m:oMathPara>
        <m:oMathParaPr>
          <m:jc m:val="center"/>
        </m:oMathParaPr>
        <m:oMath>
          <m:r>
            <m:t>H</m:t>
          </m:r>
          <m:r>
            <m:t>i</m:t>
          </m:r>
          <m:sSub>
            <m:e>
              <m:r>
                <m:t>t</m:t>
              </m:r>
            </m:e>
            <m:sub>
              <m:r>
                <m:t>t</m:t>
              </m:r>
            </m:sub>
          </m:sSub>
          <m:r>
            <m:rPr>
              <m:sty m:val="p"/>
            </m:rPr>
            <m:t>=</m:t>
          </m:r>
          <m:r>
            <m:t>I</m:t>
          </m:r>
          <m:r>
            <m:rPr>
              <m:sty m:val="p"/>
            </m:rPr>
            <m:t>(</m:t>
          </m:r>
          <m:sSub>
            <m:e>
              <m:r>
                <m:t>L</m:t>
              </m:r>
            </m:e>
            <m:sub>
              <m:r>
                <m:t>t</m:t>
              </m:r>
            </m:sub>
          </m:sSub>
          <m:r>
            <m:rPr>
              <m:sty m:val="p"/>
            </m:rPr>
            <m:t>&gt;</m:t>
          </m:r>
          <m:r>
            <m:t>V</m:t>
          </m:r>
          <m:r>
            <m:t>a</m:t>
          </m:r>
          <m:sSub>
            <m:e>
              <m:r>
                <m:t>R</m:t>
              </m:r>
            </m:e>
            <m:sub>
              <m:r>
                <m:t>t</m:t>
              </m:r>
            </m:sub>
          </m:sSub>
          <m:r>
            <m:rPr>
              <m:sty m:val="p"/>
            </m:rPr>
            <m:t>)</m:t>
          </m:r>
          <m:r>
            <m:rPr>
              <m:sty m:val="p"/>
            </m:rPr>
            <m:t>−</m:t>
          </m:r>
          <m:r>
            <m:t>α</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Nếu mô hình VaR đúng,</w:t>
      </w:r>
      <w:r>
        <w:rPr>
          <w:rFonts w:ascii="Times New Roman" w:hAnsi="Times New Roman" w:eastAsia="Times New Roman"/>
          <w:sz w:val="26"/>
        </w:rPr>
        <w:t xml:space="preserve"> </w:t>
      </w:r>
      <m:oMath>
        <m:r>
          <m:t>H</m:t>
        </m:r>
        <m:r>
          <m:t>i</m:t>
        </m:r>
        <m:sSub>
          <m:e>
            <m:r>
              <m:t>t</m:t>
            </m:r>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không nên có cấu trúc động còn sót lại. Có thể kiểm tra điều này bằng cách hồi quy</w:t>
      </w:r>
      <w:r>
        <w:rPr>
          <w:rFonts w:ascii="Times New Roman" w:hAnsi="Times New Roman" w:eastAsia="Times New Roman"/>
          <w:sz w:val="26"/>
        </w:rPr>
        <w:t xml:space="preserve"> </w:t>
      </w:r>
      <m:oMath>
        <m:r>
          <m:t>H</m:t>
        </m:r>
        <m:r>
          <m:t>i</m:t>
        </m:r>
        <m:sSub>
          <m:e>
            <m:r>
              <m:t>t</m:t>
            </m:r>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lên các độ trễ của chính nó và các biến thông tin khác. Đây là logic nền tảng của kiểm định Dynamic Quantile và cũng là động cơ của các mô hình CAViaR, trong đó VaR được mô hình hóa trực tiếp như một quá trình phân vị có điều kiện</w:t>
      </w:r>
      <w:r>
        <w:rPr>
          <w:rFonts w:ascii="Times New Roman" w:hAnsi="Times New Roman" w:eastAsia="Times New Roman"/>
          <w:sz w:val="26"/>
        </w:rPr>
        <w:t xml:space="preserve"> </w:t>
      </w:r>
      <w:r>
        <w:rPr>
          <w:rFonts w:ascii="Times New Roman" w:hAnsi="Times New Roman" w:eastAsia="Times New Roman"/>
          <w:sz w:val="26"/>
        </w:rPr>
        <w:t xml:space="preserve">(Engle &amp; Manganelli, 2004)</w:t>
      </w:r>
      <w:r>
        <w:rPr>
          <w:rFonts w:ascii="Times New Roman" w:hAnsi="Times New Roman" w:eastAsia="Times New Roman"/>
          <w:sz w:val="26"/>
        </w:rPr>
        <w:t xml:space="preserve">.</w:t>
      </w:r>
    </w:p>
    <w:tbl>
      <w:tblPr>
        <w:tblStyle w:val="Table"/>
        <w:tblW w:type="pct" w:w="5000"/>
        <w:tblLayout w:type="fixed"/>
        <w:tblLook w:firstRow="0" w:lastRow="0" w:firstColumn="0" w:lastColumn="0" w:noHBand="0" w:noVBand="0" w:val="0000"/>
      </w:tblPr>
      <w:tblGrid>
        <w:gridCol w:w="7920"/>
      </w:tblGrid>
      <w:tr>
        <w:tc>
          <w:tcPr>
            <w:vAlign w:val="center"/>
          </w:tcPr>
          <w:bookmarkStart w:id="44" w:name="tbl-var-backtesting-journal"/>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8: Backtesting VaR 99% theo dạng bảng journal-style</w:t>
            </w:r>
          </w:p>
          <w:tbl>
            <w:tblPr>
              <w:tblStyle w:val="Table"/>
              <w:tblW w:type="pct" w:w="5000"/>
              <w:tblLayout w:type="fixed"/>
              <w:tblLook w:firstRow="1" w:lastRow="0" w:firstColumn="0" w:lastColumn="0" w:noHBand="0" w:noVBand="0" w:val="0020"/>
            </w:tblPr>
            <w:tblGrid>
              <w:gridCol w:w="1569"/>
              <w:gridCol w:w="856"/>
              <w:gridCol w:w="1141"/>
              <w:gridCol w:w="1141"/>
              <w:gridCol w:w="927"/>
              <w:gridCol w:w="642"/>
              <w:gridCol w:w="642"/>
              <w:gridCol w:w="499"/>
              <w:gridCol w:w="499"/>
            </w:tblGrid>
            <w:tr>
              <w:trPr>
                <w:tblHeader w:val="on"/>
              </w:trPr>
              <w:tc>
                <w:tcPr/>
                <w:p>
                  <w:pPr>
                    <w:pStyle w:val="Compact"/>
                    <w:jc w:val="left"/>
                    <w:jc w:val="center"/>
                  </w:pPr>
                  <w:r>
                    <w:t xml:space="preserve">Mô hình</w:t>
                  </w:r>
                </w:p>
              </w:tc>
              <w:tc>
                <w:tcPr/>
                <w:p>
                  <w:pPr>
                    <w:pStyle w:val="Compact"/>
                    <w:jc w:val="right"/>
                    <w:jc w:val="center"/>
                  </w:pPr>
                  <w:r>
                    <w:t xml:space="preserve">Số quan sát</w:t>
                  </w:r>
                </w:p>
              </w:tc>
              <w:tc>
                <w:tcPr/>
                <w:p>
                  <w:pPr>
                    <w:pStyle w:val="Compact"/>
                    <w:jc w:val="right"/>
                    <w:jc w:val="center"/>
                  </w:pPr>
                  <w:r>
                    <w:t xml:space="preserve">Vi phạm kỳ vọng</w:t>
                  </w:r>
                </w:p>
              </w:tc>
              <w:tc>
                <w:tcPr/>
                <w:p>
                  <w:pPr>
                    <w:pStyle w:val="Compact"/>
                    <w:jc w:val="right"/>
                    <w:jc w:val="center"/>
                  </w:pPr>
                  <w:r>
                    <w:t xml:space="preserve">Vi phạm thực tế</w:t>
                  </w:r>
                </w:p>
              </w:tc>
              <w:tc>
                <w:tcPr/>
                <w:p>
                  <w:pPr>
                    <w:pStyle w:val="Compact"/>
                    <w:jc w:val="right"/>
                    <w:jc w:val="center"/>
                  </w:pPr>
                  <w:r>
                    <w:t xml:space="preserve">Failure rate</w:t>
                  </w:r>
                </w:p>
              </w:tc>
              <w:tc>
                <w:tcPr/>
                <w:p>
                  <w:pPr>
                    <w:pStyle w:val="Compact"/>
                    <w:jc w:val="right"/>
                    <w:jc w:val="center"/>
                  </w:pPr>
                  <w:r>
                    <w:t xml:space="preserve">QLoss</w:t>
                  </w:r>
                </w:p>
              </w:tc>
              <w:tc>
                <w:tcPr/>
                <w:p>
                  <w:pPr>
                    <w:pStyle w:val="Compact"/>
                    <w:jc w:val="right"/>
                    <w:jc w:val="center"/>
                  </w:pPr>
                  <w:r>
                    <w:t xml:space="preserve">Kupiec p</w:t>
                  </w:r>
                </w:p>
              </w:tc>
              <w:tc>
                <w:tcPr/>
                <w:p>
                  <w:pPr>
                    <w:pStyle w:val="Compact"/>
                    <w:jc w:val="right"/>
                    <w:jc w:val="center"/>
                  </w:pPr>
                  <w:r>
                    <w:t xml:space="preserve">CC p</w:t>
                  </w:r>
                </w:p>
              </w:tc>
              <w:tc>
                <w:tcPr/>
                <w:p>
                  <w:pPr>
                    <w:pStyle w:val="Compact"/>
                    <w:jc w:val="right"/>
                    <w:jc w:val="center"/>
                  </w:pPr>
                  <w:r>
                    <w:t xml:space="preserve">DQ p</w:t>
                  </w:r>
                </w:p>
              </w:tc>
            </w:tr>
            <w:tr>
              <w:tc>
                <w:tcPr/>
                <w:p>
                  <w:pPr>
                    <w:pStyle w:val="Compact"/>
                    <w:jc w:val="left"/>
                    <w:jc w:val="center"/>
                  </w:pPr>
                  <w:r>
                    <w:t xml:space="preserve">EWMA-normal</w:t>
                  </w:r>
                </w:p>
              </w:tc>
              <w:tc>
                <w:tcPr/>
                <w:p>
                  <w:pPr>
                    <w:pStyle w:val="Compact"/>
                    <w:jc w:val="right"/>
                    <w:jc w:val="center"/>
                  </w:pPr>
                  <w:r>
                    <w:t xml:space="preserve">600</w:t>
                  </w:r>
                </w:p>
              </w:tc>
              <w:tc>
                <w:tcPr/>
                <w:p>
                  <w:pPr>
                    <w:pStyle w:val="Compact"/>
                    <w:jc w:val="right"/>
                    <w:jc w:val="center"/>
                  </w:pPr>
                  <w:r>
                    <w:t xml:space="preserve">6</w:t>
                  </w:r>
                </w:p>
              </w:tc>
              <w:tc>
                <w:tcPr/>
                <w:p>
                  <w:pPr>
                    <w:pStyle w:val="Compact"/>
                    <w:jc w:val="right"/>
                    <w:jc w:val="center"/>
                  </w:pPr>
                  <w:r>
                    <w:t xml:space="preserve">10</w:t>
                  </w:r>
                </w:p>
              </w:tc>
              <w:tc>
                <w:tcPr/>
                <w:p>
                  <w:pPr>
                    <w:pStyle w:val="Compact"/>
                    <w:jc w:val="right"/>
                    <w:jc w:val="center"/>
                  </w:pPr>
                  <w:r>
                    <w:t xml:space="preserve">1,67%</w:t>
                  </w:r>
                </w:p>
              </w:tc>
              <w:tc>
                <w:tcPr/>
                <w:p>
                  <w:pPr>
                    <w:pStyle w:val="Compact"/>
                    <w:jc w:val="right"/>
                    <w:jc w:val="center"/>
                  </w:pPr>
                  <w:r>
                    <w:t xml:space="preserve">0.000383</w:t>
                  </w:r>
                </w:p>
              </w:tc>
              <w:tc>
                <w:tcPr/>
                <w:p>
                  <w:pPr>
                    <w:pStyle w:val="Compact"/>
                    <w:jc w:val="right"/>
                    <w:jc w:val="center"/>
                  </w:pPr>
                  <w:r>
                    <w:t xml:space="preserve">0.1342</w:t>
                  </w:r>
                </w:p>
              </w:tc>
              <w:tc>
                <w:tcPr/>
                <w:p>
                  <w:pPr>
                    <w:pStyle w:val="Compact"/>
                    <w:jc w:val="right"/>
                    <w:jc w:val="center"/>
                  </w:pPr>
                  <w:r>
                    <w:t xml:space="preserve">0.1162</w:t>
                  </w:r>
                </w:p>
              </w:tc>
              <w:tc>
                <w:tcPr/>
                <w:p>
                  <w:pPr>
                    <w:pStyle w:val="Compact"/>
                    <w:jc w:val="right"/>
                    <w:jc w:val="center"/>
                  </w:pPr>
                  <w:r>
                    <w:t xml:space="preserve">0.0920</w:t>
                  </w:r>
                </w:p>
              </w:tc>
            </w:tr>
            <w:tr>
              <w:tc>
                <w:tcPr/>
                <w:p>
                  <w:pPr>
                    <w:pStyle w:val="Compact"/>
                    <w:jc w:val="left"/>
                    <w:jc w:val="center"/>
                  </w:pPr>
                  <w:r>
                    <w:t xml:space="preserve">GARCH-t</w:t>
                  </w:r>
                </w:p>
              </w:tc>
              <w:tc>
                <w:tcPr/>
                <w:p>
                  <w:pPr>
                    <w:pStyle w:val="Compact"/>
                    <w:jc w:val="right"/>
                    <w:jc w:val="center"/>
                  </w:pPr>
                  <w:r>
                    <w:t xml:space="preserve">600</w:t>
                  </w:r>
                </w:p>
              </w:tc>
              <w:tc>
                <w:tcPr/>
                <w:p>
                  <w:pPr>
                    <w:pStyle w:val="Compact"/>
                    <w:jc w:val="right"/>
                    <w:jc w:val="center"/>
                  </w:pPr>
                  <w:r>
                    <w:t xml:space="preserve">6</w:t>
                  </w:r>
                </w:p>
              </w:tc>
              <w:tc>
                <w:tcPr/>
                <w:p>
                  <w:pPr>
                    <w:pStyle w:val="Compact"/>
                    <w:jc w:val="right"/>
                    <w:jc w:val="center"/>
                  </w:pPr>
                  <w:r>
                    <w:t xml:space="preserve">10</w:t>
                  </w:r>
                </w:p>
              </w:tc>
              <w:tc>
                <w:tcPr/>
                <w:p>
                  <w:pPr>
                    <w:pStyle w:val="Compact"/>
                    <w:jc w:val="right"/>
                    <w:jc w:val="center"/>
                  </w:pPr>
                  <w:r>
                    <w:t xml:space="preserve">1,67%</w:t>
                  </w:r>
                </w:p>
              </w:tc>
              <w:tc>
                <w:tcPr/>
                <w:p>
                  <w:pPr>
                    <w:pStyle w:val="Compact"/>
                    <w:jc w:val="right"/>
                    <w:jc w:val="center"/>
                  </w:pPr>
                  <w:r>
                    <w:t xml:space="preserve">0.000394</w:t>
                  </w:r>
                </w:p>
              </w:tc>
              <w:tc>
                <w:tcPr/>
                <w:p>
                  <w:pPr>
                    <w:pStyle w:val="Compact"/>
                    <w:jc w:val="right"/>
                    <w:jc w:val="center"/>
                  </w:pPr>
                  <w:r>
                    <w:t xml:space="preserve">0.1342</w:t>
                  </w:r>
                </w:p>
              </w:tc>
              <w:tc>
                <w:tcPr/>
                <w:p>
                  <w:pPr>
                    <w:pStyle w:val="Compact"/>
                    <w:jc w:val="right"/>
                    <w:jc w:val="center"/>
                  </w:pPr>
                  <w:r>
                    <w:t xml:space="preserve">0.2748</w:t>
                  </w:r>
                </w:p>
              </w:tc>
              <w:tc>
                <w:tcPr/>
                <w:p>
                  <w:pPr>
                    <w:pStyle w:val="Compact"/>
                    <w:jc w:val="right"/>
                    <w:jc w:val="center"/>
                  </w:pPr>
                  <w:r>
                    <w:t xml:space="preserve">0.6785</w:t>
                  </w:r>
                </w:p>
              </w:tc>
            </w:tr>
            <w:tr>
              <w:tc>
                <w:tcPr/>
                <w:p>
                  <w:pPr>
                    <w:pStyle w:val="Compact"/>
                    <w:jc w:val="left"/>
                    <w:jc w:val="center"/>
                  </w:pPr>
                  <w:r>
                    <w:t xml:space="preserve">GJR-GARCH-t</w:t>
                  </w:r>
                </w:p>
              </w:tc>
              <w:tc>
                <w:tcPr/>
                <w:p>
                  <w:pPr>
                    <w:pStyle w:val="Compact"/>
                    <w:jc w:val="right"/>
                    <w:jc w:val="center"/>
                  </w:pPr>
                  <w:r>
                    <w:t xml:space="preserve">600</w:t>
                  </w:r>
                </w:p>
              </w:tc>
              <w:tc>
                <w:tcPr/>
                <w:p>
                  <w:pPr>
                    <w:pStyle w:val="Compact"/>
                    <w:jc w:val="right"/>
                    <w:jc w:val="center"/>
                  </w:pPr>
                  <w:r>
                    <w:t xml:space="preserve">6</w:t>
                  </w:r>
                </w:p>
              </w:tc>
              <w:tc>
                <w:tcPr/>
                <w:p>
                  <w:pPr>
                    <w:pStyle w:val="Compact"/>
                    <w:jc w:val="right"/>
                    <w:jc w:val="center"/>
                  </w:pPr>
                  <w:r>
                    <w:t xml:space="preserve">10</w:t>
                  </w:r>
                </w:p>
              </w:tc>
              <w:tc>
                <w:tcPr/>
                <w:p>
                  <w:pPr>
                    <w:pStyle w:val="Compact"/>
                    <w:jc w:val="right"/>
                    <w:jc w:val="center"/>
                  </w:pPr>
                  <w:r>
                    <w:t xml:space="preserve">1,67%</w:t>
                  </w:r>
                </w:p>
              </w:tc>
              <w:tc>
                <w:tcPr/>
                <w:p>
                  <w:pPr>
                    <w:pStyle w:val="Compact"/>
                    <w:jc w:val="right"/>
                    <w:jc w:val="center"/>
                  </w:pPr>
                  <w:r>
                    <w:t xml:space="preserve">0.000402</w:t>
                  </w:r>
                </w:p>
              </w:tc>
              <w:tc>
                <w:tcPr/>
                <w:p>
                  <w:pPr>
                    <w:pStyle w:val="Compact"/>
                    <w:jc w:val="right"/>
                    <w:jc w:val="center"/>
                  </w:pPr>
                  <w:r>
                    <w:t xml:space="preserve">0.1342</w:t>
                  </w:r>
                </w:p>
              </w:tc>
              <w:tc>
                <w:tcPr/>
                <w:p>
                  <w:pPr>
                    <w:pStyle w:val="Compact"/>
                    <w:jc w:val="right"/>
                    <w:jc w:val="center"/>
                  </w:pPr>
                  <w:r>
                    <w:t xml:space="preserve">0.2748</w:t>
                  </w:r>
                </w:p>
              </w:tc>
              <w:tc>
                <w:tcPr/>
                <w:p>
                  <w:pPr>
                    <w:pStyle w:val="Compact"/>
                    <w:jc w:val="right"/>
                    <w:jc w:val="center"/>
                  </w:pPr>
                  <w:r>
                    <w:t xml:space="preserve">0.6779</w:t>
                  </w:r>
                </w:p>
              </w:tc>
            </w:tr>
            <w:tr>
              <w:tc>
                <w:tcPr/>
                <w:p>
                  <w:pPr>
                    <w:pStyle w:val="Compact"/>
                    <w:jc w:val="left"/>
                    <w:jc w:val="center"/>
                  </w:pPr>
                  <w:r>
                    <w:t xml:space="preserve">Historical simulation</w:t>
                  </w:r>
                </w:p>
              </w:tc>
              <w:tc>
                <w:tcPr/>
                <w:p>
                  <w:pPr>
                    <w:pStyle w:val="Compact"/>
                    <w:jc w:val="right"/>
                    <w:jc w:val="center"/>
                  </w:pPr>
                  <w:r>
                    <w:t xml:space="preserve">600</w:t>
                  </w:r>
                </w:p>
              </w:tc>
              <w:tc>
                <w:tcPr/>
                <w:p>
                  <w:pPr>
                    <w:pStyle w:val="Compact"/>
                    <w:jc w:val="right"/>
                    <w:jc w:val="center"/>
                  </w:pPr>
                  <w:r>
                    <w:t xml:space="preserve">6</w:t>
                  </w:r>
                </w:p>
              </w:tc>
              <w:tc>
                <w:tcPr/>
                <w:p>
                  <w:pPr>
                    <w:pStyle w:val="Compact"/>
                    <w:jc w:val="right"/>
                    <w:jc w:val="center"/>
                  </w:pPr>
                  <w:r>
                    <w:t xml:space="preserve">17</w:t>
                  </w:r>
                </w:p>
              </w:tc>
              <w:tc>
                <w:tcPr/>
                <w:p>
                  <w:pPr>
                    <w:pStyle w:val="Compact"/>
                    <w:jc w:val="right"/>
                    <w:jc w:val="center"/>
                  </w:pPr>
                  <w:r>
                    <w:t xml:space="preserve">2,83%</w:t>
                  </w:r>
                </w:p>
              </w:tc>
              <w:tc>
                <w:tcPr/>
                <w:p>
                  <w:pPr>
                    <w:pStyle w:val="Compact"/>
                    <w:jc w:val="right"/>
                    <w:jc w:val="center"/>
                  </w:pPr>
                  <w:r>
                    <w:t xml:space="preserve">0.000539</w:t>
                  </w:r>
                </w:p>
              </w:tc>
              <w:tc>
                <w:tcPr/>
                <w:p>
                  <w:pPr>
                    <w:pStyle w:val="Compact"/>
                    <w:jc w:val="right"/>
                    <w:jc w:val="center"/>
                  </w:pPr>
                  <w:r>
                    <w:t xml:space="preserve">0.0002</w:t>
                  </w:r>
                </w:p>
              </w:tc>
              <w:tc>
                <w:tcPr/>
                <w:p>
                  <w:pPr>
                    <w:pStyle w:val="Compact"/>
                    <w:jc w:val="right"/>
                    <w:jc w:val="center"/>
                  </w:pPr>
                  <w:r>
                    <w:t xml:space="preserve">0.0000</w:t>
                  </w:r>
                </w:p>
              </w:tc>
              <w:tc>
                <w:tcPr/>
                <w:p>
                  <w:pPr>
                    <w:pStyle w:val="Compact"/>
                    <w:jc w:val="right"/>
                    <w:jc w:val="center"/>
                  </w:pPr>
                  <w:r>
                    <w:t xml:space="preserve">0.0000</w:t>
                  </w:r>
                </w:p>
              </w:tc>
            </w:tr>
            <w:tr>
              <w:tc>
                <w:tcPr/>
                <w:p>
                  <w:pPr>
                    <w:pStyle w:val="Compact"/>
                    <w:jc w:val="left"/>
                    <w:jc w:val="center"/>
                  </w:pPr>
                  <w:r>
                    <w:t xml:space="preserve">Normal rolling</w:t>
                  </w:r>
                </w:p>
              </w:tc>
              <w:tc>
                <w:tcPr/>
                <w:p>
                  <w:pPr>
                    <w:pStyle w:val="Compact"/>
                    <w:jc w:val="right"/>
                    <w:jc w:val="center"/>
                  </w:pPr>
                  <w:r>
                    <w:t xml:space="preserve">600</w:t>
                  </w:r>
                </w:p>
              </w:tc>
              <w:tc>
                <w:tcPr/>
                <w:p>
                  <w:pPr>
                    <w:pStyle w:val="Compact"/>
                    <w:jc w:val="right"/>
                    <w:jc w:val="center"/>
                  </w:pPr>
                  <w:r>
                    <w:t xml:space="preserve">6</w:t>
                  </w:r>
                </w:p>
              </w:tc>
              <w:tc>
                <w:tcPr/>
                <w:p>
                  <w:pPr>
                    <w:pStyle w:val="Compact"/>
                    <w:jc w:val="right"/>
                    <w:jc w:val="center"/>
                  </w:pPr>
                  <w:r>
                    <w:t xml:space="preserve">19</w:t>
                  </w:r>
                </w:p>
              </w:tc>
              <w:tc>
                <w:tcPr/>
                <w:p>
                  <w:pPr>
                    <w:pStyle w:val="Compact"/>
                    <w:jc w:val="right"/>
                    <w:jc w:val="center"/>
                  </w:pPr>
                  <w:r>
                    <w:t xml:space="preserve">3,17%</w:t>
                  </w:r>
                </w:p>
              </w:tc>
              <w:tc>
                <w:tcPr/>
                <w:p>
                  <w:pPr>
                    <w:pStyle w:val="Compact"/>
                    <w:jc w:val="right"/>
                    <w:jc w:val="center"/>
                  </w:pPr>
                  <w:r>
                    <w:t xml:space="preserve">0.000569</w:t>
                  </w:r>
                </w:p>
              </w:tc>
              <w:tc>
                <w:tcPr/>
                <w:p>
                  <w:pPr>
                    <w:pStyle w:val="Compact"/>
                    <w:jc w:val="right"/>
                    <w:jc w:val="center"/>
                  </w:pPr>
                  <w:r>
                    <w:t xml:space="preserve">0.0000</w:t>
                  </w:r>
                </w:p>
              </w:tc>
              <w:tc>
                <w:tcPr/>
                <w:p>
                  <w:pPr>
                    <w:pStyle w:val="Compact"/>
                    <w:jc w:val="right"/>
                    <w:jc w:val="center"/>
                  </w:pPr>
                  <w:r>
                    <w:t xml:space="preserve">0.0000</w:t>
                  </w:r>
                </w:p>
              </w:tc>
              <w:tc>
                <w:tcPr/>
                <w:p>
                  <w:pPr>
                    <w:pStyle w:val="Compact"/>
                    <w:jc w:val="right"/>
                    <w:jc w:val="center"/>
                  </w:pPr>
                  <w:r>
                    <w:t xml:space="preserve">0.0000</w:t>
                  </w:r>
                </w:p>
              </w:tc>
            </w:tr>
            <w:tr>
              <w:tc>
                <w:tcPr/>
                <w:p>
                  <w:pPr>
                    <w:pStyle w:val="Compact"/>
                    <w:jc w:val="left"/>
                    <w:jc w:val="center"/>
                  </w:pPr>
                  <w:r>
                    <w:t xml:space="preserve">Quantile regression</w:t>
                  </w:r>
                </w:p>
              </w:tc>
              <w:tc>
                <w:tcPr/>
                <w:p>
                  <w:pPr>
                    <w:pStyle w:val="Compact"/>
                    <w:jc w:val="right"/>
                    <w:jc w:val="center"/>
                  </w:pPr>
                  <w:r>
                    <w:t xml:space="preserve">600</w:t>
                  </w:r>
                </w:p>
              </w:tc>
              <w:tc>
                <w:tcPr/>
                <w:p>
                  <w:pPr>
                    <w:pStyle w:val="Compact"/>
                    <w:jc w:val="right"/>
                    <w:jc w:val="center"/>
                  </w:pPr>
                  <w:r>
                    <w:t xml:space="preserve">6</w:t>
                  </w:r>
                </w:p>
              </w:tc>
              <w:tc>
                <w:tcPr/>
                <w:p>
                  <w:pPr>
                    <w:pStyle w:val="Compact"/>
                    <w:jc w:val="right"/>
                    <w:jc w:val="center"/>
                  </w:pPr>
                  <w:r>
                    <w:t xml:space="preserve">20</w:t>
                  </w:r>
                </w:p>
              </w:tc>
              <w:tc>
                <w:tcPr/>
                <w:p>
                  <w:pPr>
                    <w:pStyle w:val="Compact"/>
                    <w:jc w:val="right"/>
                    <w:jc w:val="center"/>
                  </w:pPr>
                  <w:r>
                    <w:t xml:space="preserve">3,33%</w:t>
                  </w:r>
                </w:p>
              </w:tc>
              <w:tc>
                <w:tcPr/>
                <w:p>
                  <w:pPr>
                    <w:pStyle w:val="Compact"/>
                    <w:jc w:val="right"/>
                    <w:jc w:val="center"/>
                  </w:pPr>
                  <w:r>
                    <w:t xml:space="preserve">0.000542</w:t>
                  </w:r>
                </w:p>
              </w:tc>
              <w:tc>
                <w:tcPr/>
                <w:p>
                  <w:pPr>
                    <w:pStyle w:val="Compact"/>
                    <w:jc w:val="right"/>
                    <w:jc w:val="center"/>
                  </w:pPr>
                  <w:r>
                    <w:t xml:space="preserve">0.0000</w:t>
                  </w:r>
                </w:p>
              </w:tc>
              <w:tc>
                <w:tcPr/>
                <w:p>
                  <w:pPr>
                    <w:pStyle w:val="Compact"/>
                    <w:jc w:val="right"/>
                    <w:jc w:val="center"/>
                  </w:pPr>
                  <w:r>
                    <w:t xml:space="preserve">0.0000</w:t>
                  </w:r>
                </w:p>
              </w:tc>
              <w:tc>
                <w:tcPr/>
                <w:p>
                  <w:pPr>
                    <w:pStyle w:val="Compact"/>
                    <w:jc w:val="right"/>
                    <w:jc w:val="center"/>
                  </w:pPr>
                  <w:r>
                    <w:t xml:space="preserve">0.0000</w:t>
                  </w:r>
                </w:p>
              </w:tc>
            </w:tr>
          </w:tbl>
          <w:bookmarkEnd w:id="44"/>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8 trình bày kết quả theo dạng thường gặp trong bài báo thực nghiệm: mỗi dòng là một mô hình VaR; các cột gồm số vi phạm, tỷ lệ vi phạm, kiểm định coverage và hàm mất mát dự báo. Trong diễn giải, không nên chỉ chọn mô hình có số vi phạm gần nhất với kỳ vọng. Một mô hình tốt cũng cần có vi phạm không bị clustering và có loss function thấp.</w:t>
      </w:r>
    </w:p>
    <w:tbl>
      <w:tblPr>
        <w:tblStyle w:val="Table"/>
        <w:tblW w:type="pct" w:w="5000"/>
        <w:tblLayout w:type="fixed"/>
        <w:tblLook w:firstRow="0" w:lastRow="0" w:firstColumn="0" w:lastColumn="0" w:noHBand="0" w:noVBand="0" w:val="0000"/>
      </w:tblPr>
      <w:tblGrid>
        <w:gridCol w:w="7920"/>
      </w:tblGrid>
      <w:tr>
        <w:tc>
          <w:tcPr>
            <w:vAlign w:val="center"/>
          </w:tcPr>
          <w:bookmarkStart w:id="48" w:name="fig-var-exceedances-backtest"/>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46" name="Picture"/>
                  <a:graphic>
                    <a:graphicData uri="http://schemas.openxmlformats.org/drawingml/2006/picture">
                      <pic:pic>
                        <pic:nvPicPr>
                          <pic:cNvPr descr="ch04_docx_tmp_files/figure-docx/fig-var-exceedances-backtest-1.pdf" id="47" name="Picture"/>
                          <pic:cNvPicPr>
                            <a:picLocks noChangeArrowheads="1" noChangeAspect="1"/>
                          </pic:cNvPicPr>
                        </pic:nvPicPr>
                        <pic:blipFill>
                          <a:blip r:embed="rId45"/>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5: Minh họa các lần vi phạm VaR trong giai đoạn backtesting</w:t>
            </w:r>
          </w:p>
          <w:bookmarkEnd w:id="48"/>
        </w:tc>
      </w:tr>
    </w:tbl>
    <w:p>
      <w:pPr>
        <w:pStyle w:val="BodyText"/>
        <w:spacing w:before="60" w:after="60" w:line="240" w:lineRule="auto"/>
        <w:ind w:firstLine="0"/>
        <w:jc w:val="center"/>
      </w:pPr>
      <w:r>
        <w:rPr>
          <w:rFonts w:ascii="Times New Roman" w:hAnsi="Times New Roman" w:eastAsia="Times New Roman"/>
          <w:b/>
          <w:i w:val="0"/>
          <w:sz w:val="24"/>
        </w:rPr>
        <w:t>Hình 5 cho thấy backtesting có ý nghĩa trực quan rất rõ. Nếu các điểm vi phạm xuất hiện quá thường xuyên hoặc tập trung thành cụm, nhà phân tích cần xem lại mô hình volatility, giả định phân phối, độ dài cửa sổ ước lượng hoặc cách cập nhật VaR.</w:t>
      </w:r>
    </w:p>
    <w:bookmarkEnd w:id="49"/>
    <w:bookmarkEnd w:id="50"/>
    <w:bookmarkStart w:id="65" w:name="các-mô-hình-mở-rộng"/>
    <w:p>
      <w:pPr>
        <w:pStyle w:val="Heading2"/>
        <w:spacing w:before="120" w:after="120" w:line="276" w:lineRule="auto"/>
        <w:ind w:firstLine="0"/>
        <w:jc w:val="left"/>
      </w:pPr>
      <w:r>
        <w:rPr>
          <w:rFonts w:ascii="Times New Roman" w:hAnsi="Times New Roman" w:eastAsia="Times New Roman"/>
          <w:b/>
          <w:i w:val="0"/>
          <w:sz w:val="26"/>
        </w:rPr>
        <w:t>1.5 CÁC MÔ HÌNH MỞ RỘNG</w:t>
      </w:r>
    </w:p>
    <w:bookmarkStart w:id="56" w:name="mô-hình-garch-với-mô-phỏng-xác-suất"/>
    <w:p>
      <w:pPr>
        <w:pStyle w:val="Heading3"/>
        <w:spacing w:before="120" w:after="120" w:line="276" w:lineRule="auto"/>
        <w:ind w:firstLine="0"/>
        <w:jc w:val="left"/>
      </w:pPr>
      <w:r>
        <w:rPr>
          <w:rFonts w:ascii="Times New Roman" w:hAnsi="Times New Roman" w:eastAsia="Times New Roman"/>
          <w:b/>
          <w:i w:val="0"/>
          <w:sz w:val="26"/>
        </w:rPr>
        <w:t xml:space="preserve">1.5.1 Mô hình GARCH với mô phỏng xác suất</w:t>
      </w:r>
    </w:p>
    <w:p>
      <w:pPr>
        <w:pStyle w:val="FirstParagraph"/>
        <w:spacing w:before="60" w:after="60" w:line="276" w:lineRule="auto"/>
        <w:ind w:firstLine="567"/>
        <w:jc w:val="both"/>
      </w:pPr>
      <w:r>
        <w:rPr>
          <w:rFonts w:ascii="Times New Roman" w:hAnsi="Times New Roman" w:eastAsia="Times New Roman"/>
          <w:sz w:val="26"/>
        </w:rPr>
        <w:t xml:space="preserve">Monte Carlo VaR không nhất thiết chỉ dựa trên một phân phối tĩnh. Một cách triển khai mạnh hơn là dùng GARCH để tạo</w:t>
      </w:r>
      <w:r>
        <w:rPr>
          <w:rFonts w:ascii="Times New Roman" w:hAnsi="Times New Roman" w:eastAsia="Times New Roman"/>
          <w:sz w:val="26"/>
        </w:rPr>
        <w:t xml:space="preserve"> </w:t>
      </w:r>
      <w:r>
        <w:rPr>
          <w:rFonts w:ascii="Times New Roman" w:hAnsi="Times New Roman" w:eastAsia="Times New Roman"/>
          <w:b/>
          <w:bCs/>
          <w:sz w:val="26"/>
        </w:rPr>
        <w:t xml:space="preserve">phân phối có điều kiện</w:t>
      </w:r>
      <w:r>
        <w:rPr>
          <w:rFonts w:ascii="Times New Roman" w:hAnsi="Times New Roman" w:eastAsia="Times New Roman"/>
          <w:sz w:val="26"/>
        </w:rPr>
        <w:t xml:space="preserve"> </w:t>
      </w:r>
      <w:r>
        <w:rPr>
          <w:rFonts w:ascii="Times New Roman" w:hAnsi="Times New Roman" w:eastAsia="Times New Roman"/>
          <w:sz w:val="26"/>
        </w:rPr>
        <w:t xml:space="preserve">tại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sau đó mô phỏng nhiều kịch bản tỷ lệ sinh lời cho</w:t>
      </w:r>
      <w:r>
        <w:rPr>
          <w:rFonts w:ascii="Times New Roman" w:hAnsi="Times New Roman" w:eastAsia="Times New Roman"/>
          <w:sz w:val="26"/>
        </w:rPr>
        <w:t xml:space="preserve"> </w:t>
      </w:r>
      <m:oMath>
        <m:r>
          <m:t>t</m:t>
        </m:r>
        <m:r>
          <m:rPr>
            <m:sty m:val="p"/>
          </m:rPr>
          <m:t>+</m:t>
        </m:r>
        <m:r>
          <m:t>1</m:t>
        </m:r>
      </m:oMath>
      <w:r>
        <w:rPr>
          <w:rFonts w:ascii="Times New Roman" w:hAnsi="Times New Roman" w:eastAsia="Times New Roman"/>
          <w:sz w:val="26"/>
        </w:rPr>
        <w:t xml:space="preserve">. Quy trình gồm bốn bước:</w:t>
      </w:r>
    </w:p>
    <w:p>
      <w:pPr>
        <w:pStyle w:val="Compact"/>
        <w:numPr>
          <w:ilvl w:val="0"/>
          <w:numId w:val="1002"/>
        </w:numPr>
        <w:spacing w:before="60" w:after="60" w:line="276" w:lineRule="auto"/>
        <w:ind w:firstLine="567"/>
        <w:jc w:val="both"/>
      </w:pPr>
      <w:r>
        <w:rPr>
          <w:rFonts w:ascii="Times New Roman" w:hAnsi="Times New Roman" w:eastAsia="Times New Roman"/>
          <w:sz w:val="26"/>
        </w:rPr>
        <w:t xml:space="preserve">Ước lượng mô hình volatility có điều kiện, ví dụ GARCH-t hoặc GJR-GARCH-t.</w:t>
      </w:r>
    </w:p>
    <w:p>
      <w:pPr>
        <w:pStyle w:val="Compact"/>
        <w:numPr>
          <w:ilvl w:val="0"/>
          <w:numId w:val="1002"/>
        </w:numPr>
        <w:spacing w:before="60" w:after="60" w:line="276" w:lineRule="auto"/>
        <w:ind w:firstLine="567"/>
        <w:jc w:val="both"/>
      </w:pPr>
      <w:r>
        <w:rPr>
          <w:rFonts w:ascii="Times New Roman" w:hAnsi="Times New Roman" w:eastAsia="Times New Roman"/>
          <w:sz w:val="26"/>
        </w:rPr>
        <w:t xml:space="preserve">Lấy dự báo</w:t>
      </w:r>
      <w:r>
        <w:rPr>
          <w:rFonts w:ascii="Times New Roman" w:hAnsi="Times New Roman" w:eastAsia="Times New Roman"/>
          <w:sz w:val="26"/>
        </w:rPr>
        <w:t xml:space="preserve"> </w:t>
      </w:r>
      <m:oMath>
        <m:sSub>
          <m:e>
            <m:acc>
              <m:accPr>
                <m:chr m:val="̂"/>
              </m:accPr>
              <m:e>
                <m:r>
                  <m:t>μ</m:t>
                </m:r>
              </m:e>
            </m:acc>
          </m:e>
          <m:sub>
            <m:r>
              <m:t>t</m:t>
            </m:r>
            <m:r>
              <m:rPr>
                <m:sty m:val="p"/>
              </m:rPr>
              <m:t>+</m:t>
            </m:r>
            <m:r>
              <m:t>1</m:t>
            </m:r>
            <m:r>
              <m:rPr>
                <m:sty m:val="p"/>
              </m:rPr>
              <m:t>|</m:t>
            </m:r>
            <m:r>
              <m:t>t</m:t>
            </m:r>
          </m:sub>
        </m:sSub>
      </m:oMath>
      <w:r>
        <w:rPr>
          <w:rFonts w:ascii="Times New Roman" w:hAnsi="Times New Roman" w:eastAsia="Times New Roman"/>
          <w:sz w:val="26"/>
        </w:rPr>
        <w:t xml:space="preserve"> </w:t>
      </w:r>
      <w:r>
        <w:rPr>
          <w:rFonts w:ascii="Times New Roman" w:hAnsi="Times New Roman" w:eastAsia="Times New Roman"/>
          <w:sz w:val="26"/>
        </w:rPr>
        <w:t xml:space="preserve">và</w:t>
      </w:r>
      <w:r>
        <w:rPr>
          <w:rFonts w:ascii="Times New Roman" w:hAnsi="Times New Roman" w:eastAsia="Times New Roman"/>
          <w:sz w:val="26"/>
        </w:rPr>
        <w:t xml:space="preserve"> </w:t>
      </w:r>
      <m:oMath>
        <m:sSub>
          <m:e>
            <m:acc>
              <m:accPr>
                <m:chr m:val="̂"/>
              </m:accPr>
              <m:e>
                <m:r>
                  <m:t>σ</m:t>
                </m:r>
              </m:e>
            </m:acc>
          </m:e>
          <m:sub>
            <m:r>
              <m:t>t</m:t>
            </m:r>
            <m:r>
              <m:rPr>
                <m:sty m:val="p"/>
              </m:rPr>
              <m:t>+</m:t>
            </m:r>
            <m:r>
              <m:t>1</m:t>
            </m:r>
            <m:r>
              <m:rPr>
                <m:sty m:val="p"/>
              </m:rPr>
              <m:t>|</m:t>
            </m:r>
            <m:r>
              <m:t>t</m:t>
            </m:r>
          </m:sub>
        </m:sSub>
      </m:oMath>
      <w:r>
        <w:rPr>
          <w:rFonts w:ascii="Times New Roman" w:hAnsi="Times New Roman" w:eastAsia="Times New Roman"/>
          <w:sz w:val="26"/>
        </w:rPr>
        <w:t xml:space="preserve">.</w:t>
      </w:r>
    </w:p>
    <w:p>
      <w:pPr>
        <w:pStyle w:val="Compact"/>
        <w:numPr>
          <w:ilvl w:val="0"/>
          <w:numId w:val="1002"/>
        </w:numPr>
        <w:spacing w:before="60" w:after="60" w:line="276" w:lineRule="auto"/>
        <w:ind w:firstLine="567"/>
        <w:jc w:val="both"/>
      </w:pPr>
      <w:r>
        <w:rPr>
          <w:rFonts w:ascii="Times New Roman" w:hAnsi="Times New Roman" w:eastAsia="Times New Roman"/>
          <w:sz w:val="26"/>
        </w:rPr>
        <w:t xml:space="preserve">Sinh nhiều sai số chuẩn hóa</w:t>
      </w:r>
      <w:r>
        <w:rPr>
          <w:rFonts w:ascii="Times New Roman" w:hAnsi="Times New Roman" w:eastAsia="Times New Roman"/>
          <w:sz w:val="26"/>
        </w:rPr>
        <w:t xml:space="preserve"> </w:t>
      </w:r>
      <m:oMath>
        <m:sSubSup>
          <m:e>
            <m:r>
              <m:t>z</m:t>
            </m:r>
          </m:e>
          <m:sub>
            <m:r>
              <m:t>t</m:t>
            </m:r>
            <m:r>
              <m:rPr>
                <m:sty m:val="p"/>
              </m:rPr>
              <m:t>+</m:t>
            </m:r>
            <m:r>
              <m:t>1</m:t>
            </m:r>
          </m:sub>
          <m:sup>
            <m:r>
              <m:rPr>
                <m:sty m:val="p"/>
              </m:rPr>
              <m:t>(</m:t>
            </m:r>
            <m:r>
              <m:t>b</m:t>
            </m:r>
            <m:r>
              <m:rPr>
                <m:sty m:val="p"/>
              </m:rPr>
              <m:t>)</m:t>
            </m:r>
          </m:sup>
        </m:sSubSup>
      </m:oMath>
      <w:r>
        <w:rPr>
          <w:rFonts w:ascii="Times New Roman" w:hAnsi="Times New Roman" w:eastAsia="Times New Roman"/>
          <w:sz w:val="26"/>
        </w:rPr>
        <w:t xml:space="preserve"> </w:t>
      </w:r>
      <w:r>
        <w:rPr>
          <w:rFonts w:ascii="Times New Roman" w:hAnsi="Times New Roman" w:eastAsia="Times New Roman"/>
          <w:sz w:val="26"/>
        </w:rPr>
        <w:t xml:space="preserve">từ phân phối giả định, chẳng hạn Student-t.</w:t>
      </w:r>
    </w:p>
    <w:p>
      <w:pPr>
        <w:pStyle w:val="Compact"/>
        <w:numPr>
          <w:ilvl w:val="0"/>
          <w:numId w:val="1002"/>
        </w:numPr>
        <w:spacing w:before="60" w:after="60" w:line="276" w:lineRule="auto"/>
        <w:ind w:firstLine="567"/>
        <w:jc w:val="both"/>
      </w:pPr>
      <w:r>
        <w:rPr>
          <w:rFonts w:ascii="Times New Roman" w:hAnsi="Times New Roman" w:eastAsia="Times New Roman"/>
          <w:sz w:val="26"/>
        </w:rPr>
        <w:t xml:space="preserve">Tạo kịch bản</w:t>
      </w:r>
      <w:r>
        <w:rPr>
          <w:rFonts w:ascii="Times New Roman" w:hAnsi="Times New Roman" w:eastAsia="Times New Roman"/>
          <w:sz w:val="26"/>
        </w:rPr>
        <w:t xml:space="preserve"> </w:t>
      </w:r>
      <m:oMath>
        <m:sSubSup>
          <m:e>
            <m:r>
              <m:t>r</m:t>
            </m:r>
          </m:e>
          <m:sub>
            <m:r>
              <m:t>t</m:t>
            </m:r>
            <m:r>
              <m:rPr>
                <m:sty m:val="p"/>
              </m:rPr>
              <m:t>+</m:t>
            </m:r>
            <m:r>
              <m:t>1</m:t>
            </m:r>
          </m:sub>
          <m:sup>
            <m:r>
              <m:rPr>
                <m:sty m:val="p"/>
              </m:rPr>
              <m:t>(</m:t>
            </m:r>
            <m:r>
              <m:t>b</m:t>
            </m:r>
            <m:r>
              <m:rPr>
                <m:sty m:val="p"/>
              </m:rPr>
              <m:t>)</m:t>
            </m:r>
          </m:sup>
        </m:sSubSup>
        <m:r>
          <m:rPr>
            <m:sty m:val="p"/>
          </m:rPr>
          <m:t>=</m:t>
        </m:r>
        <m:sSub>
          <m:e>
            <m:acc>
              <m:accPr>
                <m:chr m:val="̂"/>
              </m:accPr>
              <m:e>
                <m:r>
                  <m:t>μ</m:t>
                </m:r>
              </m:e>
            </m:acc>
          </m:e>
          <m:sub>
            <m:r>
              <m:t>t</m:t>
            </m:r>
            <m:r>
              <m:rPr>
                <m:sty m:val="p"/>
              </m:rPr>
              <m:t>+</m:t>
            </m:r>
            <m:r>
              <m:t>1</m:t>
            </m:r>
            <m:r>
              <m:rPr>
                <m:sty m:val="p"/>
              </m:rPr>
              <m:t>|</m:t>
            </m:r>
            <m:r>
              <m:t>t</m:t>
            </m:r>
          </m:sub>
        </m:sSub>
        <m:r>
          <m:rPr>
            <m:sty m:val="p"/>
          </m:rPr>
          <m:t>+</m:t>
        </m:r>
        <m:sSub>
          <m:e>
            <m:acc>
              <m:accPr>
                <m:chr m:val="̂"/>
              </m:accPr>
              <m:e>
                <m:r>
                  <m:t>σ</m:t>
                </m:r>
              </m:e>
            </m:acc>
          </m:e>
          <m:sub>
            <m:r>
              <m:t>t</m:t>
            </m:r>
            <m:r>
              <m:rPr>
                <m:sty m:val="p"/>
              </m:rPr>
              <m:t>+</m:t>
            </m:r>
            <m:r>
              <m:t>1</m:t>
            </m:r>
            <m:r>
              <m:rPr>
                <m:sty m:val="p"/>
              </m:rPr>
              <m:t>|</m:t>
            </m:r>
            <m:r>
              <m:t>t</m:t>
            </m:r>
          </m:sub>
        </m:sSub>
        <m:sSubSup>
          <m:e>
            <m:r>
              <m:t>z</m:t>
            </m:r>
          </m:e>
          <m:sub>
            <m:r>
              <m:t>t</m:t>
            </m:r>
            <m:r>
              <m:rPr>
                <m:sty m:val="p"/>
              </m:rPr>
              <m:t>+</m:t>
            </m:r>
            <m:r>
              <m:t>1</m:t>
            </m:r>
          </m:sub>
          <m:sup>
            <m:r>
              <m:rPr>
                <m:sty m:val="p"/>
              </m:rPr>
              <m:t>(</m:t>
            </m:r>
            <m:r>
              <m:t>b</m:t>
            </m:r>
            <m:r>
              <m:rPr>
                <m:sty m:val="p"/>
              </m:rPr>
              <m:t>)</m:t>
            </m:r>
          </m:sup>
        </m:sSubSup>
      </m:oMath>
      <w:r>
        <w:rPr>
          <w:rFonts w:ascii="Times New Roman" w:hAnsi="Times New Roman" w:eastAsia="Times New Roman"/>
          <w:sz w:val="26"/>
        </w:rPr>
        <w:t xml:space="preserve">, sau đó lấy phân vị của biến lỗ.</w:t>
      </w:r>
    </w:p>
    <w:p>
      <w:pPr>
        <w:pStyle w:val="FirstParagraph"/>
        <w:spacing w:before="60" w:after="60" w:line="276" w:lineRule="auto"/>
        <w:ind w:firstLine="567"/>
        <w:jc w:val="both"/>
      </w:pPr>
      <w:r>
        <w:rPr>
          <w:rFonts w:ascii="Times New Roman" w:hAnsi="Times New Roman" w:eastAsia="Times New Roman"/>
          <w:sz w:val="26"/>
        </w:rPr>
        <w:t xml:space="preserve">Cách làm này phù hợp khi muốn kết hợp ưu điểm của mô hình volatility động và tính linh hoạt của mô phỏng. Với danh mục phi tuyến, mô phỏng còn cho phép định giá lại danh mục dưới từng kịch bản thay vì chỉ nhân volatility với một hệ số phân vị</w:t>
      </w:r>
      <w:r>
        <w:rPr>
          <w:rFonts w:ascii="Times New Roman" w:hAnsi="Times New Roman" w:eastAsia="Times New Roman"/>
          <w:sz w:val="26"/>
        </w:rPr>
        <w:t xml:space="preserve"> </w:t>
      </w:r>
      <w:r>
        <w:rPr>
          <w:rFonts w:ascii="Times New Roman" w:hAnsi="Times New Roman" w:eastAsia="Times New Roman"/>
          <w:sz w:val="26"/>
        </w:rPr>
        <w:t xml:space="preserve">(Brooks, 2019; Choudhry, 2013; Tsay, 2013)</w:t>
      </w:r>
      <w:r>
        <w:rPr>
          <w:rFonts w:ascii="Times New Roman" w:hAnsi="Times New Roman" w:eastAsia="Times New Roman"/>
          <w:sz w:val="26"/>
        </w:rPr>
        <w:t xml:space="preserve">.</w:t>
      </w:r>
    </w:p>
    <w:tbl>
      <w:tblPr>
        <w:tblStyle w:val="Table"/>
        <w:tblW w:type="pct" w:w="5000"/>
        <w:tblLayout w:type="fixed"/>
        <w:tblLook w:firstRow="0" w:lastRow="0" w:firstColumn="0" w:lastColumn="0" w:noHBand="0" w:noVBand="0" w:val="0000"/>
      </w:tblPr>
      <w:tblGrid>
        <w:gridCol w:w="7920"/>
      </w:tblGrid>
      <w:tr>
        <w:tc>
          <w:tcPr>
            <w:vAlign w:val="center"/>
          </w:tcPr>
          <w:bookmarkStart w:id="54" w:name="fig-garch-monte-carlo-var"/>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52" name="Picture"/>
                  <a:graphic>
                    <a:graphicData uri="http://schemas.openxmlformats.org/drawingml/2006/picture">
                      <pic:pic>
                        <pic:nvPicPr>
                          <pic:cNvPr descr="ch04_docx_tmp_files/figure-docx/fig-garch-monte-carlo-var-1.pdf" id="53" name="Picture"/>
                          <pic:cNvPicPr>
                            <a:picLocks noChangeArrowheads="1" noChangeAspect="1"/>
                          </pic:cNvPicPr>
                        </pic:nvPicPr>
                        <pic:blipFill>
                          <a:blip r:embed="rId51"/>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6: GARCH Monte Carlo VaR từ phân phối lỗ có điều kiện</w:t>
            </w:r>
          </w:p>
          <w:bookmarkEnd w:id="54"/>
        </w:tc>
      </w:tr>
    </w:tbl>
    <w:p>
      <w:pPr>
        <w:pStyle w:val="BodyText"/>
        <w:spacing w:before="60" w:after="60" w:line="240" w:lineRule="auto"/>
        <w:ind w:firstLine="0"/>
        <w:jc w:val="center"/>
      </w:pPr>
      <w:r>
        <w:rPr>
          <w:rFonts w:ascii="Times New Roman" w:hAnsi="Times New Roman" w:eastAsia="Times New Roman"/>
          <w:b/>
          <w:i w:val="0"/>
          <w:sz w:val="24"/>
        </w:rPr>
        <w:t>Hình 6 cho thấy Monte Carlo không thay đổi bản chất của VaR: VaR vẫn là phân vị của phân phối lỗ. Điểm khác là phân phối lỗ được tạo ra từ mô hình có điều kiện thay vì lấy trực tiếp từ dữ liệu lịch sử hoặc từ một phân phối tĩnh.</w:t>
      </w:r>
    </w:p>
    <w:tbl>
      <w:tblPr>
        <w:tblStyle w:val="Table"/>
        <w:tblW w:type="pct" w:w="5000"/>
        <w:tblLayout w:type="fixed"/>
        <w:tblLook w:firstRow="0" w:lastRow="0" w:firstColumn="0" w:lastColumn="0" w:noHBand="0" w:noVBand="0" w:val="0000"/>
      </w:tblPr>
      <w:tblGrid>
        <w:gridCol w:w="7920"/>
      </w:tblGrid>
      <w:tr>
        <w:tc>
          <w:tcPr>
            <w:vAlign w:val="center"/>
          </w:tcPr>
          <w:bookmarkStart w:id="55" w:name="tbl-garch-mc-var-es"/>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9: VaR và ES minh họa từ GARCH Monte Carlo</w:t>
            </w:r>
          </w:p>
          <w:tbl>
            <w:tblPr>
              <w:tblStyle w:val="Table"/>
              <w:tblW w:type="pct" w:w="5000"/>
              <w:tblLayout w:type="fixed"/>
              <w:tblLook w:firstRow="1" w:lastRow="0" w:firstColumn="0" w:lastColumn="0" w:noHBand="0" w:noVBand="0" w:val="0020"/>
            </w:tblPr>
            <w:tblGrid>
              <w:gridCol w:w="1296"/>
              <w:gridCol w:w="864"/>
              <w:gridCol w:w="1080"/>
              <w:gridCol w:w="1007"/>
              <w:gridCol w:w="1872"/>
              <w:gridCol w:w="1800"/>
            </w:tblGrid>
            <w:tr>
              <w:trPr>
                <w:tblHeader w:val="on"/>
              </w:trPr>
              <w:tc>
                <w:tcPr/>
                <w:p>
                  <w:pPr>
                    <w:pStyle w:val="Compact"/>
                    <w:jc w:val="left"/>
                    <w:jc w:val="center"/>
                  </w:pPr>
                  <w:r>
                    <w:t xml:space="preserve">Phương pháp</w:t>
                  </w:r>
                </w:p>
              </w:tc>
              <w:tc>
                <w:tcPr/>
                <w:p>
                  <w:pPr>
                    <w:pStyle w:val="Compact"/>
                    <w:jc w:val="left"/>
                    <w:jc w:val="center"/>
                  </w:pPr>
                  <w:r>
                    <w:t xml:space="preserve">Số kịch bản</w:t>
                  </w:r>
                </w:p>
              </w:tc>
              <w:tc>
                <w:tcPr/>
                <w:p>
                  <w:pPr>
                    <w:pStyle w:val="Compact"/>
                    <w:jc w:val="right"/>
                    <w:jc w:val="center"/>
                  </w:pPr>
                  <w:r>
                    <w:t xml:space="preserve">VaR 99%, tỷ lệ</w:t>
                  </w:r>
                </w:p>
              </w:tc>
              <w:tc>
                <w:tcPr/>
                <w:p>
                  <w:pPr>
                    <w:pStyle w:val="Compact"/>
                    <w:jc w:val="right"/>
                    <w:jc w:val="center"/>
                  </w:pPr>
                  <w:r>
                    <w:t xml:space="preserve">ES 99%, tỷ lệ</w:t>
                  </w:r>
                </w:p>
              </w:tc>
              <w:tc>
                <w:tcPr/>
                <w:p>
                  <w:pPr>
                    <w:pStyle w:val="Compact"/>
                    <w:jc w:val="right"/>
                    <w:jc w:val="center"/>
                  </w:pPr>
                  <w:r>
                    <w:t xml:space="preserve">VaR, danh mục 100 tỷ đồng</w:t>
                  </w:r>
                </w:p>
              </w:tc>
              <w:tc>
                <w:tcPr/>
                <w:p>
                  <w:pPr>
                    <w:pStyle w:val="Compact"/>
                    <w:jc w:val="right"/>
                    <w:jc w:val="center"/>
                  </w:pPr>
                  <w:r>
                    <w:t xml:space="preserve">ES, danh mục 100 tỷ đồng</w:t>
                  </w:r>
                </w:p>
              </w:tc>
            </w:tr>
            <w:tr>
              <w:tc>
                <w:tcPr/>
                <w:p>
                  <w:pPr>
                    <w:pStyle w:val="Compact"/>
                    <w:jc w:val="left"/>
                    <w:jc w:val="center"/>
                  </w:pPr>
                  <w:r>
                    <w:t xml:space="preserve">GARCH Monte Carlo</w:t>
                  </w:r>
                </w:p>
              </w:tc>
              <w:tc>
                <w:tcPr/>
                <w:p>
                  <w:pPr>
                    <w:pStyle w:val="Compact"/>
                    <w:jc w:val="left"/>
                    <w:jc w:val="center"/>
                  </w:pPr>
                  <w:r>
                    <w:t xml:space="preserve">20.000</w:t>
                  </w:r>
                </w:p>
              </w:tc>
              <w:tc>
                <w:tcPr/>
                <w:p>
                  <w:pPr>
                    <w:pStyle w:val="Compact"/>
                    <w:jc w:val="right"/>
                    <w:jc w:val="center"/>
                  </w:pPr>
                  <w:r>
                    <w:t xml:space="preserve">1,72%</w:t>
                  </w:r>
                </w:p>
              </w:tc>
              <w:tc>
                <w:tcPr/>
                <w:p>
                  <w:pPr>
                    <w:pStyle w:val="Compact"/>
                    <w:jc w:val="right"/>
                    <w:jc w:val="center"/>
                  </w:pPr>
                  <w:r>
                    <w:t xml:space="preserve">2,15%</w:t>
                  </w:r>
                </w:p>
              </w:tc>
              <w:tc>
                <w:tcPr/>
                <w:p>
                  <w:pPr>
                    <w:pStyle w:val="Compact"/>
                    <w:jc w:val="right"/>
                    <w:jc w:val="center"/>
                  </w:pPr>
                  <w:r>
                    <w:t xml:space="preserve">1.717.342.457 đồng</w:t>
                  </w:r>
                </w:p>
              </w:tc>
              <w:tc>
                <w:tcPr/>
                <w:p>
                  <w:pPr>
                    <w:pStyle w:val="Compact"/>
                    <w:jc w:val="right"/>
                    <w:jc w:val="center"/>
                  </w:pPr>
                  <w:r>
                    <w:t xml:space="preserve">2.149.941.128 đồng</w:t>
                  </w:r>
                </w:p>
              </w:tc>
            </w:tr>
          </w:tbl>
          <w:bookmarkEnd w:id="55"/>
          <w:p>
            <w:pPr>
              <w:spacing w:before="0" w:after="0" w:line="240" w:lineRule="auto"/>
              <w:ind w:firstLine="0"/>
              <w:jc w:val="center"/>
            </w:pPr>
          </w:p>
        </w:tc>
      </w:tr>
    </w:tbl>
    <w:bookmarkEnd w:id="56"/>
    <w:bookmarkStart w:id="58" w:name="X64e2444d761133319c961563f28ae9cbcd30afa"/>
    <w:p>
      <w:pPr>
        <w:pStyle w:val="Heading3"/>
        <w:spacing w:before="120" w:after="120" w:line="276" w:lineRule="auto"/>
        <w:ind w:firstLine="0"/>
        <w:jc w:val="left"/>
      </w:pPr>
      <w:r>
        <w:rPr>
          <w:rFonts w:ascii="Times New Roman" w:hAnsi="Times New Roman" w:eastAsia="Times New Roman"/>
          <w:b/>
          <w:i w:val="0"/>
          <w:sz w:val="26"/>
        </w:rPr>
        <w:t xml:space="preserve">1.5.2 Mô hình GARCH với moment bậc cao biến đổi</w:t>
      </w:r>
    </w:p>
    <w:p>
      <w:pPr>
        <w:pStyle w:val="FirstParagraph"/>
        <w:spacing w:before="60" w:after="60" w:line="276" w:lineRule="auto"/>
        <w:ind w:firstLine="567"/>
        <w:jc w:val="both"/>
      </w:pPr>
      <w:r>
        <w:rPr>
          <w:rFonts w:ascii="Times New Roman" w:hAnsi="Times New Roman" w:eastAsia="Times New Roman"/>
          <w:sz w:val="26"/>
        </w:rPr>
        <w:t xml:space="preserve">GARCH cơ bản chủ yếu mô hình hóa moment bậc hai, tức phương sai có điều kiện. Tuy nhiên, rủi ro đuôi còn phụ thuộc vào độ lệch (</w:t>
      </w:r>
      <w:r>
        <w:rPr>
          <w:rFonts w:ascii="Times New Roman" w:hAnsi="Times New Roman" w:eastAsia="Times New Roman"/>
          <w:i/>
          <w:iCs/>
          <w:sz w:val="26"/>
        </w:rPr>
        <w:t xml:space="preserve">skewness</w:t>
      </w:r>
      <w:r>
        <w:rPr>
          <w:rFonts w:ascii="Times New Roman" w:hAnsi="Times New Roman" w:eastAsia="Times New Roman"/>
          <w:sz w:val="26"/>
        </w:rPr>
        <w:t xml:space="preserve">) và độ nhọn (</w:t>
      </w:r>
      <w:r>
        <w:rPr>
          <w:rFonts w:ascii="Times New Roman" w:hAnsi="Times New Roman" w:eastAsia="Times New Roman"/>
          <w:i/>
          <w:iCs/>
          <w:sz w:val="26"/>
        </w:rPr>
        <w:t xml:space="preserve">kurtosis</w:t>
      </w:r>
      <w:r>
        <w:rPr>
          <w:rFonts w:ascii="Times New Roman" w:hAnsi="Times New Roman" w:eastAsia="Times New Roman"/>
          <w:sz w:val="26"/>
        </w:rPr>
        <w:t xml:space="preserve">) của phân phối. Nếu mô hình volatility đúng nhưng phân phối sai, VaR và ES vẫn có thể sai. Vì vậy, các mở rộng của GARCH thường tập trung vào hai hướng.</w:t>
      </w:r>
    </w:p>
    <w:p>
      <w:pPr>
        <w:pStyle w:val="BodyText"/>
        <w:spacing w:before="60" w:after="60" w:line="276" w:lineRule="auto"/>
        <w:ind w:firstLine="567"/>
        <w:jc w:val="both"/>
      </w:pPr>
      <w:r>
        <w:rPr>
          <w:rFonts w:ascii="Times New Roman" w:hAnsi="Times New Roman" w:eastAsia="Times New Roman"/>
          <w:sz w:val="26"/>
        </w:rPr>
        <w:t xml:space="preserve">Hướng thứ nhất là dùng phân phối sai số linh hoạt hơn, chẳng hạn Student-t, GED hoặc skewed Student-t. Hướng thứ hai là cho phép phản ứng bất đối xứng của volatility đối với tin xấu và tin tốt, chẳng hạn GJR-GARCH hoặc EGARCH. Các nghiên cứu gần đây về thị trường mới nổi thường cho thấy mô hình bất đối xứng và phân phối đuôi dày cải thiện khả năng mô hình hóa volatility và tail risk, đặc biệt trong giai đoạn khủng hoảng hoặc biến động cao (ví dụ Ding và Meade, 2010; Alexander và Dakos, 2023; Gupta, 2025; Adegboyo và Sarwar, 2025).</w:t>
      </w:r>
    </w:p>
    <w:tbl>
      <w:tblPr>
        <w:tblStyle w:val="Table"/>
        <w:tblW w:type="pct" w:w="5000"/>
        <w:tblLayout w:type="fixed"/>
        <w:tblLook w:firstRow="0" w:lastRow="0" w:firstColumn="0" w:lastColumn="0" w:noHBand="0" w:noVBand="0" w:val="0000"/>
      </w:tblPr>
      <w:tblGrid>
        <w:gridCol w:w="7920"/>
      </w:tblGrid>
      <w:tr>
        <w:tc>
          <w:tcPr>
            <w:vAlign w:val="center"/>
          </w:tcPr>
          <w:bookmarkStart w:id="57" w:name="tbl-extended-garch-models"/>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10: Các mở rộng GARCH thường dùng trong mô hình VaR</w:t>
            </w:r>
          </w:p>
          <w:tbl>
            <w:tblPr>
              <w:tblStyle w:val="Table"/>
              <w:tblW w:type="pct" w:w="5000"/>
              <w:tblLayout w:type="fixed"/>
              <w:tblLook w:firstRow="1" w:lastRow="0" w:firstColumn="0" w:lastColumn="0" w:noHBand="0" w:noVBand="0" w:val="0020"/>
            </w:tblPr>
            <w:tblGrid>
              <w:gridCol w:w="924"/>
              <w:gridCol w:w="3237"/>
              <w:gridCol w:w="3757"/>
            </w:tblGrid>
            <w:tr>
              <w:trPr>
                <w:tblHeader w:val="on"/>
              </w:trPr>
              <w:tc>
                <w:tcPr/>
                <w:p>
                  <w:pPr>
                    <w:pStyle w:val="Compact"/>
                    <w:jc w:val="left"/>
                    <w:jc w:val="center"/>
                  </w:pPr>
                  <w:r>
                    <w:t xml:space="preserve">Mô hình</w:t>
                  </w:r>
                </w:p>
              </w:tc>
              <w:tc>
                <w:tcPr/>
                <w:p>
                  <w:pPr>
                    <w:pStyle w:val="Compact"/>
                    <w:jc w:val="left"/>
                    <w:jc w:val="center"/>
                  </w:pPr>
                  <w:r>
                    <w:t xml:space="preserve">Ý tưởng chính</w:t>
                  </w:r>
                </w:p>
              </w:tc>
              <w:tc>
                <w:tcPr/>
                <w:p>
                  <w:pPr>
                    <w:pStyle w:val="Compact"/>
                    <w:jc w:val="left"/>
                    <w:jc w:val="center"/>
                  </w:pPr>
                  <w:r>
                    <w:t xml:space="preserve">Phù hợp khi</w:t>
                  </w:r>
                </w:p>
              </w:tc>
            </w:tr>
            <w:tr>
              <w:tc>
                <w:tcPr/>
                <w:p>
                  <w:pPr>
                    <w:pStyle w:val="Compact"/>
                    <w:jc w:val="left"/>
                    <w:jc w:val="center"/>
                  </w:pPr>
                  <w:r>
                    <w:t xml:space="preserve">GARCH-normal</w:t>
                  </w:r>
                </w:p>
              </w:tc>
              <w:tc>
                <w:tcPr/>
                <w:p>
                  <w:pPr>
                    <w:pStyle w:val="Compact"/>
                    <w:jc w:val="left"/>
                    <w:jc w:val="center"/>
                  </w:pPr>
                  <w:r>
                    <w:t xml:space="preserve">Volatility động, sai số chuẩn</w:t>
                  </w:r>
                </w:p>
              </w:tc>
              <w:tc>
                <w:tcPr/>
                <w:p>
                  <w:pPr>
                    <w:pStyle w:val="Compact"/>
                    <w:jc w:val="left"/>
                    <w:jc w:val="center"/>
                  </w:pPr>
                  <w:r>
                    <w:t xml:space="preserve">Dùng làm benchmark cơ bản</w:t>
                  </w:r>
                </w:p>
              </w:tc>
            </w:tr>
            <w:tr>
              <w:tc>
                <w:tcPr/>
                <w:p>
                  <w:pPr>
                    <w:pStyle w:val="Compact"/>
                    <w:jc w:val="left"/>
                    <w:jc w:val="center"/>
                  </w:pPr>
                  <w:r>
                    <w:t xml:space="preserve">GARCH-Student-t</w:t>
                  </w:r>
                </w:p>
              </w:tc>
              <w:tc>
                <w:tcPr/>
                <w:p>
                  <w:pPr>
                    <w:pStyle w:val="Compact"/>
                    <w:jc w:val="left"/>
                    <w:jc w:val="center"/>
                  </w:pPr>
                  <w:r>
                    <w:t xml:space="preserve">Volatility động, sai số đuôi dày</w:t>
                  </w:r>
                </w:p>
              </w:tc>
              <w:tc>
                <w:tcPr/>
                <w:p>
                  <w:pPr>
                    <w:pStyle w:val="Compact"/>
                    <w:jc w:val="left"/>
                    <w:jc w:val="center"/>
                  </w:pPr>
                  <w:r>
                    <w:t xml:space="preserve">Dữ liệu có kurtosis cao</w:t>
                  </w:r>
                </w:p>
              </w:tc>
            </w:tr>
            <w:tr>
              <w:tc>
                <w:tcPr/>
                <w:p>
                  <w:pPr>
                    <w:pStyle w:val="Compact"/>
                    <w:jc w:val="left"/>
                    <w:jc w:val="center"/>
                  </w:pPr>
                  <w:r>
                    <w:t xml:space="preserve">GJR-GARCH</w:t>
                  </w:r>
                </w:p>
              </w:tc>
              <w:tc>
                <w:tcPr/>
                <w:p>
                  <w:pPr>
                    <w:pStyle w:val="Compact"/>
                    <w:jc w:val="left"/>
                    <w:jc w:val="center"/>
                  </w:pPr>
                  <w:r>
                    <w:t xml:space="preserve">Tin xấu và tin tốt có tác động khác nhau đến volatility</w:t>
                  </w:r>
                </w:p>
              </w:tc>
              <w:tc>
                <w:tcPr/>
                <w:p>
                  <w:pPr>
                    <w:pStyle w:val="Compact"/>
                    <w:jc w:val="left"/>
                    <w:jc w:val="center"/>
                  </w:pPr>
                  <w:r>
                    <w:t xml:space="preserve">Có leverage effect</w:t>
                  </w:r>
                </w:p>
              </w:tc>
            </w:tr>
            <w:tr>
              <w:tc>
                <w:tcPr/>
                <w:p>
                  <w:pPr>
                    <w:pStyle w:val="Compact"/>
                    <w:jc w:val="left"/>
                    <w:jc w:val="center"/>
                  </w:pPr>
                  <w:r>
                    <w:t xml:space="preserve">EGARCH</w:t>
                  </w:r>
                </w:p>
              </w:tc>
              <w:tc>
                <w:tcPr/>
                <w:p>
                  <w:pPr>
                    <w:pStyle w:val="Compact"/>
                    <w:jc w:val="left"/>
                    <w:jc w:val="center"/>
                  </w:pPr>
                  <w:r>
                    <w:t xml:space="preserve">Mô hình hóa log variance và hiệu ứng bất đối xứng</w:t>
                  </w:r>
                </w:p>
              </w:tc>
              <w:tc>
                <w:tcPr/>
                <w:p>
                  <w:pPr>
                    <w:pStyle w:val="Compact"/>
                    <w:jc w:val="left"/>
                    <w:jc w:val="center"/>
                  </w:pPr>
                  <w:r>
                    <w:t xml:space="preserve">Volatility phản ứng bất đối xứng và cần ràng buộc dương tự nhiên</w:t>
                  </w:r>
                </w:p>
              </w:tc>
            </w:tr>
            <w:tr>
              <w:tc>
                <w:tcPr/>
                <w:p>
                  <w:pPr>
                    <w:pStyle w:val="Compact"/>
                    <w:jc w:val="left"/>
                    <w:jc w:val="center"/>
                  </w:pPr>
                  <w:r>
                    <w:t xml:space="preserve">GARCH-skewed-t</w:t>
                  </w:r>
                </w:p>
              </w:tc>
              <w:tc>
                <w:tcPr/>
                <w:p>
                  <w:pPr>
                    <w:pStyle w:val="Compact"/>
                    <w:jc w:val="left"/>
                    <w:jc w:val="center"/>
                  </w:pPr>
                  <w:r>
                    <w:t xml:space="preserve">Cho phép đuôi dày và độ lệch của phân phối</w:t>
                  </w:r>
                </w:p>
              </w:tc>
              <w:tc>
                <w:tcPr/>
                <w:p>
                  <w:pPr>
                    <w:pStyle w:val="Compact"/>
                    <w:jc w:val="left"/>
                    <w:jc w:val="center"/>
                  </w:pPr>
                  <w:r>
                    <w:t xml:space="preserve">Phân phối tỷ lệ sinh lời vừa lệch vừa đuôi dày</w:t>
                  </w:r>
                </w:p>
              </w:tc>
            </w:tr>
            <w:tr>
              <w:tc>
                <w:tcPr/>
                <w:p>
                  <w:pPr>
                    <w:pStyle w:val="Compact"/>
                    <w:jc w:val="left"/>
                    <w:jc w:val="center"/>
                  </w:pPr>
                  <w:r>
                    <w:t xml:space="preserve">GAS/GARCH-score</w:t>
                  </w:r>
                </w:p>
              </w:tc>
              <w:tc>
                <w:tcPr/>
                <w:p>
                  <w:pPr>
                    <w:pStyle w:val="Compact"/>
                    <w:jc w:val="left"/>
                    <w:jc w:val="center"/>
                  </w:pPr>
                  <w:r>
                    <w:t xml:space="preserve">Cập nhật tham số động bằng score của likelihood</w:t>
                  </w:r>
                </w:p>
              </w:tc>
              <w:tc>
                <w:tcPr/>
                <w:p>
                  <w:pPr>
                    <w:pStyle w:val="Compact"/>
                    <w:jc w:val="left"/>
                    <w:jc w:val="center"/>
                  </w:pPr>
                  <w:r>
                    <w:t xml:space="preserve">Muốn mô hình hóa tham số phân phối thay đổi theo thời gian</w:t>
                  </w:r>
                </w:p>
              </w:tc>
            </w:tr>
          </w:tbl>
          <w:bookmarkEnd w:id="57"/>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10 giúp định vị các mô hình mở rộng. Trong Chương 5, không nhất thiết phải sử dụng tất cả các mô hình này. Một thiết kế thực nghiệm hợp lý là chọn một nhóm benchmark vừa đủ: historical simulation, normal rolling VaR, EWMA VaR, GARCH-t, GJR-GARCH-t và một mô hình bán tham số như quantile regression hoặc CAViaR.</w:t>
      </w:r>
    </w:p>
    <w:bookmarkEnd w:id="58"/>
    <w:bookmarkStart w:id="64" w:name="mô-hình-hồi-quy-cực-trị"/>
    <w:p>
      <w:pPr>
        <w:pStyle w:val="Heading3"/>
        <w:spacing w:before="120" w:after="120" w:line="276" w:lineRule="auto"/>
        <w:ind w:firstLine="0"/>
        <w:jc w:val="left"/>
      </w:pPr>
      <w:r>
        <w:rPr>
          <w:rFonts w:ascii="Times New Roman" w:hAnsi="Times New Roman" w:eastAsia="Times New Roman"/>
          <w:b/>
          <w:i w:val="0"/>
          <w:sz w:val="26"/>
        </w:rPr>
        <w:t xml:space="preserve">1.5.3 Mô hình hồi quy cực trị</w:t>
      </w:r>
    </w:p>
    <w:p>
      <w:pPr>
        <w:pStyle w:val="FirstParagraph"/>
        <w:spacing w:before="60" w:after="60" w:line="276" w:lineRule="auto"/>
        <w:ind w:firstLine="567"/>
        <w:jc w:val="both"/>
      </w:pPr>
      <w:r>
        <w:rPr>
          <w:rFonts w:ascii="Times New Roman" w:hAnsi="Times New Roman" w:eastAsia="Times New Roman"/>
          <w:sz w:val="26"/>
        </w:rPr>
        <w:t>Các phương pháp trên thường sử dụng toàn bộ phân phối hoặc một phần lớn dữ liệu để ước lượng VaR. Tuy nhiên, khi mục tiêu là rủi ro cực đoan, phần quan trọng nhất chính là vùng đuôi. Extreme Value Theory (EVT) cung cấp khung mô hình chuyên biệt cho các quan sát cực trị. Trong tài chính, EVT thường được dùng để ước lượng tail quantile và ES ở các mức tin cậy cao như 99% hoặc 99,5% (Brooks, 2019; Nolde &amp; Zhou, 2021; Tsay, 2010, 2013).</w:t>
      </w:r>
    </w:p>
    <w:p>
      <w:pPr>
        <w:pStyle w:val="BodyText"/>
        <w:spacing w:before="60" w:after="60" w:line="276" w:lineRule="auto"/>
        <w:ind w:firstLine="567"/>
        <w:jc w:val="both"/>
      </w:pPr>
      <w:r>
        <w:rPr>
          <w:rFonts w:ascii="Times New Roman" w:hAnsi="Times New Roman" w:eastAsia="Times New Roman"/>
          <w:sz w:val="26"/>
        </w:rPr>
        <w:t xml:space="preserve">Có hai hướng chính. Hướng thứ nhất là</w:t>
      </w:r>
      <w:r>
        <w:rPr>
          <w:rFonts w:ascii="Times New Roman" w:hAnsi="Times New Roman" w:eastAsia="Times New Roman"/>
          <w:sz w:val="26"/>
        </w:rPr>
        <w:t xml:space="preserve"> </w:t>
      </w:r>
      <w:r>
        <w:rPr>
          <w:rFonts w:ascii="Times New Roman" w:hAnsi="Times New Roman" w:eastAsia="Times New Roman"/>
          <w:b/>
          <w:bCs/>
          <w:sz w:val="26"/>
        </w:rPr>
        <w:t xml:space="preserve">block maxima</w:t>
      </w:r>
      <w:r>
        <w:rPr>
          <w:rFonts w:ascii="Times New Roman" w:hAnsi="Times New Roman" w:eastAsia="Times New Roman"/>
          <w:sz w:val="26"/>
        </w:rPr>
        <w:t xml:space="preserve">, trong đó dữ liệu được chia thành các khối và lấy giá trị cực đại của mỗi khối. Hướng thứ hai là</w:t>
      </w:r>
      <w:r>
        <w:rPr>
          <w:rFonts w:ascii="Times New Roman" w:hAnsi="Times New Roman" w:eastAsia="Times New Roman"/>
          <w:sz w:val="26"/>
        </w:rPr>
        <w:t xml:space="preserve"> </w:t>
      </w:r>
      <w:r>
        <w:rPr>
          <w:rFonts w:ascii="Times New Roman" w:hAnsi="Times New Roman" w:eastAsia="Times New Roman"/>
          <w:b/>
          <w:bCs/>
          <w:sz w:val="26"/>
        </w:rPr>
        <w:t xml:space="preserve">Peaks Over Threshold</w:t>
      </w:r>
      <w:r>
        <w:rPr>
          <w:rFonts w:ascii="Times New Roman" w:hAnsi="Times New Roman" w:eastAsia="Times New Roman"/>
          <w:sz w:val="26"/>
        </w:rPr>
        <w:t xml:space="preserve"> </w:t>
      </w:r>
      <w:r>
        <w:rPr>
          <w:rFonts w:ascii="Times New Roman" w:hAnsi="Times New Roman" w:eastAsia="Times New Roman"/>
          <w:sz w:val="26"/>
        </w:rPr>
        <w:t xml:space="preserve">(POT), trong đó chỉ các quan sát vượt một ngưỡng cao</w:t>
      </w:r>
      <w:r>
        <w:rPr>
          <w:rFonts w:ascii="Times New Roman" w:hAnsi="Times New Roman" w:eastAsia="Times New Roman"/>
          <w:sz w:val="26"/>
        </w:rPr>
        <w:t xml:space="preserve"> </w:t>
      </w:r>
      <m:oMath>
        <m:r>
          <m:t>u</m:t>
        </m:r>
      </m:oMath>
      <w:r>
        <w:rPr>
          <w:rFonts w:ascii="Times New Roman" w:hAnsi="Times New Roman" w:eastAsia="Times New Roman"/>
          <w:sz w:val="26"/>
        </w:rPr>
        <w:t xml:space="preserve"> </w:t>
      </w:r>
      <w:r>
        <w:rPr>
          <w:rFonts w:ascii="Times New Roman" w:hAnsi="Times New Roman" w:eastAsia="Times New Roman"/>
          <w:sz w:val="26"/>
        </w:rPr>
        <w:t xml:space="preserve">được mô hình hóa. Trong ứng dụng VaR, POT thường linh hoạt hơn vì sử dụng trực tiếp các quan sát nằm trong vùng đuôi.</w:t>
      </w:r>
    </w:p>
    <w:p>
      <w:pPr>
        <w:pStyle w:val="BodyText"/>
        <w:spacing w:before="60" w:after="60" w:line="276" w:lineRule="auto"/>
        <w:ind w:firstLine="567"/>
        <w:jc w:val="both"/>
      </w:pPr>
      <w:r>
        <w:rPr>
          <w:rFonts w:ascii="Times New Roman" w:hAnsi="Times New Roman" w:eastAsia="Times New Roman"/>
          <w:sz w:val="26"/>
        </w:rPr>
        <w:t xml:space="preserve">Với POT, phần vượt ngưỡng</w:t>
      </w:r>
      <w:r>
        <w:rPr>
          <w:rFonts w:ascii="Times New Roman" w:hAnsi="Times New Roman" w:eastAsia="Times New Roman"/>
          <w:sz w:val="26"/>
        </w:rPr>
        <w:t xml:space="preserve"> </w:t>
      </w:r>
      <m:oMath>
        <m:r>
          <m:t>Y</m:t>
        </m:r>
        <m:r>
          <m:rPr>
            <m:sty m:val="p"/>
          </m:rPr>
          <m:t>=</m:t>
        </m:r>
        <m:r>
          <m:t>L</m:t>
        </m:r>
        <m:r>
          <m:rPr>
            <m:sty m:val="p"/>
          </m:rPr>
          <m:t>−</m:t>
        </m:r>
        <m:r>
          <m:t>u</m:t>
        </m:r>
        <m:r>
          <m:rPr>
            <m:sty m:val="p"/>
          </m:rPr>
          <m:t>∣</m:t>
        </m:r>
        <m:r>
          <m:t>L</m:t>
        </m:r>
        <m:r>
          <m:rPr>
            <m:sty m:val="p"/>
          </m:rPr>
          <m:t>&gt;</m:t>
        </m:r>
        <m:r>
          <m:t>u</m:t>
        </m:r>
      </m:oMath>
      <w:r>
        <w:rPr>
          <w:rFonts w:ascii="Times New Roman" w:hAnsi="Times New Roman" w:eastAsia="Times New Roman"/>
          <w:sz w:val="26"/>
        </w:rPr>
        <w:t xml:space="preserve"> </w:t>
      </w:r>
      <w:r>
        <w:rPr>
          <w:rFonts w:ascii="Times New Roman" w:hAnsi="Times New Roman" w:eastAsia="Times New Roman"/>
          <w:sz w:val="26"/>
        </w:rPr>
        <w:t xml:space="preserve">thường được mô hình hóa bằng phân phối Pareto tổng quát (</w:t>
      </w:r>
      <w:r>
        <w:rPr>
          <w:rFonts w:ascii="Times New Roman" w:hAnsi="Times New Roman" w:eastAsia="Times New Roman"/>
          <w:i/>
          <w:iCs/>
          <w:sz w:val="26"/>
        </w:rPr>
        <w:t xml:space="preserve">Generalized Pareto Distribution</w:t>
      </w:r>
      <w:r>
        <w:rPr>
          <w:rFonts w:ascii="Times New Roman" w:hAnsi="Times New Roman" w:eastAsia="Times New Roman"/>
          <w:sz w:val="26"/>
        </w:rPr>
        <w:t xml:space="preserve">, GPD):</w:t>
      </w:r>
    </w:p>
    <w:p>
      <w:pPr>
        <w:pStyle w:val="BodyText"/>
      </w:pPr>
      <m:oMathPara>
        <m:oMathParaPr>
          <m:jc m:val="center"/>
        </m:oMathParaPr>
        <m:oMath>
          <m:r>
            <m:t>G</m:t>
          </m:r>
          <m:r>
            <m:rPr>
              <m:sty m:val="p"/>
            </m:rPr>
            <m:t>(</m:t>
          </m:r>
          <m:r>
            <m:t>y</m:t>
          </m:r>
          <m:r>
            <m:rPr>
              <m:sty m:val="p"/>
            </m:rPr>
            <m:t>;</m:t>
          </m:r>
          <m:r>
            <m:t>ξ</m:t>
          </m:r>
          <m:r>
            <m:rPr>
              <m:sty m:val="p"/>
            </m:rPr>
            <m:t>,</m:t>
          </m:r>
          <m:r>
            <m:t>β</m:t>
          </m:r>
          <m:r>
            <m:rPr>
              <m:sty m:val="p"/>
            </m:rPr>
            <m:t>)</m:t>
          </m:r>
          <m:r>
            <m:rPr>
              <m:sty m:val="p"/>
            </m:rPr>
            <m:t>=</m:t>
          </m:r>
          <m:r>
            <m:t>1</m:t>
          </m:r>
          <m:r>
            <m:rPr>
              <m:sty m:val="p"/>
            </m:rPr>
            <m:t>−</m:t>
          </m:r>
          <m:sSup>
            <m:e>
              <m:d>
                <m:dPr>
                  <m:begChr m:val="("/>
                  <m:sepChr m:val=""/>
                  <m:endChr m:val=")"/>
                  <m:grow/>
                </m:dPr>
                <m:e>
                  <m:r>
                    <m:t>1</m:t>
                  </m:r>
                  <m:r>
                    <m:rPr>
                      <m:sty m:val="p"/>
                    </m:rPr>
                    <m:t>+</m:t>
                  </m:r>
                  <m:f>
                    <m:fPr>
                      <m:type m:val="bar"/>
                    </m:fPr>
                    <m:num>
                      <m:r>
                        <m:t>ξ</m:t>
                      </m:r>
                      <m:r>
                        <m:t>y</m:t>
                      </m:r>
                    </m:num>
                    <m:den>
                      <m:r>
                        <m:t>β</m:t>
                      </m:r>
                    </m:den>
                  </m:f>
                </m:e>
              </m:d>
            </m:e>
            <m:sup>
              <m:r>
                <m:rPr>
                  <m:sty m:val="p"/>
                </m:rPr>
                <m:t>−</m:t>
              </m:r>
              <m:r>
                <m:t>1</m:t>
              </m:r>
              <m:r>
                <m:rPr>
                  <m:sty m:val="p"/>
                </m:rPr>
                <m:t>/</m:t>
              </m:r>
              <m:r>
                <m:t>ξ</m:t>
              </m:r>
            </m:sup>
          </m:sSup>
          <m:r>
            <m:rPr>
              <m:sty m:val="p"/>
            </m:rPr>
            <m:t>,</m:t>
          </m:r>
          <m:r>
            <m:t>  </m:t>
          </m:r>
          <m:r>
            <m:t>y</m:t>
          </m:r>
          <m:r>
            <m:rPr>
              <m:sty m:val="p"/>
            </m:rPr>
            <m:t>&gt;</m:t>
          </m:r>
          <m:r>
            <m:t>0</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r>
        <w:rPr>
          <w:rFonts w:ascii="Times New Roman" w:hAnsi="Times New Roman" w:eastAsia="Times New Roman"/>
          <w:sz w:val="26"/>
        </w:rPr>
        <w:t xml:space="preserve"> </w:t>
      </w:r>
      <m:oMath>
        <m:r>
          <m:t>ξ</m:t>
        </m:r>
      </m:oMath>
      <w:r>
        <w:rPr>
          <w:rFonts w:ascii="Times New Roman" w:hAnsi="Times New Roman" w:eastAsia="Times New Roman"/>
          <w:sz w:val="26"/>
        </w:rPr>
        <w:t xml:space="preserve"> </w:t>
      </w:r>
      <w:r>
        <w:rPr>
          <w:rFonts w:ascii="Times New Roman" w:hAnsi="Times New Roman" w:eastAsia="Times New Roman"/>
          <w:sz w:val="26"/>
        </w:rPr>
        <w:t xml:space="preserve">là tham số đuôi và</w:t>
      </w:r>
      <w:r>
        <w:rPr>
          <w:rFonts w:ascii="Times New Roman" w:hAnsi="Times New Roman" w:eastAsia="Times New Roman"/>
          <w:sz w:val="26"/>
        </w:rPr>
        <w:t xml:space="preserve"> </w:t>
      </w:r>
      <m:oMath>
        <m:r>
          <m:t>β</m:t>
        </m:r>
      </m:oMath>
      <w:r>
        <w:rPr>
          <w:rFonts w:ascii="Times New Roman" w:hAnsi="Times New Roman" w:eastAsia="Times New Roman"/>
          <w:sz w:val="26"/>
        </w:rPr>
        <w:t xml:space="preserve"> </w:t>
      </w:r>
      <w:r>
        <w:rPr>
          <w:rFonts w:ascii="Times New Roman" w:hAnsi="Times New Roman" w:eastAsia="Times New Roman"/>
          <w:sz w:val="26"/>
        </w:rPr>
        <w:t xml:space="preserve">là tham số thang. Nếu</w:t>
      </w:r>
      <w:r>
        <w:rPr>
          <w:rFonts w:ascii="Times New Roman" w:hAnsi="Times New Roman" w:eastAsia="Times New Roman"/>
          <w:sz w:val="26"/>
        </w:rPr>
        <w:t xml:space="preserve"> </w:t>
      </w:r>
      <m:oMath>
        <m:r>
          <m:t>ξ</m:t>
        </m:r>
      </m:oMath>
      <w:r>
        <w:rPr>
          <w:rFonts w:ascii="Times New Roman" w:hAnsi="Times New Roman" w:eastAsia="Times New Roman"/>
          <w:sz w:val="26"/>
        </w:rPr>
        <w:t xml:space="preserve"> </w:t>
      </w:r>
      <w:r>
        <w:rPr>
          <w:rFonts w:ascii="Times New Roman" w:hAnsi="Times New Roman" w:eastAsia="Times New Roman"/>
          <w:sz w:val="26"/>
        </w:rPr>
        <w:t xml:space="preserve">càng lớn, đuôi phân phối càng dày. Với ngưỡng</w:t>
      </w:r>
      <w:r>
        <w:rPr>
          <w:rFonts w:ascii="Times New Roman" w:hAnsi="Times New Roman" w:eastAsia="Times New Roman"/>
          <w:sz w:val="26"/>
        </w:rPr>
        <w:t xml:space="preserve"> </w:t>
      </w:r>
      <m:oMath>
        <m:r>
          <m:t>u</m:t>
        </m:r>
      </m:oMath>
      <w:r>
        <w:rPr>
          <w:rFonts w:ascii="Times New Roman" w:hAnsi="Times New Roman" w:eastAsia="Times New Roman"/>
          <w:sz w:val="26"/>
        </w:rPr>
        <w:t xml:space="preserve">, số quan sát vượt ngưỡng</w:t>
      </w:r>
      <w:r>
        <w:rPr>
          <w:rFonts w:ascii="Times New Roman" w:hAnsi="Times New Roman" w:eastAsia="Times New Roman"/>
          <w:sz w:val="26"/>
        </w:rPr>
        <w:t xml:space="preserve"> </w:t>
      </w:r>
      <m:oMath>
        <m:sSub>
          <m:e>
            <m:r>
              <m:t>N</m:t>
            </m:r>
          </m:e>
          <m:sub>
            <m:r>
              <m:t>u</m:t>
            </m:r>
          </m:sub>
        </m:sSub>
      </m:oMath>
      <w:r>
        <w:rPr>
          <w:rFonts w:ascii="Times New Roman" w:hAnsi="Times New Roman" w:eastAsia="Times New Roman"/>
          <w:sz w:val="26"/>
        </w:rPr>
        <w:t xml:space="preserve"> </w:t>
      </w:r>
      <w:r>
        <w:rPr>
          <w:rFonts w:ascii="Times New Roman" w:hAnsi="Times New Roman" w:eastAsia="Times New Roman"/>
          <w:sz w:val="26"/>
        </w:rPr>
        <w:t xml:space="preserve">và tổng số quan sát</w:t>
      </w:r>
      <w:r>
        <w:rPr>
          <w:rFonts w:ascii="Times New Roman" w:hAnsi="Times New Roman" w:eastAsia="Times New Roman"/>
          <w:sz w:val="26"/>
        </w:rPr>
        <w:t xml:space="preserve"> </w:t>
      </w:r>
      <m:oMath>
        <m:r>
          <m:t>N</m:t>
        </m:r>
      </m:oMath>
      <w:r>
        <w:rPr>
          <w:rFonts w:ascii="Times New Roman" w:hAnsi="Times New Roman" w:eastAsia="Times New Roman"/>
          <w:sz w:val="26"/>
        </w:rPr>
        <w:t xml:space="preserve">, VaR mức</w:t>
      </w:r>
      <w:r>
        <w:rPr>
          <w:rFonts w:ascii="Times New Roman" w:hAnsi="Times New Roman" w:eastAsia="Times New Roman"/>
          <w:sz w:val="26"/>
        </w:rPr>
        <w:t xml:space="preserve"> </w:t>
      </w:r>
      <m:oMath>
        <m:r>
          <m:t>p</m:t>
        </m:r>
      </m:oMath>
      <w:r>
        <w:rPr>
          <w:rFonts w:ascii="Times New Roman" w:hAnsi="Times New Roman" w:eastAsia="Times New Roman"/>
          <w:sz w:val="26"/>
        </w:rPr>
        <w:t xml:space="preserve"> </w:t>
      </w:r>
      <w:r>
        <w:rPr>
          <w:rFonts w:ascii="Times New Roman" w:hAnsi="Times New Roman" w:eastAsia="Times New Roman"/>
          <w:sz w:val="26"/>
        </w:rPr>
        <w:t xml:space="preserve">có thể xấp xỉ bởi:</w:t>
      </w:r>
    </w:p>
    <w:p>
      <w:pPr>
        <w:pStyle w:val="BodyText"/>
      </w:pPr>
      <m:oMathPara>
        <m:oMathParaPr>
          <m:jc m:val="center"/>
        </m:oMathParaPr>
        <m:oMath>
          <m:r>
            <m:t>V</m:t>
          </m:r>
          <m:r>
            <m:t>a</m:t>
          </m:r>
          <m:sSubSup>
            <m:e>
              <m:r>
                <m:t>R</m:t>
              </m:r>
            </m:e>
            <m:sub>
              <m:r>
                <m:t>p</m:t>
              </m:r>
            </m:sub>
            <m:sup>
              <m:r>
                <m:t>P</m:t>
              </m:r>
              <m:r>
                <m:t>O</m:t>
              </m:r>
              <m:r>
                <m:t>T</m:t>
              </m:r>
            </m:sup>
          </m:sSubSup>
          <m:r>
            <m:rPr>
              <m:sty m:val="p"/>
            </m:rPr>
            <m:t>=</m:t>
          </m:r>
          <m:r>
            <m:t>u</m:t>
          </m:r>
          <m:r>
            <m:rPr>
              <m:sty m:val="p"/>
            </m:rPr>
            <m:t>+</m:t>
          </m:r>
          <m:f>
            <m:fPr>
              <m:type m:val="bar"/>
            </m:fPr>
            <m:num>
              <m:r>
                <m:t>β</m:t>
              </m:r>
            </m:num>
            <m:den>
              <m:r>
                <m:t>ξ</m:t>
              </m:r>
            </m:den>
          </m:f>
          <m:d>
            <m:dPr>
              <m:begChr m:val="["/>
              <m:sepChr m:val=""/>
              <m:endChr m:val="]"/>
              <m:grow/>
            </m:dPr>
            <m:e>
              <m:sSup>
                <m:e>
                  <m:d>
                    <m:dPr>
                      <m:begChr m:val="("/>
                      <m:sepChr m:val=""/>
                      <m:endChr m:val=")"/>
                      <m:grow/>
                    </m:dPr>
                    <m:e>
                      <m:f>
                        <m:fPr>
                          <m:type m:val="bar"/>
                        </m:fPr>
                        <m:num>
                          <m:r>
                            <m:t>N</m:t>
                          </m:r>
                        </m:num>
                        <m:den>
                          <m:sSub>
                            <m:e>
                              <m:r>
                                <m:t>N</m:t>
                              </m:r>
                            </m:e>
                            <m:sub>
                              <m:r>
                                <m:t>u</m:t>
                              </m:r>
                            </m:sub>
                          </m:sSub>
                        </m:den>
                      </m:f>
                      <m:r>
                        <m:rPr>
                          <m:sty m:val="p"/>
                        </m:rPr>
                        <m:t>(</m:t>
                      </m:r>
                      <m:r>
                        <m:t>1</m:t>
                      </m:r>
                      <m:r>
                        <m:rPr>
                          <m:sty m:val="p"/>
                        </m:rPr>
                        <m:t>−</m:t>
                      </m:r>
                      <m:r>
                        <m:t>p</m:t>
                      </m:r>
                      <m:r>
                        <m:rPr>
                          <m:sty m:val="p"/>
                        </m:rPr>
                        <m:t>)</m:t>
                      </m:r>
                    </m:e>
                  </m:d>
                </m:e>
                <m:sup>
                  <m:r>
                    <m:rPr>
                      <m:sty m:val="p"/>
                    </m:rPr>
                    <m:t>−</m:t>
                  </m:r>
                  <m:r>
                    <m:t>ξ</m:t>
                  </m:r>
                </m:sup>
              </m:sSup>
              <m:r>
                <m:rPr>
                  <m:sty m:val="p"/>
                </m:rPr>
                <m:t>−</m:t>
              </m:r>
              <m:r>
                <m:t>1</m:t>
              </m:r>
            </m:e>
          </m:d>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Công thức này cho thấy EVT không cố mô hình hóa toàn bộ phân phối lỗ; nó chỉ tập trung vào vùng đuôi sau một ngưỡng cao. Đây là điểm mạnh khi rủi ro cực đoan là trọng tâm, nhưng cũng là nguồn nhạy cảm vì kết quả phụ thuộc vào lựa chọn ngưỡng.</w:t>
      </w:r>
    </w:p>
    <w:tbl>
      <w:tblPr>
        <w:tblStyle w:val="Table"/>
        <w:tblW w:type="pct" w:w="5000"/>
        <w:tblLayout w:type="fixed"/>
        <w:tblLook w:firstRow="0" w:lastRow="0" w:firstColumn="0" w:lastColumn="0" w:noHBand="0" w:noVBand="0" w:val="0000"/>
      </w:tblPr>
      <w:tblGrid>
        <w:gridCol w:w="7920"/>
      </w:tblGrid>
      <w:tr>
        <w:tc>
          <w:tcPr>
            <w:vAlign w:val="center"/>
          </w:tcPr>
          <w:bookmarkStart w:id="62" w:name="fig-mean-excess-plot"/>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60" name="Picture"/>
                  <a:graphic>
                    <a:graphicData uri="http://schemas.openxmlformats.org/drawingml/2006/picture">
                      <pic:pic>
                        <pic:nvPicPr>
                          <pic:cNvPr descr="ch04_docx_tmp_files/figure-docx/fig-mean-excess-plot-1.pdf" id="61" name="Picture"/>
                          <pic:cNvPicPr>
                            <a:picLocks noChangeArrowheads="1" noChangeAspect="1"/>
                          </pic:cNvPicPr>
                        </pic:nvPicPr>
                        <pic:blipFill>
                          <a:blip r:embed="rId59"/>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7: Minh họa mean excess plot trong phương pháp POT</w:t>
            </w:r>
          </w:p>
          <w:bookmarkEnd w:id="62"/>
        </w:tc>
      </w:tr>
    </w:tbl>
    <w:p>
      <w:pPr>
        <w:pStyle w:val="BodyText"/>
        <w:spacing w:before="60" w:after="60" w:line="240" w:lineRule="auto"/>
        <w:ind w:firstLine="0"/>
        <w:jc w:val="center"/>
      </w:pPr>
      <w:r>
        <w:rPr>
          <w:rFonts w:ascii="Times New Roman" w:hAnsi="Times New Roman" w:eastAsia="Times New Roman"/>
          <w:b/>
          <w:i w:val="0"/>
          <w:sz w:val="24"/>
        </w:rPr>
        <w:t>Hình 7 minh họa công cụ trực quan thường dùng trong POT. Nếu ngưỡng quá thấp, phần dữ liệu được chọn có thể chưa thật sự thuộc vùng đuôi. Nếu ngưỡng quá cao, số quan sát vượt ngưỡng quá ít, làm ước lượng không ổn định. Vì vậy, lựa chọn ngưỡng là một quyết định thực nghiệm quan trọng.</w:t>
      </w:r>
    </w:p>
    <w:tbl>
      <w:tblPr>
        <w:tblStyle w:val="Table"/>
        <w:tblW w:type="pct" w:w="5000"/>
        <w:tblLayout w:type="fixed"/>
        <w:tblLook w:firstRow="0" w:lastRow="0" w:firstColumn="0" w:lastColumn="0" w:noHBand="0" w:noVBand="0" w:val="0000"/>
      </w:tblPr>
      <w:tblGrid>
        <w:gridCol w:w="7920"/>
      </w:tblGrid>
      <w:tr>
        <w:tc>
          <w:tcPr>
            <w:vAlign w:val="center"/>
          </w:tcPr>
          <w:bookmarkStart w:id="63" w:name="tbl-pot-var-es-demo"/>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11: Minh họa VaR và ES theo EVT/POT bằng ước lượng moment đơn giản</w:t>
            </w:r>
          </w:p>
          <w:tbl>
            <w:tblPr>
              <w:tblStyle w:val="Table"/>
              <w:tblW w:type="pct" w:w="5000"/>
              <w:tblLayout w:type="fixed"/>
              <w:tblLook w:firstRow="1" w:lastRow="0" w:firstColumn="0" w:lastColumn="0" w:noHBand="0" w:noVBand="0" w:val="0020"/>
            </w:tblPr>
            <w:tblGrid>
              <w:gridCol w:w="950"/>
              <w:gridCol w:w="1584"/>
              <w:gridCol w:w="1372"/>
              <w:gridCol w:w="1584"/>
              <w:gridCol w:w="1267"/>
              <w:gridCol w:w="1161"/>
            </w:tblGrid>
            <w:tr>
              <w:trPr>
                <w:tblHeader w:val="on"/>
              </w:trPr>
              <w:tc>
                <w:tcPr/>
                <w:p>
                  <w:pPr>
                    <w:pStyle w:val="Compact"/>
                    <w:jc w:val="left"/>
                    <w:jc w:val="center"/>
                  </w:pPr>
                  <w:r>
                    <w:t xml:space="preserve">Ngưỡng u</w:t>
                  </w:r>
                </w:p>
              </w:tc>
              <w:tc>
                <w:tcPr/>
                <w:p>
                  <w:pPr>
                    <w:pStyle w:val="Compact"/>
                    <w:jc w:val="right"/>
                    <w:jc w:val="center"/>
                  </w:pPr>
                  <w:r>
                    <w:t xml:space="preserve">Số vượt ngưỡng</w:t>
                  </w:r>
                </w:p>
              </w:tc>
              <w:tc>
                <w:tcPr/>
                <w:p>
                  <w:pPr>
                    <w:pStyle w:val="Compact"/>
                    <w:jc w:val="right"/>
                    <w:jc w:val="center"/>
                  </w:pPr>
                  <w:r>
                    <w:t xml:space="preserve">Xi ước lượng</w:t>
                  </w:r>
                </w:p>
              </w:tc>
              <w:tc>
                <w:tcPr/>
                <w:p>
                  <w:pPr>
                    <w:pStyle w:val="Compact"/>
                    <w:jc w:val="right"/>
                    <w:jc w:val="center"/>
                  </w:pPr>
                  <w:r>
                    <w:t xml:space="preserve">Beta ước lượng</w:t>
                  </w:r>
                </w:p>
              </w:tc>
              <w:tc>
                <w:tcPr/>
                <w:p>
                  <w:pPr>
                    <w:pStyle w:val="Compact"/>
                    <w:jc w:val="right"/>
                    <w:jc w:val="center"/>
                  </w:pPr>
                  <w:r>
                    <w:t xml:space="preserve">VaR 99% POT</w:t>
                  </w:r>
                </w:p>
              </w:tc>
              <w:tc>
                <w:tcPr/>
                <w:p>
                  <w:pPr>
                    <w:pStyle w:val="Compact"/>
                    <w:jc w:val="right"/>
                    <w:jc w:val="center"/>
                  </w:pPr>
                  <w:r>
                    <w:t xml:space="preserve">ES 99% POT</w:t>
                  </w:r>
                </w:p>
              </w:tc>
            </w:tr>
            <w:tr>
              <w:tc>
                <w:tcPr/>
                <w:p>
                  <w:pPr>
                    <w:pStyle w:val="Compact"/>
                    <w:jc w:val="left"/>
                    <w:jc w:val="center"/>
                  </w:pPr>
                  <w:r>
                    <w:t xml:space="preserve">1,22%</w:t>
                  </w:r>
                </w:p>
              </w:tc>
              <w:tc>
                <w:tcPr/>
                <w:p>
                  <w:pPr>
                    <w:pStyle w:val="Compact"/>
                    <w:jc w:val="right"/>
                    <w:jc w:val="center"/>
                  </w:pPr>
                  <w:r>
                    <w:t xml:space="preserve">80</w:t>
                  </w:r>
                </w:p>
              </w:tc>
              <w:tc>
                <w:tcPr/>
                <w:p>
                  <w:pPr>
                    <w:pStyle w:val="Compact"/>
                    <w:jc w:val="right"/>
                    <w:jc w:val="center"/>
                  </w:pPr>
                  <w:r>
                    <w:t xml:space="preserve">0,2192</w:t>
                  </w:r>
                </w:p>
              </w:tc>
              <w:tc>
                <w:tcPr/>
                <w:p>
                  <w:pPr>
                    <w:pStyle w:val="Compact"/>
                    <w:jc w:val="right"/>
                    <w:jc w:val="center"/>
                  </w:pPr>
                  <w:r>
                    <w:t xml:space="preserve">0,0054</w:t>
                  </w:r>
                </w:p>
              </w:tc>
              <w:tc>
                <w:tcPr/>
                <w:p>
                  <w:pPr>
                    <w:pStyle w:val="Compact"/>
                    <w:jc w:val="right"/>
                    <w:jc w:val="center"/>
                  </w:pPr>
                  <w:r>
                    <w:t xml:space="preserve">2,27%</w:t>
                  </w:r>
                </w:p>
              </w:tc>
              <w:tc>
                <w:tcPr/>
                <w:p>
                  <w:pPr>
                    <w:pStyle w:val="Compact"/>
                    <w:jc w:val="right"/>
                    <w:jc w:val="center"/>
                  </w:pPr>
                  <w:r>
                    <w:t xml:space="preserve">3,27%</w:t>
                  </w:r>
                </w:p>
              </w:tc>
            </w:tr>
          </w:tbl>
          <w:bookmarkEnd w:id="63"/>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11 chỉ là minh họa nhập môn. Trong nghiên cứu thực nghiệm, EVT/POT nên được ước lượng cẩn trọng hơn, thường bằng maximum likelihood, kèm kiểm tra độ nhạy theo ngưỡng và backtesting ngoài mẫu. Với VN-Index, EVT/POT có thể được dùng như mô hình mở rộng hoặc robustness check cho các mức tin cậy cao.</w:t>
      </w:r>
    </w:p>
    <w:bookmarkEnd w:id="64"/>
    <w:bookmarkEnd w:id="65"/>
    <w:bookmarkStart w:id="86" w:name="tóm-lược-chương"/>
    <w:p>
      <w:pPr>
        <w:pStyle w:val="Heading2"/>
        <w:spacing w:before="120" w:after="120" w:line="276" w:lineRule="auto"/>
        <w:ind w:firstLine="0"/>
        <w:jc w:val="left"/>
      </w:pPr>
      <w:r>
        <w:rPr>
          <w:rFonts w:ascii="Times New Roman" w:hAnsi="Times New Roman" w:eastAsia="Times New Roman"/>
          <w:b/>
          <w:i w:val="0"/>
          <w:sz w:val="26"/>
        </w:rPr>
        <w:t>1.6 TÓM LƯỢC CHƯƠNG</w:t>
      </w:r>
    </w:p>
    <w:p>
      <w:pPr>
        <w:pStyle w:val="FirstParagraph"/>
        <w:spacing w:before="60" w:after="60" w:line="276" w:lineRule="auto"/>
        <w:ind w:firstLine="567"/>
        <w:jc w:val="both"/>
      </w:pPr>
      <w:r>
        <w:rPr>
          <w:rFonts w:ascii="Times New Roman" w:hAnsi="Times New Roman" w:eastAsia="Times New Roman"/>
          <w:sz w:val="26"/>
        </w:rPr>
        <w:t xml:space="preserve">Chương này đã trình bày hệ thống các phương pháp đo lường rủi ro đuôi thông qua VaR và ES. VaR là ngưỡng phân vị của phân phối lỗ, còn ES là mức tổn thất trung bình trong vùng vượt VaR. Mô phỏng lịch sử dễ hiểu và không cần giả định phân phối, nhưng phụ thuộc mạnh vào cửa sổ dữ liệu và phản ứng chậm với thay đổi chế độ thị trường. Mô hình tham số đơn giản và có công thức rõ ràng, nhưng nhạy với giả định chuẩn hoặc Student-t. Các mô hình GARCH-type kết nối trực tiếp với phần volatility ở Chương 2 vì chúng dùng volatility forecast làm đầu vào cho VaR động.</w:t>
      </w:r>
    </w:p>
    <w:p>
      <w:pPr>
        <w:pStyle w:val="BodyText"/>
        <w:spacing w:before="60" w:after="60" w:line="276" w:lineRule="auto"/>
        <w:ind w:firstLine="567"/>
        <w:jc w:val="both"/>
      </w:pPr>
      <w:r>
        <w:rPr>
          <w:rFonts w:ascii="Times New Roman" w:hAnsi="Times New Roman" w:eastAsia="Times New Roman"/>
          <w:sz w:val="26"/>
        </w:rPr>
        <w:t xml:space="preserve">Chương cũng đã mở rộng sang mô hình bán tham số, trong đó VaR được nhìn như một phân vị có điều kiện và có thể được ước lượng trực tiếp bằng hồi quy phân vị. Phần backtesting cho thấy một mô hình VaR không thể được đánh giá chỉ bằng trực giác hoặc độ phức tạp mô hình; mô hình phải được kiểm tra bằng số lần vi phạm, tính độc lập của vi phạm, conditional coverage, dynamic quantile test và hàm mất mát dự báo. Cuối cùng, các mô hình mở rộng như GARCH Monte Carlo, GARCH với phân phối đuôi dày/bất đối xứng và EVT/POT cung cấp thêm công cụ khi tail risk là trọng tâm.</w:t>
      </w:r>
    </w:p>
    <w:p>
      <w:pPr>
        <w:pStyle w:val="BodyText"/>
        <w:spacing w:before="60" w:after="60" w:line="276" w:lineRule="auto"/>
        <w:ind w:firstLine="567"/>
        <w:jc w:val="both"/>
      </w:pPr>
      <w:r>
        <w:rPr>
          <w:rFonts w:ascii="Times New Roman" w:hAnsi="Times New Roman" w:eastAsia="Times New Roman"/>
          <w:sz w:val="26"/>
        </w:rPr>
        <w:t xml:space="preserve">Trong Chương 5, các nội dung này sẽ được chuyển sang đánh giá thực nghiệm với VN-Index. Trình tự phù hợp là: chuẩn bị chuỗi tỷ lệ sinh lời VN-Index; chia mẫu ước lượng và mẫu backtesting; ước lượng các mô hình VaR/ES; so sánh số lần vượt ngưỡng; kiểm định Kupiec, Christoffersen và Dynamic Quantile; sau đó kết luận mô hình nào phù hợp nhất cho quản trị rủi ro thị trường Việt Nam.</w:t>
      </w:r>
    </w:p>
    <w:bookmarkStart w:id="85" w:name="refs"/>
    <w:bookmarkStart w:id="66" w:name="ref-AcerbiTasche2002"/>
    <w:p>
      <w:pPr>
        <w:pStyle w:val="Bibliography"/>
        <w:spacing w:before="0" w:after="60" w:line="276" w:lineRule="auto"/>
        <w:ind w:hanging="454" w:left="454"/>
        <w:jc w:val="left"/>
      </w:pPr>
      <w:r>
        <w:rPr>
          <w:rFonts w:ascii="Times New Roman" w:hAnsi="Times New Roman" w:eastAsia="Times New Roman"/>
          <w:b w:val="0"/>
          <w:i w:val="0"/>
          <w:sz w:val="24"/>
        </w:rPr>
        <w:t xml:space="preserve">Acerbi, C., &amp; Tasche, D. (2002). On the coherence of expected shortfall.</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Journal of Banking and Finance</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26</w:t>
      </w:r>
      <w:r>
        <w:rPr>
          <w:rFonts w:ascii="Times New Roman" w:hAnsi="Times New Roman" w:eastAsia="Times New Roman"/>
          <w:b w:val="0"/>
          <w:i w:val="0"/>
          <w:sz w:val="24"/>
        </w:rPr>
        <w:t xml:space="preserve">(7), 1487–1503.</w:t>
      </w:r>
    </w:p>
    <w:bookmarkEnd w:id="66"/>
    <w:bookmarkStart w:id="68" w:name="ref-AlexanderDakos2023"/>
    <w:p>
      <w:pPr>
        <w:pStyle w:val="Bibliography"/>
        <w:spacing w:before="0" w:after="60" w:line="276" w:lineRule="auto"/>
        <w:ind w:hanging="454" w:left="454"/>
        <w:jc w:val="left"/>
      </w:pPr>
      <w:r>
        <w:rPr>
          <w:rFonts w:ascii="Times New Roman" w:hAnsi="Times New Roman" w:eastAsia="Times New Roman"/>
          <w:b w:val="0"/>
          <w:i w:val="0"/>
          <w:sz w:val="24"/>
        </w:rPr>
        <w:t xml:space="preserve">Alexander, C., &amp; Dakos, M. (2023). Assessing the accuracy of exponentially weighted moving average models for value-at-risk and expected shortfall of crypto portfolios.</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Quantitative Finance</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23</w:t>
      </w:r>
      <w:r>
        <w:rPr>
          <w:rFonts w:ascii="Times New Roman" w:hAnsi="Times New Roman" w:eastAsia="Times New Roman"/>
          <w:b w:val="0"/>
          <w:i w:val="0"/>
          <w:sz w:val="24"/>
        </w:rPr>
        <w:t xml:space="preserve">(3), 393–427.</w:t>
      </w:r>
      <w:r>
        <w:rPr>
          <w:rFonts w:ascii="Times New Roman" w:hAnsi="Times New Roman" w:eastAsia="Times New Roman"/>
          <w:b w:val="0"/>
          <w:i w:val="0"/>
          <w:sz w:val="24"/>
        </w:rPr>
        <w:t xml:space="preserve"> </w:t>
      </w:r>
      <w:hyperlink r:id="rId67">
        <w:r>
          <w:rPr>
            <w:rStyle w:val="Hyperlink"/>
          </w:rPr>
          <w:t xml:space="preserve">https://doi.org/10.1080/14697688.2022.2159505</w:t>
        </w:r>
      </w:hyperlink>
    </w:p>
    <w:bookmarkEnd w:id="68"/>
    <w:bookmarkStart w:id="69" w:name="ref-Brooks2019"/>
    <w:p>
      <w:pPr>
        <w:pStyle w:val="Bibliography"/>
        <w:spacing w:before="0" w:after="60" w:line="276" w:lineRule="auto"/>
        <w:ind w:hanging="454" w:left="454"/>
        <w:jc w:val="left"/>
      </w:pPr>
      <w:r>
        <w:rPr>
          <w:rFonts w:ascii="Times New Roman" w:hAnsi="Times New Roman" w:eastAsia="Times New Roman"/>
          <w:b w:val="0"/>
          <w:i w:val="0"/>
          <w:sz w:val="24"/>
        </w:rPr>
        <w:t xml:space="preserve">Brooks, C. (2019).</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Introductory econometrics for finance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(4th ed.). Cambridge University Press.</w:t>
      </w:r>
    </w:p>
    <w:bookmarkEnd w:id="69"/>
    <w:bookmarkStart w:id="70" w:name="ref-Choudhry2013"/>
    <w:p>
      <w:pPr>
        <w:pStyle w:val="Bibliography"/>
        <w:spacing w:before="0" w:after="60" w:line="276" w:lineRule="auto"/>
        <w:ind w:hanging="454" w:left="454"/>
        <w:jc w:val="left"/>
      </w:pPr>
      <w:r>
        <w:rPr>
          <w:rFonts w:ascii="Times New Roman" w:hAnsi="Times New Roman" w:eastAsia="Times New Roman"/>
          <w:b w:val="0"/>
          <w:i w:val="0"/>
          <w:sz w:val="24"/>
        </w:rPr>
        <w:t xml:space="preserve">Choudhry, M. (2013).</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An introduction to value-at-risk</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(5th ed.). John Wiley &amp; Sons.</w:t>
      </w:r>
    </w:p>
    <w:bookmarkEnd w:id="70"/>
    <w:bookmarkStart w:id="72" w:name="ref-Christoffersen1998"/>
    <w:p>
      <w:pPr>
        <w:pStyle w:val="Bibliography"/>
        <w:spacing w:before="0" w:after="60" w:line="276" w:lineRule="auto"/>
        <w:ind w:hanging="454" w:left="454"/>
        <w:jc w:val="left"/>
      </w:pPr>
      <w:r>
        <w:rPr>
          <w:rFonts w:ascii="Times New Roman" w:hAnsi="Times New Roman" w:eastAsia="Times New Roman"/>
          <w:b w:val="0"/>
          <w:i w:val="0"/>
          <w:sz w:val="24"/>
        </w:rPr>
        <w:t xml:space="preserve">Christoffersen, P. F. (1998). Evaluating interval forecasts.</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International Economic Review</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39</w:t>
      </w:r>
      <w:r>
        <w:rPr>
          <w:rFonts w:ascii="Times New Roman" w:hAnsi="Times New Roman" w:eastAsia="Times New Roman"/>
          <w:b w:val="0"/>
          <w:i w:val="0"/>
          <w:sz w:val="24"/>
        </w:rPr>
        <w:t xml:space="preserve">(4), 841–862.</w:t>
      </w:r>
      <w:r>
        <w:rPr>
          <w:rFonts w:ascii="Times New Roman" w:hAnsi="Times New Roman" w:eastAsia="Times New Roman"/>
          <w:b w:val="0"/>
          <w:i w:val="0"/>
          <w:sz w:val="24"/>
        </w:rPr>
        <w:t xml:space="preserve"> </w:t>
      </w:r>
      <w:hyperlink r:id="rId71">
        <w:r>
          <w:rPr>
            <w:rStyle w:val="Hyperlink"/>
          </w:rPr>
          <w:t xml:space="preserve">https://doi.org/10.2307/2527341</w:t>
        </w:r>
      </w:hyperlink>
    </w:p>
    <w:bookmarkEnd w:id="72"/>
    <w:bookmarkStart w:id="74" w:name="ref-DingMeade2010"/>
    <w:p>
      <w:pPr>
        <w:pStyle w:val="Bibliography"/>
        <w:spacing w:before="0" w:after="60" w:line="276" w:lineRule="auto"/>
        <w:ind w:hanging="454" w:left="454"/>
        <w:jc w:val="left"/>
      </w:pPr>
      <w:r>
        <w:rPr>
          <w:rFonts w:ascii="Times New Roman" w:hAnsi="Times New Roman" w:eastAsia="Times New Roman"/>
          <w:b w:val="0"/>
          <w:i w:val="0"/>
          <w:sz w:val="24"/>
        </w:rPr>
        <w:t xml:space="preserve">Ding, J., &amp; Meade, N. (2010). Forecasting accuracy of stochastic volatility, GARCH and EWMA models under different volatility scenarios.</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Applied Financial Economics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20</w:t>
      </w:r>
      <w:r>
        <w:rPr>
          <w:rFonts w:ascii="Times New Roman" w:hAnsi="Times New Roman" w:eastAsia="Times New Roman"/>
          <w:b w:val="0"/>
          <w:i w:val="0"/>
          <w:sz w:val="24"/>
        </w:rPr>
        <w:t xml:space="preserve">(10), 771–783.</w:t>
      </w:r>
      <w:r>
        <w:rPr>
          <w:rFonts w:ascii="Times New Roman" w:hAnsi="Times New Roman" w:eastAsia="Times New Roman"/>
          <w:b w:val="0"/>
          <w:i w:val="0"/>
          <w:sz w:val="24"/>
        </w:rPr>
        <w:t xml:space="preserve"> </w:t>
      </w:r>
      <w:hyperlink r:id="rId73">
        <w:r>
          <w:rPr>
            <w:rStyle w:val="Hyperlink"/>
          </w:rPr>
          <w:t xml:space="preserve">https://doi.org/10.1080/09603101003636188</w:t>
        </w:r>
      </w:hyperlink>
    </w:p>
    <w:bookmarkEnd w:id="74"/>
    <w:bookmarkStart w:id="76" w:name="ref-EngleManganelli2004"/>
    <w:p>
      <w:pPr>
        <w:pStyle w:val="Bibliography"/>
        <w:spacing w:before="0" w:after="60" w:line="276" w:lineRule="auto"/>
        <w:ind w:hanging="454" w:left="454"/>
        <w:jc w:val="left"/>
      </w:pPr>
      <w:r>
        <w:rPr>
          <w:rFonts w:ascii="Times New Roman" w:hAnsi="Times New Roman" w:eastAsia="Times New Roman"/>
          <w:b w:val="0"/>
          <w:i w:val="0"/>
          <w:sz w:val="24"/>
        </w:rPr>
        <w:t xml:space="preserve">Engle, R. F., &amp; Manganelli, S. (2004). CAViaR: Conditional autoregressive value at risk by regression quantiles.</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Journal of Business &amp; Economic Statistics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22</w:t>
      </w:r>
      <w:r>
        <w:rPr>
          <w:rFonts w:ascii="Times New Roman" w:hAnsi="Times New Roman" w:eastAsia="Times New Roman"/>
          <w:b w:val="0"/>
          <w:i w:val="0"/>
          <w:sz w:val="24"/>
        </w:rPr>
        <w:t xml:space="preserve">(4), 367–381.</w:t>
      </w:r>
      <w:r>
        <w:rPr>
          <w:rFonts w:ascii="Times New Roman" w:hAnsi="Times New Roman" w:eastAsia="Times New Roman"/>
          <w:b w:val="0"/>
          <w:i w:val="0"/>
          <w:sz w:val="24"/>
        </w:rPr>
        <w:t xml:space="preserve"> </w:t>
      </w:r>
      <w:hyperlink r:id="rId75">
        <w:r>
          <w:rPr>
            <w:rStyle w:val="Hyperlink"/>
          </w:rPr>
          <w:t xml:space="preserve">https://doi.org/10.1198/073500104000000370</w:t>
        </w:r>
      </w:hyperlink>
    </w:p>
    <w:bookmarkEnd w:id="76"/>
    <w:bookmarkStart w:id="77" w:name="ref-FisslerZiegel2016"/>
    <w:p>
      <w:pPr>
        <w:pStyle w:val="Bibliography"/>
        <w:spacing w:before="0" w:after="60" w:line="276" w:lineRule="auto"/>
        <w:ind w:hanging="454" w:left="454"/>
        <w:jc w:val="left"/>
      </w:pPr>
      <w:r>
        <w:rPr>
          <w:rFonts w:ascii="Times New Roman" w:hAnsi="Times New Roman" w:eastAsia="Times New Roman"/>
          <w:b w:val="0"/>
          <w:i w:val="0"/>
          <w:sz w:val="24"/>
        </w:rPr>
        <w:t xml:space="preserve">Fissler, T., &amp; Ziegel, J. F. (2016). Higher order elicitability and osband’s principle.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The Annals of Statistics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44</w:t>
      </w:r>
      <w:r>
        <w:rPr>
          <w:rFonts w:ascii="Times New Roman" w:hAnsi="Times New Roman" w:eastAsia="Times New Roman"/>
          <w:b w:val="0"/>
          <w:i w:val="0"/>
          <w:sz w:val="24"/>
        </w:rPr>
        <w:t xml:space="preserve">(4), 1680–1707.</w:t>
      </w:r>
    </w:p>
    <w:bookmarkEnd w:id="77"/>
    <w:bookmarkStart w:id="78" w:name="ref-Jorion2007"/>
    <w:p>
      <w:pPr>
        <w:pStyle w:val="Bibliography"/>
        <w:spacing w:before="0" w:after="60" w:line="276" w:lineRule="auto"/>
        <w:ind w:hanging="454" w:left="454"/>
        <w:jc w:val="left"/>
      </w:pPr>
      <w:r>
        <w:rPr>
          <w:rFonts w:ascii="Times New Roman" w:hAnsi="Times New Roman" w:eastAsia="Times New Roman"/>
          <w:b w:val="0"/>
          <w:i w:val="0"/>
          <w:sz w:val="24"/>
        </w:rPr>
        <w:t xml:space="preserve">Jorion, P. (2007).</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Value at risk: The new benchmark for managing financial risk</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(3rd ed.). McGraw-Hill.</w:t>
      </w:r>
    </w:p>
    <w:bookmarkEnd w:id="78"/>
    <w:bookmarkStart w:id="80" w:name="ref-Kupiec1995"/>
    <w:p>
      <w:pPr>
        <w:pStyle w:val="Bibliography"/>
        <w:spacing w:before="0" w:after="60" w:line="276" w:lineRule="auto"/>
        <w:ind w:hanging="454" w:left="454"/>
        <w:jc w:val="left"/>
      </w:pPr>
      <w:r>
        <w:rPr>
          <w:rFonts w:ascii="Times New Roman" w:hAnsi="Times New Roman" w:eastAsia="Times New Roman"/>
          <w:b w:val="0"/>
          <w:i w:val="0"/>
          <w:sz w:val="24"/>
        </w:rPr>
        <w:t xml:space="preserve">Kupiec, P. H. (1995). Techniques for verifying the accuracy of risk measurement models.</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The Journal of Derivatives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3</w:t>
      </w:r>
      <w:r>
        <w:rPr>
          <w:rFonts w:ascii="Times New Roman" w:hAnsi="Times New Roman" w:eastAsia="Times New Roman"/>
          <w:b w:val="0"/>
          <w:i w:val="0"/>
          <w:sz w:val="24"/>
        </w:rPr>
        <w:t xml:space="preserve">(2), 73–84.</w:t>
      </w:r>
      <w:r>
        <w:rPr>
          <w:rFonts w:ascii="Times New Roman" w:hAnsi="Times New Roman" w:eastAsia="Times New Roman"/>
          <w:b w:val="0"/>
          <w:i w:val="0"/>
          <w:sz w:val="24"/>
        </w:rPr>
        <w:t xml:space="preserve"> </w:t>
      </w:r>
      <w:hyperlink r:id="rId79">
        <w:r>
          <w:rPr>
            <w:rStyle w:val="Hyperlink"/>
          </w:rPr>
          <w:t xml:space="preserve">https://doi.org/10.3905/jod.1995.407942</w:t>
        </w:r>
      </w:hyperlink>
    </w:p>
    <w:bookmarkEnd w:id="80"/>
    <w:bookmarkStart w:id="82" w:name="ref-NoldeZhou2021"/>
    <w:p>
      <w:pPr>
        <w:pStyle w:val="Bibliography"/>
        <w:spacing w:before="0" w:after="60" w:line="276" w:lineRule="auto"/>
        <w:ind w:hanging="454" w:left="454"/>
        <w:jc w:val="left"/>
      </w:pPr>
      <w:r>
        <w:rPr>
          <w:rFonts w:ascii="Times New Roman" w:hAnsi="Times New Roman" w:eastAsia="Times New Roman"/>
          <w:b w:val="0"/>
          <w:i w:val="0"/>
          <w:sz w:val="24"/>
        </w:rPr>
        <w:t xml:space="preserve">Nolde, N., &amp; Zhou, C. (2021). Extreme value analysis for financial risk management.</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Annual Review of Statistics and Its Application</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8</w:t>
      </w:r>
      <w:r>
        <w:rPr>
          <w:rFonts w:ascii="Times New Roman" w:hAnsi="Times New Roman" w:eastAsia="Times New Roman"/>
          <w:b w:val="0"/>
          <w:i w:val="0"/>
          <w:sz w:val="24"/>
        </w:rPr>
        <w:t xml:space="preserve">, 217–240.</w:t>
      </w:r>
      <w:r>
        <w:rPr>
          <w:rFonts w:ascii="Times New Roman" w:hAnsi="Times New Roman" w:eastAsia="Times New Roman"/>
          <w:b w:val="0"/>
          <w:i w:val="0"/>
          <w:sz w:val="24"/>
        </w:rPr>
        <w:t xml:space="preserve"> </w:t>
      </w:r>
      <w:hyperlink r:id="rId81">
        <w:r>
          <w:rPr>
            <w:rStyle w:val="Hyperlink"/>
          </w:rPr>
          <w:t xml:space="preserve">https://doi.org/10.1146/annurev-statistics-042720-015705</w:t>
        </w:r>
      </w:hyperlink>
    </w:p>
    <w:bookmarkEnd w:id="82"/>
    <w:bookmarkStart w:id="83" w:name="ref-Tsay2010"/>
    <w:p>
      <w:pPr>
        <w:pStyle w:val="Bibliography"/>
        <w:spacing w:before="0" w:after="60" w:line="276" w:lineRule="auto"/>
        <w:ind w:hanging="454" w:left="454"/>
        <w:jc w:val="left"/>
      </w:pPr>
      <w:r>
        <w:rPr>
          <w:rFonts w:ascii="Times New Roman" w:hAnsi="Times New Roman" w:eastAsia="Times New Roman"/>
          <w:b w:val="0"/>
          <w:i w:val="0"/>
          <w:sz w:val="24"/>
        </w:rPr>
        <w:t xml:space="preserve">Tsay, R. S. (2010).</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Analysis of financial time series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(3rd ed.). John Wiley &amp; Sons.</w:t>
      </w:r>
    </w:p>
    <w:bookmarkEnd w:id="83"/>
    <w:bookmarkStart w:id="84" w:name="ref-Tsay2013"/>
    <w:p>
      <w:pPr>
        <w:pStyle w:val="Bibliography"/>
        <w:spacing w:before="0" w:after="60" w:line="276" w:lineRule="auto"/>
        <w:ind w:hanging="454" w:left="454"/>
        <w:jc w:val="left"/>
      </w:pPr>
      <w:r>
        <w:rPr>
          <w:rFonts w:ascii="Times New Roman" w:hAnsi="Times New Roman" w:eastAsia="Times New Roman"/>
          <w:b w:val="0"/>
          <w:i w:val="0"/>
          <w:sz w:val="24"/>
        </w:rPr>
        <w:t xml:space="preserve">Tsay, R. S. (2013).</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An introduction to analysis of financial data with r</w:t>
      </w:r>
      <w:r>
        <w:rPr>
          <w:rFonts w:ascii="Times New Roman" w:hAnsi="Times New Roman" w:eastAsia="Times New Roman"/>
          <w:b w:val="0"/>
          <w:i w:val="0"/>
          <w:sz w:val="24"/>
        </w:rPr>
        <w:t xml:space="preserve">. John Wiley &amp; Sons.</w:t>
      </w:r>
    </w:p>
    <w:bookmarkEnd w:id="84"/>
    <w:bookmarkEnd w:id="85"/>
    <w:bookmarkEnd w:id="86"/>
    <w:bookmarkEnd w:id="87"/>
    <w:sectPr>
      <w:footerReference w:type="default" r:id="rId9"/>
      <w:footnotePr>
        <w:numRestart w:val="eachSect"/>
      </w:footnotePr>
      <w:type w:val="continuous"/>
      <w:pgSz w:w="11906" w:h="16838"/>
      <w:pgMar w:top="1417" w:bottom="1417" w:left="1984" w:right="1134" w:header="720" w:footer="720"/>
      <w:mirrorMargin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60" w:after="60" w:line="276" w:lineRule="auto"/>
      <w:ind w:firstLine="567"/>
      <w:jc w:val="both"/>
    </w:pPr>
    <w:rPr>
      <w:rFonts w:ascii="Times New Roman" w:hAnsi="Times New Roman" w:eastAsia="Times New Roman"/>
      <w:sz w:val="26"/>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120"/>
      <w:ind w:firstLine="0"/>
      <w:jc w:val="center"/>
      <w:outlineLvl w:val="0"/>
    </w:pPr>
    <w:rPr>
      <w:rFonts w:asciiTheme="majorHAnsi" w:cstheme="majorBidi" w:eastAsiaTheme="majorEastAsia" w:hAnsiTheme="majorHAnsi" w:ascii="Times New Roman" w:hAnsi="Times New Roman" w:eastAsia="Times New Roman"/>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120"/>
      <w:ind w:firstLine="0"/>
      <w:jc w:val="left"/>
      <w:outlineLvl w:val="1"/>
    </w:pPr>
    <w:rPr>
      <w:rFonts w:asciiTheme="majorHAnsi" w:cstheme="majorBidi" w:eastAsiaTheme="majorEastAsia" w:hAnsiTheme="majorHAnsi" w:ascii="Times New Roman" w:hAnsi="Times New Roman" w:eastAsia="Times New Roman"/>
      <w:b/>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120"/>
      <w:ind w:firstLine="0"/>
      <w:jc w:val="left"/>
      <w:outlineLvl w:val="2"/>
    </w:pPr>
    <w:rPr>
      <w:rFonts w:cstheme="majorBidi" w:eastAsiaTheme="majorEastAsia" w:ascii="Times New Roman" w:hAnsi="Times New Roman" w:eastAsia="Times New Roman"/>
      <w:b/>
      <w:color w:themeColor="accent1" w:themeShade="BF" w:val="0F4761"/>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pdf"/><Relationship Id="rId51" Type="http://schemas.openxmlformats.org/officeDocument/2006/relationships/image" Target="media/rId51.pdf"/><Relationship Id="rId59" Type="http://schemas.openxmlformats.org/officeDocument/2006/relationships/image" Target="media/rId59.pdf"/><Relationship Id="rId21" Type="http://schemas.openxmlformats.org/officeDocument/2006/relationships/image" Target="media/rId21.pdf"/><Relationship Id="rId35" Type="http://schemas.openxmlformats.org/officeDocument/2006/relationships/image" Target="media/rId35.pdf"/><Relationship Id="rId10" Type="http://schemas.openxmlformats.org/officeDocument/2006/relationships/image" Target="media/rId10.pdf"/><Relationship Id="rId45" Type="http://schemas.openxmlformats.org/officeDocument/2006/relationships/image" Target="media/rId45.pdf"/><Relationship Id="rId73" Type="http://schemas.openxmlformats.org/officeDocument/2006/relationships/hyperlink" Target="https://doi.org/10.1080/09603101003636188" TargetMode="External"/><Relationship Id="rId67" Type="http://schemas.openxmlformats.org/officeDocument/2006/relationships/hyperlink" Target="https://doi.org/10.1080/14697688.2022.2159505" TargetMode="External"/><Relationship Id="rId81" Type="http://schemas.openxmlformats.org/officeDocument/2006/relationships/hyperlink" Target="https://doi.org/10.1146/annurev-statistics-042720-015705" TargetMode="External"/><Relationship Id="rId75" Type="http://schemas.openxmlformats.org/officeDocument/2006/relationships/hyperlink" Target="https://doi.org/10.1198/073500104000000370" TargetMode="External"/><Relationship Id="rId71" Type="http://schemas.openxmlformats.org/officeDocument/2006/relationships/hyperlink" Target="https://doi.org/10.2307/2527341" TargetMode="External"/><Relationship Id="rId79" Type="http://schemas.openxmlformats.org/officeDocument/2006/relationships/hyperlink" Target="https://doi.org/10.3905/jod.1995.407942"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73" Type="http://schemas.openxmlformats.org/officeDocument/2006/relationships/hyperlink" Target="https://doi.org/10.1080/09603101003636188" TargetMode="External"/><Relationship Id="rId67" Type="http://schemas.openxmlformats.org/officeDocument/2006/relationships/hyperlink" Target="https://doi.org/10.1080/14697688.2022.2159505" TargetMode="External"/><Relationship Id="rId81" Type="http://schemas.openxmlformats.org/officeDocument/2006/relationships/hyperlink" Target="https://doi.org/10.1146/annurev-statistics-042720-015705" TargetMode="External"/><Relationship Id="rId75" Type="http://schemas.openxmlformats.org/officeDocument/2006/relationships/hyperlink" Target="https://doi.org/10.1198/073500104000000370" TargetMode="External"/><Relationship Id="rId71" Type="http://schemas.openxmlformats.org/officeDocument/2006/relationships/hyperlink" Target="https://doi.org/10.2307/2527341" TargetMode="External"/><Relationship Id="rId79" Type="http://schemas.openxmlformats.org/officeDocument/2006/relationships/hyperlink" Target="https://doi.org/10.3905/jod.1995.4079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2026-06-11T04:18:46Z</dcterms:created>
  <dcterms:modified xsi:type="dcterms:W3CDTF">2026-06-11T04:18:46Z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rossref">
    <vt:lpwstr/>
  </property>
  <property fmtid="{D5CDD505-2E9C-101B-9397-08002B2CF9AE}" pid="5" name="csl">
    <vt:lpwstr>../apa.csl</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