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2.2. So sánh các giả định phân phối của sai số chuẩn hóa z_t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5"/>
        <w:gridCol w:w="5124"/>
        <w:gridCol w:w="1351"/>
        <w:gridCol w:w="1786"/>
        <w:gridCol w:w="5045"/>
        <w:gridCol w:w="7465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Phân phối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Tham số chính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Đuôi dày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Bất đối xứng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Vai trò trong VaR/ES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Lưu ý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Chuẩn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có tham số hình dạng ngoài chuẩn hóa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hình nền và chuẩn so sánh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 thể đánh giá thấp xác suất cú sốc cực đoan nếu dữ liệu có đuôi dày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Bậc tự do nu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Tạo phân vị đuôi xa hơn khi nu thấp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Cần chuẩn hóa phương sai khi dùng làm sai số z_t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Student-t chệch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 và tham số chệch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Mô tả đồng thời đuôi dày và lệch đuôi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Cách diễn giải tham số chệch phụ thuộc tham số hóa/package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SGED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Tham số hình dạng p và tham số chệch lambda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 thể có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Linh hoạt về độ nhọn và độ lệch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Cần kiểm tra tham số hóa trước khi đưa công thức mật độ vào sách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SGT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lambda, p, q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Khung rất linh hoạt cho phân phối có điều kiện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Nhiều tham số hơn; quá trình ước lượng có thể nhạy với giá trị khởi tạo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2026-10-22T15:08:54Z</dcterms:modified>
  <cp:category/>
</cp:coreProperties>
</file>