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A2.1. Ký hiệu và tham số trong họ mô hình ARCH/GARCH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0"/>
        <w:gridCol w:w="2807"/>
        <w:gridCol w:w="5017"/>
        <w:gridCol w:w="5670"/>
        <w:gridCol w:w="9869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Ký hiệu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Xuất hiện trong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Ý nghĩa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Diễn giải khi tăng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Lưu ý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r_t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Toàn chương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Tỷ suất/tỷ lệ sinh lời tại thời điểm t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áp dụng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Cần thống nhất một thuật ngữ trong toàn sách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Phương trình trung bình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Kỳ vọng có điều kiện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Phân phối có điều kiện dịch sang phải nếu mu_t tăng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Với dữ liệu ngày, thường nhỏ so với biến động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epsilon_t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Phương trình sai số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Cú sốc chưa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Độ lớn cú sốc tăng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quan sát trực tiếp, thường ước lượng từ phần dư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sigma_t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Phương trình phương sai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Độ lệch chuẩn có điều kiện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Phân phối có điều kiện rộng hơn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sigma_t^2 là phương sai có điều kiện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số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Cú sốc sau khi chuẩn hóa theo sigma_t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áp dụng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Thường giả định E(z_t)=0 và Var(z_t)=1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omega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ARCH/GARCH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Hằng số trong phương trình phương sai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Mức nền phương sai tăng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Cần ràng buộc để phương sai dương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ARCH/GARCH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Tác động của bình phương cú sốc quá khứ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Biến động phản ứng mạnh hơn với cú sốc mới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Trong GARCH(1,1), alpha + beta thường đo độ dai dẳng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Tác động của phương sai có điều kiện quá khứ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Biến động dai dẳng hơn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 + beta gần 1 hàm ý cú sốc suy giảm chậm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GJR/EGARCH/APARCH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Tham số bất đối xứng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Tác động phụ thuộc quy ước mô hình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Cần giải thích theo đúng phương trình đang dùng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delta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Bậc lũy thừa của biến động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Dạng phản ứng biến động linh hoạt hơn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phải lúc nào cũng dễ diễn giải kinh tế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Student-t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Bậc tự do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 cao làm Student-t gần phân phối chuẩn hơn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 thấp hàm ý đuôi dày hơn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lambda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SGT/SGED/EWMA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 thể là hệ số suy giảm hoặc tham số chệch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Ý nghĩa phụ thuộc ngữ cảnh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Tránh dùng cùng lambda cho EWMA và skewness nếu gây nhầm; có thể đổi skewness thành xi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2026-10-22T15:08:55Z</dcterms:modified>
  <cp:category/>
</cp:coreProperties>
</file>