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A2.2. Phân vị đuôi trái của một số phân phối chuẩn hóa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840"/>
        <w:gridCol w:w="3331"/>
        <w:gridCol w:w="3331"/>
        <w:gridCol w:w="2920"/>
        <w:gridCol w:w="3086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Mức phân vị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Chuẩn N(0,1)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Student-t nu=5 chuẩn hóa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Student-t nu=8 chuẩn hóa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SGT lệch trái minh họa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SGED lệch trái minh họa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5.0%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-1.6449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-1.5608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-1.6104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-1.7835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-1.8275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-2.3263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-2.6065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-2.5084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-2.8107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-2.8697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0.5%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-2.5758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-3.1233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-2.9059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-3.2424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-3.2786</w:t>
            </w:r>
          </w:p>
        </w:tc>
      </w:tr>
    </w:tbl>
    <w:p>
      <w:pPr>
        <w:pStyle w:val="Normal"/>
      </w:pPr>
      <w:r>
        <w:t xml:space="preserve">Nguồn: Tính toán mô phỏng của tác giả bằng 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2026-10-22T15:08:55Z</dcterms:modified>
  <cp:category/>
</cp:coreProperties>
</file>