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Outputs for Chapter 1</w:t>
      </w:r>
    </w:p>
    <w:p>
      <w:pPr>
        <w:pStyle w:val="Normal"/>
      </w:pPr>
      <w:r>
        <w:t xml:space="preserve">Series: VN-Index</w:t>
      </w:r>
    </w:p>
    <w:p>
      <w:pPr>
        <w:pStyle w:val="Normal"/>
      </w:pPr>
      <w:r>
        <w:t xml:space="preserve">Ghi chú: Hình sử dụng dữ liệu mô phỏng để minh họa; khi hoàn thiện bản thảo cần thay bằng dữ liệu VN-Index thực tế.</w:t>
      </w:r>
    </w:p>
    <w:p>
      <w:pPr>
        <w:pStyle w:val="Titre1"/>
      </w:pPr>
      <w:r>
        <w:t xml:space="preserve">Tables</w:t>
      </w:r>
    </w:p>
    <w:p>
      <w:pPr>
        <w:pStyle w:val="Titre2"/>
      </w:pPr>
      <w:r>
        <w:t xml:space="preserve">Bảng 1.1. Vì sao cần dùng tỷ lệ sinh lời thay vì thay đổi giá tuyệt đối?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5"/>
        <w:gridCol w:w="1377"/>
        <w:gridCol w:w="1424"/>
        <w:gridCol w:w="1519"/>
        <w:gridCol w:w="1596"/>
        <w:gridCol w:w="5217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Tài sản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Giá đầu kỳ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Giá cuối kỳ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Thay đổi giá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Nhận xét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10,0%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Tăng giá tuyệt đối thấp hơn, nhưng tỷ lệ sinh lời cao hơn</w:t>
            </w:r>
          </w:p>
        </w:tc>
      </w:tr>
      <w:tr>
        <w:trPr>
          <w:trHeight w:val="60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3,0%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Tăng giá tuyệt đối cao hơn, nhưng tỷ lệ sinh lời thấp hơn</w:t>
            </w:r>
          </w:p>
        </w:tc>
      </w:tr>
    </w:tbl>
    <w:p>
      <w:pPr>
        <w:pStyle w:val="Titre2"/>
      </w:pPr>
      <w:r>
        <w:t xml:space="preserve">Bảng 1.2. Các quyết định dữ liệu khi tính tỷ lệ sinh lời trong thực nghiệm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8"/>
        <w:gridCol w:w="7326"/>
        <w:gridCol w:w="8337"/>
        <w:gridCol w:w="7809"/>
      </w:tblGrid>
      <w:tr>
        <w:trPr>
          <w:trHeight w:val="59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Vấn đề dữ liệu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Lựa chọn khuyến nghị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Lý 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Hệ quả nếu xử lý sai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Giá đóng cửa hay giá điều chỉnh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Ưu tiên giá điều chỉnh khi phân tích cổ phiếu riêng lẻ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Phản ánh tốt hơn cổ tức, chia tách, cổ phiếu thưởng và quyền mua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có thể xuất hiện cú nhảy kỹ thuật không phản ánh rủi ro thị trường thực chất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Cổ tức tiền mặt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Tính vào return hoặc dùng giá điều chỉnh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Cổ tức là một phần lợi ích kinh tế của nhà đầu tư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 thể đánh giá thấp return thực tế và phóng đại biến động quanh ngày không hưởng quyền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 tách/cổ phiếu thưởng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Điều chỉnh lại chuỗi giá trước khi tính return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Giá sau sự kiện có thể giảm mạnh về mặt kỹ thuật nhưng giá trị kinh tế không giảm tương ứng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Tạo return âm giả tạo, làm sai lệch volatility và VaR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Phát hành quyền mua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Điều chỉnh giá hoặc xử lý riêng các quan sát bị ảnh hưởng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Quyền mua làm thay đổi giá tham chiếu và lợi ích kinh tế của cổ đông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Tạo outlier kỹ thuật trong chuỗi return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Ngày không giao dịch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Sắp xếp theo ngày giao dịch thực tế; không nội suy giá nếu không có cơ sở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Dữ liệu thị trường không có quan sát vào ngày nghỉ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 thể tạo return bằng 0 hoặc return giả nếu xử lý máy móc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Dữ liệu thiếu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Kiểm tra nguyên nhân thiếu; loại bỏ hoặc xử lý theo quy tắc rõ ràng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Dữ liệu thiếu có thể do lỗi dữ liệu, ngừng giao dịch hoặc thanh khoản thấp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Làm sai lệch thống kê mô tả, kiểm định và mô hình volatility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Cổ phiếu thanh khoản thấp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Cân nhắc loại khỏi mẫu hoặc phân tích riêng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Giao dịch thưa có thể làm chuỗi giá không phản ánh liên tục thông tin thị trường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có nhiều giá trị bằng 0, tự tương quan giả và volatility bị bóp méo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return hay log return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Dùng log return cho mô hình chuỗi thời gian; dùng simple return cho P&amp;L và danh mục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 return cộng được theo thời gian; simple return trực quan và cộng được theo tỷ trọng danh mục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Diễn giải sai kết quả hoặc không nhất quán giữa phần mô hình và phần lãi/lỗ</w:t>
            </w:r>
          </w:p>
        </w:tc>
      </w:tr>
      <w:tr>
        <w:trPr>
          <w:trHeight w:val="60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Giả định tái cân bằng danh mục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Nêu rõ danh mục giữ nguyên số lượng tài sản hay tái cân bằng định kỳ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Tỷ trọng danh mục thay đổi theo biến động giá nếu không tái cân bằng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và VaR danh mục không thể so sánh giữa các phương án</w:t>
            </w:r>
          </w:p>
        </w:tc>
      </w:tr>
    </w:tbl>
    <w:p>
      <w:pPr>
        <w:pStyle w:val="Titre2"/>
      </w:pPr>
      <w:r>
        <w:t xml:space="preserve">Bảng 1.3. So sánh tỷ lệ sinh lời giản đơn và tỷ lệ sinh lời logarit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5962"/>
        <w:gridCol w:w="5292"/>
      </w:tblGrid>
      <w:tr>
        <w:trPr>
          <w:trHeight w:val="59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Tiêu chí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 giản đơn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 logarit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Công thức cơ bản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R_t = (P_t - P_{t-1}) / P_{t-1}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r_t = ln(P_t / P_{t-1})</w:t>
            </w:r>
          </w:p>
        </w:tc>
      </w:tr>
      <w:tr>
        <w:trPr>
          <w:trHeight w:val="62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Diễn giải kinh tế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Trực quan, phản ánh lãi/lỗ tương đối trong một kỳ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Ít trực quan hơn, nhưng thuận tiện về mặt toán học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Tổng hợp theo thời gian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Tổng hợp bằng phép nhân lãi kép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Có thể cộng trực tiếp qua thời gian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Tổng hợp theo danh mục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Danh mục là trung bình gia quyền của return thành phần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Không có tính chất trung bình gia quyền chính xác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Phù hợp nhất khi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Phân tích hiệu quả đầu tư, P&amp;L, return danh mục, phân bổ tài sản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Mô hình hóa chuỗi thời gian, volatility, GARCH, VaR động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Cách dùng trong cuốn sách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Dùng khi diễn giải lãi/lỗ và danh mục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Dùng chủ yếu trong các mô hình volatility và VaR/ES</w:t>
            </w:r>
          </w:p>
        </w:tc>
      </w:tr>
    </w:tbl>
    <w:p>
      <w:pPr>
        <w:pStyle w:val="Titre2"/>
      </w:pPr>
      <w:r>
        <w:t xml:space="preserve">Bảng 1.x. Ngôn ngữ cốt lõi của Chương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3"/>
        <w:gridCol w:w="1628"/>
        <w:gridCol w:w="4930"/>
        <w:gridCol w:w="5024"/>
      </w:tblGrid>
      <w:tr>
        <w:trPr>
          <w:trHeight w:val="62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Khái niệm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Ký hiệu gợi ý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Cách hiểu ngắn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Vai trò trong cuốn sách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r_t hoặc R_t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Mức thay đổi tương đối của giá trị đầu tư qua một kỳ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Dữ liệu đầu vào cơ sở cho toàn bộ phân tích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Lãi/lỗ vị thế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P&amp;L_t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Giá trị lãi hoặc lỗ bằng tiền của một vị thế đầu tư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Cầu nối giữa return và quản trị danh mục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 thất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L_t = -P&amp;L_t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Cách viết lại P&amp;L để giá trị dương phản ánh mức lỗ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Nền tảng để định nghĩa phân phối tổn thất, VaR và 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Volatility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sigma_t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Thước đo quy mô dao động của tỷ lệ sinh lời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Cầu nối từ phân phối return sang mô hình rủi ro động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Value-at-Risk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VaR_alpha,t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Ngưỡng tổn thất tại một mức xác suất đuôi cho trước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Thước đo phân vị của rủi ro đuôi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Expected Shortfall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ES_alpha,t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 thất trung bình khi đã vượt qua ngưỡng VaR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Thước đo độ nghiêm trọng của rủi ro đuôi</w:t>
            </w:r>
          </w:p>
        </w:tc>
      </w:tr>
    </w:tbl>
    <w:p>
      <w:pPr>
        <w:pStyle w:val="Titre2"/>
      </w:pPr>
      <w:r>
        <w:t xml:space="preserve">Bảng 1.x. Thống kê mô tả tỷ lệ sinh lời logarit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6"/>
        <w:gridCol w:w="1120"/>
        <w:gridCol w:w="1120"/>
        <w:gridCol w:w="1176"/>
        <w:gridCol w:w="1176"/>
        <w:gridCol w:w="1176"/>
        <w:gridCol w:w="1120"/>
        <w:gridCol w:w="1120"/>
        <w:gridCol w:w="1120"/>
        <w:gridCol w:w="1120"/>
        <w:gridCol w:w="1214"/>
        <w:gridCol w:w="1120"/>
        <w:gridCol w:w="1734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kurtosis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excess_kurtosis</w:t>
            </w:r>
          </w:p>
        </w:tc>
      </w:tr>
      <w:tr>
        <w:trPr>
          <w:trHeight w:val="55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2,199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0.000391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0.012659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-0.052983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-0.030683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-0.019497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0.000365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0.020386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0.032157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0.055415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0.047983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4.232765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1.232765</w:t>
            </w:r>
          </w:p>
        </w:tc>
      </w:tr>
    </w:tbl>
    <w:p>
      <w:pPr>
        <w:pStyle w:val="Titre2"/>
      </w:pPr>
      <w:r>
        <w:t xml:space="preserve">Bảng 1.x. Kiểm định chẩn đoán sơ bộ chuỗi tỷ lệ sinh lời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2"/>
        <w:gridCol w:w="1371"/>
        <w:gridCol w:w="1081"/>
        <w:gridCol w:w="1882"/>
      </w:tblGrid>
      <w:tr>
        <w:trPr>
          <w:trHeight w:val="57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null</w:t>
            </w:r>
          </w:p>
        </w:tc>
      </w:tr>
      <w:tr>
        <w:trPr>
          <w:trHeight w:val="57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Jarque-Bera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140.0873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Normality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Ljung-Box return, lag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autocorrelation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Ljung-Box squared return, lag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847.3460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autocorrelation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-11.8011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 root</w:t>
            </w:r>
          </w:p>
        </w:tc>
      </w:tr>
      <w:tr>
        <w:trPr>
          <w:trHeight w:val="57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Phillips-Perron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-2,135.4677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 root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KPSS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Stationarity</w:t>
            </w:r>
          </w:p>
        </w:tc>
      </w:tr>
      <w:tr>
        <w:trPr>
          <w:trHeight w:val="58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ARCH-LM, lag 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226.0066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ARCH effect</w:t>
            </w:r>
          </w:p>
        </w:tc>
      </w:tr>
    </w:tbl>
    <w:p>
      <w:pPr>
        <w:pStyle w:val="Titre2"/>
      </w:pPr>
      <w:r>
        <w:t xml:space="preserve">Bảng 1.x. Ước lượng VaR và ES lịch sử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29"/>
        <w:gridCol w:w="1662"/>
        <w:gridCol w:w="1692"/>
        <w:gridCol w:w="1174"/>
        <w:gridCol w:w="1066"/>
        <w:gridCol w:w="1536"/>
        <w:gridCol w:w="1536"/>
      </w:tblGrid>
      <w:tr>
        <w:trPr>
          <w:trHeight w:val="57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confidence_level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tail_probability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return_quantile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VaR_money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ES_money</w:t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1.949.715.107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2.671.453.041</w:t>
            </w:r>
          </w:p>
        </w:tc>
      </w:tr>
      <w:tr>
        <w:trPr>
          <w:trHeight w:val="53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3.068.334.968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3.962.096.055</w:t>
            </w:r>
          </w:p>
        </w:tc>
      </w:tr>
    </w:tbl>
    <w:p>
      <w:pPr>
        <w:pStyle w:val="Titre1"/>
      </w:pPr>
      <w:r>
        <w:t xml:space="preserve">Figures</w:t>
      </w:r>
    </w:p>
    <w:p>
      <w:pPr>
        <w:pStyle w:val="Titre2"/>
      </w:pPr>
      <w:r>
        <w:t xml:space="preserve">Hình 1.1. Chuỗi giá và chuỗi tỷ lệ sinh lời logarit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1.2. Quan hệ giữa tỷ lệ sinh lời giản đơn và logarit</w:t>
      </w:r>
    </w:p>
    <w:p>
      <w:pPr>
        <w:pStyle w:val="Normal"/>
      </w:pPr>
      <w:r>
        <w:rPr/>
        <w:drawing>
          <wp:inline distT="0" distB="0" distL="0" distR="0">
            <wp:extent cx="585216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1.3. Từ giá tài sản đến phân phối tổn thất</w:t>
      </w:r>
    </w:p>
    <w:p>
      <w:pPr>
        <w:pStyle w:val="Normal"/>
      </w:pPr>
      <w:r>
        <w:rPr/>
        <w:drawing>
          <wp:inline distT="0" distB="0" distL="0" distR="0">
            <wp:extent cx="6217920" cy="192024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1.4. Từ chuỗi giá sang tỷ lệ sinh lời và vùng đuôi trái</w:t>
      </w:r>
    </w:p>
    <w:p>
      <w:pPr>
        <w:pStyle w:val="Normal"/>
      </w:pPr>
      <w:r>
        <w:rPr/>
        <w:drawing>
          <wp:inline distT="0" distB="0" distL="0" distR="0">
            <wp:extent cx="6035040" cy="393192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1.5. Biến động trượt của tỷ lệ sinh lời logarit</w:t>
      </w:r>
    </w:p>
    <w:p>
      <w:pPr>
        <w:pStyle w:val="Normal"/>
      </w:pPr>
      <w:r>
        <w:rPr/>
        <w:drawing>
          <wp:inline distT="0" distB="0" distL="0" distR="0">
            <wp:extent cx="603504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1.6. Hình dạng phân phối tỷ lệ sinh lời</w:t>
      </w:r>
    </w:p>
    <w:p>
      <w:pPr>
        <w:pStyle w:val="Normal"/>
      </w:pPr>
      <w:r>
        <w:rPr/>
        <w:drawing>
          <wp:inline distT="0" distB="0" distL="0" distR="0">
            <wp:extent cx="6217920" cy="374904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1.x. Minh họa các ngày lỗ vượt ngưỡng VaR lịch sử</w:t>
      </w:r>
    </w:p>
    <w:p>
      <w:pPr>
        <w:pStyle w:val="Normal"/>
      </w:pPr>
      <w:r>
        <w:rPr/>
        <w:drawing>
          <wp:inline distT="0" distB="0" distL="0" distR="0">
            <wp:extent cx="603504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dd10aa8a86bdba8153289168c79581f0c3546ab.png"/>
<Relationship Id="rId8" Type="http://schemas.openxmlformats.org/officeDocument/2006/relationships/image" Target="media/56da970637e8b1cde84447caca5ac8f30f88cc05.png"/>
<Relationship Id="rId9" Type="http://schemas.openxmlformats.org/officeDocument/2006/relationships/image" Target="media/1bc73a97e18897119d42a7efeeff7182c470252e.png"/>
<Relationship Id="rId10" Type="http://schemas.openxmlformats.org/officeDocument/2006/relationships/image" Target="media/aff55899feb2736ee8dccb320c299a794cf47f7d.png"/>
<Relationship Id="rId11" Type="http://schemas.openxmlformats.org/officeDocument/2006/relationships/image" Target="media/034578c5160de48ccfdf392aeda167e96547dff8.png"/>
<Relationship Id="rId12" Type="http://schemas.openxmlformats.org/officeDocument/2006/relationships/image" Target="media/4d5f5046ea15c6aab0753998ba3f7255ff0bc6b6.png"/>
<Relationship Id="rId13" Type="http://schemas.openxmlformats.org/officeDocument/2006/relationships/image" Target="media/b43ffc8e2c8c7939981a5a6ffdf47c62b94ab04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2026-06-12T22:17:24Z</dcterms:modified>
  <cp:category/>
</cp:coreProperties>
</file>