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8"/>
        </w:rPr>
      </w:pPr>
      <w:r>
        <w:rPr>
          <w:rFonts w:ascii="Times New Roman" w:hAnsi="Times New Roman"/>
          <w:b/>
          <w:sz w:val="28"/>
        </w:rPr>
        <w:t xml:space="preserve">  </w:t>
      </w:r>
      <w:r>
        <w:rPr>
          <w:rFonts w:ascii="Times New Roman" w:hAnsi="Times New Roman"/>
          <w:b/>
          <w:sz w:val="28"/>
        </w:rPr>
        <w:t>BẢO HIỂM SINH VIÊN</w:t>
      </w:r>
    </w:p>
    <w:tbl>
      <w:tblPr>
        <w:tblW w:w="9072" w:type="dxa"/>
        <w:jc w:val="left"/>
        <w:tblInd w:w="0" w:type="dxa"/>
        <w:tblCellMar>
          <w:top w:w="0" w:type="dxa"/>
          <w:left w:w="108" w:type="dxa"/>
          <w:bottom w:w="0" w:type="dxa"/>
          <w:right w:w="108" w:type="dxa"/>
        </w:tblCellMar>
        <w:tblLook w:val="04a0" w:noHBand="0" w:noVBand="1" w:firstColumn="1" w:lastRow="0" w:lastColumn="0" w:firstRow="1"/>
      </w:tblPr>
      <w:tblGrid>
        <w:gridCol w:w="4526"/>
        <w:gridCol w:w="4545"/>
      </w:tblGrid>
      <w:tr>
        <w:trPr/>
        <w:tc>
          <w:tcPr>
            <w:tcW w:w="4526" w:type="dxa"/>
            <w:tcBorders/>
            <w:shd w:color="auto" w:fill="auto" w:val="clear"/>
          </w:tcPr>
          <w:p>
            <w:pPr>
              <w:pStyle w:val="Normal"/>
              <w:spacing w:lineRule="auto" w:line="240" w:before="0" w:after="0"/>
              <w:rPr/>
            </w:pPr>
            <w:r>
              <w:rPr>
                <w:rFonts w:eastAsia="Calibri" w:ascii="Times New Roman" w:hAnsi="Times New Roman"/>
                <w:b/>
                <w:sz w:val="28"/>
              </w:rPr>
              <w:t xml:space="preserve">Số bảo hiểm: </w:t>
            </w:r>
            <w:r>
              <w:rPr>
                <w:rFonts w:eastAsia="Calibri" w:ascii="Times New Roman" w:hAnsi="Times New Roman"/>
                <w:b/>
                <w:color w:val="FF0000"/>
                <w:sz w:val="28"/>
              </w:rPr>
              <w:t>…..</w:t>
            </w:r>
          </w:p>
        </w:tc>
        <w:tc>
          <w:tcPr>
            <w:tcW w:w="4545" w:type="dxa"/>
            <w:tcBorders/>
            <w:shd w:color="auto" w:fill="auto" w:val="clear"/>
          </w:tcPr>
          <w:p>
            <w:pPr>
              <w:pStyle w:val="Normal"/>
              <w:spacing w:lineRule="auto" w:line="240" w:before="0" w:after="0"/>
              <w:jc w:val="right"/>
              <w:rPr/>
            </w:pPr>
            <w:r>
              <w:rPr>
                <w:rFonts w:eastAsia="Calibri" w:ascii="Times New Roman" w:hAnsi="Times New Roman"/>
                <w:b/>
                <w:sz w:val="28"/>
              </w:rPr>
              <w:t xml:space="preserve">Ngày phát hành: </w:t>
            </w:r>
            <w:r>
              <w:rPr>
                <w:rFonts w:eastAsia="Calibri" w:ascii="Times New Roman" w:hAnsi="Times New Roman"/>
                <w:b/>
                <w:color w:val="FF0000"/>
                <w:sz w:val="28"/>
              </w:rPr>
              <w:t>…..</w:t>
            </w:r>
          </w:p>
        </w:tc>
      </w:tr>
    </w:tbl>
    <w:p>
      <w:pPr>
        <w:pStyle w:val="Normal"/>
        <w:spacing w:before="0" w:after="0"/>
        <w:rPr>
          <w:rFonts w:ascii="Times New Roman" w:hAnsi="Times New Roman"/>
          <w:i/>
          <w:i/>
          <w:sz w:val="28"/>
        </w:rPr>
      </w:pPr>
      <w:r>
        <w:rPr>
          <w:rFonts w:ascii="Times New Roman" w:hAnsi="Times New Roman"/>
          <w:i/>
          <w:sz w:val="24"/>
        </w:rPr>
        <w:t>Bảo hiểm này là một hợp đồng bảo hiểm dựa trên cơ sở các điều kiện trong chính sách về bảo hiểm sinh viên (phụ lục 1 của chính sách này), sau đây là các điều kiện bảo hiểm:</w:t>
      </w:r>
    </w:p>
    <w:p>
      <w:pPr>
        <w:pStyle w:val="ListParagraph"/>
        <w:numPr>
          <w:ilvl w:val="0"/>
          <w:numId w:val="1"/>
        </w:numPr>
        <w:spacing w:lineRule="auto" w:line="252" w:before="0" w:after="0"/>
        <w:contextualSpacing/>
        <w:rPr>
          <w:rFonts w:ascii="Times New Roman" w:hAnsi="Times New Roman"/>
          <w:sz w:val="20"/>
        </w:rPr>
      </w:pPr>
      <w:r>
        <w:rPr>
          <w:rFonts w:ascii="Times New Roman" w:hAnsi="Times New Roman"/>
          <w:b/>
          <w:sz w:val="28"/>
        </w:rPr>
        <w:t>Công ty bảo hiểm:</w:t>
      </w:r>
      <w:r>
        <w:rPr>
          <w:rFonts w:ascii="Times New Roman" w:hAnsi="Times New Roman"/>
          <w:sz w:val="28"/>
        </w:rPr>
        <w:t xml:space="preserve"> Công ty cổ phần </w:t>
      </w:r>
      <w:r>
        <w:rPr>
          <w:rFonts w:ascii="Times New Roman" w:hAnsi="Times New Roman"/>
          <w:sz w:val="20"/>
        </w:rPr>
        <w:t>&lt;&lt;</w:t>
      </w:r>
      <w:r>
        <w:rPr>
          <w:rFonts w:ascii="Times New Roman" w:hAnsi="Times New Roman"/>
          <w:sz w:val="28"/>
          <w:lang w:val="ru-RU"/>
        </w:rPr>
        <w:t>САК</w:t>
      </w:r>
      <w:r>
        <w:rPr>
          <w:rFonts w:ascii="Times New Roman" w:hAnsi="Times New Roman"/>
          <w:sz w:val="20"/>
        </w:rPr>
        <w:t xml:space="preserve">&lt;&lt; </w:t>
      </w:r>
      <w:r>
        <w:rPr>
          <w:rFonts w:ascii="Times New Roman" w:hAnsi="Times New Roman"/>
          <w:sz w:val="28"/>
          <w:lang w:val="ru-RU"/>
        </w:rPr>
        <w:t>ЕНЕРГОГАРАНТ</w:t>
      </w:r>
      <w:r>
        <w:rPr>
          <w:rFonts w:ascii="Times New Roman" w:hAnsi="Times New Roman"/>
          <w:sz w:val="20"/>
        </w:rPr>
        <w:t>&gt;&gt;</w:t>
      </w:r>
    </w:p>
    <w:p>
      <w:pPr>
        <w:pStyle w:val="Normal"/>
        <w:spacing w:lineRule="auto" w:line="240" w:before="0" w:after="0"/>
        <w:jc w:val="both"/>
        <w:rPr>
          <w:rFonts w:ascii="Times New Roman" w:hAnsi="Times New Roman"/>
          <w:sz w:val="28"/>
          <w:szCs w:val="24"/>
          <w:lang w:val="ru-RU"/>
        </w:rPr>
      </w:pPr>
      <w:r>
        <w:rPr>
          <w:rFonts w:ascii="Times New Roman" w:hAnsi="Times New Roman"/>
          <w:sz w:val="28"/>
          <w:szCs w:val="24"/>
          <w:lang w:val="vi-VN"/>
        </w:rPr>
        <w:t>11503</w:t>
      </w:r>
      <w:r>
        <w:rPr>
          <w:rFonts w:ascii="Times New Roman" w:hAnsi="Times New Roman"/>
          <w:sz w:val="28"/>
          <w:szCs w:val="24"/>
          <w:lang w:val="ru-RU"/>
        </w:rPr>
        <w:t>5</w:t>
      </w:r>
      <w:r>
        <w:rPr>
          <w:rFonts w:ascii="Times New Roman" w:hAnsi="Times New Roman"/>
          <w:sz w:val="28"/>
          <w:szCs w:val="24"/>
          <w:lang w:val="vi-VN"/>
        </w:rPr>
        <w:t>,</w:t>
      </w:r>
      <w:r>
        <w:rPr>
          <w:rFonts w:ascii="Times New Roman" w:hAnsi="Times New Roman"/>
          <w:sz w:val="28"/>
          <w:szCs w:val="24"/>
          <w:lang w:val="ru-RU"/>
        </w:rPr>
        <w:t xml:space="preserve"> г.</w:t>
      </w:r>
      <w:r>
        <w:rPr>
          <w:rFonts w:ascii="Times New Roman" w:hAnsi="Times New Roman"/>
          <w:sz w:val="28"/>
          <w:szCs w:val="24"/>
          <w:lang w:val="vi-VN"/>
        </w:rPr>
        <w:t xml:space="preserve"> </w:t>
      </w:r>
      <w:r>
        <w:rPr>
          <w:rFonts w:ascii="Times New Roman" w:hAnsi="Times New Roman"/>
          <w:sz w:val="28"/>
          <w:szCs w:val="24"/>
          <w:lang w:val="ru-RU"/>
        </w:rPr>
        <w:t xml:space="preserve">Москва, ул.Садовническая наб.23, (495) 737-03-30, </w:t>
      </w:r>
      <w:r>
        <w:rPr>
          <w:rFonts w:ascii="Times New Roman" w:hAnsi="Times New Roman"/>
          <w:sz w:val="28"/>
          <w:szCs w:val="24"/>
        </w:rPr>
        <w:t>www</w:t>
      </w:r>
      <w:r>
        <w:rPr>
          <w:rFonts w:ascii="Times New Roman" w:hAnsi="Times New Roman"/>
          <w:sz w:val="28"/>
          <w:szCs w:val="24"/>
          <w:lang w:val="ru-RU"/>
        </w:rPr>
        <w:t>.</w:t>
      </w:r>
      <w:r>
        <w:rPr>
          <w:rFonts w:ascii="Times New Roman" w:hAnsi="Times New Roman"/>
          <w:sz w:val="28"/>
          <w:szCs w:val="24"/>
        </w:rPr>
        <w:t>energogarant</w:t>
      </w:r>
      <w:r>
        <w:rPr>
          <w:rFonts w:ascii="Times New Roman" w:hAnsi="Times New Roman"/>
          <w:sz w:val="28"/>
          <w:szCs w:val="24"/>
          <w:lang w:val="ru-RU"/>
        </w:rPr>
        <w:t>.</w:t>
      </w:r>
      <w:r>
        <w:rPr>
          <w:rFonts w:ascii="Times New Roman" w:hAnsi="Times New Roman"/>
          <w:sz w:val="28"/>
          <w:szCs w:val="24"/>
        </w:rPr>
        <w:t>ru</w:t>
      </w:r>
      <w:r>
        <w:rPr>
          <w:rFonts w:ascii="Times New Roman" w:hAnsi="Times New Roman"/>
          <w:sz w:val="28"/>
          <w:szCs w:val="24"/>
          <w:lang w:val="ru-RU"/>
        </w:rPr>
        <w:t>, лицензия ЦБ РФ СЛ 1834 от 01.02.2016, ИНН 7705041231, КПП 775001001, р/с 40701810238360104005 «Сбербанк России» ПАО г. Москва, к/</w:t>
      </w:r>
      <w:r>
        <w:rPr>
          <w:rFonts w:ascii="Times New Roman" w:hAnsi="Times New Roman"/>
          <w:sz w:val="28"/>
          <w:szCs w:val="24"/>
        </w:rPr>
        <w:t>c</w:t>
      </w:r>
      <w:r>
        <w:rPr>
          <w:rFonts w:ascii="Times New Roman" w:hAnsi="Times New Roman"/>
          <w:sz w:val="28"/>
          <w:szCs w:val="24"/>
          <w:lang w:val="ru-RU"/>
        </w:rPr>
        <w:t xml:space="preserve"> 30101810400000000225, БИК 044525225, ОКВЭД 66.03; 67.20, ОКПО 17180408.</w:t>
      </w:r>
    </w:p>
    <w:p>
      <w:pPr>
        <w:pStyle w:val="ListParagraph"/>
        <w:numPr>
          <w:ilvl w:val="0"/>
          <w:numId w:val="1"/>
        </w:numPr>
        <w:spacing w:lineRule="auto" w:line="252" w:before="0" w:after="0"/>
        <w:contextualSpacing/>
        <w:rPr/>
      </w:pPr>
      <w:r>
        <w:rPr>
          <w:rFonts w:ascii="Times New Roman" w:hAnsi="Times New Roman"/>
          <w:b/>
          <w:sz w:val="28"/>
          <w:lang w:val="ru-RU"/>
        </w:rPr>
        <w:t>Đ</w:t>
      </w:r>
      <w:r>
        <w:rPr>
          <w:rFonts w:ascii="Times New Roman" w:hAnsi="Times New Roman"/>
          <w:b/>
          <w:sz w:val="28"/>
        </w:rPr>
        <w:t>ối</w:t>
      </w:r>
      <w:r>
        <w:rPr>
          <w:rFonts w:ascii="Times New Roman" w:hAnsi="Times New Roman"/>
          <w:b/>
          <w:sz w:val="28"/>
          <w:lang w:val="ru-RU"/>
        </w:rPr>
        <w:t xml:space="preserve"> </w:t>
      </w:r>
      <w:r>
        <w:rPr>
          <w:rFonts w:ascii="Times New Roman" w:hAnsi="Times New Roman"/>
          <w:b/>
          <w:sz w:val="28"/>
        </w:rPr>
        <w:t>t</w:t>
      </w:r>
      <w:r>
        <w:rPr>
          <w:rFonts w:ascii="Times New Roman" w:hAnsi="Times New Roman"/>
          <w:b/>
          <w:sz w:val="28"/>
          <w:lang w:val="ru-RU"/>
        </w:rPr>
        <w:t>ư</w:t>
      </w:r>
      <w:r>
        <w:rPr>
          <w:rFonts w:ascii="Times New Roman" w:hAnsi="Times New Roman"/>
          <w:b/>
          <w:sz w:val="28"/>
        </w:rPr>
        <w:t>ợng</w:t>
      </w:r>
      <w:r>
        <w:rPr>
          <w:rFonts w:ascii="Times New Roman" w:hAnsi="Times New Roman"/>
          <w:b/>
          <w:sz w:val="28"/>
          <w:lang w:val="ru-RU"/>
        </w:rPr>
        <w:t xml:space="preserve"> </w:t>
      </w:r>
      <w:r>
        <w:rPr>
          <w:rFonts w:ascii="Times New Roman" w:hAnsi="Times New Roman"/>
          <w:b/>
          <w:sz w:val="28"/>
        </w:rPr>
        <w:t>mua</w:t>
      </w:r>
      <w:r>
        <w:rPr>
          <w:rFonts w:ascii="Times New Roman" w:hAnsi="Times New Roman"/>
          <w:b/>
          <w:sz w:val="28"/>
          <w:lang w:val="ru-RU"/>
        </w:rPr>
        <w:t xml:space="preserve"> </w:t>
      </w:r>
      <w:r>
        <w:rPr>
          <w:rFonts w:ascii="Times New Roman" w:hAnsi="Times New Roman"/>
          <w:b/>
          <w:sz w:val="28"/>
        </w:rPr>
        <w:t>bảo</w:t>
      </w:r>
      <w:r>
        <w:rPr>
          <w:rFonts w:ascii="Times New Roman" w:hAnsi="Times New Roman"/>
          <w:b/>
          <w:sz w:val="28"/>
          <w:lang w:val="ru-RU"/>
        </w:rPr>
        <w:t xml:space="preserve"> </w:t>
      </w:r>
      <w:r>
        <w:rPr>
          <w:rFonts w:ascii="Times New Roman" w:hAnsi="Times New Roman"/>
          <w:b/>
          <w:sz w:val="28"/>
        </w:rPr>
        <w:t>hiểm</w:t>
      </w:r>
      <w:r>
        <w:rPr>
          <w:rFonts w:ascii="Times New Roman" w:hAnsi="Times New Roman"/>
          <w:b/>
          <w:sz w:val="28"/>
          <w:lang w:val="ru-RU"/>
        </w:rPr>
        <w:t>:</w:t>
      </w:r>
      <w:r>
        <w:rPr>
          <w:rFonts w:ascii="Times New Roman" w:hAnsi="Times New Roman"/>
          <w:sz w:val="28"/>
          <w:lang w:val="ru-RU"/>
        </w:rPr>
        <w:t xml:space="preserve"> </w:t>
      </w:r>
      <w:r>
        <w:rPr>
          <w:rFonts w:eastAsia="MS Mincho" w:cs="Times New Roman" w:ascii="Times New Roman" w:hAnsi="Times New Roman"/>
          <w:sz w:val="28"/>
          <w:lang w:val="ru-RU"/>
        </w:rPr>
        <w:t>...</w:t>
      </w:r>
    </w:p>
    <w:tbl>
      <w:tblPr>
        <w:tblW w:w="9062" w:type="dxa"/>
        <w:jc w:val="left"/>
        <w:tblInd w:w="0" w:type="dxa"/>
        <w:tblCellMar>
          <w:top w:w="0" w:type="dxa"/>
          <w:left w:w="108" w:type="dxa"/>
          <w:bottom w:w="0" w:type="dxa"/>
          <w:right w:w="108" w:type="dxa"/>
        </w:tblCellMar>
        <w:tblLook w:val="04a0" w:noHBand="0" w:noVBand="1" w:firstColumn="1" w:lastRow="0" w:lastColumn="0" w:firstRow="1"/>
      </w:tblPr>
      <w:tblGrid>
        <w:gridCol w:w="2782"/>
        <w:gridCol w:w="1981"/>
        <w:gridCol w:w="1798"/>
        <w:gridCol w:w="2500"/>
      </w:tblGrid>
      <w:tr>
        <w:trPr/>
        <w:tc>
          <w:tcPr>
            <w:tcW w:w="2782" w:type="dxa"/>
            <w:tcBorders/>
            <w:shd w:color="auto" w:fill="auto" w:val="clear"/>
          </w:tcPr>
          <w:p>
            <w:pPr>
              <w:pStyle w:val="Normal"/>
              <w:spacing w:lineRule="auto" w:line="240" w:before="0" w:after="0"/>
              <w:rPr>
                <w:rFonts w:ascii="Times New Roman" w:hAnsi="Times New Roman" w:eastAsia="Calibri"/>
                <w:sz w:val="28"/>
              </w:rPr>
            </w:pPr>
            <w:r>
              <w:rPr>
                <w:rFonts w:eastAsia="Calibri" w:ascii="Times New Roman" w:hAnsi="Times New Roman"/>
                <w:sz w:val="28"/>
              </w:rPr>
              <w:t>Quốc tịch: Việt Nam</w:t>
            </w:r>
          </w:p>
        </w:tc>
        <w:tc>
          <w:tcPr>
            <w:tcW w:w="1981" w:type="dxa"/>
            <w:tcBorders/>
            <w:shd w:color="auto" w:fill="auto" w:val="clear"/>
          </w:tcPr>
          <w:p>
            <w:pPr>
              <w:pStyle w:val="Normal"/>
              <w:spacing w:lineRule="auto" w:line="240" w:before="0" w:after="0"/>
              <w:jc w:val="right"/>
              <w:rPr>
                <w:rFonts w:ascii="Times New Roman" w:hAnsi="Times New Roman" w:eastAsia="Calibri"/>
                <w:sz w:val="28"/>
              </w:rPr>
            </w:pPr>
            <w:r>
              <w:rPr>
                <w:rFonts w:eastAsia="Calibri" w:ascii="Times New Roman" w:hAnsi="Times New Roman"/>
                <w:sz w:val="28"/>
              </w:rPr>
              <w:t>Ngày sinh:</w:t>
            </w:r>
          </w:p>
        </w:tc>
        <w:tc>
          <w:tcPr>
            <w:tcW w:w="1798" w:type="dxa"/>
            <w:tcBorders/>
            <w:shd w:color="auto" w:fill="auto" w:val="clear"/>
          </w:tcPr>
          <w:p>
            <w:pPr>
              <w:pStyle w:val="Normal"/>
              <w:spacing w:lineRule="auto" w:line="240" w:before="0" w:after="0"/>
              <w:rPr>
                <w:color w:val="FF0000"/>
              </w:rPr>
            </w:pPr>
            <w:r>
              <w:rPr>
                <w:rFonts w:eastAsia="Calibri" w:ascii="Times New Roman" w:hAnsi="Times New Roman"/>
                <w:color w:val="FF0000"/>
                <w:sz w:val="28"/>
              </w:rPr>
              <w:t>…</w:t>
            </w:r>
            <w:r>
              <w:rPr>
                <w:rFonts w:eastAsia="Calibri" w:ascii="Times New Roman" w:hAnsi="Times New Roman"/>
                <w:color w:val="FF0000"/>
                <w:sz w:val="28"/>
              </w:rPr>
              <w:t>..</w:t>
            </w:r>
          </w:p>
        </w:tc>
        <w:tc>
          <w:tcPr>
            <w:tcW w:w="2500" w:type="dxa"/>
            <w:tcBorders/>
            <w:shd w:color="auto" w:fill="auto" w:val="clear"/>
          </w:tcPr>
          <w:p>
            <w:pPr>
              <w:pStyle w:val="Normal"/>
              <w:spacing w:lineRule="auto" w:line="240" w:before="0" w:after="0"/>
              <w:jc w:val="right"/>
              <w:rPr>
                <w:rFonts w:ascii="Times New Roman" w:hAnsi="Times New Roman" w:eastAsia="Calibri"/>
                <w:sz w:val="28"/>
              </w:rPr>
            </w:pPr>
            <w:r>
              <w:rPr>
                <w:rFonts w:eastAsia="Calibri" w:ascii="Times New Roman" w:hAnsi="Times New Roman"/>
                <w:sz w:val="28"/>
              </w:rPr>
              <w:t xml:space="preserve">Giới tính: </w:t>
            </w:r>
            <w:r>
              <w:rPr>
                <w:rFonts w:eastAsia="Calibri" w:ascii="Times New Roman" w:hAnsi="Times New Roman"/>
                <w:color w:val="FF0000"/>
                <w:sz w:val="28"/>
              </w:rPr>
              <w:t>…..</w:t>
            </w:r>
          </w:p>
        </w:tc>
      </w:tr>
      <w:tr>
        <w:trPr/>
        <w:tc>
          <w:tcPr>
            <w:tcW w:w="9061" w:type="dxa"/>
            <w:gridSpan w:val="4"/>
            <w:tcBorders/>
            <w:shd w:color="auto" w:fill="auto" w:val="clear"/>
          </w:tcPr>
          <w:p>
            <w:pPr>
              <w:pStyle w:val="Normal"/>
              <w:spacing w:lineRule="auto" w:line="240" w:before="0" w:after="0"/>
              <w:rPr/>
            </w:pPr>
            <w:r>
              <w:rPr>
                <w:rFonts w:eastAsia="Calibri" w:ascii="Times New Roman" w:hAnsi="Times New Roman"/>
                <w:sz w:val="28"/>
              </w:rPr>
              <w:t xml:space="preserve">Địa chỉ nơi ở: </w:t>
            </w:r>
            <w:r>
              <w:rPr>
                <w:rFonts w:eastAsia="Calibri" w:ascii="Times New Roman" w:hAnsi="Times New Roman"/>
                <w:color w:val="FF0000"/>
                <w:sz w:val="28"/>
              </w:rPr>
              <w:t>…..</w:t>
            </w:r>
          </w:p>
        </w:tc>
      </w:tr>
      <w:tr>
        <w:trPr/>
        <w:tc>
          <w:tcPr>
            <w:tcW w:w="4763" w:type="dxa"/>
            <w:gridSpan w:val="2"/>
            <w:tcBorders/>
            <w:shd w:color="auto" w:fill="auto" w:val="clear"/>
          </w:tcPr>
          <w:p>
            <w:pPr>
              <w:pStyle w:val="Normal"/>
              <w:spacing w:lineRule="auto" w:line="240" w:before="0" w:after="0"/>
              <w:rPr/>
            </w:pPr>
            <w:r>
              <w:rPr>
                <w:rFonts w:eastAsia="Calibri" w:ascii="Times New Roman" w:hAnsi="Times New Roman"/>
                <w:sz w:val="28"/>
              </w:rPr>
              <w:t xml:space="preserve">Giấy tờ cá nhân: </w:t>
            </w:r>
            <w:r>
              <w:rPr>
                <w:rFonts w:eastAsia="Calibri" w:cs="Times New Roman" w:ascii="Times New Roman" w:hAnsi="Times New Roman"/>
                <w:color w:val="FF0000"/>
                <w:sz w:val="28"/>
              </w:rPr>
              <w:t>…..</w:t>
            </w:r>
          </w:p>
        </w:tc>
        <w:tc>
          <w:tcPr>
            <w:tcW w:w="4298" w:type="dxa"/>
            <w:gridSpan w:val="2"/>
            <w:tcBorders/>
            <w:shd w:color="auto" w:fill="auto" w:val="clear"/>
            <w:vAlign w:val="center"/>
          </w:tcPr>
          <w:p>
            <w:pPr>
              <w:pStyle w:val="Normal"/>
              <w:spacing w:lineRule="auto" w:line="240" w:before="0" w:after="0"/>
              <w:jc w:val="right"/>
              <w:rPr/>
            </w:pPr>
            <w:r>
              <w:rPr>
                <w:rFonts w:eastAsia="Calibri" w:ascii="Times New Roman" w:hAnsi="Times New Roman"/>
                <w:sz w:val="28"/>
              </w:rPr>
              <w:t xml:space="preserve">Ngày cấp: </w:t>
            </w:r>
            <w:r>
              <w:rPr>
                <w:rFonts w:eastAsia="Calibri" w:ascii="Times New Roman" w:hAnsi="Times New Roman"/>
                <w:color w:val="FF0000"/>
                <w:sz w:val="28"/>
              </w:rPr>
              <w:t>.....</w:t>
            </w:r>
          </w:p>
        </w:tc>
      </w:tr>
      <w:tr>
        <w:trPr/>
        <w:tc>
          <w:tcPr>
            <w:tcW w:w="9061" w:type="dxa"/>
            <w:gridSpan w:val="4"/>
            <w:tcBorders/>
            <w:shd w:color="auto" w:fill="auto" w:val="clear"/>
          </w:tcPr>
          <w:p>
            <w:pPr>
              <w:pStyle w:val="Normal"/>
              <w:spacing w:lineRule="auto" w:line="240" w:before="0" w:after="0"/>
              <w:rPr/>
            </w:pPr>
            <w:r>
              <w:rPr>
                <w:rFonts w:eastAsia="Calibri" w:ascii="Times New Roman" w:hAnsi="Times New Roman"/>
                <w:sz w:val="28"/>
              </w:rPr>
              <w:t xml:space="preserve">Số điện thoại: </w:t>
            </w:r>
            <w:r>
              <w:rPr>
                <w:rFonts w:eastAsia="Calibri" w:ascii="Times New Roman" w:hAnsi="Times New Roman"/>
                <w:color w:val="FF0000"/>
                <w:sz w:val="28"/>
              </w:rPr>
              <w:t>…..</w:t>
            </w:r>
          </w:p>
        </w:tc>
      </w:tr>
      <w:tr>
        <w:trPr/>
        <w:tc>
          <w:tcPr>
            <w:tcW w:w="4763" w:type="dxa"/>
            <w:gridSpan w:val="2"/>
            <w:tcBorders/>
            <w:shd w:color="auto" w:fill="auto" w:val="clear"/>
          </w:tcPr>
          <w:p>
            <w:pPr>
              <w:pStyle w:val="Normal"/>
              <w:spacing w:lineRule="auto" w:line="240" w:before="0" w:after="0"/>
              <w:rPr>
                <w:rFonts w:ascii="Times New Roman" w:hAnsi="Times New Roman" w:eastAsia="Calibri"/>
                <w:sz w:val="28"/>
              </w:rPr>
            </w:pPr>
            <w:r>
              <w:rPr>
                <w:rFonts w:eastAsia="Calibri" w:ascii="Times New Roman" w:hAnsi="Times New Roman"/>
                <w:sz w:val="28"/>
              </w:rPr>
              <w:t>Nơi làm việc/học tập: MGTU Bauman</w:t>
            </w:r>
          </w:p>
        </w:tc>
        <w:tc>
          <w:tcPr>
            <w:tcW w:w="1798" w:type="dxa"/>
            <w:tcBorders/>
            <w:shd w:color="auto" w:fill="auto" w:val="clear"/>
          </w:tcPr>
          <w:p>
            <w:pPr>
              <w:pStyle w:val="Normal"/>
              <w:spacing w:lineRule="auto" w:line="240" w:before="0" w:after="0"/>
              <w:jc w:val="center"/>
              <w:rPr/>
            </w:pPr>
            <w:r>
              <w:rPr>
                <w:rFonts w:eastAsia="Calibri" w:ascii="Times New Roman" w:hAnsi="Times New Roman"/>
                <w:sz w:val="28"/>
              </w:rPr>
              <w:t xml:space="preserve">Khoa: </w:t>
            </w:r>
            <w:r>
              <w:rPr>
                <w:rFonts w:eastAsia="Calibri" w:ascii="Times New Roman" w:hAnsi="Times New Roman"/>
                <w:color w:val="FF0000"/>
                <w:sz w:val="28"/>
              </w:rPr>
              <w:t>…..</w:t>
            </w:r>
          </w:p>
        </w:tc>
        <w:tc>
          <w:tcPr>
            <w:tcW w:w="2500" w:type="dxa"/>
            <w:tcBorders/>
            <w:shd w:color="auto" w:fill="auto" w:val="clear"/>
          </w:tcPr>
          <w:p>
            <w:pPr>
              <w:pStyle w:val="Normal"/>
              <w:tabs>
                <w:tab w:val="clear" w:pos="720"/>
                <w:tab w:val="left" w:pos="1717" w:leader="none"/>
              </w:tabs>
              <w:spacing w:lineRule="auto" w:line="240" w:before="0" w:after="0"/>
              <w:jc w:val="center"/>
              <w:rPr/>
            </w:pPr>
            <w:r>
              <w:rPr>
                <w:rFonts w:eastAsia="Calibri" w:ascii="Times New Roman" w:hAnsi="Times New Roman"/>
                <w:sz w:val="28"/>
              </w:rPr>
              <w:t xml:space="preserve">Khoá: </w:t>
            </w:r>
            <w:r>
              <w:rPr>
                <w:rFonts w:eastAsia="Calibri" w:ascii="Times New Roman" w:hAnsi="Times New Roman"/>
                <w:color w:val="FF0000"/>
                <w:sz w:val="28"/>
              </w:rPr>
              <w:t>…..</w:t>
            </w:r>
          </w:p>
        </w:tc>
      </w:tr>
    </w:tbl>
    <w:p>
      <w:pPr>
        <w:pStyle w:val="ListParagraph"/>
        <w:numPr>
          <w:ilvl w:val="0"/>
          <w:numId w:val="1"/>
        </w:numPr>
        <w:spacing w:lineRule="auto" w:line="252" w:before="0" w:after="0"/>
        <w:contextualSpacing/>
        <w:rPr>
          <w:rFonts w:ascii="Times New Roman" w:hAnsi="Times New Roman"/>
          <w:b/>
          <w:b/>
          <w:sz w:val="28"/>
        </w:rPr>
      </w:pPr>
      <w:r>
        <w:rPr>
          <w:rFonts w:ascii="Times New Roman" w:hAnsi="Times New Roman"/>
          <w:b/>
          <w:sz w:val="28"/>
        </w:rPr>
        <w:t>Bảo hiểm rủi ro, số tiền bảo hiểm, phí bảo hiểm (cần chú ý):</w:t>
      </w:r>
    </w:p>
    <w:tbl>
      <w:tblPr>
        <w:tblW w:w="10065" w:type="dxa"/>
        <w:jc w:val="center"/>
        <w:tblInd w:w="0" w:type="dxa"/>
        <w:tblCellMar>
          <w:top w:w="0" w:type="dxa"/>
          <w:left w:w="108" w:type="dxa"/>
          <w:bottom w:w="0" w:type="dxa"/>
          <w:right w:w="108" w:type="dxa"/>
        </w:tblCellMar>
        <w:tblLook w:val="04a0" w:noHBand="0" w:noVBand="1" w:firstColumn="1" w:lastRow="0" w:lastColumn="0" w:firstRow="1"/>
      </w:tblPr>
      <w:tblGrid>
        <w:gridCol w:w="1560"/>
        <w:gridCol w:w="1276"/>
        <w:gridCol w:w="2085"/>
        <w:gridCol w:w="1601"/>
        <w:gridCol w:w="1536"/>
        <w:gridCol w:w="2006"/>
      </w:tblGrid>
      <w:tr>
        <w:trPr>
          <w:trHeight w:val="488"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b/>
                <w:b/>
                <w:sz w:val="28"/>
                <w:szCs w:val="24"/>
              </w:rPr>
            </w:pPr>
            <w:r>
              <w:rPr>
                <w:rFonts w:ascii="Times New Roman" w:hAnsi="Times New Roman"/>
                <w:b/>
                <w:sz w:val="28"/>
                <w:szCs w:val="24"/>
              </w:rPr>
              <w:t>Rủi ro bảo hiểm</w:t>
            </w:r>
          </w:p>
        </w:tc>
        <w:tc>
          <w:tcPr>
            <w:tcW w:w="336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b/>
                <w:b/>
                <w:sz w:val="28"/>
                <w:szCs w:val="24"/>
                <w:lang w:val="vi-VN"/>
              </w:rPr>
            </w:pPr>
            <w:r>
              <w:rPr>
                <w:rFonts w:ascii="Times New Roman" w:hAnsi="Times New Roman"/>
                <w:b/>
                <w:sz w:val="28"/>
                <w:szCs w:val="24"/>
                <w:lang w:val="vi-VN"/>
              </w:rPr>
              <w:t>Các chương trình bảo hiểm</w:t>
            </w:r>
          </w:p>
        </w:tc>
        <w:tc>
          <w:tcPr>
            <w:tcW w:w="16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b/>
                <w:b/>
                <w:sz w:val="28"/>
                <w:szCs w:val="24"/>
                <w:lang w:val="vi-VN"/>
              </w:rPr>
            </w:pPr>
            <w:r>
              <w:rPr>
                <w:rFonts w:ascii="Times New Roman" w:hAnsi="Times New Roman"/>
                <w:b/>
                <w:sz w:val="28"/>
                <w:szCs w:val="24"/>
                <w:lang w:val="vi-VN"/>
              </w:rPr>
              <w:t>Giới hạn trách nhiệm</w:t>
            </w:r>
          </w:p>
        </w:tc>
        <w:tc>
          <w:tcPr>
            <w:tcW w:w="15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b/>
                <w:b/>
                <w:sz w:val="28"/>
                <w:szCs w:val="24"/>
                <w:lang w:val="vi-VN"/>
              </w:rPr>
            </w:pPr>
            <w:r>
              <w:rPr>
                <w:rFonts w:ascii="Times New Roman" w:hAnsi="Times New Roman"/>
                <w:b/>
                <w:sz w:val="28"/>
                <w:szCs w:val="24"/>
                <w:lang w:val="vi-VN"/>
              </w:rPr>
              <w:t>Tổng số tiền bảo hiểm</w:t>
            </w:r>
          </w:p>
        </w:tc>
        <w:tc>
          <w:tcPr>
            <w:tcW w:w="20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b/>
                <w:b/>
                <w:sz w:val="28"/>
                <w:szCs w:val="24"/>
                <w:lang w:val="vi-VN"/>
              </w:rPr>
            </w:pPr>
            <w:r>
              <w:rPr>
                <w:rFonts w:ascii="Times New Roman" w:hAnsi="Times New Roman"/>
                <w:b/>
                <w:sz w:val="28"/>
                <w:szCs w:val="24"/>
                <w:lang w:val="vi-VN"/>
              </w:rPr>
              <w:t>Phí bảo hiểm</w:t>
            </w:r>
          </w:p>
        </w:tc>
      </w:tr>
      <w:tr>
        <w:trPr>
          <w:trHeight w:val="478" w:hRule="atLeast"/>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3.1 Bảo hiểm y tế tự nguyện – mục 2.1 Điều khoản bảo hiểm</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3.1.1 Chăm sóc ngoại trú</w:t>
            </w:r>
          </w:p>
        </w:tc>
        <w:tc>
          <w:tcPr>
            <w:tcW w:w="160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sz w:val="28"/>
                <w:szCs w:val="24"/>
                <w:lang w:val="ru-RU"/>
              </w:rPr>
            </w:pPr>
            <w:r>
              <w:rPr>
                <w:rFonts w:ascii="Times New Roman" w:hAnsi="Times New Roman"/>
                <w:sz w:val="28"/>
                <w:szCs w:val="24"/>
              </w:rPr>
              <w:t xml:space="preserve">450 000 </w:t>
            </w:r>
            <w:r>
              <w:rPr>
                <w:rFonts w:ascii="Times New Roman" w:hAnsi="Times New Roman"/>
                <w:sz w:val="28"/>
                <w:szCs w:val="24"/>
                <w:lang w:val="ru-RU"/>
              </w:rPr>
              <w:t>руб.</w:t>
            </w:r>
          </w:p>
        </w:tc>
        <w:tc>
          <w:tcPr>
            <w:tcW w:w="153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sz w:val="28"/>
                <w:szCs w:val="24"/>
                <w:lang w:val="ru-RU"/>
              </w:rPr>
            </w:pPr>
            <w:r>
              <w:rPr>
                <w:rFonts w:ascii="Times New Roman" w:hAnsi="Times New Roman"/>
                <w:sz w:val="28"/>
                <w:szCs w:val="24"/>
                <w:lang w:val="ru-RU"/>
              </w:rPr>
              <w:t>1 50</w:t>
            </w:r>
            <w:r>
              <w:rPr>
                <w:rFonts w:ascii="Times New Roman" w:hAnsi="Times New Roman"/>
                <w:sz w:val="28"/>
                <w:szCs w:val="24"/>
              </w:rPr>
              <w:t>0</w:t>
            </w:r>
            <w:r>
              <w:rPr>
                <w:rFonts w:ascii="Times New Roman" w:hAnsi="Times New Roman"/>
                <w:sz w:val="28"/>
                <w:szCs w:val="24"/>
                <w:lang w:val="ru-RU"/>
              </w:rPr>
              <w:t xml:space="preserve"> 000 руб.</w:t>
            </w:r>
          </w:p>
        </w:tc>
        <w:tc>
          <w:tcPr>
            <w:tcW w:w="200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ascii="Times New Roman" w:hAnsi="Times New Roman"/>
                <w:sz w:val="28"/>
                <w:szCs w:val="24"/>
                <w:lang w:val="ru-RU"/>
              </w:rPr>
              <w:t>6 000 руб.</w:t>
            </w:r>
          </w:p>
        </w:tc>
      </w:tr>
      <w:tr>
        <w:trPr>
          <w:trHeight w:val="244" w:hRule="atLeast"/>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3.1.2 Gọi bác sĩ đến nhà</w:t>
            </w:r>
          </w:p>
        </w:tc>
        <w:tc>
          <w:tcPr>
            <w:tcW w:w="1601"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5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20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r>
      <w:tr>
        <w:trPr>
          <w:trHeight w:val="287" w:hRule="atLeast"/>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3.1.3 Khám nha khoa</w:t>
            </w:r>
          </w:p>
        </w:tc>
        <w:tc>
          <w:tcPr>
            <w:tcW w:w="16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sz w:val="28"/>
                <w:szCs w:val="24"/>
                <w:lang w:val="ru-RU"/>
              </w:rPr>
            </w:pPr>
            <w:r>
              <w:rPr>
                <w:rFonts w:ascii="Times New Roman" w:hAnsi="Times New Roman"/>
                <w:sz w:val="28"/>
                <w:szCs w:val="24"/>
                <w:lang w:val="ru-RU"/>
              </w:rPr>
              <w:t>50 000 руб.</w:t>
            </w:r>
          </w:p>
        </w:tc>
        <w:tc>
          <w:tcPr>
            <w:tcW w:w="15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ru-RU"/>
              </w:rPr>
            </w:pPr>
            <w:r>
              <w:rPr>
                <w:rFonts w:ascii="Times New Roman" w:hAnsi="Times New Roman"/>
                <w:sz w:val="28"/>
                <w:szCs w:val="24"/>
                <w:lang w:val="ru-RU"/>
              </w:rPr>
            </w:r>
          </w:p>
        </w:tc>
        <w:tc>
          <w:tcPr>
            <w:tcW w:w="20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ru-RU"/>
              </w:rPr>
            </w:pPr>
            <w:r>
              <w:rPr>
                <w:rFonts w:ascii="Times New Roman" w:hAnsi="Times New Roman"/>
                <w:sz w:val="28"/>
                <w:szCs w:val="24"/>
                <w:lang w:val="ru-RU"/>
              </w:rPr>
            </w:r>
          </w:p>
        </w:tc>
      </w:tr>
      <w:tr>
        <w:trPr>
          <w:trHeight w:val="273" w:hRule="atLeast"/>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3.1.4 Cấp cứu</w:t>
            </w:r>
          </w:p>
        </w:tc>
        <w:tc>
          <w:tcPr>
            <w:tcW w:w="160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sz w:val="28"/>
                <w:szCs w:val="24"/>
              </w:rPr>
            </w:pPr>
            <w:r>
              <w:rPr>
                <w:rFonts w:ascii="Times New Roman" w:hAnsi="Times New Roman"/>
                <w:sz w:val="28"/>
                <w:szCs w:val="24"/>
              </w:rPr>
              <w:t xml:space="preserve">1 000 000 </w:t>
            </w:r>
            <w:r>
              <w:rPr>
                <w:rFonts w:ascii="Times New Roman" w:hAnsi="Times New Roman"/>
                <w:sz w:val="28"/>
                <w:szCs w:val="24"/>
                <w:lang w:val="ru-RU"/>
              </w:rPr>
              <w:t>руб</w:t>
            </w:r>
            <w:r>
              <w:rPr>
                <w:rFonts w:ascii="Times New Roman" w:hAnsi="Times New Roman"/>
                <w:sz w:val="28"/>
                <w:szCs w:val="24"/>
              </w:rPr>
              <w:t>.</w:t>
            </w:r>
          </w:p>
        </w:tc>
        <w:tc>
          <w:tcPr>
            <w:tcW w:w="15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ru-RU"/>
              </w:rPr>
            </w:pPr>
            <w:r>
              <w:rPr>
                <w:rFonts w:ascii="Times New Roman" w:hAnsi="Times New Roman"/>
                <w:sz w:val="28"/>
                <w:szCs w:val="24"/>
                <w:lang w:val="ru-RU"/>
              </w:rPr>
            </w:r>
          </w:p>
        </w:tc>
        <w:tc>
          <w:tcPr>
            <w:tcW w:w="20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ru-RU"/>
              </w:rPr>
            </w:pPr>
            <w:r>
              <w:rPr>
                <w:rFonts w:ascii="Times New Roman" w:hAnsi="Times New Roman"/>
                <w:sz w:val="28"/>
                <w:szCs w:val="24"/>
                <w:lang w:val="ru-RU"/>
              </w:rPr>
            </w:r>
          </w:p>
        </w:tc>
      </w:tr>
      <w:tr>
        <w:trPr>
          <w:trHeight w:val="200" w:hRule="atLeast"/>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3.1.5 Dịch vụ xe cứu thương</w:t>
            </w:r>
          </w:p>
        </w:tc>
        <w:tc>
          <w:tcPr>
            <w:tcW w:w="1601"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5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20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r>
      <w:tr>
        <w:trPr>
          <w:trHeight w:val="258" w:hRule="atLeast"/>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3.2 Giao thông/ Hồi hương – mục 2.2 điều khoản bảo hiểm</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3.2.1 Dịch vụ hồi hương về nước cư trú</w:t>
            </w:r>
          </w:p>
        </w:tc>
        <w:tc>
          <w:tcPr>
            <w:tcW w:w="160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sz w:val="28"/>
                <w:szCs w:val="24"/>
                <w:lang w:val="ru-RU"/>
              </w:rPr>
            </w:pPr>
            <w:r>
              <w:rPr>
                <w:rFonts w:ascii="Times New Roman" w:hAnsi="Times New Roman"/>
                <w:sz w:val="28"/>
                <w:szCs w:val="24"/>
                <w:lang w:val="ru-RU"/>
              </w:rPr>
              <w:t>500 000 руб.</w:t>
            </w:r>
          </w:p>
        </w:tc>
        <w:tc>
          <w:tcPr>
            <w:tcW w:w="153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sz w:val="28"/>
                <w:szCs w:val="24"/>
                <w:lang w:val="ru-RU"/>
              </w:rPr>
            </w:pPr>
            <w:r>
              <w:rPr>
                <w:rFonts w:ascii="Times New Roman" w:hAnsi="Times New Roman"/>
                <w:sz w:val="28"/>
                <w:szCs w:val="24"/>
                <w:lang w:val="ru-RU"/>
              </w:rPr>
              <w:t>500 000 руб.</w:t>
            </w:r>
          </w:p>
        </w:tc>
        <w:tc>
          <w:tcPr>
            <w:tcW w:w="200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sz w:val="28"/>
                <w:szCs w:val="24"/>
                <w:lang w:val="ru-RU"/>
              </w:rPr>
            </w:pPr>
            <w:r>
              <w:rPr>
                <w:rFonts w:ascii="Times New Roman" w:hAnsi="Times New Roman"/>
                <w:sz w:val="28"/>
                <w:szCs w:val="24"/>
                <w:lang w:val="ru-RU"/>
              </w:rPr>
              <w:t>500 руб.</w:t>
            </w:r>
          </w:p>
        </w:tc>
      </w:tr>
      <w:tr>
        <w:trPr>
          <w:trHeight w:val="215" w:hRule="atLeast"/>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3.2.2 Dịch vụ hồi hương sau khi chết</w:t>
            </w:r>
          </w:p>
        </w:tc>
        <w:tc>
          <w:tcPr>
            <w:tcW w:w="1601"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5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20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r>
      <w:tr>
        <w:trPr>
          <w:trHeight w:val="301" w:hRule="atLeast"/>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3.3 Bảo hiểm tai nạn – mục 2.3 điều khoản bảo hiểm</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3.3.1 Chấn thương do tai nạn</w:t>
            </w:r>
          </w:p>
        </w:tc>
        <w:tc>
          <w:tcPr>
            <w:tcW w:w="16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rPr>
            </w:pPr>
            <w:r>
              <w:rPr>
                <w:rFonts w:ascii="Times New Roman" w:hAnsi="Times New Roman"/>
                <w:sz w:val="28"/>
                <w:szCs w:val="24"/>
              </w:rPr>
            </w:r>
          </w:p>
        </w:tc>
        <w:tc>
          <w:tcPr>
            <w:tcW w:w="153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rPr>
            </w:pPr>
            <w:r>
              <w:rPr>
                <w:rFonts w:ascii="Times New Roman" w:hAnsi="Times New Roman"/>
                <w:sz w:val="28"/>
                <w:szCs w:val="24"/>
              </w:rPr>
            </w:r>
          </w:p>
        </w:tc>
        <w:tc>
          <w:tcPr>
            <w:tcW w:w="200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rPr>
            </w:pPr>
            <w:r>
              <w:rPr>
                <w:rFonts w:ascii="Times New Roman" w:hAnsi="Times New Roman"/>
                <w:sz w:val="28"/>
                <w:szCs w:val="24"/>
              </w:rPr>
            </w:r>
          </w:p>
        </w:tc>
      </w:tr>
      <w:tr>
        <w:trPr>
          <w:trHeight w:val="187" w:hRule="atLeast"/>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lang w:val="vi-VN"/>
              </w:rPr>
            </w:pPr>
            <w:r>
              <w:rPr>
                <w:rFonts w:ascii="Times New Roman" w:hAnsi="Times New Roman"/>
                <w:sz w:val="28"/>
                <w:szCs w:val="24"/>
                <w:lang w:val="vi-VN"/>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eastAsia="Wingdings" w:cs="Wingdings" w:ascii="Wingdings" w:hAnsi="Wingdings"/>
                <w:sz w:val="28"/>
                <w:szCs w:val="24"/>
                <w:lang w:val="vi-VN"/>
              </w:rPr>
              <w:t></w:t>
            </w:r>
            <w:r>
              <w:rPr>
                <w:rFonts w:ascii="Times New Roman" w:hAnsi="Times New Roman"/>
                <w:sz w:val="28"/>
                <w:szCs w:val="24"/>
                <w:lang w:val="vi-VN"/>
              </w:rPr>
              <w:t xml:space="preserve">Có </w:t>
            </w:r>
            <w:r>
              <w:rPr>
                <w:rFonts w:eastAsia="Wingdings" w:cs="Wingdings" w:ascii="Wingdings" w:hAnsi="Wingdings"/>
                <w:sz w:val="28"/>
                <w:szCs w:val="24"/>
                <w:lang w:val="vi-VN"/>
              </w:rPr>
              <w:t></w:t>
            </w:r>
            <w:r>
              <w:rPr>
                <w:rFonts w:ascii="Times New Roman" w:hAnsi="Times New Roman"/>
                <w:sz w:val="28"/>
                <w:szCs w:val="24"/>
                <w:lang w:val="vi-VN"/>
              </w:rPr>
              <w:t>Không</w:t>
            </w:r>
          </w:p>
        </w:tc>
        <w:tc>
          <w:tcPr>
            <w:tcW w:w="20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vi-VN"/>
              </w:rPr>
            </w:pPr>
            <w:r>
              <w:rPr>
                <w:rFonts w:ascii="Times New Roman" w:hAnsi="Times New Roman"/>
                <w:sz w:val="28"/>
                <w:szCs w:val="24"/>
                <w:lang w:val="vi-VN"/>
              </w:rPr>
              <w:t>3.3.2 Chết do tai nạn</w:t>
            </w:r>
          </w:p>
        </w:tc>
        <w:tc>
          <w:tcPr>
            <w:tcW w:w="16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sz w:val="28"/>
                <w:szCs w:val="24"/>
                <w:lang w:val="ru-RU"/>
              </w:rPr>
            </w:pPr>
            <w:r>
              <w:rPr>
                <w:rFonts w:ascii="Times New Roman" w:hAnsi="Times New Roman"/>
                <w:sz w:val="28"/>
                <w:szCs w:val="24"/>
                <w:lang w:val="ru-RU"/>
              </w:rPr>
            </w:r>
          </w:p>
        </w:tc>
        <w:tc>
          <w:tcPr>
            <w:tcW w:w="15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rPr>
            </w:pPr>
            <w:r>
              <w:rPr>
                <w:rFonts w:ascii="Times New Roman" w:hAnsi="Times New Roman"/>
                <w:sz w:val="28"/>
                <w:szCs w:val="24"/>
              </w:rPr>
            </w:r>
          </w:p>
        </w:tc>
        <w:tc>
          <w:tcPr>
            <w:tcW w:w="20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Times New Roman" w:hAnsi="Times New Roman"/>
                <w:sz w:val="28"/>
                <w:szCs w:val="24"/>
              </w:rPr>
            </w:pPr>
            <w:r>
              <w:rPr>
                <w:rFonts w:ascii="Times New Roman" w:hAnsi="Times New Roman"/>
                <w:sz w:val="28"/>
                <w:szCs w:val="24"/>
              </w:rPr>
            </w:r>
          </w:p>
        </w:tc>
      </w:tr>
    </w:tbl>
    <w:p>
      <w:pPr>
        <w:pStyle w:val="Normal"/>
        <w:rPr>
          <w:rFonts w:ascii="Times New Roman" w:hAnsi="Times New Roman"/>
          <w:sz w:val="28"/>
        </w:rPr>
      </w:pPr>
      <w:r>
        <w:rPr>
          <w:rFonts w:ascii="Times New Roman" w:hAnsi="Times New Roman"/>
          <w:sz w:val="28"/>
        </w:rPr>
      </w:r>
      <w:r>
        <w:br w:type="page"/>
      </w:r>
    </w:p>
    <w:p>
      <w:pPr>
        <w:pStyle w:val="ListParagraph"/>
        <w:numPr>
          <w:ilvl w:val="0"/>
          <w:numId w:val="1"/>
        </w:numPr>
        <w:spacing w:lineRule="auto" w:line="252" w:before="0" w:after="160"/>
        <w:contextualSpacing/>
        <w:rPr/>
      </w:pPr>
      <w:r>
        <w:rPr>
          <w:rFonts w:ascii="Times New Roman" w:hAnsi="Times New Roman"/>
          <w:b/>
          <w:sz w:val="28"/>
        </w:rPr>
        <w:t>Bảo hiểm nhân thọ:</w:t>
      </w:r>
      <w:r>
        <w:rPr>
          <w:rFonts w:ascii="Times New Roman" w:hAnsi="Times New Roman"/>
          <w:sz w:val="28"/>
        </w:rPr>
        <w:t xml:space="preserve"> </w:t>
      </w:r>
      <w:r>
        <w:rPr>
          <w:rFonts w:ascii="Times New Roman" w:hAnsi="Times New Roman"/>
          <w:color w:val="FF0000"/>
          <w:sz w:val="28"/>
        </w:rPr>
        <w:t>……...</w:t>
      </w:r>
    </w:p>
    <w:p>
      <w:pPr>
        <w:pStyle w:val="Normal"/>
        <w:ind w:firstLine="720"/>
        <w:jc w:val="both"/>
        <w:rPr>
          <w:rFonts w:ascii="Times New Roman" w:hAnsi="Times New Roman"/>
          <w:sz w:val="28"/>
        </w:rPr>
      </w:pPr>
      <w:r>
        <w:rPr>
          <w:rFonts w:ascii="Times New Roman" w:hAnsi="Times New Roman"/>
          <w:sz w:val="28"/>
        </w:rPr>
        <w:t>Việc nhập viện không được sớm hơn 7 ngày kể từ ngày bắt đầu hợp đồng. Nếu không thanh toán bảo hiểm bởi công ty bảo hiểm đúng thời hạn, chính sách này được coi là không có hiệu lực và công ty bảo hiểm không có nghĩa vụ chịu bất kỳ trách nhiệm nào.</w:t>
      </w:r>
    </w:p>
    <w:p>
      <w:pPr>
        <w:pStyle w:val="ListParagraph"/>
        <w:numPr>
          <w:ilvl w:val="0"/>
          <w:numId w:val="1"/>
        </w:numPr>
        <w:spacing w:lineRule="auto" w:line="252" w:before="0" w:after="160"/>
        <w:contextualSpacing/>
        <w:rPr>
          <w:rFonts w:ascii="Times New Roman" w:hAnsi="Times New Roman"/>
          <w:b/>
          <w:b/>
          <w:sz w:val="28"/>
        </w:rPr>
      </w:pPr>
      <w:r>
        <w:rPr>
          <w:rFonts w:ascii="Times New Roman" w:hAnsi="Times New Roman"/>
          <w:b/>
          <w:sz w:val="28"/>
        </w:rPr>
        <w:t xml:space="preserve">Thủ tục thanh toán: </w:t>
      </w:r>
    </w:p>
    <w:p>
      <w:pPr>
        <w:pStyle w:val="Normal"/>
        <w:spacing w:before="0" w:after="0"/>
        <w:rPr>
          <w:color w:val="FF0000"/>
        </w:rPr>
      </w:pPr>
      <w:r>
        <w:rPr>
          <w:rFonts w:ascii="Times New Roman" w:hAnsi="Times New Roman"/>
          <w:color w:val="FF0000"/>
          <w:sz w:val="28"/>
        </w:rPr>
        <w:t>………</w:t>
      </w:r>
      <w:r>
        <w:rPr>
          <w:rFonts w:ascii="Times New Roman" w:hAnsi="Times New Roman"/>
          <w:color w:val="FF0000"/>
          <w:sz w:val="28"/>
        </w:rPr>
        <w:t>.</w:t>
      </w:r>
    </w:p>
    <w:p>
      <w:pPr>
        <w:pStyle w:val="ListParagraph"/>
        <w:numPr>
          <w:ilvl w:val="0"/>
          <w:numId w:val="1"/>
        </w:numPr>
        <w:spacing w:lineRule="auto" w:line="252" w:before="0" w:after="160"/>
        <w:contextualSpacing/>
        <w:rPr>
          <w:rFonts w:ascii="Times New Roman" w:hAnsi="Times New Roman"/>
          <w:sz w:val="28"/>
        </w:rPr>
      </w:pPr>
      <w:r>
        <w:rPr>
          <w:rFonts w:ascii="Times New Roman" w:hAnsi="Times New Roman"/>
          <w:b/>
          <w:sz w:val="28"/>
        </w:rPr>
        <w:t>Khu vực áp dụng bảo hiểm:</w:t>
      </w:r>
      <w:r>
        <w:rPr>
          <w:rFonts w:ascii="Times New Roman" w:hAnsi="Times New Roman"/>
          <w:sz w:val="28"/>
        </w:rPr>
        <w:t xml:space="preserve"> Matx-cơ-va</w:t>
      </w:r>
    </w:p>
    <w:p>
      <w:pPr>
        <w:pStyle w:val="ListParagraph"/>
        <w:numPr>
          <w:ilvl w:val="0"/>
          <w:numId w:val="1"/>
        </w:numPr>
        <w:spacing w:lineRule="auto" w:line="252" w:before="0" w:after="160"/>
        <w:contextualSpacing/>
        <w:rPr>
          <w:rFonts w:ascii="Times New Roman" w:hAnsi="Times New Roman"/>
          <w:b/>
          <w:b/>
          <w:sz w:val="28"/>
        </w:rPr>
      </w:pPr>
      <w:r>
        <w:rPr>
          <w:rFonts w:ascii="Times New Roman" w:hAnsi="Times New Roman"/>
          <w:b/>
          <w:sz w:val="28"/>
        </w:rPr>
        <w:t>Để nhận được dịch vụ chăm sóc y tế cho người mua bảo hiểm hoặc người đại diện phải nhận phải áp dụng các quy định của tổ chức y tế.</w:t>
      </w:r>
    </w:p>
    <w:p>
      <w:pPr>
        <w:pStyle w:val="Normal"/>
        <w:jc w:val="both"/>
        <w:rPr>
          <w:rFonts w:ascii="Times New Roman" w:hAnsi="Times New Roman"/>
          <w:sz w:val="28"/>
        </w:rPr>
      </w:pPr>
      <w:r>
        <w:rPr>
          <w:rFonts w:ascii="Times New Roman" w:hAnsi="Times New Roman"/>
          <w:sz w:val="28"/>
        </w:rPr>
        <w:t xml:space="preserve">Trung tâm y tế </w:t>
      </w:r>
      <w:r>
        <w:rPr>
          <w:rFonts w:ascii="Times New Roman" w:hAnsi="Times New Roman"/>
          <w:sz w:val="20"/>
        </w:rPr>
        <w:t>&lt;&lt;</w:t>
      </w:r>
      <w:r>
        <w:rPr>
          <w:rFonts w:ascii="Times New Roman" w:hAnsi="Times New Roman"/>
          <w:sz w:val="28"/>
        </w:rPr>
        <w:t>Đơn vị 03</w:t>
      </w:r>
      <w:r>
        <w:rPr>
          <w:rFonts w:ascii="Times New Roman" w:hAnsi="Times New Roman"/>
          <w:sz w:val="20"/>
        </w:rPr>
        <w:t>&gt;&gt;</w:t>
      </w:r>
      <w:r>
        <w:rPr>
          <w:rFonts w:ascii="Times New Roman" w:hAnsi="Times New Roman"/>
          <w:sz w:val="28"/>
        </w:rPr>
        <w:t>, phòng khám thành phố số 68, 46 và các dịch vụ khác.</w:t>
      </w:r>
    </w:p>
    <w:tbl>
      <w:tblPr>
        <w:tblW w:w="9072" w:type="dxa"/>
        <w:jc w:val="left"/>
        <w:tblInd w:w="0" w:type="dxa"/>
        <w:tblCellMar>
          <w:top w:w="0" w:type="dxa"/>
          <w:left w:w="108" w:type="dxa"/>
          <w:bottom w:w="0" w:type="dxa"/>
          <w:right w:w="108" w:type="dxa"/>
        </w:tblCellMar>
        <w:tblLook w:val="04a0" w:noHBand="0" w:noVBand="1" w:firstColumn="1" w:lastRow="0" w:lastColumn="0" w:firstRow="1"/>
      </w:tblPr>
      <w:tblGrid>
        <w:gridCol w:w="4500"/>
        <w:gridCol w:w="4571"/>
      </w:tblGrid>
      <w:tr>
        <w:trPr/>
        <w:tc>
          <w:tcPr>
            <w:tcW w:w="4500" w:type="dxa"/>
            <w:tcBorders/>
            <w:shd w:color="auto" w:fill="auto" w:val="clear"/>
            <w:vAlign w:val="center"/>
          </w:tcPr>
          <w:p>
            <w:pPr>
              <w:pStyle w:val="Normal"/>
              <w:spacing w:lineRule="auto" w:line="240" w:before="0" w:after="0"/>
              <w:jc w:val="center"/>
              <w:rPr>
                <w:rFonts w:ascii="Times New Roman" w:hAnsi="Times New Roman" w:eastAsia="Calibri"/>
                <w:sz w:val="28"/>
              </w:rPr>
            </w:pPr>
            <w:r>
              <w:rPr>
                <w:rFonts w:eastAsia="Calibri" w:ascii="Times New Roman" w:hAnsi="Times New Roman"/>
                <w:sz w:val="28"/>
              </w:rPr>
              <w:t>Người mua bảo hiểm</w:t>
            </w:r>
          </w:p>
        </w:tc>
        <w:tc>
          <w:tcPr>
            <w:tcW w:w="4571" w:type="dxa"/>
            <w:tcBorders/>
            <w:shd w:color="auto" w:fill="auto" w:val="clear"/>
            <w:vAlign w:val="center"/>
          </w:tcPr>
          <w:p>
            <w:pPr>
              <w:pStyle w:val="Normal"/>
              <w:spacing w:lineRule="auto" w:line="240" w:before="0" w:after="0"/>
              <w:jc w:val="center"/>
              <w:rPr>
                <w:rFonts w:ascii="Times New Roman" w:hAnsi="Times New Roman" w:eastAsia="Calibri"/>
                <w:sz w:val="28"/>
              </w:rPr>
            </w:pPr>
            <w:r>
              <w:rPr>
                <w:rFonts w:eastAsia="Calibri" w:ascii="Times New Roman" w:hAnsi="Times New Roman"/>
                <w:sz w:val="28"/>
              </w:rPr>
              <w:t>Người bán bảo hiểm</w:t>
            </w:r>
          </w:p>
        </w:tc>
      </w:tr>
      <w:tr>
        <w:trPr/>
        <w:tc>
          <w:tcPr>
            <w:tcW w:w="4500" w:type="dxa"/>
            <w:tcBorders/>
            <w:shd w:color="auto" w:fill="auto" w:val="clear"/>
            <w:vAlign w:val="center"/>
          </w:tcPr>
          <w:p>
            <w:pPr>
              <w:pStyle w:val="Normal"/>
              <w:spacing w:lineRule="auto" w:line="240" w:before="0" w:after="0"/>
              <w:jc w:val="both"/>
              <w:rPr>
                <w:rFonts w:ascii="Times New Roman" w:hAnsi="Times New Roman" w:eastAsia="Calibri"/>
                <w:sz w:val="28"/>
              </w:rPr>
            </w:pPr>
            <w:r>
              <w:rPr>
                <w:rFonts w:eastAsia="Calibri" w:ascii="Times New Roman" w:hAnsi="Times New Roman"/>
                <w:sz w:val="28"/>
              </w:rPr>
              <w:t>Tôi đã đọc và đồng ý với điều khoản bảo hiểm. Cho phép việc xử lý dữ liệu cá nhân. Với việc xử lý dữ liệu cá nhân theo các thủ tục được thành lập bởi Luật liên bang từ 27.07.2016 số 152-FZ về dữ liệu cá nhân</w:t>
            </w:r>
          </w:p>
        </w:tc>
        <w:tc>
          <w:tcPr>
            <w:tcW w:w="4571" w:type="dxa"/>
            <w:tcBorders/>
            <w:shd w:color="auto" w:fill="auto" w:val="clear"/>
            <w:vAlign w:val="center"/>
          </w:tcPr>
          <w:p>
            <w:pPr>
              <w:pStyle w:val="Normal"/>
              <w:spacing w:lineRule="auto" w:line="240" w:before="0" w:after="0"/>
              <w:jc w:val="center"/>
              <w:rPr>
                <w:rFonts w:ascii="Times New Roman" w:hAnsi="Times New Roman" w:eastAsia="Calibri"/>
                <w:sz w:val="28"/>
              </w:rPr>
            </w:pPr>
            <w:r>
              <w:rPr>
                <w:rFonts w:eastAsia="Calibri" w:ascii="Times New Roman" w:hAnsi="Times New Roman"/>
                <w:sz w:val="28"/>
              </w:rPr>
              <w:t xml:space="preserve">Giám đốc bộ phận bảo hiểm cá nhân chi nhánh Matx-cơ-va </w:t>
            </w:r>
            <w:r>
              <w:rPr>
                <w:rFonts w:eastAsia="Calibri" w:ascii="Times New Roman" w:hAnsi="Times New Roman"/>
                <w:sz w:val="20"/>
              </w:rPr>
              <w:t>&lt;&lt;</w:t>
            </w:r>
            <w:r>
              <w:rPr>
                <w:rFonts w:eastAsia="Calibri" w:ascii="Times New Roman" w:hAnsi="Times New Roman"/>
                <w:sz w:val="28"/>
                <w:lang w:val="ru-RU"/>
              </w:rPr>
              <w:t>САК</w:t>
            </w:r>
            <w:r>
              <w:rPr>
                <w:rFonts w:eastAsia="Calibri" w:ascii="Times New Roman" w:hAnsi="Times New Roman"/>
                <w:sz w:val="20"/>
              </w:rPr>
              <w:t xml:space="preserve">&lt;&lt; </w:t>
            </w:r>
            <w:r>
              <w:rPr>
                <w:rFonts w:eastAsia="Calibri" w:ascii="Times New Roman" w:hAnsi="Times New Roman"/>
                <w:sz w:val="28"/>
                <w:lang w:val="ru-RU"/>
              </w:rPr>
              <w:t>ЕНЕРГОГАРАНТ</w:t>
            </w:r>
            <w:r>
              <w:rPr>
                <w:rFonts w:eastAsia="Calibri" w:ascii="Times New Roman" w:hAnsi="Times New Roman"/>
                <w:sz w:val="20"/>
              </w:rPr>
              <w:t>&gt;&gt;</w:t>
            </w:r>
          </w:p>
        </w:tc>
      </w:tr>
      <w:tr>
        <w:trPr/>
        <w:tc>
          <w:tcPr>
            <w:tcW w:w="4500" w:type="dxa"/>
            <w:tcBorders/>
            <w:shd w:color="auto" w:fill="auto" w:val="clear"/>
            <w:vAlign w:val="center"/>
          </w:tcPr>
          <w:p>
            <w:pPr>
              <w:pStyle w:val="Normal"/>
              <w:spacing w:lineRule="auto" w:line="240" w:before="0" w:after="0"/>
              <w:jc w:val="center"/>
              <w:rPr>
                <w:rFonts w:ascii="Times New Roman" w:hAnsi="Times New Roman" w:eastAsia="Calibri"/>
                <w:sz w:val="28"/>
              </w:rPr>
            </w:pPr>
            <w:r>
              <w:rPr>
                <w:rFonts w:eastAsia="Calibri" w:ascii="Times New Roman" w:hAnsi="Times New Roman"/>
                <w:sz w:val="28"/>
              </w:rPr>
              <w:t>(Đã ký)</w:t>
            </w:r>
          </w:p>
        </w:tc>
        <w:tc>
          <w:tcPr>
            <w:tcW w:w="4571" w:type="dxa"/>
            <w:tcBorders/>
            <w:shd w:color="auto" w:fill="auto" w:val="clear"/>
            <w:vAlign w:val="center"/>
          </w:tcPr>
          <w:p>
            <w:pPr>
              <w:pStyle w:val="Normal"/>
              <w:spacing w:lineRule="auto" w:line="240" w:before="0" w:after="0"/>
              <w:jc w:val="center"/>
              <w:rPr>
                <w:rFonts w:ascii="Times New Roman" w:hAnsi="Times New Roman" w:eastAsia="Calibri"/>
                <w:sz w:val="28"/>
              </w:rPr>
            </w:pPr>
            <w:r>
              <w:rPr>
                <w:rFonts w:eastAsia="Calibri" w:ascii="Times New Roman" w:hAnsi="Times New Roman"/>
                <w:sz w:val="28"/>
              </w:rPr>
              <w:t>(Đã ký)</w:t>
            </w:r>
          </w:p>
        </w:tc>
      </w:tr>
    </w:tbl>
    <w:p>
      <w:pPr>
        <w:pStyle w:val="Normal"/>
        <w:jc w:val="center"/>
        <w:rPr>
          <w:rFonts w:ascii="Times New Roman" w:hAnsi="Times New Roman"/>
          <w:sz w:val="28"/>
        </w:rPr>
      </w:pPr>
      <w:r>
        <w:rPr>
          <w:rFonts w:ascii="Times New Roman" w:hAnsi="Times New Roman"/>
          <w:sz w:val="28"/>
        </w:rPr>
      </w:r>
    </w:p>
    <w:p>
      <w:pPr>
        <w:pStyle w:val="Normal"/>
        <w:rPr>
          <w:rFonts w:ascii="Times New Roman" w:hAnsi="Times New Roman"/>
        </w:rPr>
      </w:pPr>
      <w:r>
        <w:rPr>
          <w:rFonts w:ascii="Times New Roman" w:hAnsi="Times New Roman"/>
        </w:rPr>
      </w:r>
    </w:p>
    <w:p>
      <w:pPr>
        <w:pStyle w:val="Normal"/>
        <w:rPr>
          <w:rFonts w:ascii="Times New Roman" w:hAnsi="Times New Roman"/>
          <w:sz w:val="28"/>
        </w:rPr>
      </w:pPr>
      <w:r>
        <w:rPr>
          <w:rFonts w:ascii="Times New Roman" w:hAnsi="Times New Roman"/>
          <w:sz w:val="28"/>
        </w:rPr>
      </w:r>
    </w:p>
    <w:p>
      <w:pPr>
        <w:pStyle w:val="Normal"/>
        <w:widowControl/>
        <w:bidi w:val="0"/>
        <w:spacing w:lineRule="auto" w:line="276" w:before="0" w:after="200"/>
        <w:jc w:val="left"/>
        <w:rPr/>
      </w:pPr>
      <w:r>
        <w:rPr>
          <w:rFonts w:ascii="Times New Roman" w:hAnsi="Times New Roman"/>
          <w:sz w:val="28"/>
        </w:rPr>
        <w:t xml:space="preserve">Tôi, </w:t>
      </w:r>
      <w:r>
        <w:rPr>
          <w:rFonts w:eastAsia="MS Mincho" w:cs="Times New Roman" w:ascii="Times New Roman" w:hAnsi="Times New Roman"/>
          <w:color w:val="FF0000"/>
          <w:sz w:val="28"/>
        </w:rPr>
        <w:t>…..</w:t>
      </w:r>
      <w:r>
        <w:rPr>
          <w:rFonts w:ascii="Times New Roman" w:hAnsi="Times New Roman"/>
          <w:sz w:val="28"/>
        </w:rPr>
        <w:t>, xin cam đoan bản dịch “Bảo hiểm sinh viên” này đúng với bản gốc tương ứng. Nếu sai, tôi xin xin chịu hoàn toàn trách nhiệm.</w:t>
      </w:r>
    </w:p>
    <w:sectPr>
      <w:type w:val="nextPage"/>
      <w:pgSz w:w="11906" w:h="16838"/>
      <w:pgMar w:left="1701" w:right="1134"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7e2d"/>
    <w:pPr>
      <w:widowControl/>
      <w:suppressAutoHyphens w:val="true"/>
      <w:bidi w:val="0"/>
      <w:spacing w:lineRule="auto" w:line="276" w:before="0" w:after="200"/>
      <w:jc w:val="left"/>
    </w:pPr>
    <w:rPr>
      <w:rFonts w:ascii="Calibri" w:hAnsi="Calibri" w:eastAsia="MS Mincho" w:cs="Times New Roman" w:ascii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0c5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21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LibreOffice/6.4.4.2$Linux_X86_64 LibreOffice_project/40$Build-2</Application>
  <Pages>2</Pages>
  <Words>552</Words>
  <Characters>2048</Characters>
  <CharactersWithSpaces>2514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2018-01-16T17:15:00Z</dcterms:created>
  <dc:creator>HungPhung</dc:creator>
  <dc:description/>
  <dc:language>en-US</dc:language>
  <cp:lastModifiedBy/>
  <dcterms:modified xsi:type="dcterms:W3CDTF">2020-08-12T15:25:06Z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