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Subtitle"/>
        <w:widowControl/>
      </w:pPr>
      <w:r>
        <w:t>TIMEHOUSE</w:t>
      </w:r>
    </w:p>
    <w:p>
      <w:pPr>
        <w:pStyle w:val="Title"/>
        <w:widowControl/>
      </w:pPr>
      <w:r>
        <w:t>ĐẶC TẢ YÊU CẦU</w:t>
        <w:br/>
        <w:t>PHẦN MỀM</w:t>
      </w:r>
    </w:p>
    <w:p>
      <w:pPr>
        <w:pStyle w:val="Subtitle"/>
        <w:widowControl/>
      </w:pPr>
      <w:r>
        <w:t>Software Requirements Specification • Hệ thống quản lý vận hành cho thuê nhà/phòng</w:t>
      </w:r>
    </w:p>
    <w:p>
      <w:pPr>
        <w:widowControl/>
      </w:pPr>
      <w:r>
        <w:rPr>
          <w:b/>
        </w:rPr>
        <w:t xml:space="preserve">Mã tài liệu: </w:t>
      </w:r>
      <w:r>
        <w:t>TH-SRS-001</w:t>
      </w:r>
    </w:p>
    <w:p>
      <w:pPr>
        <w:widowControl/>
      </w:pPr>
      <w:r>
        <w:t>Phiên bản: 1.2 • Bản cập nhật nghiệp vụ v05, vẫn ở trạng thái Draft</w:t>
      </w:r>
    </w:p>
    <w:p>
      <w:pPr>
        <w:widowControl/>
      </w:pPr>
      <w:r>
        <w:rPr>
          <w:b/>
        </w:rPr>
        <w:t xml:space="preserve">Ngày lập: </w:t>
      </w:r>
      <w:r>
        <w:t>08/09/2026</w:t>
      </w:r>
    </w:p>
    <w:p>
      <w:pPr>
        <w:widowControl/>
      </w:pPr>
      <w:r>
        <w:rPr>
          <w:b/>
        </w:rPr>
        <w:t xml:space="preserve">Đối tượng sử dụng: </w:t>
      </w:r>
      <w:r>
        <w:t>Khách hàng, BA/PM, thiết kế UI/UX, đội phát triển và QA</w:t>
      </w:r>
    </w:p>
    <w:p>
      <w:pPr>
        <w:widowControl/>
      </w:pPr>
      <w:r>
        <w:t>Nguồn nghiệp vụ: Phan-tich-nghiep-vu-Timehouse_update.md — phiên bản 05</w:t>
      </w:r>
    </w:p>
    <w:p>
      <w:pPr>
        <w:widowControl/>
      </w:pPr>
      <w:r>
        <w:rPr>
          <w:b/>
        </w:rPr>
        <w:t xml:space="preserve">Phạm vi bản này: </w:t>
      </w:r>
      <w:r>
        <w:t>Toàn bộ 11 module trong nguồn; chưa phân bổ vào release thương mại</w:t>
      </w:r>
    </w:p>
    <w:p>
      <w:pPr>
        <w:pStyle w:val="Heading2"/>
        <w:widowControl/>
      </w:pPr>
      <w:r>
        <w:t>Mục đích bàn giao</w:t>
      </w:r>
    </w:p>
    <w:p>
      <w:pPr>
        <w:widowControl/>
      </w:pPr>
      <w:r>
        <w:t>Chuyển mô tả nghiệp vụ thành các yêu cầu có mã định danh, hành vi quan sát được và tiêu chí kiểm thử. Bản này hoàn chỉnh về cấu trúc SRS để review; các quyết định chưa có bằng chứng xác nhận được quản lý tại mục 13, chưa phải baseline đã ký duyệt.</w:t>
      </w:r>
    </w:p>
    <w:p>
      <w:pPr>
        <w:pStyle w:val="Heading2"/>
        <w:widowControl/>
      </w:pPr>
      <w:r>
        <w:t>Nguyên tắc sử dụng</w:t>
      </w:r>
    </w:p>
    <w:p>
      <w:pPr>
        <w:widowControl/>
      </w:pPr>
      <w:r>
        <w:t>Nhãn N = nội dung nêu trong nguồn; G = giả định hoặc điểm mâu thuẫn của nguồn; ĐX = đề xuất bổ sung của BA. Tất cả vẫn ở trạng thái Draft. Nhãn N không đồng nghĩa khách hàng đã ký xác nhận. Chỉ các yêu cầu được phê duyệt mới trở thành căn cứ cam kết triển khai và nghiệm thu.</w:t>
      </w:r>
    </w:p>
    <w:p>
      <w:pPr>
        <w:widowControl/>
      </w:pPr>
      <w:r>
        <w:br w:type="page"/>
      </w:r>
    </w:p>
    <w:p>
      <w:bookmarkStart w:id="100" w:name="sec_0"/>
      <w:pPr>
        <w:pStyle w:val="Heading1"/>
        <w:widowControl/>
      </w:pPr>
      <w:r>
        <w:t>0. Kiểm soát tài liệu</w:t>
      </w:r>
      <w:bookmarkEnd w:id="100"/>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1000"/>
        <w:gridCol w:w="1400"/>
        <w:gridCol w:w="6960"/>
      </w:tblGrid>
      <w:tr>
        <w:trPr>
          <w:cantSplit/>
          <w:tblHeader/>
        </w:trPr>
        <w:tc>
          <w:tcPr>
            <w:tcW w:type="dxa" w:w="1000"/>
            <w:shd w:fill="F2F4F7"/>
          </w:tcPr>
          <w:p>
            <w:pPr>
              <w:pStyle w:val="TableText"/>
            </w:pPr>
            <w:r>
              <w:rPr>
                <w:b/>
              </w:rPr>
              <w:t>Phiên bản</w:t>
            </w:r>
          </w:p>
        </w:tc>
        <w:tc>
          <w:tcPr>
            <w:tcW w:type="dxa" w:w="1400"/>
            <w:shd w:fill="F2F4F7"/>
          </w:tcPr>
          <w:p>
            <w:pPr>
              <w:pStyle w:val="TableText"/>
            </w:pPr>
            <w:r>
              <w:rPr>
                <w:b/>
              </w:rPr>
              <w:t>Ngày</w:t>
            </w:r>
          </w:p>
        </w:tc>
        <w:tc>
          <w:tcPr>
            <w:tcW w:type="dxa" w:w="6960"/>
            <w:shd w:fill="F2F4F7"/>
          </w:tcPr>
          <w:p>
            <w:pPr>
              <w:pStyle w:val="TableText"/>
            </w:pPr>
            <w:r>
              <w:rPr>
                <w:b/>
              </w:rPr>
              <w:t>Nội dung thay đổi</w:t>
            </w:r>
          </w:p>
        </w:tc>
      </w:tr>
      <w:tr>
        <w:trPr>
          <w:cantSplit/>
        </w:trPr>
        <w:tc>
          <w:tcPr>
            <w:tcW w:type="dxa" w:w="1000"/>
          </w:tcPr>
          <w:p>
            <w:pPr>
              <w:pStyle w:val="TableText"/>
            </w:pPr>
            <w:r>
              <w:t>1.0</w:t>
            </w:r>
          </w:p>
        </w:tc>
        <w:tc>
          <w:tcPr>
            <w:tcW w:type="dxa" w:w="1400"/>
          </w:tcPr>
          <w:p>
            <w:pPr>
              <w:pStyle w:val="TableText"/>
            </w:pPr>
            <w:r>
              <w:t>08/09/2026</w:t>
            </w:r>
          </w:p>
        </w:tc>
        <w:tc>
          <w:tcPr>
            <w:tcW w:type="dxa" w:w="6960"/>
          </w:tcPr>
          <w:p>
            <w:pPr>
              <w:pStyle w:val="TableText"/>
            </w:pPr>
            <w:r>
              <w:t>Cập nhật SRS theo phân tích nghiệp vụ v05; điều chỉnh nghiệp vụ cổ đông, tòa, tài chính, hoàn cọc, kiểm kê, trích xuất và Zalo.</w:t>
            </w:r>
          </w:p>
        </w:tc>
      </w:tr>
    </w:tbl>
    <w:p>
      <w:pPr>
        <w:pStyle w:val="Heading2"/>
        <w:widowControl/>
      </w:pPr>
      <w:r>
        <w:t>0.1. Trách nhiệm rà soát và phê duyệt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2100"/>
        <w:gridCol w:w="5300"/>
        <w:gridCol w:w="1960"/>
      </w:tblGrid>
      <w:tr>
        <w:trPr>
          <w:cantSplit/>
          <w:tblHeader/>
        </w:trPr>
        <w:tc>
          <w:tcPr>
            <w:tcW w:type="dxa" w:w="2100"/>
            <w:shd w:fill="F2F4F7"/>
          </w:tcPr>
          <w:p>
            <w:pPr>
              <w:pStyle w:val="TableText"/>
            </w:pPr>
            <w:r>
              <w:rPr>
                <w:b/>
              </w:rPr>
              <w:t>Vai trò</w:t>
            </w:r>
          </w:p>
        </w:tc>
        <w:tc>
          <w:tcPr>
            <w:tcW w:type="dxa" w:w="5300"/>
            <w:shd w:fill="F2F4F7"/>
          </w:tcPr>
          <w:p>
            <w:pPr>
              <w:pStyle w:val="TableText"/>
            </w:pPr>
            <w:r>
              <w:rPr>
                <w:b/>
              </w:rPr>
              <w:t>Nội dung cần xác nhận</w:t>
            </w:r>
          </w:p>
        </w:tc>
        <w:tc>
          <w:tcPr>
            <w:tcW w:type="dxa" w:w="1960"/>
            <w:shd w:fill="F2F4F7"/>
          </w:tcPr>
          <w:p>
            <w:pPr>
              <w:pStyle w:val="TableText"/>
            </w:pPr>
            <w:r>
              <w:rPr>
                <w:b/>
              </w:rPr>
              <w:t>Kết quả</w:t>
            </w:r>
          </w:p>
        </w:tc>
      </w:tr>
      <w:tr>
        <w:trPr>
          <w:cantSplit/>
        </w:trPr>
        <w:tc>
          <w:tcPr>
            <w:tcW w:type="dxa" w:w="2100"/>
          </w:tcPr>
          <w:p>
            <w:pPr>
              <w:pStyle w:val="TableText"/>
            </w:pPr>
            <w:r>
              <w:t>Đại diện Timehouse</w:t>
            </w:r>
          </w:p>
        </w:tc>
        <w:tc>
          <w:tcPr>
            <w:tcW w:type="dxa" w:w="5300"/>
          </w:tcPr>
          <w:p>
            <w:pPr>
              <w:pStyle w:val="TableText"/>
            </w:pPr>
            <w:r>
              <w:t>Phạm vi, ưu tiên, đối tượng sử dụng</w:t>
            </w:r>
          </w:p>
        </w:tc>
        <w:tc>
          <w:tcPr>
            <w:tcW w:type="dxa" w:w="1960"/>
          </w:tcPr>
          <w:p>
            <w:pPr>
              <w:pStyle w:val="TableText"/>
            </w:pPr>
            <w:r>
              <w:t>Chưa xác nhận</w:t>
            </w:r>
          </w:p>
        </w:tc>
      </w:tr>
      <w:tr>
        <w:trPr>
          <w:cantSplit/>
        </w:trPr>
        <w:tc>
          <w:tcPr>
            <w:tcW w:type="dxa" w:w="2100"/>
          </w:tcPr>
          <w:p>
            <w:pPr>
              <w:pStyle w:val="TableText"/>
            </w:pPr>
            <w:r>
              <w:t>Kế toán / tài chính</w:t>
            </w:r>
          </w:p>
        </w:tc>
        <w:tc>
          <w:tcPr>
            <w:tcW w:type="dxa" w:w="5300"/>
          </w:tcPr>
          <w:p>
            <w:pPr>
              <w:pStyle w:val="TableText"/>
            </w:pPr>
            <w:r>
              <w:t>Hóa đơn, thu tiền, cọc, khấu hao, báo cáo</w:t>
            </w:r>
          </w:p>
        </w:tc>
        <w:tc>
          <w:tcPr>
            <w:tcW w:type="dxa" w:w="1960"/>
          </w:tcPr>
          <w:p>
            <w:pPr>
              <w:pStyle w:val="TableText"/>
            </w:pPr>
            <w:r>
              <w:t>Chưa xác nhận</w:t>
            </w:r>
          </w:p>
        </w:tc>
      </w:tr>
      <w:tr>
        <w:trPr>
          <w:cantSplit/>
        </w:trPr>
        <w:tc>
          <w:tcPr>
            <w:tcW w:type="dxa" w:w="2100"/>
          </w:tcPr>
          <w:p>
            <w:pPr>
              <w:pStyle w:val="TableText"/>
            </w:pPr>
            <w:r>
              <w:t>Trưởng vận hành / kinh doanh</w:t>
            </w:r>
          </w:p>
        </w:tc>
        <w:tc>
          <w:tcPr>
            <w:tcW w:type="dxa" w:w="5300"/>
          </w:tcPr>
          <w:p>
            <w:pPr>
              <w:pStyle w:val="TableText"/>
            </w:pPr>
            <w:r>
              <w:t>Vòng đời phòng, hợp đồng, lead, hoa hồng</w:t>
            </w:r>
          </w:p>
        </w:tc>
        <w:tc>
          <w:tcPr>
            <w:tcW w:type="dxa" w:w="1960"/>
          </w:tcPr>
          <w:p>
            <w:pPr>
              <w:pStyle w:val="TableText"/>
            </w:pPr>
            <w:r>
              <w:t>Chưa xác nhận</w:t>
            </w:r>
          </w:p>
        </w:tc>
      </w:tr>
      <w:tr>
        <w:trPr>
          <w:cantSplit/>
        </w:trPr>
        <w:tc>
          <w:tcPr>
            <w:tcW w:type="dxa" w:w="2100"/>
          </w:tcPr>
          <w:p>
            <w:pPr>
              <w:pStyle w:val="TableText"/>
            </w:pPr>
            <w:r>
              <w:t>Đại diện cổ đông / HR</w:t>
            </w:r>
          </w:p>
        </w:tc>
        <w:tc>
          <w:tcPr>
            <w:tcW w:type="dxa" w:w="5300"/>
          </w:tcPr>
          <w:p>
            <w:pPr>
              <w:pStyle w:val="TableText"/>
            </w:pPr>
            <w:r>
              <w:t>Vốn góp, quyền xem, lương và dữ liệu nhân sự</w:t>
            </w:r>
          </w:p>
        </w:tc>
        <w:tc>
          <w:tcPr>
            <w:tcW w:type="dxa" w:w="1960"/>
          </w:tcPr>
          <w:p>
            <w:pPr>
              <w:pStyle w:val="TableText"/>
            </w:pPr>
            <w:r>
              <w:t>Chưa xác nhận</w:t>
            </w:r>
          </w:p>
        </w:tc>
      </w:tr>
      <w:tr>
        <w:trPr>
          <w:cantSplit/>
        </w:trPr>
        <w:tc>
          <w:tcPr>
            <w:tcW w:type="dxa" w:w="2100"/>
          </w:tcPr>
          <w:p>
            <w:pPr>
              <w:pStyle w:val="TableText"/>
            </w:pPr>
            <w:r>
              <w:t>BA / Tech lead / QA</w:t>
            </w:r>
          </w:p>
        </w:tc>
        <w:tc>
          <w:tcPr>
            <w:tcW w:type="dxa" w:w="5300"/>
          </w:tcPr>
          <w:p>
            <w:pPr>
              <w:pStyle w:val="TableText"/>
            </w:pPr>
            <w:r>
              <w:t>Tính nhất quán, khả thi và khả năng kiểm thử</w:t>
            </w:r>
          </w:p>
        </w:tc>
        <w:tc>
          <w:tcPr>
            <w:tcW w:type="dxa" w:w="1960"/>
          </w:tcPr>
          <w:p>
            <w:pPr>
              <w:pStyle w:val="TableText"/>
            </w:pPr>
            <w:r>
              <w:t>Chưa review</w:t>
            </w:r>
          </w:p>
        </w:tc>
      </w:tr>
    </w:tbl>
    <w:p>
      <w:pPr>
        <w:widowControl/>
      </w:pPr>
      <w:r>
        <w:t>Tên người duyệt, ngày duyệt và bằng chứng duyệt được ghi khi thực hiện review. Không gán người phụ trách cụ thể từ ghi chú “hỏi Ngọc” khi chưa được xác định.</w:t>
      </w:r>
    </w:p>
    <w:p>
      <w:pPr>
        <w:pStyle w:val="Heading2"/>
        <w:widowControl/>
      </w:pPr>
      <w:r>
        <w:t>0.2. Hướng dẫn tra cứu</w:t>
      </w:r>
    </w:p>
    <w:p>
      <w:pPr>
        <w:pStyle w:val="Small"/>
        <w:widowControl/>
        <w:tabs>
          <w:tab w:pos="9360" w:val="right" w:leader="dot"/>
        </w:tabs>
      </w:pPr>
      <w:hyperlink w:anchor="sec_1">
        <w:r>
          <w:t>1. Giới thiệu và cơ sở template</w:t>
        </w:r>
      </w:hyperlink>
      <w:r>
        <w:tab/>
      </w:r>
      <w:fldSimple w:instr="PAGEREF sec_1 \h">
        <w:r>
          <w:t>3</w:t>
        </w:r>
      </w:fldSimple>
    </w:p>
    <w:p>
      <w:pPr>
        <w:pStyle w:val="Small"/>
        <w:widowControl/>
        <w:tabs>
          <w:tab w:pos="9360" w:val="right" w:leader="dot"/>
        </w:tabs>
      </w:pPr>
      <w:hyperlink w:anchor="sec_2">
        <w:r>
          <w:t>2. Tổng quan, phạm vi và vai trò</w:t>
        </w:r>
      </w:hyperlink>
      <w:r>
        <w:tab/>
      </w:r>
      <w:fldSimple w:instr="PAGEREF sec_2 \h">
        <w:r>
          <w:t>4</w:t>
        </w:r>
      </w:fldSimple>
    </w:p>
    <w:p>
      <w:pPr>
        <w:pStyle w:val="Small"/>
        <w:widowControl/>
        <w:tabs>
          <w:tab w:pos="9360" w:val="right" w:leader="dot"/>
        </w:tabs>
      </w:pPr>
      <w:hyperlink w:anchor="sec_3">
        <w:r>
          <w:t>3. Quy tắc nghiệp vụ</w:t>
        </w:r>
      </w:hyperlink>
      <w:r>
        <w:tab/>
      </w:r>
      <w:fldSimple w:instr="PAGEREF sec_3 \h">
        <w:r>
          <w:t>6</w:t>
        </w:r>
      </w:fldSimple>
    </w:p>
    <w:p>
      <w:pPr>
        <w:pStyle w:val="Small"/>
        <w:widowControl/>
        <w:tabs>
          <w:tab w:pos="9360" w:val="right" w:leader="dot"/>
        </w:tabs>
      </w:pPr>
      <w:hyperlink w:anchor="sec_4">
        <w:r>
          <w:t>4. Yêu cầu chức năng</w:t>
        </w:r>
      </w:hyperlink>
      <w:r>
        <w:tab/>
      </w:r>
      <w:fldSimple w:instr="PAGEREF sec_4 \h">
        <w:r>
          <w:t>8</w:t>
        </w:r>
      </w:fldSimple>
    </w:p>
    <w:p>
      <w:pPr>
        <w:pStyle w:val="Small"/>
        <w:widowControl/>
        <w:tabs>
          <w:tab w:pos="9360" w:val="right" w:leader="dot"/>
        </w:tabs>
      </w:pPr>
      <w:hyperlink w:anchor="sec_5">
        <w:r>
          <w:t>5. Đặc tả use case trọng yếu</w:t>
        </w:r>
      </w:hyperlink>
      <w:r>
        <w:tab/>
      </w:r>
      <w:fldSimple w:instr="PAGEREF sec_5 \h">
        <w:r>
          <w:t>22</w:t>
        </w:r>
      </w:fldSimple>
    </w:p>
    <w:p>
      <w:pPr>
        <w:pStyle w:val="Small"/>
        <w:widowControl/>
        <w:tabs>
          <w:tab w:pos="9360" w:val="right" w:leader="dot"/>
        </w:tabs>
      </w:pPr>
      <w:hyperlink w:anchor="sec_6">
        <w:r>
          <w:t>6. Mô hình trạng thái</w:t>
        </w:r>
      </w:hyperlink>
      <w:r>
        <w:tab/>
      </w:r>
      <w:fldSimple w:instr="PAGEREF sec_6 \h">
        <w:r>
          <w:t>26</w:t>
        </w:r>
      </w:fldSimple>
    </w:p>
    <w:p>
      <w:pPr>
        <w:pStyle w:val="Small"/>
        <w:widowControl/>
        <w:tabs>
          <w:tab w:pos="9360" w:val="right" w:leader="dot"/>
        </w:tabs>
      </w:pPr>
      <w:hyperlink w:anchor="sec_7">
        <w:r>
          <w:t>7. Yêu cầu dữ liệu</w:t>
        </w:r>
      </w:hyperlink>
      <w:r>
        <w:tab/>
      </w:r>
      <w:fldSimple w:instr="PAGEREF sec_7 \h">
        <w:r>
          <w:t>27</w:t>
        </w:r>
      </w:fldSimple>
    </w:p>
    <w:p>
      <w:pPr>
        <w:pStyle w:val="Small"/>
        <w:widowControl/>
        <w:tabs>
          <w:tab w:pos="9360" w:val="right" w:leader="dot"/>
        </w:tabs>
      </w:pPr>
      <w:hyperlink w:anchor="sec_8">
        <w:r>
          <w:t>8. Giao diện và tích hợp</w:t>
        </w:r>
      </w:hyperlink>
      <w:r>
        <w:tab/>
      </w:r>
      <w:fldSimple w:instr="PAGEREF sec_8 \h">
        <w:r>
          <w:t>29</w:t>
        </w:r>
      </w:fldSimple>
    </w:p>
    <w:p>
      <w:pPr>
        <w:pStyle w:val="Small"/>
        <w:widowControl/>
        <w:tabs>
          <w:tab w:pos="9360" w:val="right" w:leader="dot"/>
        </w:tabs>
      </w:pPr>
      <w:hyperlink w:anchor="sec_9">
        <w:r>
          <w:t>9. Yêu cầu phi chức năng</w:t>
        </w:r>
      </w:hyperlink>
      <w:r>
        <w:tab/>
      </w:r>
      <w:fldSimple w:instr="PAGEREF sec_9 \h">
        <w:r>
          <w:t>30</w:t>
        </w:r>
      </w:fldSimple>
    </w:p>
    <w:p>
      <w:pPr>
        <w:pStyle w:val="Small"/>
        <w:widowControl/>
        <w:tabs>
          <w:tab w:pos="9360" w:val="right" w:leader="dot"/>
        </w:tabs>
      </w:pPr>
      <w:hyperlink w:anchor="sec_10">
        <w:r>
          <w:t>10. Danh mục màn hình dự kiến</w:t>
        </w:r>
      </w:hyperlink>
      <w:r>
        <w:tab/>
      </w:r>
      <w:fldSimple w:instr="PAGEREF sec_10 \h">
        <w:r>
          <w:t>33</w:t>
        </w:r>
      </w:fldSimple>
    </w:p>
    <w:p>
      <w:pPr>
        <w:pStyle w:val="Small"/>
        <w:widowControl/>
        <w:tabs>
          <w:tab w:pos="9360" w:val="right" w:leader="dot"/>
        </w:tabs>
      </w:pPr>
      <w:hyperlink w:anchor="sec_11">
        <w:r>
          <w:t>11. Truy vết và kế hoạch kiểm thử</w:t>
        </w:r>
      </w:hyperlink>
      <w:r>
        <w:tab/>
      </w:r>
      <w:fldSimple w:instr="PAGEREF sec_11 \h">
        <w:r>
          <w:t>34</w:t>
        </w:r>
      </w:fldSimple>
    </w:p>
    <w:p>
      <w:pPr>
        <w:pStyle w:val="Small"/>
        <w:widowControl/>
        <w:tabs>
          <w:tab w:pos="9360" w:val="right" w:leader="dot"/>
        </w:tabs>
      </w:pPr>
      <w:hyperlink w:anchor="sec_12">
        <w:r>
          <w:t>12. Điều kiện nghiệm thu và quản lý thay đổi</w:t>
        </w:r>
      </w:hyperlink>
      <w:r>
        <w:tab/>
      </w:r>
      <w:fldSimple w:instr="PAGEREF sec_12 \h">
        <w:r>
          <w:t>36</w:t>
        </w:r>
      </w:fldSimple>
    </w:p>
    <w:p>
      <w:pPr>
        <w:pStyle w:val="Small"/>
        <w:widowControl/>
        <w:tabs>
          <w:tab w:pos="9360" w:val="right" w:leader="dot"/>
        </w:tabs>
      </w:pPr>
      <w:hyperlink w:anchor="sec_13">
        <w:r>
          <w:t>13. Danh sách quyết định cần xác nhận</w:t>
        </w:r>
      </w:hyperlink>
      <w:r>
        <w:tab/>
      </w:r>
      <w:fldSimple w:instr="PAGEREF sec_13 \h">
        <w:r>
          <w:t>37</w:t>
        </w:r>
      </w:fldSimple>
    </w:p>
    <w:p>
      <w:pPr>
        <w:pStyle w:val="Small"/>
        <w:widowControl/>
        <w:tabs>
          <w:tab w:pos="9360" w:val="right" w:leader="dot"/>
        </w:tabs>
      </w:pPr>
      <w:hyperlink w:anchor="sec_14">
        <w:r>
          <w:t>14. Tài liệu tham khảo</w:t>
        </w:r>
      </w:hyperlink>
      <w:r>
        <w:tab/>
      </w:r>
      <w:fldSimple w:instr="PAGEREF sec_14 \h">
        <w:r>
          <w:t>43</w:t>
        </w:r>
      </w:fldSimple>
    </w:p>
    <w:p>
      <w:pPr>
        <w:widowControl/>
      </w:pPr>
      <w:r>
        <w:t>Các tiêu đề là Heading của Word, có thể tra cứu trực tiếp trong Navigation Pane. FR = yêu cầu chức năng; BR = quy tắc nghiệp vụ; UC = tình huống sử dụng; NFR = yêu cầu chất lượng; OI = điểm cần quyết định; AT = kịch bản kiểm thử dự kiến.</w:t>
      </w:r>
    </w:p>
    <w:p>
      <w:pPr>
        <w:pStyle w:val="Heading1"/>
      </w:pPr>
      <w:r>
        <w:t>0.3. Delta cập nhật nghiệp vụ v05</w:t>
      </w:r>
    </w:p>
    <w:p>
      <w:pPr>
        <w:pStyle w:val="Normal"/>
      </w:pPr>
      <w:r>
        <w:t>Bản 1.0 này cập nhật SRS theo Phan-tich-nghiep-vu-Timehouse_update.md phiên bản 05. Nội dung ✅ đã xác nhận là căn cứ nghiệp vụ; 🟠 giả định Vòng 2, 🗓️ cần gặp trực tiếp và ❓ chưa trả lời vẫn ở trạng thái Draft/Chờ xác nhận.</w:t>
      </w:r>
    </w:p>
    <w:p>
      <w:pPr>
        <w:pStyle w:val="Normal"/>
      </w:pPr>
      <w:r>
        <w:t>Các thay đổi ảnh hưởng trực tiếp đến SRS: chu kỳ trả chủ nhà 3/4/6 tháng theo từng tòa; dòng tiền cổ đông đóng góp định kỳ theo tỷ lệ vốn; upload hợp đồng có trích xuất và review; hóa đơn chuyển Công nợ sau 5 ngày; hoàn cọc do Admin/Kế toán duyệt với khấu hao cố định 200.000đ/phòng và chi phí thực tế; kiểm kê hàng tháng do Admin/Kế toán; phân khúc khách nhập trực tiếp; và Zalo kết hợp Broadcast/ZBS với rule linh hoạt, đồng bộ hội thoại hai chiều.</w:t>
      </w:r>
    </w:p>
    <w:p>
      <w:pPr>
        <w:pStyle w:val="Normal"/>
      </w:pPr>
      <w:r>
        <w:t>Không coi là baseline công thức của hiệu suất/lợi nhuận/thời gian vận hành, báo cáo kinh doanh của nhà, dự kiến dòng tiền, lương và chia cổ phần. Không coi là đã chốt phí phạt trễ hạn, ngưỡng duyệt hoàn cọc, % lợi nhuận khác % vốn, VAT, hợp đồng nhiều phòng, thời hạn khấu hao, vai trò Trưởng nhóm/Trưởng phòng, hay trạng thái OA/ZBS cho tới khi có xác nhận.</w:t>
      </w:r>
    </w:p>
    <w:p>
      <w:bookmarkStart w:id="101" w:name="sec_1"/>
      <w:pPr>
        <w:pStyle w:val="Heading1"/>
        <w:widowControl/>
      </w:pPr>
      <w:r>
        <w:t>1. Giới thiệu và cơ sở template</w:t>
      </w:r>
      <w:bookmarkEnd w:id="101"/>
    </w:p>
    <w:p>
      <w:pPr>
        <w:pStyle w:val="Heading2"/>
        <w:widowControl/>
      </w:pPr>
      <w:r>
        <w:t>1.1. Mục đích và cách xây dựng</w:t>
      </w:r>
    </w:p>
    <w:p>
      <w:pPr>
        <w:widowControl/>
      </w:pPr>
      <w:r>
        <w:t>SRS mô tả hệ thống cần làm gì, điều kiện áp dụng và cách xác nhận kết quả. Phạm vi bao gồm nghiệp vụ, người dùng, dữ liệu, giao diện ngoài và chất lượng dịch vụ; thiết kế hạ tầng, công nghệ triển khai và hợp đồng API chi tiết được phát triển sau khi yêu cầu tương ứng được chốt.</w:t>
      </w:r>
    </w:p>
    <w:p>
      <w:pPr>
        <w:widowControl/>
      </w:pPr>
      <w:r>
        <w:t>Không có một biểu mẫu nội bộ duy nhất áp dụng cho mọi công ty. Bản này được biên soạn riêng cho Timehouse, tham khảo cấu trúc công khai của Erbis và Perforce, cách quản lý giả định/phạm vi của Atlassian, cùng phạm vi hướng dẫn kỹ nghệ yêu cầu được ISO công bố cho ISO/IEC/IEEE 29148:2018 [R1–R5]. Đây không phải tuyên bố chứng nhận hoặc tuân thủ toàn văn tiêu chuẩn có bản quyền.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3600"/>
        <w:gridCol w:w="5760"/>
      </w:tblGrid>
      <w:tr>
        <w:trPr>
          <w:cantSplit/>
          <w:tblHeader/>
        </w:trPr>
        <w:tc>
          <w:tcPr>
            <w:tcW w:type="dxa" w:w="3600"/>
            <w:shd w:fill="F2F4F7"/>
          </w:tcPr>
          <w:p>
            <w:pPr>
              <w:pStyle w:val="TableText"/>
            </w:pPr>
            <w:r>
              <w:rPr>
                <w:b/>
              </w:rPr>
              <w:t>Nguồn tham khảo</w:t>
            </w:r>
          </w:p>
        </w:tc>
        <w:tc>
          <w:tcPr>
            <w:tcW w:type="dxa" w:w="5760"/>
            <w:shd w:fill="F2F4F7"/>
          </w:tcPr>
          <w:p>
            <w:pPr>
              <w:pStyle w:val="TableText"/>
            </w:pPr>
            <w:r>
              <w:rPr>
                <w:b/>
              </w:rPr>
              <w:t>Phần áp dụng</w:t>
            </w:r>
          </w:p>
        </w:tc>
      </w:tr>
      <w:tr>
        <w:trPr>
          <w:cantSplit/>
        </w:trPr>
        <w:tc>
          <w:tcPr>
            <w:tcW w:type="dxa" w:w="3600"/>
          </w:tcPr>
          <w:p>
            <w:pPr>
              <w:pStyle w:val="TableText"/>
            </w:pPr>
            <w:r>
              <w:t>Erbis — mẫu SRS công khai [R1]</w:t>
            </w:r>
          </w:p>
        </w:tc>
        <w:tc>
          <w:tcPr>
            <w:tcW w:type="dxa" w:w="5760"/>
          </w:tcPr>
          <w:p>
            <w:pPr>
              <w:pStyle w:val="TableText"/>
            </w:pPr>
            <w:r>
              <w:t>Giới thiệu, yêu cầu chức năng, tích hợp, NFR, thuật ngữ.</w:t>
            </w:r>
          </w:p>
        </w:tc>
      </w:tr>
      <w:tr>
        <w:trPr>
          <w:cantSplit/>
        </w:trPr>
        <w:tc>
          <w:tcPr>
            <w:tcW w:type="dxa" w:w="3600"/>
          </w:tcPr>
          <w:p>
            <w:pPr>
              <w:pStyle w:val="TableText"/>
            </w:pPr>
            <w:r>
              <w:t>Perforce — hướng dẫn SRS [R2]</w:t>
            </w:r>
          </w:p>
        </w:tc>
        <w:tc>
          <w:tcPr>
            <w:tcW w:type="dxa" w:w="5760"/>
          </w:tcPr>
          <w:p>
            <w:pPr>
              <w:pStyle w:val="TableText"/>
            </w:pPr>
            <w:r>
              <w:t>Yêu cầu có mã; điều kiện–hành vi; ví dụ nghiệm thu kiểm chứng được.</w:t>
            </w:r>
          </w:p>
        </w:tc>
      </w:tr>
      <w:tr>
        <w:trPr>
          <w:cantSplit/>
        </w:trPr>
        <w:tc>
          <w:tcPr>
            <w:tcW w:type="dxa" w:w="3600"/>
          </w:tcPr>
          <w:p>
            <w:pPr>
              <w:pStyle w:val="TableText"/>
            </w:pPr>
            <w:r>
              <w:t>Atlassian — PRD và RTM [R3–R4]</w:t>
            </w:r>
          </w:p>
        </w:tc>
        <w:tc>
          <w:tcPr>
            <w:tcW w:type="dxa" w:w="5760"/>
          </w:tcPr>
          <w:p>
            <w:pPr>
              <w:pStyle w:val="TableText"/>
            </w:pPr>
            <w:r>
              <w:t>Giả định, câu hỏi mở, ngoài phạm vi; liên kết yêu cầu với kiểm thử. PRD chỉ là nguồn bổ trợ.</w:t>
            </w:r>
          </w:p>
        </w:tc>
      </w:tr>
      <w:tr>
        <w:trPr>
          <w:cantSplit/>
        </w:trPr>
        <w:tc>
          <w:tcPr>
            <w:tcW w:type="dxa" w:w="3600"/>
          </w:tcPr>
          <w:p>
            <w:pPr>
              <w:pStyle w:val="TableText"/>
            </w:pPr>
            <w:r>
              <w:t>ISO — trang mô tả 29148:2018 [R5]</w:t>
            </w:r>
          </w:p>
        </w:tc>
        <w:tc>
          <w:tcPr>
            <w:tcW w:type="dxa" w:w="5760"/>
          </w:tcPr>
          <w:p>
            <w:pPr>
              <w:pStyle w:val="TableText"/>
            </w:pPr>
            <w:r>
              <w:t>Định hướng về quá trình và nội dung thông tin yêu cầu; không sao chép bộ tiêu chuẩn.</w:t>
            </w:r>
          </w:p>
        </w:tc>
      </w:tr>
    </w:tbl>
    <w:p>
      <w:pPr>
        <w:pStyle w:val="Heading2"/>
        <w:widowControl/>
      </w:pPr>
      <w:r>
        <w:t>1.2. Nguồn và giới hạn bằng chứng</w:t>
      </w:r>
    </w:p>
    <w:p>
      <w:pPr>
        <w:widowControl/>
      </w:pPr>
      <w:r>
        <w:t>S1 = Phan-tich-nghiep-vu-Timehouse_update.md, phiên bản 05, gồm §1–§11. Các dẫn chiếu S1 §x trong bản này trỏ tới mục tương ứng của nguồn cập nhật. Các giả định Vòng 2, mục cần gặp trực tiếp và câu chưa trả lời được giữ nguyên trạng thái, không xem là xác nhận của khách hàng.</w:t>
      </w:r>
    </w:p>
    <w:p>
      <w:pPr>
        <w:widowControl/>
      </w:pPr>
      <w:r>
        <w:t>Nguồn v05 phân biệt rõ ✅ đã xác nhận, 🟠 giả định Vòng 2, 🗓️ cần gặp trực tiếp và ❓ chưa trả lời. SRS chỉ đưa nội dung ✅ vào baseline nghiệp vụ; các nội dung còn lại được quản lý tại mục 13 và không được dùng để chốt logic triển khai.</w:t>
      </w:r>
    </w:p>
    <w:p>
      <w:pPr>
        <w:pStyle w:val="Heading2"/>
        <w:widowControl/>
      </w:pPr>
      <w:r>
        <w:t>1.3. Quy ước đọc yêu cầu</w:t>
      </w:r>
    </w:p>
    <w:p>
      <w:pPr>
        <w:widowControl/>
      </w:pPr>
      <w:r>
        <w:t>Mỗi FR gồm: mã/tên, tác nhân, nguồn và mức bằng chứng, yêu cầu, dữ liệu, xử lý lỗi và tiêu chí chấp nhận AC. AC-&lt;mã FR&gt;-1/-2 tương ứng hai câu kiểm thử ở cuối mỗi FR. AC cụ thể hóa cách kiểm tra dự kiến, chưa phải kết quả test. Chi tiết triển khai bổ sung không có trong nguồn được đánh dấu ĐX. Mức ưu tiên: P1 = BA đề xuất cần trước khi vận hành luồng liên quan; P2 = có thể triển khai sau nếu khách hàng đồng ý. Ưu tiên không phải release đã cam kết.</w:t>
      </w:r>
    </w:p>
    <w:p>
      <w:pPr>
        <w:pStyle w:val="Heading2"/>
        <w:widowControl/>
      </w:pPr>
      <w:r>
        <w:t>1.4. Thuật ngữ</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2500"/>
        <w:gridCol w:w="6860"/>
      </w:tblGrid>
      <w:tr>
        <w:trPr>
          <w:cantSplit/>
          <w:tblHeader/>
        </w:trPr>
        <w:tc>
          <w:tcPr>
            <w:tcW w:type="dxa" w:w="2500"/>
            <w:shd w:fill="F2F4F7"/>
          </w:tcPr>
          <w:p>
            <w:pPr>
              <w:pStyle w:val="TableText"/>
            </w:pPr>
            <w:r>
              <w:rPr>
                <w:b/>
              </w:rPr>
              <w:t>Thuật ngữ</w:t>
            </w:r>
          </w:p>
        </w:tc>
        <w:tc>
          <w:tcPr>
            <w:tcW w:type="dxa" w:w="6860"/>
            <w:shd w:fill="F2F4F7"/>
          </w:tcPr>
          <w:p>
            <w:pPr>
              <w:pStyle w:val="TableText"/>
            </w:pPr>
            <w:r>
              <w:rPr>
                <w:b/>
              </w:rPr>
              <w:t>Nghĩa dùng trong SRS</w:t>
            </w:r>
          </w:p>
        </w:tc>
      </w:tr>
      <w:tr>
        <w:trPr>
          <w:cantSplit/>
        </w:trPr>
        <w:tc>
          <w:tcPr>
            <w:tcW w:type="dxa" w:w="2500"/>
          </w:tcPr>
          <w:p>
            <w:pPr>
              <w:pStyle w:val="TableText"/>
            </w:pPr>
            <w:r>
              <w:t>Chủ nhà</w:t>
            </w:r>
          </w:p>
        </w:tc>
        <w:tc>
          <w:tcPr>
            <w:tcW w:type="dxa" w:w="6860"/>
          </w:tcPr>
          <w:p>
            <w:pPr>
              <w:pStyle w:val="TableText"/>
            </w:pPr>
            <w:r>
              <w:t>Đối tác sở hữu/cho thuê tòa nhà; không mặc định là cổ đông.</w:t>
            </w:r>
          </w:p>
        </w:tc>
      </w:tr>
      <w:tr>
        <w:trPr>
          <w:cantSplit/>
        </w:trPr>
        <w:tc>
          <w:tcPr>
            <w:tcW w:type="dxa" w:w="2500"/>
          </w:tcPr>
          <w:p>
            <w:pPr>
              <w:pStyle w:val="TableText"/>
            </w:pPr>
            <w:r>
              <w:t>Tòa nhà / phòng</w:t>
            </w:r>
          </w:p>
        </w:tc>
        <w:tc>
          <w:tcPr>
            <w:tcW w:type="dxa" w:w="6860"/>
          </w:tcPr>
          <w:p>
            <w:pPr>
              <w:pStyle w:val="TableText"/>
            </w:pPr>
            <w:r>
              <w:t>Tòa là đơn vị tổ chức vận hành; phòng là đơn vị cho thuê.</w:t>
            </w:r>
          </w:p>
        </w:tc>
      </w:tr>
      <w:tr>
        <w:trPr>
          <w:cantSplit/>
        </w:trPr>
        <w:tc>
          <w:tcPr>
            <w:tcW w:type="dxa" w:w="2500"/>
          </w:tcPr>
          <w:p>
            <w:pPr>
              <w:pStyle w:val="TableText"/>
            </w:pPr>
            <w:r>
              <w:t>Cổ đông / vốn góp</w:t>
            </w:r>
          </w:p>
        </w:tc>
        <w:tc>
          <w:tcPr>
            <w:tcW w:type="dxa" w:w="6860"/>
          </w:tcPr>
          <w:p>
            <w:pPr>
              <w:pStyle w:val="TableText"/>
            </w:pPr>
            <w:r>
              <w:t>Đối tượng có thể góp vào nhiều tòa; lịch đóng góp định kỳ theo tỷ lệ vốn gắn với kỳ trả chủ nhà; công thức phân phối cần xác nhận.</w:t>
            </w:r>
          </w:p>
        </w:tc>
      </w:tr>
      <w:tr>
        <w:trPr>
          <w:cantSplit/>
        </w:trPr>
        <w:tc>
          <w:tcPr>
            <w:tcW w:type="dxa" w:w="2500"/>
          </w:tcPr>
          <w:p>
            <w:pPr>
              <w:pStyle w:val="TableText"/>
            </w:pPr>
            <w:r>
              <w:t>Hóa đơn</w:t>
            </w:r>
          </w:p>
        </w:tc>
        <w:tc>
          <w:tcPr>
            <w:tcW w:type="dxa" w:w="6860"/>
          </w:tcPr>
          <w:p>
            <w:pPr>
              <w:pStyle w:val="TableText"/>
            </w:pPr>
            <w:r>
              <w:t>Bảng tính tiền thuê/dịch vụ nội bộ; chưa bao hàm hóa đơn điện tử thuế.</w:t>
            </w:r>
          </w:p>
        </w:tc>
      </w:tr>
      <w:tr>
        <w:trPr>
          <w:cantSplit/>
        </w:trPr>
        <w:tc>
          <w:tcPr>
            <w:tcW w:type="dxa" w:w="2500"/>
          </w:tcPr>
          <w:p>
            <w:pPr>
              <w:pStyle w:val="TableText"/>
            </w:pPr>
            <w:r>
              <w:t>Công nợ / quá hạn</w:t>
            </w:r>
          </w:p>
        </w:tc>
        <w:tc>
          <w:tcPr>
            <w:tcW w:type="dxa" w:w="6860"/>
          </w:tcPr>
          <w:p>
            <w:pPr>
              <w:pStyle w:val="TableText"/>
            </w:pPr>
            <w:r>
              <w:t>Khoản còn phải thu và chỉ báo trễ hạn cần quản lý riêng; quy tắc nợ tại §3 còn mở.</w:t>
            </w:r>
          </w:p>
        </w:tc>
      </w:tr>
      <w:tr>
        <w:trPr>
          <w:cantSplit/>
        </w:trPr>
        <w:tc>
          <w:tcPr>
            <w:tcW w:type="dxa" w:w="2500"/>
          </w:tcPr>
          <w:p>
            <w:pPr>
              <w:pStyle w:val="TableText"/>
            </w:pPr>
            <w:r>
              <w:t>Cọc</w:t>
            </w:r>
          </w:p>
        </w:tc>
        <w:tc>
          <w:tcPr>
            <w:tcW w:type="dxa" w:w="6860"/>
          </w:tcPr>
          <w:p>
            <w:pPr>
              <w:pStyle w:val="TableText"/>
            </w:pPr>
            <w:r>
              <w:t>Khoản bảo đảm hợp đồng; phải phân biệt cọc khách thuê với cọc trả chủ nhà.</w:t>
            </w:r>
          </w:p>
        </w:tc>
      </w:tr>
      <w:tr>
        <w:trPr>
          <w:cantSplit/>
        </w:trPr>
        <w:tc>
          <w:tcPr>
            <w:tcW w:type="dxa" w:w="2500"/>
          </w:tcPr>
          <w:p>
            <w:pPr>
              <w:pStyle w:val="TableText"/>
            </w:pPr>
            <w:r>
              <w:t>OA Broadcast / ZBS Template Message</w:t>
            </w:r>
          </w:p>
        </w:tc>
        <w:tc>
          <w:tcPr>
            <w:tcW w:type="dxa" w:w="6860"/>
          </w:tcPr>
          <w:p>
            <w:pPr>
              <w:pStyle w:val="TableText"/>
            </w:pPr>
            <w:r>
              <w:t>Nguồn cũ dùng tên ZNS; nguồn v05 dùng OA Broadcast cho tin chung và ZBS Template Message cho tin cá nhân hóa. API/hội thoại hai chiều cần xác nhận tích hợp [R6].</w:t>
            </w:r>
          </w:p>
        </w:tc>
      </w:tr>
      <w:tr>
        <w:trPr>
          <w:cantSplit/>
        </w:trPr>
        <w:tc>
          <w:tcPr>
            <w:tcW w:type="dxa" w:w="2500"/>
          </w:tcPr>
          <w:p>
            <w:pPr>
              <w:pStyle w:val="TableText"/>
            </w:pPr>
            <w:r>
              <w:t>Baseline</w:t>
            </w:r>
          </w:p>
        </w:tc>
        <w:tc>
          <w:tcPr>
            <w:tcW w:type="dxa" w:w="6860"/>
          </w:tcPr>
          <w:p>
            <w:pPr>
              <w:pStyle w:val="TableText"/>
            </w:pPr>
            <w:r>
              <w:t>Phiên bản yêu cầu có người chịu trách nhiệm phê duyệt và quản lý thay đổi.</w:t>
            </w:r>
          </w:p>
        </w:tc>
      </w:tr>
    </w:tbl>
    <w:p>
      <w:bookmarkStart w:id="102" w:name="sec_2"/>
      <w:pPr>
        <w:pStyle w:val="Heading1"/>
        <w:widowControl/>
      </w:pPr>
      <w:r>
        <w:t>2. Tổng quan, phạm vi và vai trò</w:t>
      </w:r>
      <w:bookmarkEnd w:id="102"/>
    </w:p>
    <w:p>
      <w:pPr>
        <w:widowControl/>
      </w:pPr>
      <w:r>
        <w:t>Timehouse vận hành theo mô hình thuê/hợp tác với chủ nhà, tổ chức phòng cho thuê, tìm khách và quản lý vận hành theo khu vực. Dữ liệu tòa/phòng liên kết với hợp đồng, thu–chi, báo cáo và vốn góp. Mục tiêu nêu trong S1 §1 là giảm thao tác nhắc tiền thủ công, kiểm soát vận hành và tổng hợp kết quả theo tòa. Chưa có KPI định lượng được khách hàng xác nhận.</w:t>
      </w:r>
    </w:p>
    <w:p>
      <w:pPr>
        <w:pStyle w:val="Heading2"/>
        <w:widowControl/>
      </w:pPr>
      <w:r>
        <w:t>2.1. Ranh giới sản phẩm</w:t>
      </w:r>
    </w:p>
    <w:p>
      <w:pPr>
        <w:widowControl/>
      </w:pPr>
      <w:r>
        <w:t>Sản phẩm là web quản lý nghiệp vụ nội bộ và tích hợp gửi thông báo Zalo. Cổng cổ đông là phạm vi có điều kiện vì S1 §2 ghi rõ là giả định. Khách thuê là đối tượng được quản lý và người nhận tin; S1 không đặc tả tài khoản web hoặc Mini App cho khách thuê. Không tự thêm kênh này. SRS bao phủ yêu cầu toàn hệ thống, không coi mọi module đều thuộc Phase 1 thương mại.</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850"/>
        <w:gridCol w:w="2450"/>
        <w:gridCol w:w="6060"/>
      </w:tblGrid>
      <w:tr>
        <w:trPr>
          <w:cantSplit/>
          <w:tblHeader/>
        </w:trPr>
        <w:tc>
          <w:tcPr>
            <w:tcW w:type="dxa" w:w="850"/>
            <w:shd w:fill="F2F4F7"/>
          </w:tcPr>
          <w:p>
            <w:pPr>
              <w:pStyle w:val="TableText"/>
            </w:pPr>
            <w:r>
              <w:rPr>
                <w:b/>
              </w:rPr>
              <w:t>Mã</w:t>
            </w:r>
          </w:p>
        </w:tc>
        <w:tc>
          <w:tcPr>
            <w:tcW w:type="dxa" w:w="2450"/>
            <w:shd w:fill="F2F4F7"/>
          </w:tcPr>
          <w:p>
            <w:pPr>
              <w:pStyle w:val="TableText"/>
            </w:pPr>
            <w:r>
              <w:rPr>
                <w:b/>
              </w:rPr>
              <w:t>Module</w:t>
            </w:r>
          </w:p>
        </w:tc>
        <w:tc>
          <w:tcPr>
            <w:tcW w:type="dxa" w:w="6060"/>
            <w:shd w:fill="F2F4F7"/>
          </w:tcPr>
          <w:p>
            <w:pPr>
              <w:pStyle w:val="TableText"/>
            </w:pPr>
            <w:r>
              <w:rPr>
                <w:b/>
              </w:rPr>
              <w:t>Phạm vi được mô tả</w:t>
            </w:r>
          </w:p>
        </w:tc>
      </w:tr>
      <w:tr>
        <w:trPr>
          <w:cantSplit/>
        </w:trPr>
        <w:tc>
          <w:tcPr>
            <w:tcW w:type="dxa" w:w="850"/>
          </w:tcPr>
          <w:p>
            <w:pPr>
              <w:pStyle w:val="TableText"/>
            </w:pPr>
            <w:r>
              <w:t>IAM</w:t>
            </w:r>
          </w:p>
        </w:tc>
        <w:tc>
          <w:tcPr>
            <w:tcW w:type="dxa" w:w="2450"/>
          </w:tcPr>
          <w:p>
            <w:pPr>
              <w:pStyle w:val="TableText"/>
            </w:pPr>
            <w:r>
              <w:t>Tài khoản và phân quyền</w:t>
            </w:r>
          </w:p>
        </w:tc>
        <w:tc>
          <w:tcPr>
            <w:tcW w:type="dxa" w:w="6060"/>
          </w:tcPr>
          <w:p>
            <w:pPr>
              <w:pStyle w:val="TableText"/>
            </w:pPr>
            <w:r>
              <w:t>Nền tảng dùng chung từ §2; chi tiết quản trị ĐX</w:t>
            </w:r>
          </w:p>
        </w:tc>
      </w:tr>
      <w:tr>
        <w:trPr>
          <w:cantSplit/>
        </w:trPr>
        <w:tc>
          <w:tcPr>
            <w:tcW w:type="dxa" w:w="850"/>
          </w:tcPr>
          <w:p>
            <w:pPr>
              <w:pStyle w:val="TableText"/>
            </w:pPr>
            <w:r>
              <w:t>BLD</w:t>
            </w:r>
          </w:p>
        </w:tc>
        <w:tc>
          <w:tcPr>
            <w:tcW w:type="dxa" w:w="2450"/>
          </w:tcPr>
          <w:p>
            <w:pPr>
              <w:pStyle w:val="TableText"/>
            </w:pPr>
            <w:r>
              <w:t>Thông tin tòa nhà</w:t>
            </w:r>
          </w:p>
        </w:tc>
        <w:tc>
          <w:tcPr>
            <w:tcW w:type="dxa" w:w="6060"/>
          </w:tcPr>
          <w:p>
            <w:pPr>
              <w:pStyle w:val="TableText"/>
            </w:pPr>
            <w:r>
              <w:t>Chủ nhà, tòa, phòng, tài sản, hiệu suất, lịch trả chủ nhà</w:t>
            </w:r>
          </w:p>
        </w:tc>
      </w:tr>
      <w:tr>
        <w:trPr>
          <w:cantSplit/>
        </w:trPr>
        <w:tc>
          <w:tcPr>
            <w:tcW w:type="dxa" w:w="850"/>
          </w:tcPr>
          <w:p>
            <w:pPr>
              <w:pStyle w:val="TableText"/>
            </w:pPr>
            <w:r>
              <w:t>CUS</w:t>
            </w:r>
          </w:p>
        </w:tc>
        <w:tc>
          <w:tcPr>
            <w:tcW w:type="dxa" w:w="2450"/>
          </w:tcPr>
          <w:p>
            <w:pPr>
              <w:pStyle w:val="TableText"/>
            </w:pPr>
            <w:r>
              <w:t>Thông tin khách hàng</w:t>
            </w:r>
          </w:p>
        </w:tc>
        <w:tc>
          <w:tcPr>
            <w:tcW w:type="dxa" w:w="6060"/>
          </w:tcPr>
          <w:p>
            <w:pPr>
              <w:pStyle w:val="TableText"/>
            </w:pPr>
            <w:r>
              <w:t>Hồ sơ, hợp đồng, bảng giá dịch vụ, xe, lịch sử</w:t>
            </w:r>
          </w:p>
        </w:tc>
      </w:tr>
      <w:tr>
        <w:trPr>
          <w:cantSplit/>
        </w:trPr>
        <w:tc>
          <w:tcPr>
            <w:tcW w:type="dxa" w:w="850"/>
          </w:tcPr>
          <w:p>
            <w:pPr>
              <w:pStyle w:val="TableText"/>
            </w:pPr>
            <w:r>
              <w:t>FIN</w:t>
            </w:r>
          </w:p>
        </w:tc>
        <w:tc>
          <w:tcPr>
            <w:tcW w:type="dxa" w:w="2450"/>
          </w:tcPr>
          <w:p>
            <w:pPr>
              <w:pStyle w:val="TableText"/>
            </w:pPr>
            <w:r>
              <w:t>Tài chính chung</w:t>
            </w:r>
          </w:p>
        </w:tc>
        <w:tc>
          <w:tcPr>
            <w:tcW w:type="dxa" w:w="6060"/>
          </w:tcPr>
          <w:p>
            <w:pPr>
              <w:pStyle w:val="TableText"/>
            </w:pPr>
            <w:r>
              <w:t>Hóa đơn, thu tiền, công nợ, chi phí, hoàn cọc</w:t>
            </w:r>
          </w:p>
        </w:tc>
      </w:tr>
      <w:tr>
        <w:trPr>
          <w:cantSplit/>
        </w:trPr>
        <w:tc>
          <w:tcPr>
            <w:tcW w:type="dxa" w:w="850"/>
          </w:tcPr>
          <w:p>
            <w:pPr>
              <w:pStyle w:val="TableText"/>
            </w:pPr>
            <w:r>
              <w:t>SAL</w:t>
            </w:r>
          </w:p>
        </w:tc>
        <w:tc>
          <w:tcPr>
            <w:tcW w:type="dxa" w:w="2450"/>
          </w:tcPr>
          <w:p>
            <w:pPr>
              <w:pStyle w:val="TableText"/>
            </w:pPr>
            <w:r>
              <w:t>Kinh doanh</w:t>
            </w:r>
          </w:p>
        </w:tc>
        <w:tc>
          <w:tcPr>
            <w:tcW w:type="dxa" w:w="6060"/>
          </w:tcPr>
          <w:p>
            <w:pPr>
              <w:pStyle w:val="TableText"/>
            </w:pPr>
            <w:r>
              <w:t>Lead, nguồn khách, giao dịch, hoa hồng</w:t>
            </w:r>
          </w:p>
        </w:tc>
      </w:tr>
      <w:tr>
        <w:trPr>
          <w:cantSplit/>
        </w:trPr>
        <w:tc>
          <w:tcPr>
            <w:tcW w:type="dxa" w:w="850"/>
          </w:tcPr>
          <w:p>
            <w:pPr>
              <w:pStyle w:val="TableText"/>
            </w:pPr>
            <w:r>
              <w:t>HR</w:t>
            </w:r>
          </w:p>
        </w:tc>
        <w:tc>
          <w:tcPr>
            <w:tcW w:type="dxa" w:w="2450"/>
          </w:tcPr>
          <w:p>
            <w:pPr>
              <w:pStyle w:val="TableText"/>
            </w:pPr>
            <w:r>
              <w:t>Nhân sự</w:t>
            </w:r>
          </w:p>
        </w:tc>
        <w:tc>
          <w:tcPr>
            <w:tcW w:type="dxa" w:w="6060"/>
          </w:tcPr>
          <w:p>
            <w:pPr>
              <w:pStyle w:val="TableText"/>
            </w:pPr>
            <w:r>
              <w:t>Hồ sơ, trạng thái, lương và phụ cấp</w:t>
            </w:r>
          </w:p>
        </w:tc>
      </w:tr>
      <w:tr>
        <w:trPr>
          <w:cantSplit/>
        </w:trPr>
        <w:tc>
          <w:tcPr>
            <w:tcW w:type="dxa" w:w="850"/>
          </w:tcPr>
          <w:p>
            <w:pPr>
              <w:pStyle w:val="TableText"/>
            </w:pPr>
            <w:r>
              <w:t>DOC</w:t>
            </w:r>
          </w:p>
        </w:tc>
        <w:tc>
          <w:tcPr>
            <w:tcW w:type="dxa" w:w="2450"/>
          </w:tcPr>
          <w:p>
            <w:pPr>
              <w:pStyle w:val="TableText"/>
            </w:pPr>
            <w:r>
              <w:t>Tài liệu</w:t>
            </w:r>
          </w:p>
        </w:tc>
        <w:tc>
          <w:tcPr>
            <w:tcW w:type="dxa" w:w="6060"/>
          </w:tcPr>
          <w:p>
            <w:pPr>
              <w:pStyle w:val="TableText"/>
            </w:pPr>
            <w:r>
              <w:t>Lưu hồ sơ theo tòa; ngoài hợp đồng còn thiếu mô tả</w:t>
            </w:r>
          </w:p>
        </w:tc>
      </w:tr>
      <w:tr>
        <w:trPr>
          <w:cantSplit/>
        </w:trPr>
        <w:tc>
          <w:tcPr>
            <w:tcW w:type="dxa" w:w="850"/>
          </w:tcPr>
          <w:p>
            <w:pPr>
              <w:pStyle w:val="TableText"/>
            </w:pPr>
            <w:r>
              <w:t>REP</w:t>
            </w:r>
          </w:p>
        </w:tc>
        <w:tc>
          <w:tcPr>
            <w:tcW w:type="dxa" w:w="2450"/>
          </w:tcPr>
          <w:p>
            <w:pPr>
              <w:pStyle w:val="TableText"/>
            </w:pPr>
            <w:r>
              <w:t>Báo cáo</w:t>
            </w:r>
          </w:p>
        </w:tc>
        <w:tc>
          <w:tcPr>
            <w:tcW w:type="dxa" w:w="6060"/>
          </w:tcPr>
          <w:p>
            <w:pPr>
              <w:pStyle w:val="TableText"/>
            </w:pPr>
            <w:r>
              <w:t>Hiệu suất, dòng tiền, vận hành, dự kiến, phân khúc</w:t>
            </w:r>
          </w:p>
        </w:tc>
      </w:tr>
      <w:tr>
        <w:trPr>
          <w:cantSplit/>
        </w:trPr>
        <w:tc>
          <w:tcPr>
            <w:tcW w:type="dxa" w:w="850"/>
          </w:tcPr>
          <w:p>
            <w:pPr>
              <w:pStyle w:val="TableText"/>
            </w:pPr>
            <w:r>
              <w:t>SHR</w:t>
            </w:r>
          </w:p>
        </w:tc>
        <w:tc>
          <w:tcPr>
            <w:tcW w:type="dxa" w:w="2450"/>
          </w:tcPr>
          <w:p>
            <w:pPr>
              <w:pStyle w:val="TableText"/>
            </w:pPr>
            <w:r>
              <w:t>Cổ đông</w:t>
            </w:r>
          </w:p>
        </w:tc>
        <w:tc>
          <w:tcPr>
            <w:tcW w:type="dxa" w:w="6060"/>
          </w:tcPr>
          <w:p>
            <w:pPr>
              <w:pStyle w:val="TableText"/>
            </w:pPr>
            <w:r>
              <w:t>Vốn góp, lịch đóng góp định kỳ theo tòa, phân phối và quyền xem có điều kiện</w:t>
            </w:r>
          </w:p>
        </w:tc>
      </w:tr>
      <w:tr>
        <w:trPr>
          <w:cantSplit/>
        </w:trPr>
        <w:tc>
          <w:tcPr>
            <w:tcW w:type="dxa" w:w="850"/>
          </w:tcPr>
          <w:p>
            <w:pPr>
              <w:pStyle w:val="TableText"/>
            </w:pPr>
            <w:r>
              <w:t>MNT</w:t>
            </w:r>
          </w:p>
        </w:tc>
        <w:tc>
          <w:tcPr>
            <w:tcW w:type="dxa" w:w="2450"/>
          </w:tcPr>
          <w:p>
            <w:pPr>
              <w:pStyle w:val="TableText"/>
            </w:pPr>
            <w:r>
              <w:t>Bảo trì, bảo dưỡng</w:t>
            </w:r>
          </w:p>
        </w:tc>
        <w:tc>
          <w:tcPr>
            <w:tcW w:type="dxa" w:w="6060"/>
          </w:tcPr>
          <w:p>
            <w:pPr>
              <w:pStyle w:val="TableText"/>
            </w:pPr>
            <w:r>
              <w:t>Lịch nhắc và kiểm kê</w:t>
            </w:r>
          </w:p>
        </w:tc>
      </w:tr>
      <w:tr>
        <w:trPr>
          <w:cantSplit/>
        </w:trPr>
        <w:tc>
          <w:tcPr>
            <w:tcW w:type="dxa" w:w="850"/>
          </w:tcPr>
          <w:p>
            <w:pPr>
              <w:pStyle w:val="TableText"/>
            </w:pPr>
            <w:r>
              <w:t>ZAL</w:t>
            </w:r>
          </w:p>
        </w:tc>
        <w:tc>
          <w:tcPr>
            <w:tcW w:type="dxa" w:w="2450"/>
          </w:tcPr>
          <w:p>
            <w:pPr>
              <w:pStyle w:val="TableText"/>
            </w:pPr>
            <w:r>
              <w:t>Zalo OA/ZNS</w:t>
            </w:r>
          </w:p>
        </w:tc>
        <w:tc>
          <w:tcPr>
            <w:tcW w:type="dxa" w:w="6060"/>
          </w:tcPr>
          <w:p>
            <w:pPr>
              <w:pStyle w:val="TableText"/>
            </w:pPr>
            <w:r>
              <w:t>Thông báo theo sự kiện, theo dõi kết quả, SMS dự phòng</w:t>
            </w:r>
          </w:p>
        </w:tc>
      </w:tr>
      <w:tr>
        <w:trPr>
          <w:cantSplit/>
        </w:trPr>
        <w:tc>
          <w:tcPr>
            <w:tcW w:type="dxa" w:w="850"/>
          </w:tcPr>
          <w:p>
            <w:pPr>
              <w:pStyle w:val="TableText"/>
            </w:pPr>
            <w:r>
              <w:t>DSH</w:t>
            </w:r>
          </w:p>
        </w:tc>
        <w:tc>
          <w:tcPr>
            <w:tcW w:type="dxa" w:w="2450"/>
          </w:tcPr>
          <w:p>
            <w:pPr>
              <w:pStyle w:val="TableText"/>
            </w:pPr>
            <w:r>
              <w:t>Tổng quan</w:t>
            </w:r>
          </w:p>
        </w:tc>
        <w:tc>
          <w:tcPr>
            <w:tcW w:type="dxa" w:w="6060"/>
          </w:tcPr>
          <w:p>
            <w:pPr>
              <w:pStyle w:val="TableText"/>
            </w:pPr>
            <w:r>
              <w:t>Chỉ số phòng, thu tiền và bộ lọc</w:t>
            </w:r>
          </w:p>
        </w:tc>
      </w:tr>
    </w:tbl>
    <w:p>
      <w:pPr>
        <w:widowControl/>
      </w:pPr>
      <w:r>
        <w:t>11 module nghiệp vụ của S1 §3 được giữ nguyên tên; IAM là yêu cầu dùng chung rút ra từ ma trận quyền, không tính là module nghiệp vụ thứ 12 đã chốt. Thứ tự trình bày phục vụ phụ thuộc dữ liệu, không phải lịch triển khai.</w:t>
      </w:r>
    </w:p>
    <w:p>
      <w:pPr>
        <w:pStyle w:val="Heading2"/>
        <w:widowControl/>
      </w:pPr>
      <w:r>
        <w:t>2.2. Ngoài phạm vi và phạm vi chưa xác lập</w:t>
      </w:r>
    </w:p>
    <w:p>
      <w:pPr>
        <w:pStyle w:val="ListBullet"/>
        <w:widowControl/>
        <w:numPr>
          <w:ilvl w:val="0"/>
          <w:numId w:val="50"/>
        </w:numPr>
      </w:pPr>
      <w:r>
        <w:t>S1 §4.3: upload hợp đồng phải hỗ trợ đọc/trích xuất dữ liệu tự động và luôn có bước người dùng đối chiếu, sửa, xác nhận trước khi sử dụng cho hóa đơn.</w:t>
      </w:r>
    </w:p>
    <w:p>
      <w:pPr>
        <w:pStyle w:val="ListBullet"/>
        <w:widowControl/>
        <w:numPr>
          <w:ilvl w:val="0"/>
          <w:numId w:val="50"/>
        </w:numPr>
      </w:pPr>
      <w:r>
        <w:t>S1 §4.11: cấu hình thông báo cần điều kiện/thời điểm linh hoạt theo tòa/phòng; dùng OA Broadcast cho thông báo chung, ZBS Template Message cho thông báo cá nhân hóa, đồng thời đồng bộ hội thoại Zalo hai chiều để Trưởng phòng phụ trách xử lý phản hồi.</w:t>
      </w:r>
    </w:p>
    <w:p>
      <w:pPr>
        <w:pStyle w:val="ListBullet"/>
        <w:widowControl/>
        <w:numPr>
          <w:ilvl w:val="0"/>
          <w:numId w:val="50"/>
        </w:numPr>
      </w:pPr>
      <w:r>
        <w:t>Chưa được mô tả trong S1: thanh toán trực tuyến, đối soát ngân hàng tự động, e-sign, hóa đơn điện tử thuế, Mini App, chấm công, BHXH/thuế lương. Không suy ra cam kết cung cấp.</w:t>
      </w:r>
    </w:p>
    <w:p>
      <w:pPr>
        <w:pStyle w:val="ListBullet"/>
        <w:widowControl/>
        <w:numPr>
          <w:ilvl w:val="0"/>
          <w:numId w:val="50"/>
        </w:numPr>
      </w:pPr>
      <w:r>
        <w:t>Cần quyết định: công thức hiệu suất/lợi nhuận/thời gian vận hành; báo cáo kinh doanh của nhà; dự kiến dòng tiền; công thức lương; mẫu chia cổ phần; 2 câu hỏi bị xóa khỏi khảo sát; tài khoản OA/ZBS; cùng các giả định Vòng 2. Nội dung chưa chốt chỉ được dựng khung review, không kích hoạt logic chính thức.</w:t>
      </w:r>
    </w:p>
    <w:p>
      <w:pPr>
        <w:pStyle w:val="Heading2"/>
        <w:widowControl/>
      </w:pPr>
      <w:r>
        <w:t>2.3. Vai trò và phạm vi dữ liệu</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1800"/>
        <w:gridCol w:w="4600"/>
        <w:gridCol w:w="2960"/>
      </w:tblGrid>
      <w:tr>
        <w:trPr>
          <w:cantSplit/>
          <w:tblHeader/>
        </w:trPr>
        <w:tc>
          <w:tcPr>
            <w:tcW w:type="dxa" w:w="1800"/>
            <w:shd w:fill="F2F4F7"/>
          </w:tcPr>
          <w:p>
            <w:pPr>
              <w:pStyle w:val="TableText"/>
            </w:pPr>
            <w:r>
              <w:rPr>
                <w:b/>
              </w:rPr>
              <w:t>Tác nhân</w:t>
            </w:r>
          </w:p>
        </w:tc>
        <w:tc>
          <w:tcPr>
            <w:tcW w:type="dxa" w:w="4600"/>
            <w:shd w:fill="F2F4F7"/>
          </w:tcPr>
          <w:p>
            <w:pPr>
              <w:pStyle w:val="TableText"/>
            </w:pPr>
            <w:r>
              <w:rPr>
                <w:b/>
              </w:rPr>
              <w:t>Quyền được nêu trong nguồn</w:t>
            </w:r>
          </w:p>
        </w:tc>
        <w:tc>
          <w:tcPr>
            <w:tcW w:type="dxa" w:w="2960"/>
            <w:shd w:fill="F2F4F7"/>
          </w:tcPr>
          <w:p>
            <w:pPr>
              <w:pStyle w:val="TableText"/>
            </w:pPr>
            <w:r>
              <w:rPr>
                <w:b/>
              </w:rPr>
              <w:t>Điểm cần xác nhận</w:t>
            </w:r>
          </w:p>
        </w:tc>
      </w:tr>
      <w:tr>
        <w:trPr>
          <w:cantSplit/>
        </w:trPr>
        <w:tc>
          <w:tcPr>
            <w:tcW w:type="dxa" w:w="1800"/>
          </w:tcPr>
          <w:p>
            <w:pPr>
              <w:pStyle w:val="TableText"/>
            </w:pPr>
            <w:r>
              <w:t>Admin</w:t>
            </w:r>
          </w:p>
        </w:tc>
        <w:tc>
          <w:tcPr>
            <w:tcW w:type="dxa" w:w="4600"/>
          </w:tcPr>
          <w:p>
            <w:pPr>
              <w:pStyle w:val="TableText"/>
            </w:pPr>
            <w:r>
              <w:t>Xem/sửa toàn hệ thống</w:t>
            </w:r>
          </w:p>
        </w:tc>
        <w:tc>
          <w:tcPr>
            <w:tcW w:type="dxa" w:w="2960"/>
          </w:tcPr>
          <w:p>
            <w:pPr>
              <w:pStyle w:val="TableText"/>
            </w:pPr>
            <w:r>
              <w:t>Giới hạn hành động trên sổ đã khóa — OI-01/13</w:t>
            </w:r>
          </w:p>
        </w:tc>
      </w:tr>
      <w:tr>
        <w:trPr>
          <w:cantSplit/>
        </w:trPr>
        <w:tc>
          <w:tcPr>
            <w:tcW w:type="dxa" w:w="1800"/>
          </w:tcPr>
          <w:p>
            <w:pPr>
              <w:pStyle w:val="TableText"/>
            </w:pPr>
            <w:r>
              <w:t>Kế toán</w:t>
            </w:r>
          </w:p>
        </w:tc>
        <w:tc>
          <w:tcPr>
            <w:tcW w:type="dxa" w:w="4600"/>
          </w:tcPr>
          <w:p>
            <w:pPr>
              <w:pStyle w:val="TableText"/>
            </w:pPr>
            <w:r>
              <w:t>Tài chính toàn hệ thống; hóa đơn/nợ/chi phí/cọc; không sửa nhân sự/tài khoản</w:t>
            </w:r>
          </w:p>
        </w:tc>
        <w:tc>
          <w:tcPr>
            <w:tcW w:type="dxa" w:w="2960"/>
          </w:tcPr>
          <w:p>
            <w:pPr>
              <w:pStyle w:val="TableText"/>
            </w:pPr>
            <w:r>
              <w:t>Quyền ghi nhận góp vốn, khóa sổ — OI-01/13/17</w:t>
            </w:r>
          </w:p>
        </w:tc>
      </w:tr>
      <w:tr>
        <w:trPr>
          <w:cantSplit/>
        </w:trPr>
        <w:tc>
          <w:tcPr>
            <w:tcW w:type="dxa" w:w="1800"/>
          </w:tcPr>
          <w:p>
            <w:pPr>
              <w:pStyle w:val="TableText"/>
            </w:pPr>
            <w:r>
              <w:t>Trưởng khu vực</w:t>
            </w:r>
          </w:p>
        </w:tc>
        <w:tc>
          <w:tcPr>
            <w:tcW w:type="dxa" w:w="4600"/>
          </w:tcPr>
          <w:p>
            <w:pPr>
              <w:pStyle w:val="TableText"/>
            </w:pPr>
            <w:r>
              <w:t>Dữ liệu vận hành khu vực; không duyệt hoàn cọc nếu chưa được cấp riêng</w:t>
            </w:r>
          </w:p>
        </w:tc>
        <w:tc>
          <w:tcPr>
            <w:tcW w:type="dxa" w:w="2960"/>
          </w:tcPr>
          <w:p>
            <w:pPr>
              <w:pStyle w:val="TableText"/>
            </w:pPr>
            <w:r>
              <w:t>Phân công nhiều khu vực, ủy quyền — OI-01</w:t>
            </w:r>
          </w:p>
        </w:tc>
      </w:tr>
      <w:tr>
        <w:trPr>
          <w:cantSplit/>
        </w:trPr>
        <w:tc>
          <w:tcPr>
            <w:tcW w:type="dxa" w:w="1800"/>
          </w:tcPr>
          <w:p>
            <w:pPr>
              <w:pStyle w:val="TableText"/>
            </w:pPr>
            <w:r>
              <w:t>NV vận hành</w:t>
            </w:r>
          </w:p>
        </w:tc>
        <w:tc>
          <w:tcPr>
            <w:tcW w:type="dxa" w:w="4600"/>
          </w:tcPr>
          <w:p>
            <w:pPr>
              <w:pStyle w:val="TableText"/>
            </w:pPr>
            <w:r>
              <w:t>Tòa/phòng được giao; thu tiền, trạng thái, sự cố</w:t>
            </w:r>
          </w:p>
        </w:tc>
        <w:tc>
          <w:tcPr>
            <w:tcW w:type="dxa" w:w="2960"/>
          </w:tcPr>
          <w:p>
            <w:pPr>
              <w:pStyle w:val="TableText"/>
            </w:pPr>
            <w:r>
              <w:t>Sửa/đảo phiếu thu và thời điểm bàn giao — OI-06/07</w:t>
            </w:r>
          </w:p>
        </w:tc>
      </w:tr>
      <w:tr>
        <w:trPr>
          <w:cantSplit/>
        </w:trPr>
        <w:tc>
          <w:tcPr>
            <w:tcW w:type="dxa" w:w="1800"/>
          </w:tcPr>
          <w:p>
            <w:pPr>
              <w:pStyle w:val="TableText"/>
            </w:pPr>
            <w:r>
              <w:t>Sale</w:t>
            </w:r>
          </w:p>
        </w:tc>
        <w:tc>
          <w:tcPr>
            <w:tcW w:type="dxa" w:w="4600"/>
          </w:tcPr>
          <w:p>
            <w:pPr>
              <w:pStyle w:val="TableText"/>
            </w:pPr>
            <w:r>
              <w:t>Lead, giao dịch và doanh số cá nhân; không xem công nợ/tài chính tổng</w:t>
            </w:r>
          </w:p>
        </w:tc>
        <w:tc>
          <w:tcPr>
            <w:tcW w:type="dxa" w:w="2960"/>
          </w:tcPr>
          <w:p>
            <w:pPr>
              <w:pStyle w:val="TableText"/>
            </w:pPr>
            <w:r>
              <w:t>Quyền xem giá/HĐ và thành viên team — OI-02/14</w:t>
            </w:r>
          </w:p>
        </w:tc>
      </w:tr>
      <w:tr>
        <w:trPr>
          <w:cantSplit/>
        </w:trPr>
        <w:tc>
          <w:tcPr>
            <w:tcW w:type="dxa" w:w="1800"/>
          </w:tcPr>
          <w:p>
            <w:pPr>
              <w:pStyle w:val="TableText"/>
            </w:pPr>
            <w:r>
              <w:t>Cổ đông</w:t>
            </w:r>
          </w:p>
        </w:tc>
        <w:tc>
          <w:tcPr>
            <w:tcW w:type="dxa" w:w="4600"/>
          </w:tcPr>
          <w:p>
            <w:pPr>
              <w:pStyle w:val="TableText"/>
            </w:pPr>
            <w:r>
              <w:t>Read-only dữ liệu tòa góp vốn; không xem lương/nhân sự</w:t>
            </w:r>
          </w:p>
        </w:tc>
        <w:tc>
          <w:tcPr>
            <w:tcW w:type="dxa" w:w="2960"/>
          </w:tcPr>
          <w:p>
            <w:pPr>
              <w:pStyle w:val="TableText"/>
            </w:pPr>
            <w:r>
              <w:t>Có tài khoản ngoài hay chỉ nhận báo cáo — OI-16</w:t>
            </w:r>
          </w:p>
        </w:tc>
      </w:tr>
      <w:tr>
        <w:trPr>
          <w:cantSplit/>
        </w:trPr>
        <w:tc>
          <w:tcPr>
            <w:tcW w:type="dxa" w:w="1800"/>
          </w:tcPr>
          <w:p>
            <w:pPr>
              <w:pStyle w:val="TableText"/>
            </w:pPr>
            <w:r>
              <w:t>Ban lãnh đạo; HR; Trưởng phòng; Trưởng nhóm KD; Kỹ thuật</w:t>
            </w:r>
          </w:p>
        </w:tc>
        <w:tc>
          <w:tcPr>
            <w:tcW w:type="dxa" w:w="4600"/>
          </w:tcPr>
          <w:p>
            <w:pPr>
              <w:pStyle w:val="TableText"/>
            </w:pPr>
            <w:r>
              <w:t>Trưởng nhóm Sale/Trưởng phòng là vai trò Vòng 2, chưa xác nhận chi tiết quyền</w:t>
            </w:r>
          </w:p>
        </w:tc>
        <w:tc>
          <w:tcPr>
            <w:tcW w:type="dxa" w:w="2960"/>
          </w:tcPr>
          <w:p>
            <w:pPr>
              <w:pStyle w:val="TableText"/>
            </w:pPr>
            <w:r>
              <w:t>Không mặc định quyền Admin — OI-02</w:t>
            </w:r>
          </w:p>
        </w:tc>
      </w:tr>
      <w:tr>
        <w:trPr>
          <w:cantSplit/>
        </w:trPr>
        <w:tc>
          <w:tcPr>
            <w:tcW w:type="dxa" w:w="1800"/>
          </w:tcPr>
          <w:p>
            <w:pPr>
              <w:pStyle w:val="TableText"/>
            </w:pPr>
            <w:r>
              <w:t>System</w:t>
            </w:r>
          </w:p>
        </w:tc>
        <w:tc>
          <w:tcPr>
            <w:tcW w:type="dxa" w:w="4600"/>
          </w:tcPr>
          <w:p>
            <w:pPr>
              <w:pStyle w:val="TableText"/>
            </w:pPr>
            <w:r>
              <w:t>Chạy lịch, tính toán, phát sinh thông báo</w:t>
            </w:r>
          </w:p>
        </w:tc>
        <w:tc>
          <w:tcPr>
            <w:tcW w:type="dxa" w:w="2960"/>
          </w:tcPr>
          <w:p>
            <w:pPr>
              <w:pStyle w:val="TableText"/>
            </w:pPr>
            <w:r>
              <w:t>Tài khoản dịch vụ và người giám sát — ĐX</w:t>
            </w:r>
          </w:p>
        </w:tc>
      </w:tr>
      <w:tr>
        <w:trPr>
          <w:cantSplit/>
        </w:trPr>
        <w:tc>
          <w:tcPr>
            <w:tcW w:type="dxa" w:w="1800"/>
          </w:tcPr>
          <w:p>
            <w:pPr>
              <w:pStyle w:val="TableText"/>
            </w:pPr>
            <w:r>
              <w:t>Khách thuê / chủ nhà</w:t>
            </w:r>
          </w:p>
        </w:tc>
        <w:tc>
          <w:tcPr>
            <w:tcW w:type="dxa" w:w="4600"/>
          </w:tcPr>
          <w:p>
            <w:pPr>
              <w:pStyle w:val="TableText"/>
            </w:pPr>
            <w:r>
              <w:t>Đối tượng nghiệp vụ, khách thuê nhận thông báo</w:t>
            </w:r>
          </w:p>
        </w:tc>
        <w:tc>
          <w:tcPr>
            <w:tcW w:type="dxa" w:w="2960"/>
          </w:tcPr>
          <w:p>
            <w:pPr>
              <w:pStyle w:val="TableText"/>
            </w:pPr>
            <w:r>
              <w:t>Chưa nêu quyền đăng nhập ứng dụng</w:t>
            </w:r>
          </w:p>
        </w:tc>
      </w:tr>
    </w:tbl>
    <w:p>
      <w:pPr>
        <w:widowControl/>
      </w:pPr>
      <w:r>
        <w:t>Ma trận trên là bản chuẩn hóa của ma trận giả định trong S1 §2/§9, chưa được duyệt. ĐX: quyền phải kiểm tra theo hành động và đối tượng ở phía máy chủ, gồm danh sách, chi tiết, file, báo cáo, export; ẩn menu không thay thế kiểm soát truy cập.</w:t>
      </w:r>
    </w:p>
    <w:p>
      <w:pPr>
        <w:pStyle w:val="Heading2"/>
        <w:widowControl/>
      </w:pPr>
      <w:r>
        <w:t>2.4. Điều kiện vận hành và phụ thuộc</w:t>
      </w:r>
    </w:p>
    <w:p>
      <w:pPr>
        <w:widowControl/>
      </w:pPr>
      <w:r>
        <w:t>ĐX: ứng dụng dùng tiếng Việt, VND và múi giờ Asia/Ho_Chi_Minh. Quy mô tải, thiết bị, SLA, tài khoản OA, mẫu tin được duyệt, nhà cung cấp SMS và chủ sở hữu dữ liệu cần được xác nhận tại mục 9/13. Khách hàng cần cung cấp biểu mẫu hóa đơn, báo cáo, bảng vốn góp, bảng lương và đơn giá khấu trừ để đối chiếu.</w:t>
      </w:r>
    </w:p>
    <w:p>
      <w:bookmarkStart w:id="103" w:name="sec_3"/>
      <w:pPr>
        <w:pStyle w:val="Heading1"/>
        <w:widowControl/>
      </w:pPr>
      <w:r>
        <w:t>3. Quy tắc nghiệp vụ</w:t>
      </w:r>
      <w:bookmarkEnd w:id="103"/>
    </w:p>
    <w:p>
      <w:pPr>
        <w:widowControl/>
      </w:pPr>
      <w:r>
        <w:t>Các công thức dưới đây là đặc tả quản trị để khách hàng rà soát, không phải kết luận về chế độ kế toán hay nghĩa vụ pháp lý. Quy tắc G chỉ được kích hoạt trong baseline sau khi OI tương ứng có câu trả lời.</w:t>
      </w:r>
    </w:p>
    <w:p>
      <w:pPr>
        <w:widowControl/>
      </w:pPr>
      <w:r>
        <w:t>BR-01 [N]: Admin và Kế toán được xem/sửa dữ liệu tài chính nhạy cảm; Trưởng khu vực, NV vận hành, Sale và Cổ đông bị giới hạn theo phạm vi/role được cấp. RBAC phải mở rộng được theo khu vực, tòa và phòng.</w:t>
      </w:r>
    </w:p>
    <w:p>
      <w:pPr>
        <w:pStyle w:val="SourceText"/>
        <w:widowControl/>
      </w:pPr>
      <w:r>
        <w:t>Nguồn: S1 §2, §9.1 • Quyết định: OI-01/02/16</w:t>
      </w:r>
    </w:p>
    <w:p>
      <w:pPr>
        <w:widowControl/>
      </w:pPr>
      <w:r>
        <w:rPr>
          <w:b/>
        </w:rPr>
        <w:t xml:space="preserve">BR-02 [N]: </w:t>
      </w:r>
      <w:r>
        <w:t>Phòng sau trả phải được NV vận hành xác nhận dọn xong mới sẵn sàng cho thuê.</w:t>
      </w:r>
    </w:p>
    <w:p>
      <w:pPr>
        <w:pStyle w:val="SourceText"/>
        <w:widowControl/>
      </w:pPr>
      <w:r>
        <w:t>Nguồn: S1 §4.5, §6 • Quyết định: OI-07</w:t>
      </w:r>
    </w:p>
    <w:p>
      <w:pPr>
        <w:widowControl/>
      </w:pPr>
      <w:r>
        <w:t>BR-03 [N]: Upload hợp đồng phải trích xuất dữ liệu đề xuất; người dùng phải đối chiếu/sửa/xác nhận trường ảnh hưởng tiền trước khi lưu. Nhập tay vẫn là nhánh dự phòng khi trích xuất lỗi hoặc thiếu.</w:t>
      </w:r>
    </w:p>
    <w:p>
      <w:pPr>
        <w:pStyle w:val="SourceText"/>
        <w:widowControl/>
      </w:pPr>
      <w:r>
        <w:t>Nguồn: S1 §4.3 • Quyết định: OI-05</w:t>
      </w:r>
    </w:p>
    <w:p>
      <w:pPr>
        <w:widowControl/>
      </w:pPr>
      <w:r>
        <w:rPr>
          <w:b/>
        </w:rPr>
        <w:t xml:space="preserve">BR-04 [N]: </w:t>
      </w:r>
      <w:r>
        <w:t>Nhận biết hợp đồng sắp hết hạn trước 35 ngày, cố định toàn hệ thống theo nguồn.</w:t>
      </w:r>
    </w:p>
    <w:p>
      <w:pPr>
        <w:pStyle w:val="SourceText"/>
        <w:widowControl/>
      </w:pPr>
      <w:r>
        <w:t>Nguồn: S1 §4.3, §6 • Quyết định: OI-09</w:t>
      </w:r>
    </w:p>
    <w:p>
      <w:pPr>
        <w:widowControl/>
      </w:pPr>
      <w:r>
        <w:rPr>
          <w:b/>
        </w:rPr>
        <w:t xml:space="preserve">BR-05 [N]: </w:t>
      </w:r>
      <w:r>
        <w:t>Số xe không giới hạn cứng; số xe khai báo liên kết phí trên hóa đơn tháng.</w:t>
      </w:r>
    </w:p>
    <w:p>
      <w:pPr>
        <w:pStyle w:val="SourceText"/>
        <w:widowControl/>
      </w:pPr>
      <w:r>
        <w:t>Nguồn: S1 §4.3 • Quyết định: OI-05</w:t>
      </w:r>
    </w:p>
    <w:p>
      <w:pPr>
        <w:widowControl/>
      </w:pPr>
      <w:r>
        <w:rPr>
          <w:b/>
        </w:rPr>
        <w:t xml:space="preserve">BR-06 [N]: </w:t>
      </w:r>
      <w:r>
        <w:t>Giá niêm yết và giá thuê thực tế là hai giá riêng; nguồn yêu cầu cùng hiển thị trên hóa đơn.</w:t>
      </w:r>
    </w:p>
    <w:p>
      <w:pPr>
        <w:pStyle w:val="SourceText"/>
        <w:widowControl/>
      </w:pPr>
      <w:r>
        <w:t>Nguồn: S1 §4.4 • Quyết định: OI-04</w:t>
      </w:r>
    </w:p>
    <w:p>
      <w:pPr>
        <w:widowControl/>
      </w:pPr>
      <w:r>
        <w:t>BR-07 [N/G]: Hóa đơn chuyển trạng thái cần xử lý Công nợ sau đúng 5 ngày kể từ khi phát hành theo nguồn cập nhật; phí phạt trễ hạn 0,1–0,3%/ngày vẫn là giả định Vòng 2, chưa tính vào baseline.</w:t>
      </w:r>
    </w:p>
    <w:p>
      <w:pPr>
        <w:pStyle w:val="SourceText"/>
        <w:widowControl/>
      </w:pPr>
      <w:r>
        <w:t>Nguồn: S1 §4.4, §5 • Quyết định: OI-08</w:t>
      </w:r>
    </w:p>
    <w:p>
      <w:pPr>
        <w:widowControl/>
      </w:pPr>
      <w:r>
        <w:t>BR-08 [N/G]: Danh sách đầu tư có khấu hao. Báo cáo dòng tiền ghi nhận mua thiết bị một lần; báo cáo kinh doanh phân bổ theo khấu hao. Số năm 3–5 và phương pháp đường thẳng là giả định Vòng 2, chưa chốt.</w:t>
      </w:r>
    </w:p>
    <w:p>
      <w:pPr>
        <w:pStyle w:val="SourceText"/>
        <w:widowControl/>
      </w:pPr>
      <w:r>
        <w:t>Nguồn: S1 §4.2.C, §4.4, §9.3 • Quyết định: OI-11</w:t>
      </w:r>
    </w:p>
    <w:p>
      <w:pPr>
        <w:widowControl/>
      </w:pPr>
      <w:r>
        <w:rPr>
          <w:b/>
        </w:rPr>
        <w:t xml:space="preserve">BR-09 [N/G]: </w:t>
      </w:r>
      <w:r>
        <w:t>Hiệu suất = ngày có khách / ngày trong kỳ. Cần xác định phòng/ngày đủ điều kiện khi tổng hợp nhiều phòng.</w:t>
      </w:r>
    </w:p>
    <w:p>
      <w:pPr>
        <w:pStyle w:val="SourceText"/>
        <w:widowControl/>
      </w:pPr>
      <w:r>
        <w:t>Nguồn: S1 §4.2.C, §4.6 • Quyết định: OI-12</w:t>
      </w:r>
    </w:p>
    <w:p>
      <w:pPr>
        <w:widowControl/>
      </w:pPr>
      <w:r>
        <w:rPr>
          <w:b/>
        </w:rPr>
        <w:t xml:space="preserve">BR-10 [N/G]: </w:t>
      </w:r>
      <w:r>
        <w:t>Lợi nhuận theo tòa = doanh thu tòa – chi phí vận hành phân bổ; cơ sở ghi nhận và phân bổ chưa chốt.</w:t>
      </w:r>
    </w:p>
    <w:p>
      <w:pPr>
        <w:pStyle w:val="SourceText"/>
        <w:widowControl/>
      </w:pPr>
      <w:r>
        <w:t>Nguồn: S1 §4.2.C, §4.6 • Quyết định: OI-10/13</w:t>
      </w:r>
    </w:p>
    <w:p>
      <w:pPr>
        <w:widowControl/>
      </w:pPr>
      <w:r>
        <w:t>BR-11 [N]: Lịch trả chủ nhà là thuộc tính riêng từng tòa; chu kỳ thường 3 tháng/lần, có thể 4 hoặc 6 tháng theo thỏa thuận. Hệ thống cần nhắc tới hạn; thời điểm/kênh/người nhận nhắc cần chốt.</w:t>
      </w:r>
    </w:p>
    <w:p>
      <w:pPr>
        <w:pStyle w:val="SourceText"/>
        <w:widowControl/>
      </w:pPr>
      <w:r>
        <w:t>Nguồn: S1 §4.2.C • Quyết định: OI-03</w:t>
      </w:r>
    </w:p>
    <w:p>
      <w:pPr>
        <w:widowControl/>
      </w:pPr>
      <w:r>
        <w:t>BR-12 [N]: Hoàn cọc gồm khấu hao cố định 200.000đ/phòng và chi phí sửa chữa/vệ sinh thực tế; Admin và Kế toán là người duyệt. Ngưỡng duyệt theo số tiền là giả định Vòng 2, chưa chốt.</w:t>
      </w:r>
    </w:p>
    <w:p>
      <w:pPr>
        <w:pStyle w:val="SourceText"/>
        <w:widowControl/>
      </w:pPr>
      <w:r>
        <w:t>Nguồn: S1 §4.4, §5 • Quyết định: OI-07</w:t>
      </w:r>
    </w:p>
    <w:p>
      <w:pPr>
        <w:widowControl/>
      </w:pPr>
      <w:r>
        <w:t>BR-13 [N/G]: Hoa hồng theo % cố định, trả một lần cho Sale cá nhân ngay sau khi khách đóng đủ cọc và ký hợp đồng. Việc không có đợt giữ lại là giả định Vòng 2 cho tới khi khách xác nhận.</w:t>
      </w:r>
    </w:p>
    <w:p>
      <w:pPr>
        <w:pStyle w:val="SourceText"/>
        <w:widowControl/>
      </w:pPr>
      <w:r>
        <w:t>Nguồn: S1 §4.5, §9.4 • Quyết định: OI-14</w:t>
      </w:r>
    </w:p>
    <w:p>
      <w:pPr>
        <w:widowControl/>
      </w:pPr>
      <w:r>
        <w:rPr>
          <w:b/>
        </w:rPr>
        <w:t xml:space="preserve">BR-14 [G]: </w:t>
      </w:r>
      <w:r>
        <w:t>Lương cứng + phụ cấp chức danh; vận hành thêm phụ cấp số nhà; Sale thêm hoa hồng riêng.</w:t>
      </w:r>
    </w:p>
    <w:p>
      <w:pPr>
        <w:pStyle w:val="SourceText"/>
        <w:widowControl/>
      </w:pPr>
      <w:r>
        <w:t>Nguồn: S1 §4.7, §9.8 • Quyết định: OI-15</w:t>
      </w:r>
    </w:p>
    <w:p>
      <w:pPr>
        <w:widowControl/>
      </w:pPr>
      <w:r>
        <w:t>BR-15 [N/G]: Cổ đông có thể góp vào nhiều tòa; tỷ lệ vốn nhập tay. Mỗi tòa có lịch trả chủ nhà riêng và hệ thống sinh nghĩa vụ đóng góp định kỳ cho từng cổ đông theo tỷ lệ vốn. % lợi nhuận khác % vốn góp là giả định Vòng 2, chưa chốt.</w:t>
      </w:r>
    </w:p>
    <w:p>
      <w:pPr>
        <w:pStyle w:val="SourceText"/>
        <w:widowControl/>
      </w:pPr>
      <w:r>
        <w:t>Nguồn: S1 §4.8, §9.7 • Quyết định: OI-17</w:t>
      </w:r>
    </w:p>
    <w:p>
      <w:pPr>
        <w:widowControl/>
      </w:pPr>
      <w:r>
        <w:t>BR-16 [N]: Bảo dưỡng nhắc trước 7 ngày. Kiểm kê tài sản thực hiện hàng tháng và do Admin/Kế toán phụ trách.</w:t>
      </w:r>
    </w:p>
    <w:p>
      <w:pPr>
        <w:pStyle w:val="SourceText"/>
        <w:widowControl/>
      </w:pPr>
      <w:r>
        <w:t>Nguồn: S1 §4.9 • Quyết định: OI-18</w:t>
      </w:r>
    </w:p>
    <w:p>
      <w:pPr>
        <w:widowControl/>
      </w:pPr>
      <w:r>
        <w:rPr>
          <w:b/>
        </w:rPr>
        <w:t xml:space="preserve">BR-17 [G]: </w:t>
      </w:r>
      <w:r>
        <w:t>Báo cáo dự kiến dùng trung bình 3 tháng và điều chỉnh thủ công mới chỉ là giả định.</w:t>
      </w:r>
    </w:p>
    <w:p>
      <w:pPr>
        <w:pStyle w:val="SourceText"/>
        <w:widowControl/>
      </w:pPr>
      <w:r>
        <w:t>Nguồn: S1 §4.6, §9.6 • Quyết định: OI-10</w:t>
      </w:r>
    </w:p>
    <w:p>
      <w:pPr>
        <w:widowControl/>
      </w:pPr>
      <w:r>
        <w:t>BR-18 [N]: Phân khúc khách là dữ liệu khai báo trực tiếp trên hồ sơ/hợp đồng; không suy luận tự động từ nghề nghiệp.</w:t>
      </w:r>
    </w:p>
    <w:p>
      <w:pPr>
        <w:pStyle w:val="SourceText"/>
        <w:widowControl/>
      </w:pPr>
      <w:r>
        <w:t>Nguồn: S1 §4.6 • Quyết định: OI-19</w:t>
      </w:r>
    </w:p>
    <w:p>
      <w:pPr>
        <w:widowControl/>
      </w:pPr>
      <w:r>
        <w:t>BR-19 [N/G]: Rule thông báo phải hỗ trợ điều kiện và thời điểm linh hoạt theo tòa/phòng. Broadcast dùng cho thông báo chung; ZBS Template Message dùng cho tin cá nhân hóa. Phản hồi do từng Trưởng phòng phụ trách và hội thoại được đồng bộ hai chiều; OA/ZBS và fallback vẫn cần xác nhận thực tế.</w:t>
      </w:r>
    </w:p>
    <w:p>
      <w:pPr>
        <w:pStyle w:val="SourceText"/>
        <w:widowControl/>
      </w:pPr>
      <w:r>
        <w:t>Nguồn: S1 §4.10, §7 • Quyết định: OI-20/21</w:t>
      </w:r>
    </w:p>
    <w:p>
      <w:pPr>
        <w:widowControl/>
      </w:pPr>
      <w:r>
        <w:rPr>
          <w:b/>
        </w:rPr>
        <w:t xml:space="preserve">BR-20 [ĐX]: </w:t>
      </w:r>
      <w:r>
        <w:t>ĐX: số tiền thuê, dòng tiền nhận, cọc và lợi nhuận là các chỉ tiêu độc lập; bảng Tổng quan không được gộp và đặt nhãn doanh thu nếu công thức chưa chốt.</w:t>
      </w:r>
    </w:p>
    <w:p>
      <w:pPr>
        <w:pStyle w:val="SourceText"/>
        <w:widowControl/>
      </w:pPr>
      <w:r>
        <w:t>Nguồn: BA từ S1 §4.1/§4.6 • Quyết định: OI-13</w:t>
      </w:r>
    </w:p>
    <w:p>
      <w:pPr>
        <w:widowControl/>
      </w:pPr>
      <w:r>
        <w:rPr>
          <w:b/>
        </w:rPr>
        <w:t xml:space="preserve">BR-21 [ĐX]: </w:t>
      </w:r>
      <w:r>
        <w:t>ĐX: giá/dịch vụ và số tiền tại hóa đơn đã phát hành được lưu theo kỳ; sửa danh mục không hồi tố chứng từ cũ.</w:t>
      </w:r>
    </w:p>
    <w:p>
      <w:pPr>
        <w:pStyle w:val="SourceText"/>
        <w:widowControl/>
      </w:pPr>
      <w:r>
        <w:t>Nguồn: BA từ S1 §4.3/§4.4 • Quyết định: OI-04/06</w:t>
      </w:r>
    </w:p>
    <w:p>
      <w:pPr>
        <w:widowControl/>
      </w:pPr>
      <w:r>
        <w:rPr>
          <w:b/>
        </w:rPr>
        <w:t xml:space="preserve">BR-22 [ĐX]: </w:t>
      </w:r>
      <w:r>
        <w:t>ĐX: một khoản thanh toán chỉ được phân bổ một lần vào cùng hóa đơn; sửa sai phải giữ dấu vết điều chỉnh.</w:t>
      </w:r>
    </w:p>
    <w:p>
      <w:pPr>
        <w:pStyle w:val="SourceText"/>
        <w:widowControl/>
      </w:pPr>
      <w:r>
        <w:t>Nguồn: BA từ S1 §4.4 • Quyết định: OI-06</w:t>
      </w:r>
    </w:p>
    <w:p>
      <w:pPr>
        <w:pStyle w:val="Heading2"/>
        <w:widowControl/>
      </w:pPr>
      <w:r>
        <w:t>3.1. Ví dụ tính toán để chốt quy tắc</w:t>
      </w:r>
    </w:p>
    <w:p>
      <w:pPr>
        <w:widowControl/>
      </w:pPr>
      <w:r>
        <w:t>Các số sau là dữ liệu giả lập để kiểm thử, không phải giá hoặc chính sách của Timehouse.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4500"/>
        <w:gridCol w:w="4860"/>
      </w:tblGrid>
      <w:tr>
        <w:trPr>
          <w:cantSplit/>
          <w:tblHeader/>
        </w:trPr>
        <w:tc>
          <w:tcPr>
            <w:tcW w:type="dxa" w:w="4500"/>
            <w:shd w:fill="F2F4F7"/>
          </w:tcPr>
          <w:p>
            <w:pPr>
              <w:pStyle w:val="TableText"/>
            </w:pPr>
            <w:r>
              <w:rPr>
                <w:b/>
              </w:rPr>
              <w:t>Tình huống</w:t>
            </w:r>
          </w:p>
        </w:tc>
        <w:tc>
          <w:tcPr>
            <w:tcW w:type="dxa" w:w="4860"/>
            <w:shd w:fill="F2F4F7"/>
          </w:tcPr>
          <w:p>
            <w:pPr>
              <w:pStyle w:val="TableText"/>
            </w:pPr>
            <w:r>
              <w:rPr>
                <w:b/>
              </w:rPr>
              <w:t>Kết quả kỳ vọng dự kiến</w:t>
            </w:r>
          </w:p>
        </w:tc>
      </w:tr>
      <w:tr>
        <w:trPr>
          <w:cantSplit/>
        </w:trPr>
        <w:tc>
          <w:tcPr>
            <w:tcW w:type="dxa" w:w="4500"/>
          </w:tcPr>
          <w:p>
            <w:pPr>
              <w:pStyle w:val="TableText"/>
            </w:pPr>
            <w:r>
              <w:t>Tiền thuê 4.000.000; phí cố định 200.000; điện 120 × 3.500; nước 8 × 20.000; xe 2 × 100.000</w:t>
            </w:r>
          </w:p>
        </w:tc>
        <w:tc>
          <w:tcPr>
            <w:tcW w:type="dxa" w:w="4860"/>
          </w:tcPr>
          <w:p>
            <w:pPr>
              <w:pStyle w:val="TableText"/>
            </w:pPr>
            <w:r>
              <w:t>Tổng 4.980.000 VND trước các khoản điều chỉnh. Đơn giá, VAT, làm tròn, tính lẻ tháng: OI-04/05.</w:t>
            </w:r>
          </w:p>
        </w:tc>
      </w:tr>
      <w:tr>
        <w:trPr>
          <w:cantSplit/>
        </w:trPr>
        <w:tc>
          <w:tcPr>
            <w:tcW w:type="dxa" w:w="4500"/>
          </w:tcPr>
          <w:p>
            <w:pPr>
              <w:pStyle w:val="TableText"/>
            </w:pPr>
            <w:r>
              <w:t>Đã thu 3.000.000 cho hóa đơn 4.980.000</w:t>
            </w:r>
          </w:p>
        </w:tc>
        <w:tc>
          <w:tcPr>
            <w:tcW w:type="dxa" w:w="4860"/>
          </w:tcPr>
          <w:p>
            <w:pPr>
              <w:pStyle w:val="TableText"/>
            </w:pPr>
            <w:r>
              <w:t>Còn phải thu 1.980.000. Chỉ áp dụng khi phương án thu một phần được duyệt — OI-06.</w:t>
            </w:r>
          </w:p>
        </w:tc>
      </w:tr>
      <w:tr>
        <w:trPr>
          <w:cantSplit/>
        </w:trPr>
        <w:tc>
          <w:tcPr>
            <w:tcW w:type="dxa" w:w="4500"/>
          </w:tcPr>
          <w:p>
            <w:pPr>
              <w:pStyle w:val="TableText"/>
            </w:pPr>
            <w:r>
              <w:t>Cọc giữ 5.000.000; khấu trừ hợp lệ 700.000</w:t>
            </w:r>
          </w:p>
        </w:tc>
        <w:tc>
          <w:tcPr>
            <w:tcW w:type="dxa" w:w="4860"/>
          </w:tcPr>
          <w:p>
            <w:pPr>
              <w:pStyle w:val="TableText"/>
            </w:pPr>
            <w:r>
              <w:t>Dự kiến hoàn 4.300.000 trước xử lý nợ. Bù trừ công nợ chưa được phép mặc định — OI-07.</w:t>
            </w:r>
          </w:p>
        </w:tc>
      </w:tr>
      <w:tr>
        <w:trPr>
          <w:cantSplit/>
        </w:trPr>
        <w:tc>
          <w:tcPr>
            <w:tcW w:type="dxa" w:w="4500"/>
          </w:tcPr>
          <w:p>
            <w:pPr>
              <w:pStyle w:val="TableText"/>
            </w:pPr>
            <w:r>
              <w:t>Tòa có 10 phòng đủ điều kiện trong tháng 30 ngày; tổng 240 ngày có khách</w:t>
            </w:r>
          </w:p>
        </w:tc>
        <w:tc>
          <w:tcPr>
            <w:tcW w:type="dxa" w:w="4860"/>
          </w:tcPr>
          <w:p>
            <w:pPr>
              <w:pStyle w:val="TableText"/>
            </w:pPr>
            <w:r>
              <w:t>ĐX hiệu suất tòa = 240/300 = 80%; phòng bảo trì/thêm mới cần chốt mẫu số — OI-12.</w:t>
            </w:r>
          </w:p>
        </w:tc>
      </w:tr>
      <w:tr>
        <w:trPr>
          <w:cantSplit/>
        </w:trPr>
        <w:tc>
          <w:tcPr>
            <w:tcW w:type="dxa" w:w="4500"/>
          </w:tcPr>
          <w:p>
            <w:pPr>
              <w:pStyle w:val="TableText"/>
            </w:pPr>
            <w:r>
              <w:t>A góp 300 triệu; tổng vốn ghi nhận 1 tỷ</w:t>
            </w:r>
          </w:p>
        </w:tc>
        <w:tc>
          <w:tcPr>
            <w:tcW w:type="dxa" w:w="4860"/>
          </w:tcPr>
          <w:p>
            <w:pPr>
              <w:pStyle w:val="TableText"/>
            </w:pPr>
            <w:r>
              <w:t>Tỷ lệ tại thời điểm tính 30%; chưa đủ cơ sở lấy tỷ lệ này áp cho mọi kỳ lợi nhuận — OI-17.</w:t>
            </w:r>
          </w:p>
        </w:tc>
      </w:tr>
    </w:tbl>
    <w:p>
      <w:bookmarkStart w:id="104" w:name="sec_4"/>
      <w:pPr>
        <w:pStyle w:val="Heading1"/>
        <w:widowControl/>
      </w:pPr>
      <w:r>
        <w:t>4. Yêu cầu chức năng</w:t>
      </w:r>
      <w:bookmarkEnd w:id="104"/>
    </w:p>
    <w:p>
      <w:pPr>
        <w:widowControl/>
      </w:pPr>
      <w:r>
        <w:t>Các FR bên dưới bao phủ các chức năng nêu trong nguồn cùng các bổ sung BA được ghi nhãn. Nhãn N/G phản ánh phần yêu cầu gốc có điểm cần chốt. Quy tắc chi tiết, validation và AC do BA chuẩn hóa đều cần review trước baseline. Tất cả P1/P2 là ưu tiên đề xuất.</w:t>
      </w:r>
    </w:p>
    <w:p>
      <w:pPr>
        <w:pStyle w:val="Heading2"/>
        <w:widowControl/>
      </w:pPr>
      <w:r>
        <w:t>4.1. Tài khoản và phân quyền — IAM</w:t>
      </w:r>
    </w:p>
    <w:p>
      <w:pPr>
        <w:pStyle w:val="Heading3"/>
        <w:widowControl/>
      </w:pPr>
      <w:r>
        <w:t>FR-IAM-01 — Đăng nhập và kết thúc phiên</w:t>
      </w:r>
    </w:p>
    <w:p>
      <w:pPr>
        <w:pStyle w:val="SourceText"/>
        <w:keepNext/>
        <w:widowControl/>
      </w:pPr>
      <w:r>
        <w:t>Tác nhân: Người dùng được cấp tài khoản • ĐX • P1 • Nguồn: BA từ S1 §2 • Điểm mở: OI-01/16</w:t>
      </w:r>
    </w:p>
    <w:p>
      <w:pPr>
        <w:widowControl/>
      </w:pPr>
      <w:r>
        <w:rPr>
          <w:b/>
        </w:rPr>
        <w:t xml:space="preserve">Yêu cầu: </w:t>
      </w:r>
      <w:r>
        <w:t>Hệ thống phải xác thực người dùng trước khi truy cập dữ liệu nghiệp vụ và cho phép đăng xuất.</w:t>
      </w:r>
    </w:p>
    <w:p>
      <w:pPr>
        <w:widowControl/>
      </w:pPr>
      <w:r>
        <w:rPr>
          <w:b/>
        </w:rPr>
        <w:t xml:space="preserve">Dữ liệu / kết quả: </w:t>
      </w:r>
      <w:r>
        <w:t>Tài khoản, trạng thái hoạt động, vai trò, phạm vi dữ liệu; phương thức mật khẩu/SSO chưa chốt.</w:t>
      </w:r>
    </w:p>
    <w:p>
      <w:pPr>
        <w:widowControl/>
      </w:pPr>
      <w:r>
        <w:rPr>
          <w:b/>
        </w:rPr>
        <w:t xml:space="preserve">Ngoại lệ / kiểm soát ĐX: </w:t>
      </w:r>
      <w:r>
        <w:t>Tài khoản bị khóa hoặc phiên hết hạn không được tiếp tục lấy dữ liệu; thông báo lỗi không tiết lộ tài khoản có tồn tại.</w:t>
      </w:r>
    </w:p>
    <w:p>
      <w:pPr>
        <w:widowControl/>
      </w:pPr>
      <w:r>
        <w:rPr>
          <w:b/>
        </w:rPr>
        <w:t xml:space="preserve">AC-FR-IAM-01-1: </w:t>
      </w:r>
      <w:r>
        <w:t>Khi thông tin xác thực hợp lệ, người dùng vào đúng phạm vi được cấp.</w:t>
      </w:r>
    </w:p>
    <w:p>
      <w:pPr>
        <w:widowControl/>
      </w:pPr>
      <w:r>
        <w:rPr>
          <w:b/>
        </w:rPr>
        <w:t xml:space="preserve">AC-FR-IAM-01-2: </w:t>
      </w:r>
      <w:r>
        <w:t>Sau đăng xuất, sử dụng lại phiên cũ để đọc dữ liệu phải bị từ chối.</w:t>
      </w:r>
    </w:p>
    <w:p>
      <w:pPr>
        <w:pStyle w:val="Heading3"/>
        <w:widowControl/>
      </w:pPr>
      <w:r>
        <w:t>FR-IAM-02 — Quản lý tài khoản và phân công</w:t>
      </w:r>
    </w:p>
    <w:p>
      <w:pPr>
        <w:pStyle w:val="SourceText"/>
        <w:keepNext/>
        <w:widowControl/>
      </w:pPr>
      <w:r>
        <w:t>Tác nhân: Admin • ĐX • P1 • Nguồn: BA từ S1 §2 • Điểm mở: OI-01/02</w:t>
      </w:r>
    </w:p>
    <w:p>
      <w:pPr>
        <w:widowControl/>
      </w:pPr>
      <w:r>
        <w:rPr>
          <w:b/>
        </w:rPr>
        <w:t xml:space="preserve">Yêu cầu: </w:t>
      </w:r>
      <w:r>
        <w:t>Hệ thống phải cho phép Admin tạo, khóa tài khoản, gán vai trò và phân công phạm vi khu vực/tòa/phòng.</w:t>
      </w:r>
    </w:p>
    <w:p>
      <w:pPr>
        <w:widowControl/>
      </w:pPr>
      <w:r>
        <w:rPr>
          <w:b/>
        </w:rPr>
        <w:t xml:space="preserve">Dữ liệu / kết quả: </w:t>
      </w:r>
      <w:r>
        <w:t>Danh sách tài khoản và lịch sử thay đổi quyền; các vai trò thiếu quyền chi tiết chưa được kích hoạt toàn quyền.</w:t>
      </w:r>
    </w:p>
    <w:p>
      <w:pPr>
        <w:widowControl/>
      </w:pPr>
      <w:r>
        <w:rPr>
          <w:b/>
        </w:rPr>
        <w:t xml:space="preserve">Ngoại lệ / kiểm soát ĐX: </w:t>
      </w:r>
      <w:r>
        <w:t>Không dùng việc nghỉ việc để xóa lịch sử giao dịch; thay đổi quyền phải có thời điểm hiệu lực.</w:t>
      </w:r>
    </w:p>
    <w:p>
      <w:pPr>
        <w:widowControl/>
      </w:pPr>
      <w:r>
        <w:rPr>
          <w:b/>
        </w:rPr>
        <w:t xml:space="preserve">AC-FR-IAM-02-1: </w:t>
      </w:r>
      <w:r>
        <w:t>Gán NV vào tòa A cho phép truy cập các phòng được giao ở A.</w:t>
      </w:r>
    </w:p>
    <w:p>
      <w:pPr>
        <w:widowControl/>
      </w:pPr>
      <w:r>
        <w:rPr>
          <w:b/>
        </w:rPr>
        <w:t xml:space="preserve">AC-FR-IAM-02-2: </w:t>
      </w:r>
      <w:r>
        <w:t>Thu hồi phân công làm các yêu cầu truy cập tiếp theo bị từ chối theo chính sách phiên được duyệt.</w:t>
      </w:r>
    </w:p>
    <w:p>
      <w:pPr>
        <w:pStyle w:val="Heading3"/>
        <w:widowControl/>
      </w:pPr>
      <w:r>
        <w:t>FR-IAM-03 — Kiểm soát quyền theo đối tượng</w:t>
      </w:r>
    </w:p>
    <w:p>
      <w:pPr>
        <w:pStyle w:val="SourceText"/>
        <w:keepNext/>
        <w:widowControl/>
      </w:pPr>
      <w:r>
        <w:t>Tác nhân: Mọi người dùng • G/ĐX • P1 • Nguồn: S1 §2, §9.1; BA • Điểm mở: OI-01/02/16</w:t>
      </w:r>
    </w:p>
    <w:p>
      <w:pPr>
        <w:widowControl/>
      </w:pPr>
      <w:r>
        <w:rPr>
          <w:b/>
        </w:rPr>
        <w:t xml:space="preserve">Yêu cầu: </w:t>
      </w:r>
      <w:r>
        <w:t>Hệ thống phải áp dụng ma trận quyền đã duyệt cho từng hành động xem, tạo, sửa, duyệt và tải file.</w:t>
      </w:r>
    </w:p>
    <w:p>
      <w:pPr>
        <w:widowControl/>
      </w:pPr>
      <w:r>
        <w:rPr>
          <w:b/>
        </w:rPr>
        <w:t xml:space="preserve">Dữ liệu / kết quả: </w:t>
      </w:r>
      <w:r>
        <w:t>Danh sách, tổng hợp, chi tiết, export và file phải dùng cùng phạm vi; cổ đông chỉ được đọc dữ liệu được công bố.</w:t>
      </w:r>
    </w:p>
    <w:p>
      <w:pPr>
        <w:widowControl/>
      </w:pPr>
      <w:r>
        <w:rPr>
          <w:b/>
        </w:rPr>
        <w:t xml:space="preserve">Ngoại lệ / kiểm soát ĐX: </w:t>
      </w:r>
      <w:r>
        <w:t>Thay mã đối tượng trong URL/API không được vượt quyền; không lộ tổng tiền của tòa ngoài phạm vi.</w:t>
      </w:r>
    </w:p>
    <w:p>
      <w:pPr>
        <w:widowControl/>
      </w:pPr>
      <w:r>
        <w:rPr>
          <w:b/>
        </w:rPr>
        <w:t xml:space="preserve">AC-FR-IAM-03-1: </w:t>
      </w:r>
      <w:r>
        <w:t>NV tòa A không đọc được chi tiết hoặc hợp đồng tòa B dù biết mã.</w:t>
      </w:r>
    </w:p>
    <w:p>
      <w:pPr>
        <w:widowControl/>
      </w:pPr>
      <w:r>
        <w:rPr>
          <w:b/>
        </w:rPr>
        <w:t xml:space="preserve">AC-FR-IAM-03-2: </w:t>
      </w:r>
      <w:r>
        <w:t>Sale không xem được công nợ và cổ đông không sửa được dữ liệu qua yêu cầu trực tiếp.</w:t>
      </w:r>
    </w:p>
    <w:p>
      <w:pPr>
        <w:pStyle w:val="Heading2"/>
        <w:widowControl/>
      </w:pPr>
      <w:r>
        <w:t>4.2. Thông tin tòa nhà — BLD</w:t>
      </w:r>
    </w:p>
    <w:p>
      <w:pPr>
        <w:pStyle w:val="Heading3"/>
        <w:widowControl/>
      </w:pPr>
      <w:r>
        <w:t>FR-BLD-01 — Quản lý chủ nhà và hợp đồng thuê đầu vào</w:t>
      </w:r>
    </w:p>
    <w:p>
      <w:pPr>
        <w:pStyle w:val="SourceText"/>
        <w:keepNext/>
        <w:widowControl/>
      </w:pPr>
      <w:r>
        <w:t>Tác nhân: Admin / Trưởng khu vực • N/G • P1 • Nguồn: S1 §4.2.A • Điểm mở: OI-01/03</w:t>
      </w:r>
    </w:p>
    <w:p>
      <w:pPr>
        <w:widowControl/>
      </w:pPr>
      <w:r>
        <w:rPr>
          <w:b/>
        </w:rPr>
        <w:t xml:space="preserve">Yêu cầu: </w:t>
      </w:r>
      <w:r>
        <w:t>Hệ thống phải lưu chủ nhà, hợp đồng Timehouse thuê/hợp tác, giá, cọc và thời gian giữ giá.</w:t>
      </w:r>
    </w:p>
    <w:p>
      <w:pPr>
        <w:widowControl/>
      </w:pPr>
      <w:r>
        <w:rPr>
          <w:b/>
        </w:rPr>
        <w:t xml:space="preserve">Dữ liệu / kết quả: </w:t>
      </w:r>
      <w:r>
        <w:t>Thông tin chủ nhà; thời hạn, tòa liên quan, hồ sơ PCCC, hình ảnh sổ đỏ; chiều cam kết giữ giá còn mở.</w:t>
      </w:r>
    </w:p>
    <w:p>
      <w:pPr>
        <w:widowControl/>
      </w:pPr>
      <w:r>
        <w:rPr>
          <w:b/>
        </w:rPr>
        <w:t xml:space="preserve">Ngoại lệ / kiểm soát ĐX: </w:t>
      </w:r>
      <w:r>
        <w:t>Chặn ngày kết thúc trước ngày bắt đầu; file nhạy cảm phải kiểm tra quyền; không suy chủ nhà là cổ đông.</w:t>
      </w:r>
    </w:p>
    <w:p>
      <w:pPr>
        <w:widowControl/>
      </w:pPr>
      <w:r>
        <w:rPr>
          <w:b/>
        </w:rPr>
        <w:t xml:space="preserve">AC-FR-BLD-01-1: </w:t>
      </w:r>
      <w:r>
        <w:t>Tra cứu một chủ nhà hiển thị đúng tòa và các hợp đồng liên quan.</w:t>
      </w:r>
    </w:p>
    <w:p>
      <w:pPr>
        <w:widowControl/>
      </w:pPr>
      <w:r>
        <w:rPr>
          <w:b/>
        </w:rPr>
        <w:t xml:space="preserve">AC-FR-BLD-01-2: </w:t>
      </w:r>
      <w:r>
        <w:t>Thay hồ sơ chủ nhà không làm mất bản hợp đồng đã lưu.</w:t>
      </w:r>
    </w:p>
    <w:p>
      <w:pPr>
        <w:pStyle w:val="Heading3"/>
        <w:widowControl/>
      </w:pPr>
      <w:r>
        <w:t>FR-BLD-02 — Quản lý tòa và nhân sự phụ trách</w:t>
      </w:r>
    </w:p>
    <w:p>
      <w:pPr>
        <w:pStyle w:val="SourceText"/>
        <w:keepNext/>
        <w:widowControl/>
      </w:pPr>
      <w:r>
        <w:t>Tác nhân: Admin / Trưởng khu vực • N • P1 • Nguồn: S1 §4.2.B • Điểm mở: OI-01/19</w:t>
      </w:r>
    </w:p>
    <w:p>
      <w:pPr>
        <w:widowControl/>
      </w:pPr>
      <w:r>
        <w:t>Yêu cầu: Hệ thống phải quản lý địa chỉ, diện tích, số tầng/phòng, tiện ích, nhân sự, trạng thái ĐKKD và mã tòa. T/S/G là tiền tố định danh mã tòa, không phải loại hình cho thuê; quy tắc giải nghĩa đầy đủ vẫn cần xác nhận.</w:t>
      </w:r>
    </w:p>
    <w:p>
      <w:pPr>
        <w:widowControl/>
      </w:pPr>
      <w:r>
        <w:rPr>
          <w:b/>
        </w:rPr>
        <w:t xml:space="preserve">Dữ liệu / kết quả: </w:t>
      </w:r>
      <w:r>
        <w:t>Danh mục tòa liên kết khu vực, chủ nhà và phòng; mã T/S/G chưa được tự giải nghĩa.</w:t>
      </w:r>
    </w:p>
    <w:p>
      <w:pPr>
        <w:widowControl/>
      </w:pPr>
      <w:r>
        <w:rPr>
          <w:b/>
        </w:rPr>
        <w:t xml:space="preserve">Ngoại lệ / kiểm soát ĐX: </w:t>
      </w:r>
      <w:r>
        <w:t>Tòa có dữ liệu hợp đồng/tài chính không được xóa vật lý; quyền cập nhật theo khu vực.</w:t>
      </w:r>
    </w:p>
    <w:p>
      <w:pPr>
        <w:widowControl/>
      </w:pPr>
      <w:r>
        <w:rPr>
          <w:b/>
        </w:rPr>
        <w:t xml:space="preserve">AC-FR-BLD-02-1: </w:t>
      </w:r>
      <w:r>
        <w:t>Mở tòa hiển thị danh sách phòng và người phụ trách thuộc tòa đó.</w:t>
      </w:r>
    </w:p>
    <w:p>
      <w:pPr>
        <w:widowControl/>
      </w:pPr>
      <w:r>
        <w:rPr>
          <w:b/>
        </w:rPr>
        <w:t xml:space="preserve">AC-FR-BLD-02-2: </w:t>
      </w:r>
      <w:r>
        <w:t>Nhập loại chưa có trong danh mục được duyệt phải bị chặn hoặc xử lý qua quản trị danh mục.</w:t>
      </w:r>
    </w:p>
    <w:p>
      <w:pPr>
        <w:pStyle w:val="Heading3"/>
        <w:widowControl/>
      </w:pPr>
      <w:r>
        <w:t>FR-BLD-03 — Danh sách phòng và tình trạng sẵn sàng</w:t>
      </w:r>
    </w:p>
    <w:p>
      <w:pPr>
        <w:pStyle w:val="SourceText"/>
        <w:keepNext/>
        <w:widowControl/>
      </w:pPr>
      <w:r>
        <w:t>Tác nhân: NV vận hành / Sale • N/ĐX • P1 • Nguồn: S1 §4.1/§4.5/§6/§10 • Điểm mở: OI-07/09/19</w:t>
      </w:r>
    </w:p>
    <w:p>
      <w:pPr>
        <w:widowControl/>
      </w:pPr>
      <w:r>
        <w:rPr>
          <w:b/>
        </w:rPr>
        <w:t xml:space="preserve">Yêu cầu: </w:t>
      </w:r>
      <w:r>
        <w:t>Hệ thống phải quản lý phòng trong tòa và hiển thị khả năng cho thuê theo trạng thái đã duyệt.</w:t>
      </w:r>
    </w:p>
    <w:p>
      <w:pPr>
        <w:widowControl/>
      </w:pPr>
      <w:r>
        <w:rPr>
          <w:b/>
        </w:rPr>
        <w:t xml:space="preserve">Dữ liệu / kết quả: </w:t>
      </w:r>
      <w:r>
        <w:t>Mã tòa + mã phòng là khóa nghiệp vụ; giá tham chiếu, hợp đồng hiện hành và trạng thái dọn dẹp.</w:t>
      </w:r>
    </w:p>
    <w:p>
      <w:pPr>
        <w:widowControl/>
      </w:pPr>
      <w:r>
        <w:rPr>
          <w:b/>
        </w:rPr>
        <w:t xml:space="preserve">Ngoại lệ / kiểm soát ĐX: </w:t>
      </w:r>
      <w:r>
        <w:t>Không mặc định phòng đã duyệt hoàn cọc là phòng trống sạch; không cho hai hợp đồng hiệu lực trùng khoảng thuê nếu chưa có quy tắc cho thuê ghép.</w:t>
      </w:r>
    </w:p>
    <w:p>
      <w:pPr>
        <w:widowControl/>
      </w:pPr>
      <w:r>
        <w:rPr>
          <w:b/>
        </w:rPr>
        <w:t xml:space="preserve">AC-FR-BLD-03-1: </w:t>
      </w:r>
      <w:r>
        <w:t>Sau trả phòng, phòng còn chờ dọn không xuất hiện trong danh sách sẵn sàng ở ngay.</w:t>
      </w:r>
    </w:p>
    <w:p>
      <w:pPr>
        <w:widowControl/>
      </w:pPr>
      <w:r>
        <w:rPr>
          <w:b/>
        </w:rPr>
        <w:t xml:space="preserve">AC-FR-BLD-03-2: </w:t>
      </w:r>
      <w:r>
        <w:t>Hai tòa được dùng cùng mã phòng riêng, nhưng trong cùng tòa không được trùng mã.</w:t>
      </w:r>
    </w:p>
    <w:p>
      <w:pPr>
        <w:pStyle w:val="Heading3"/>
        <w:widowControl/>
      </w:pPr>
      <w:r>
        <w:t>FR-BLD-04 — Tài sản và khoản đầu tư theo tòa</w:t>
      </w:r>
    </w:p>
    <w:p>
      <w:pPr>
        <w:pStyle w:val="SourceText"/>
        <w:keepNext/>
        <w:widowControl/>
      </w:pPr>
      <w:r>
        <w:t>Tác nhân: Vận hành / Kế toán • N/G • P1 • Nguồn: S1 §4.2.C, §9.3 • Điểm mở: OI-11/18</w:t>
      </w:r>
    </w:p>
    <w:p>
      <w:pPr>
        <w:widowControl/>
      </w:pPr>
      <w:r>
        <w:rPr>
          <w:b/>
        </w:rPr>
        <w:t xml:space="preserve">Yêu cầu: </w:t>
      </w:r>
      <w:r>
        <w:t>Hệ thống phải lưu tài sản/khoản đầu tư theo tòa và thông tin phục vụ tính khấu hao khi chính sách được duyệt.</w:t>
      </w:r>
    </w:p>
    <w:p>
      <w:pPr>
        <w:widowControl/>
      </w:pPr>
      <w:r>
        <w:rPr>
          <w:b/>
        </w:rPr>
        <w:t xml:space="preserve">Dữ liệu / kết quả: </w:t>
      </w:r>
      <w:r>
        <w:t>Mã tài sản, tòa, loại, nguồn sở hữu, nguyên giá, thời điểm sử dụng, thời gian khấu hao dự kiến.</w:t>
      </w:r>
    </w:p>
    <w:p>
      <w:pPr>
        <w:widowControl/>
      </w:pPr>
      <w:r>
        <w:rPr>
          <w:b/>
        </w:rPr>
        <w:t xml:space="preserve">Ngoại lệ / kiểm soát ĐX: </w:t>
      </w:r>
      <w:r>
        <w:t>Chưa tự áp 3–5 năm làm mặc định đã duyệt; không ghi trùng khoản mua vào cả chi phí ngay và khấu hao.</w:t>
      </w:r>
    </w:p>
    <w:p>
      <w:pPr>
        <w:widowControl/>
      </w:pPr>
      <w:r>
        <w:rPr>
          <w:b/>
        </w:rPr>
        <w:t xml:space="preserve">AC-FR-BLD-04-1: </w:t>
      </w:r>
      <w:r>
        <w:t>Một khoản đầu tư được truy vết về đúng tòa và chứng từ liên quan.</w:t>
      </w:r>
    </w:p>
    <w:p>
      <w:pPr>
        <w:widowControl/>
      </w:pPr>
      <w:r>
        <w:rPr>
          <w:b/>
        </w:rPr>
        <w:t xml:space="preserve">AC-FR-BLD-04-2: </w:t>
      </w:r>
      <w:r>
        <w:t>Đổi chính sách kỳ mới không thay số liệu kỳ đã khóa nếu chưa có điều chỉnh hợp lệ.</w:t>
      </w:r>
    </w:p>
    <w:p>
      <w:pPr>
        <w:pStyle w:val="Heading3"/>
        <w:widowControl/>
      </w:pPr>
      <w:r>
        <w:t>FR-BLD-05 — Lịch thanh toán cho chủ nhà theo từng tòa</w:t>
      </w:r>
    </w:p>
    <w:p>
      <w:pPr>
        <w:pStyle w:val="SourceText"/>
        <w:keepNext/>
        <w:widowControl/>
      </w:pPr>
      <w:r>
        <w:t>Tác nhân: Kế toán / Vận hành • N/G • P1 • Nguồn: S1 §4.2.C • Điểm mở: OI-03</w:t>
      </w:r>
    </w:p>
    <w:p>
      <w:pPr>
        <w:widowControl/>
      </w:pPr>
      <w:r>
        <w:t>Yêu cầu: Hệ thống phải lưu lịch thanh toán riêng theo từng tòa/hợp đồng đầu vào với chu kỳ 3, 4 hoặc 6 tháng theo thỏa thuận và nhắc đến hạn; không hard-code chu kỳ hàng tháng toàn hệ thống.</w:t>
      </w:r>
    </w:p>
    <w:p>
      <w:pPr>
        <w:widowControl/>
      </w:pPr>
      <w:r>
        <w:t>Dữ liệu / kết quả: Tòa, chủ nhà, chu kỳ riêng, ngày đến hạn, số dự kiến, tình trạng thanh toán và lịch sử nhắc; thời điểm nhắc/kênh/người nhận cần chốt.</w:t>
      </w:r>
    </w:p>
    <w:p>
      <w:pPr>
        <w:widowControl/>
      </w:pPr>
      <w:r>
        <w:rPr>
          <w:b/>
        </w:rPr>
        <w:t xml:space="preserve">Ngoại lệ / kiểm soát ĐX: </w:t>
      </w:r>
      <w:r>
        <w:t>Thời điểm nhắc, kênh và người nhận chưa được tự coi là Zalo cho chủ nhà; không đánh dấu đã trả chỉ vì đã gửi nhắc.</w:t>
      </w:r>
    </w:p>
    <w:p>
      <w:pPr>
        <w:widowControl/>
      </w:pPr>
      <w:r>
        <w:t>AC-FR-BLD-05-1: Với tòa có chu kỳ 3, 4 hoặc 6 tháng, đến kỳ thanh toán riêng của tòa, khoản chưa trả được đưa vào danh sách cần xử lý.</w:t>
      </w:r>
    </w:p>
    <w:p>
      <w:pPr>
        <w:widowControl/>
      </w:pPr>
      <w:r>
        <w:rPr>
          <w:b/>
        </w:rPr>
        <w:t xml:space="preserve">AC-FR-BLD-05-2: </w:t>
      </w:r>
      <w:r>
        <w:t>Khoản đã ghi nhận trả không tiếp tục xuất hiện như khoản chưa thanh toán.</w:t>
      </w:r>
    </w:p>
    <w:p>
      <w:pPr>
        <w:pStyle w:val="Heading2"/>
        <w:widowControl/>
      </w:pPr>
      <w:r>
        <w:t>4.3. Khách hàng và hợp đồng — CUS</w:t>
      </w:r>
    </w:p>
    <w:p>
      <w:pPr>
        <w:pStyle w:val="Heading3"/>
        <w:widowControl/>
      </w:pPr>
      <w:r>
        <w:t>FR-CUS-01 — Hồ sơ và danh sách khách thuê</w:t>
      </w:r>
    </w:p>
    <w:p>
      <w:pPr>
        <w:pStyle w:val="SourceText"/>
        <w:keepNext/>
        <w:widowControl/>
      </w:pPr>
      <w:r>
        <w:t>Tác nhân: Vận hành / Kế toán • N • P1 • Nguồn: S1 §4.3 • Điểm mở: OI-01/19</w:t>
      </w:r>
    </w:p>
    <w:p>
      <w:pPr>
        <w:widowControl/>
      </w:pPr>
      <w:r>
        <w:rPr>
          <w:b/>
        </w:rPr>
        <w:t xml:space="preserve">Yêu cầu: </w:t>
      </w:r>
      <w:r>
        <w:t>Hệ thống phải lưu hồ sơ khách thuê và cho tra cứu theo phòng/tòa, người phụ trách, trạng thái thuê và liên hệ Zalo.</w:t>
      </w:r>
    </w:p>
    <w:p>
      <w:pPr>
        <w:widowControl/>
      </w:pPr>
      <w:r>
        <w:rPr>
          <w:b/>
        </w:rPr>
        <w:t xml:space="preserve">Dữ liệu / kết quả: </w:t>
      </w:r>
      <w:r>
        <w:t>Khách, SĐT, nghề nghiệp, hợp đồng liên quan, nợ và lịch sử thuê; một khách có lịch sử nhiều lần thuê.</w:t>
      </w:r>
    </w:p>
    <w:p>
      <w:pPr>
        <w:widowControl/>
      </w:pPr>
      <w:r>
        <w:rPr>
          <w:b/>
        </w:rPr>
        <w:t xml:space="preserve">Ngoại lệ / kiểm soát ĐX: </w:t>
      </w:r>
      <w:r>
        <w:t>SĐT không phải bằng chứng đã xác minh tài khoản Zalo; không ghi đè lịch sử khi khách thuê lần mới.</w:t>
      </w:r>
    </w:p>
    <w:p>
      <w:pPr>
        <w:widowControl/>
      </w:pPr>
      <w:r>
        <w:rPr>
          <w:b/>
        </w:rPr>
        <w:t xml:space="preserve">AC-FR-CUS-01-1: </w:t>
      </w:r>
      <w:r>
        <w:t>Khách quay lại có hợp đồng mới nhưng vẫn xem được lịch sử cũ đúng quyền.</w:t>
      </w:r>
    </w:p>
    <w:p>
      <w:pPr>
        <w:widowControl/>
      </w:pPr>
      <w:r>
        <w:rPr>
          <w:b/>
        </w:rPr>
        <w:t xml:space="preserve">AC-FR-CUS-01-2: </w:t>
      </w:r>
      <w:r>
        <w:t>Tìm theo tòa chỉ trả khách có liên hệ thuê tương ứng với bộ lọc và phạm vi truy cập.</w:t>
      </w:r>
    </w:p>
    <w:p>
      <w:pPr>
        <w:pStyle w:val="Heading3"/>
        <w:widowControl/>
      </w:pPr>
      <w:r>
        <w:t>FR-CUS-02 — Ghi nhận hợp đồng thuê và trích xuất dữ liệu có kiểm tra</w:t>
      </w:r>
    </w:p>
    <w:p>
      <w:pPr>
        <w:pStyle w:val="SourceText"/>
        <w:keepNext/>
        <w:widowControl/>
      </w:pPr>
      <w:r>
        <w:t>Tác nhân: Vận hành / Sale theo quyền duyệt • N • P1 • Nguồn: S1 §4.3, §5 • Điểm mở: OI-05/09/14</w:t>
      </w:r>
    </w:p>
    <w:p>
      <w:pPr>
        <w:widowControl/>
      </w:pPr>
      <w:r>
        <w:t>Yêu cầu: Hệ thống phải cho nhập hợp đồng bằng tay hoặc upload file để trích xuất dữ liệu đề xuất; người dùng phải đối chiếu, sửa và xác nhận các trường quan trọng trước khi lưu hợp đồng.</w:t>
      </w:r>
    </w:p>
    <w:p>
      <w:pPr>
        <w:widowControl/>
      </w:pPr>
      <w:r>
        <w:t>Dữ liệu / kết quả: Khách, một hoặc nhiều phòng, ngày thuê, giá, cọc, kỳ thanh toán, dịch vụ và người ở cùng; mỗi trường trích xuất kèm trạng thái/nguồn để kiểm tra, dữ liệu đã xác nhận không bị ghi đè khi thử lại.</w:t>
      </w:r>
    </w:p>
    <w:p>
      <w:pPr>
        <w:widowControl/>
      </w:pPr>
      <w:r>
        <w:rPr>
          <w:b/>
        </w:rPr>
        <w:t xml:space="preserve">Ngoại lệ / kiểm soát ĐX: </w:t>
      </w:r>
      <w:r>
        <w:t>Khi upload lỗi không báo lưu file thành công; phần lưu hồ sơ nháp phải được chỉ rõ; xung đột thời hạn phòng cần xử lý.</w:t>
      </w:r>
    </w:p>
    <w:p>
      <w:pPr>
        <w:widowControl/>
      </w:pPr>
      <w:r>
        <w:t>AC-FR-CUS-02-1: Upload hợp đồng tạo dữ liệu đề xuất kèm trạng thái cần kiểm tra; hệ thống không được tự dùng trường thiếu/sai cho hóa đơn trước khi người có quyền xác nhận.</w:t>
      </w:r>
    </w:p>
    <w:p>
      <w:pPr>
        <w:widowControl/>
      </w:pPr>
      <w:r>
        <w:rPr>
          <w:b/>
        </w:rPr>
        <w:t xml:space="preserve">AC-FR-CUS-02-2: </w:t>
      </w:r>
      <w:r>
        <w:t>Hợp đồng đủ dữ liệu được liên kết đúng khách và phòng; thiếu trường bắt buộc hiển thị lỗi cụ thể.</w:t>
      </w:r>
    </w:p>
    <w:p>
      <w:pPr>
        <w:pStyle w:val="Heading3"/>
        <w:widowControl/>
      </w:pPr>
      <w:r>
        <w:t>FR-CUS-03 — Bảng dịch vụ và số xe theo hợp đồng</w:t>
      </w:r>
    </w:p>
    <w:p>
      <w:pPr>
        <w:pStyle w:val="SourceText"/>
        <w:keepNext/>
        <w:widowControl/>
      </w:pPr>
      <w:r>
        <w:t>Tác nhân: Vận hành / Kế toán • N/ĐX • P1 • Nguồn: S1 §4.3 • Điểm mở: OI-04/05</w:t>
      </w:r>
    </w:p>
    <w:p>
      <w:pPr>
        <w:widowControl/>
      </w:pPr>
      <w:r>
        <w:rPr>
          <w:b/>
        </w:rPr>
        <w:t xml:space="preserve">Yêu cầu: </w:t>
      </w:r>
      <w:r>
        <w:t>Hệ thống phải lưu dịch vụ áp dụng cho hợp đồng, đơn giá và số xe khai báo để đưa vào hóa đơn tương ứng.</w:t>
      </w:r>
    </w:p>
    <w:p>
      <w:pPr>
        <w:widowControl/>
      </w:pPr>
      <w:r>
        <w:rPr>
          <w:b/>
        </w:rPr>
        <w:t xml:space="preserve">Dữ liệu / kết quả: </w:t>
      </w:r>
      <w:r>
        <w:t>Phí cố định; điện/nước theo đơn vị được duyệt; xe theo số lượng; thời điểm hiệu lực là chi tiết ĐX.</w:t>
      </w:r>
    </w:p>
    <w:p>
      <w:pPr>
        <w:widowControl/>
      </w:pPr>
      <w:r>
        <w:rPr>
          <w:b/>
        </w:rPr>
        <w:t xml:space="preserve">Ngoại lệ / kiểm soát ĐX: </w:t>
      </w:r>
      <w:r>
        <w:t>Không giới hạn cứng số xe theo nguồn; số lượng không âm; thay giữa kỳ cần quy tắc phân bổ, không tự đoán.</w:t>
      </w:r>
    </w:p>
    <w:p>
      <w:pPr>
        <w:widowControl/>
      </w:pPr>
      <w:r>
        <w:rPr>
          <w:b/>
        </w:rPr>
        <w:t xml:space="preserve">AC-FR-CUS-03-1: </w:t>
      </w:r>
      <w:r>
        <w:t>Với 2 xe và đơn giá được duyệt 100.000, phí xe tháng đầy đủ là 200.000.</w:t>
      </w:r>
    </w:p>
    <w:p>
      <w:pPr>
        <w:widowControl/>
      </w:pPr>
      <w:r>
        <w:rPr>
          <w:b/>
        </w:rPr>
        <w:t xml:space="preserve">AC-FR-CUS-03-2: </w:t>
      </w:r>
      <w:r>
        <w:t>Đổi bảng giá hiệu lực tháng sau không làm đổi số tiền hóa đơn tháng trước đã phát hành.</w:t>
      </w:r>
    </w:p>
    <w:p>
      <w:pPr>
        <w:pStyle w:val="Heading3"/>
        <w:widowControl/>
      </w:pPr>
      <w:r>
        <w:t>FR-CUS-04 — Theo dõi hết hạn và gia hạn</w:t>
      </w:r>
    </w:p>
    <w:p>
      <w:pPr>
        <w:pStyle w:val="SourceText"/>
        <w:keepNext/>
        <w:widowControl/>
      </w:pPr>
      <w:r>
        <w:t>Tác nhân: Vận hành / System • N • P1 • Nguồn: S1 §4.3, §5/§6 • Điểm mở: OI-09</w:t>
      </w:r>
    </w:p>
    <w:p>
      <w:pPr>
        <w:widowControl/>
      </w:pPr>
      <w:r>
        <w:rPr>
          <w:b/>
        </w:rPr>
        <w:t xml:space="preserve">Yêu cầu: </w:t>
      </w:r>
      <w:r>
        <w:t>Hệ thống phải nhận biết hợp đồng còn 35 ngày, hỗ trợ ghi nhận gia hạn hoặc kết thúc theo quyết định người có quyền.</w:t>
      </w:r>
    </w:p>
    <w:p>
      <w:pPr>
        <w:widowControl/>
      </w:pPr>
      <w:r>
        <w:rPr>
          <w:b/>
        </w:rPr>
        <w:t xml:space="preserve">Dữ liệu / kết quả: </w:t>
      </w:r>
      <w:r>
        <w:t>Ngày hết hạn, mốc cảnh báo, hợp đồng/phụ lục gia hạn liên kết lần thuê trước.</w:t>
      </w:r>
    </w:p>
    <w:p>
      <w:pPr>
        <w:widowControl/>
      </w:pPr>
      <w:r>
        <w:rPr>
          <w:b/>
        </w:rPr>
        <w:t xml:space="preserve">Ngoại lệ / kiểm soát ĐX: </w:t>
      </w:r>
      <w:r>
        <w:t>Không tự gia hạn chỉ vì đã gửi thông báo; tác vụ bỏ lỡ ngày cần quy tắc chạy bù được duyệt.</w:t>
      </w:r>
    </w:p>
    <w:p>
      <w:pPr>
        <w:widowControl/>
      </w:pPr>
      <w:r>
        <w:rPr>
          <w:b/>
        </w:rPr>
        <w:t xml:space="preserve">AC-FR-CUS-04-1: </w:t>
      </w:r>
      <w:r>
        <w:t>Tại mốc trước 35 ngày, hợp đồng còn hiệu lực được đưa vào nhóm sắp hết hạn.</w:t>
      </w:r>
    </w:p>
    <w:p>
      <w:pPr>
        <w:widowControl/>
      </w:pPr>
      <w:r>
        <w:rPr>
          <w:b/>
        </w:rPr>
        <w:t xml:space="preserve">AC-FR-CUS-04-2: </w:t>
      </w:r>
      <w:r>
        <w:t>Gia hạn được ghi nhận làm thay đổi mốc tiếp theo và giữ lịch sử hợp đồng trước.</w:t>
      </w:r>
    </w:p>
    <w:p>
      <w:pPr>
        <w:pStyle w:val="Heading3"/>
        <w:widowControl/>
      </w:pPr>
      <w:r>
        <w:t>FR-CUS-05 — Tra cứu tài chính khách thuê</w:t>
      </w:r>
    </w:p>
    <w:p>
      <w:pPr>
        <w:pStyle w:val="SourceText"/>
        <w:keepNext/>
        <w:widowControl/>
      </w:pPr>
      <w:r>
        <w:t>Tác nhân: Vận hành / Kế toán • N • P1 • Nguồn: S1 §4.3 • Điểm mở: OI-06/07</w:t>
      </w:r>
    </w:p>
    <w:p>
      <w:pPr>
        <w:widowControl/>
      </w:pPr>
      <w:r>
        <w:rPr>
          <w:b/>
        </w:rPr>
        <w:t xml:space="preserve">Yêu cầu: </w:t>
      </w:r>
      <w:r>
        <w:t>Hệ thống phải hiển thị lịch sử thanh toán, số dư còn phải thu và các lần hoàn cọc của khách.</w:t>
      </w:r>
    </w:p>
    <w:p>
      <w:pPr>
        <w:widowControl/>
      </w:pPr>
      <w:r>
        <w:rPr>
          <w:b/>
        </w:rPr>
        <w:t xml:space="preserve">Dữ liệu / kết quả: </w:t>
      </w:r>
      <w:r>
        <w:t>Liên kết từng khoản đến hợp đồng, hóa đơn hoặc hồ sơ hoàn cọc; phân biệt lần thuê.</w:t>
      </w:r>
    </w:p>
    <w:p>
      <w:pPr>
        <w:widowControl/>
      </w:pPr>
      <w:r>
        <w:rPr>
          <w:b/>
        </w:rPr>
        <w:t xml:space="preserve">Ngoại lệ / kiểm soát ĐX: </w:t>
      </w:r>
      <w:r>
        <w:t>Không cộng khoản thu đã đảo/hủy vào tổng thực thu hợp lệ; quyền Sale bị hạn chế theo BR-01.</w:t>
      </w:r>
    </w:p>
    <w:p>
      <w:pPr>
        <w:widowControl/>
      </w:pPr>
      <w:r>
        <w:rPr>
          <w:b/>
        </w:rPr>
        <w:t xml:space="preserve">AC-FR-CUS-05-1: </w:t>
      </w:r>
      <w:r>
        <w:t>Tổng còn phải thu khớp các hóa đơn và phân bổ hợp lệ trong cùng phạm vi.</w:t>
      </w:r>
    </w:p>
    <w:p>
      <w:pPr>
        <w:widowControl/>
      </w:pPr>
      <w:r>
        <w:rPr>
          <w:b/>
        </w:rPr>
        <w:t xml:space="preserve">AC-FR-CUS-05-2: </w:t>
      </w:r>
      <w:r>
        <w:t>Mở hồ sơ lần thuê mới vẫn tra cứu được hoàn cọc lần thuê cũ mà không trộn số dư.</w:t>
      </w:r>
    </w:p>
    <w:p>
      <w:pPr>
        <w:pStyle w:val="Heading2"/>
        <w:widowControl/>
      </w:pPr>
      <w:r>
        <w:t>4.4. Tài chính chung — FIN</w:t>
      </w:r>
    </w:p>
    <w:p>
      <w:pPr>
        <w:pStyle w:val="Heading3"/>
        <w:widowControl/>
      </w:pPr>
      <w:r>
        <w:t>FR-FIN-01 — Lập và phát hành hóa đơn theo kỳ</w:t>
      </w:r>
    </w:p>
    <w:p>
      <w:pPr>
        <w:pStyle w:val="SourceText"/>
        <w:keepNext/>
        <w:widowControl/>
      </w:pPr>
      <w:r>
        <w:t>Tác nhân: Kế toán • N/ĐX • P1 • Nguồn: S1 §4.3/§4.4/§5 • Điểm mở: OI-04/05</w:t>
      </w:r>
    </w:p>
    <w:p>
      <w:pPr>
        <w:widowControl/>
      </w:pPr>
      <w:r>
        <w:rPr>
          <w:b/>
        </w:rPr>
        <w:t xml:space="preserve">Yêu cầu: </w:t>
      </w:r>
      <w:r>
        <w:t>Hệ thống phải lập hóa đơn tiền thuê và dịch vụ từ hợp đồng cho kỳ được chọn; hiển thị giá niêm yết và giá thực tế riêng.</w:t>
      </w:r>
    </w:p>
    <w:p>
      <w:pPr>
        <w:widowControl/>
      </w:pPr>
      <w:r>
        <w:rPr>
          <w:b/>
        </w:rPr>
        <w:t xml:space="preserve">Dữ liệu / kết quả: </w:t>
      </w:r>
      <w:r>
        <w:t>Phòng/tòa, khách, kỳ, hạn trả, các dòng phí, tổng tiền; bản nháp và phát hành là trạng thái ĐX.</w:t>
      </w:r>
    </w:p>
    <w:p>
      <w:pPr>
        <w:widowControl/>
      </w:pPr>
      <w:r>
        <w:rPr>
          <w:b/>
        </w:rPr>
        <w:t xml:space="preserve">Ngoại lệ / kiểm soát ĐX: </w:t>
      </w:r>
      <w:r>
        <w:t>Chặn tạo trùng cùng hợp đồng/kỳ/loại chứng từ; thiếu dữ liệu biến đổi không được tự lấy 0 rồi phát hành.</w:t>
      </w:r>
    </w:p>
    <w:p>
      <w:pPr>
        <w:widowControl/>
      </w:pPr>
      <w:r>
        <w:rPr>
          <w:b/>
        </w:rPr>
        <w:t xml:space="preserve">AC-FR-FIN-01-1: </w:t>
      </w:r>
      <w:r>
        <w:t>Với bộ số liệu §3.1 được phê duyệt, hóa đơn tổng cộng 4.980.000.</w:t>
      </w:r>
    </w:p>
    <w:p>
      <w:pPr>
        <w:widowControl/>
      </w:pPr>
      <w:r>
        <w:rPr>
          <w:b/>
        </w:rPr>
        <w:t xml:space="preserve">AC-FR-FIN-01-2: </w:t>
      </w:r>
      <w:r>
        <w:t>Phát hành lại cùng thao tác không tạo thêm hóa đơn thứ hai hoặc thêm khoản phải thu.</w:t>
      </w:r>
    </w:p>
    <w:p>
      <w:pPr>
        <w:pStyle w:val="Heading3"/>
        <w:widowControl/>
      </w:pPr>
      <w:r>
        <w:t>FR-FIN-02 — Ghi nhận điện nước và phí biến đổi</w:t>
      </w:r>
    </w:p>
    <w:p>
      <w:pPr>
        <w:pStyle w:val="SourceText"/>
        <w:keepNext/>
        <w:widowControl/>
      </w:pPr>
      <w:r>
        <w:t>Tác nhân: Kế toán / người được phân quyền • ĐX • P1 • Nguồn: BA từ S1 §4.3/§4.4 • Điểm mở: OI-04/05</w:t>
      </w:r>
    </w:p>
    <w:p>
      <w:pPr>
        <w:widowControl/>
      </w:pPr>
      <w:r>
        <w:rPr>
          <w:b/>
        </w:rPr>
        <w:t xml:space="preserve">Yêu cầu: </w:t>
      </w:r>
      <w:r>
        <w:t>Hệ thống phải hỗ trợ dữ liệu tính phí biến đổi theo cách nhập được khách hàng chọn: chỉ số đầu/cuối hoặc sản lượng.</w:t>
      </w:r>
    </w:p>
    <w:p>
      <w:pPr>
        <w:widowControl/>
      </w:pPr>
      <w:r>
        <w:rPr>
          <w:b/>
        </w:rPr>
        <w:t xml:space="preserve">Dữ liệu / kết quả: </w:t>
      </w:r>
      <w:r>
        <w:t>Kỳ, phòng, công tơ/đơn vị nếu áp dụng, đơn giá, sản lượng, thành tiền và người nhập.</w:t>
      </w:r>
    </w:p>
    <w:p>
      <w:pPr>
        <w:widowControl/>
      </w:pPr>
      <w:r>
        <w:rPr>
          <w:b/>
        </w:rPr>
        <w:t xml:space="preserve">Ngoại lệ / kiểm soát ĐX: </w:t>
      </w:r>
      <w:r>
        <w:t>Chỉ số cuối nhỏ hơn đầu cần luồng thay/reset công tơ; không tự tính âm hoặc lấy trị tuyệt đối.</w:t>
      </w:r>
    </w:p>
    <w:p>
      <w:pPr>
        <w:widowControl/>
      </w:pPr>
      <w:r>
        <w:rPr>
          <w:b/>
        </w:rPr>
        <w:t xml:space="preserve">AC-FR-FIN-02-1: </w:t>
      </w:r>
      <w:r>
        <w:t>Theo phương án chỉ số, 1120 − 1000 tạo sản lượng 120 theo công thức được duyệt.</w:t>
      </w:r>
    </w:p>
    <w:p>
      <w:pPr>
        <w:widowControl/>
      </w:pPr>
      <w:r>
        <w:rPr>
          <w:b/>
        </w:rPr>
        <w:t xml:space="preserve">AC-FR-FIN-02-2: </w:t>
      </w:r>
      <w:r>
        <w:t>Thiếu chỉ số hoặc đơn giá báo rõ dòng chưa đủ điều kiện, không phát hành nhầm.</w:t>
      </w:r>
    </w:p>
    <w:p>
      <w:pPr>
        <w:pStyle w:val="Heading3"/>
        <w:widowControl/>
      </w:pPr>
      <w:r>
        <w:t>FR-FIN-03 — Ghi nhận thu tiền và phân bổ</w:t>
      </w:r>
    </w:p>
    <w:p>
      <w:pPr>
        <w:pStyle w:val="SourceText"/>
        <w:keepNext/>
        <w:widowControl/>
      </w:pPr>
      <w:r>
        <w:t>Tác nhân: NV vận hành / Kế toán • N/ĐX • P1 • Nguồn: S1 §2/§4.3/§5; BA • Điểm mở: OI-06</w:t>
      </w:r>
    </w:p>
    <w:p>
      <w:pPr>
        <w:widowControl/>
      </w:pPr>
      <w:r>
        <w:rPr>
          <w:b/>
        </w:rPr>
        <w:t xml:space="preserve">Yêu cầu: </w:t>
      </w:r>
      <w:r>
        <w:t>Hệ thống phải ghi nhận khoản khách đã trả và liên kết tới hóa đơn; phương án thu một phần/nhiều hóa đơn là ĐX cần duyệt.</w:t>
      </w:r>
    </w:p>
    <w:p>
      <w:pPr>
        <w:widowControl/>
      </w:pPr>
      <w:r>
        <w:rPr>
          <w:b/>
        </w:rPr>
        <w:t xml:space="preserve">Dữ liệu / kết quả: </w:t>
      </w:r>
      <w:r>
        <w:t>Ngày thu, người thu, số tiền, cách thu, bằng chứng và phân bổ; không bao hàm chuyển tiền ngân hàng.</w:t>
      </w:r>
    </w:p>
    <w:p>
      <w:pPr>
        <w:widowControl/>
      </w:pPr>
      <w:r>
        <w:rPr>
          <w:b/>
        </w:rPr>
        <w:t xml:space="preserve">Ngoại lệ / kiểm soát ĐX: </w:t>
      </w:r>
      <w:r>
        <w:t>Chặn số tiền âm và phân bổ lớn hơn khoản thu; xử lý tiền thừa và sửa sai chờ quy tắc được duyệt.</w:t>
      </w:r>
    </w:p>
    <w:p>
      <w:pPr>
        <w:widowControl/>
      </w:pPr>
      <w:r>
        <w:rPr>
          <w:b/>
        </w:rPr>
        <w:t xml:space="preserve">AC-FR-FIN-03-1: </w:t>
      </w:r>
      <w:r>
        <w:t>Thu 3.000.000 trên hóa đơn 4.980.000 còn 1.980.000 nếu OI-06 chấp thuận thu một phần.</w:t>
      </w:r>
    </w:p>
    <w:p>
      <w:pPr>
        <w:widowControl/>
      </w:pPr>
      <w:r>
        <w:rPr>
          <w:b/>
        </w:rPr>
        <w:t xml:space="preserve">AC-FR-FIN-03-2: </w:t>
      </w:r>
      <w:r>
        <w:t>Gửi lại cùng yêu cầu thu không tăng tổng đã thu hai lần.</w:t>
      </w:r>
    </w:p>
    <w:p>
      <w:pPr>
        <w:pStyle w:val="Heading3"/>
        <w:widowControl/>
      </w:pPr>
      <w:r>
        <w:t>FR-FIN-04 — Theo dõi khoản phải thu và quá hạn</w:t>
      </w:r>
    </w:p>
    <w:p>
      <w:pPr>
        <w:pStyle w:val="SourceText"/>
        <w:keepNext/>
        <w:widowControl/>
      </w:pPr>
      <w:r>
        <w:t>Tác nhân: Kế toán / Vận hành / System • N/G • P1 • Nguồn: S1 §4.4/§5 • Điểm mở: OI-08</w:t>
      </w:r>
    </w:p>
    <w:p>
      <w:pPr>
        <w:widowControl/>
      </w:pPr>
      <w:r>
        <w:t>Yêu cầu: Hệ thống phải giữ số dư chưa thanh toán và chuyển sang trạng thái cần xử lý Công nợ sau đúng 5 ngày kể từ khi phát hành hóa đơn; vẫn hiển thị tách biệt Còn phải thu và Quá hạn.</w:t>
      </w:r>
    </w:p>
    <w:p>
      <w:pPr>
        <w:widowControl/>
      </w:pPr>
      <w:r>
        <w:rPr>
          <w:b/>
        </w:rPr>
        <w:t xml:space="preserve">Dữ liệu / kết quả: </w:t>
      </w:r>
      <w:r>
        <w:t>Số dư, tuổi nợ, ngày quá hạn, trạng thái cần nhắc; không xóa số dư ở giai đoạn chưa đạt ngưỡng.</w:t>
      </w:r>
    </w:p>
    <w:p>
      <w:pPr>
        <w:widowControl/>
      </w:pPr>
      <w:r>
        <w:rPr>
          <w:b/>
        </w:rPr>
        <w:t xml:space="preserve">Ngoại lệ / kiểm soát ĐX: </w:t>
      </w:r>
      <w:r>
        <w:t>ĐX tách trạng thái thanh toán khỏi nhãn quá hạn; số ngày tính theo lịch và múi giờ được duyệt.</w:t>
      </w:r>
    </w:p>
    <w:p>
      <w:pPr>
        <w:widowControl/>
      </w:pPr>
      <w:r>
        <w:t>AC-FR-FIN-04-1: Hóa đơn chưa thu vẫn hiện số tiền còn phải thu; sau đúng 5 ngày kể từ khi phát hành, bản ghi được đánh dấu cần xử lý Công nợ.</w:t>
      </w:r>
    </w:p>
    <w:p>
      <w:pPr>
        <w:widowControl/>
      </w:pPr>
      <w:r>
        <w:rPr>
          <w:b/>
        </w:rPr>
        <w:t xml:space="preserve">AC-FR-FIN-04-2: </w:t>
      </w:r>
      <w:r>
        <w:t>Khi thu đủ, hóa đơn ra khỏi danh sách cần nhắc nợ ở lần kiểm tra tiếp theo.</w:t>
      </w:r>
    </w:p>
    <w:p>
      <w:pPr>
        <w:pStyle w:val="Heading3"/>
        <w:widowControl/>
      </w:pPr>
      <w:r>
        <w:t>FR-FIN-05 — Chi phí và phân bổ theo tòa</w:t>
      </w:r>
    </w:p>
    <w:p>
      <w:pPr>
        <w:pStyle w:val="SourceText"/>
        <w:keepNext/>
        <w:widowControl/>
      </w:pPr>
      <w:r>
        <w:t>Tác nhân: Kế toán • N/G • P1 • Nguồn: S1 §4.2.C/§4.4/§4.6 • Điểm mở: OI-10/11/13</w:t>
      </w:r>
    </w:p>
    <w:p>
      <w:pPr>
        <w:widowControl/>
      </w:pPr>
      <w:r>
        <w:rPr>
          <w:b/>
        </w:rPr>
        <w:t xml:space="preserve">Yêu cầu: </w:t>
      </w:r>
      <w:r>
        <w:t>Hệ thống phải ghi chi phí và liên kết tòa phục vụ tổng hợp; cơ chế phân bổ chi phí chung cần phê duyệt.</w:t>
      </w:r>
    </w:p>
    <w:p>
      <w:pPr>
        <w:widowControl/>
      </w:pPr>
      <w:r>
        <w:rPr>
          <w:b/>
        </w:rPr>
        <w:t xml:space="preserve">Dữ liệu / kết quả: </w:t>
      </w:r>
      <w:r>
        <w:t>Nhóm chi, kỳ, số tiền, tòa, chứng từ, loại tiền mặt/khấu hao phục vụ báo cáo quản trị.</w:t>
      </w:r>
    </w:p>
    <w:p>
      <w:pPr>
        <w:widowControl/>
      </w:pPr>
      <w:r>
        <w:rPr>
          <w:b/>
        </w:rPr>
        <w:t xml:space="preserve">Ngoại lệ / kiểm soát ĐX: </w:t>
      </w:r>
      <w:r>
        <w:t>Tổng phân bổ không được vượt khoản gốc; không tự coi mua thiết bị là toàn bộ chi phí vận hành kỳ.</w:t>
      </w:r>
    </w:p>
    <w:p>
      <w:pPr>
        <w:widowControl/>
      </w:pPr>
      <w:r>
        <w:rPr>
          <w:b/>
        </w:rPr>
        <w:t xml:space="preserve">AC-FR-FIN-05-1: </w:t>
      </w:r>
      <w:r>
        <w:t>Khoản chi riêng tòa A không xuất hiện vào chi phí tòa B.</w:t>
      </w:r>
    </w:p>
    <w:p>
      <w:pPr>
        <w:widowControl/>
      </w:pPr>
      <w:r>
        <w:rPr>
          <w:b/>
        </w:rPr>
        <w:t xml:space="preserve">AC-FR-FIN-05-2: </w:t>
      </w:r>
      <w:r>
        <w:t>Khoản chi chung phân bổ có tổng các phần khớp khoản gốc sau quy tắc làm tròn được duyệt.</w:t>
      </w:r>
    </w:p>
    <w:p>
      <w:pPr>
        <w:pStyle w:val="Heading3"/>
        <w:widowControl/>
      </w:pPr>
      <w:r>
        <w:t>FR-FIN-06 — Lập phương án hoàn cọc</w:t>
      </w:r>
    </w:p>
    <w:p>
      <w:pPr>
        <w:pStyle w:val="SourceText"/>
        <w:keepNext/>
        <w:widowControl/>
      </w:pPr>
      <w:r>
        <w:t>Tác nhân: Vận hành / Kế toán • N • P1 • Nguồn: S1 §4.4/§5 • Điểm mở: OI-07</w:t>
      </w:r>
    </w:p>
    <w:p>
      <w:pPr>
        <w:widowControl/>
      </w:pPr>
      <w:r>
        <w:rPr>
          <w:b/>
        </w:rPr>
        <w:t xml:space="preserve">Yêu cầu: </w:t>
      </w:r>
      <w:r>
        <w:t>Hệ thống phải lập hồ sơ hoàn cọc liên kết hợp đồng và các hạng mục khấu trừ theo bảng đơn giá.</w:t>
      </w:r>
    </w:p>
    <w:p>
      <w:pPr>
        <w:widowControl/>
      </w:pPr>
      <w:r>
        <w:rPr>
          <w:b/>
        </w:rPr>
        <w:t xml:space="preserve">Dữ liệu / kết quả: </w:t>
      </w:r>
      <w:r>
        <w:t>Cọc thực giữ, hiện trạng, hạng mục, số lượng, đơn giá, bằng chứng, số đề nghị hoàn.</w:t>
      </w:r>
    </w:p>
    <w:p>
      <w:pPr>
        <w:widowControl/>
      </w:pPr>
      <w:r>
        <w:rPr>
          <w:b/>
        </w:rPr>
        <w:t xml:space="preserve">Ngoại lệ / kiểm soát ĐX: </w:t>
      </w:r>
      <w:r>
        <w:t>Không mặc định bù nợ, phạt phá HĐ hoặc trả số âm; phương án vượt cọc chuyển xử lý theo OI-07.</w:t>
      </w:r>
    </w:p>
    <w:p>
      <w:pPr>
        <w:widowControl/>
      </w:pPr>
      <w:r>
        <w:rPr>
          <w:b/>
        </w:rPr>
        <w:t xml:space="preserve">AC-FR-FIN-06-1: </w:t>
      </w:r>
      <w:r>
        <w:t>Cọc 5.000.000 trừ 700.000 cho kết quả dự kiến 4.300.000 khi không có khoản khác.</w:t>
      </w:r>
    </w:p>
    <w:p>
      <w:pPr>
        <w:widowControl/>
      </w:pPr>
      <w:r>
        <w:rPr>
          <w:b/>
        </w:rPr>
        <w:t xml:space="preserve">AC-FR-FIN-06-2: </w:t>
      </w:r>
      <w:r>
        <w:t>Thiếu căn cứ khấu trừ được đánh dấu trước khi trình duyệt, không tự bịa mức phí.</w:t>
      </w:r>
    </w:p>
    <w:p>
      <w:pPr>
        <w:pStyle w:val="Heading3"/>
        <w:widowControl/>
      </w:pPr>
      <w:r>
        <w:t>FR-FIN-07 — Duyệt và ghi nhận hoàn cọc</w:t>
      </w:r>
    </w:p>
    <w:p>
      <w:pPr>
        <w:pStyle w:val="SourceText"/>
        <w:keepNext/>
        <w:widowControl/>
      </w:pPr>
      <w:r>
        <w:t>Tác nhân: Admin / Kế toán • N/ĐX • P1 • Nguồn: S1 §2/§4.4/§5 • Điểm mở: OI-07</w:t>
      </w:r>
    </w:p>
    <w:p>
      <w:pPr>
        <w:widowControl/>
      </w:pPr>
      <w:r>
        <w:t>Yêu cầu: Hệ thống phải cho Admin/Kế toán duyệt hoặc từ chối phương án; chỉ ghi nhận hoàn thực tế khi có thông tin chi trả. Khấu trừ gồm 200.000đ/phòng và chi phí thực tế theo hồ sơ.</w:t>
      </w:r>
    </w:p>
    <w:p>
      <w:pPr>
        <w:widowControl/>
      </w:pPr>
      <w:r>
        <w:rPr>
          <w:b/>
        </w:rPr>
        <w:t xml:space="preserve">Dữ liệu / kết quả: </w:t>
      </w:r>
      <w:r>
        <w:t>Trạng thái trình, duyệt, từ chối, đã hoàn; người duyệt, số đã duyệt, ngày và khoản thực hoàn.</w:t>
      </w:r>
    </w:p>
    <w:p>
      <w:pPr>
        <w:widowControl/>
      </w:pPr>
      <w:r>
        <w:rPr>
          <w:b/>
        </w:rPr>
        <w:t xml:space="preserve">Ngoại lệ / kiểm soát ĐX: </w:t>
      </w:r>
      <w:r>
        <w:t>Sửa số đề nghị sau duyệt cần duyệt lại; duyệt không có nghĩa là đã chuyển tiền; chống ghi hoàn trùng.</w:t>
      </w:r>
    </w:p>
    <w:p>
      <w:pPr>
        <w:widowControl/>
      </w:pPr>
      <w:r>
        <w:t>AC-FR-FIN-07-1: Chỉ Admin hoặc Kế toán được duyệt/từ chối hồ sơ hoàn cọc; người không có vai trò này không được duyệt qua UI hoặc API.</w:t>
      </w:r>
    </w:p>
    <w:p>
      <w:pPr>
        <w:widowControl/>
      </w:pPr>
      <w:r>
        <w:rPr>
          <w:b/>
        </w:rPr>
        <w:t xml:space="preserve">AC-FR-FIN-07-2: </w:t>
      </w:r>
      <w:r>
        <w:t>Sau từ chối, hồ sơ quay lại chỉnh sửa; chưa ghi nhận chi tiền hoặc gửi tin đã hoàn.</w:t>
      </w:r>
    </w:p>
    <w:p>
      <w:pPr>
        <w:pStyle w:val="Heading3"/>
        <w:widowControl/>
      </w:pPr>
      <w:r>
        <w:t>FR-FIN-08 — Điều chỉnh chứng từ và khóa kỳ</w:t>
      </w:r>
    </w:p>
    <w:p>
      <w:pPr>
        <w:pStyle w:val="SourceText"/>
        <w:keepNext/>
        <w:widowControl/>
      </w:pPr>
      <w:r>
        <w:t>Tác nhân: Kế toán / người duyệt TBD • ĐX • P1 • Nguồn: BA từ S1 §4.6 dữ liệu chốt sổ • Điểm mở: OI-06/13</w:t>
      </w:r>
    </w:p>
    <w:p>
      <w:pPr>
        <w:widowControl/>
      </w:pPr>
      <w:r>
        <w:rPr>
          <w:b/>
        </w:rPr>
        <w:t xml:space="preserve">Yêu cầu: </w:t>
      </w:r>
      <w:r>
        <w:t>Hệ thống phải bảo toàn lịch sử chứng từ phát hành và báo cáo đã chốt, hỗ trợ điều chỉnh theo quyền/phương án được duyệt.</w:t>
      </w:r>
    </w:p>
    <w:p>
      <w:pPr>
        <w:widowControl/>
      </w:pPr>
      <w:r>
        <w:rPr>
          <w:b/>
        </w:rPr>
        <w:t xml:space="preserve">Dữ liệu / kết quả: </w:t>
      </w:r>
      <w:r>
        <w:t>Chứng từ điều chỉnh, lý do, liên kết bản gốc, kỳ hiệu lực và lịch sử duyệt nếu được yêu cầu.</w:t>
      </w:r>
    </w:p>
    <w:p>
      <w:pPr>
        <w:widowControl/>
      </w:pPr>
      <w:r>
        <w:rPr>
          <w:b/>
        </w:rPr>
        <w:t xml:space="preserve">Ngoại lệ / kiểm soát ĐX: </w:t>
      </w:r>
      <w:r>
        <w:t>Không sửa đè tổng hóa đơn đã thu hoặc kỳ đã khóa; không tự thêm workflow duyệt nhiều cấp.</w:t>
      </w:r>
    </w:p>
    <w:p>
      <w:pPr>
        <w:widowControl/>
      </w:pPr>
      <w:r>
        <w:rPr>
          <w:b/>
        </w:rPr>
        <w:t xml:space="preserve">AC-FR-FIN-08-1: </w:t>
      </w:r>
      <w:r>
        <w:t>Cập nhật danh mục không thay báo cáo kỳ đã chốt.</w:t>
      </w:r>
    </w:p>
    <w:p>
      <w:pPr>
        <w:widowControl/>
      </w:pPr>
      <w:r>
        <w:rPr>
          <w:b/>
        </w:rPr>
        <w:t xml:space="preserve">AC-FR-FIN-08-2: </w:t>
      </w:r>
      <w:r>
        <w:t>Điều chỉnh hợp lệ giữ được số trước/sau và truy vết về chứng từ gốc.</w:t>
      </w:r>
    </w:p>
    <w:p>
      <w:pPr>
        <w:pStyle w:val="Heading2"/>
        <w:widowControl/>
      </w:pPr>
      <w:r>
        <w:t>4.5. Kinh doanh — SAL</w:t>
      </w:r>
    </w:p>
    <w:p>
      <w:pPr>
        <w:pStyle w:val="Heading3"/>
        <w:widowControl/>
      </w:pPr>
      <w:r>
        <w:t>FR-SAL-01 — Lead và nguồn khách</w:t>
      </w:r>
    </w:p>
    <w:p>
      <w:pPr>
        <w:pStyle w:val="SourceText"/>
        <w:keepNext/>
        <w:widowControl/>
      </w:pPr>
      <w:r>
        <w:t>Tác nhân: Sale / Trưởng nhóm KD • N/ĐX • P1 • Nguồn: S1 §2/§4.5/§5 • Điểm mở: OI-02/14</w:t>
      </w:r>
    </w:p>
    <w:p>
      <w:pPr>
        <w:widowControl/>
      </w:pPr>
      <w:r>
        <w:rPr>
          <w:b/>
        </w:rPr>
        <w:t xml:space="preserve">Yêu cầu: </w:t>
      </w:r>
      <w:r>
        <w:t>Hệ thống phải ghi nhận lead, nguồn khách, người phụ trách và kết quả xem/chốt phòng.</w:t>
      </w:r>
    </w:p>
    <w:p>
      <w:pPr>
        <w:widowControl/>
      </w:pPr>
      <w:r>
        <w:rPr>
          <w:b/>
        </w:rPr>
        <w:t xml:space="preserve">Dữ liệu / kết quả: </w:t>
      </w:r>
      <w:r>
        <w:t>Nguồn: Facebook, Zalo, Giới thiệu, Đối tác môi giới, Website, Khác; danh mục trạng thái cần chốt.</w:t>
      </w:r>
    </w:p>
    <w:p>
      <w:pPr>
        <w:widowControl/>
      </w:pPr>
      <w:r>
        <w:rPr>
          <w:b/>
        </w:rPr>
        <w:t xml:space="preserve">Ngoại lệ / kiểm soát ĐX: </w:t>
      </w:r>
      <w:r>
        <w:t>Lead trùng SĐT cần cảnh báo và xử lý phân công; không tự chuyển quyền sở hữu lead.</w:t>
      </w:r>
    </w:p>
    <w:p>
      <w:pPr>
        <w:widowControl/>
      </w:pPr>
      <w:r>
        <w:rPr>
          <w:b/>
        </w:rPr>
        <w:t xml:space="preserve">AC-FR-SAL-01-1: </w:t>
      </w:r>
      <w:r>
        <w:t>Sale tra cứu được lead của mình và các trạng thái đã ghi nhận.</w:t>
      </w:r>
    </w:p>
    <w:p>
      <w:pPr>
        <w:widowControl/>
      </w:pPr>
      <w:r>
        <w:rPr>
          <w:b/>
        </w:rPr>
        <w:t xml:space="preserve">AC-FR-SAL-01-2: </w:t>
      </w:r>
      <w:r>
        <w:t>Trưởng nhóm chỉ xem team khi quyền này được duyệt; không mặc định xem mọi Sale.</w:t>
      </w:r>
    </w:p>
    <w:p>
      <w:pPr>
        <w:pStyle w:val="Heading3"/>
        <w:widowControl/>
      </w:pPr>
      <w:r>
        <w:t>FR-SAL-02 — Giữ chỗ và chốt giao dịch</w:t>
      </w:r>
    </w:p>
    <w:p>
      <w:pPr>
        <w:pStyle w:val="SourceText"/>
        <w:keepNext/>
        <w:widowControl/>
      </w:pPr>
      <w:r>
        <w:t>Tác nhân: Sale / Vận hành • N/G • P1 • Nguồn: S1 §4.5/§5/§6 • Điểm mở: OI-09/14</w:t>
      </w:r>
    </w:p>
    <w:p>
      <w:pPr>
        <w:widowControl/>
      </w:pPr>
      <w:r>
        <w:rPr>
          <w:b/>
        </w:rPr>
        <w:t xml:space="preserve">Yêu cầu: </w:t>
      </w:r>
      <w:r>
        <w:t>Hệ thống phải ghi nhận kết quả chốt thuê liên kết phòng, khách, hợp đồng và cá nhân chốt.</w:t>
      </w:r>
    </w:p>
    <w:p>
      <w:pPr>
        <w:widowControl/>
      </w:pPr>
      <w:r>
        <w:rPr>
          <w:b/>
        </w:rPr>
        <w:t xml:space="preserve">Dữ liệu / kết quả: </w:t>
      </w:r>
      <w:r>
        <w:t>Trạng thái đang chờ/giữ chỗ trong nguồn; thời hạn giữ, tiền giữ chỗ và hủy còn mở.</w:t>
      </w:r>
    </w:p>
    <w:p>
      <w:pPr>
        <w:widowControl/>
      </w:pPr>
      <w:r>
        <w:rPr>
          <w:b/>
        </w:rPr>
        <w:t xml:space="preserve">Ngoại lệ / kiểm soát ĐX: </w:t>
      </w:r>
      <w:r>
        <w:t>Kiểm tra lại khả dụng tại thời điểm chốt; giao dịch bán không tự chứng minh khách đã thanh toán.</w:t>
      </w:r>
    </w:p>
    <w:p>
      <w:pPr>
        <w:widowControl/>
      </w:pPr>
      <w:r>
        <w:rPr>
          <w:b/>
        </w:rPr>
        <w:t xml:space="preserve">AC-FR-SAL-02-1: </w:t>
      </w:r>
      <w:r>
        <w:t>Hai Sale cùng chốt một phòng/khoảng thuê chỉ được một giao dịch hợp lệ theo chính sách được duyệt.</w:t>
      </w:r>
    </w:p>
    <w:p>
      <w:pPr>
        <w:widowControl/>
      </w:pPr>
      <w:r>
        <w:rPr>
          <w:b/>
        </w:rPr>
        <w:t xml:space="preserve">AC-FR-SAL-02-2: </w:t>
      </w:r>
      <w:r>
        <w:t>Phòng chưa dọn xong không được đánh dấu sẵn sàng nhận khách.</w:t>
      </w:r>
    </w:p>
    <w:p>
      <w:pPr>
        <w:pStyle w:val="Heading3"/>
        <w:widowControl/>
      </w:pPr>
      <w:r>
        <w:t>FR-SAL-03 — Tính và theo dõi hoa hồng</w:t>
      </w:r>
    </w:p>
    <w:p>
      <w:pPr>
        <w:pStyle w:val="SourceText"/>
        <w:keepNext/>
        <w:widowControl/>
      </w:pPr>
      <w:r>
        <w:t>Tác nhân: Sale / Kế toán • G • P1 • Nguồn: S1 §4.5, §9.4 • Điểm mở: OI-14</w:t>
      </w:r>
    </w:p>
    <w:p>
      <w:pPr>
        <w:widowControl/>
      </w:pPr>
      <w:r>
        <w:t>Yêu cầu: Hệ thống phải tính hoa hồng theo % cố định cho Sale cá nhân và ghi nhận đủ điều kiện chi sau khi khách đóng đủ cọc và ký hợp đồng; không tự tạo đợt chi bổ sung.</w:t>
      </w:r>
    </w:p>
    <w:p>
      <w:pPr>
        <w:widowControl/>
      </w:pPr>
      <w:r>
        <w:rPr>
          <w:b/>
        </w:rPr>
        <w:t xml:space="preserve">Dữ liệu / kết quả: </w:t>
      </w:r>
      <w:r>
        <w:t>Tỷ lệ, cơ sở giá trị hợp đồng, cá nhân, điều kiện hợp đồng hiệu lực và thu đủ một cọc, khoản chi hoa hồng.</w:t>
      </w:r>
    </w:p>
    <w:p>
      <w:pPr>
        <w:widowControl/>
      </w:pPr>
      <w:r>
        <w:rPr>
          <w:b/>
        </w:rPr>
        <w:t xml:space="preserve">Ngoại lệ / kiểm soát ĐX: </w:t>
      </w:r>
      <w:r>
        <w:t>Chưa rõ giá trị hợp đồng là tổng kỳ thuê hay tháng đầu; không tự chọn; hoàn/hủy thanh toán phải đánh giá lại điều kiện.</w:t>
      </w:r>
    </w:p>
    <w:p>
      <w:pPr>
        <w:widowControl/>
      </w:pPr>
      <w:r>
        <w:t>AC-FR-SAL-03-1: Khi khách đã đóng đủ cọc và ký hợp đồng, hoa hồng Sale cá nhân được đánh dấu đủ điều kiện chi; không chờ điều kiện hợp đồng hiệu lực và thu đủ một cọc.</w:t>
      </w:r>
    </w:p>
    <w:p>
      <w:pPr>
        <w:widowControl/>
      </w:pPr>
      <w:r>
        <w:rPr>
          <w:b/>
        </w:rPr>
        <w:t xml:space="preserve">AC-FR-SAL-03-2: </w:t>
      </w:r>
      <w:r>
        <w:t>Khi đủ điều kiện và đã chi, lịch sử ghi rõ khoản chi một lần, không tính lại thành khoản mới.</w:t>
      </w:r>
    </w:p>
    <w:p>
      <w:pPr>
        <w:pStyle w:val="Heading2"/>
        <w:widowControl/>
      </w:pPr>
      <w:r>
        <w:t>4.6. Nhân sự — HR</w:t>
      </w:r>
    </w:p>
    <w:p>
      <w:pPr>
        <w:pStyle w:val="Heading3"/>
        <w:widowControl/>
      </w:pPr>
      <w:r>
        <w:t>FR-HR-01 — Hồ sơ và trạng thái nhân sự</w:t>
      </w:r>
    </w:p>
    <w:p>
      <w:pPr>
        <w:pStyle w:val="SourceText"/>
        <w:keepNext/>
        <w:widowControl/>
      </w:pPr>
      <w:r>
        <w:t>Tác nhân: HR / Trưởng phòng theo quyền duyệt • N/G • P1 • Nguồn: S1 §3/§4.7 • Điểm mở: OI-02/15</w:t>
      </w:r>
    </w:p>
    <w:p>
      <w:pPr>
        <w:widowControl/>
      </w:pPr>
      <w:r>
        <w:rPr>
          <w:b/>
        </w:rPr>
        <w:t xml:space="preserve">Yêu cầu: </w:t>
      </w:r>
      <w:r>
        <w:t>Hệ thống phải lưu nhân sự, chức danh và các trạng thái Đang làm, Thử việc, Nghỉ việc.</w:t>
      </w:r>
    </w:p>
    <w:p>
      <w:pPr>
        <w:widowControl/>
      </w:pPr>
      <w:r>
        <w:rPr>
          <w:b/>
        </w:rPr>
        <w:t xml:space="preserve">Dữ liệu / kết quả: </w:t>
      </w:r>
      <w:r>
        <w:t>Thông tin hồ sơ, đơn vị, ngày hiệu lực và liên hệ tài khoản là ĐX.</w:t>
      </w:r>
    </w:p>
    <w:p>
      <w:pPr>
        <w:widowControl/>
      </w:pPr>
      <w:r>
        <w:rPr>
          <w:b/>
        </w:rPr>
        <w:t xml:space="preserve">Ngoại lệ / kiểm soát ĐX: </w:t>
      </w:r>
      <w:r>
        <w:t>Nghỉ việc không xóa người lập chứng từ cũ; HR không mặc định có quyền tài chính.</w:t>
      </w:r>
    </w:p>
    <w:p>
      <w:pPr>
        <w:widowControl/>
      </w:pPr>
      <w:r>
        <w:rPr>
          <w:b/>
        </w:rPr>
        <w:t xml:space="preserve">AC-FR-HR-01-1: </w:t>
      </w:r>
      <w:r>
        <w:t>Đổi trạng thái nghỉ việc vẫn giữ tên tham chiếu trên giao dịch đã lập.</w:t>
      </w:r>
    </w:p>
    <w:p>
      <w:pPr>
        <w:widowControl/>
      </w:pPr>
      <w:r>
        <w:rPr>
          <w:b/>
        </w:rPr>
        <w:t xml:space="preserve">AC-FR-HR-01-2: </w:t>
      </w:r>
      <w:r>
        <w:t>Người không có quyền nhân sự không truy cập được trường lương qua dữ liệu trả về.</w:t>
      </w:r>
    </w:p>
    <w:p>
      <w:pPr>
        <w:pStyle w:val="Heading3"/>
        <w:widowControl/>
      </w:pPr>
      <w:r>
        <w:t>FR-HR-02 — Bảng lương và phụ cấp</w:t>
      </w:r>
    </w:p>
    <w:p>
      <w:pPr>
        <w:pStyle w:val="SourceText"/>
        <w:keepNext/>
        <w:widowControl/>
      </w:pPr>
      <w:r>
        <w:t>Tác nhân: HR / Kế toán theo quyền duyệt • G • P2 • Nguồn: S1 §4.7, §9.8 • Điểm mở: OI-15</w:t>
      </w:r>
    </w:p>
    <w:p>
      <w:pPr>
        <w:widowControl/>
      </w:pPr>
      <w:r>
        <w:rPr>
          <w:b/>
        </w:rPr>
        <w:t xml:space="preserve">Yêu cầu: </w:t>
      </w:r>
      <w:r>
        <w:t>Hệ thống phải tổng hợp lương cứng, phụ cấp chức danh, phụ cấp số nhà cho vận hành và hoa hồng Sale theo kỳ.</w:t>
      </w:r>
    </w:p>
    <w:p>
      <w:pPr>
        <w:widowControl/>
      </w:pPr>
      <w:r>
        <w:rPr>
          <w:b/>
        </w:rPr>
        <w:t xml:space="preserve">Dữ liệu / kết quả: </w:t>
      </w:r>
      <w:r>
        <w:t>Thành phần lương, nguồn hoa hồng và số tòa được tính phụ cấp tại kỳ; công thức chưa được ký duyệt.</w:t>
      </w:r>
    </w:p>
    <w:p>
      <w:pPr>
        <w:widowControl/>
      </w:pPr>
      <w:r>
        <w:rPr>
          <w:b/>
        </w:rPr>
        <w:t xml:space="preserve">Ngoại lệ / kiểm soát ĐX: </w:t>
      </w:r>
      <w:r>
        <w:t>Chưa thêm chấm công, thuế hay bảo hiểm; không tính trùng hoa hồng ở hai module.</w:t>
      </w:r>
    </w:p>
    <w:p>
      <w:pPr>
        <w:widowControl/>
      </w:pPr>
      <w:r>
        <w:rPr>
          <w:b/>
        </w:rPr>
        <w:t xml:space="preserve">AC-FR-HR-02-1: </w:t>
      </w:r>
      <w:r>
        <w:t>Mỗi thành phần có căn cứ và kỳ tương ứng, khớp bộ bảng lương mẫu được khách hàng duyệt.</w:t>
      </w:r>
    </w:p>
    <w:p>
      <w:pPr>
        <w:widowControl/>
      </w:pPr>
      <w:r>
        <w:rPr>
          <w:b/>
        </w:rPr>
        <w:t xml:space="preserve">AC-FR-HR-02-2: </w:t>
      </w:r>
      <w:r>
        <w:t>Đổi phân công tòa kỳ sau không làm biến đổi kỳ lương đã chốt.</w:t>
      </w:r>
    </w:p>
    <w:p>
      <w:pPr>
        <w:pStyle w:val="Heading2"/>
        <w:widowControl/>
      </w:pPr>
      <w:r>
        <w:t>4.7. Tài liệu — DOC</w:t>
      </w:r>
    </w:p>
    <w:p>
      <w:pPr>
        <w:pStyle w:val="Heading3"/>
        <w:widowControl/>
      </w:pPr>
      <w:r>
        <w:t>FR-DOC-01 — Hồ sơ gắn đối tượng nghiệp vụ</w:t>
      </w:r>
    </w:p>
    <w:p>
      <w:pPr>
        <w:pStyle w:val="SourceText"/>
        <w:keepNext/>
        <w:widowControl/>
      </w:pPr>
      <w:r>
        <w:t>Tác nhân: Người có quyền trên đối tượng • N/ĐX • P1 • Nguồn: S1 §3/§4.2/§4.3 • Điểm mở: OI-22</w:t>
      </w:r>
    </w:p>
    <w:p>
      <w:pPr>
        <w:widowControl/>
      </w:pPr>
      <w:r>
        <w:rPr>
          <w:b/>
        </w:rPr>
        <w:t xml:space="preserve">Yêu cầu: </w:t>
      </w:r>
      <w:r>
        <w:t>Hệ thống phải lưu và truy cập tệp hợp đồng/hồ sơ theo chủ nhà, tòa hoặc khách liên quan.</w:t>
      </w:r>
    </w:p>
    <w:p>
      <w:pPr>
        <w:widowControl/>
      </w:pPr>
      <w:r>
        <w:rPr>
          <w:b/>
        </w:rPr>
        <w:t xml:space="preserve">Dữ liệu / kết quả: </w:t>
      </w:r>
      <w:r>
        <w:t>Tên tệp, loại hồ sơ, đối tượng liên kết, người tải, thời gian; thư viện tài liệu tổng quát chưa rõ.</w:t>
      </w:r>
    </w:p>
    <w:p>
      <w:pPr>
        <w:widowControl/>
      </w:pPr>
      <w:r>
        <w:rPr>
          <w:b/>
        </w:rPr>
        <w:t xml:space="preserve">Ngoại lệ / kiểm soát ĐX: </w:t>
      </w:r>
      <w:r>
        <w:t>ĐX PDF/JPG/PNG, giới hạn 20 MB/tệp để review; chặn tệp lỗi/không đúng định dạng, link tải không công khai.</w:t>
      </w:r>
    </w:p>
    <w:p>
      <w:pPr>
        <w:widowControl/>
      </w:pPr>
      <w:r>
        <w:rPr>
          <w:b/>
        </w:rPr>
        <w:t xml:space="preserve">AC-FR-DOC-01-1: </w:t>
      </w:r>
      <w:r>
        <w:t>Tải tệp lên khách A thì hồ sơ khách B không hiển thị tệp đó.</w:t>
      </w:r>
    </w:p>
    <w:p>
      <w:pPr>
        <w:widowControl/>
      </w:pPr>
      <w:r>
        <w:rPr>
          <w:b/>
        </w:rPr>
        <w:t xml:space="preserve">AC-FR-DOC-01-2: </w:t>
      </w:r>
      <w:r>
        <w:t>Người ngoài phạm vi không tải được tệp dù có đường dẫn; lỗi upload không tạo tệp ma.</w:t>
      </w:r>
    </w:p>
    <w:p>
      <w:pPr>
        <w:pStyle w:val="Heading3"/>
        <w:widowControl/>
      </w:pPr>
      <w:r>
        <w:t>FR-DOC-02 — Phân loại tài liệu theo tòa</w:t>
      </w:r>
    </w:p>
    <w:p>
      <w:pPr>
        <w:pStyle w:val="SourceText"/>
        <w:keepNext/>
        <w:widowControl/>
      </w:pPr>
      <w:r>
        <w:t>Tác nhân: Admin / người có quyền • G/ĐX • P2 • Nguồn: S1 §3 module Tài liệu • Điểm mở: OI-22</w:t>
      </w:r>
    </w:p>
    <w:p>
      <w:pPr>
        <w:widowControl/>
      </w:pPr>
      <w:r>
        <w:rPr>
          <w:b/>
        </w:rPr>
        <w:t xml:space="preserve">Yêu cầu: </w:t>
      </w:r>
      <w:r>
        <w:t>Nếu xác nhận module Tài liệu độc lập, hệ thống phải hỗ trợ danh sách tài liệu theo tòa và loại tài liệu đã chốt.</w:t>
      </w:r>
    </w:p>
    <w:p>
      <w:pPr>
        <w:widowControl/>
      </w:pPr>
      <w:r>
        <w:rPr>
          <w:b/>
        </w:rPr>
        <w:t xml:space="preserve">Dữ liệu / kết quả: </w:t>
      </w:r>
      <w:r>
        <w:t>Danh mục, từ khóa, quyền xem/tải; chia sẻ công khai, versioning và full-text search chưa được xác lập.</w:t>
      </w:r>
    </w:p>
    <w:p>
      <w:pPr>
        <w:widowControl/>
      </w:pPr>
      <w:r>
        <w:rPr>
          <w:b/>
        </w:rPr>
        <w:t xml:space="preserve">Ngoại lệ / kiểm soát ĐX: </w:t>
      </w:r>
      <w:r>
        <w:t>Không tự phát triển quản lý văn bản doanh nghiệp khi nguồn mới có tên module.</w:t>
      </w:r>
    </w:p>
    <w:p>
      <w:pPr>
        <w:widowControl/>
      </w:pPr>
      <w:r>
        <w:rPr>
          <w:b/>
        </w:rPr>
        <w:t xml:space="preserve">AC-FR-DOC-02-1: </w:t>
      </w:r>
      <w:r>
        <w:t>Tài liệu tòa A được tìm trong tòa A bởi người được cấp quyền.</w:t>
      </w:r>
    </w:p>
    <w:p>
      <w:pPr>
        <w:widowControl/>
      </w:pPr>
      <w:r>
        <w:rPr>
          <w:b/>
        </w:rPr>
        <w:t xml:space="preserve">AC-FR-DOC-02-2: </w:t>
      </w:r>
      <w:r>
        <w:t>Khi OI-22 chọn chỉ lưu file tại hồ sơ, FR này được loại khỏi baseline bằng quyết định rõ.</w:t>
      </w:r>
    </w:p>
    <w:p>
      <w:pPr>
        <w:pStyle w:val="Heading2"/>
        <w:widowControl/>
      </w:pPr>
      <w:r>
        <w:t>4.8. Báo cáo — REP</w:t>
      </w:r>
    </w:p>
    <w:p>
      <w:pPr>
        <w:pStyle w:val="Heading3"/>
        <w:widowControl/>
      </w:pPr>
      <w:r>
        <w:t>FR-REP-01 — Hiệu suất theo kỳ</w:t>
      </w:r>
    </w:p>
    <w:p>
      <w:pPr>
        <w:pStyle w:val="SourceText"/>
        <w:keepNext/>
        <w:widowControl/>
      </w:pPr>
      <w:r>
        <w:t>Tác nhân: Ban lãnh đạo / Quản lý • N/G • P1 • Nguồn: S1 §4.2.C/§4.6 • Điểm mở: OI-12/13</w:t>
      </w:r>
    </w:p>
    <w:p>
      <w:pPr>
        <w:widowControl/>
      </w:pPr>
      <w:r>
        <w:rPr>
          <w:b/>
        </w:rPr>
        <w:t xml:space="preserve">Yêu cầu: </w:t>
      </w:r>
      <w:r>
        <w:t>Hệ thống phải cung cấp hiệu suất tạm tính trong kỳ đang chạy và hiệu suất thực tế của kỳ đã chốt.</w:t>
      </w:r>
    </w:p>
    <w:p>
      <w:pPr>
        <w:widowControl/>
      </w:pPr>
      <w:r>
        <w:rPr>
          <w:b/>
        </w:rPr>
        <w:t xml:space="preserve">Dữ liệu / kết quả: </w:t>
      </w:r>
      <w:r>
        <w:t>Kỳ, tòa/khu vực, ngày có khách, ngày đủ điều kiện và thời điểm chốt; công thức tổng hợp cần duyệt.</w:t>
      </w:r>
    </w:p>
    <w:p>
      <w:pPr>
        <w:widowControl/>
      </w:pPr>
      <w:r>
        <w:rPr>
          <w:b/>
        </w:rPr>
        <w:t xml:space="preserve">Ngoại lệ / kiểm soát ĐX: </w:t>
      </w:r>
      <w:r>
        <w:t>Không lấy trung bình tỷ lệ các tòa nếu mẫu số khác nhau; tòa chưa có ngày đủ điều kiện hiển thị không áp dụng.</w:t>
      </w:r>
    </w:p>
    <w:p>
      <w:pPr>
        <w:widowControl/>
      </w:pPr>
      <w:r>
        <w:rPr>
          <w:b/>
        </w:rPr>
        <w:t xml:space="preserve">AC-FR-REP-01-1: </w:t>
      </w:r>
      <w:r>
        <w:t>Bộ mẫu 240 ngày có khách/300 ngày đủ điều kiện cho 80% sau khi quy tắc được duyệt.</w:t>
      </w:r>
    </w:p>
    <w:p>
      <w:pPr>
        <w:widowControl/>
      </w:pPr>
      <w:r>
        <w:rPr>
          <w:b/>
        </w:rPr>
        <w:t xml:space="preserve">AC-FR-REP-01-2: </w:t>
      </w:r>
      <w:r>
        <w:t>Báo cáo tạm tính có nhãn và ngày dữ liệu; báo cáo đã chốt giữ nguyên theo snapshot/phiên bản.</w:t>
      </w:r>
    </w:p>
    <w:p>
      <w:pPr>
        <w:pStyle w:val="Heading3"/>
        <w:widowControl/>
      </w:pPr>
      <w:r>
        <w:t>FR-REP-02 — Dòng tiền và kết quả vận hành theo tòa</w:t>
      </w:r>
    </w:p>
    <w:p>
      <w:pPr>
        <w:pStyle w:val="SourceText"/>
        <w:keepNext/>
        <w:widowControl/>
      </w:pPr>
      <w:r>
        <w:t>Tác nhân: Kế toán / Ban lãnh đạo • N/G • P1 • Nguồn: S1 §4.4/§4.6 • Điểm mở: OI-10/11/13</w:t>
      </w:r>
    </w:p>
    <w:p>
      <w:pPr>
        <w:widowControl/>
      </w:pPr>
      <w:r>
        <w:rPr>
          <w:b/>
        </w:rPr>
        <w:t xml:space="preserve">Yêu cầu: </w:t>
      </w:r>
      <w:r>
        <w:t>Hệ thống phải cung cấp báo cáo dòng tiền và báo cáo kinh doanh với các thành phần riêng theo định nghĩa khách hàng duyệt.</w:t>
      </w:r>
    </w:p>
    <w:p>
      <w:pPr>
        <w:widowControl/>
      </w:pPr>
      <w:r>
        <w:rPr>
          <w:b/>
        </w:rPr>
        <w:t xml:space="preserve">Dữ liệu / kết quả: </w:t>
      </w:r>
      <w:r>
        <w:t>Dòng tiền thực thu/chi; báo cáo vận hành loại trừ cọc mới/hoàn cọc/mua thiết bị theo nguồn; cách đưa khấu hao cần chốt.</w:t>
      </w:r>
    </w:p>
    <w:p>
      <w:pPr>
        <w:widowControl/>
      </w:pPr>
      <w:r>
        <w:rPr>
          <w:b/>
        </w:rPr>
        <w:t xml:space="preserve">Ngoại lệ / kiểm soát ĐX: </w:t>
      </w:r>
      <w:r>
        <w:t>Không coi tiền cọc là lợi nhuận chỉ vì đã thu; không dùng một công thức cho hai loại báo cáo.</w:t>
      </w:r>
    </w:p>
    <w:p>
      <w:pPr>
        <w:widowControl/>
      </w:pPr>
      <w:r>
        <w:rPr>
          <w:b/>
        </w:rPr>
        <w:t xml:space="preserve">AC-FR-REP-02-1: </w:t>
      </w:r>
      <w:r>
        <w:t>Cùng bộ chứng từ, người dùng truy được tổng mỗi nhóm về các khoản cấu thành.</w:t>
      </w:r>
    </w:p>
    <w:p>
      <w:pPr>
        <w:widowControl/>
      </w:pPr>
      <w:r>
        <w:rPr>
          <w:b/>
        </w:rPr>
        <w:t xml:space="preserve">AC-FR-REP-02-2: </w:t>
      </w:r>
      <w:r>
        <w:t>Cọc mới hiển thị đúng nhóm ở báo cáo dòng tiền và không bị cộng vào kết quả vận hành theo quy tắc nguồn.</w:t>
      </w:r>
    </w:p>
    <w:p>
      <w:pPr>
        <w:pStyle w:val="Heading3"/>
        <w:widowControl/>
      </w:pPr>
      <w:r>
        <w:t>FR-REP-03 — Báo cáo kinh doanh của nhà</w:t>
      </w:r>
    </w:p>
    <w:p>
      <w:pPr>
        <w:pStyle w:val="SourceText"/>
        <w:keepNext/>
        <w:widowControl/>
      </w:pPr>
      <w:r>
        <w:t>Tác nhân: Kế toán / Ban lãnh đạo • G • P2 • Nguồn: S1 §4.4, §9.5 • Điểm mở: OI-10</w:t>
      </w:r>
    </w:p>
    <w:p>
      <w:pPr>
        <w:widowControl/>
      </w:pPr>
      <w:r>
        <w:rPr>
          <w:b/>
        </w:rPr>
        <w:t xml:space="preserve">Yêu cầu: </w:t>
      </w:r>
      <w:r>
        <w:t>Hệ thống chỉ triển khai phép đối chiếu thu khách với tiền trả nhà cung cấp khi khách xác nhận đúng nghĩa báo cáo này.</w:t>
      </w:r>
    </w:p>
    <w:p>
      <w:pPr>
        <w:widowControl/>
      </w:pPr>
      <w:r>
        <w:rPr>
          <w:b/>
        </w:rPr>
        <w:t xml:space="preserve">Dữ liệu / kết quả: </w:t>
      </w:r>
      <w:r>
        <w:t>Mẫu báo cáo thật, kỳ, tòa, điện/nước/dịch vụ, cơ sở thu/chi là đầu vào cần chốt.</w:t>
      </w:r>
    </w:p>
    <w:p>
      <w:pPr>
        <w:widowControl/>
      </w:pPr>
      <w:r>
        <w:rPr>
          <w:b/>
        </w:rPr>
        <w:t xml:space="preserve">Ngoại lệ / kiểm soát ĐX: </w:t>
      </w:r>
      <w:r>
        <w:t>Không lấy ghi chú “hỏi Ngọc” làm công thức chính thức.</w:t>
      </w:r>
    </w:p>
    <w:p>
      <w:pPr>
        <w:widowControl/>
      </w:pPr>
      <w:r>
        <w:rPr>
          <w:b/>
        </w:rPr>
        <w:t xml:space="preserve">AC-FR-REP-03-1: </w:t>
      </w:r>
      <w:r>
        <w:t>Sau khi có mẫu, tổng chênh lệch khớp kết quả khách hàng xác nhận cho cùng dữ liệu.</w:t>
      </w:r>
    </w:p>
    <w:p>
      <w:pPr>
        <w:widowControl/>
      </w:pPr>
      <w:r>
        <w:rPr>
          <w:b/>
        </w:rPr>
        <w:t xml:space="preserve">AC-FR-REP-03-2: </w:t>
      </w:r>
      <w:r>
        <w:t>Khi thiếu số trả nhà cung cấp, báo cáo đánh dấu thiếu dữ liệu, không giả định bằng 0.</w:t>
      </w:r>
    </w:p>
    <w:p>
      <w:pPr>
        <w:pStyle w:val="Heading3"/>
        <w:widowControl/>
      </w:pPr>
      <w:r>
        <w:t>FR-REP-04 — Dự kiến lợi nhuận dòng tiền</w:t>
      </w:r>
    </w:p>
    <w:p>
      <w:pPr>
        <w:pStyle w:val="SourceText"/>
        <w:keepNext/>
        <w:widowControl/>
      </w:pPr>
      <w:r>
        <w:t>Tác nhân: Kế toán / Ban lãnh đạo • G • P2 • Nguồn: S1 §4.6, §9.6 • Điểm mở: OI-10</w:t>
      </w:r>
    </w:p>
    <w:p>
      <w:pPr>
        <w:widowControl/>
      </w:pPr>
      <w:r>
        <w:rPr>
          <w:b/>
        </w:rPr>
        <w:t xml:space="preserve">Yêu cầu: </w:t>
      </w:r>
      <w:r>
        <w:t>Hệ thống cung cấp dự kiến và điều chỉnh thủ công theo mô hình dự báo được duyệt; trung bình 3 tháng chỉ là phương án nguồn.</w:t>
      </w:r>
    </w:p>
    <w:p>
      <w:pPr>
        <w:widowControl/>
      </w:pPr>
      <w:r>
        <w:rPr>
          <w:b/>
        </w:rPr>
        <w:t xml:space="preserve">Dữ liệu / kết quả: </w:t>
      </w:r>
      <w:r>
        <w:t>Kỳ dự báo, dữ liệu nền, điều chỉnh, lý do, người cập nhật và phiên bản.</w:t>
      </w:r>
    </w:p>
    <w:p>
      <w:pPr>
        <w:widowControl/>
      </w:pPr>
      <w:r>
        <w:rPr>
          <w:b/>
        </w:rPr>
        <w:t xml:space="preserve">Ngoại lệ / kiểm soát ĐX: </w:t>
      </w:r>
      <w:r>
        <w:t>Không đủ 3 tháng cần chính sách riêng; dự kiến phải phân biệt thực tế, không tự ghi vào sổ.</w:t>
      </w:r>
    </w:p>
    <w:p>
      <w:pPr>
        <w:widowControl/>
      </w:pPr>
      <w:r>
        <w:rPr>
          <w:b/>
        </w:rPr>
        <w:t xml:space="preserve">AC-FR-REP-04-1: </w:t>
      </w:r>
      <w:r>
        <w:t>Thay khoản điều chỉnh dự báo không làm thay số thực tế đã chốt.</w:t>
      </w:r>
    </w:p>
    <w:p>
      <w:pPr>
        <w:widowControl/>
      </w:pPr>
      <w:r>
        <w:rPr>
          <w:b/>
        </w:rPr>
        <w:t xml:space="preserve">AC-FR-REP-04-2: </w:t>
      </w:r>
      <w:r>
        <w:t>Bộ ví dụ dự báo do khách hàng cung cấp cho kết quả trùng mô hình được duyệt.</w:t>
      </w:r>
    </w:p>
    <w:p>
      <w:pPr>
        <w:pStyle w:val="Heading3"/>
        <w:widowControl/>
      </w:pPr>
      <w:r>
        <w:t>FR-REP-05 — Phân khúc khách theo nghề nghiệp</w:t>
      </w:r>
    </w:p>
    <w:p>
      <w:pPr>
        <w:pStyle w:val="SourceText"/>
        <w:keepNext/>
        <w:widowControl/>
      </w:pPr>
      <w:r>
        <w:t>Tác nhân: Ban lãnh đạo / người quản trị danh mục • N • P2 • Nguồn: S1 §4.6 • Điểm mở: OI-19</w:t>
      </w:r>
    </w:p>
    <w:p>
      <w:pPr>
        <w:widowControl/>
      </w:pPr>
      <w:r>
        <w:t>Yêu cầu: Hệ thống phải lưu và lọc phân khúc khách theo dữ liệu được khai báo trực tiếp; không suy nhóm từ nghề nghiệp.</w:t>
      </w:r>
    </w:p>
    <w:p>
      <w:pPr>
        <w:widowControl/>
      </w:pPr>
      <w:r>
        <w:rPr>
          <w:b/>
        </w:rPr>
        <w:t xml:space="preserve">Dữ liệu / kết quả: </w:t>
      </w:r>
      <w:r>
        <w:t>Nghề nghiệp, phân khúc và hiệu lực ánh xạ; không yêu cầu nhập tay một trường nhóm trùng lặp.</w:t>
      </w:r>
    </w:p>
    <w:p>
      <w:pPr>
        <w:widowControl/>
      </w:pPr>
      <w:r>
        <w:rPr>
          <w:b/>
        </w:rPr>
        <w:t xml:space="preserve">Ngoại lệ / kiểm soát ĐX: </w:t>
      </w:r>
      <w:r>
        <w:t>Nghề nghiệp chưa ánh xạ phải thuộc nhóm chưa xác định, không tự phân loại.</w:t>
      </w:r>
    </w:p>
    <w:p>
      <w:pPr>
        <w:widowControl/>
      </w:pPr>
      <w:r>
        <w:t>AC-FR-REP-05-1: Phân khúc đã khai báo trực tiếp trên hồ sơ/hợp đồng được dùng khi lọc và báo cáo; hệ thống không tự suy luận từ nghề nghiệp.</w:t>
      </w:r>
    </w:p>
    <w:p>
      <w:pPr>
        <w:widowControl/>
      </w:pPr>
      <w:r>
        <w:rPr>
          <w:b/>
        </w:rPr>
        <w:t xml:space="preserve">AC-FR-REP-05-2: </w:t>
      </w:r>
      <w:r>
        <w:t>Thay ánh xạ không hồi tố báo cáo đã khóa nếu chính sách không cho phép.</w:t>
      </w:r>
    </w:p>
    <w:p>
      <w:pPr>
        <w:pStyle w:val="Heading2"/>
        <w:widowControl/>
      </w:pPr>
      <w:r>
        <w:t>4.9. Cổ đông — SHR</w:t>
      </w:r>
    </w:p>
    <w:p>
      <w:pPr>
        <w:pStyle w:val="Heading3"/>
        <w:widowControl/>
      </w:pPr>
      <w:r>
        <w:t>FR-SHR-01 — Ghi nhận vốn góp và lịch góp</w:t>
      </w:r>
    </w:p>
    <w:p>
      <w:pPr>
        <w:pStyle w:val="SourceText"/>
        <w:keepNext/>
        <w:widowControl/>
      </w:pPr>
      <w:r>
        <w:t>Tác nhân: Kế toán / người phụ trách vốn • N/G • P1 • Nguồn: S1 §4.8 • Điểm mở: OI-01/17</w:t>
      </w:r>
    </w:p>
    <w:p>
      <w:pPr>
        <w:widowControl/>
      </w:pPr>
      <w:r>
        <w:rPr>
          <w:b/>
        </w:rPr>
        <w:t xml:space="preserve">Yêu cầu: </w:t>
      </w:r>
      <w:r>
        <w:t>Hệ thống phải quản lý cổ đông, số vốn góp theo từng tòa và lịch góp vốn, tách biệt lịch trả lợi nhuận.</w:t>
      </w:r>
    </w:p>
    <w:p>
      <w:pPr>
        <w:widowControl/>
      </w:pPr>
      <w:r>
        <w:rPr>
          <w:b/>
        </w:rPr>
        <w:t xml:space="preserve">Dữ liệu / kết quả: </w:t>
      </w:r>
      <w:r>
        <w:t>Cổ đông, tòa, khoản cam kết, khoản thực góp, thời điểm, tài sản góp nếu được duyệt.</w:t>
      </w:r>
    </w:p>
    <w:p>
      <w:pPr>
        <w:widowControl/>
      </w:pPr>
      <w:r>
        <w:rPr>
          <w:b/>
        </w:rPr>
        <w:t xml:space="preserve">Ngoại lệ / kiểm soát ĐX: </w:t>
      </w:r>
      <w:r>
        <w:t>Không tự coi vốn cam kết là vốn thực góp; vốn bằng tài sản cần định giá và chứng từ được xác nhận.</w:t>
      </w:r>
    </w:p>
    <w:p>
      <w:pPr>
        <w:widowControl/>
      </w:pPr>
      <w:r>
        <w:t>AC-FR-SHR-01-1: Một cổ đông có thể được liên kết với nhiều tòa và mỗi tòa có tỷ lệ vốn nhập tay riêng.</w:t>
      </w:r>
    </w:p>
    <w:p>
      <w:pPr>
        <w:widowControl/>
      </w:pPr>
      <w:r>
        <w:t>AC-FR-SHR-01-2: Đến kỳ trả tiền chủ nhà của tòa, hệ thống sinh nghĩa vụ đóng góp định kỳ cho từng cổ đông theo tỷ lệ vốn và ghi nhận lịch sử đóng góp; không tự tạo giao dịch phân phối lợi nhuận.</w:t>
      </w:r>
    </w:p>
    <w:p>
      <w:pPr>
        <w:pStyle w:val="Heading3"/>
        <w:widowControl/>
      </w:pPr>
      <w:r>
        <w:t>FR-SHR-02 — Tỷ lệ và bảng phân phối theo kỳ</w:t>
      </w:r>
    </w:p>
    <w:p>
      <w:pPr>
        <w:pStyle w:val="SourceText"/>
        <w:keepNext/>
        <w:widowControl/>
      </w:pPr>
      <w:r>
        <w:t>Tác nhân: Kế toán / người duyệt TBD • G • P1 • Nguồn: S1 §4.8, §9.7 • Điểm mở: OI-17</w:t>
      </w:r>
    </w:p>
    <w:p>
      <w:pPr>
        <w:widowControl/>
      </w:pPr>
      <w:r>
        <w:t>Yêu cầu: Hệ thống phải lưu tỷ lệ vốn nhập tay theo từng tòa và sinh/lưu lịch đóng góp định kỳ theo lịch trả chủ nhà; bảng phân phối chỉ triển khai công thức sau khi mẫu chia cổ phần được xác nhận.</w:t>
      </w:r>
    </w:p>
    <w:p>
      <w:pPr>
        <w:widowControl/>
      </w:pPr>
      <w:r>
        <w:rPr>
          <w:b/>
        </w:rPr>
        <w:t xml:space="preserve">Dữ liệu / kết quả: </w:t>
      </w:r>
      <w:r>
        <w:t>Tổng vốn, phần góp, ngày hiệu lực, kỳ, số được phân phối, phần mỗi cổ đông và làm tròn.</w:t>
      </w:r>
    </w:p>
    <w:p>
      <w:pPr>
        <w:widowControl/>
      </w:pPr>
      <w:r>
        <w:rPr>
          <w:b/>
        </w:rPr>
        <w:t xml:space="preserve">Ngoại lệ / kiểm soát ĐX: </w:t>
      </w:r>
      <w:r>
        <w:t>Chặn chia cho 0; không dùng tỷ lệ hiện tại hồi tố mọi kỳ; thay vốn giữa kỳ, rút vốn và lỗ chưa có quy tắc.</w:t>
      </w:r>
    </w:p>
    <w:p>
      <w:pPr>
        <w:widowControl/>
      </w:pPr>
      <w:r>
        <w:t>AC-FR-SHR-02-1: Tỷ lệ vốn nhập tay 30% của cổ đông tại tòa được lưu đúng hiệu lực; hệ thống không tự thay bằng tỷ lệ tính từ tiền nếu chưa có chính sách.</w:t>
      </w:r>
    </w:p>
    <w:p>
      <w:pPr>
        <w:widowControl/>
      </w:pPr>
      <w:r>
        <w:rPr>
          <w:b/>
        </w:rPr>
        <w:t xml:space="preserve">AC-FR-SHR-02-2: </w:t>
      </w:r>
      <w:r>
        <w:t>Tổng phần phân phối và phần chênh làm tròn khớp tổng được duyệt; không đồng nghĩa đã chuyển tiền.</w:t>
      </w:r>
    </w:p>
    <w:p>
      <w:pPr>
        <w:pStyle w:val="Heading3"/>
        <w:widowControl/>
      </w:pPr>
      <w:r>
        <w:t>FR-SHR-03 — Tra cứu tài sản và cọc liên quan</w:t>
      </w:r>
    </w:p>
    <w:p>
      <w:pPr>
        <w:pStyle w:val="SourceText"/>
        <w:keepNext/>
        <w:widowControl/>
      </w:pPr>
      <w:r>
        <w:t>Tác nhân: Cổ đông / Kế toán • N/G • P1 • Nguồn: S1 §4.8 • Điểm mở: OI-16/17</w:t>
      </w:r>
    </w:p>
    <w:p>
      <w:pPr>
        <w:widowControl/>
      </w:pPr>
      <w:r>
        <w:rPr>
          <w:b/>
        </w:rPr>
        <w:t xml:space="preserve">Yêu cầu: </w:t>
      </w:r>
      <w:r>
        <w:t>Hệ thống phải lấy thống kê tài sản và cọc từ dữ liệu liên quan của tòa, không nhập một bộ số độc lập ở module cổ đông.</w:t>
      </w:r>
    </w:p>
    <w:p>
      <w:pPr>
        <w:widowControl/>
      </w:pPr>
      <w:r>
        <w:rPr>
          <w:b/>
        </w:rPr>
        <w:t xml:space="preserve">Dữ liệu / kết quả: </w:t>
      </w:r>
      <w:r>
        <w:t>Tòa góp vốn, số liệu được công bố, kỳ; loại cọc và mức chi tiết được xem cần duyệt.</w:t>
      </w:r>
    </w:p>
    <w:p>
      <w:pPr>
        <w:widowControl/>
      </w:pPr>
      <w:r>
        <w:rPr>
          <w:b/>
        </w:rPr>
        <w:t xml:space="preserve">Ngoại lệ / kiểm soát ĐX: </w:t>
      </w:r>
      <w:r>
        <w:t>Không hiển thị mặc định dữ liệu khách thuê, lương hay chứng từ nhạy cảm.</w:t>
      </w:r>
    </w:p>
    <w:p>
      <w:pPr>
        <w:widowControl/>
      </w:pPr>
      <w:r>
        <w:rPr>
          <w:b/>
        </w:rPr>
        <w:t xml:space="preserve">AC-FR-SHR-03-1: </w:t>
      </w:r>
      <w:r>
        <w:t>Cùng kỳ và công thức, số công bố cho cổ đông khớp nguồn tòa được duyệt.</w:t>
      </w:r>
    </w:p>
    <w:p>
      <w:pPr>
        <w:widowControl/>
      </w:pPr>
      <w:r>
        <w:rPr>
          <w:b/>
        </w:rPr>
        <w:t xml:space="preserve">AC-FR-SHR-03-2: </w:t>
      </w:r>
      <w:r>
        <w:t>Cổ đông tòa A không thấy số tổng của tòa B.</w:t>
      </w:r>
    </w:p>
    <w:p>
      <w:pPr>
        <w:pStyle w:val="Heading3"/>
        <w:widowControl/>
      </w:pPr>
      <w:r>
        <w:t>FR-SHR-04 — Cổng truy cập cổ đông</w:t>
      </w:r>
    </w:p>
    <w:p>
      <w:pPr>
        <w:pStyle w:val="SourceText"/>
        <w:keepNext/>
        <w:widowControl/>
      </w:pPr>
      <w:r>
        <w:t>Tác nhân: Cổ đông bên ngoài • G • P2 • Nguồn: S1 §2, §5 • Điểm mở: OI-16</w:t>
      </w:r>
    </w:p>
    <w:p>
      <w:pPr>
        <w:widowControl/>
      </w:pPr>
      <w:r>
        <w:rPr>
          <w:b/>
        </w:rPr>
        <w:t xml:space="preserve">Yêu cầu: </w:t>
      </w:r>
      <w:r>
        <w:t>Nếu được xác nhận, hệ thống phải cho cổ đông xem read-only các báo cáo đã được phép công bố của tòa mình góp vốn.</w:t>
      </w:r>
    </w:p>
    <w:p>
      <w:pPr>
        <w:widowControl/>
      </w:pPr>
      <w:r>
        <w:rPr>
          <w:b/>
        </w:rPr>
        <w:t xml:space="preserve">Dữ liệu / kết quả: </w:t>
      </w:r>
      <w:r>
        <w:t>Tài khoản ngoài, phạm vi tòa, báo cáo được công bố; tách giao diện/miền triển khai là quyết định thiết kế sau.</w:t>
      </w:r>
    </w:p>
    <w:p>
      <w:pPr>
        <w:widowControl/>
      </w:pPr>
      <w:r>
        <w:rPr>
          <w:b/>
        </w:rPr>
        <w:t xml:space="preserve">Ngoại lệ / kiểm soát ĐX: </w:t>
      </w:r>
      <w:r>
        <w:t>Không coi portal riêng là bắt buộc dùng hệ thống hạ tầng riêng; kiểm soát dữ liệu và quyền là điều kiện bắt buộc của phương án.</w:t>
      </w:r>
    </w:p>
    <w:p>
      <w:pPr>
        <w:widowControl/>
      </w:pPr>
      <w:r>
        <w:rPr>
          <w:b/>
        </w:rPr>
        <w:t xml:space="preserve">AC-FR-SHR-04-1: </w:t>
      </w:r>
      <w:r>
        <w:t>Cổ đông chỉ mở được dữ liệu đã công bố trong phạm vi của mình.</w:t>
      </w:r>
    </w:p>
    <w:p>
      <w:pPr>
        <w:widowControl/>
      </w:pPr>
      <w:r>
        <w:rPr>
          <w:b/>
        </w:rPr>
        <w:t xml:space="preserve">AC-FR-SHR-04-2: </w:t>
      </w:r>
      <w:r>
        <w:t>Thử gửi yêu cầu tạo/sửa/xóa từ tài khoản cổ đông phải bị từ chối.</w:t>
      </w:r>
    </w:p>
    <w:p>
      <w:pPr>
        <w:pStyle w:val="Heading2"/>
        <w:widowControl/>
      </w:pPr>
      <w:r>
        <w:t>4.10. Bảo trì, bảo dưỡng — MNT</w:t>
      </w:r>
    </w:p>
    <w:p>
      <w:pPr>
        <w:pStyle w:val="Heading3"/>
        <w:widowControl/>
      </w:pPr>
      <w:r>
        <w:t>FR-MNT-01 — Lịch bảo dưỡng và nhắc việc</w:t>
      </w:r>
    </w:p>
    <w:p>
      <w:pPr>
        <w:pStyle w:val="SourceText"/>
        <w:keepNext/>
        <w:widowControl/>
      </w:pPr>
      <w:r>
        <w:t>Tác nhân: Kỹ thuật / Vận hành / System • N • P1 • Nguồn: S1 §4.9 • Điểm mở: OI-02/18</w:t>
      </w:r>
    </w:p>
    <w:p>
      <w:pPr>
        <w:widowControl/>
      </w:pPr>
      <w:r>
        <w:rPr>
          <w:b/>
        </w:rPr>
        <w:t xml:space="preserve">Yêu cầu: </w:t>
      </w:r>
      <w:r>
        <w:t>Hệ thống phải lưu lịch bảo dưỡng thiết bị và nhắc trước ngày thực hiện 7 ngày.</w:t>
      </w:r>
    </w:p>
    <w:p>
      <w:pPr>
        <w:widowControl/>
      </w:pPr>
      <w:r>
        <w:rPr>
          <w:b/>
        </w:rPr>
        <w:t xml:space="preserve">Dữ liệu / kết quả: </w:t>
      </w:r>
      <w:r>
        <w:t>Tài sản, tòa, ngày dự kiến, người phụ trách, lần hoàn thành; kênh nhắc chưa được xác định.</w:t>
      </w:r>
    </w:p>
    <w:p>
      <w:pPr>
        <w:widowControl/>
      </w:pPr>
      <w:r>
        <w:rPr>
          <w:b/>
        </w:rPr>
        <w:t xml:space="preserve">Ngoại lệ / kiểm soát ĐX: </w:t>
      </w:r>
      <w:r>
        <w:t>Lịch sửa/hủy phải cập nhật sự kiện nhắc; chưa tự thêm quy trình mua sắm hoặc SLA.</w:t>
      </w:r>
    </w:p>
    <w:p>
      <w:pPr>
        <w:widowControl/>
      </w:pPr>
      <w:r>
        <w:rPr>
          <w:b/>
        </w:rPr>
        <w:t xml:space="preserve">AC-FR-MNT-01-1: </w:t>
      </w:r>
      <w:r>
        <w:t>Lịch ngày 20 được đưa vào nhắc ngày 13 theo múi giờ được duyệt.</w:t>
      </w:r>
    </w:p>
    <w:p>
      <w:pPr>
        <w:widowControl/>
      </w:pPr>
      <w:r>
        <w:rPr>
          <w:b/>
        </w:rPr>
        <w:t xml:space="preserve">AC-FR-MNT-01-2: </w:t>
      </w:r>
      <w:r>
        <w:t>Lịch đã hủy không phát sinh nhắc mới hoặc kỳ lặp nếu không được yêu cầu.</w:t>
      </w:r>
    </w:p>
    <w:p>
      <w:pPr>
        <w:pStyle w:val="Heading3"/>
        <w:widowControl/>
      </w:pPr>
      <w:r>
        <w:t>FR-MNT-02 — Kiểm kê tài sản hàng tháng</w:t>
      </w:r>
    </w:p>
    <w:p>
      <w:pPr>
        <w:pStyle w:val="SourceText"/>
        <w:keepNext/>
        <w:widowControl/>
      </w:pPr>
      <w:r>
        <w:t>Tác nhân: NV vận hành / Trưởng khu vực • N • P1 • Nguồn: S1 §4.9 • Điểm mở: OI-18</w:t>
      </w:r>
    </w:p>
    <w:p>
      <w:pPr>
        <w:widowControl/>
      </w:pPr>
      <w:r>
        <w:t>Yêu cầu: Hệ thống phải hỗ trợ lập đợt kiểm kê hàng tháng, ghi kết quả và cho Admin/Kế toán phụ trách; không suy ra workflow Trưởng khu vực duyệt.</w:t>
      </w:r>
    </w:p>
    <w:p>
      <w:pPr>
        <w:widowControl/>
      </w:pPr>
      <w:r>
        <w:rPr>
          <w:b/>
        </w:rPr>
        <w:t xml:space="preserve">Dữ liệu / kết quả: </w:t>
      </w:r>
      <w:r>
        <w:t>Kỳ, tòa, danh sách tài sản, số kiểm đếm, hiện trạng, chênh lệch và bằng chứng.</w:t>
      </w:r>
    </w:p>
    <w:p>
      <w:pPr>
        <w:widowControl/>
      </w:pPr>
      <w:r>
        <w:rPr>
          <w:b/>
        </w:rPr>
        <w:t xml:space="preserve">Ngoại lệ / kiểm soát ĐX: </w:t>
      </w:r>
      <w:r>
        <w:t>Kết quả kiểm kê không tự chuyển thành chi phí hoặc tự giảm tài sản trước quyết định hợp lệ.</w:t>
      </w:r>
    </w:p>
    <w:p>
      <w:pPr>
        <w:widowControl/>
      </w:pPr>
      <w:r>
        <w:t>AC-FR-MNT-02-1: Đợt kiểm kê hàng tháng của tòa được Admin/Kế toán tạo hoặc xử lý theo quyền; vai trò ngoài quyền không được ghi nhận kết quả.</w:t>
      </w:r>
    </w:p>
    <w:p>
      <w:pPr>
        <w:widowControl/>
      </w:pPr>
      <w:r>
        <w:t>AC-FR-MNT-02-2: Kết quả kiểm kê hàng tháng lưu được người thực hiện, thời điểm và bằng chứng; không tự tạo chi phí hoặc giảm tài sản.</w:t>
      </w:r>
    </w:p>
    <w:p>
      <w:pPr>
        <w:pStyle w:val="Heading3"/>
        <w:widowControl/>
      </w:pPr>
      <w:r>
        <w:t>FR-MNT-03 — Ghi nhận sự cố vận hành</w:t>
      </w:r>
    </w:p>
    <w:p>
      <w:pPr>
        <w:pStyle w:val="SourceText"/>
        <w:keepNext/>
        <w:widowControl/>
      </w:pPr>
      <w:r>
        <w:t>Tác nhân: NV vận hành / Kỹ thuật • N/ĐX • P1 • Nguồn: S1 §2 • Điểm mở: OI-02/18</w:t>
      </w:r>
    </w:p>
    <w:p>
      <w:pPr>
        <w:widowControl/>
      </w:pPr>
      <w:r>
        <w:rPr>
          <w:b/>
        </w:rPr>
        <w:t xml:space="preserve">Yêu cầu: </w:t>
      </w:r>
      <w:r>
        <w:t>Hệ thống phải ghi nhận sự cố gắn tòa/phòng; phạm vi xử lý kỹ thuật được chốt trước khi phát triển workflow.</w:t>
      </w:r>
    </w:p>
    <w:p>
      <w:pPr>
        <w:widowControl/>
      </w:pPr>
      <w:r>
        <w:rPr>
          <w:b/>
        </w:rPr>
        <w:t xml:space="preserve">Dữ liệu / kết quả: </w:t>
      </w:r>
      <w:r>
        <w:t>Nội dung, nơi xảy ra, người ghi, thời gian và file; phân công/đóng sự cố là ĐX.</w:t>
      </w:r>
    </w:p>
    <w:p>
      <w:pPr>
        <w:widowControl/>
      </w:pPr>
      <w:r>
        <w:rPr>
          <w:b/>
        </w:rPr>
        <w:t xml:space="preserve">Ngoại lệ / kiểm soát ĐX: </w:t>
      </w:r>
      <w:r>
        <w:t>Không tự suy ra helpdesk, SLA hoặc cổng khách hàng từ hành động ghi nhận sự cố.</w:t>
      </w:r>
    </w:p>
    <w:p>
      <w:pPr>
        <w:widowControl/>
      </w:pPr>
      <w:r>
        <w:rPr>
          <w:b/>
        </w:rPr>
        <w:t xml:space="preserve">AC-FR-MNT-03-1: </w:t>
      </w:r>
      <w:r>
        <w:t>Sự cố lưu được vào đúng phòng và người có quyền đọc được.</w:t>
      </w:r>
    </w:p>
    <w:p>
      <w:pPr>
        <w:widowControl/>
      </w:pPr>
      <w:r>
        <w:rPr>
          <w:b/>
        </w:rPr>
        <w:t xml:space="preserve">AC-FR-MNT-03-2: </w:t>
      </w:r>
      <w:r>
        <w:t>Nhân sự tòa khác không sửa được sự cố khi chưa được phân quyền.</w:t>
      </w:r>
    </w:p>
    <w:p>
      <w:pPr>
        <w:pStyle w:val="Heading2"/>
        <w:widowControl/>
      </w:pPr>
      <w:r>
        <w:t>4.11. Zalo OA/ZNS — ZAL</w:t>
      </w:r>
    </w:p>
    <w:p>
      <w:pPr>
        <w:pStyle w:val="Heading3"/>
        <w:widowControl/>
      </w:pPr>
      <w:r>
        <w:t>FR-ZAL-01 — Cấu hình rule và kênh thông báo</w:t>
      </w:r>
    </w:p>
    <w:p>
      <w:pPr>
        <w:pStyle w:val="SourceText"/>
        <w:keepNext/>
        <w:widowControl/>
      </w:pPr>
      <w:r>
        <w:t>Tác nhân: Admin • N • P1 • Nguồn: S1 §4.10/§7 • Điểm mở: OI-20/21</w:t>
      </w:r>
    </w:p>
    <w:p>
      <w:pPr>
        <w:widowControl/>
      </w:pPr>
      <w:r>
        <w:t>Yêu cầu: Hệ thống phải cho cấu hình điều kiện, thời điểm tương đối, tòa/phòng, mẫu và kênh gửi trong rule builder; Broadcast cho thông báo chung, ZBS cho thông báo cá nhân hóa. Mẫu/quyền gửi phải được kiểm tra trước khi kích hoạt.</w:t>
      </w:r>
    </w:p>
    <w:p>
      <w:pPr>
        <w:widowControl/>
      </w:pPr>
      <w:r>
        <w:rPr>
          <w:b/>
        </w:rPr>
        <w:t xml:space="preserve">Dữ liệu / kết quả: </w:t>
      </w:r>
      <w:r>
        <w:t>Nhắc tiền, sắp hết hợp đồng, đã hoàn cọc; ánh xạ template, tham số và thời điểm theo chính sách.</w:t>
      </w:r>
    </w:p>
    <w:p>
      <w:pPr>
        <w:widowControl/>
      </w:pPr>
      <w:r>
        <w:rPr>
          <w:b/>
        </w:rPr>
        <w:t xml:space="preserve">Ngoại lệ / kiểm soát ĐX: </w:t>
      </w:r>
      <w:r>
        <w:t>Không hỗ trợ rule builder tự do; tắt cấu hình phải ngăn gửi mới theo thời điểm hiệu lực.</w:t>
      </w:r>
    </w:p>
    <w:p>
      <w:pPr>
        <w:widowControl/>
      </w:pPr>
      <w:r>
        <w:t>AC-FR-ZAL-01-1: Rule bị tắt không tạo sự kiện gửi mới; rule đang bật phải kiểm tra điều kiện, thời điểm, tòa/phòng và mẫu trước khi xếp hàng.</w:t>
      </w:r>
    </w:p>
    <w:p>
      <w:pPr>
        <w:widowControl/>
      </w:pPr>
      <w:r>
        <w:t>AC-FR-ZAL-01-2: Thông báo chung chọn OA Broadcast; thông báo cá nhân hóa chọn ZBS Template Message. Mẫu/kênh thiếu điều kiện không được coi sẵn sàng gửi.</w:t>
      </w:r>
    </w:p>
    <w:p>
      <w:pPr>
        <w:pStyle w:val="Heading3"/>
        <w:widowControl/>
      </w:pPr>
      <w:r>
        <w:t>FR-ZAL-02 — Xác định người nhận và phát sinh sự kiện</w:t>
      </w:r>
    </w:p>
    <w:p>
      <w:pPr>
        <w:pStyle w:val="SourceText"/>
        <w:keepNext/>
        <w:widowControl/>
      </w:pPr>
      <w:r>
        <w:t>Tác nhân: System • N/ĐX • P1 • Nguồn: S1 §4.10/§7; BA • Điểm mở: OI-20/21</w:t>
      </w:r>
    </w:p>
    <w:p>
      <w:pPr>
        <w:widowControl/>
      </w:pPr>
      <w:r>
        <w:rPr>
          <w:b/>
        </w:rPr>
        <w:t xml:space="preserve">Yêu cầu: </w:t>
      </w:r>
      <w:r>
        <w:t>Hệ thống phải kiểm tra sự kiện theo lịch hàng ngày và xác định SĐT người nhận đúng hợp đồng.</w:t>
      </w:r>
    </w:p>
    <w:p>
      <w:pPr>
        <w:widowControl/>
      </w:pPr>
      <w:r>
        <w:rPr>
          <w:b/>
        </w:rPr>
        <w:t xml:space="preserve">Dữ liệu / kết quả: </w:t>
      </w:r>
      <w:r>
        <w:t>Mã sự kiện, hóa đơn/HĐ/hoàn cọc, người nhận, mốc nhắc, mẫu và số dư tại thời điểm gửi.</w:t>
      </w:r>
    </w:p>
    <w:p>
      <w:pPr>
        <w:widowControl/>
      </w:pPr>
      <w:r>
        <w:rPr>
          <w:b/>
        </w:rPr>
        <w:t xml:space="preserve">Ngoại lệ / kiểm soát ĐX: </w:t>
      </w:r>
      <w:r>
        <w:t>Kiểm tra lại điều kiện trước khi gửi; khách đã trả đủ hoặc HĐ đã gia hạn phải loại khỏi nhắc không còn phù hợp.</w:t>
      </w:r>
    </w:p>
    <w:p>
      <w:pPr>
        <w:widowControl/>
      </w:pPr>
      <w:r>
        <w:rPr>
          <w:b/>
        </w:rPr>
        <w:t xml:space="preserve">AC-FR-ZAL-02-1: </w:t>
      </w:r>
      <w:r>
        <w:t>Tác vụ chạy lại cùng mốc không tạo thêm tin cho cùng sự kiện/người nhận.</w:t>
      </w:r>
    </w:p>
    <w:p>
      <w:pPr>
        <w:widowControl/>
      </w:pPr>
      <w:r>
        <w:rPr>
          <w:b/>
        </w:rPr>
        <w:t xml:space="preserve">AC-FR-ZAL-02-2: </w:t>
      </w:r>
      <w:r>
        <w:t>Hóa đơn được thu đủ sau khi xếp hàng phải được kiểm tra lại và dừng nhắc.</w:t>
      </w:r>
    </w:p>
    <w:p>
      <w:pPr>
        <w:pStyle w:val="Heading3"/>
        <w:widowControl/>
      </w:pPr>
      <w:r>
        <w:t>FR-ZAL-03 — Gửi tin và ghi nhận trạng thái</w:t>
      </w:r>
    </w:p>
    <w:p>
      <w:pPr>
        <w:pStyle w:val="SourceText"/>
        <w:keepNext/>
        <w:widowControl/>
      </w:pPr>
      <w:r>
        <w:t>Tác nhân: System / người giám sát • N/ĐX • P1 • Nguồn: S1 §4.10/§7; [R6–R8] • Điểm mở: OI-20/21</w:t>
      </w:r>
    </w:p>
    <w:p>
      <w:pPr>
        <w:widowControl/>
      </w:pPr>
      <w:r>
        <w:rPr>
          <w:b/>
        </w:rPr>
        <w:t xml:space="preserve">Yêu cầu: </w:t>
      </w:r>
      <w:r>
        <w:t>Hệ thống phải gửi tin theo mẫu bằng luồng SĐT và lưu kết quả nhà cung cấp trả về; tên hiện hành ZBS Template Message.</w:t>
      </w:r>
    </w:p>
    <w:p>
      <w:pPr>
        <w:widowControl/>
      </w:pPr>
      <w:r>
        <w:rPr>
          <w:b/>
        </w:rPr>
        <w:t xml:space="preserve">Dữ liệu / kết quả: </w:t>
      </w:r>
      <w:r>
        <w:t>Mã nội bộ, mã nhà cung cấp, thời gian, trạng thái, mã lỗi; trạng thái nhận yêu cầu và giao đến thiết bị được phân biệt.</w:t>
      </w:r>
    </w:p>
    <w:p>
      <w:pPr>
        <w:widowControl/>
      </w:pPr>
      <w:r>
        <w:rPr>
          <w:b/>
        </w:rPr>
        <w:t xml:space="preserve">Ngoại lệ / kiểm soát ĐX: </w:t>
      </w:r>
      <w:r>
        <w:t>API nhận yêu cầu không tự chứng minh giao thành công; callback trùng/sai thứ tự không được phát sinh gửi trùng.</w:t>
      </w:r>
    </w:p>
    <w:p>
      <w:pPr>
        <w:widowControl/>
      </w:pPr>
      <w:r>
        <w:rPr>
          <w:b/>
        </w:rPr>
        <w:t xml:space="preserve">AC-FR-ZAL-03-1: </w:t>
      </w:r>
      <w:r>
        <w:t>Kết quả chấp nhận của API ghi trạng thái chờ/đã tiếp nhận phù hợp thay vì mặc định đã nhận.</w:t>
      </w:r>
    </w:p>
    <w:p>
      <w:pPr>
        <w:widowControl/>
      </w:pPr>
      <w:r>
        <w:rPr>
          <w:b/>
        </w:rPr>
        <w:t xml:space="preserve">AC-FR-ZAL-03-2: </w:t>
      </w:r>
      <w:r>
        <w:t>Bằng chứng giao tin hợp lệ cập nhật đúng bản ghi và không làm thay đổi số dư hóa đơn.</w:t>
      </w:r>
    </w:p>
    <w:p>
      <w:pPr>
        <w:pStyle w:val="Heading3"/>
        <w:widowControl/>
      </w:pPr>
      <w:r>
        <w:t>FR-ZAL-04 — SMS dự phòng và xử lý thất bại</w:t>
      </w:r>
    </w:p>
    <w:p>
      <w:pPr>
        <w:pStyle w:val="SourceText"/>
        <w:keepNext/>
        <w:widowControl/>
      </w:pPr>
      <w:r>
        <w:t>Tác nhân: System / người giám sát • N/G • P1 • Nguồn: S1 §4.10/§7 • Điểm mở: OI-20/21</w:t>
      </w:r>
    </w:p>
    <w:p>
      <w:pPr>
        <w:widowControl/>
      </w:pPr>
      <w:r>
        <w:rPr>
          <w:b/>
        </w:rPr>
        <w:t xml:space="preserve">Yêu cầu: </w:t>
      </w:r>
      <w:r>
        <w:t>Hệ thống phải hỗ trợ chuyển SMS theo điều kiện thất bại đã được phê duyệt và nhà cung cấp đã chọn.</w:t>
      </w:r>
    </w:p>
    <w:p>
      <w:pPr>
        <w:widowControl/>
      </w:pPr>
      <w:r>
        <w:rPr>
          <w:b/>
        </w:rPr>
        <w:t xml:space="preserve">Dữ liệu / kết quả: </w:t>
      </w:r>
      <w:r>
        <w:t>Mã lỗi, nhóm lỗi, số lần thử, trạng thái chưa xác định, SMS liên quan và người xử lý.</w:t>
      </w:r>
    </w:p>
    <w:p>
      <w:pPr>
        <w:widowControl/>
      </w:pPr>
      <w:r>
        <w:rPr>
          <w:b/>
        </w:rPr>
        <w:t xml:space="preserve">Ngoại lệ / kiểm soát ĐX: </w:t>
      </w:r>
      <w:r>
        <w:t>Timeout chưa xác định không được mặc định đã thất bại rồi gửi cả hai kênh; giới hạn retry, ngừng nhận tin và hết hạn mức cần chính sách.</w:t>
      </w:r>
    </w:p>
    <w:p>
      <w:pPr>
        <w:widowControl/>
      </w:pPr>
      <w:r>
        <w:rPr>
          <w:b/>
        </w:rPr>
        <w:t xml:space="preserve">AC-FR-ZAL-04-1: </w:t>
      </w:r>
      <w:r>
        <w:t>Với lỗi đủ điều kiện fallback đã duyệt, cùng sự kiện chỉ phát sinh tối đa một yêu cầu SMS có hiệu lực.</w:t>
      </w:r>
    </w:p>
    <w:p>
      <w:pPr>
        <w:widowControl/>
      </w:pPr>
      <w:r>
        <w:rPr>
          <w:b/>
        </w:rPr>
        <w:t xml:space="preserve">AC-FR-ZAL-04-2: </w:t>
      </w:r>
      <w:r>
        <w:t>Với trạng thái chưa rõ, sự kiện được theo dõi/tra cứu chứ không gửi lặp vô hạn.</w:t>
      </w:r>
    </w:p>
    <w:p>
      <w:pPr>
        <w:pStyle w:val="Heading3"/>
        <w:widowControl/>
      </w:pPr>
      <w:r>
        <w:t>FR-ZAL-05 — Tra cứu lịch sử và đầu mối phản hồi</w:t>
      </w:r>
    </w:p>
    <w:p>
      <w:pPr>
        <w:pStyle w:val="SourceText"/>
        <w:keepNext/>
        <w:widowControl/>
      </w:pPr>
      <w:r>
        <w:t>Tác nhân: Admin / người giám sát • N/ĐX • P1 • Nguồn: S1 §4.10/§7 • Điểm mở: OI-01/20/21</w:t>
      </w:r>
    </w:p>
    <w:p>
      <w:pPr>
        <w:widowControl/>
      </w:pPr>
      <w:r>
        <w:t>Yêu cầu: Hệ thống phải lưu lịch sử gửi và đồng bộ hội thoại Zalo hai chiều; mỗi Trưởng phòng phụ trách nhận và xử lý phản hồi trong phạm vi phòng ban của mình.</w:t>
      </w:r>
    </w:p>
    <w:p>
      <w:pPr>
        <w:widowControl/>
      </w:pPr>
      <w:r>
        <w:rPr>
          <w:b/>
        </w:rPr>
        <w:t xml:space="preserve">Dữ liệu / kết quả: </w:t>
      </w:r>
      <w:r>
        <w:t>Bộ lọc khách, kỳ, loại sự kiện, trạng thái, mã lỗi; đồng bộ nội dung hội thoại vào ứng dụng theo quyền.</w:t>
      </w:r>
    </w:p>
    <w:p>
      <w:pPr>
        <w:widowControl/>
      </w:pPr>
      <w:r>
        <w:rPr>
          <w:b/>
        </w:rPr>
        <w:t xml:space="preserve">Ngoại lệ / kiểm soát ĐX: </w:t>
      </w:r>
      <w:r>
        <w:t>Thông tin log được che dữ liệu nhạy cảm; không coi gửi thành công là khách đã thanh toán.</w:t>
      </w:r>
    </w:p>
    <w:p>
      <w:pPr>
        <w:widowControl/>
      </w:pPr>
      <w:r>
        <w:rPr>
          <w:b/>
        </w:rPr>
        <w:t xml:space="preserve">AC-FR-ZAL-05-1: </w:t>
      </w:r>
      <w:r>
        <w:t>Tra cứu một hóa đơn thấy các mốc gửi Zalo/SMS và trạng thái tương ứng.</w:t>
      </w:r>
    </w:p>
    <w:p>
      <w:pPr>
        <w:widowControl/>
      </w:pPr>
      <w:r>
        <w:t>AC-FR-ZAL-05-2: Phản hồi Zalo được đồng bộ vào hội thoại và gán cho Trưởng phòng phụ trách; phản hồi không tự tạo phiếu thu hoặc đánh dấu nợ đã hết.</w:t>
      </w:r>
    </w:p>
    <w:p>
      <w:pPr>
        <w:pStyle w:val="Heading2"/>
        <w:widowControl/>
      </w:pPr>
      <w:r>
        <w:t>4.12. Tổng quan — DSH</w:t>
      </w:r>
    </w:p>
    <w:p>
      <w:pPr>
        <w:pStyle w:val="Heading3"/>
        <w:widowControl/>
      </w:pPr>
      <w:r>
        <w:t>FR-DSH-01 — Chỉ số phòng và bộ lọc</w:t>
      </w:r>
    </w:p>
    <w:p>
      <w:pPr>
        <w:pStyle w:val="SourceText"/>
        <w:keepNext/>
        <w:widowControl/>
      </w:pPr>
      <w:r>
        <w:t>Tác nhân: Ban lãnh đạo / Quản lý • N/G • P1 • Nguồn: S1 §4.1 • Điểm mở: OI-01/02/09/12</w:t>
      </w:r>
    </w:p>
    <w:p>
      <w:pPr>
        <w:widowControl/>
      </w:pPr>
      <w:r>
        <w:rPr>
          <w:b/>
        </w:rPr>
        <w:t xml:space="preserve">Yêu cầu: </w:t>
      </w:r>
      <w:r>
        <w:t>Hệ thống phải hiển thị nhóm phòng trống ở luôn, trống hết tháng và đang chờ với bộ lọc khu vực, quản lý, trưởng nhóm.</w:t>
      </w:r>
    </w:p>
    <w:p>
      <w:pPr>
        <w:widowControl/>
      </w:pPr>
      <w:r>
        <w:rPr>
          <w:b/>
        </w:rPr>
        <w:t xml:space="preserve">Dữ liệu / kết quả: </w:t>
      </w:r>
      <w:r>
        <w:t>Tổng và danh sách truy ngược; định nghĩa nhóm và khả năng chồng lấp cần duyệt.</w:t>
      </w:r>
    </w:p>
    <w:p>
      <w:pPr>
        <w:widowControl/>
      </w:pPr>
      <w:r>
        <w:rPr>
          <w:b/>
        </w:rPr>
        <w:t xml:space="preserve">Ngoại lệ / kiểm soát ĐX: </w:t>
      </w:r>
      <w:r>
        <w:t>Không coi phòng sắp hết HĐ là chắc chắn trống cuối tháng; tổng chỉ dùng phạm vi được quyền.</w:t>
      </w:r>
    </w:p>
    <w:p>
      <w:pPr>
        <w:widowControl/>
      </w:pPr>
      <w:r>
        <w:rPr>
          <w:b/>
        </w:rPr>
        <w:t xml:space="preserve">AC-FR-DSH-01-1: </w:t>
      </w:r>
      <w:r>
        <w:t>Chọn khu vực A làm các chỉ số và danh sách chỉ phản ánh dữ liệu A.</w:t>
      </w:r>
    </w:p>
    <w:p>
      <w:pPr>
        <w:widowControl/>
      </w:pPr>
      <w:r>
        <w:rPr>
          <w:b/>
        </w:rPr>
        <w:t xml:space="preserve">AC-FR-DSH-01-2: </w:t>
      </w:r>
      <w:r>
        <w:t>Phòng đang chờ dọn không được cộng vào trống ở luôn theo BR-02.</w:t>
      </w:r>
    </w:p>
    <w:p>
      <w:pPr>
        <w:pStyle w:val="Heading3"/>
        <w:widowControl/>
      </w:pPr>
      <w:r>
        <w:t>FR-DSH-02 — Tổng tiền và tiến độ thu</w:t>
      </w:r>
    </w:p>
    <w:p>
      <w:pPr>
        <w:pStyle w:val="SourceText"/>
        <w:keepNext/>
        <w:widowControl/>
      </w:pPr>
      <w:r>
        <w:t>Tác nhân: Ban lãnh đạo / Kế toán / Quản lý • N/G • P1 • Nguồn: S1 §4.1/§4.6 • Điểm mở: OI-13</w:t>
      </w:r>
    </w:p>
    <w:p>
      <w:pPr>
        <w:widowControl/>
      </w:pPr>
      <w:r>
        <w:rPr>
          <w:b/>
        </w:rPr>
        <w:t xml:space="preserve">Yêu cầu: </w:t>
      </w:r>
      <w:r>
        <w:t>Hệ thống phải hiển thị tiền nhà, cọc mới, tiền phá HĐ và tiến độ thu theo định nghĩa được duyệt.</w:t>
      </w:r>
    </w:p>
    <w:p>
      <w:pPr>
        <w:widowControl/>
      </w:pPr>
      <w:r>
        <w:rPr>
          <w:b/>
        </w:rPr>
        <w:t xml:space="preserve">Dữ liệu / kết quả: </w:t>
      </w:r>
      <w:r>
        <w:t>Tách từng nhóm, kỳ, số phải thu/đã thu; mẫu số tiến độ và nhãn tổng tiền cần chốt.</w:t>
      </w:r>
    </w:p>
    <w:p>
      <w:pPr>
        <w:widowControl/>
      </w:pPr>
      <w:r>
        <w:rPr>
          <w:b/>
        </w:rPr>
        <w:t xml:space="preserve">Ngoại lệ / kiểm soát ĐX: </w:t>
      </w:r>
      <w:r>
        <w:t>Không đặt nhãn lợi nhuận cho tổng tiền thu; hóa đơn bị hủy/điều chỉnh phải theo cùng công thức báo cáo.</w:t>
      </w:r>
    </w:p>
    <w:p>
      <w:pPr>
        <w:widowControl/>
      </w:pPr>
      <w:r>
        <w:rPr>
          <w:b/>
        </w:rPr>
        <w:t xml:space="preserve">AC-FR-DSH-02-1: </w:t>
      </w:r>
      <w:r>
        <w:t>Mở chi tiết một chỉ số tổng cho danh sách khoản cấu thành khớp tổng.</w:t>
      </w:r>
    </w:p>
    <w:p>
      <w:pPr>
        <w:widowControl/>
      </w:pPr>
      <w:r>
        <w:rPr>
          <w:b/>
        </w:rPr>
        <w:t xml:space="preserve">AC-FR-DSH-02-2: </w:t>
      </w:r>
      <w:r>
        <w:t>Hai người cùng phạm vi và cùng thời điểm chốt nhận được cùng kết quả theo cùng bộ lọc.</w:t>
      </w:r>
    </w:p>
    <w:p>
      <w:bookmarkStart w:id="105" w:name="sec_5"/>
      <w:pPr>
        <w:pStyle w:val="Heading1"/>
        <w:widowControl/>
      </w:pPr>
      <w:r>
        <w:t>5. Đặc tả use case trọng yếu</w:t>
      </w:r>
      <w:bookmarkEnd w:id="105"/>
    </w:p>
    <w:p>
      <w:pPr>
        <w:widowControl/>
      </w:pPr>
      <w:r>
        <w:t>Các bước ngoại lệ và kiểm soát giao dịch dưới đây là ĐX của BA nhằm làm rõ hành vi vận hành. Chúng phải được review cùng FR/OI liên quan; không thay thế quyết định nghiệp vụ còn thiếu.</w:t>
      </w:r>
    </w:p>
    <w:p>
      <w:pPr>
        <w:pStyle w:val="Heading2"/>
        <w:widowControl/>
      </w:pPr>
      <w:r>
        <w:t>UC-01 — Thiết lập tòa và phòng</w:t>
      </w:r>
    </w:p>
    <w:p>
      <w:pPr>
        <w:widowControl/>
      </w:pPr>
      <w:r>
        <w:rPr>
          <w:b/>
        </w:rPr>
        <w:t xml:space="preserve">Tác nhân / liên kết: </w:t>
      </w:r>
      <w:r>
        <w:t>Admin / Trưởng khu vực • FR-BLD-01/02/03</w:t>
      </w:r>
    </w:p>
    <w:p>
      <w:pPr>
        <w:widowControl/>
      </w:pPr>
      <w:r>
        <w:rPr>
          <w:b/>
        </w:rPr>
        <w:t xml:space="preserve">Tiền điều kiện: </w:t>
      </w:r>
      <w:r>
        <w:t>Có quyền quản lý phạm vi và danh mục khu vực.</w:t>
      </w:r>
    </w:p>
    <w:p>
      <w:pPr>
        <w:widowControl/>
      </w:pPr>
      <w:r>
        <w:rPr>
          <w:b/>
        </w:rPr>
        <w:t xml:space="preserve">Kích hoạt: </w:t>
      </w:r>
      <w:r>
        <w:t>Tiếp nhận hợp đồng thuê đầu vào.</w:t>
      </w:r>
    </w:p>
    <w:p>
      <w:pPr>
        <w:widowControl/>
      </w:pPr>
      <w:r>
        <w:rPr>
          <w:b/>
        </w:rPr>
        <w:t xml:space="preserve">Bước 1: </w:t>
      </w:r>
      <w:r>
        <w:t>Ghi chủ nhà và hợp đồng, gắn file tham chiếu.</w:t>
      </w:r>
    </w:p>
    <w:p>
      <w:pPr>
        <w:widowControl/>
      </w:pPr>
      <w:r>
        <w:rPr>
          <w:b/>
        </w:rPr>
        <w:t xml:space="preserve">Bước 2: </w:t>
      </w:r>
      <w:r>
        <w:t>Tạo tòa, thông tin loại hình, tiện ích và người phụ trách.</w:t>
      </w:r>
    </w:p>
    <w:p>
      <w:pPr>
        <w:widowControl/>
      </w:pPr>
      <w:r>
        <w:rPr>
          <w:b/>
        </w:rPr>
        <w:t xml:space="preserve">Bước 3: </w:t>
      </w:r>
      <w:r>
        <w:t>Tạo các phòng với mã duy nhất trong tòa.</w:t>
      </w:r>
    </w:p>
    <w:p>
      <w:pPr>
        <w:widowControl/>
      </w:pPr>
      <w:r>
        <w:rPr>
          <w:b/>
        </w:rPr>
        <w:t xml:space="preserve">Bước 4: </w:t>
      </w:r>
      <w:r>
        <w:t>Kiểm tra và lưu trạng thái ban đầu theo thực tế.</w:t>
      </w:r>
    </w:p>
    <w:p>
      <w:pPr>
        <w:widowControl/>
      </w:pPr>
      <w:r>
        <w:rPr>
          <w:b/>
        </w:rPr>
        <w:t xml:space="preserve">Luồng thay thế / lỗi: </w:t>
      </w:r>
      <w:r>
        <w:t>Mã trùng: không tạo; file lỗi: yêu cầu tải lại; số phòng khai báo khác danh sách thực tế: cảnh báo để rà soát.</w:t>
      </w:r>
    </w:p>
    <w:p>
      <w:pPr>
        <w:widowControl/>
      </w:pPr>
      <w:r>
        <w:rPr>
          <w:b/>
        </w:rPr>
        <w:t xml:space="preserve">Hậu điều kiện: </w:t>
      </w:r>
      <w:r>
        <w:t>Tòa/phòng truy vết về chủ nhà; chưa phát sinh hợp đồng khách hoặc doanh thu tự động.</w:t>
      </w:r>
    </w:p>
    <w:p>
      <w:pPr>
        <w:pStyle w:val="Heading2"/>
        <w:widowControl/>
      </w:pPr>
      <w:r>
        <w:t>UC-02 — Chốt khách và ghi nhận hợp đồng</w:t>
      </w:r>
    </w:p>
    <w:p>
      <w:pPr>
        <w:widowControl/>
      </w:pPr>
      <w:r>
        <w:rPr>
          <w:b/>
        </w:rPr>
        <w:t xml:space="preserve">Tác nhân / liên kết: </w:t>
      </w:r>
      <w:r>
        <w:t>Sale / Vận hành • FR-SAL-01/02; FR-CUS-01/02/03</w:t>
      </w:r>
    </w:p>
    <w:p>
      <w:pPr>
        <w:widowControl/>
      </w:pPr>
      <w:r>
        <w:rPr>
          <w:b/>
        </w:rPr>
        <w:t xml:space="preserve">Tiền điều kiện: </w:t>
      </w:r>
      <w:r>
        <w:t>Phòng đủ điều kiện cho thuê; khách có thông tin liên hệ; quyền chốt đã xác nhận.</w:t>
      </w:r>
    </w:p>
    <w:p>
      <w:pPr>
        <w:widowControl/>
      </w:pPr>
      <w:r>
        <w:rPr>
          <w:b/>
        </w:rPr>
        <w:t xml:space="preserve">Kích hoạt: </w:t>
      </w:r>
      <w:r>
        <w:t>Khách đồng ý thuê.</w:t>
      </w:r>
    </w:p>
    <w:p>
      <w:pPr>
        <w:widowControl/>
      </w:pPr>
      <w:r>
        <w:rPr>
          <w:b/>
        </w:rPr>
        <w:t xml:space="preserve">Bước 1: </w:t>
      </w:r>
      <w:r>
        <w:t>Sale mở lead, kiểm tra lại khả dụng phòng và ghi nhận giao dịch chốt.</w:t>
      </w:r>
    </w:p>
    <w:p>
      <w:pPr>
        <w:widowControl/>
      </w:pPr>
      <w:r>
        <w:rPr>
          <w:b/>
        </w:rPr>
        <w:t xml:space="preserve">Bước 2: </w:t>
      </w:r>
      <w:r>
        <w:t>Vận hành nhập khách/hợp đồng sau ký ngoài hệ thống, gắn file.</w:t>
      </w:r>
    </w:p>
    <w:p>
      <w:pPr>
        <w:widowControl/>
      </w:pPr>
      <w:r>
        <w:rPr>
          <w:b/>
        </w:rPr>
        <w:t xml:space="preserve">Bước 3: </w:t>
      </w:r>
      <w:r>
        <w:t>Nhập giá, cọc, kỳ thu, dịch vụ và số xe.</w:t>
      </w:r>
    </w:p>
    <w:p>
      <w:pPr>
        <w:widowControl/>
      </w:pPr>
      <w:r>
        <w:rPr>
          <w:b/>
        </w:rPr>
        <w:t xml:space="preserve">Bước 4: </w:t>
      </w:r>
      <w:r>
        <w:t>Kiểm tra xung đột thời gian rồi ghi hợp đồng có hiệu lực, cập nhật tình trạng phòng.</w:t>
      </w:r>
    </w:p>
    <w:p>
      <w:pPr>
        <w:widowControl/>
      </w:pPr>
      <w:r>
        <w:rPr>
          <w:b/>
        </w:rPr>
        <w:t xml:space="preserve">Luồng thay thế / lỗi: </w:t>
      </w:r>
      <w:r>
        <w:t>Khách hủy: xử lý giữ chỗ theo OI-09; hai người cùng chốt: chỉ một giao dịch được chấp nhận; chưa đủ hồ sơ: lưu nháp theo phương án được duyệt.</w:t>
      </w:r>
    </w:p>
    <w:p>
      <w:pPr>
        <w:widowControl/>
      </w:pPr>
      <w:r>
        <w:rPr>
          <w:b/>
        </w:rPr>
        <w:t xml:space="preserve">Hậu điều kiện: </w:t>
      </w:r>
      <w:r>
        <w:t>Khách–phòng–hợp đồng liên kết; hoa hồng chưa tự chuyển thành đã trả.</w:t>
      </w:r>
    </w:p>
    <w:p>
      <w:pPr>
        <w:pStyle w:val="Heading2"/>
        <w:widowControl/>
      </w:pPr>
      <w:r>
        <w:t>UC-03 — Lập hóa đơn tháng</w:t>
      </w:r>
    </w:p>
    <w:p>
      <w:pPr>
        <w:widowControl/>
      </w:pPr>
      <w:r>
        <w:rPr>
          <w:b/>
        </w:rPr>
        <w:t xml:space="preserve">Tác nhân / liên kết: </w:t>
      </w:r>
      <w:r>
        <w:t>Kế toán • FR-FIN-01/02; FR-CUS-03</w:t>
      </w:r>
    </w:p>
    <w:p>
      <w:pPr>
        <w:widowControl/>
      </w:pPr>
      <w:r>
        <w:rPr>
          <w:b/>
        </w:rPr>
        <w:t xml:space="preserve">Tiền điều kiện: </w:t>
      </w:r>
      <w:r>
        <w:t>Hợp đồng hiệu lực, kỳ lập và cách tính phí đã chốt tại OI-04/05.</w:t>
      </w:r>
    </w:p>
    <w:p>
      <w:pPr>
        <w:widowControl/>
      </w:pPr>
      <w:r>
        <w:rPr>
          <w:b/>
        </w:rPr>
        <w:t xml:space="preserve">Kích hoạt: </w:t>
      </w:r>
      <w:r>
        <w:t>Kế toán chọn kỳ và tòa.</w:t>
      </w:r>
    </w:p>
    <w:p>
      <w:pPr>
        <w:widowControl/>
      </w:pPr>
      <w:r>
        <w:rPr>
          <w:b/>
        </w:rPr>
        <w:t xml:space="preserve">Bước 1: </w:t>
      </w:r>
      <w:r>
        <w:t>Lấy giá/dịch vụ hiệu lực từ hợp đồng, tạo bản nháp.</w:t>
      </w:r>
    </w:p>
    <w:p>
      <w:pPr>
        <w:widowControl/>
      </w:pPr>
      <w:r>
        <w:rPr>
          <w:b/>
        </w:rPr>
        <w:t xml:space="preserve">Bước 2: </w:t>
      </w:r>
      <w:r>
        <w:t>Nhập phí biến đổi hoặc chỉ số theo phương án được duyệt.</w:t>
      </w:r>
    </w:p>
    <w:p>
      <w:pPr>
        <w:widowControl/>
      </w:pPr>
      <w:r>
        <w:rPr>
          <w:b/>
        </w:rPr>
        <w:t xml:space="preserve">Bước 3: </w:t>
      </w:r>
      <w:r>
        <w:t>Kiểm tra từng dòng phí, hạn thanh toán và tổng.</w:t>
      </w:r>
    </w:p>
    <w:p>
      <w:pPr>
        <w:widowControl/>
      </w:pPr>
      <w:r>
        <w:rPr>
          <w:b/>
        </w:rPr>
        <w:t xml:space="preserve">Bước 4: </w:t>
      </w:r>
      <w:r>
        <w:t>Phát hành; lưu dữ liệu giá theo kỳ, tạo khoản phải thu.</w:t>
      </w:r>
    </w:p>
    <w:p>
      <w:pPr>
        <w:widowControl/>
      </w:pPr>
      <w:r>
        <w:rPr>
          <w:b/>
        </w:rPr>
        <w:t xml:space="preserve">Luồng thay thế / lỗi: </w:t>
      </w:r>
      <w:r>
        <w:t>Thiếu chỉ số: giữ nháp; công tơ thay: xử lý theo quy tắc ngoại lệ; tạo trùng: trả hóa đơn tồn tại; giá đổi giữa kỳ: áp công thức được duyệt.</w:t>
      </w:r>
    </w:p>
    <w:p>
      <w:pPr>
        <w:widowControl/>
      </w:pPr>
      <w:r>
        <w:rPr>
          <w:b/>
        </w:rPr>
        <w:t xml:space="preserve">Hậu điều kiện: </w:t>
      </w:r>
      <w:r>
        <w:t>Hóa đơn phát hành có tổng kiểm tra được; không tự ghi nhận tiền đã thu.</w:t>
      </w:r>
    </w:p>
    <w:p>
      <w:pPr>
        <w:pStyle w:val="Heading2"/>
        <w:widowControl/>
      </w:pPr>
      <w:r>
        <w:t>UC-04 — Thu tiền và xử lý công nợ</w:t>
      </w:r>
    </w:p>
    <w:p>
      <w:pPr>
        <w:widowControl/>
      </w:pPr>
      <w:r>
        <w:rPr>
          <w:b/>
        </w:rPr>
        <w:t xml:space="preserve">Tác nhân / liên kết: </w:t>
      </w:r>
      <w:r>
        <w:t>NV vận hành / Kế toán • FR-FIN-03/04/08; FR-CUS-05</w:t>
      </w:r>
    </w:p>
    <w:p>
      <w:pPr>
        <w:widowControl/>
      </w:pPr>
      <w:r>
        <w:rPr>
          <w:b/>
        </w:rPr>
        <w:t xml:space="preserve">Tiền điều kiện: </w:t>
      </w:r>
      <w:r>
        <w:t>Hóa đơn còn phải thu; OI-06 quy định phân bổ, tiền thừa và sửa sai đã chốt.</w:t>
      </w:r>
    </w:p>
    <w:p>
      <w:pPr>
        <w:widowControl/>
      </w:pPr>
      <w:r>
        <w:rPr>
          <w:b/>
        </w:rPr>
        <w:t xml:space="preserve">Kích hoạt: </w:t>
      </w:r>
      <w:r>
        <w:t>Người dùng xác nhận đã nhận tiền bên ngoài hệ thống.</w:t>
      </w:r>
    </w:p>
    <w:p>
      <w:pPr>
        <w:widowControl/>
      </w:pPr>
      <w:r>
        <w:rPr>
          <w:b/>
        </w:rPr>
        <w:t xml:space="preserve">Bước 1: </w:t>
      </w:r>
      <w:r>
        <w:t>Chọn hóa đơn/khách và ghi số tiền, ngày thu, phương thức, chứng từ.</w:t>
      </w:r>
    </w:p>
    <w:p>
      <w:pPr>
        <w:widowControl/>
      </w:pPr>
      <w:r>
        <w:rPr>
          <w:b/>
        </w:rPr>
        <w:t xml:space="preserve">Bước 2: </w:t>
      </w:r>
      <w:r>
        <w:t>Hệ thống kiểm tra phân bổ, quyền và dấu hiệu trùng.</w:t>
      </w:r>
    </w:p>
    <w:p>
      <w:pPr>
        <w:widowControl/>
      </w:pPr>
      <w:r>
        <w:rPr>
          <w:b/>
        </w:rPr>
        <w:t xml:space="preserve">Bước 3: </w:t>
      </w:r>
      <w:r>
        <w:t>Lưu khoản thu cùng phân bổ trong một giao dịch nhất quán.</w:t>
      </w:r>
    </w:p>
    <w:p>
      <w:pPr>
        <w:widowControl/>
      </w:pPr>
      <w:r>
        <w:rPr>
          <w:b/>
        </w:rPr>
        <w:t xml:space="preserve">Bước 4: </w:t>
      </w:r>
      <w:r>
        <w:t>Tính lại số dư và điều kiện nhắc; hiển thị biên nhận nghiệp vụ nếu biểu mẫu được duyệt.</w:t>
      </w:r>
    </w:p>
    <w:p>
      <w:pPr>
        <w:widowControl/>
      </w:pPr>
      <w:r>
        <w:rPr>
          <w:b/>
        </w:rPr>
        <w:t xml:space="preserve">Luồng thay thế / lỗi: </w:t>
      </w:r>
      <w:r>
        <w:t>Thu thiếu: giữ số dư khi cho phép; tiền thừa: theo phương án OI-06; sai phiếu: tạo điều chỉnh, không xóa dấu vết; đồng thời hai người thu: kiểm tra lại số dư.</w:t>
      </w:r>
    </w:p>
    <w:p>
      <w:pPr>
        <w:widowControl/>
      </w:pPr>
      <w:r>
        <w:rPr>
          <w:b/>
        </w:rPr>
        <w:t xml:space="preserve">Hậu điều kiện: </w:t>
      </w:r>
      <w:r>
        <w:t>Số dư khớp chứng từ hợp lệ; hóa đơn không còn nợ không nhận nhắc nợ mới.</w:t>
      </w:r>
    </w:p>
    <w:p>
      <w:pPr>
        <w:pStyle w:val="Heading2"/>
        <w:widowControl/>
      </w:pPr>
      <w:r>
        <w:t>UC-05 — Kết thúc thuê, hoàn cọc và dọn phòng</w:t>
      </w:r>
    </w:p>
    <w:p>
      <w:pPr>
        <w:widowControl/>
      </w:pPr>
      <w:r>
        <w:rPr>
          <w:b/>
        </w:rPr>
        <w:t xml:space="preserve">Tác nhân / liên kết: </w:t>
      </w:r>
      <w:r>
        <w:t>Vận hành / Trưởng khu vực / Kế toán • FR-FIN-06/07; FR-BLD-03; FR-CUS-04</w:t>
      </w:r>
    </w:p>
    <w:p>
      <w:pPr>
        <w:widowControl/>
      </w:pPr>
      <w:r>
        <w:rPr>
          <w:b/>
        </w:rPr>
        <w:t xml:space="preserve">Tiền điều kiện: </w:t>
      </w:r>
      <w:r>
        <w:t>Xác nhận trả/phá HĐ; có cọc thực giữ, đơn giá và cách xử lý nợ đã duyệt.</w:t>
      </w:r>
    </w:p>
    <w:p>
      <w:pPr>
        <w:widowControl/>
      </w:pPr>
      <w:r>
        <w:rPr>
          <w:b/>
        </w:rPr>
        <w:t xml:space="preserve">Kích hoạt: </w:t>
      </w:r>
      <w:r>
        <w:t>Khách trả phòng hoặc không gia hạn.</w:t>
      </w:r>
    </w:p>
    <w:p>
      <w:pPr>
        <w:widowControl/>
      </w:pPr>
      <w:r>
        <w:rPr>
          <w:b/>
        </w:rPr>
        <w:t xml:space="preserve">Bước 1: </w:t>
      </w:r>
      <w:r>
        <w:t>Ghi ngày kết thúc thực tế và kết quả kiểm tra phòng.</w:t>
      </w:r>
    </w:p>
    <w:p>
      <w:pPr>
        <w:widowControl/>
      </w:pPr>
      <w:r>
        <w:rPr>
          <w:b/>
        </w:rPr>
        <w:t xml:space="preserve">Bước 2: </w:t>
      </w:r>
      <w:r>
        <w:t>Lập từng khoản khấu trừ với số lượng, đơn giá và bằng chứng.</w:t>
      </w:r>
    </w:p>
    <w:p>
      <w:pPr>
        <w:widowControl/>
      </w:pPr>
      <w:r>
        <w:rPr>
          <w:b/>
        </w:rPr>
        <w:t xml:space="preserve">Bước 3: </w:t>
      </w:r>
      <w:r>
        <w:t>Trưởng khu vực xem, duyệt hoặc trả lại kèm lý do.</w:t>
      </w:r>
    </w:p>
    <w:p>
      <w:pPr>
        <w:widowControl/>
      </w:pPr>
      <w:r>
        <w:rPr>
          <w:b/>
        </w:rPr>
        <w:t xml:space="preserve">Bước 4: </w:t>
      </w:r>
      <w:r>
        <w:t>Người có quyền ghi nhận khoản hoàn thực tế sau khi đã chi.</w:t>
      </w:r>
    </w:p>
    <w:p>
      <w:pPr>
        <w:widowControl/>
      </w:pPr>
      <w:r>
        <w:rPr>
          <w:b/>
        </w:rPr>
        <w:t xml:space="preserve">Bước 5: </w:t>
      </w:r>
      <w:r>
        <w:t>Vận hành xác nhận dọn xong; hệ thống mới đưa phòng vào sẵn sàng cho thuê.</w:t>
      </w:r>
    </w:p>
    <w:p>
      <w:pPr>
        <w:widowControl/>
      </w:pPr>
      <w:r>
        <w:rPr>
          <w:b/>
        </w:rPr>
        <w:t xml:space="preserve">Luồng thay thế / lỗi: </w:t>
      </w:r>
      <w:r>
        <w:t>Từ chối duyệt: quay lại đề nghị; khấu trừ vượt cọc: chờ quy tắc OI-07; chưa chi được: vẫn trạng thái đã duyệt/chưa hoàn; dọn trước chi: thứ tự cần khách xác nhận.</w:t>
      </w:r>
    </w:p>
    <w:p>
      <w:pPr>
        <w:widowControl/>
      </w:pPr>
      <w:r>
        <w:rPr>
          <w:b/>
        </w:rPr>
        <w:t xml:space="preserve">Hậu điều kiện: </w:t>
      </w:r>
      <w:r>
        <w:t>Hồ sơ hoàn và trạng thái phòng tách biệt; sự kiện đã hoàn chỉ phát sinh sau ghi nhận khoản chi.</w:t>
      </w:r>
    </w:p>
    <w:p>
      <w:pPr>
        <w:pStyle w:val="Heading2"/>
        <w:widowControl/>
      </w:pPr>
      <w:r>
        <w:t>UC-06 — Nhắc theo sự kiện và xử lý gửi lỗi</w:t>
      </w:r>
    </w:p>
    <w:p>
      <w:pPr>
        <w:widowControl/>
      </w:pPr>
      <w:r>
        <w:rPr>
          <w:b/>
        </w:rPr>
        <w:t xml:space="preserve">Tác nhân / liên kết: </w:t>
      </w:r>
      <w:r>
        <w:t>System / người giám sát • FR-ZAL-01/02/03/04/05</w:t>
      </w:r>
    </w:p>
    <w:p>
      <w:pPr>
        <w:widowControl/>
      </w:pPr>
      <w:r>
        <w:rPr>
          <w:b/>
        </w:rPr>
        <w:t xml:space="preserve">Tiền điều kiện: </w:t>
      </w:r>
      <w:r>
        <w:t>OA/app/mẫu và kênh SMS đủ điều kiện; cấu hình sự kiện và retry được duyệt.</w:t>
      </w:r>
    </w:p>
    <w:p>
      <w:pPr>
        <w:widowControl/>
      </w:pPr>
      <w:r>
        <w:rPr>
          <w:b/>
        </w:rPr>
        <w:t xml:space="preserve">Kích hoạt: </w:t>
      </w:r>
      <w:r>
        <w:t>Lịch hàng ngày hoặc sự kiện hoàn cọc đủ điều kiện theo cấu hình.</w:t>
      </w:r>
    </w:p>
    <w:p>
      <w:pPr>
        <w:widowControl/>
      </w:pPr>
      <w:r>
        <w:rPr>
          <w:b/>
        </w:rPr>
        <w:t xml:space="preserve">Bước 1: </w:t>
      </w:r>
      <w:r>
        <w:t>Tìm nghiệp vụ đủ điều kiện trong phạm vi thời gian và loại bật.</w:t>
      </w:r>
    </w:p>
    <w:p>
      <w:pPr>
        <w:widowControl/>
      </w:pPr>
      <w:r>
        <w:rPr>
          <w:b/>
        </w:rPr>
        <w:t xml:space="preserve">Bước 2: </w:t>
      </w:r>
      <w:r>
        <w:t>Lập sự kiện có mã chống trùng, kiểm tra SĐT và tham số.</w:t>
      </w:r>
    </w:p>
    <w:p>
      <w:pPr>
        <w:widowControl/>
      </w:pPr>
      <w:r>
        <w:rPr>
          <w:b/>
        </w:rPr>
        <w:t xml:space="preserve">Bước 3: </w:t>
      </w:r>
      <w:r>
        <w:t>Kiểm tra lại trạng thái nghiệp vụ ngay trước gửi rồi gọi kênh Zalo.</w:t>
      </w:r>
    </w:p>
    <w:p>
      <w:pPr>
        <w:widowControl/>
      </w:pPr>
      <w:r>
        <w:rPr>
          <w:b/>
        </w:rPr>
        <w:t xml:space="preserve">Bước 4: </w:t>
      </w:r>
      <w:r>
        <w:t>Lưu mã phản hồi; cập nhật bằng chứng giao nhận từ cơ chế nhà cung cấp hỗ trợ.</w:t>
      </w:r>
    </w:p>
    <w:p>
      <w:pPr>
        <w:widowControl/>
      </w:pPr>
      <w:r>
        <w:rPr>
          <w:b/>
        </w:rPr>
        <w:t xml:space="preserve">Bước 5: </w:t>
      </w:r>
      <w:r>
        <w:t>Nếu lỗi thuộc nhóm được duyệt, thực hiện retry/fallback có giới hạn và lưu quan hệ với sự kiện gốc.</w:t>
      </w:r>
    </w:p>
    <w:p>
      <w:pPr>
        <w:widowControl/>
      </w:pPr>
      <w:r>
        <w:rPr>
          <w:b/>
        </w:rPr>
        <w:t xml:space="preserve">Luồng thay thế / lỗi: </w:t>
      </w:r>
      <w:r>
        <w:t>Callback lặp: xử lý một lần; timeout: trạng thái chưa xác định; hết quota/token lỗi: dừng theo chính sách và báo người giám sát; SMS lỗi: chờ xử lý, không lặp vô hạn.</w:t>
      </w:r>
    </w:p>
    <w:p>
      <w:pPr>
        <w:widowControl/>
      </w:pPr>
      <w:r>
        <w:rPr>
          <w:b/>
        </w:rPr>
        <w:t xml:space="preserve">Hậu điều kiện: </w:t>
      </w:r>
      <w:r>
        <w:t>Mọi lần gửi truy được nguồn; không tạo thêm công nợ hoặc phiếu thu; không coi API chấp nhận là khách đã nhận.</w:t>
      </w:r>
    </w:p>
    <w:p>
      <w:pPr>
        <w:pStyle w:val="Heading2"/>
        <w:widowControl/>
      </w:pPr>
      <w:r>
        <w:t>UC-07 — Chốt báo cáo kỳ</w:t>
      </w:r>
    </w:p>
    <w:p>
      <w:pPr>
        <w:widowControl/>
      </w:pPr>
      <w:r>
        <w:rPr>
          <w:b/>
        </w:rPr>
        <w:t xml:space="preserve">Tác nhân / liên kết: </w:t>
      </w:r>
      <w:r>
        <w:t>Kế toán / Ban lãnh đạo • FR-FIN-08; FR-REP-01/02/03/04; FR-DSH-02</w:t>
      </w:r>
    </w:p>
    <w:p>
      <w:pPr>
        <w:widowControl/>
      </w:pPr>
      <w:r>
        <w:rPr>
          <w:b/>
        </w:rPr>
        <w:t xml:space="preserve">Tiền điều kiện: </w:t>
      </w:r>
      <w:r>
        <w:t>Công thức, phạm vi kỳ và người có quyền chốt đã duyệt.</w:t>
      </w:r>
    </w:p>
    <w:p>
      <w:pPr>
        <w:widowControl/>
      </w:pPr>
      <w:r>
        <w:rPr>
          <w:b/>
        </w:rPr>
        <w:t xml:space="preserve">Kích hoạt: </w:t>
      </w:r>
      <w:r>
        <w:t>Kết thúc kỳ báo cáo.</w:t>
      </w:r>
    </w:p>
    <w:p>
      <w:pPr>
        <w:widowControl/>
      </w:pPr>
      <w:r>
        <w:rPr>
          <w:b/>
        </w:rPr>
        <w:t xml:space="preserve">Bước 1: </w:t>
      </w:r>
      <w:r>
        <w:t>Đối chiếu hóa đơn, thu/chi, cọc, đầu tư và phân bổ theo tòa.</w:t>
      </w:r>
    </w:p>
    <w:p>
      <w:pPr>
        <w:widowControl/>
      </w:pPr>
      <w:r>
        <w:rPr>
          <w:b/>
        </w:rPr>
        <w:t xml:space="preserve">Bước 2: </w:t>
      </w:r>
      <w:r>
        <w:t>Xử lý khoản thiếu hoặc chênh lệch; không coi thiếu dữ liệu là 0.</w:t>
      </w:r>
    </w:p>
    <w:p>
      <w:pPr>
        <w:widowControl/>
      </w:pPr>
      <w:r>
        <w:rPr>
          <w:b/>
        </w:rPr>
        <w:t xml:space="preserve">Bước 3: </w:t>
      </w:r>
      <w:r>
        <w:t>Sinh bản tạm tính, kiểm tra tổng và chi tiết cấu thành.</w:t>
      </w:r>
    </w:p>
    <w:p>
      <w:pPr>
        <w:widowControl/>
      </w:pPr>
      <w:r>
        <w:rPr>
          <w:b/>
        </w:rPr>
        <w:t xml:space="preserve">Bước 4: </w:t>
      </w:r>
      <w:r>
        <w:t>Người có quyền chốt kỳ và công bố phiên bản báo cáo.</w:t>
      </w:r>
    </w:p>
    <w:p>
      <w:pPr>
        <w:widowControl/>
      </w:pPr>
      <w:r>
        <w:rPr>
          <w:b/>
        </w:rPr>
        <w:t xml:space="preserve">Luồng thay thế / lỗi: </w:t>
      </w:r>
      <w:r>
        <w:t>Phát hiện sai sau chốt: quy trình mở kỳ/điều chỉnh OI-13; dự báo không đủ dữ liệu: ghi thiếu, không tự suy mô hình.</w:t>
      </w:r>
    </w:p>
    <w:p>
      <w:pPr>
        <w:widowControl/>
      </w:pPr>
      <w:r>
        <w:rPr>
          <w:b/>
        </w:rPr>
        <w:t xml:space="preserve">Hậu điều kiện: </w:t>
      </w:r>
      <w:r>
        <w:t>Báo cáo thực tế có kỳ và dấu vết chốt; thay dữ liệu kỳ sau không hồi tố tùy ý.</w:t>
      </w:r>
    </w:p>
    <w:p>
      <w:pPr>
        <w:pStyle w:val="Heading2"/>
        <w:widowControl/>
      </w:pPr>
      <w:r>
        <w:t>UC-08 — Góp vốn và phân phối lợi nhuận</w:t>
      </w:r>
    </w:p>
    <w:p>
      <w:pPr>
        <w:widowControl/>
      </w:pPr>
      <w:r>
        <w:rPr>
          <w:b/>
        </w:rPr>
        <w:t xml:space="preserve">Tác nhân / liên kết: </w:t>
      </w:r>
      <w:r>
        <w:t>Kế toán / người duyệt theo OI-17 • FR-SHR-01/02/03/04</w:t>
      </w:r>
    </w:p>
    <w:p>
      <w:pPr>
        <w:widowControl/>
      </w:pPr>
      <w:r>
        <w:rPr>
          <w:b/>
        </w:rPr>
        <w:t xml:space="preserve">Tiền điều kiện: </w:t>
      </w:r>
      <w:r>
        <w:t>Mẫu chia vốn thật, cơ sở lợi nhuận và thời điểm hiệu lực đã chốt.</w:t>
      </w:r>
    </w:p>
    <w:p>
      <w:pPr>
        <w:widowControl/>
      </w:pPr>
      <w:r>
        <w:rPr>
          <w:b/>
        </w:rPr>
        <w:t xml:space="preserve">Kích hoạt: </w:t>
      </w:r>
      <w:r>
        <w:t>Ghi nhận góp vốn hoặc đến kỳ phân phối.</w:t>
      </w:r>
    </w:p>
    <w:p>
      <w:pPr>
        <w:widowControl/>
      </w:pPr>
      <w:r>
        <w:rPr>
          <w:b/>
        </w:rPr>
        <w:t xml:space="preserve">Bước 1: </w:t>
      </w:r>
      <w:r>
        <w:t>Ghi khoản góp, ngày hiệu lực và tòa; đối chiếu vốn thực nhận.</w:t>
      </w:r>
    </w:p>
    <w:p>
      <w:pPr>
        <w:widowControl/>
      </w:pPr>
      <w:r>
        <w:rPr>
          <w:b/>
        </w:rPr>
        <w:t xml:space="preserve">Bước 2: </w:t>
      </w:r>
      <w:r>
        <w:t>Xác định tỷ lệ có hiệu lực theo chính sách được duyệt.</w:t>
      </w:r>
    </w:p>
    <w:p>
      <w:pPr>
        <w:widowControl/>
      </w:pPr>
      <w:r>
        <w:rPr>
          <w:b/>
        </w:rPr>
        <w:t xml:space="preserve">Bước 3: </w:t>
      </w:r>
      <w:r>
        <w:t>Lấy khoản lợi nhuận được phép phân phối từ kỳ đã duyệt.</w:t>
      </w:r>
    </w:p>
    <w:p>
      <w:pPr>
        <w:widowControl/>
      </w:pPr>
      <w:r>
        <w:rPr>
          <w:b/>
        </w:rPr>
        <w:t xml:space="preserve">Bước 4: </w:t>
      </w:r>
      <w:r>
        <w:t>Lập bảng phân phối, xử lý làm tròn và phê duyệt trước công bố.</w:t>
      </w:r>
    </w:p>
    <w:p>
      <w:pPr>
        <w:widowControl/>
      </w:pPr>
      <w:r>
        <w:rPr>
          <w:b/>
        </w:rPr>
        <w:t xml:space="preserve">Luồng thay thế / lỗi: </w:t>
      </w:r>
      <w:r>
        <w:t>Tổng vốn 0: không tính; góp/rút giữa kỳ: dùng chính sách OI-17; kỳ lỗ: chưa tự bù vào vốn; chưa có portal: cung cấp báo cáo theo kênh đã chọn.</w:t>
      </w:r>
    </w:p>
    <w:p>
      <w:pPr>
        <w:widowControl/>
      </w:pPr>
      <w:r>
        <w:rPr>
          <w:b/>
        </w:rPr>
        <w:t xml:space="preserve">Hậu điều kiện: </w:t>
      </w:r>
      <w:r>
        <w:t>Bảng phân phối giữ nguồn tỷ lệ/kỳ; không đồng nghĩa tiền đã chi trả cho cổ đông.</w:t>
      </w:r>
    </w:p>
    <w:p>
      <w:pPr>
        <w:pStyle w:val="Heading2"/>
        <w:widowControl/>
      </w:pPr>
      <w:r>
        <w:t>UC-09 — Kiểm kê và bảo dưỡng</w:t>
      </w:r>
    </w:p>
    <w:p>
      <w:pPr>
        <w:widowControl/>
      </w:pPr>
      <w:r>
        <w:rPr>
          <w:b/>
        </w:rPr>
        <w:t xml:space="preserve">Tác nhân / liên kết: </w:t>
      </w:r>
      <w:r>
        <w:t>NV vận hành / Kỹ thuật / Trưởng khu vực • FR-MNT-01/02/03</w:t>
      </w:r>
    </w:p>
    <w:p>
      <w:pPr>
        <w:widowControl/>
      </w:pPr>
      <w:r>
        <w:rPr>
          <w:b/>
        </w:rPr>
        <w:t xml:space="preserve">Tiền điều kiện: </w:t>
      </w:r>
      <w:r>
        <w:t>Có danh sách thiết bị, người phụ trách và quyền theo tòa.</w:t>
      </w:r>
    </w:p>
    <w:p>
      <w:pPr>
        <w:widowControl/>
      </w:pPr>
      <w:r>
        <w:rPr>
          <w:b/>
        </w:rPr>
        <w:t xml:space="preserve">Kích hoạt: </w:t>
      </w:r>
      <w:r>
        <w:t>Đến lịch bảo dưỡng hoặc quý kiểm kê.</w:t>
      </w:r>
    </w:p>
    <w:p>
      <w:pPr>
        <w:widowControl/>
      </w:pPr>
      <w:r>
        <w:rPr>
          <w:b/>
        </w:rPr>
        <w:t xml:space="preserve">Bước 1: </w:t>
      </w:r>
      <w:r>
        <w:t>Hệ thống tạo nhắc trước 7 ngày cho lịch đủ điều kiện.</w:t>
      </w:r>
    </w:p>
    <w:p>
      <w:pPr>
        <w:widowControl/>
      </w:pPr>
      <w:r>
        <w:rPr>
          <w:b/>
        </w:rPr>
        <w:t xml:space="preserve">Bước 2: </w:t>
      </w:r>
      <w:r>
        <w:t>Nhân sự ghi kết quả bảo dưỡng hoặc nhập kiểm kê tài sản thực tế.</w:t>
      </w:r>
    </w:p>
    <w:p>
      <w:pPr>
        <w:widowControl/>
      </w:pPr>
      <w:r>
        <w:rPr>
          <w:b/>
        </w:rPr>
        <w:t xml:space="preserve">Bước 3: </w:t>
      </w:r>
      <w:r>
        <w:t>Báo chênh lệch/hiện trạng bằng chứng cho Trưởng khu vực.</w:t>
      </w:r>
    </w:p>
    <w:p>
      <w:pPr>
        <w:widowControl/>
      </w:pPr>
      <w:r>
        <w:rPr>
          <w:b/>
        </w:rPr>
        <w:t xml:space="preserve">Bước 4: </w:t>
      </w:r>
      <w:r>
        <w:t>Duyệt hoặc trả lại kết quả kiểm kê, giữ lịch sử.</w:t>
      </w:r>
    </w:p>
    <w:p>
      <w:pPr>
        <w:widowControl/>
      </w:pPr>
      <w:r>
        <w:rPr>
          <w:b/>
        </w:rPr>
        <w:t xml:space="preserve">Luồng thay thế / lỗi: </w:t>
      </w:r>
      <w:r>
        <w:t>Thiết bị không còn sử dụng: xử lý lịch theo OI-18; sự cố mới không tự sinh đơn mua hàng; quyền kỹ thuật chưa duyệt thì không cấp mặc định.</w:t>
      </w:r>
    </w:p>
    <w:p>
      <w:pPr>
        <w:widowControl/>
      </w:pPr>
      <w:r>
        <w:rPr>
          <w:b/>
        </w:rPr>
        <w:t xml:space="preserve">Hậu điều kiện: </w:t>
      </w:r>
      <w:r>
        <w:t>Có lịch sử thực hiện/kiểm kê; chênh lệch không tự ghi chi phí hoặc khấu hao.</w:t>
      </w:r>
    </w:p>
    <w:p>
      <w:bookmarkStart w:id="106" w:name="sec_6"/>
      <w:pPr>
        <w:pStyle w:val="Heading1"/>
        <w:widowControl/>
      </w:pPr>
      <w:r>
        <w:t>6. Mô hình trạng thái</w:t>
      </w:r>
      <w:bookmarkEnd w:id="106"/>
    </w:p>
    <w:p>
      <w:pPr>
        <w:widowControl/>
      </w:pPr>
      <w:r>
        <w:t>S1 §6 gộp tình trạng phòng, hợp đồng và hoàn cọc trong một sơ đồ. ĐX tách các trục dưới đây để phòng chưa dọn không bị hiểu là sẵn sàng và khoản đã duyệt không bị hiểu là đã trả. Đây là mô hình hành vi logic; không áp đặt schema DB.</w:t>
      </w:r>
    </w:p>
    <w:p>
      <w:pPr>
        <w:pStyle w:val="Heading2"/>
        <w:widowControl/>
      </w:pPr>
      <w:r>
        <w:t>6.1. Phòng và hợp đồng</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2800"/>
        <w:gridCol w:w="4200"/>
        <w:gridCol w:w="2360"/>
      </w:tblGrid>
      <w:tr>
        <w:trPr>
          <w:cantSplit/>
          <w:tblHeader/>
        </w:trPr>
        <w:tc>
          <w:tcPr>
            <w:tcW w:type="dxa" w:w="2800"/>
            <w:shd w:fill="F2F4F7"/>
          </w:tcPr>
          <w:p>
            <w:pPr>
              <w:pStyle w:val="TableText"/>
            </w:pPr>
            <w:r>
              <w:rPr>
                <w:b/>
              </w:rPr>
              <w:t>Đối tượng / trạng thái trước</w:t>
            </w:r>
          </w:p>
        </w:tc>
        <w:tc>
          <w:tcPr>
            <w:tcW w:type="dxa" w:w="4200"/>
            <w:shd w:fill="F2F4F7"/>
          </w:tcPr>
          <w:p>
            <w:pPr>
              <w:pStyle w:val="TableText"/>
            </w:pPr>
            <w:r>
              <w:rPr>
                <w:b/>
              </w:rPr>
              <w:t>Sự kiện và điều kiện</w:t>
            </w:r>
          </w:p>
        </w:tc>
        <w:tc>
          <w:tcPr>
            <w:tcW w:type="dxa" w:w="2360"/>
            <w:shd w:fill="F2F4F7"/>
          </w:tcPr>
          <w:p>
            <w:pPr>
              <w:pStyle w:val="TableText"/>
            </w:pPr>
            <w:r>
              <w:rPr>
                <w:b/>
              </w:rPr>
              <w:t>Trạng thái sau</w:t>
            </w:r>
          </w:p>
        </w:tc>
      </w:tr>
      <w:tr>
        <w:trPr>
          <w:cantSplit/>
        </w:trPr>
        <w:tc>
          <w:tcPr>
            <w:tcW w:type="dxa" w:w="2800"/>
          </w:tcPr>
          <w:p>
            <w:pPr>
              <w:pStyle w:val="TableText"/>
            </w:pPr>
            <w:r>
              <w:t>Phòng: Sẵn sàng</w:t>
            </w:r>
          </w:p>
        </w:tc>
        <w:tc>
          <w:tcPr>
            <w:tcW w:type="dxa" w:w="4200"/>
          </w:tcPr>
          <w:p>
            <w:pPr>
              <w:pStyle w:val="TableText"/>
            </w:pPr>
            <w:r>
              <w:t>Giữ chỗ hợp lệ; thời hạn theo OI-09</w:t>
            </w:r>
          </w:p>
        </w:tc>
        <w:tc>
          <w:tcPr>
            <w:tcW w:type="dxa" w:w="2360"/>
          </w:tcPr>
          <w:p>
            <w:pPr>
              <w:pStyle w:val="TableText"/>
            </w:pPr>
            <w:r>
              <w:t>Đang giữ chỗ</w:t>
            </w:r>
          </w:p>
        </w:tc>
      </w:tr>
      <w:tr>
        <w:trPr>
          <w:cantSplit/>
        </w:trPr>
        <w:tc>
          <w:tcPr>
            <w:tcW w:type="dxa" w:w="2800"/>
          </w:tcPr>
          <w:p>
            <w:pPr>
              <w:pStyle w:val="TableText"/>
            </w:pPr>
            <w:r>
              <w:t>Phòng: Đang giữ chỗ</w:t>
            </w:r>
          </w:p>
        </w:tc>
        <w:tc>
          <w:tcPr>
            <w:tcW w:type="dxa" w:w="4200"/>
          </w:tcPr>
          <w:p>
            <w:pPr>
              <w:pStyle w:val="TableText"/>
            </w:pPr>
            <w:r>
              <w:t>Hủy/hết hạn theo chính sách; phòng vẫn đủ điều kiện</w:t>
            </w:r>
          </w:p>
        </w:tc>
        <w:tc>
          <w:tcPr>
            <w:tcW w:type="dxa" w:w="2360"/>
          </w:tcPr>
          <w:p>
            <w:pPr>
              <w:pStyle w:val="TableText"/>
            </w:pPr>
            <w:r>
              <w:t>Sẵn sàng</w:t>
            </w:r>
          </w:p>
        </w:tc>
      </w:tr>
      <w:tr>
        <w:trPr>
          <w:cantSplit/>
        </w:trPr>
        <w:tc>
          <w:tcPr>
            <w:tcW w:type="dxa" w:w="2800"/>
          </w:tcPr>
          <w:p>
            <w:pPr>
              <w:pStyle w:val="TableText"/>
            </w:pPr>
            <w:r>
              <w:t>Phòng: Sẵn sàng/giữ chỗ</w:t>
            </w:r>
          </w:p>
        </w:tc>
        <w:tc>
          <w:tcPr>
            <w:tcW w:type="dxa" w:w="4200"/>
          </w:tcPr>
          <w:p>
            <w:pPr>
              <w:pStyle w:val="TableText"/>
            </w:pPr>
            <w:r>
              <w:t>Hợp đồng hiệu lực; không xung đột thuê</w:t>
            </w:r>
          </w:p>
        </w:tc>
        <w:tc>
          <w:tcPr>
            <w:tcW w:type="dxa" w:w="2360"/>
          </w:tcPr>
          <w:p>
            <w:pPr>
              <w:pStyle w:val="TableText"/>
            </w:pPr>
            <w:r>
              <w:t>Đang thuê</w:t>
            </w:r>
          </w:p>
        </w:tc>
      </w:tr>
      <w:tr>
        <w:trPr>
          <w:cantSplit/>
        </w:trPr>
        <w:tc>
          <w:tcPr>
            <w:tcW w:type="dxa" w:w="2800"/>
          </w:tcPr>
          <w:p>
            <w:pPr>
              <w:pStyle w:val="TableText"/>
            </w:pPr>
            <w:r>
              <w:t>Phòng: Đang thuê</w:t>
            </w:r>
          </w:p>
        </w:tc>
        <w:tc>
          <w:tcPr>
            <w:tcW w:type="dxa" w:w="4200"/>
          </w:tcPr>
          <w:p>
            <w:pPr>
              <w:pStyle w:val="TableText"/>
            </w:pPr>
            <w:r>
              <w:t>Xác nhận khách đã bàn giao thực tế</w:t>
            </w:r>
          </w:p>
        </w:tc>
        <w:tc>
          <w:tcPr>
            <w:tcW w:type="dxa" w:w="2360"/>
          </w:tcPr>
          <w:p>
            <w:pPr>
              <w:pStyle w:val="TableText"/>
            </w:pPr>
            <w:r>
              <w:t>Chờ dọn (thứ tự với hoàn cọc: OI-07)</w:t>
            </w:r>
          </w:p>
        </w:tc>
      </w:tr>
      <w:tr>
        <w:trPr>
          <w:cantSplit/>
        </w:trPr>
        <w:tc>
          <w:tcPr>
            <w:tcW w:type="dxa" w:w="2800"/>
          </w:tcPr>
          <w:p>
            <w:pPr>
              <w:pStyle w:val="TableText"/>
            </w:pPr>
            <w:r>
              <w:t>Phòng: Chờ dọn</w:t>
            </w:r>
          </w:p>
        </w:tc>
        <w:tc>
          <w:tcPr>
            <w:tcW w:type="dxa" w:w="4200"/>
          </w:tcPr>
          <w:p>
            <w:pPr>
              <w:pStyle w:val="TableText"/>
            </w:pPr>
            <w:r>
              <w:t>NV xác nhận dọn xong, đủ điều kiện sử dụng</w:t>
            </w:r>
          </w:p>
        </w:tc>
        <w:tc>
          <w:tcPr>
            <w:tcW w:type="dxa" w:w="2360"/>
          </w:tcPr>
          <w:p>
            <w:pPr>
              <w:pStyle w:val="TableText"/>
            </w:pPr>
            <w:r>
              <w:t>Sẵn sàng</w:t>
            </w:r>
          </w:p>
        </w:tc>
      </w:tr>
      <w:tr>
        <w:trPr>
          <w:cantSplit/>
        </w:trPr>
        <w:tc>
          <w:tcPr>
            <w:tcW w:type="dxa" w:w="2800"/>
          </w:tcPr>
          <w:p>
            <w:pPr>
              <w:pStyle w:val="TableText"/>
            </w:pPr>
            <w:r>
              <w:t>HĐ: Có hiệu lực</w:t>
            </w:r>
          </w:p>
        </w:tc>
        <w:tc>
          <w:tcPr>
            <w:tcW w:type="dxa" w:w="4200"/>
          </w:tcPr>
          <w:p>
            <w:pPr>
              <w:pStyle w:val="TableText"/>
            </w:pPr>
            <w:r>
              <w:t>Còn 35 ngày</w:t>
            </w:r>
          </w:p>
        </w:tc>
        <w:tc>
          <w:tcPr>
            <w:tcW w:type="dxa" w:w="2360"/>
          </w:tcPr>
          <w:p>
            <w:pPr>
              <w:pStyle w:val="TableText"/>
            </w:pPr>
            <w:r>
              <w:t>Vẫn có hiệu lực + cờ sắp hết hạn</w:t>
            </w:r>
          </w:p>
        </w:tc>
      </w:tr>
      <w:tr>
        <w:trPr>
          <w:cantSplit/>
        </w:trPr>
        <w:tc>
          <w:tcPr>
            <w:tcW w:type="dxa" w:w="2800"/>
          </w:tcPr>
          <w:p>
            <w:pPr>
              <w:pStyle w:val="TableText"/>
            </w:pPr>
            <w:r>
              <w:t>HĐ: Có hiệu lực</w:t>
            </w:r>
          </w:p>
        </w:tc>
        <w:tc>
          <w:tcPr>
            <w:tcW w:type="dxa" w:w="4200"/>
          </w:tcPr>
          <w:p>
            <w:pPr>
              <w:pStyle w:val="TableText"/>
            </w:pPr>
            <w:r>
              <w:t>Gia hạn được ghi nhận</w:t>
            </w:r>
          </w:p>
        </w:tc>
        <w:tc>
          <w:tcPr>
            <w:tcW w:type="dxa" w:w="2360"/>
          </w:tcPr>
          <w:p>
            <w:pPr>
              <w:pStyle w:val="TableText"/>
            </w:pPr>
            <w:r>
              <w:t>Gia hạn/liên kết HĐ mới theo OI-09</w:t>
            </w:r>
          </w:p>
        </w:tc>
      </w:tr>
      <w:tr>
        <w:trPr>
          <w:cantSplit/>
        </w:trPr>
        <w:tc>
          <w:tcPr>
            <w:tcW w:type="dxa" w:w="2800"/>
          </w:tcPr>
          <w:p>
            <w:pPr>
              <w:pStyle w:val="TableText"/>
            </w:pPr>
            <w:r>
              <w:t>HĐ: Có hiệu lực</w:t>
            </w:r>
          </w:p>
        </w:tc>
        <w:tc>
          <w:tcPr>
            <w:tcW w:type="dxa" w:w="4200"/>
          </w:tcPr>
          <w:p>
            <w:pPr>
              <w:pStyle w:val="TableText"/>
            </w:pPr>
            <w:r>
              <w:t>Kết thúc/phá HĐ được xác nhận</w:t>
            </w:r>
          </w:p>
        </w:tc>
        <w:tc>
          <w:tcPr>
            <w:tcW w:type="dxa" w:w="2360"/>
          </w:tcPr>
          <w:p>
            <w:pPr>
              <w:pStyle w:val="TableText"/>
            </w:pPr>
            <w:r>
              <w:t>Đã kết thúc; không tự xác nhận hoàn cọc</w:t>
            </w:r>
          </w:p>
        </w:tc>
      </w:tr>
    </w:tbl>
    <w:p>
      <w:pPr>
        <w:widowControl/>
      </w:pPr>
      <w:r>
        <w:t>Trạng thái “trống hết tháng” trên Tổng quan là nhóm dự kiến cần quy tắc riêng; không dùng làm cam kết phòng chắc chắn sẵn sàng. Phòng đang bảo trì không được tự coi sẵn sàng; trạng thái chi tiết chờ OI-18.</w:t>
      </w:r>
    </w:p>
    <w:p>
      <w:pPr>
        <w:pStyle w:val="Heading2"/>
        <w:widowControl/>
      </w:pPr>
      <w:r>
        <w:t>6.2. Hóa đơn, thanh toán và hoàn cọc</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1850"/>
        <w:gridCol w:w="3700"/>
        <w:gridCol w:w="3810"/>
      </w:tblGrid>
      <w:tr>
        <w:trPr>
          <w:cantSplit/>
          <w:tblHeader/>
        </w:trPr>
        <w:tc>
          <w:tcPr>
            <w:tcW w:type="dxa" w:w="1850"/>
            <w:shd w:fill="F2F4F7"/>
          </w:tcPr>
          <w:p>
            <w:pPr>
              <w:pStyle w:val="TableText"/>
            </w:pPr>
            <w:r>
              <w:rPr>
                <w:b/>
              </w:rPr>
              <w:t>Đối tượng</w:t>
            </w:r>
          </w:p>
        </w:tc>
        <w:tc>
          <w:tcPr>
            <w:tcW w:type="dxa" w:w="3700"/>
            <w:shd w:fill="F2F4F7"/>
          </w:tcPr>
          <w:p>
            <w:pPr>
              <w:pStyle w:val="TableText"/>
            </w:pPr>
            <w:r>
              <w:rPr>
                <w:b/>
              </w:rPr>
              <w:t>Chuyển trạng thái ĐX</w:t>
            </w:r>
          </w:p>
        </w:tc>
        <w:tc>
          <w:tcPr>
            <w:tcW w:type="dxa" w:w="3810"/>
            <w:shd w:fill="F2F4F7"/>
          </w:tcPr>
          <w:p>
            <w:pPr>
              <w:pStyle w:val="TableText"/>
            </w:pPr>
            <w:r>
              <w:rPr>
                <w:b/>
              </w:rPr>
              <w:t>Điều kiện bảo toàn</w:t>
            </w:r>
          </w:p>
        </w:tc>
      </w:tr>
      <w:tr>
        <w:trPr>
          <w:cantSplit/>
        </w:trPr>
        <w:tc>
          <w:tcPr>
            <w:tcW w:type="dxa" w:w="1850"/>
          </w:tcPr>
          <w:p>
            <w:pPr>
              <w:pStyle w:val="TableText"/>
            </w:pPr>
            <w:r>
              <w:t>Hóa đơn</w:t>
            </w:r>
          </w:p>
        </w:tc>
        <w:tc>
          <w:tcPr>
            <w:tcW w:type="dxa" w:w="3700"/>
          </w:tcPr>
          <w:p>
            <w:pPr>
              <w:pStyle w:val="TableText"/>
            </w:pPr>
            <w:r>
              <w:t>Nháp → Phát hành → Hủy/điều chỉnh theo quyền</w:t>
            </w:r>
          </w:p>
        </w:tc>
        <w:tc>
          <w:tcPr>
            <w:tcW w:type="dxa" w:w="3810"/>
          </w:tcPr>
          <w:p>
            <w:pPr>
              <w:pStyle w:val="TableText"/>
            </w:pPr>
            <w:r>
              <w:t>Bản phát hành giữ giá và số; không xóa phiếu đã có thu.</w:t>
            </w:r>
          </w:p>
        </w:tc>
      </w:tr>
      <w:tr>
        <w:trPr>
          <w:cantSplit/>
        </w:trPr>
        <w:tc>
          <w:tcPr>
            <w:tcW w:type="dxa" w:w="1850"/>
          </w:tcPr>
          <w:p>
            <w:pPr>
              <w:pStyle w:val="TableText"/>
            </w:pPr>
            <w:r>
              <w:t>Thanh toán hóa đơn</w:t>
            </w:r>
          </w:p>
        </w:tc>
        <w:tc>
          <w:tcPr>
            <w:tcW w:type="dxa" w:w="3700"/>
          </w:tcPr>
          <w:p>
            <w:pPr>
              <w:pStyle w:val="TableText"/>
            </w:pPr>
            <w:r>
              <w:t>Chưa thu → Thu một phần → Thu đủ (nếu duyệt)</w:t>
            </w:r>
          </w:p>
        </w:tc>
        <w:tc>
          <w:tcPr>
            <w:tcW w:type="dxa" w:w="3810"/>
          </w:tcPr>
          <w:p>
            <w:pPr>
              <w:pStyle w:val="TableText"/>
            </w:pPr>
            <w:r>
              <w:t>Suy từ phân bổ hợp lệ; nhãn quá hạn độc lập với mức đã thu.</w:t>
            </w:r>
          </w:p>
        </w:tc>
      </w:tr>
      <w:tr>
        <w:trPr>
          <w:cantSplit/>
        </w:trPr>
        <w:tc>
          <w:tcPr>
            <w:tcW w:type="dxa" w:w="1850"/>
          </w:tcPr>
          <w:p>
            <w:pPr>
              <w:pStyle w:val="TableText"/>
            </w:pPr>
            <w:r>
              <w:t>Hoàn cọc</w:t>
            </w:r>
          </w:p>
        </w:tc>
        <w:tc>
          <w:tcPr>
            <w:tcW w:type="dxa" w:w="3700"/>
          </w:tcPr>
          <w:p>
            <w:pPr>
              <w:pStyle w:val="TableText"/>
            </w:pPr>
            <w:r>
              <w:t>Nháp → Chờ duyệt → Đã duyệt → Đã hoàn</w:t>
            </w:r>
          </w:p>
        </w:tc>
        <w:tc>
          <w:tcPr>
            <w:tcW w:type="dxa" w:w="3810"/>
          </w:tcPr>
          <w:p>
            <w:pPr>
              <w:pStyle w:val="TableText"/>
            </w:pPr>
            <w:r>
              <w:t>Duyệt và chi là hai hành động; không ghi đã hoàn trước khoản chi.</w:t>
            </w:r>
          </w:p>
        </w:tc>
      </w:tr>
      <w:tr>
        <w:trPr>
          <w:cantSplit/>
        </w:trPr>
        <w:tc>
          <w:tcPr>
            <w:tcW w:type="dxa" w:w="1850"/>
          </w:tcPr>
          <w:p>
            <w:pPr>
              <w:pStyle w:val="TableText"/>
            </w:pPr>
            <w:r>
              <w:t>Hoàn cọc bị từ chối</w:t>
            </w:r>
          </w:p>
        </w:tc>
        <w:tc>
          <w:tcPr>
            <w:tcW w:type="dxa" w:w="3700"/>
          </w:tcPr>
          <w:p>
            <w:pPr>
              <w:pStyle w:val="TableText"/>
            </w:pPr>
            <w:r>
              <w:t>Chờ duyệt → Cần chỉnh sửa → Chờ duyệt</w:t>
            </w:r>
          </w:p>
        </w:tc>
        <w:tc>
          <w:tcPr>
            <w:tcW w:type="dxa" w:w="3810"/>
          </w:tcPr>
          <w:p>
            <w:pPr>
              <w:pStyle w:val="TableText"/>
            </w:pPr>
            <w:r>
              <w:t>Giữ lý do; thay số đã duyệt phải duyệt lại.</w:t>
            </w:r>
          </w:p>
        </w:tc>
      </w:tr>
      <w:tr>
        <w:trPr>
          <w:cantSplit/>
        </w:trPr>
        <w:tc>
          <w:tcPr>
            <w:tcW w:type="dxa" w:w="1850"/>
          </w:tcPr>
          <w:p>
            <w:pPr>
              <w:pStyle w:val="TableText"/>
            </w:pPr>
            <w:r>
              <w:t>Hoa hồng</w:t>
            </w:r>
          </w:p>
        </w:tc>
        <w:tc>
          <w:tcPr>
            <w:tcW w:type="dxa" w:w="3700"/>
          </w:tcPr>
          <w:p>
            <w:pPr>
              <w:pStyle w:val="TableText"/>
            </w:pPr>
            <w:r>
              <w:t>Tạm tính → Đủ điều kiện → Đã chi</w:t>
            </w:r>
          </w:p>
        </w:tc>
        <w:tc>
          <w:tcPr>
            <w:tcW w:type="dxa" w:w="3810"/>
          </w:tcPr>
          <w:p>
            <w:pPr>
              <w:pStyle w:val="TableText"/>
            </w:pPr>
            <w:r>
              <w:t>Đủ điều kiện sau khi khách đóng đủ cọc và ký hợp đồng; không chờ thu đủ tháng đầu.</w:t>
            </w:r>
          </w:p>
        </w:tc>
      </w:tr>
      <w:tr>
        <w:trPr>
          <w:cantSplit/>
        </w:trPr>
        <w:tc>
          <w:tcPr>
            <w:tcW w:type="dxa" w:w="1850"/>
          </w:tcPr>
          <w:p>
            <w:pPr>
              <w:pStyle w:val="TableText"/>
            </w:pPr>
            <w:r>
              <w:t>Báo cáo</w:t>
            </w:r>
          </w:p>
        </w:tc>
        <w:tc>
          <w:tcPr>
            <w:tcW w:type="dxa" w:w="3700"/>
          </w:tcPr>
          <w:p>
            <w:pPr>
              <w:pStyle w:val="TableText"/>
            </w:pPr>
            <w:r>
              <w:t>Tạm tính → Đã chốt → Điều chỉnh có dấu vết</w:t>
            </w:r>
          </w:p>
        </w:tc>
        <w:tc>
          <w:tcPr>
            <w:tcW w:type="dxa" w:w="3810"/>
          </w:tcPr>
          <w:p>
            <w:pPr>
              <w:pStyle w:val="TableText"/>
            </w:pPr>
            <w:r>
              <w:t>Không hồi tố báo cáo bằng sửa danh mục.</w:t>
            </w:r>
          </w:p>
        </w:tc>
      </w:tr>
    </w:tbl>
    <w:p>
      <w:pPr>
        <w:pStyle w:val="Heading2"/>
        <w:widowControl/>
      </w:pPr>
      <w:r>
        <w:t>6.3. Thông báo</w:t>
      </w:r>
    </w:p>
    <w:p>
      <w:pPr>
        <w:widowControl/>
      </w:pPr>
      <w:r>
        <w:t>ĐX: Chờ gửi → Đã gửi yêu cầu → Nhà cung cấp tiếp nhận → Đã giao hoặc Thất bại. Khi timeout, dùng Chưa xác định; chỉ chuyển khi có bằng chứng. Hủy trước gửi áp dụng khi nghiệp vụ không còn đủ điều kiện. Trạng thái SMS theo dõi riêng, liên kết cùng sự kiện. Trạng thái và mã lỗi thực tế phải ánh xạ theo API hiện hành tại thời điểm triển khai; đây là mô hình nội bộ đề xuất.</w:t>
      </w:r>
    </w:p>
    <w:p>
      <w:bookmarkStart w:id="107" w:name="sec_7"/>
      <w:pPr>
        <w:pStyle w:val="Heading1"/>
        <w:widowControl/>
      </w:pPr>
      <w:r>
        <w:t>7. Yêu cầu dữ liệu</w:t>
      </w:r>
      <w:bookmarkEnd w:id="107"/>
    </w:p>
    <w:p>
      <w:pPr>
        <w:pStyle w:val="Heading2"/>
        <w:widowControl/>
      </w:pPr>
      <w:r>
        <w:t>7.1. Danh mục thực thể và dữ liệu tối thiểu</w:t>
      </w:r>
    </w:p>
    <w:p>
      <w:pPr>
        <w:widowControl/>
      </w:pPr>
      <w:r>
        <w:t>Tên trường bằng tiếng Việt nhằm review nghiệp vụ; không phải tên cột DB. “Tối thiểu ĐX” dưới đây là bộ trường BA đề xuất để hỗ trợ FR, chưa được coi toàn bộ là bắt buộc do khách hàng xác nhận. Kiểu và độ dài kỹ thuật được chốt tại thiết kế dữ liệu.</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1950"/>
        <w:gridCol w:w="4900"/>
        <w:gridCol w:w="2510"/>
      </w:tblGrid>
      <w:tr>
        <w:trPr>
          <w:cantSplit/>
          <w:tblHeader/>
        </w:trPr>
        <w:tc>
          <w:tcPr>
            <w:tcW w:type="dxa" w:w="1950"/>
            <w:shd w:fill="F2F4F7"/>
          </w:tcPr>
          <w:p>
            <w:pPr>
              <w:pStyle w:val="TableText"/>
            </w:pPr>
            <w:r>
              <w:rPr>
                <w:b/>
              </w:rPr>
              <w:t>Thực thể</w:t>
            </w:r>
          </w:p>
        </w:tc>
        <w:tc>
          <w:tcPr>
            <w:tcW w:type="dxa" w:w="4900"/>
            <w:shd w:fill="F2F4F7"/>
          </w:tcPr>
          <w:p>
            <w:pPr>
              <w:pStyle w:val="TableText"/>
            </w:pPr>
            <w:r>
              <w:rPr>
                <w:b/>
              </w:rPr>
              <w:t>Trường nghiệp vụ tối thiểu ĐX</w:t>
            </w:r>
          </w:p>
        </w:tc>
        <w:tc>
          <w:tcPr>
            <w:tcW w:type="dxa" w:w="2510"/>
            <w:shd w:fill="F2F4F7"/>
          </w:tcPr>
          <w:p>
            <w:pPr>
              <w:pStyle w:val="TableText"/>
            </w:pPr>
            <w:r>
              <w:rPr>
                <w:b/>
              </w:rPr>
              <w:t>Nguồn / FR</w:t>
            </w:r>
          </w:p>
        </w:tc>
      </w:tr>
      <w:tr>
        <w:trPr>
          <w:cantSplit/>
        </w:trPr>
        <w:tc>
          <w:tcPr>
            <w:tcW w:type="dxa" w:w="1950"/>
          </w:tcPr>
          <w:p>
            <w:pPr>
              <w:pStyle w:val="TableText"/>
            </w:pPr>
            <w:r>
              <w:t>Chủ nhà / HĐ đầu vào</w:t>
            </w:r>
          </w:p>
        </w:tc>
        <w:tc>
          <w:tcPr>
            <w:tcW w:type="dxa" w:w="4900"/>
          </w:tcPr>
          <w:p>
            <w:pPr>
              <w:pStyle w:val="TableText"/>
            </w:pPr>
            <w:r>
              <w:t>Mã, họ tên/tên đối tác, liên hệ; tòa, giá, cọc, thời hạn, giữ giá, file</w:t>
            </w:r>
          </w:p>
        </w:tc>
        <w:tc>
          <w:tcPr>
            <w:tcW w:type="dxa" w:w="2510"/>
          </w:tcPr>
          <w:p>
            <w:pPr>
              <w:pStyle w:val="TableText"/>
            </w:pPr>
            <w:r>
              <w:t>S1 §4.2.A; FR-BLD-01</w:t>
            </w:r>
          </w:p>
        </w:tc>
      </w:tr>
      <w:tr>
        <w:trPr>
          <w:cantSplit/>
        </w:trPr>
        <w:tc>
          <w:tcPr>
            <w:tcW w:type="dxa" w:w="1950"/>
          </w:tcPr>
          <w:p>
            <w:pPr>
              <w:pStyle w:val="TableText"/>
            </w:pPr>
            <w:r>
              <w:t>Tòa nhà</w:t>
            </w:r>
          </w:p>
        </w:tc>
        <w:tc>
          <w:tcPr>
            <w:tcW w:type="dxa" w:w="4900"/>
          </w:tcPr>
          <w:p>
            <w:pPr>
              <w:pStyle w:val="TableText"/>
            </w:pPr>
            <w:r>
              <w:t>Mã, địa chỉ, khu vực, loại hình, số tầng, phòng, tiện ích, ĐKKD, phụ trách</w:t>
            </w:r>
          </w:p>
        </w:tc>
        <w:tc>
          <w:tcPr>
            <w:tcW w:type="dxa" w:w="2510"/>
          </w:tcPr>
          <w:p>
            <w:pPr>
              <w:pStyle w:val="TableText"/>
            </w:pPr>
            <w:r>
              <w:t>S1 §4.2.B; FR-BLD-02</w:t>
            </w:r>
          </w:p>
        </w:tc>
      </w:tr>
      <w:tr>
        <w:trPr>
          <w:cantSplit/>
        </w:trPr>
        <w:tc>
          <w:tcPr>
            <w:tcW w:type="dxa" w:w="1950"/>
          </w:tcPr>
          <w:p>
            <w:pPr>
              <w:pStyle w:val="TableText"/>
            </w:pPr>
            <w:r>
              <w:t>Phòng</w:t>
            </w:r>
          </w:p>
        </w:tc>
        <w:tc>
          <w:tcPr>
            <w:tcW w:type="dxa" w:w="4900"/>
          </w:tcPr>
          <w:p>
            <w:pPr>
              <w:pStyle w:val="TableText"/>
            </w:pPr>
            <w:r>
              <w:t>Mã phòng, tòa, trạng thái vật lý, khả dụng, lịch sử hợp đồng</w:t>
            </w:r>
          </w:p>
        </w:tc>
        <w:tc>
          <w:tcPr>
            <w:tcW w:type="dxa" w:w="2510"/>
          </w:tcPr>
          <w:p>
            <w:pPr>
              <w:pStyle w:val="TableText"/>
            </w:pPr>
            <w:r>
              <w:t>S1 §6/§10; FR-BLD-03</w:t>
            </w:r>
          </w:p>
        </w:tc>
      </w:tr>
      <w:tr>
        <w:trPr>
          <w:cantSplit/>
        </w:trPr>
        <w:tc>
          <w:tcPr>
            <w:tcW w:type="dxa" w:w="1950"/>
          </w:tcPr>
          <w:p>
            <w:pPr>
              <w:pStyle w:val="TableText"/>
            </w:pPr>
            <w:r>
              <w:t>Khách thuê</w:t>
            </w:r>
          </w:p>
        </w:tc>
        <w:tc>
          <w:tcPr>
            <w:tcW w:type="dxa" w:w="4900"/>
          </w:tcPr>
          <w:p>
            <w:pPr>
              <w:pStyle w:val="TableText"/>
            </w:pPr>
            <w:r>
              <w:t>Mã khách, tên, SĐT, nghề nghiệp; các lần thuê</w:t>
            </w:r>
          </w:p>
        </w:tc>
        <w:tc>
          <w:tcPr>
            <w:tcW w:type="dxa" w:w="2510"/>
          </w:tcPr>
          <w:p>
            <w:pPr>
              <w:pStyle w:val="TableText"/>
            </w:pPr>
            <w:r>
              <w:t>S1 §4.3; FR-CUS-01</w:t>
            </w:r>
          </w:p>
        </w:tc>
      </w:tr>
      <w:tr>
        <w:trPr>
          <w:cantSplit/>
        </w:trPr>
        <w:tc>
          <w:tcPr>
            <w:tcW w:type="dxa" w:w="1950"/>
          </w:tcPr>
          <w:p>
            <w:pPr>
              <w:pStyle w:val="TableText"/>
            </w:pPr>
            <w:r>
              <w:t>HĐ thuê khách</w:t>
            </w:r>
          </w:p>
        </w:tc>
        <w:tc>
          <w:tcPr>
            <w:tcW w:type="dxa" w:w="4900"/>
          </w:tcPr>
          <w:p>
            <w:pPr>
              <w:pStyle w:val="TableText"/>
            </w:pPr>
            <w:r>
              <w:t>Mã, khách, một hoặc nhiều phòng, kỳ thuê, giá, cọc, hạn trả, file, liên kết gia hạn</w:t>
            </w:r>
          </w:p>
        </w:tc>
        <w:tc>
          <w:tcPr>
            <w:tcW w:type="dxa" w:w="2510"/>
          </w:tcPr>
          <w:p>
            <w:pPr>
              <w:pStyle w:val="TableText"/>
            </w:pPr>
            <w:r>
              <w:t>S1 §4.3/§5; FR-CUS-02/04</w:t>
            </w:r>
          </w:p>
        </w:tc>
      </w:tr>
      <w:tr>
        <w:trPr>
          <w:cantSplit/>
        </w:trPr>
        <w:tc>
          <w:tcPr>
            <w:tcW w:type="dxa" w:w="1950"/>
          </w:tcPr>
          <w:p>
            <w:pPr>
              <w:pStyle w:val="TableText"/>
            </w:pPr>
            <w:r>
              <w:t>Dịch vụ áp dụng</w:t>
            </w:r>
          </w:p>
        </w:tc>
        <w:tc>
          <w:tcPr>
            <w:tcW w:type="dxa" w:w="4900"/>
          </w:tcPr>
          <w:p>
            <w:pPr>
              <w:pStyle w:val="TableText"/>
            </w:pPr>
            <w:r>
              <w:t>Loại, đơn vị, đơn giá, số lượng/số xe, hiệu lực, hợp đồng</w:t>
            </w:r>
          </w:p>
        </w:tc>
        <w:tc>
          <w:tcPr>
            <w:tcW w:type="dxa" w:w="2510"/>
          </w:tcPr>
          <w:p>
            <w:pPr>
              <w:pStyle w:val="TableText"/>
            </w:pPr>
            <w:r>
              <w:t>S1 §4.3; FR-CUS-03</w:t>
            </w:r>
          </w:p>
        </w:tc>
      </w:tr>
      <w:tr>
        <w:trPr>
          <w:cantSplit/>
        </w:trPr>
        <w:tc>
          <w:tcPr>
            <w:tcW w:type="dxa" w:w="1950"/>
          </w:tcPr>
          <w:p>
            <w:pPr>
              <w:pStyle w:val="TableText"/>
            </w:pPr>
            <w:r>
              <w:t>Hóa đơn / dòng phí</w:t>
            </w:r>
          </w:p>
        </w:tc>
        <w:tc>
          <w:tcPr>
            <w:tcW w:type="dxa" w:w="4900"/>
          </w:tcPr>
          <w:p>
            <w:pPr>
              <w:pStyle w:val="TableText"/>
            </w:pPr>
            <w:r>
              <w:t>Mã, HĐ, kỳ, hạn, trạng thái; loại phí, số lượng, đơn giá, số tiền</w:t>
            </w:r>
          </w:p>
        </w:tc>
        <w:tc>
          <w:tcPr>
            <w:tcW w:type="dxa" w:w="2510"/>
          </w:tcPr>
          <w:p>
            <w:pPr>
              <w:pStyle w:val="TableText"/>
            </w:pPr>
            <w:r>
              <w:t>S1 §4.4; FR-FIN-01/02</w:t>
            </w:r>
          </w:p>
        </w:tc>
      </w:tr>
      <w:tr>
        <w:trPr>
          <w:cantSplit/>
        </w:trPr>
        <w:tc>
          <w:tcPr>
            <w:tcW w:type="dxa" w:w="1950"/>
          </w:tcPr>
          <w:p>
            <w:pPr>
              <w:pStyle w:val="TableText"/>
            </w:pPr>
            <w:r>
              <w:t>Khoản thu / phân bổ</w:t>
            </w:r>
          </w:p>
        </w:tc>
        <w:tc>
          <w:tcPr>
            <w:tcW w:type="dxa" w:w="4900"/>
          </w:tcPr>
          <w:p>
            <w:pPr>
              <w:pStyle w:val="TableText"/>
            </w:pPr>
            <w:r>
              <w:t>Mã, khách, ngày, số tiền, người thu, phương thức; hóa đơn và số phân bổ</w:t>
            </w:r>
          </w:p>
        </w:tc>
        <w:tc>
          <w:tcPr>
            <w:tcW w:type="dxa" w:w="2510"/>
          </w:tcPr>
          <w:p>
            <w:pPr>
              <w:pStyle w:val="TableText"/>
            </w:pPr>
            <w:r>
              <w:t>BA từ S1 §4.3/§5; FR-FIN-03</w:t>
            </w:r>
          </w:p>
        </w:tc>
      </w:tr>
      <w:tr>
        <w:trPr>
          <w:cantSplit/>
        </w:trPr>
        <w:tc>
          <w:tcPr>
            <w:tcW w:type="dxa" w:w="1950"/>
          </w:tcPr>
          <w:p>
            <w:pPr>
              <w:pStyle w:val="TableText"/>
            </w:pPr>
            <w:r>
              <w:t>Hoàn cọc / khấu trừ</w:t>
            </w:r>
          </w:p>
        </w:tc>
        <w:tc>
          <w:tcPr>
            <w:tcW w:type="dxa" w:w="4900"/>
          </w:tcPr>
          <w:p>
            <w:pPr>
              <w:pStyle w:val="TableText"/>
            </w:pPr>
            <w:r>
              <w:t>HĐ, cọc giữ, dòng khấu trừ, đề nghị, duyệt, thực chi, bằng chứng</w:t>
            </w:r>
          </w:p>
        </w:tc>
        <w:tc>
          <w:tcPr>
            <w:tcW w:type="dxa" w:w="2510"/>
          </w:tcPr>
          <w:p>
            <w:pPr>
              <w:pStyle w:val="TableText"/>
            </w:pPr>
            <w:r>
              <w:t>S1 §4.4; FR-FIN-06/07</w:t>
            </w:r>
          </w:p>
        </w:tc>
      </w:tr>
      <w:tr>
        <w:trPr>
          <w:cantSplit/>
        </w:trPr>
        <w:tc>
          <w:tcPr>
            <w:tcW w:type="dxa" w:w="1950"/>
          </w:tcPr>
          <w:p>
            <w:pPr>
              <w:pStyle w:val="TableText"/>
            </w:pPr>
            <w:r>
              <w:t>Chi phí / đầu tư / tài sản</w:t>
            </w:r>
          </w:p>
        </w:tc>
        <w:tc>
          <w:tcPr>
            <w:tcW w:type="dxa" w:w="4900"/>
          </w:tcPr>
          <w:p>
            <w:pPr>
              <w:pStyle w:val="TableText"/>
            </w:pPr>
            <w:r>
              <w:t>Tòa, loại, số tiền, ngày, chứng từ; nguyên giá, thời gian sử dụng</w:t>
            </w:r>
          </w:p>
        </w:tc>
        <w:tc>
          <w:tcPr>
            <w:tcW w:type="dxa" w:w="2510"/>
          </w:tcPr>
          <w:p>
            <w:pPr>
              <w:pStyle w:val="TableText"/>
            </w:pPr>
            <w:r>
              <w:t>S1 §4.2.C/§4.4; FR-BLD-04/FIN-05</w:t>
            </w:r>
          </w:p>
        </w:tc>
      </w:tr>
      <w:tr>
        <w:trPr>
          <w:cantSplit/>
        </w:trPr>
        <w:tc>
          <w:tcPr>
            <w:tcW w:type="dxa" w:w="1950"/>
          </w:tcPr>
          <w:p>
            <w:pPr>
              <w:pStyle w:val="TableText"/>
            </w:pPr>
            <w:r>
              <w:t>Lead / giao dịch / hoa hồng</w:t>
            </w:r>
          </w:p>
        </w:tc>
        <w:tc>
          <w:tcPr>
            <w:tcW w:type="dxa" w:w="4900"/>
          </w:tcPr>
          <w:p>
            <w:pPr>
              <w:pStyle w:val="TableText"/>
            </w:pPr>
            <w:r>
              <w:t>Người phụ trách, nguồn, kết quả; khách, phòng, HĐ, cá nhân chốt, hoa hồng</w:t>
            </w:r>
          </w:p>
        </w:tc>
        <w:tc>
          <w:tcPr>
            <w:tcW w:type="dxa" w:w="2510"/>
          </w:tcPr>
          <w:p>
            <w:pPr>
              <w:pStyle w:val="TableText"/>
            </w:pPr>
            <w:r>
              <w:t>S1 §4.5; FR-SAL-01/02/03</w:t>
            </w:r>
          </w:p>
        </w:tc>
      </w:tr>
      <w:tr>
        <w:trPr>
          <w:cantSplit/>
        </w:trPr>
        <w:tc>
          <w:tcPr>
            <w:tcW w:type="dxa" w:w="1950"/>
          </w:tcPr>
          <w:p>
            <w:pPr>
              <w:pStyle w:val="TableText"/>
            </w:pPr>
            <w:r>
              <w:t>Nhân viên / bảng lương</w:t>
            </w:r>
          </w:p>
        </w:tc>
        <w:tc>
          <w:tcPr>
            <w:tcW w:type="dxa" w:w="4900"/>
          </w:tcPr>
          <w:p>
            <w:pPr>
              <w:pStyle w:val="TableText"/>
            </w:pPr>
            <w:r>
              <w:t>Mã, bộ phận, chức danh, trạng thái; kỳ và thành phần lương</w:t>
            </w:r>
          </w:p>
        </w:tc>
        <w:tc>
          <w:tcPr>
            <w:tcW w:type="dxa" w:w="2510"/>
          </w:tcPr>
          <w:p>
            <w:pPr>
              <w:pStyle w:val="TableText"/>
            </w:pPr>
            <w:r>
              <w:t>S1 §4.7; FR-HR-01/02</w:t>
            </w:r>
          </w:p>
        </w:tc>
      </w:tr>
      <w:tr>
        <w:trPr>
          <w:cantSplit/>
        </w:trPr>
        <w:tc>
          <w:tcPr>
            <w:tcW w:type="dxa" w:w="1950"/>
          </w:tcPr>
          <w:p>
            <w:pPr>
              <w:pStyle w:val="TableText"/>
            </w:pPr>
            <w:r>
              <w:t>Cổ đông / vốn góp</w:t>
            </w:r>
          </w:p>
        </w:tc>
        <w:tc>
          <w:tcPr>
            <w:tcW w:type="dxa" w:w="4900"/>
          </w:tcPr>
          <w:p>
            <w:pPr>
              <w:pStyle w:val="TableText"/>
            </w:pPr>
            <w:r>
              <w:t>Mã, tòa, vốn cam kết/thực góp, ngày hiệu lực, tỷ lệ vốn nhập tay, chu kỳ trả chủ nhà và lịch đóng góp</w:t>
            </w:r>
          </w:p>
        </w:tc>
        <w:tc>
          <w:tcPr>
            <w:tcW w:type="dxa" w:w="2510"/>
          </w:tcPr>
          <w:p>
            <w:pPr>
              <w:pStyle w:val="TableText"/>
            </w:pPr>
            <w:r>
              <w:t>S1 §4.8; FR-SHR-01/02</w:t>
            </w:r>
          </w:p>
        </w:tc>
      </w:tr>
      <w:tr>
        <w:trPr>
          <w:cantSplit/>
        </w:trPr>
        <w:tc>
          <w:tcPr>
            <w:tcW w:type="dxa" w:w="1950"/>
          </w:tcPr>
          <w:p>
            <w:pPr>
              <w:pStyle w:val="TableText"/>
            </w:pPr>
            <w:r>
              <w:t>Lịch bảo dưỡng / kiểm kê</w:t>
            </w:r>
          </w:p>
        </w:tc>
        <w:tc>
          <w:tcPr>
            <w:tcW w:type="dxa" w:w="4900"/>
          </w:tcPr>
          <w:p>
            <w:pPr>
              <w:pStyle w:val="TableText"/>
            </w:pPr>
            <w:r>
              <w:t>Tòa, thiết bị, lịch nhắc; kiểm kê hàng tháng, kết quả và người phụ trách Admin/Kế toán</w:t>
            </w:r>
          </w:p>
        </w:tc>
        <w:tc>
          <w:tcPr>
            <w:tcW w:type="dxa" w:w="2510"/>
          </w:tcPr>
          <w:p>
            <w:pPr>
              <w:pStyle w:val="TableText"/>
            </w:pPr>
            <w:r>
              <w:t>S1 §4.9; FR-MNT-01/02</w:t>
            </w:r>
          </w:p>
        </w:tc>
      </w:tr>
      <w:tr>
        <w:trPr>
          <w:cantSplit/>
        </w:trPr>
        <w:tc>
          <w:tcPr>
            <w:tcW w:type="dxa" w:w="1950"/>
          </w:tcPr>
          <w:p>
            <w:pPr>
              <w:pStyle w:val="TableText"/>
            </w:pPr>
            <w:r>
              <w:t>Tệp hồ sơ</w:t>
            </w:r>
          </w:p>
        </w:tc>
        <w:tc>
          <w:tcPr>
            <w:tcW w:type="dxa" w:w="4900"/>
          </w:tcPr>
          <w:p>
            <w:pPr>
              <w:pStyle w:val="TableText"/>
            </w:pPr>
            <w:r>
              <w:t>Tên, loại, kích thước, đối tượng, người tải, ngày, phạm vi quyền</w:t>
            </w:r>
          </w:p>
        </w:tc>
        <w:tc>
          <w:tcPr>
            <w:tcW w:type="dxa" w:w="2510"/>
          </w:tcPr>
          <w:p>
            <w:pPr>
              <w:pStyle w:val="TableText"/>
            </w:pPr>
            <w:r>
              <w:t>S1 §3/§4.2/§4.3; FR-DOC-01/02</w:t>
            </w:r>
          </w:p>
        </w:tc>
      </w:tr>
      <w:tr>
        <w:trPr>
          <w:cantSplit/>
        </w:trPr>
        <w:tc>
          <w:tcPr>
            <w:tcW w:type="dxa" w:w="1950"/>
          </w:tcPr>
          <w:p>
            <w:pPr>
              <w:pStyle w:val="TableText"/>
            </w:pPr>
            <w:r>
              <w:t>Thông báo / lần gửi</w:t>
            </w:r>
          </w:p>
        </w:tc>
        <w:tc>
          <w:tcPr>
            <w:tcW w:type="dxa" w:w="4900"/>
          </w:tcPr>
          <w:p>
            <w:pPr>
              <w:pStyle w:val="TableText"/>
            </w:pPr>
            <w:r>
              <w:t>Điều kiện/thời điểm rule, đối tượng, người nhận, mẫu, mã gửi, kênh, thời gian, lỗi, hội thoại và Trưởng phòng phụ trách</w:t>
            </w:r>
          </w:p>
        </w:tc>
        <w:tc>
          <w:tcPr>
            <w:tcW w:type="dxa" w:w="2510"/>
          </w:tcPr>
          <w:p>
            <w:pPr>
              <w:pStyle w:val="TableText"/>
            </w:pPr>
            <w:r>
              <w:t>S1 §7; FR-ZAL-01 đến 05</w:t>
            </w:r>
          </w:p>
        </w:tc>
      </w:tr>
    </w:tbl>
    <w:p>
      <w:pPr>
        <w:pStyle w:val="Heading2"/>
        <w:widowControl/>
      </w:pPr>
      <w:r>
        <w:t>7.2. Quan hệ và tính toàn vẹn</w:t>
      </w:r>
    </w:p>
    <w:p>
      <w:pPr>
        <w:pStyle w:val="ListBullet"/>
        <w:widowControl/>
        <w:numPr>
          <w:ilvl w:val="0"/>
          <w:numId w:val="50"/>
        </w:numPr>
      </w:pPr>
      <w:r>
        <w:t>Một tòa gồm nhiều phòng; mã phòng duy nhất trong tòa. Số phòng và mã tòa không thay thế khóa định danh bất biến của bản ghi (ĐX).</w:t>
      </w:r>
    </w:p>
    <w:p>
      <w:pPr>
        <w:pStyle w:val="ListBullet"/>
        <w:widowControl/>
        <w:numPr>
          <w:ilvl w:val="0"/>
          <w:numId w:val="50"/>
        </w:numPr>
      </w:pPr>
      <w:r>
        <w:t>Một phòng có nhiều hợp đồng theo thời gian; một khách có nhiều lần thuê. Quan hệ người đại diện/người ở cùng chưa được nguồn mô tả và nằm tại OI-05.</w:t>
      </w:r>
    </w:p>
    <w:p>
      <w:pPr>
        <w:pStyle w:val="ListBullet"/>
        <w:widowControl/>
        <w:numPr>
          <w:ilvl w:val="0"/>
          <w:numId w:val="50"/>
        </w:numPr>
      </w:pPr>
      <w:r>
        <w:t>Hóa đơn liên kết hợp đồng; mỗi hóa đơn có các dòng phí. ĐX khoản thu có các dòng phân bổ để hỗ trợ thu một phần/nhiều hóa đơn khi OI-06 được duyệt.</w:t>
      </w:r>
    </w:p>
    <w:p>
      <w:pPr>
        <w:pStyle w:val="ListBullet"/>
        <w:widowControl/>
        <w:numPr>
          <w:ilvl w:val="0"/>
          <w:numId w:val="50"/>
        </w:numPr>
      </w:pPr>
      <w:r>
        <w:t>Một hồ sơ hoàn cọc có nhiều dòng khấu trừ và bằng chứng; không dùng một quan hệ tới một đơn giá để thay toàn bộ danh sách hạng mục trong ERD nguồn.</w:t>
      </w:r>
    </w:p>
    <w:p>
      <w:pPr>
        <w:pStyle w:val="ListBullet"/>
        <w:widowControl/>
        <w:numPr>
          <w:ilvl w:val="0"/>
          <w:numId w:val="50"/>
        </w:numPr>
      </w:pPr>
      <w:r>
        <w:t>Cổ đông và tòa là quan hệ nhiều–nhiều qua khoản góp; cần ngày hiệu lực để tránh tỷ lệ hiện tại ghi đè tỷ lệ kỳ trước.</w:t>
      </w:r>
    </w:p>
    <w:p>
      <w:pPr>
        <w:pStyle w:val="ListBullet"/>
        <w:widowControl/>
        <w:numPr>
          <w:ilvl w:val="0"/>
          <w:numId w:val="50"/>
        </w:numPr>
      </w:pPr>
      <w:r>
        <w:t>Thông báo liên kết sự kiện nghiệp vụ và nhiều lần thử. SĐT lưu với thời điểm sử dụng; việc có SĐT không chứng minh tài khoản Zalo hay quyền nhận tin.</w:t>
      </w:r>
    </w:p>
    <w:p>
      <w:pPr>
        <w:pStyle w:val="ListBullet"/>
        <w:widowControl/>
        <w:numPr>
          <w:ilvl w:val="0"/>
          <w:numId w:val="50"/>
        </w:numPr>
      </w:pPr>
      <w:r>
        <w:t>ĐX: lưu lịch sử phân công nhân sự theo thời gian; quan hệ nhân viên–tòa trong ERD nguồn chưa mô tả nhiều người cùng phụ trách một tòa và thay đổi phân công theo thời gian.</w:t>
      </w:r>
    </w:p>
    <w:p>
      <w:pPr>
        <w:pStyle w:val="Heading2"/>
        <w:widowControl/>
      </w:pPr>
      <w:r>
        <w:t>7.3. Validation và định dạng ĐX</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2450"/>
        <w:gridCol w:w="6910"/>
      </w:tblGrid>
      <w:tr>
        <w:trPr>
          <w:cantSplit/>
          <w:tblHeader/>
        </w:trPr>
        <w:tc>
          <w:tcPr>
            <w:tcW w:type="dxa" w:w="2450"/>
            <w:shd w:fill="F2F4F7"/>
          </w:tcPr>
          <w:p>
            <w:pPr>
              <w:pStyle w:val="TableText"/>
            </w:pPr>
            <w:r>
              <w:rPr>
                <w:b/>
              </w:rPr>
              <w:t>Nhóm dữ liệu</w:t>
            </w:r>
          </w:p>
        </w:tc>
        <w:tc>
          <w:tcPr>
            <w:tcW w:type="dxa" w:w="6910"/>
            <w:shd w:fill="F2F4F7"/>
          </w:tcPr>
          <w:p>
            <w:pPr>
              <w:pStyle w:val="TableText"/>
            </w:pPr>
            <w:r>
              <w:rPr>
                <w:b/>
              </w:rPr>
              <w:t>Quy tắc dự kiến</w:t>
            </w:r>
          </w:p>
        </w:tc>
      </w:tr>
      <w:tr>
        <w:trPr>
          <w:cantSplit/>
        </w:trPr>
        <w:tc>
          <w:tcPr>
            <w:tcW w:type="dxa" w:w="2450"/>
          </w:tcPr>
          <w:p>
            <w:pPr>
              <w:pStyle w:val="TableText"/>
            </w:pPr>
            <w:r>
              <w:t>Mã định danh</w:t>
            </w:r>
          </w:p>
        </w:tc>
        <w:tc>
          <w:tcPr>
            <w:tcW w:type="dxa" w:w="6910"/>
          </w:tcPr>
          <w:p>
            <w:pPr>
              <w:pStyle w:val="TableText"/>
            </w:pPr>
            <w:r>
              <w:t>Mã tòa/phòng không rỗng, duy nhất đúng phạm vi; đổi mã không làm đứt lịch sử.</w:t>
            </w:r>
          </w:p>
        </w:tc>
      </w:tr>
      <w:tr>
        <w:trPr>
          <w:cantSplit/>
        </w:trPr>
        <w:tc>
          <w:tcPr>
            <w:tcW w:type="dxa" w:w="2450"/>
          </w:tcPr>
          <w:p>
            <w:pPr>
              <w:pStyle w:val="TableText"/>
            </w:pPr>
            <w:r>
              <w:t>Tiền và số lượng</w:t>
            </w:r>
          </w:p>
        </w:tc>
        <w:tc>
          <w:tcPr>
            <w:tcW w:type="dxa" w:w="6910"/>
          </w:tcPr>
          <w:p>
            <w:pPr>
              <w:pStyle w:val="TableText"/>
            </w:pPr>
            <w:r>
              <w:t>Dùng số thập phân chính xác; VND; không dùng làm tròn ngầm qua số thực. Số âm chỉ trong loại điều chỉnh được cho phép.</w:t>
            </w:r>
          </w:p>
        </w:tc>
      </w:tr>
      <w:tr>
        <w:trPr>
          <w:cantSplit/>
        </w:trPr>
        <w:tc>
          <w:tcPr>
            <w:tcW w:type="dxa" w:w="2450"/>
          </w:tcPr>
          <w:p>
            <w:pPr>
              <w:pStyle w:val="TableText"/>
            </w:pPr>
            <w:r>
              <w:t>Ngày và kỳ</w:t>
            </w:r>
          </w:p>
        </w:tc>
        <w:tc>
          <w:tcPr>
            <w:tcW w:type="dxa" w:w="6910"/>
          </w:tcPr>
          <w:p>
            <w:pPr>
              <w:pStyle w:val="TableText"/>
            </w:pPr>
            <w:r>
              <w:t>Ngày kết thúc không trước bắt đầu; tháng/kỳ và múi giờ thống nhất; không nhầm ngày thuê với ngày nhận tiền.</w:t>
            </w:r>
          </w:p>
        </w:tc>
      </w:tr>
      <w:tr>
        <w:trPr>
          <w:cantSplit/>
        </w:trPr>
        <w:tc>
          <w:tcPr>
            <w:tcW w:type="dxa" w:w="2450"/>
          </w:tcPr>
          <w:p>
            <w:pPr>
              <w:pStyle w:val="TableText"/>
            </w:pPr>
            <w:r>
              <w:t>SĐT</w:t>
            </w:r>
          </w:p>
        </w:tc>
        <w:tc>
          <w:tcPr>
            <w:tcW w:type="dxa" w:w="6910"/>
          </w:tcPr>
          <w:p>
            <w:pPr>
              <w:pStyle w:val="TableText"/>
            </w:pPr>
            <w:r>
              <w:t>Lưu định dạng nhập và chuẩn hóa để gửi theo nhà cung cấp; không dùng SĐT làm khóa duy nhất tuyệt đối của khách.</w:t>
            </w:r>
          </w:p>
        </w:tc>
      </w:tr>
      <w:tr>
        <w:trPr>
          <w:cantSplit/>
        </w:trPr>
        <w:tc>
          <w:tcPr>
            <w:tcW w:type="dxa" w:w="2450"/>
          </w:tcPr>
          <w:p>
            <w:pPr>
              <w:pStyle w:val="TableText"/>
            </w:pPr>
            <w:r>
              <w:t>Giá có hiệu lực</w:t>
            </w:r>
          </w:p>
        </w:tc>
        <w:tc>
          <w:tcPr>
            <w:tcW w:type="dxa" w:w="6910"/>
          </w:tcPr>
          <w:p>
            <w:pPr>
              <w:pStyle w:val="TableText"/>
            </w:pPr>
            <w:r>
              <w:t>Giữ lịch sử ngày hiệu lực; hóa đơn phát hành lưu giá tại kỳ; sửa danh mục không sửa giá đã phát hành.</w:t>
            </w:r>
          </w:p>
        </w:tc>
      </w:tr>
      <w:tr>
        <w:trPr>
          <w:cantSplit/>
        </w:trPr>
        <w:tc>
          <w:tcPr>
            <w:tcW w:type="dxa" w:w="2450"/>
          </w:tcPr>
          <w:p>
            <w:pPr>
              <w:pStyle w:val="TableText"/>
            </w:pPr>
            <w:r>
              <w:t>Tham chiếu</w:t>
            </w:r>
          </w:p>
        </w:tc>
        <w:tc>
          <w:tcPr>
            <w:tcW w:type="dxa" w:w="6910"/>
          </w:tcPr>
          <w:p>
            <w:pPr>
              <w:pStyle w:val="TableText"/>
            </w:pPr>
            <w:r>
              <w:t>Bản ghi có chứng từ liên quan chỉ ngừng sử dụng/điều chỉnh; không xóa mất nguồn của báo cáo.</w:t>
            </w:r>
          </w:p>
        </w:tc>
      </w:tr>
      <w:tr>
        <w:trPr>
          <w:cantSplit/>
        </w:trPr>
        <w:tc>
          <w:tcPr>
            <w:tcW w:type="dxa" w:w="2450"/>
          </w:tcPr>
          <w:p>
            <w:pPr>
              <w:pStyle w:val="TableText"/>
            </w:pPr>
            <w:r>
              <w:t>Dữ liệu thiếu</w:t>
            </w:r>
          </w:p>
        </w:tc>
        <w:tc>
          <w:tcPr>
            <w:tcW w:type="dxa" w:w="6910"/>
          </w:tcPr>
          <w:p>
            <w:pPr>
              <w:pStyle w:val="TableText"/>
            </w:pPr>
            <w:r>
              <w:t>Hiển thị chưa nhập/chưa xác nhận, không tự thay bằng 0 trong báo cáo và phép tính quan trọng.</w:t>
            </w:r>
          </w:p>
        </w:tc>
      </w:tr>
    </w:tbl>
    <w:p>
      <w:pPr>
        <w:pStyle w:val="Heading2"/>
        <w:widowControl/>
      </w:pPr>
      <w:r>
        <w:t>7.4. Dữ liệu đầu kỳ, lưu giữ và xuất dữ liệu</w:t>
      </w:r>
    </w:p>
    <w:p>
      <w:pPr>
        <w:widowControl/>
      </w:pPr>
      <w:r>
        <w:t>OI-23 phải chốt danh mục nhập đầu kỳ: tòa/phòng, khách/HĐ còn hiệu lực, cọc thực giữ, công nợ, tài sản, vốn góp và dữ liệu so sánh. ĐX quy trình: nhận file mẫu → kiểm tra mã/tham chiếu → báo lỗi từng dòng → nhập thử → đối chiếu tổng → người phụ trách xác nhận → nhập chính thức. Chưa có yêu cầu cho phép người dùng import thường xuyên; không tự thêm công cụ import tổng quát.</w:t>
      </w:r>
    </w:p>
    <w:p>
      <w:pPr>
        <w:widowControl/>
      </w:pPr>
      <w:r>
        <w:t>ĐX lưu dữ liệu và tệp theo chính sách thời hạn được khách hàng duyệt; OI-24 chốt lưu bao lâu, ai được yêu cầu xóa/ẩn, loại dữ liệu phải giữ và cách xử lý backup. Định dạng export báo cáo/biên nhận và khối lượng tối đa nằm tại OI-22/23; không gán PDF/XLSX cho mọi màn hình khi chưa có yêu cầu.</w:t>
      </w:r>
    </w:p>
    <w:p>
      <w:bookmarkStart w:id="108" w:name="sec_8"/>
      <w:pPr>
        <w:pStyle w:val="Heading1"/>
        <w:widowControl/>
      </w:pPr>
      <w:r>
        <w:t>8. Giao diện và tích hợp</w:t>
      </w:r>
      <w:bookmarkEnd w:id="108"/>
    </w:p>
    <w:p>
      <w:pPr>
        <w:pStyle w:val="Heading2"/>
        <w:widowControl/>
      </w:pPr>
      <w:r>
        <w:t>8.1. Giao diện người dùng</w:t>
      </w:r>
    </w:p>
    <w:p>
      <w:pPr>
        <w:widowControl/>
      </w:pPr>
      <w:r>
        <w:t>ĐX: giao diện tiếng Việt; các thao tác ghi dữ liệu có trạng thái đang xử lý/thành công/thất bại; lỗi gắn trường và giữ thông tin hợp lệ đã nhập. Danh sách hỗ trợ tìm/lọc và phân trang khi dữ liệu lớn. Màn chi tiết dùng đúng phạm vi tài khoản; số tổng và nội dung tải ra có cùng bộ lọc. Bố cục, thiết kế hình ảnh và mockup sẽ được thiết kế riêng sau khi yêu cầu tương ứng được duyệt.</w:t>
      </w:r>
    </w:p>
    <w:p>
      <w:pPr>
        <w:pStyle w:val="Heading2"/>
        <w:widowControl/>
      </w:pPr>
      <w:r>
        <w:t>8.2. Ma trận giao tiếp ngoài</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2200"/>
        <w:gridCol w:w="3650"/>
        <w:gridCol w:w="3510"/>
      </w:tblGrid>
      <w:tr>
        <w:trPr>
          <w:cantSplit/>
          <w:tblHeader/>
        </w:trPr>
        <w:tc>
          <w:tcPr>
            <w:tcW w:type="dxa" w:w="2200"/>
            <w:shd w:fill="F2F4F7"/>
          </w:tcPr>
          <w:p>
            <w:pPr>
              <w:pStyle w:val="TableText"/>
            </w:pPr>
            <w:r>
              <w:rPr>
                <w:b/>
              </w:rPr>
              <w:t>Hệ thống ngoài</w:t>
            </w:r>
          </w:p>
        </w:tc>
        <w:tc>
          <w:tcPr>
            <w:tcW w:type="dxa" w:w="3650"/>
            <w:shd w:fill="F2F4F7"/>
          </w:tcPr>
          <w:p>
            <w:pPr>
              <w:pStyle w:val="TableText"/>
            </w:pPr>
            <w:r>
              <w:rPr>
                <w:b/>
              </w:rPr>
              <w:t>Chiều / dữ liệu</w:t>
            </w:r>
          </w:p>
        </w:tc>
        <w:tc>
          <w:tcPr>
            <w:tcW w:type="dxa" w:w="3510"/>
            <w:shd w:fill="F2F4F7"/>
          </w:tcPr>
          <w:p>
            <w:pPr>
              <w:pStyle w:val="TableText"/>
            </w:pPr>
            <w:r>
              <w:rPr>
                <w:b/>
              </w:rPr>
              <w:t>Điều kiện / điểm mở</w:t>
            </w:r>
          </w:p>
        </w:tc>
      </w:tr>
      <w:tr>
        <w:trPr>
          <w:cantSplit/>
        </w:trPr>
        <w:tc>
          <w:tcPr>
            <w:tcW w:type="dxa" w:w="2200"/>
          </w:tcPr>
          <w:p>
            <w:pPr>
              <w:pStyle w:val="TableText"/>
            </w:pPr>
            <w:r>
              <w:t>OA Broadcast / ZBS Template Message</w:t>
            </w:r>
          </w:p>
        </w:tc>
        <w:tc>
          <w:tcPr>
            <w:tcW w:type="dxa" w:w="3650"/>
          </w:tcPr>
          <w:p>
            <w:pPr>
              <w:pStyle w:val="TableText"/>
            </w:pPr>
            <w:r>
              <w:t>Gửi ra: SĐT/mẫu/tham số hoặc nội dung Broadcast; nhận về: mã gửi, kết quả/status và hội thoại hai chiều</w:t>
            </w:r>
          </w:p>
        </w:tc>
        <w:tc>
          <w:tcPr>
            <w:tcW w:type="dxa" w:w="3510"/>
          </w:tcPr>
          <w:p>
            <w:pPr>
              <w:pStyle w:val="TableText"/>
            </w:pPr>
            <w:r>
              <w:t>OA, app được ủy quyền, mẫu được duyệt; OI-20/21; API hiện hành [R6–R8].</w:t>
            </w:r>
          </w:p>
        </w:tc>
      </w:tr>
      <w:tr>
        <w:trPr>
          <w:cantSplit/>
        </w:trPr>
        <w:tc>
          <w:tcPr>
            <w:tcW w:type="dxa" w:w="2200"/>
          </w:tcPr>
          <w:p>
            <w:pPr>
              <w:pStyle w:val="TableText"/>
            </w:pPr>
            <w:r>
              <w:t>SMS — nhà cung cấp TBD</w:t>
            </w:r>
          </w:p>
        </w:tc>
        <w:tc>
          <w:tcPr>
            <w:tcW w:type="dxa" w:w="3650"/>
          </w:tcPr>
          <w:p>
            <w:pPr>
              <w:pStyle w:val="TableText"/>
            </w:pPr>
            <w:r>
              <w:t>Gửi ra: SĐT/nội dung; nhận về: trạng thái, mã lỗi</w:t>
            </w:r>
          </w:p>
        </w:tc>
        <w:tc>
          <w:tcPr>
            <w:tcW w:type="dxa" w:w="3510"/>
          </w:tcPr>
          <w:p>
            <w:pPr>
              <w:pStyle w:val="TableText"/>
            </w:pPr>
            <w:r>
              <w:t>Cần nhà cung cấp, tài khoản, chính sách dự phòng và mẫu — OI-21.</w:t>
            </w:r>
          </w:p>
        </w:tc>
      </w:tr>
      <w:tr>
        <w:trPr>
          <w:cantSplit/>
        </w:trPr>
        <w:tc>
          <w:tcPr>
            <w:tcW w:type="dxa" w:w="2200"/>
          </w:tcPr>
          <w:p>
            <w:pPr>
              <w:pStyle w:val="TableText"/>
            </w:pPr>
            <w:r>
              <w:t>Lưu trữ tệp — công nghệ TBD</w:t>
            </w:r>
          </w:p>
        </w:tc>
        <w:tc>
          <w:tcPr>
            <w:tcW w:type="dxa" w:w="3650"/>
          </w:tcPr>
          <w:p>
            <w:pPr>
              <w:pStyle w:val="TableText"/>
            </w:pPr>
            <w:r>
              <w:t>Ứng dụng lưu/tải hồ sơ theo quyền</w:t>
            </w:r>
          </w:p>
        </w:tc>
        <w:tc>
          <w:tcPr>
            <w:tcW w:type="dxa" w:w="3510"/>
          </w:tcPr>
          <w:p>
            <w:pPr>
              <w:pStyle w:val="TableText"/>
            </w:pPr>
            <w:r>
              <w:t>Yêu cầu về quyền và thời hạn trong NFR; không chốt R2/S3/VPS tại SRS.</w:t>
            </w:r>
          </w:p>
        </w:tc>
      </w:tr>
      <w:tr>
        <w:trPr>
          <w:cantSplit/>
        </w:trPr>
        <w:tc>
          <w:tcPr>
            <w:tcW w:type="dxa" w:w="2200"/>
          </w:tcPr>
          <w:p>
            <w:pPr>
              <w:pStyle w:val="TableText"/>
            </w:pPr>
            <w:r>
              <w:t>Excel dữ liệu gốc</w:t>
            </w:r>
          </w:p>
        </w:tc>
        <w:tc>
          <w:tcPr>
            <w:tcW w:type="dxa" w:w="3650"/>
          </w:tcPr>
          <w:p>
            <w:pPr>
              <w:pStyle w:val="TableText"/>
            </w:pPr>
            <w:r>
              <w:t>Đầu vào phục vụ đối chiếu nghiệp vụ</w:t>
            </w:r>
          </w:p>
        </w:tc>
        <w:tc>
          <w:tcPr>
            <w:tcW w:type="dxa" w:w="3510"/>
          </w:tcPr>
          <w:p>
            <w:pPr>
              <w:pStyle w:val="TableText"/>
            </w:pPr>
            <w:r>
              <w:t>Chưa nhận file được nhắc trong S1; không phải API tích hợp đã cam kết.</w:t>
            </w:r>
          </w:p>
        </w:tc>
      </w:tr>
    </w:tbl>
    <w:p>
      <w:pPr>
        <w:pStyle w:val="Heading2"/>
        <w:widowControl/>
      </w:pPr>
      <w:r>
        <w:t>8.3. Hợp đồng tích hợp ở mức yêu cầu</w:t>
      </w:r>
    </w:p>
    <w:p>
      <w:pPr>
        <w:widowControl/>
      </w:pPr>
      <w:r>
        <w:t>IF-01 [N/ĐX; S1 §7; FR-ZAL-02/03]: mỗi yêu cầu gửi phải truy vết về sự kiện và người nhận; đầu ra lưu mã nhà cung cấp, thời điểm và kết quả. SĐT phải phù hợp định dạng của kênh; việc có SĐT hoặc chưa follow OA không bảo đảm gửi được mọi tin.</w:t>
      </w:r>
    </w:p>
    <w:p>
      <w:pPr>
        <w:widowControl/>
      </w:pPr>
      <w:r>
        <w:t>IF-02 [ĐX; FR-ZAL-03/04]: cập nhật từ nhà cung cấp phải xác thực theo cơ chế chính thức, kiểm tra trùng và thứ tự trạng thái. Khi không có kết luận giao nhận, cho phép trạng thái chưa xác định và tra cứu theo API hỗ trợ. Hợp đồng endpoint, header, token và mã lỗi chi tiết thuộc tài liệu tích hợp sau khi OI-20/21 được giải quyết.</w:t>
      </w:r>
    </w:p>
    <w:p>
      <w:pPr>
        <w:widowControl/>
      </w:pPr>
      <w:r>
        <w:t>IF-03 [ĐX; FR-ZAL-01/04]: lỗi xác thực/hạn mức/mẫu bị khóa phải được phân biệt lỗi người nhận; không retry mọi lỗi giống nhau. Khóa bí mật không được đưa vào giao diện client hoặc log. Số lần thử, khoảng cách, thời gian chờ trước SMS và quyền gửi lại cần phê duyệt.</w:t>
      </w:r>
    </w:p>
    <w:p>
      <w:pPr>
        <w:widowControl/>
      </w:pPr>
      <w:r>
        <w:t>IF-04 [N; S1 §4.10]: phản hồi khách tiếp nhận tại một đầu mối Zalo ngoài ứng dụng. Không đặc tả việc đọc hội thoại, đồng bộ chat hoặc dùng tin trả lời làm bằng chứng thanh toán tự động.</w:t>
      </w:r>
    </w:p>
    <w:p>
      <w:pPr>
        <w:pStyle w:val="Heading2"/>
        <w:widowControl/>
      </w:pPr>
      <w:r>
        <w:t>8.4. Điều chỉnh thuật ngữ Zalo</w:t>
      </w:r>
    </w:p>
    <w:p>
      <w:pPr>
        <w:widowControl/>
      </w:pPr>
      <w:r>
        <w:t>S1 gọi dịch vụ là ZNS. Theo thông báo chính thức, từ 01/01/2026 ZNS được hợp nhất vào ZBS Template Message, có luồng gửi qua SĐT và UID, mẫu phải qua kiểm duyệt [R6]. SRS giữ phạm vi nghiệp vụ gửi theo SĐT như S1; đổi thuật ngữ không tự mở rộng sang UID hoặc Mini App. Tính phù hợp của từng mẫu nhắc tiền/hết HĐ/hoàn cọc phải được xác minh với nhà cung cấp; không cam kết trước kết quả duyệt.</w:t>
      </w:r>
    </w:p>
    <w:p>
      <w:bookmarkStart w:id="109" w:name="sec_9"/>
      <w:pPr>
        <w:pStyle w:val="Heading1"/>
        <w:widowControl/>
      </w:pPr>
      <w:r>
        <w:t>9. Yêu cầu phi chức năng</w:t>
      </w:r>
      <w:bookmarkEnd w:id="109"/>
    </w:p>
    <w:p>
      <w:pPr>
        <w:widowControl/>
      </w:pPr>
      <w:r>
        <w:t>S1 chưa đưa ra chỉ tiêu tải, tốc độ, khả dụng hay phục hồi định lượng. Toàn bộ mục tiêu sau là ĐX để khách hàng và Tech lead review tại OI-24, không phải SLA đã cam kết. Không có cấu hình VPS nào được mặc định từ các con số này.</w:t>
      </w:r>
    </w:p>
    <w:p>
      <w:pPr>
        <w:pStyle w:val="Heading3"/>
        <w:widowControl/>
      </w:pPr>
      <w:r>
        <w:t>NFR-01 — Phân quyền dữ liệu</w:t>
      </w:r>
    </w:p>
    <w:p>
      <w:pPr>
        <w:pStyle w:val="SourceText"/>
        <w:keepNext/>
        <w:widowControl/>
      </w:pPr>
      <w:r>
        <w:t>Đề xuất BA • Liên kết: FR-IAM-03</w:t>
      </w:r>
    </w:p>
    <w:p>
      <w:pPr>
        <w:widowControl/>
      </w:pPr>
      <w:r>
        <w:rPr>
          <w:b/>
        </w:rPr>
        <w:t xml:space="preserve">Mục tiêu: </w:t>
      </w:r>
      <w:r>
        <w:t>Mọi truy cập danh sách, chi tiết, tổng hợp, tệp và export đều kiểm tra quyền phía máy chủ.</w:t>
      </w:r>
    </w:p>
    <w:p>
      <w:pPr>
        <w:widowControl/>
      </w:pPr>
      <w:r>
        <w:rPr>
          <w:b/>
        </w:rPr>
        <w:t xml:space="preserve">Cách xác minh: </w:t>
      </w:r>
      <w:r>
        <w:t>Test chéo ít nhất 2 khu vực, 2 tòa, mỗi vai trò; không có đối tượng ngoài quyền trả về.</w:t>
      </w:r>
    </w:p>
    <w:p>
      <w:pPr>
        <w:pStyle w:val="Heading3"/>
        <w:widowControl/>
      </w:pPr>
      <w:r>
        <w:t>NFR-02 — Bảo vệ tài khoản và kết nối</w:t>
      </w:r>
    </w:p>
    <w:p>
      <w:pPr>
        <w:pStyle w:val="SourceText"/>
        <w:keepNext/>
        <w:widowControl/>
      </w:pPr>
      <w:r>
        <w:t>Đề xuất BA • Liên kết: FR-IAM-01/02</w:t>
      </w:r>
    </w:p>
    <w:p>
      <w:pPr>
        <w:widowControl/>
      </w:pPr>
      <w:r>
        <w:rPr>
          <w:b/>
        </w:rPr>
        <w:t xml:space="preserve">Mục tiêu: </w:t>
      </w:r>
      <w:r>
        <w:t>Mã hóa lưu lượng khi truyền; bảo vệ bí mật xác thực; không lưu mật khẩu dạng rõ. Cách xác thực, timeout, MFA cho Admin cần duyệt.</w:t>
      </w:r>
    </w:p>
    <w:p>
      <w:pPr>
        <w:widowControl/>
      </w:pPr>
      <w:r>
        <w:rPr>
          <w:b/>
        </w:rPr>
        <w:t xml:space="preserve">Cách xác minh: </w:t>
      </w:r>
      <w:r>
        <w:t>Kiểm tra cấu hình và thử truy cập phiên hết hạn/tài khoản bị khóa; log không có token/mật khẩu.</w:t>
      </w:r>
    </w:p>
    <w:p>
      <w:pPr>
        <w:pStyle w:val="Heading3"/>
        <w:widowControl/>
      </w:pPr>
      <w:r>
        <w:t>NFR-03 — Toàn vẹn tiền và giao dịch</w:t>
      </w:r>
    </w:p>
    <w:p>
      <w:pPr>
        <w:pStyle w:val="SourceText"/>
        <w:keepNext/>
        <w:widowControl/>
      </w:pPr>
      <w:r>
        <w:t>Đề xuất BA • Liên kết: FR-FIN-01/03/07</w:t>
      </w:r>
    </w:p>
    <w:p>
      <w:pPr>
        <w:widowControl/>
      </w:pPr>
      <w:r>
        <w:rPr>
          <w:b/>
        </w:rPr>
        <w:t xml:space="preserve">Mục tiêu: </w:t>
      </w:r>
      <w:r>
        <w:t>Không tạo trùng hóa đơn/thu/hoàn cho cùng yêu cầu; ghi khoản thu và phân bổ phải nhất quán.</w:t>
      </w:r>
    </w:p>
    <w:p>
      <w:pPr>
        <w:widowControl/>
      </w:pPr>
      <w:r>
        <w:rPr>
          <w:b/>
        </w:rPr>
        <w:t xml:space="preserve">Cách xác minh: </w:t>
      </w:r>
      <w:r>
        <w:t>Test yêu cầu lặp và hai người thao tác đồng thời; không tăng tổng hai lần hoặc lưu một nửa giao dịch.</w:t>
      </w:r>
    </w:p>
    <w:p>
      <w:pPr>
        <w:pStyle w:val="Heading3"/>
        <w:widowControl/>
      </w:pPr>
      <w:r>
        <w:t>NFR-04 — Tải dự kiến để benchmark</w:t>
      </w:r>
    </w:p>
    <w:p>
      <w:pPr>
        <w:pStyle w:val="SourceText"/>
        <w:keepNext/>
        <w:widowControl/>
      </w:pPr>
      <w:r>
        <w:t>Đề xuất BA • Liên kết: OI-24</w:t>
      </w:r>
    </w:p>
    <w:p>
      <w:pPr>
        <w:widowControl/>
      </w:pPr>
      <w:r>
        <w:rPr>
          <w:b/>
        </w:rPr>
        <w:t xml:space="preserve">Mục tiêu: </w:t>
      </w:r>
      <w:r>
        <w:t>Bộ tải ĐX: 100 tòa, 3.000 phòng, 10.000 khách lịch sử, 180.000 hóa đơn/5 năm, 50 phiên đồng thời.</w:t>
      </w:r>
    </w:p>
    <w:p>
      <w:pPr>
        <w:widowControl/>
      </w:pPr>
      <w:r>
        <w:rPr>
          <w:b/>
        </w:rPr>
        <w:t xml:space="preserve">Cách xác minh: </w:t>
      </w:r>
      <w:r>
        <w:t>Khách hàng duyệt quy mô và kịch bản: 70% tra cứu, 20% ghi nghiệp vụ, 10% báo cáo; đây là bộ thử, chưa phải dự báo thật.</w:t>
      </w:r>
    </w:p>
    <w:p>
      <w:pPr>
        <w:pStyle w:val="Heading3"/>
        <w:widowControl/>
      </w:pPr>
      <w:r>
        <w:t>NFR-05 — Thời gian phản hồi</w:t>
      </w:r>
    </w:p>
    <w:p>
      <w:pPr>
        <w:pStyle w:val="SourceText"/>
        <w:keepNext/>
        <w:widowControl/>
      </w:pPr>
      <w:r>
        <w:t>Đề xuất BA • Liên kết: FR-DSH-01/02; FR-FIN-03</w:t>
      </w:r>
    </w:p>
    <w:p>
      <w:pPr>
        <w:widowControl/>
      </w:pPr>
      <w:r>
        <w:rPr>
          <w:b/>
        </w:rPr>
        <w:t xml:space="preserve">Mục tiêu: </w:t>
      </w:r>
      <w:r>
        <w:t>Với bộ tải NFR-04, p95 API tra cứu/ghi cơ bản ≤ 2 giây; báo cáo một tòa một tháng ≤ 10 giây, không tính mạng khách và hệ thống ngoài.</w:t>
      </w:r>
    </w:p>
    <w:p>
      <w:pPr>
        <w:widowControl/>
      </w:pPr>
      <w:r>
        <w:rPr>
          <w:b/>
        </w:rPr>
        <w:t xml:space="preserve">Cách xác minh: </w:t>
      </w:r>
      <w:r>
        <w:t>Chạy tải 30 phút sau warm-up, ghi p95 và tỷ lệ lỗi &lt; 1%; xác định tập API trước test.</w:t>
      </w:r>
    </w:p>
    <w:p>
      <w:pPr>
        <w:pStyle w:val="Heading3"/>
        <w:widowControl/>
      </w:pPr>
      <w:r>
        <w:t>NFR-06 — Xử lý theo lô</w:t>
      </w:r>
    </w:p>
    <w:p>
      <w:pPr>
        <w:pStyle w:val="SourceText"/>
        <w:keepNext/>
        <w:widowControl/>
      </w:pPr>
      <w:r>
        <w:t>Đề xuất BA • Liên kết: FR-FIN-01</w:t>
      </w:r>
    </w:p>
    <w:p>
      <w:pPr>
        <w:widowControl/>
      </w:pPr>
      <w:r>
        <w:rPr>
          <w:b/>
        </w:rPr>
        <w:t xml:space="preserve">Mục tiêu: </w:t>
      </w:r>
      <w:r>
        <w:t>ĐX tính 3.000 hóa đơn nháp trong ≤ 15 phút khi dữ liệu đủ; có trạng thái tiến độ và lỗi từng mục.</w:t>
      </w:r>
    </w:p>
    <w:p>
      <w:pPr>
        <w:widowControl/>
      </w:pPr>
      <w:r>
        <w:rPr>
          <w:b/>
        </w:rPr>
        <w:t xml:space="preserve">Cách xác minh: </w:t>
      </w:r>
      <w:r>
        <w:t>Chạy bộ mẫu; tổng hoàn tất/lỗi = tổng đầu vào, không có chứng từ trùng sau chạy lại.</w:t>
      </w:r>
    </w:p>
    <w:p>
      <w:pPr>
        <w:pStyle w:val="Heading3"/>
        <w:widowControl/>
      </w:pPr>
      <w:r>
        <w:t>NFR-07 — Khả dụng</w:t>
      </w:r>
    </w:p>
    <w:p>
      <w:pPr>
        <w:pStyle w:val="SourceText"/>
        <w:keepNext/>
        <w:widowControl/>
      </w:pPr>
      <w:r>
        <w:t>Đề xuất BA • Liên kết: OI-24</w:t>
      </w:r>
    </w:p>
    <w:p>
      <w:pPr>
        <w:widowControl/>
      </w:pPr>
      <w:r>
        <w:rPr>
          <w:b/>
        </w:rPr>
        <w:t xml:space="preserve">Mục tiêu: </w:t>
      </w:r>
      <w:r>
        <w:t>Mục tiêu xem xét 99,5%/tháng; phải chốt khung thời gian đo, bảo trì và trách nhiệm với phụ thuộc ngoài.</w:t>
      </w:r>
    </w:p>
    <w:p>
      <w:pPr>
        <w:widowControl/>
      </w:pPr>
      <w:r>
        <w:rPr>
          <w:b/>
        </w:rPr>
        <w:t xml:space="preserve">Cách xác minh: </w:t>
      </w:r>
      <w:r>
        <w:t>Theo dõi giao dịch kiểm tra truy cập; thống nhất cách tính phút gián đoạn trước nghiệm thu vận hành.</w:t>
      </w:r>
    </w:p>
    <w:p>
      <w:pPr>
        <w:pStyle w:val="Heading3"/>
        <w:widowControl/>
      </w:pPr>
      <w:r>
        <w:t>NFR-08 — Sao lưu và phục hồi</w:t>
      </w:r>
    </w:p>
    <w:p>
      <w:pPr>
        <w:pStyle w:val="SourceText"/>
        <w:keepNext/>
        <w:widowControl/>
      </w:pPr>
      <w:r>
        <w:t>Đề xuất BA • Liên kết: OI-24</w:t>
      </w:r>
    </w:p>
    <w:p>
      <w:pPr>
        <w:widowControl/>
      </w:pPr>
      <w:r>
        <w:rPr>
          <w:b/>
        </w:rPr>
        <w:t xml:space="preserve">Mục tiêu: </w:t>
      </w:r>
      <w:r>
        <w:t>Mục tiêu ĐX RPO ≤ 24 giờ; RTO ≤ 8 giờ; dữ liệu và file có điểm phục hồi nhất quán.</w:t>
      </w:r>
    </w:p>
    <w:p>
      <w:pPr>
        <w:widowControl/>
      </w:pPr>
      <w:r>
        <w:rPr>
          <w:b/>
        </w:rPr>
        <w:t xml:space="preserve">Cách xác minh: </w:t>
      </w:r>
      <w:r>
        <w:t>Thực hiện một lần phục hồi trên môi trường thử, đối chiếu hóa đơn/cọc/file và ghi thời gian thực.</w:t>
      </w:r>
    </w:p>
    <w:p>
      <w:pPr>
        <w:pStyle w:val="Heading3"/>
        <w:widowControl/>
      </w:pPr>
      <w:r>
        <w:t>NFR-09 — Nhật ký thao tác</w:t>
      </w:r>
    </w:p>
    <w:p>
      <w:pPr>
        <w:pStyle w:val="SourceText"/>
        <w:keepNext/>
        <w:widowControl/>
      </w:pPr>
      <w:r>
        <w:t>Đề xuất BA • Liên kết: FR-FIN-08; FR-IAM-02</w:t>
      </w:r>
    </w:p>
    <w:p>
      <w:pPr>
        <w:widowControl/>
      </w:pPr>
      <w:r>
        <w:rPr>
          <w:b/>
        </w:rPr>
        <w:t xml:space="preserve">Mục tiêu: </w:t>
      </w:r>
      <w:r>
        <w:t>Lưu người, thời gian, đối tượng, hành động và thay đổi quan trọng về quyền/tiền/duyệt; thời hạn log cần chốt.</w:t>
      </w:r>
    </w:p>
    <w:p>
      <w:pPr>
        <w:widowControl/>
      </w:pPr>
      <w:r>
        <w:rPr>
          <w:b/>
        </w:rPr>
        <w:t xml:space="preserve">Cách xác minh: </w:t>
      </w:r>
      <w:r>
        <w:t>Thử sửa/duyệt/đảo chứng từ: truy được bản trước/sau hoặc dữ liệu điều chỉnh, không lộ bí mật.</w:t>
      </w:r>
    </w:p>
    <w:p>
      <w:pPr>
        <w:pStyle w:val="Heading3"/>
        <w:widowControl/>
      </w:pPr>
      <w:r>
        <w:t>NFR-10 — Quan sát tác vụ</w:t>
      </w:r>
    </w:p>
    <w:p>
      <w:pPr>
        <w:pStyle w:val="SourceText"/>
        <w:keepNext/>
        <w:widowControl/>
      </w:pPr>
      <w:r>
        <w:t>Đề xuất BA • Liên kết: FR-ZAL-04/05</w:t>
      </w:r>
    </w:p>
    <w:p>
      <w:pPr>
        <w:widowControl/>
      </w:pPr>
      <w:r>
        <w:rPr>
          <w:b/>
        </w:rPr>
        <w:t xml:space="preserve">Mục tiêu: </w:t>
      </w:r>
      <w:r>
        <w:t>Hiển thị/giám sát lỗi tác vụ hóa đơn, nhắc tin, callback, backup; có người nhận cảnh báo được chỉ định.</w:t>
      </w:r>
    </w:p>
    <w:p>
      <w:pPr>
        <w:widowControl/>
      </w:pPr>
      <w:r>
        <w:rPr>
          <w:b/>
        </w:rPr>
        <w:t xml:space="preserve">Cách xác minh: </w:t>
      </w:r>
      <w:r>
        <w:t>Gây lỗi thử: tác vụ ghi lỗi và cảnh báo tới đầu mối theo thời gian được duyệt tại OI-24.</w:t>
      </w:r>
    </w:p>
    <w:p>
      <w:pPr>
        <w:pStyle w:val="Heading3"/>
        <w:widowControl/>
      </w:pPr>
      <w:r>
        <w:t>NFR-11 — Tệp và quyền riêng tư</w:t>
      </w:r>
    </w:p>
    <w:p>
      <w:pPr>
        <w:pStyle w:val="SourceText"/>
        <w:keepNext/>
        <w:widowControl/>
      </w:pPr>
      <w:r>
        <w:t>Đề xuất BA • Liên kết: FR-DOC-01</w:t>
      </w:r>
    </w:p>
    <w:p>
      <w:pPr>
        <w:widowControl/>
      </w:pPr>
      <w:r>
        <w:rPr>
          <w:b/>
        </w:rPr>
        <w:t xml:space="preserve">Mục tiêu: </w:t>
      </w:r>
      <w:r>
        <w:t>Tệp không có URL công khai cố định; ĐX 20 MB, PDF/JPG/PNG; kiểm tra loại, quyền và nội dung nguy hiểm theo cơ chế được chọn.</w:t>
      </w:r>
    </w:p>
    <w:p>
      <w:pPr>
        <w:widowControl/>
      </w:pPr>
      <w:r>
        <w:rPr>
          <w:b/>
        </w:rPr>
        <w:t xml:space="preserve">Cách xác minh: </w:t>
      </w:r>
      <w:r>
        <w:t>Tệp quá cỡ/sai loại bị chặn; người ngoài phạm vi không tải được tệp từ link sao chép.</w:t>
      </w:r>
    </w:p>
    <w:p>
      <w:pPr>
        <w:pStyle w:val="Heading3"/>
        <w:widowControl/>
      </w:pPr>
      <w:r>
        <w:t>NFR-12 — Khả dụng giao diện</w:t>
      </w:r>
    </w:p>
    <w:p>
      <w:pPr>
        <w:pStyle w:val="SourceText"/>
        <w:keepNext/>
        <w:widowControl/>
      </w:pPr>
      <w:r>
        <w:t>Đề xuất BA • Liên kết: OI-24</w:t>
      </w:r>
    </w:p>
    <w:p>
      <w:pPr>
        <w:widowControl/>
      </w:pPr>
      <w:r>
        <w:rPr>
          <w:b/>
        </w:rPr>
        <w:t xml:space="preserve">Mục tiêu: </w:t>
      </w:r>
      <w:r>
        <w:t>ĐX hỗ trợ Chrome/Edge hai phiên bản ổn định gần nhất tại thời điểm UAT; giao diện desktop ≥ 1366×768; tiếng Việt không lỗi dấu.</w:t>
      </w:r>
    </w:p>
    <w:p>
      <w:pPr>
        <w:widowControl/>
      </w:pPr>
      <w:r>
        <w:rPr>
          <w:b/>
        </w:rPr>
        <w:t xml:space="preserve">Cách xác minh: </w:t>
      </w:r>
      <w:r>
        <w:t>Test các luồng chính trên ma trận trình duyệt đã chốt; lỗi trường rõ và dữ liệu hợp lệ không mất.</w:t>
      </w:r>
    </w:p>
    <w:p>
      <w:pPr>
        <w:pStyle w:val="Heading3"/>
        <w:widowControl/>
      </w:pPr>
      <w:r>
        <w:t>NFR-13 — Thời gian và con số</w:t>
      </w:r>
    </w:p>
    <w:p>
      <w:pPr>
        <w:pStyle w:val="SourceText"/>
        <w:keepNext/>
        <w:widowControl/>
      </w:pPr>
      <w:r>
        <w:t>Đề xuất BA • Liên kết: BR-04/07/16</w:t>
      </w:r>
    </w:p>
    <w:p>
      <w:pPr>
        <w:widowControl/>
      </w:pPr>
      <w:r>
        <w:rPr>
          <w:b/>
        </w:rPr>
        <w:t xml:space="preserve">Mục tiêu: </w:t>
      </w:r>
      <w:r>
        <w:t>Dùng cùng múi giờ Asia/Ho_Chi_Minh cho hạn/kỳ; VND và quy tắc làm tròn được duyệt áp dụng nhất quán.</w:t>
      </w:r>
    </w:p>
    <w:p>
      <w:pPr>
        <w:widowControl/>
      </w:pPr>
      <w:r>
        <w:rPr>
          <w:b/>
        </w:rPr>
        <w:t xml:space="preserve">Cách xác minh: </w:t>
      </w:r>
      <w:r>
        <w:t>Test cuối tháng, năm nhuận và mốc 35/7 ngày; so tổng màn hình với báo cáo cùng kỳ.</w:t>
      </w:r>
    </w:p>
    <w:p>
      <w:pPr>
        <w:pStyle w:val="Heading3"/>
        <w:widowControl/>
      </w:pPr>
      <w:r>
        <w:t>NFR-14 — Dữ liệu kiểm thử và lưu giữ</w:t>
      </w:r>
    </w:p>
    <w:p>
      <w:pPr>
        <w:pStyle w:val="SourceText"/>
        <w:keepNext/>
        <w:widowControl/>
      </w:pPr>
      <w:r>
        <w:t>Đề xuất BA • Liên kết: FR-CUS-01; FR-DOC-01</w:t>
      </w:r>
    </w:p>
    <w:p>
      <w:pPr>
        <w:widowControl/>
      </w:pPr>
      <w:r>
        <w:rPr>
          <w:b/>
        </w:rPr>
        <w:t xml:space="preserve">Mục tiêu: </w:t>
      </w:r>
      <w:r>
        <w:t>Dùng dữ liệu giả lập/che thông tin cá nhân khi thử; thời hạn lưu và quy trình xử lý dữ liệu theo chính sách khách phê duyệt.</w:t>
      </w:r>
    </w:p>
    <w:p>
      <w:pPr>
        <w:widowControl/>
      </w:pPr>
      <w:r>
        <w:rPr>
          <w:b/>
        </w:rPr>
        <w:t xml:space="preserve">Cách xác minh: </w:t>
      </w:r>
      <w:r>
        <w:t>Kiểm tra môi trường thử không lộ hồ sơ thật không cần thiết; rà chính sách/xóa/backup theo OI-24.</w:t>
      </w:r>
    </w:p>
    <w:p>
      <w:pPr>
        <w:widowControl/>
      </w:pPr>
      <w:r>
        <w:t>Yêu cầu tuân thủ pháp lý cụ thể cần được bên sở hữu dữ liệu/phụ trách pháp lý xác nhận theo phạm vi thực tế; SRS không mặc định một văn bản cũ hoặc một chứng nhận chung là đủ.</w:t>
      </w:r>
    </w:p>
    <w:p>
      <w:bookmarkStart w:id="110" w:name="sec_10"/>
      <w:pPr>
        <w:pStyle w:val="Heading1"/>
        <w:widowControl/>
      </w:pPr>
      <w:r>
        <w:t>10. Danh mục màn hình dự kiến</w:t>
      </w:r>
      <w:bookmarkEnd w:id="110"/>
    </w:p>
    <w:p>
      <w:pPr>
        <w:widowControl/>
      </w:pPr>
      <w:r>
        <w:t>Đây là ánh xạ màn hình đề xuất để thiết kế và kiểm tra độ bao phủ, chưa phải mockup được khách hàng duyệt. Màn hình có thể gộp thành tab trong chi tiết tòa/khách nhằm giảm menu; việc gộp không làm mất yêu cầu hoặc thay đổi quyền.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1000"/>
        <w:gridCol w:w="4800"/>
        <w:gridCol w:w="3560"/>
      </w:tblGrid>
      <w:tr>
        <w:trPr>
          <w:cantSplit/>
          <w:tblHeader/>
        </w:trPr>
        <w:tc>
          <w:tcPr>
            <w:tcW w:type="dxa" w:w="1000"/>
            <w:shd w:fill="F2F4F7"/>
          </w:tcPr>
          <w:p>
            <w:pPr>
              <w:pStyle w:val="TableText"/>
            </w:pPr>
            <w:r>
              <w:rPr>
                <w:b/>
              </w:rPr>
              <w:t>Mã</w:t>
            </w:r>
          </w:p>
        </w:tc>
        <w:tc>
          <w:tcPr>
            <w:tcW w:type="dxa" w:w="4800"/>
            <w:shd w:fill="F2F4F7"/>
          </w:tcPr>
          <w:p>
            <w:pPr>
              <w:pStyle w:val="TableText"/>
            </w:pPr>
            <w:r>
              <w:rPr>
                <w:b/>
              </w:rPr>
              <w:t>Màn hình / nhóm hành động</w:t>
            </w:r>
          </w:p>
        </w:tc>
        <w:tc>
          <w:tcPr>
            <w:tcW w:type="dxa" w:w="3560"/>
            <w:shd w:fill="F2F4F7"/>
          </w:tcPr>
          <w:p>
            <w:pPr>
              <w:pStyle w:val="TableText"/>
            </w:pPr>
            <w:r>
              <w:rPr>
                <w:b/>
              </w:rPr>
              <w:t>FR liên quan</w:t>
            </w:r>
          </w:p>
        </w:tc>
      </w:tr>
      <w:tr>
        <w:trPr>
          <w:cantSplit/>
        </w:trPr>
        <w:tc>
          <w:tcPr>
            <w:tcW w:type="dxa" w:w="1000"/>
          </w:tcPr>
          <w:p>
            <w:pPr>
              <w:pStyle w:val="TableText"/>
            </w:pPr>
            <w:r>
              <w:t>SCR-01</w:t>
            </w:r>
          </w:p>
        </w:tc>
        <w:tc>
          <w:tcPr>
            <w:tcW w:type="dxa" w:w="4800"/>
          </w:tcPr>
          <w:p>
            <w:pPr>
              <w:pStyle w:val="TableText"/>
            </w:pPr>
            <w:r>
              <w:t>Đăng nhập; tài khoản và phân công</w:t>
            </w:r>
          </w:p>
        </w:tc>
        <w:tc>
          <w:tcPr>
            <w:tcW w:type="dxa" w:w="3560"/>
          </w:tcPr>
          <w:p>
            <w:pPr>
              <w:pStyle w:val="TableText"/>
            </w:pPr>
            <w:r>
              <w:t>FR-IAM-01/02/03</w:t>
            </w:r>
          </w:p>
        </w:tc>
      </w:tr>
      <w:tr>
        <w:trPr>
          <w:cantSplit/>
        </w:trPr>
        <w:tc>
          <w:tcPr>
            <w:tcW w:type="dxa" w:w="1000"/>
          </w:tcPr>
          <w:p>
            <w:pPr>
              <w:pStyle w:val="TableText"/>
            </w:pPr>
            <w:r>
              <w:t>SCR-02</w:t>
            </w:r>
          </w:p>
        </w:tc>
        <w:tc>
          <w:tcPr>
            <w:tcW w:type="dxa" w:w="4800"/>
          </w:tcPr>
          <w:p>
            <w:pPr>
              <w:pStyle w:val="TableText"/>
            </w:pPr>
            <w:r>
              <w:t>Tổng quan + danh sách chi tiết chỉ số</w:t>
            </w:r>
          </w:p>
        </w:tc>
        <w:tc>
          <w:tcPr>
            <w:tcW w:type="dxa" w:w="3560"/>
          </w:tcPr>
          <w:p>
            <w:pPr>
              <w:pStyle w:val="TableText"/>
            </w:pPr>
            <w:r>
              <w:t>FR-DSH-01/02</w:t>
            </w:r>
          </w:p>
        </w:tc>
      </w:tr>
      <w:tr>
        <w:trPr>
          <w:cantSplit/>
        </w:trPr>
        <w:tc>
          <w:tcPr>
            <w:tcW w:type="dxa" w:w="1000"/>
          </w:tcPr>
          <w:p>
            <w:pPr>
              <w:pStyle w:val="TableText"/>
            </w:pPr>
            <w:r>
              <w:t>SCR-03</w:t>
            </w:r>
          </w:p>
        </w:tc>
        <w:tc>
          <w:tcPr>
            <w:tcW w:type="dxa" w:w="4800"/>
          </w:tcPr>
          <w:p>
            <w:pPr>
              <w:pStyle w:val="TableText"/>
            </w:pPr>
            <w:r>
              <w:t>Chủ nhà + HĐ đầu vào + lịch thanh toán</w:t>
            </w:r>
          </w:p>
        </w:tc>
        <w:tc>
          <w:tcPr>
            <w:tcW w:type="dxa" w:w="3560"/>
          </w:tcPr>
          <w:p>
            <w:pPr>
              <w:pStyle w:val="TableText"/>
            </w:pPr>
            <w:r>
              <w:t>FR-BLD-01/05</w:t>
            </w:r>
          </w:p>
        </w:tc>
      </w:tr>
      <w:tr>
        <w:trPr>
          <w:cantSplit/>
        </w:trPr>
        <w:tc>
          <w:tcPr>
            <w:tcW w:type="dxa" w:w="1000"/>
          </w:tcPr>
          <w:p>
            <w:pPr>
              <w:pStyle w:val="TableText"/>
            </w:pPr>
            <w:r>
              <w:t>SCR-04</w:t>
            </w:r>
          </w:p>
        </w:tc>
        <w:tc>
          <w:tcPr>
            <w:tcW w:type="dxa" w:w="4800"/>
          </w:tcPr>
          <w:p>
            <w:pPr>
              <w:pStyle w:val="TableText"/>
            </w:pPr>
            <w:r>
              <w:t>Tòa + phòng + tài sản + người phụ trách</w:t>
            </w:r>
          </w:p>
        </w:tc>
        <w:tc>
          <w:tcPr>
            <w:tcW w:type="dxa" w:w="3560"/>
          </w:tcPr>
          <w:p>
            <w:pPr>
              <w:pStyle w:val="TableText"/>
            </w:pPr>
            <w:r>
              <w:t>FR-BLD-02/03/04</w:t>
            </w:r>
          </w:p>
        </w:tc>
      </w:tr>
      <w:tr>
        <w:trPr>
          <w:cantSplit/>
        </w:trPr>
        <w:tc>
          <w:tcPr>
            <w:tcW w:type="dxa" w:w="1000"/>
          </w:tcPr>
          <w:p>
            <w:pPr>
              <w:pStyle w:val="TableText"/>
            </w:pPr>
            <w:r>
              <w:t>SCR-05</w:t>
            </w:r>
          </w:p>
        </w:tc>
        <w:tc>
          <w:tcPr>
            <w:tcW w:type="dxa" w:w="4800"/>
          </w:tcPr>
          <w:p>
            <w:pPr>
              <w:pStyle w:val="TableText"/>
            </w:pPr>
            <w:r>
              <w:t>Khách + hợp đồng + dịch vụ + tài chính</w:t>
            </w:r>
          </w:p>
        </w:tc>
        <w:tc>
          <w:tcPr>
            <w:tcW w:type="dxa" w:w="3560"/>
          </w:tcPr>
          <w:p>
            <w:pPr>
              <w:pStyle w:val="TableText"/>
            </w:pPr>
            <w:r>
              <w:t>FR-CUS-01/02/03/04/05</w:t>
            </w:r>
          </w:p>
        </w:tc>
      </w:tr>
      <w:tr>
        <w:trPr>
          <w:cantSplit/>
        </w:trPr>
        <w:tc>
          <w:tcPr>
            <w:tcW w:type="dxa" w:w="1000"/>
          </w:tcPr>
          <w:p>
            <w:pPr>
              <w:pStyle w:val="TableText"/>
            </w:pPr>
            <w:r>
              <w:t>SCR-06</w:t>
            </w:r>
          </w:p>
        </w:tc>
        <w:tc>
          <w:tcPr>
            <w:tcW w:type="dxa" w:w="4800"/>
          </w:tcPr>
          <w:p>
            <w:pPr>
              <w:pStyle w:val="TableText"/>
            </w:pPr>
            <w:r>
              <w:t>Hóa đơn: nháp, nhập phí, phát hành</w:t>
            </w:r>
          </w:p>
        </w:tc>
        <w:tc>
          <w:tcPr>
            <w:tcW w:type="dxa" w:w="3560"/>
          </w:tcPr>
          <w:p>
            <w:pPr>
              <w:pStyle w:val="TableText"/>
            </w:pPr>
            <w:r>
              <w:t>FR-FIN-01/02</w:t>
            </w:r>
          </w:p>
        </w:tc>
      </w:tr>
      <w:tr>
        <w:trPr>
          <w:cantSplit/>
        </w:trPr>
        <w:tc>
          <w:tcPr>
            <w:tcW w:type="dxa" w:w="1000"/>
          </w:tcPr>
          <w:p>
            <w:pPr>
              <w:pStyle w:val="TableText"/>
            </w:pPr>
            <w:r>
              <w:t>SCR-07</w:t>
            </w:r>
          </w:p>
        </w:tc>
        <w:tc>
          <w:tcPr>
            <w:tcW w:type="dxa" w:w="4800"/>
          </w:tcPr>
          <w:p>
            <w:pPr>
              <w:pStyle w:val="TableText"/>
            </w:pPr>
            <w:r>
              <w:t>Thu tiền, phân bổ, công nợ, điều chỉnh</w:t>
            </w:r>
          </w:p>
        </w:tc>
        <w:tc>
          <w:tcPr>
            <w:tcW w:type="dxa" w:w="3560"/>
          </w:tcPr>
          <w:p>
            <w:pPr>
              <w:pStyle w:val="TableText"/>
            </w:pPr>
            <w:r>
              <w:t>FR-FIN-03/04/08</w:t>
            </w:r>
          </w:p>
        </w:tc>
      </w:tr>
      <w:tr>
        <w:trPr>
          <w:cantSplit/>
        </w:trPr>
        <w:tc>
          <w:tcPr>
            <w:tcW w:type="dxa" w:w="1000"/>
          </w:tcPr>
          <w:p>
            <w:pPr>
              <w:pStyle w:val="TableText"/>
            </w:pPr>
            <w:r>
              <w:t>SCR-08</w:t>
            </w:r>
          </w:p>
        </w:tc>
        <w:tc>
          <w:tcPr>
            <w:tcW w:type="dxa" w:w="4800"/>
          </w:tcPr>
          <w:p>
            <w:pPr>
              <w:pStyle w:val="TableText"/>
            </w:pPr>
            <w:r>
              <w:t>Chi phí và phân bổ tòa</w:t>
            </w:r>
          </w:p>
        </w:tc>
        <w:tc>
          <w:tcPr>
            <w:tcW w:type="dxa" w:w="3560"/>
          </w:tcPr>
          <w:p>
            <w:pPr>
              <w:pStyle w:val="TableText"/>
            </w:pPr>
            <w:r>
              <w:t>FR-FIN-05</w:t>
            </w:r>
          </w:p>
        </w:tc>
      </w:tr>
      <w:tr>
        <w:trPr>
          <w:cantSplit/>
        </w:trPr>
        <w:tc>
          <w:tcPr>
            <w:tcW w:type="dxa" w:w="1000"/>
          </w:tcPr>
          <w:p>
            <w:pPr>
              <w:pStyle w:val="TableText"/>
            </w:pPr>
            <w:r>
              <w:t>SCR-09</w:t>
            </w:r>
          </w:p>
        </w:tc>
        <w:tc>
          <w:tcPr>
            <w:tcW w:type="dxa" w:w="4800"/>
          </w:tcPr>
          <w:p>
            <w:pPr>
              <w:pStyle w:val="TableText"/>
            </w:pPr>
            <w:r>
              <w:t>Hồ sơ hoàn cọc, duyệt, ghi hoàn</w:t>
            </w:r>
          </w:p>
        </w:tc>
        <w:tc>
          <w:tcPr>
            <w:tcW w:type="dxa" w:w="3560"/>
          </w:tcPr>
          <w:p>
            <w:pPr>
              <w:pStyle w:val="TableText"/>
            </w:pPr>
            <w:r>
              <w:t>FR-FIN-06/07</w:t>
            </w:r>
          </w:p>
        </w:tc>
      </w:tr>
      <w:tr>
        <w:trPr>
          <w:cantSplit/>
        </w:trPr>
        <w:tc>
          <w:tcPr>
            <w:tcW w:type="dxa" w:w="1000"/>
          </w:tcPr>
          <w:p>
            <w:pPr>
              <w:pStyle w:val="TableText"/>
            </w:pPr>
            <w:r>
              <w:t>SCR-10</w:t>
            </w:r>
          </w:p>
        </w:tc>
        <w:tc>
          <w:tcPr>
            <w:tcW w:type="dxa" w:w="4800"/>
          </w:tcPr>
          <w:p>
            <w:pPr>
              <w:pStyle w:val="TableText"/>
            </w:pPr>
            <w:r>
              <w:t>Lead, giao dịch, hoa hồng</w:t>
            </w:r>
          </w:p>
        </w:tc>
        <w:tc>
          <w:tcPr>
            <w:tcW w:type="dxa" w:w="3560"/>
          </w:tcPr>
          <w:p>
            <w:pPr>
              <w:pStyle w:val="TableText"/>
            </w:pPr>
            <w:r>
              <w:t>FR-SAL-01/02/03</w:t>
            </w:r>
          </w:p>
        </w:tc>
      </w:tr>
      <w:tr>
        <w:trPr>
          <w:cantSplit/>
        </w:trPr>
        <w:tc>
          <w:tcPr>
            <w:tcW w:type="dxa" w:w="1000"/>
          </w:tcPr>
          <w:p>
            <w:pPr>
              <w:pStyle w:val="TableText"/>
            </w:pPr>
            <w:r>
              <w:t>SCR-11</w:t>
            </w:r>
          </w:p>
        </w:tc>
        <w:tc>
          <w:tcPr>
            <w:tcW w:type="dxa" w:w="4800"/>
          </w:tcPr>
          <w:p>
            <w:pPr>
              <w:pStyle w:val="TableText"/>
            </w:pPr>
            <w:r>
              <w:t>Nhân sự và bảng lương</w:t>
            </w:r>
          </w:p>
        </w:tc>
        <w:tc>
          <w:tcPr>
            <w:tcW w:type="dxa" w:w="3560"/>
          </w:tcPr>
          <w:p>
            <w:pPr>
              <w:pStyle w:val="TableText"/>
            </w:pPr>
            <w:r>
              <w:t>FR-HR-01/02</w:t>
            </w:r>
          </w:p>
        </w:tc>
      </w:tr>
      <w:tr>
        <w:trPr>
          <w:cantSplit/>
        </w:trPr>
        <w:tc>
          <w:tcPr>
            <w:tcW w:type="dxa" w:w="1000"/>
          </w:tcPr>
          <w:p>
            <w:pPr>
              <w:pStyle w:val="TableText"/>
            </w:pPr>
            <w:r>
              <w:t>SCR-12</w:t>
            </w:r>
          </w:p>
        </w:tc>
        <w:tc>
          <w:tcPr>
            <w:tcW w:type="dxa" w:w="4800"/>
          </w:tcPr>
          <w:p>
            <w:pPr>
              <w:pStyle w:val="TableText"/>
            </w:pPr>
            <w:r>
              <w:t>File hồ sơ / danh mục tài liệu có điều kiện</w:t>
            </w:r>
          </w:p>
        </w:tc>
        <w:tc>
          <w:tcPr>
            <w:tcW w:type="dxa" w:w="3560"/>
          </w:tcPr>
          <w:p>
            <w:pPr>
              <w:pStyle w:val="TableText"/>
            </w:pPr>
            <w:r>
              <w:t>FR-DOC-01/02</w:t>
            </w:r>
          </w:p>
        </w:tc>
      </w:tr>
      <w:tr>
        <w:trPr>
          <w:cantSplit/>
        </w:trPr>
        <w:tc>
          <w:tcPr>
            <w:tcW w:type="dxa" w:w="1000"/>
          </w:tcPr>
          <w:p>
            <w:pPr>
              <w:pStyle w:val="TableText"/>
            </w:pPr>
            <w:r>
              <w:t>SCR-13</w:t>
            </w:r>
          </w:p>
        </w:tc>
        <w:tc>
          <w:tcPr>
            <w:tcW w:type="dxa" w:w="4800"/>
          </w:tcPr>
          <w:p>
            <w:pPr>
              <w:pStyle w:val="TableText"/>
            </w:pPr>
            <w:r>
              <w:t>Báo cáo và quản lý kỳ</w:t>
            </w:r>
          </w:p>
        </w:tc>
        <w:tc>
          <w:tcPr>
            <w:tcW w:type="dxa" w:w="3560"/>
          </w:tcPr>
          <w:p>
            <w:pPr>
              <w:pStyle w:val="TableText"/>
            </w:pPr>
            <w:r>
              <w:t>FR-REP-01/02/03/04/05</w:t>
            </w:r>
          </w:p>
        </w:tc>
      </w:tr>
      <w:tr>
        <w:trPr>
          <w:cantSplit/>
        </w:trPr>
        <w:tc>
          <w:tcPr>
            <w:tcW w:type="dxa" w:w="1000"/>
          </w:tcPr>
          <w:p>
            <w:pPr>
              <w:pStyle w:val="TableText"/>
            </w:pPr>
            <w:r>
              <w:t>SCR-14</w:t>
            </w:r>
          </w:p>
        </w:tc>
        <w:tc>
          <w:tcPr>
            <w:tcW w:type="dxa" w:w="4800"/>
          </w:tcPr>
          <w:p>
            <w:pPr>
              <w:pStyle w:val="TableText"/>
            </w:pPr>
            <w:r>
              <w:t>Cổ đông, vốn góp, bảng phân phối</w:t>
            </w:r>
          </w:p>
        </w:tc>
        <w:tc>
          <w:tcPr>
            <w:tcW w:type="dxa" w:w="3560"/>
          </w:tcPr>
          <w:p>
            <w:pPr>
              <w:pStyle w:val="TableText"/>
            </w:pPr>
            <w:r>
              <w:t>FR-SHR-01/02/03</w:t>
            </w:r>
          </w:p>
        </w:tc>
      </w:tr>
      <w:tr>
        <w:trPr>
          <w:cantSplit/>
        </w:trPr>
        <w:tc>
          <w:tcPr>
            <w:tcW w:type="dxa" w:w="1000"/>
          </w:tcPr>
          <w:p>
            <w:pPr>
              <w:pStyle w:val="TableText"/>
            </w:pPr>
            <w:r>
              <w:t>SCR-15</w:t>
            </w:r>
          </w:p>
        </w:tc>
        <w:tc>
          <w:tcPr>
            <w:tcW w:type="dxa" w:w="4800"/>
          </w:tcPr>
          <w:p>
            <w:pPr>
              <w:pStyle w:val="TableText"/>
            </w:pPr>
            <w:r>
              <w:t>Cổng cổ đông — có điều kiện</w:t>
            </w:r>
          </w:p>
        </w:tc>
        <w:tc>
          <w:tcPr>
            <w:tcW w:type="dxa" w:w="3560"/>
          </w:tcPr>
          <w:p>
            <w:pPr>
              <w:pStyle w:val="TableText"/>
            </w:pPr>
            <w:r>
              <w:t>FR-SHR-04</w:t>
            </w:r>
          </w:p>
        </w:tc>
      </w:tr>
      <w:tr>
        <w:trPr>
          <w:cantSplit/>
        </w:trPr>
        <w:tc>
          <w:tcPr>
            <w:tcW w:type="dxa" w:w="1000"/>
          </w:tcPr>
          <w:p>
            <w:pPr>
              <w:pStyle w:val="TableText"/>
            </w:pPr>
            <w:r>
              <w:t>SCR-16</w:t>
            </w:r>
          </w:p>
        </w:tc>
        <w:tc>
          <w:tcPr>
            <w:tcW w:type="dxa" w:w="4800"/>
          </w:tcPr>
          <w:p>
            <w:pPr>
              <w:pStyle w:val="TableText"/>
            </w:pPr>
            <w:r>
              <w:t>Bảo dưỡng, kiểm kê, sự cố</w:t>
            </w:r>
          </w:p>
        </w:tc>
        <w:tc>
          <w:tcPr>
            <w:tcW w:type="dxa" w:w="3560"/>
          </w:tcPr>
          <w:p>
            <w:pPr>
              <w:pStyle w:val="TableText"/>
            </w:pPr>
            <w:r>
              <w:t>FR-MNT-01/02/03</w:t>
            </w:r>
          </w:p>
        </w:tc>
      </w:tr>
      <w:tr>
        <w:trPr>
          <w:cantSplit/>
        </w:trPr>
        <w:tc>
          <w:tcPr>
            <w:tcW w:type="dxa" w:w="1000"/>
          </w:tcPr>
          <w:p>
            <w:pPr>
              <w:pStyle w:val="TableText"/>
            </w:pPr>
            <w:r>
              <w:t>SCR-17</w:t>
            </w:r>
          </w:p>
        </w:tc>
        <w:tc>
          <w:tcPr>
            <w:tcW w:type="dxa" w:w="4800"/>
          </w:tcPr>
          <w:p>
            <w:pPr>
              <w:pStyle w:val="TableText"/>
            </w:pPr>
            <w:r>
              <w:t>Cấu hình thông báo và lịch sử gửi</w:t>
            </w:r>
          </w:p>
        </w:tc>
        <w:tc>
          <w:tcPr>
            <w:tcW w:type="dxa" w:w="3560"/>
          </w:tcPr>
          <w:p>
            <w:pPr>
              <w:pStyle w:val="TableText"/>
            </w:pPr>
            <w:r>
              <w:t>FR-ZAL-01/02/03/04/05</w:t>
            </w:r>
          </w:p>
        </w:tc>
      </w:tr>
    </w:tbl>
    <w:p>
      <w:bookmarkStart w:id="111" w:name="sec_11"/>
      <w:pPr>
        <w:pStyle w:val="Heading1"/>
        <w:widowControl/>
      </w:pPr>
      <w:r>
        <w:t>11. Truy vết và kế hoạch kiểm thử</w:t>
      </w:r>
      <w:bookmarkEnd w:id="111"/>
    </w:p>
    <w:p>
      <w:pPr>
        <w:widowControl/>
      </w:pPr>
      <w:r>
        <w:t>Ma trận dưới đây bao gồm toàn bộ FR của bản SRS. AT là mã kịch bản dự kiến, chưa thực thi. Với mỗi AT tương ứng, QA triển khai hai AC trong đặc tả FR, bổ sung dữ liệu, bước cụ thể và kết quả thực tế. NFR có phương pháp xác minh riêng tại mục 9. Phạm vi kiểm chứng là S1, chưa phải Excel gốc.</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1D5DB"/>
          <w:left w:val="single" w:sz="4" w:color="D1D5DB"/>
          <w:bottom w:val="single" w:sz="4" w:color="D1D5DB"/>
          <w:right w:val="single" w:sz="4" w:color="D1D5DB"/>
          <w:insideH w:val="single" w:sz="4" w:color="D1D5DB"/>
          <w:insideV w:val="single" w:sz="4" w:color="D1D5DB"/>
        </w:tblBorders>
      </w:tblPr>
      <w:tblGrid>
        <w:gridCol w:w="1900"/>
        <w:gridCol w:w="3000"/>
        <w:gridCol w:w="1900"/>
        <w:gridCol w:w="2560"/>
      </w:tblGrid>
      <w:tr>
        <w:trPr>
          <w:cantSplit/>
          <w:tblHeader/>
        </w:trPr>
        <w:tc>
          <w:tcPr>
            <w:tcW w:type="dxa" w:w="1900"/>
            <w:shd w:fill="F2F4F7"/>
          </w:tcPr>
          <w:p>
            <w:pPr>
              <w:pStyle w:val="TableText"/>
            </w:pPr>
            <w:r>
              <w:rPr>
                <w:b/>
              </w:rPr>
              <w:t>Yêu cầu</w:t>
            </w:r>
          </w:p>
        </w:tc>
        <w:tc>
          <w:tcPr>
            <w:tcW w:type="dxa" w:w="3000"/>
            <w:shd w:fill="F2F4F7"/>
          </w:tcPr>
          <w:p>
            <w:pPr>
              <w:pStyle w:val="TableText"/>
            </w:pPr>
            <w:r>
              <w:rPr>
                <w:b/>
              </w:rPr>
              <w:t>Nguồn</w:t>
            </w:r>
          </w:p>
        </w:tc>
        <w:tc>
          <w:tcPr>
            <w:tcW w:type="dxa" w:w="1900"/>
            <w:shd w:fill="F2F4F7"/>
          </w:tcPr>
          <w:p>
            <w:pPr>
              <w:pStyle w:val="TableText"/>
            </w:pPr>
            <w:r>
              <w:rPr>
                <w:b/>
              </w:rPr>
              <w:t>Kịch bản dự kiến</w:t>
            </w:r>
          </w:p>
        </w:tc>
        <w:tc>
          <w:tcPr>
            <w:tcW w:type="dxa" w:w="2560"/>
            <w:shd w:fill="F2F4F7"/>
          </w:tcPr>
          <w:p>
            <w:pPr>
              <w:pStyle w:val="TableText"/>
            </w:pPr>
            <w:r>
              <w:rPr>
                <w:b/>
              </w:rPr>
              <w:t>Quyết định mở</w:t>
            </w:r>
          </w:p>
        </w:tc>
      </w:tr>
      <w:tr>
        <w:trPr>
          <w:cantSplit/>
        </w:trPr>
        <w:tc>
          <w:tcPr>
            <w:tcW w:type="dxa" w:w="1900"/>
          </w:tcPr>
          <w:p>
            <w:pPr>
              <w:pStyle w:val="TableText"/>
            </w:pPr>
            <w:r>
              <w:t>FR-IAM-01</w:t>
            </w:r>
          </w:p>
        </w:tc>
        <w:tc>
          <w:tcPr>
            <w:tcW w:type="dxa" w:w="3000"/>
          </w:tcPr>
          <w:p>
            <w:pPr>
              <w:pStyle w:val="TableText"/>
            </w:pPr>
            <w:r>
              <w:t>BA từ S1 §2</w:t>
            </w:r>
          </w:p>
        </w:tc>
        <w:tc>
          <w:tcPr>
            <w:tcW w:type="dxa" w:w="1900"/>
          </w:tcPr>
          <w:p>
            <w:pPr>
              <w:pStyle w:val="TableText"/>
            </w:pPr>
            <w:r>
              <w:t>AT-IAM-01</w:t>
            </w:r>
          </w:p>
        </w:tc>
        <w:tc>
          <w:tcPr>
            <w:tcW w:type="dxa" w:w="2560"/>
          </w:tcPr>
          <w:p>
            <w:pPr>
              <w:pStyle w:val="TableText"/>
            </w:pPr>
            <w:r>
              <w:t>OI-01/16</w:t>
            </w:r>
          </w:p>
        </w:tc>
      </w:tr>
      <w:tr>
        <w:trPr>
          <w:cantSplit/>
        </w:trPr>
        <w:tc>
          <w:tcPr>
            <w:tcW w:type="dxa" w:w="1900"/>
          </w:tcPr>
          <w:p>
            <w:pPr>
              <w:pStyle w:val="TableText"/>
            </w:pPr>
            <w:r>
              <w:t>FR-IAM-02</w:t>
            </w:r>
          </w:p>
        </w:tc>
        <w:tc>
          <w:tcPr>
            <w:tcW w:type="dxa" w:w="3000"/>
          </w:tcPr>
          <w:p>
            <w:pPr>
              <w:pStyle w:val="TableText"/>
            </w:pPr>
            <w:r>
              <w:t>BA từ S1 §2</w:t>
            </w:r>
          </w:p>
        </w:tc>
        <w:tc>
          <w:tcPr>
            <w:tcW w:type="dxa" w:w="1900"/>
          </w:tcPr>
          <w:p>
            <w:pPr>
              <w:pStyle w:val="TableText"/>
            </w:pPr>
            <w:r>
              <w:t>AT-IAM-02</w:t>
            </w:r>
          </w:p>
        </w:tc>
        <w:tc>
          <w:tcPr>
            <w:tcW w:type="dxa" w:w="2560"/>
          </w:tcPr>
          <w:p>
            <w:pPr>
              <w:pStyle w:val="TableText"/>
            </w:pPr>
            <w:r>
              <w:t>OI-01/02</w:t>
            </w:r>
          </w:p>
        </w:tc>
      </w:tr>
      <w:tr>
        <w:trPr>
          <w:cantSplit/>
        </w:trPr>
        <w:tc>
          <w:tcPr>
            <w:tcW w:type="dxa" w:w="1900"/>
          </w:tcPr>
          <w:p>
            <w:pPr>
              <w:pStyle w:val="TableText"/>
            </w:pPr>
            <w:r>
              <w:t>FR-IAM-03</w:t>
            </w:r>
          </w:p>
        </w:tc>
        <w:tc>
          <w:tcPr>
            <w:tcW w:type="dxa" w:w="3000"/>
          </w:tcPr>
          <w:p>
            <w:pPr>
              <w:pStyle w:val="TableText"/>
            </w:pPr>
            <w:r>
              <w:t>S1 §2, §9.1; BA</w:t>
            </w:r>
          </w:p>
        </w:tc>
        <w:tc>
          <w:tcPr>
            <w:tcW w:type="dxa" w:w="1900"/>
          </w:tcPr>
          <w:p>
            <w:pPr>
              <w:pStyle w:val="TableText"/>
            </w:pPr>
            <w:r>
              <w:t>AT-IAM-03</w:t>
            </w:r>
          </w:p>
        </w:tc>
        <w:tc>
          <w:tcPr>
            <w:tcW w:type="dxa" w:w="2560"/>
          </w:tcPr>
          <w:p>
            <w:pPr>
              <w:pStyle w:val="TableText"/>
            </w:pPr>
            <w:r>
              <w:t>OI-01/02/16</w:t>
            </w:r>
          </w:p>
        </w:tc>
      </w:tr>
      <w:tr>
        <w:trPr>
          <w:cantSplit/>
        </w:trPr>
        <w:tc>
          <w:tcPr>
            <w:tcW w:type="dxa" w:w="1900"/>
          </w:tcPr>
          <w:p>
            <w:pPr>
              <w:pStyle w:val="TableText"/>
            </w:pPr>
            <w:r>
              <w:t>FR-BLD-01</w:t>
            </w:r>
          </w:p>
        </w:tc>
        <w:tc>
          <w:tcPr>
            <w:tcW w:type="dxa" w:w="3000"/>
          </w:tcPr>
          <w:p>
            <w:pPr>
              <w:pStyle w:val="TableText"/>
            </w:pPr>
            <w:r>
              <w:t>S1 §4.2.A</w:t>
            </w:r>
          </w:p>
        </w:tc>
        <w:tc>
          <w:tcPr>
            <w:tcW w:type="dxa" w:w="1900"/>
          </w:tcPr>
          <w:p>
            <w:pPr>
              <w:pStyle w:val="TableText"/>
            </w:pPr>
            <w:r>
              <w:t>AT-BLD-01</w:t>
            </w:r>
          </w:p>
        </w:tc>
        <w:tc>
          <w:tcPr>
            <w:tcW w:type="dxa" w:w="2560"/>
          </w:tcPr>
          <w:p>
            <w:pPr>
              <w:pStyle w:val="TableText"/>
            </w:pPr>
            <w:r>
              <w:t>OI-01/03</w:t>
            </w:r>
          </w:p>
        </w:tc>
      </w:tr>
      <w:tr>
        <w:trPr>
          <w:cantSplit/>
        </w:trPr>
        <w:tc>
          <w:tcPr>
            <w:tcW w:type="dxa" w:w="1900"/>
          </w:tcPr>
          <w:p>
            <w:pPr>
              <w:pStyle w:val="TableText"/>
            </w:pPr>
            <w:r>
              <w:t>FR-BLD-02</w:t>
            </w:r>
          </w:p>
        </w:tc>
        <w:tc>
          <w:tcPr>
            <w:tcW w:type="dxa" w:w="3000"/>
          </w:tcPr>
          <w:p>
            <w:pPr>
              <w:pStyle w:val="TableText"/>
            </w:pPr>
            <w:r>
              <w:t>S1 §4.2.B</w:t>
            </w:r>
          </w:p>
        </w:tc>
        <w:tc>
          <w:tcPr>
            <w:tcW w:type="dxa" w:w="1900"/>
          </w:tcPr>
          <w:p>
            <w:pPr>
              <w:pStyle w:val="TableText"/>
            </w:pPr>
            <w:r>
              <w:t>AT-BLD-02</w:t>
            </w:r>
          </w:p>
        </w:tc>
        <w:tc>
          <w:tcPr>
            <w:tcW w:type="dxa" w:w="2560"/>
          </w:tcPr>
          <w:p>
            <w:pPr>
              <w:pStyle w:val="TableText"/>
            </w:pPr>
            <w:r>
              <w:t>OI-01/19</w:t>
            </w:r>
          </w:p>
        </w:tc>
      </w:tr>
      <w:tr>
        <w:trPr>
          <w:cantSplit/>
        </w:trPr>
        <w:tc>
          <w:tcPr>
            <w:tcW w:type="dxa" w:w="1900"/>
          </w:tcPr>
          <w:p>
            <w:pPr>
              <w:pStyle w:val="TableText"/>
            </w:pPr>
            <w:r>
              <w:t>FR-BLD-03</w:t>
            </w:r>
          </w:p>
        </w:tc>
        <w:tc>
          <w:tcPr>
            <w:tcW w:type="dxa" w:w="3000"/>
          </w:tcPr>
          <w:p>
            <w:pPr>
              <w:pStyle w:val="TableText"/>
            </w:pPr>
            <w:r>
              <w:t>S1 §4.1/§4.5/§6/§10</w:t>
            </w:r>
          </w:p>
        </w:tc>
        <w:tc>
          <w:tcPr>
            <w:tcW w:type="dxa" w:w="1900"/>
          </w:tcPr>
          <w:p>
            <w:pPr>
              <w:pStyle w:val="TableText"/>
            </w:pPr>
            <w:r>
              <w:t>AT-BLD-03</w:t>
            </w:r>
          </w:p>
        </w:tc>
        <w:tc>
          <w:tcPr>
            <w:tcW w:type="dxa" w:w="2560"/>
          </w:tcPr>
          <w:p>
            <w:pPr>
              <w:pStyle w:val="TableText"/>
            </w:pPr>
            <w:r>
              <w:t>OI-07/09/19</w:t>
            </w:r>
          </w:p>
        </w:tc>
      </w:tr>
      <w:tr>
        <w:trPr>
          <w:cantSplit/>
        </w:trPr>
        <w:tc>
          <w:tcPr>
            <w:tcW w:type="dxa" w:w="1900"/>
          </w:tcPr>
          <w:p>
            <w:pPr>
              <w:pStyle w:val="TableText"/>
            </w:pPr>
            <w:r>
              <w:t>FR-BLD-04</w:t>
            </w:r>
          </w:p>
        </w:tc>
        <w:tc>
          <w:tcPr>
            <w:tcW w:type="dxa" w:w="3000"/>
          </w:tcPr>
          <w:p>
            <w:pPr>
              <w:pStyle w:val="TableText"/>
            </w:pPr>
            <w:r>
              <w:t>S1 §4.2.C, §9.3</w:t>
            </w:r>
          </w:p>
        </w:tc>
        <w:tc>
          <w:tcPr>
            <w:tcW w:type="dxa" w:w="1900"/>
          </w:tcPr>
          <w:p>
            <w:pPr>
              <w:pStyle w:val="TableText"/>
            </w:pPr>
            <w:r>
              <w:t>AT-BLD-04</w:t>
            </w:r>
          </w:p>
        </w:tc>
        <w:tc>
          <w:tcPr>
            <w:tcW w:type="dxa" w:w="2560"/>
          </w:tcPr>
          <w:p>
            <w:pPr>
              <w:pStyle w:val="TableText"/>
            </w:pPr>
            <w:r>
              <w:t>OI-11/18</w:t>
            </w:r>
          </w:p>
        </w:tc>
      </w:tr>
      <w:tr>
        <w:trPr>
          <w:cantSplit/>
        </w:trPr>
        <w:tc>
          <w:tcPr>
            <w:tcW w:type="dxa" w:w="1900"/>
          </w:tcPr>
          <w:p>
            <w:pPr>
              <w:pStyle w:val="TableText"/>
            </w:pPr>
            <w:r>
              <w:t>FR-BLD-05</w:t>
            </w:r>
          </w:p>
        </w:tc>
        <w:tc>
          <w:tcPr>
            <w:tcW w:type="dxa" w:w="3000"/>
          </w:tcPr>
          <w:p>
            <w:pPr>
              <w:pStyle w:val="TableText"/>
            </w:pPr>
            <w:r>
              <w:t>S1 §4.2.C</w:t>
            </w:r>
          </w:p>
        </w:tc>
        <w:tc>
          <w:tcPr>
            <w:tcW w:type="dxa" w:w="1900"/>
          </w:tcPr>
          <w:p>
            <w:pPr>
              <w:pStyle w:val="TableText"/>
            </w:pPr>
            <w:r>
              <w:t>AT-BLD-05</w:t>
            </w:r>
          </w:p>
        </w:tc>
        <w:tc>
          <w:tcPr>
            <w:tcW w:type="dxa" w:w="2560"/>
          </w:tcPr>
          <w:p>
            <w:pPr>
              <w:pStyle w:val="TableText"/>
            </w:pPr>
            <w:r>
              <w:t>OI-03</w:t>
            </w:r>
          </w:p>
        </w:tc>
      </w:tr>
      <w:tr>
        <w:trPr>
          <w:cantSplit/>
        </w:trPr>
        <w:tc>
          <w:tcPr>
            <w:tcW w:type="dxa" w:w="1900"/>
          </w:tcPr>
          <w:p>
            <w:pPr>
              <w:pStyle w:val="TableText"/>
            </w:pPr>
            <w:r>
              <w:t>FR-CUS-01</w:t>
            </w:r>
          </w:p>
        </w:tc>
        <w:tc>
          <w:tcPr>
            <w:tcW w:type="dxa" w:w="3000"/>
          </w:tcPr>
          <w:p>
            <w:pPr>
              <w:pStyle w:val="TableText"/>
            </w:pPr>
            <w:r>
              <w:t>S1 §4.3</w:t>
            </w:r>
          </w:p>
        </w:tc>
        <w:tc>
          <w:tcPr>
            <w:tcW w:type="dxa" w:w="1900"/>
          </w:tcPr>
          <w:p>
            <w:pPr>
              <w:pStyle w:val="TableText"/>
            </w:pPr>
            <w:r>
              <w:t>AT-CUS-01</w:t>
            </w:r>
          </w:p>
        </w:tc>
        <w:tc>
          <w:tcPr>
            <w:tcW w:type="dxa" w:w="2560"/>
          </w:tcPr>
          <w:p>
            <w:pPr>
              <w:pStyle w:val="TableText"/>
            </w:pPr>
            <w:r>
              <w:t>OI-01/19</w:t>
            </w:r>
          </w:p>
        </w:tc>
      </w:tr>
      <w:tr>
        <w:trPr>
          <w:cantSplit/>
        </w:trPr>
        <w:tc>
          <w:tcPr>
            <w:tcW w:type="dxa" w:w="1900"/>
          </w:tcPr>
          <w:p>
            <w:pPr>
              <w:pStyle w:val="TableText"/>
            </w:pPr>
            <w:r>
              <w:t>FR-CUS-02</w:t>
            </w:r>
          </w:p>
        </w:tc>
        <w:tc>
          <w:tcPr>
            <w:tcW w:type="dxa" w:w="3000"/>
          </w:tcPr>
          <w:p>
            <w:pPr>
              <w:pStyle w:val="TableText"/>
            </w:pPr>
            <w:r>
              <w:t>S1 §4.3, §5</w:t>
            </w:r>
          </w:p>
        </w:tc>
        <w:tc>
          <w:tcPr>
            <w:tcW w:type="dxa" w:w="1900"/>
          </w:tcPr>
          <w:p>
            <w:pPr>
              <w:pStyle w:val="TableText"/>
            </w:pPr>
            <w:r>
              <w:t>AT-CUS-02</w:t>
            </w:r>
          </w:p>
        </w:tc>
        <w:tc>
          <w:tcPr>
            <w:tcW w:type="dxa" w:w="2560"/>
          </w:tcPr>
          <w:p>
            <w:pPr>
              <w:pStyle w:val="TableText"/>
            </w:pPr>
            <w:r>
              <w:t>OI-05/09/14</w:t>
            </w:r>
          </w:p>
        </w:tc>
      </w:tr>
      <w:tr>
        <w:trPr>
          <w:cantSplit/>
        </w:trPr>
        <w:tc>
          <w:tcPr>
            <w:tcW w:type="dxa" w:w="1900"/>
          </w:tcPr>
          <w:p>
            <w:pPr>
              <w:pStyle w:val="TableText"/>
            </w:pPr>
            <w:r>
              <w:t>FR-CUS-03</w:t>
            </w:r>
          </w:p>
        </w:tc>
        <w:tc>
          <w:tcPr>
            <w:tcW w:type="dxa" w:w="3000"/>
          </w:tcPr>
          <w:p>
            <w:pPr>
              <w:pStyle w:val="TableText"/>
            </w:pPr>
            <w:r>
              <w:t>S1 §4.3</w:t>
            </w:r>
          </w:p>
        </w:tc>
        <w:tc>
          <w:tcPr>
            <w:tcW w:type="dxa" w:w="1900"/>
          </w:tcPr>
          <w:p>
            <w:pPr>
              <w:pStyle w:val="TableText"/>
            </w:pPr>
            <w:r>
              <w:t>AT-CUS-03</w:t>
            </w:r>
          </w:p>
        </w:tc>
        <w:tc>
          <w:tcPr>
            <w:tcW w:type="dxa" w:w="2560"/>
          </w:tcPr>
          <w:p>
            <w:pPr>
              <w:pStyle w:val="TableText"/>
            </w:pPr>
            <w:r>
              <w:t>OI-04/05</w:t>
            </w:r>
          </w:p>
        </w:tc>
      </w:tr>
      <w:tr>
        <w:trPr>
          <w:cantSplit/>
        </w:trPr>
        <w:tc>
          <w:tcPr>
            <w:tcW w:type="dxa" w:w="1900"/>
          </w:tcPr>
          <w:p>
            <w:pPr>
              <w:pStyle w:val="TableText"/>
            </w:pPr>
            <w:r>
              <w:t>FR-CUS-04</w:t>
            </w:r>
          </w:p>
        </w:tc>
        <w:tc>
          <w:tcPr>
            <w:tcW w:type="dxa" w:w="3000"/>
          </w:tcPr>
          <w:p>
            <w:pPr>
              <w:pStyle w:val="TableText"/>
            </w:pPr>
            <w:r>
              <w:t>S1 §4.3, §5/§6</w:t>
            </w:r>
          </w:p>
        </w:tc>
        <w:tc>
          <w:tcPr>
            <w:tcW w:type="dxa" w:w="1900"/>
          </w:tcPr>
          <w:p>
            <w:pPr>
              <w:pStyle w:val="TableText"/>
            </w:pPr>
            <w:r>
              <w:t>AT-CUS-04</w:t>
            </w:r>
          </w:p>
        </w:tc>
        <w:tc>
          <w:tcPr>
            <w:tcW w:type="dxa" w:w="2560"/>
          </w:tcPr>
          <w:p>
            <w:pPr>
              <w:pStyle w:val="TableText"/>
            </w:pPr>
            <w:r>
              <w:t>OI-09</w:t>
            </w:r>
          </w:p>
        </w:tc>
      </w:tr>
      <w:tr>
        <w:trPr>
          <w:cantSplit/>
        </w:trPr>
        <w:tc>
          <w:tcPr>
            <w:tcW w:type="dxa" w:w="1900"/>
          </w:tcPr>
          <w:p>
            <w:pPr>
              <w:pStyle w:val="TableText"/>
            </w:pPr>
            <w:r>
              <w:t>FR-CUS-05</w:t>
            </w:r>
          </w:p>
        </w:tc>
        <w:tc>
          <w:tcPr>
            <w:tcW w:type="dxa" w:w="3000"/>
          </w:tcPr>
          <w:p>
            <w:pPr>
              <w:pStyle w:val="TableText"/>
            </w:pPr>
            <w:r>
              <w:t>S1 §4.3</w:t>
            </w:r>
          </w:p>
        </w:tc>
        <w:tc>
          <w:tcPr>
            <w:tcW w:type="dxa" w:w="1900"/>
          </w:tcPr>
          <w:p>
            <w:pPr>
              <w:pStyle w:val="TableText"/>
            </w:pPr>
            <w:r>
              <w:t>AT-CUS-05</w:t>
            </w:r>
          </w:p>
        </w:tc>
        <w:tc>
          <w:tcPr>
            <w:tcW w:type="dxa" w:w="2560"/>
          </w:tcPr>
          <w:p>
            <w:pPr>
              <w:pStyle w:val="TableText"/>
            </w:pPr>
            <w:r>
              <w:t>OI-06/07</w:t>
            </w:r>
          </w:p>
        </w:tc>
      </w:tr>
      <w:tr>
        <w:trPr>
          <w:cantSplit/>
        </w:trPr>
        <w:tc>
          <w:tcPr>
            <w:tcW w:type="dxa" w:w="1900"/>
          </w:tcPr>
          <w:p>
            <w:pPr>
              <w:pStyle w:val="TableText"/>
            </w:pPr>
            <w:r>
              <w:t>FR-FIN-01</w:t>
            </w:r>
          </w:p>
        </w:tc>
        <w:tc>
          <w:tcPr>
            <w:tcW w:type="dxa" w:w="3000"/>
          </w:tcPr>
          <w:p>
            <w:pPr>
              <w:pStyle w:val="TableText"/>
            </w:pPr>
            <w:r>
              <w:t>S1 §4.3/§4.4/§5</w:t>
            </w:r>
          </w:p>
        </w:tc>
        <w:tc>
          <w:tcPr>
            <w:tcW w:type="dxa" w:w="1900"/>
          </w:tcPr>
          <w:p>
            <w:pPr>
              <w:pStyle w:val="TableText"/>
            </w:pPr>
            <w:r>
              <w:t>AT-FIN-01</w:t>
            </w:r>
          </w:p>
        </w:tc>
        <w:tc>
          <w:tcPr>
            <w:tcW w:type="dxa" w:w="2560"/>
          </w:tcPr>
          <w:p>
            <w:pPr>
              <w:pStyle w:val="TableText"/>
            </w:pPr>
            <w:r>
              <w:t>OI-04/05</w:t>
            </w:r>
          </w:p>
        </w:tc>
      </w:tr>
      <w:tr>
        <w:trPr>
          <w:cantSplit/>
        </w:trPr>
        <w:tc>
          <w:tcPr>
            <w:tcW w:type="dxa" w:w="1900"/>
          </w:tcPr>
          <w:p>
            <w:pPr>
              <w:pStyle w:val="TableText"/>
            </w:pPr>
            <w:r>
              <w:t>FR-FIN-02</w:t>
            </w:r>
          </w:p>
        </w:tc>
        <w:tc>
          <w:tcPr>
            <w:tcW w:type="dxa" w:w="3000"/>
          </w:tcPr>
          <w:p>
            <w:pPr>
              <w:pStyle w:val="TableText"/>
            </w:pPr>
            <w:r>
              <w:t>BA từ S1 §4.3/§4.4</w:t>
            </w:r>
          </w:p>
        </w:tc>
        <w:tc>
          <w:tcPr>
            <w:tcW w:type="dxa" w:w="1900"/>
          </w:tcPr>
          <w:p>
            <w:pPr>
              <w:pStyle w:val="TableText"/>
            </w:pPr>
            <w:r>
              <w:t>AT-FIN-02</w:t>
            </w:r>
          </w:p>
        </w:tc>
        <w:tc>
          <w:tcPr>
            <w:tcW w:type="dxa" w:w="2560"/>
          </w:tcPr>
          <w:p>
            <w:pPr>
              <w:pStyle w:val="TableText"/>
            </w:pPr>
            <w:r>
              <w:t>OI-04/05</w:t>
            </w:r>
          </w:p>
        </w:tc>
      </w:tr>
      <w:tr>
        <w:trPr>
          <w:cantSplit/>
        </w:trPr>
        <w:tc>
          <w:tcPr>
            <w:tcW w:type="dxa" w:w="1900"/>
          </w:tcPr>
          <w:p>
            <w:pPr>
              <w:pStyle w:val="TableText"/>
            </w:pPr>
            <w:r>
              <w:t>FR-FIN-03</w:t>
            </w:r>
          </w:p>
        </w:tc>
        <w:tc>
          <w:tcPr>
            <w:tcW w:type="dxa" w:w="3000"/>
          </w:tcPr>
          <w:p>
            <w:pPr>
              <w:pStyle w:val="TableText"/>
            </w:pPr>
            <w:r>
              <w:t>S1 §2/§4.3/§5; BA</w:t>
            </w:r>
          </w:p>
        </w:tc>
        <w:tc>
          <w:tcPr>
            <w:tcW w:type="dxa" w:w="1900"/>
          </w:tcPr>
          <w:p>
            <w:pPr>
              <w:pStyle w:val="TableText"/>
            </w:pPr>
            <w:r>
              <w:t>AT-FIN-03</w:t>
            </w:r>
          </w:p>
        </w:tc>
        <w:tc>
          <w:tcPr>
            <w:tcW w:type="dxa" w:w="2560"/>
          </w:tcPr>
          <w:p>
            <w:pPr>
              <w:pStyle w:val="TableText"/>
            </w:pPr>
            <w:r>
              <w:t>OI-06</w:t>
            </w:r>
          </w:p>
        </w:tc>
      </w:tr>
      <w:tr>
        <w:trPr>
          <w:cantSplit/>
        </w:trPr>
        <w:tc>
          <w:tcPr>
            <w:tcW w:type="dxa" w:w="1900"/>
          </w:tcPr>
          <w:p>
            <w:pPr>
              <w:pStyle w:val="TableText"/>
            </w:pPr>
            <w:r>
              <w:t>FR-FIN-04</w:t>
            </w:r>
          </w:p>
        </w:tc>
        <w:tc>
          <w:tcPr>
            <w:tcW w:type="dxa" w:w="3000"/>
          </w:tcPr>
          <w:p>
            <w:pPr>
              <w:pStyle w:val="TableText"/>
            </w:pPr>
            <w:r>
              <w:t>S1 §4.4/§5</w:t>
            </w:r>
          </w:p>
        </w:tc>
        <w:tc>
          <w:tcPr>
            <w:tcW w:type="dxa" w:w="1900"/>
          </w:tcPr>
          <w:p>
            <w:pPr>
              <w:pStyle w:val="TableText"/>
            </w:pPr>
            <w:r>
              <w:t>AT-FIN-04</w:t>
            </w:r>
          </w:p>
        </w:tc>
        <w:tc>
          <w:tcPr>
            <w:tcW w:type="dxa" w:w="2560"/>
          </w:tcPr>
          <w:p>
            <w:pPr>
              <w:pStyle w:val="TableText"/>
            </w:pPr>
            <w:r>
              <w:t>OI-08</w:t>
            </w:r>
          </w:p>
        </w:tc>
      </w:tr>
      <w:tr>
        <w:trPr>
          <w:cantSplit/>
        </w:trPr>
        <w:tc>
          <w:tcPr>
            <w:tcW w:type="dxa" w:w="1900"/>
          </w:tcPr>
          <w:p>
            <w:pPr>
              <w:pStyle w:val="TableText"/>
            </w:pPr>
            <w:r>
              <w:t>FR-FIN-05</w:t>
            </w:r>
          </w:p>
        </w:tc>
        <w:tc>
          <w:tcPr>
            <w:tcW w:type="dxa" w:w="3000"/>
          </w:tcPr>
          <w:p>
            <w:pPr>
              <w:pStyle w:val="TableText"/>
            </w:pPr>
            <w:r>
              <w:t>S1 §4.2.C/§4.4/§4.6</w:t>
            </w:r>
          </w:p>
        </w:tc>
        <w:tc>
          <w:tcPr>
            <w:tcW w:type="dxa" w:w="1900"/>
          </w:tcPr>
          <w:p>
            <w:pPr>
              <w:pStyle w:val="TableText"/>
            </w:pPr>
            <w:r>
              <w:t>AT-FIN-05</w:t>
            </w:r>
          </w:p>
        </w:tc>
        <w:tc>
          <w:tcPr>
            <w:tcW w:type="dxa" w:w="2560"/>
          </w:tcPr>
          <w:p>
            <w:pPr>
              <w:pStyle w:val="TableText"/>
            </w:pPr>
            <w:r>
              <w:t>OI-10/11/13</w:t>
            </w:r>
          </w:p>
        </w:tc>
      </w:tr>
      <w:tr>
        <w:trPr>
          <w:cantSplit/>
        </w:trPr>
        <w:tc>
          <w:tcPr>
            <w:tcW w:type="dxa" w:w="1900"/>
          </w:tcPr>
          <w:p>
            <w:pPr>
              <w:pStyle w:val="TableText"/>
            </w:pPr>
            <w:r>
              <w:t>FR-FIN-06</w:t>
            </w:r>
          </w:p>
        </w:tc>
        <w:tc>
          <w:tcPr>
            <w:tcW w:type="dxa" w:w="3000"/>
          </w:tcPr>
          <w:p>
            <w:pPr>
              <w:pStyle w:val="TableText"/>
            </w:pPr>
            <w:r>
              <w:t>S1 §4.4/§5</w:t>
            </w:r>
          </w:p>
        </w:tc>
        <w:tc>
          <w:tcPr>
            <w:tcW w:type="dxa" w:w="1900"/>
          </w:tcPr>
          <w:p>
            <w:pPr>
              <w:pStyle w:val="TableText"/>
            </w:pPr>
            <w:r>
              <w:t>AT-FIN-06</w:t>
            </w:r>
          </w:p>
        </w:tc>
        <w:tc>
          <w:tcPr>
            <w:tcW w:type="dxa" w:w="2560"/>
          </w:tcPr>
          <w:p>
            <w:pPr>
              <w:pStyle w:val="TableText"/>
            </w:pPr>
            <w:r>
              <w:t>OI-07</w:t>
            </w:r>
          </w:p>
        </w:tc>
      </w:tr>
      <w:tr>
        <w:trPr>
          <w:cantSplit/>
        </w:trPr>
        <w:tc>
          <w:tcPr>
            <w:tcW w:type="dxa" w:w="1900"/>
          </w:tcPr>
          <w:p>
            <w:pPr>
              <w:pStyle w:val="TableText"/>
            </w:pPr>
            <w:r>
              <w:t>FR-FIN-07</w:t>
            </w:r>
          </w:p>
        </w:tc>
        <w:tc>
          <w:tcPr>
            <w:tcW w:type="dxa" w:w="3000"/>
          </w:tcPr>
          <w:p>
            <w:pPr>
              <w:pStyle w:val="TableText"/>
            </w:pPr>
            <w:r>
              <w:t>S1 §2/§4.4/§5</w:t>
            </w:r>
          </w:p>
        </w:tc>
        <w:tc>
          <w:tcPr>
            <w:tcW w:type="dxa" w:w="1900"/>
          </w:tcPr>
          <w:p>
            <w:pPr>
              <w:pStyle w:val="TableText"/>
            </w:pPr>
            <w:r>
              <w:t>AT-FIN-07</w:t>
            </w:r>
          </w:p>
        </w:tc>
        <w:tc>
          <w:tcPr>
            <w:tcW w:type="dxa" w:w="2560"/>
          </w:tcPr>
          <w:p>
            <w:pPr>
              <w:pStyle w:val="TableText"/>
            </w:pPr>
            <w:r>
              <w:t>OI-07</w:t>
            </w:r>
          </w:p>
        </w:tc>
      </w:tr>
      <w:tr>
        <w:trPr>
          <w:cantSplit/>
        </w:trPr>
        <w:tc>
          <w:tcPr>
            <w:tcW w:type="dxa" w:w="1900"/>
          </w:tcPr>
          <w:p>
            <w:pPr>
              <w:pStyle w:val="TableText"/>
            </w:pPr>
            <w:r>
              <w:t>FR-FIN-08</w:t>
            </w:r>
          </w:p>
        </w:tc>
        <w:tc>
          <w:tcPr>
            <w:tcW w:type="dxa" w:w="3000"/>
          </w:tcPr>
          <w:p>
            <w:pPr>
              <w:pStyle w:val="TableText"/>
            </w:pPr>
            <w:r>
              <w:t>BA từ S1 §4.6 dữ liệu chốt sổ</w:t>
            </w:r>
          </w:p>
        </w:tc>
        <w:tc>
          <w:tcPr>
            <w:tcW w:type="dxa" w:w="1900"/>
          </w:tcPr>
          <w:p>
            <w:pPr>
              <w:pStyle w:val="TableText"/>
            </w:pPr>
            <w:r>
              <w:t>AT-FIN-08</w:t>
            </w:r>
          </w:p>
        </w:tc>
        <w:tc>
          <w:tcPr>
            <w:tcW w:type="dxa" w:w="2560"/>
          </w:tcPr>
          <w:p>
            <w:pPr>
              <w:pStyle w:val="TableText"/>
            </w:pPr>
            <w:r>
              <w:t>OI-06/13</w:t>
            </w:r>
          </w:p>
        </w:tc>
      </w:tr>
      <w:tr>
        <w:trPr>
          <w:cantSplit/>
        </w:trPr>
        <w:tc>
          <w:tcPr>
            <w:tcW w:type="dxa" w:w="1900"/>
          </w:tcPr>
          <w:p>
            <w:pPr>
              <w:pStyle w:val="TableText"/>
            </w:pPr>
            <w:r>
              <w:t>FR-SAL-01</w:t>
            </w:r>
          </w:p>
        </w:tc>
        <w:tc>
          <w:tcPr>
            <w:tcW w:type="dxa" w:w="3000"/>
          </w:tcPr>
          <w:p>
            <w:pPr>
              <w:pStyle w:val="TableText"/>
            </w:pPr>
            <w:r>
              <w:t>S1 §2/§4.5/§5</w:t>
            </w:r>
          </w:p>
        </w:tc>
        <w:tc>
          <w:tcPr>
            <w:tcW w:type="dxa" w:w="1900"/>
          </w:tcPr>
          <w:p>
            <w:pPr>
              <w:pStyle w:val="TableText"/>
            </w:pPr>
            <w:r>
              <w:t>AT-SAL-01</w:t>
            </w:r>
          </w:p>
        </w:tc>
        <w:tc>
          <w:tcPr>
            <w:tcW w:type="dxa" w:w="2560"/>
          </w:tcPr>
          <w:p>
            <w:pPr>
              <w:pStyle w:val="TableText"/>
            </w:pPr>
            <w:r>
              <w:t>OI-02/14</w:t>
            </w:r>
          </w:p>
        </w:tc>
      </w:tr>
      <w:tr>
        <w:trPr>
          <w:cantSplit/>
        </w:trPr>
        <w:tc>
          <w:tcPr>
            <w:tcW w:type="dxa" w:w="1900"/>
          </w:tcPr>
          <w:p>
            <w:pPr>
              <w:pStyle w:val="TableText"/>
            </w:pPr>
            <w:r>
              <w:t>FR-SAL-02</w:t>
            </w:r>
          </w:p>
        </w:tc>
        <w:tc>
          <w:tcPr>
            <w:tcW w:type="dxa" w:w="3000"/>
          </w:tcPr>
          <w:p>
            <w:pPr>
              <w:pStyle w:val="TableText"/>
            </w:pPr>
            <w:r>
              <w:t>S1 §4.5/§5/§6</w:t>
            </w:r>
          </w:p>
        </w:tc>
        <w:tc>
          <w:tcPr>
            <w:tcW w:type="dxa" w:w="1900"/>
          </w:tcPr>
          <w:p>
            <w:pPr>
              <w:pStyle w:val="TableText"/>
            </w:pPr>
            <w:r>
              <w:t>AT-SAL-02</w:t>
            </w:r>
          </w:p>
        </w:tc>
        <w:tc>
          <w:tcPr>
            <w:tcW w:type="dxa" w:w="2560"/>
          </w:tcPr>
          <w:p>
            <w:pPr>
              <w:pStyle w:val="TableText"/>
            </w:pPr>
            <w:r>
              <w:t>OI-09/14</w:t>
            </w:r>
          </w:p>
        </w:tc>
      </w:tr>
      <w:tr>
        <w:trPr>
          <w:cantSplit/>
        </w:trPr>
        <w:tc>
          <w:tcPr>
            <w:tcW w:type="dxa" w:w="1900"/>
          </w:tcPr>
          <w:p>
            <w:pPr>
              <w:pStyle w:val="TableText"/>
            </w:pPr>
            <w:r>
              <w:t>FR-SAL-03</w:t>
            </w:r>
          </w:p>
        </w:tc>
        <w:tc>
          <w:tcPr>
            <w:tcW w:type="dxa" w:w="3000"/>
          </w:tcPr>
          <w:p>
            <w:pPr>
              <w:pStyle w:val="TableText"/>
            </w:pPr>
            <w:r>
              <w:t>S1 §4.5, §9.4</w:t>
            </w:r>
          </w:p>
        </w:tc>
        <w:tc>
          <w:tcPr>
            <w:tcW w:type="dxa" w:w="1900"/>
          </w:tcPr>
          <w:p>
            <w:pPr>
              <w:pStyle w:val="TableText"/>
            </w:pPr>
            <w:r>
              <w:t>AT-SAL-03</w:t>
            </w:r>
          </w:p>
        </w:tc>
        <w:tc>
          <w:tcPr>
            <w:tcW w:type="dxa" w:w="2560"/>
          </w:tcPr>
          <w:p>
            <w:pPr>
              <w:pStyle w:val="TableText"/>
            </w:pPr>
            <w:r>
              <w:t>OI-14</w:t>
            </w:r>
          </w:p>
        </w:tc>
      </w:tr>
      <w:tr>
        <w:trPr>
          <w:cantSplit/>
        </w:trPr>
        <w:tc>
          <w:tcPr>
            <w:tcW w:type="dxa" w:w="1900"/>
          </w:tcPr>
          <w:p>
            <w:pPr>
              <w:pStyle w:val="TableText"/>
            </w:pPr>
            <w:r>
              <w:t>FR-HR-01</w:t>
            </w:r>
          </w:p>
        </w:tc>
        <w:tc>
          <w:tcPr>
            <w:tcW w:type="dxa" w:w="3000"/>
          </w:tcPr>
          <w:p>
            <w:pPr>
              <w:pStyle w:val="TableText"/>
            </w:pPr>
            <w:r>
              <w:t>S1 §3/§4.7</w:t>
            </w:r>
          </w:p>
        </w:tc>
        <w:tc>
          <w:tcPr>
            <w:tcW w:type="dxa" w:w="1900"/>
          </w:tcPr>
          <w:p>
            <w:pPr>
              <w:pStyle w:val="TableText"/>
            </w:pPr>
            <w:r>
              <w:t>AT-HR-01</w:t>
            </w:r>
          </w:p>
        </w:tc>
        <w:tc>
          <w:tcPr>
            <w:tcW w:type="dxa" w:w="2560"/>
          </w:tcPr>
          <w:p>
            <w:pPr>
              <w:pStyle w:val="TableText"/>
            </w:pPr>
            <w:r>
              <w:t>OI-02/15</w:t>
            </w:r>
          </w:p>
        </w:tc>
      </w:tr>
      <w:tr>
        <w:trPr>
          <w:cantSplit/>
        </w:trPr>
        <w:tc>
          <w:tcPr>
            <w:tcW w:type="dxa" w:w="1900"/>
          </w:tcPr>
          <w:p>
            <w:pPr>
              <w:pStyle w:val="TableText"/>
            </w:pPr>
            <w:r>
              <w:t>FR-HR-02</w:t>
            </w:r>
          </w:p>
        </w:tc>
        <w:tc>
          <w:tcPr>
            <w:tcW w:type="dxa" w:w="3000"/>
          </w:tcPr>
          <w:p>
            <w:pPr>
              <w:pStyle w:val="TableText"/>
            </w:pPr>
            <w:r>
              <w:t>S1 §4.7, §9.8</w:t>
            </w:r>
          </w:p>
        </w:tc>
        <w:tc>
          <w:tcPr>
            <w:tcW w:type="dxa" w:w="1900"/>
          </w:tcPr>
          <w:p>
            <w:pPr>
              <w:pStyle w:val="TableText"/>
            </w:pPr>
            <w:r>
              <w:t>AT-HR-02</w:t>
            </w:r>
          </w:p>
        </w:tc>
        <w:tc>
          <w:tcPr>
            <w:tcW w:type="dxa" w:w="2560"/>
          </w:tcPr>
          <w:p>
            <w:pPr>
              <w:pStyle w:val="TableText"/>
            </w:pPr>
            <w:r>
              <w:t>OI-15</w:t>
            </w:r>
          </w:p>
        </w:tc>
      </w:tr>
      <w:tr>
        <w:trPr>
          <w:cantSplit/>
        </w:trPr>
        <w:tc>
          <w:tcPr>
            <w:tcW w:type="dxa" w:w="1900"/>
          </w:tcPr>
          <w:p>
            <w:pPr>
              <w:pStyle w:val="TableText"/>
            </w:pPr>
            <w:r>
              <w:t>FR-DOC-01</w:t>
            </w:r>
          </w:p>
        </w:tc>
        <w:tc>
          <w:tcPr>
            <w:tcW w:type="dxa" w:w="3000"/>
          </w:tcPr>
          <w:p>
            <w:pPr>
              <w:pStyle w:val="TableText"/>
            </w:pPr>
            <w:r>
              <w:t>S1 §3/§4.2/§4.3</w:t>
            </w:r>
          </w:p>
        </w:tc>
        <w:tc>
          <w:tcPr>
            <w:tcW w:type="dxa" w:w="1900"/>
          </w:tcPr>
          <w:p>
            <w:pPr>
              <w:pStyle w:val="TableText"/>
            </w:pPr>
            <w:r>
              <w:t>AT-DOC-01</w:t>
            </w:r>
          </w:p>
        </w:tc>
        <w:tc>
          <w:tcPr>
            <w:tcW w:type="dxa" w:w="2560"/>
          </w:tcPr>
          <w:p>
            <w:pPr>
              <w:pStyle w:val="TableText"/>
            </w:pPr>
            <w:r>
              <w:t>OI-22</w:t>
            </w:r>
          </w:p>
        </w:tc>
      </w:tr>
      <w:tr>
        <w:trPr>
          <w:cantSplit/>
        </w:trPr>
        <w:tc>
          <w:tcPr>
            <w:tcW w:type="dxa" w:w="1900"/>
          </w:tcPr>
          <w:p>
            <w:pPr>
              <w:pStyle w:val="TableText"/>
            </w:pPr>
            <w:r>
              <w:t>FR-DOC-02</w:t>
            </w:r>
          </w:p>
        </w:tc>
        <w:tc>
          <w:tcPr>
            <w:tcW w:type="dxa" w:w="3000"/>
          </w:tcPr>
          <w:p>
            <w:pPr>
              <w:pStyle w:val="TableText"/>
            </w:pPr>
            <w:r>
              <w:t>S1 §3 module Tài liệu</w:t>
            </w:r>
          </w:p>
        </w:tc>
        <w:tc>
          <w:tcPr>
            <w:tcW w:type="dxa" w:w="1900"/>
          </w:tcPr>
          <w:p>
            <w:pPr>
              <w:pStyle w:val="TableText"/>
            </w:pPr>
            <w:r>
              <w:t>AT-DOC-02</w:t>
            </w:r>
          </w:p>
        </w:tc>
        <w:tc>
          <w:tcPr>
            <w:tcW w:type="dxa" w:w="2560"/>
          </w:tcPr>
          <w:p>
            <w:pPr>
              <w:pStyle w:val="TableText"/>
            </w:pPr>
            <w:r>
              <w:t>OI-22</w:t>
            </w:r>
          </w:p>
        </w:tc>
      </w:tr>
      <w:tr>
        <w:trPr>
          <w:cantSplit/>
        </w:trPr>
        <w:tc>
          <w:tcPr>
            <w:tcW w:type="dxa" w:w="1900"/>
          </w:tcPr>
          <w:p>
            <w:pPr>
              <w:pStyle w:val="TableText"/>
            </w:pPr>
            <w:r>
              <w:t>FR-REP-01</w:t>
            </w:r>
          </w:p>
        </w:tc>
        <w:tc>
          <w:tcPr>
            <w:tcW w:type="dxa" w:w="3000"/>
          </w:tcPr>
          <w:p>
            <w:pPr>
              <w:pStyle w:val="TableText"/>
            </w:pPr>
            <w:r>
              <w:t>S1 §4.2.C/§4.6</w:t>
            </w:r>
          </w:p>
        </w:tc>
        <w:tc>
          <w:tcPr>
            <w:tcW w:type="dxa" w:w="1900"/>
          </w:tcPr>
          <w:p>
            <w:pPr>
              <w:pStyle w:val="TableText"/>
            </w:pPr>
            <w:r>
              <w:t>AT-REP-01</w:t>
            </w:r>
          </w:p>
        </w:tc>
        <w:tc>
          <w:tcPr>
            <w:tcW w:type="dxa" w:w="2560"/>
          </w:tcPr>
          <w:p>
            <w:pPr>
              <w:pStyle w:val="TableText"/>
            </w:pPr>
            <w:r>
              <w:t>OI-12/13</w:t>
            </w:r>
          </w:p>
        </w:tc>
      </w:tr>
      <w:tr>
        <w:trPr>
          <w:cantSplit/>
        </w:trPr>
        <w:tc>
          <w:tcPr>
            <w:tcW w:type="dxa" w:w="1900"/>
          </w:tcPr>
          <w:p>
            <w:pPr>
              <w:pStyle w:val="TableText"/>
            </w:pPr>
            <w:r>
              <w:t>FR-REP-02</w:t>
            </w:r>
          </w:p>
        </w:tc>
        <w:tc>
          <w:tcPr>
            <w:tcW w:type="dxa" w:w="3000"/>
          </w:tcPr>
          <w:p>
            <w:pPr>
              <w:pStyle w:val="TableText"/>
            </w:pPr>
            <w:r>
              <w:t>S1 §4.4/§4.6</w:t>
            </w:r>
          </w:p>
        </w:tc>
        <w:tc>
          <w:tcPr>
            <w:tcW w:type="dxa" w:w="1900"/>
          </w:tcPr>
          <w:p>
            <w:pPr>
              <w:pStyle w:val="TableText"/>
            </w:pPr>
            <w:r>
              <w:t>AT-REP-02</w:t>
            </w:r>
          </w:p>
        </w:tc>
        <w:tc>
          <w:tcPr>
            <w:tcW w:type="dxa" w:w="2560"/>
          </w:tcPr>
          <w:p>
            <w:pPr>
              <w:pStyle w:val="TableText"/>
            </w:pPr>
            <w:r>
              <w:t>OI-10/11/13</w:t>
            </w:r>
          </w:p>
        </w:tc>
      </w:tr>
      <w:tr>
        <w:trPr>
          <w:cantSplit/>
        </w:trPr>
        <w:tc>
          <w:tcPr>
            <w:tcW w:type="dxa" w:w="1900"/>
          </w:tcPr>
          <w:p>
            <w:pPr>
              <w:pStyle w:val="TableText"/>
            </w:pPr>
            <w:r>
              <w:t>FR-REP-03</w:t>
            </w:r>
          </w:p>
        </w:tc>
        <w:tc>
          <w:tcPr>
            <w:tcW w:type="dxa" w:w="3000"/>
          </w:tcPr>
          <w:p>
            <w:pPr>
              <w:pStyle w:val="TableText"/>
            </w:pPr>
            <w:r>
              <w:t>S1 §4.4, §9.5</w:t>
            </w:r>
          </w:p>
        </w:tc>
        <w:tc>
          <w:tcPr>
            <w:tcW w:type="dxa" w:w="1900"/>
          </w:tcPr>
          <w:p>
            <w:pPr>
              <w:pStyle w:val="TableText"/>
            </w:pPr>
            <w:r>
              <w:t>AT-REP-03</w:t>
            </w:r>
          </w:p>
        </w:tc>
        <w:tc>
          <w:tcPr>
            <w:tcW w:type="dxa" w:w="2560"/>
          </w:tcPr>
          <w:p>
            <w:pPr>
              <w:pStyle w:val="TableText"/>
            </w:pPr>
            <w:r>
              <w:t>OI-10</w:t>
            </w:r>
          </w:p>
        </w:tc>
      </w:tr>
      <w:tr>
        <w:trPr>
          <w:cantSplit/>
        </w:trPr>
        <w:tc>
          <w:tcPr>
            <w:tcW w:type="dxa" w:w="1900"/>
          </w:tcPr>
          <w:p>
            <w:pPr>
              <w:pStyle w:val="TableText"/>
            </w:pPr>
            <w:r>
              <w:t>FR-REP-04</w:t>
            </w:r>
          </w:p>
        </w:tc>
        <w:tc>
          <w:tcPr>
            <w:tcW w:type="dxa" w:w="3000"/>
          </w:tcPr>
          <w:p>
            <w:pPr>
              <w:pStyle w:val="TableText"/>
            </w:pPr>
            <w:r>
              <w:t>S1 §4.6, §9.6</w:t>
            </w:r>
          </w:p>
        </w:tc>
        <w:tc>
          <w:tcPr>
            <w:tcW w:type="dxa" w:w="1900"/>
          </w:tcPr>
          <w:p>
            <w:pPr>
              <w:pStyle w:val="TableText"/>
            </w:pPr>
            <w:r>
              <w:t>AT-REP-04</w:t>
            </w:r>
          </w:p>
        </w:tc>
        <w:tc>
          <w:tcPr>
            <w:tcW w:type="dxa" w:w="2560"/>
          </w:tcPr>
          <w:p>
            <w:pPr>
              <w:pStyle w:val="TableText"/>
            </w:pPr>
            <w:r>
              <w:t>OI-10</w:t>
            </w:r>
          </w:p>
        </w:tc>
      </w:tr>
      <w:tr>
        <w:trPr>
          <w:cantSplit/>
        </w:trPr>
        <w:tc>
          <w:tcPr>
            <w:tcW w:type="dxa" w:w="1900"/>
          </w:tcPr>
          <w:p>
            <w:pPr>
              <w:pStyle w:val="TableText"/>
            </w:pPr>
            <w:r>
              <w:t>FR-REP-05</w:t>
            </w:r>
          </w:p>
        </w:tc>
        <w:tc>
          <w:tcPr>
            <w:tcW w:type="dxa" w:w="3000"/>
          </w:tcPr>
          <w:p>
            <w:pPr>
              <w:pStyle w:val="TableText"/>
            </w:pPr>
            <w:r>
              <w:t>S1 §4.6</w:t>
            </w:r>
          </w:p>
        </w:tc>
        <w:tc>
          <w:tcPr>
            <w:tcW w:type="dxa" w:w="1900"/>
          </w:tcPr>
          <w:p>
            <w:pPr>
              <w:pStyle w:val="TableText"/>
            </w:pPr>
            <w:r>
              <w:t>AT-REP-05</w:t>
            </w:r>
          </w:p>
        </w:tc>
        <w:tc>
          <w:tcPr>
            <w:tcW w:type="dxa" w:w="2560"/>
          </w:tcPr>
          <w:p>
            <w:pPr>
              <w:pStyle w:val="TableText"/>
            </w:pPr>
            <w:r>
              <w:t>OI-19</w:t>
            </w:r>
          </w:p>
        </w:tc>
      </w:tr>
      <w:tr>
        <w:trPr>
          <w:cantSplit/>
        </w:trPr>
        <w:tc>
          <w:tcPr>
            <w:tcW w:type="dxa" w:w="1900"/>
          </w:tcPr>
          <w:p>
            <w:pPr>
              <w:pStyle w:val="TableText"/>
            </w:pPr>
            <w:r>
              <w:t>FR-SHR-01</w:t>
            </w:r>
          </w:p>
        </w:tc>
        <w:tc>
          <w:tcPr>
            <w:tcW w:type="dxa" w:w="3000"/>
          </w:tcPr>
          <w:p>
            <w:pPr>
              <w:pStyle w:val="TableText"/>
            </w:pPr>
            <w:r>
              <w:t>S1 §4.8</w:t>
            </w:r>
          </w:p>
        </w:tc>
        <w:tc>
          <w:tcPr>
            <w:tcW w:type="dxa" w:w="1900"/>
          </w:tcPr>
          <w:p>
            <w:pPr>
              <w:pStyle w:val="TableText"/>
            </w:pPr>
            <w:r>
              <w:t>AT-SHR-01</w:t>
            </w:r>
          </w:p>
        </w:tc>
        <w:tc>
          <w:tcPr>
            <w:tcW w:type="dxa" w:w="2560"/>
          </w:tcPr>
          <w:p>
            <w:pPr>
              <w:pStyle w:val="TableText"/>
            </w:pPr>
            <w:r>
              <w:t>OI-01/17</w:t>
            </w:r>
          </w:p>
        </w:tc>
      </w:tr>
      <w:tr>
        <w:trPr>
          <w:cantSplit/>
        </w:trPr>
        <w:tc>
          <w:tcPr>
            <w:tcW w:type="dxa" w:w="1900"/>
          </w:tcPr>
          <w:p>
            <w:pPr>
              <w:pStyle w:val="TableText"/>
            </w:pPr>
            <w:r>
              <w:t>FR-SHR-02</w:t>
            </w:r>
          </w:p>
        </w:tc>
        <w:tc>
          <w:tcPr>
            <w:tcW w:type="dxa" w:w="3000"/>
          </w:tcPr>
          <w:p>
            <w:pPr>
              <w:pStyle w:val="TableText"/>
            </w:pPr>
            <w:r>
              <w:t>S1 §4.8, §9.7</w:t>
            </w:r>
          </w:p>
        </w:tc>
        <w:tc>
          <w:tcPr>
            <w:tcW w:type="dxa" w:w="1900"/>
          </w:tcPr>
          <w:p>
            <w:pPr>
              <w:pStyle w:val="TableText"/>
            </w:pPr>
            <w:r>
              <w:t>AT-SHR-02</w:t>
            </w:r>
          </w:p>
        </w:tc>
        <w:tc>
          <w:tcPr>
            <w:tcW w:type="dxa" w:w="2560"/>
          </w:tcPr>
          <w:p>
            <w:pPr>
              <w:pStyle w:val="TableText"/>
            </w:pPr>
            <w:r>
              <w:t>OI-17</w:t>
            </w:r>
          </w:p>
        </w:tc>
      </w:tr>
      <w:tr>
        <w:trPr>
          <w:cantSplit/>
        </w:trPr>
        <w:tc>
          <w:tcPr>
            <w:tcW w:type="dxa" w:w="1900"/>
          </w:tcPr>
          <w:p>
            <w:pPr>
              <w:pStyle w:val="TableText"/>
            </w:pPr>
            <w:r>
              <w:t>FR-SHR-03</w:t>
            </w:r>
          </w:p>
        </w:tc>
        <w:tc>
          <w:tcPr>
            <w:tcW w:type="dxa" w:w="3000"/>
          </w:tcPr>
          <w:p>
            <w:pPr>
              <w:pStyle w:val="TableText"/>
            </w:pPr>
            <w:r>
              <w:t>S1 §4.8</w:t>
            </w:r>
          </w:p>
        </w:tc>
        <w:tc>
          <w:tcPr>
            <w:tcW w:type="dxa" w:w="1900"/>
          </w:tcPr>
          <w:p>
            <w:pPr>
              <w:pStyle w:val="TableText"/>
            </w:pPr>
            <w:r>
              <w:t>AT-SHR-03</w:t>
            </w:r>
          </w:p>
        </w:tc>
        <w:tc>
          <w:tcPr>
            <w:tcW w:type="dxa" w:w="2560"/>
          </w:tcPr>
          <w:p>
            <w:pPr>
              <w:pStyle w:val="TableText"/>
            </w:pPr>
            <w:r>
              <w:t>OI-16/17</w:t>
            </w:r>
          </w:p>
        </w:tc>
      </w:tr>
      <w:tr>
        <w:trPr>
          <w:cantSplit/>
        </w:trPr>
        <w:tc>
          <w:tcPr>
            <w:tcW w:type="dxa" w:w="1900"/>
          </w:tcPr>
          <w:p>
            <w:pPr>
              <w:pStyle w:val="TableText"/>
            </w:pPr>
            <w:r>
              <w:t>FR-SHR-04</w:t>
            </w:r>
          </w:p>
        </w:tc>
        <w:tc>
          <w:tcPr>
            <w:tcW w:type="dxa" w:w="3000"/>
          </w:tcPr>
          <w:p>
            <w:pPr>
              <w:pStyle w:val="TableText"/>
            </w:pPr>
            <w:r>
              <w:t>S1 §2, §5</w:t>
            </w:r>
          </w:p>
        </w:tc>
        <w:tc>
          <w:tcPr>
            <w:tcW w:type="dxa" w:w="1900"/>
          </w:tcPr>
          <w:p>
            <w:pPr>
              <w:pStyle w:val="TableText"/>
            </w:pPr>
            <w:r>
              <w:t>AT-SHR-04</w:t>
            </w:r>
          </w:p>
        </w:tc>
        <w:tc>
          <w:tcPr>
            <w:tcW w:type="dxa" w:w="2560"/>
          </w:tcPr>
          <w:p>
            <w:pPr>
              <w:pStyle w:val="TableText"/>
            </w:pPr>
            <w:r>
              <w:t>OI-16</w:t>
            </w:r>
          </w:p>
        </w:tc>
      </w:tr>
      <w:tr>
        <w:trPr>
          <w:cantSplit/>
        </w:trPr>
        <w:tc>
          <w:tcPr>
            <w:tcW w:type="dxa" w:w="1900"/>
          </w:tcPr>
          <w:p>
            <w:pPr>
              <w:pStyle w:val="TableText"/>
            </w:pPr>
            <w:r>
              <w:t>FR-MNT-01</w:t>
            </w:r>
          </w:p>
        </w:tc>
        <w:tc>
          <w:tcPr>
            <w:tcW w:type="dxa" w:w="3000"/>
          </w:tcPr>
          <w:p>
            <w:pPr>
              <w:pStyle w:val="TableText"/>
            </w:pPr>
            <w:r>
              <w:t>S1 §4.9</w:t>
            </w:r>
          </w:p>
        </w:tc>
        <w:tc>
          <w:tcPr>
            <w:tcW w:type="dxa" w:w="1900"/>
          </w:tcPr>
          <w:p>
            <w:pPr>
              <w:pStyle w:val="TableText"/>
            </w:pPr>
            <w:r>
              <w:t>AT-MNT-01</w:t>
            </w:r>
          </w:p>
        </w:tc>
        <w:tc>
          <w:tcPr>
            <w:tcW w:type="dxa" w:w="2560"/>
          </w:tcPr>
          <w:p>
            <w:pPr>
              <w:pStyle w:val="TableText"/>
            </w:pPr>
            <w:r>
              <w:t>OI-02/18</w:t>
            </w:r>
          </w:p>
        </w:tc>
      </w:tr>
      <w:tr>
        <w:trPr>
          <w:cantSplit/>
        </w:trPr>
        <w:tc>
          <w:tcPr>
            <w:tcW w:type="dxa" w:w="1900"/>
          </w:tcPr>
          <w:p>
            <w:pPr>
              <w:pStyle w:val="TableText"/>
            </w:pPr>
            <w:r>
              <w:t>FR-MNT-02</w:t>
            </w:r>
          </w:p>
        </w:tc>
        <w:tc>
          <w:tcPr>
            <w:tcW w:type="dxa" w:w="3000"/>
          </w:tcPr>
          <w:p>
            <w:pPr>
              <w:pStyle w:val="TableText"/>
            </w:pPr>
            <w:r>
              <w:t>S1 §4.9</w:t>
            </w:r>
          </w:p>
        </w:tc>
        <w:tc>
          <w:tcPr>
            <w:tcW w:type="dxa" w:w="1900"/>
          </w:tcPr>
          <w:p>
            <w:pPr>
              <w:pStyle w:val="TableText"/>
            </w:pPr>
            <w:r>
              <w:t>AT-MNT-02</w:t>
            </w:r>
          </w:p>
        </w:tc>
        <w:tc>
          <w:tcPr>
            <w:tcW w:type="dxa" w:w="2560"/>
          </w:tcPr>
          <w:p>
            <w:pPr>
              <w:pStyle w:val="TableText"/>
            </w:pPr>
            <w:r>
              <w:t>OI-18</w:t>
            </w:r>
          </w:p>
        </w:tc>
      </w:tr>
      <w:tr>
        <w:trPr>
          <w:cantSplit/>
        </w:trPr>
        <w:tc>
          <w:tcPr>
            <w:tcW w:type="dxa" w:w="1900"/>
          </w:tcPr>
          <w:p>
            <w:pPr>
              <w:pStyle w:val="TableText"/>
            </w:pPr>
            <w:r>
              <w:t>FR-MNT-03</w:t>
            </w:r>
          </w:p>
        </w:tc>
        <w:tc>
          <w:tcPr>
            <w:tcW w:type="dxa" w:w="3000"/>
          </w:tcPr>
          <w:p>
            <w:pPr>
              <w:pStyle w:val="TableText"/>
            </w:pPr>
            <w:r>
              <w:t>S1 §2</w:t>
            </w:r>
          </w:p>
        </w:tc>
        <w:tc>
          <w:tcPr>
            <w:tcW w:type="dxa" w:w="1900"/>
          </w:tcPr>
          <w:p>
            <w:pPr>
              <w:pStyle w:val="TableText"/>
            </w:pPr>
            <w:r>
              <w:t>AT-MNT-03</w:t>
            </w:r>
          </w:p>
        </w:tc>
        <w:tc>
          <w:tcPr>
            <w:tcW w:type="dxa" w:w="2560"/>
          </w:tcPr>
          <w:p>
            <w:pPr>
              <w:pStyle w:val="TableText"/>
            </w:pPr>
            <w:r>
              <w:t>OI-02/18</w:t>
            </w:r>
          </w:p>
        </w:tc>
      </w:tr>
      <w:tr>
        <w:trPr>
          <w:cantSplit/>
        </w:trPr>
        <w:tc>
          <w:tcPr>
            <w:tcW w:type="dxa" w:w="1900"/>
          </w:tcPr>
          <w:p>
            <w:pPr>
              <w:pStyle w:val="TableText"/>
            </w:pPr>
            <w:r>
              <w:t>FR-ZAL-01</w:t>
            </w:r>
          </w:p>
        </w:tc>
        <w:tc>
          <w:tcPr>
            <w:tcW w:type="dxa" w:w="3000"/>
          </w:tcPr>
          <w:p>
            <w:pPr>
              <w:pStyle w:val="TableText"/>
            </w:pPr>
            <w:r>
              <w:t>S1 §4.10/§7</w:t>
            </w:r>
          </w:p>
        </w:tc>
        <w:tc>
          <w:tcPr>
            <w:tcW w:type="dxa" w:w="1900"/>
          </w:tcPr>
          <w:p>
            <w:pPr>
              <w:pStyle w:val="TableText"/>
            </w:pPr>
            <w:r>
              <w:t>AT-ZAL-01</w:t>
            </w:r>
          </w:p>
        </w:tc>
        <w:tc>
          <w:tcPr>
            <w:tcW w:type="dxa" w:w="2560"/>
          </w:tcPr>
          <w:p>
            <w:pPr>
              <w:pStyle w:val="TableText"/>
            </w:pPr>
            <w:r>
              <w:t>OI-20/21</w:t>
            </w:r>
          </w:p>
        </w:tc>
      </w:tr>
      <w:tr>
        <w:trPr>
          <w:cantSplit/>
        </w:trPr>
        <w:tc>
          <w:tcPr>
            <w:tcW w:type="dxa" w:w="1900"/>
          </w:tcPr>
          <w:p>
            <w:pPr>
              <w:pStyle w:val="TableText"/>
            </w:pPr>
            <w:r>
              <w:t>FR-ZAL-02</w:t>
            </w:r>
          </w:p>
        </w:tc>
        <w:tc>
          <w:tcPr>
            <w:tcW w:type="dxa" w:w="3000"/>
          </w:tcPr>
          <w:p>
            <w:pPr>
              <w:pStyle w:val="TableText"/>
            </w:pPr>
            <w:r>
              <w:t>S1 §4.10/§7; BA</w:t>
            </w:r>
          </w:p>
        </w:tc>
        <w:tc>
          <w:tcPr>
            <w:tcW w:type="dxa" w:w="1900"/>
          </w:tcPr>
          <w:p>
            <w:pPr>
              <w:pStyle w:val="TableText"/>
            </w:pPr>
            <w:r>
              <w:t>AT-ZAL-02</w:t>
            </w:r>
          </w:p>
        </w:tc>
        <w:tc>
          <w:tcPr>
            <w:tcW w:type="dxa" w:w="2560"/>
          </w:tcPr>
          <w:p>
            <w:pPr>
              <w:pStyle w:val="TableText"/>
            </w:pPr>
            <w:r>
              <w:t>OI-20/21</w:t>
            </w:r>
          </w:p>
        </w:tc>
      </w:tr>
      <w:tr>
        <w:trPr>
          <w:cantSplit/>
        </w:trPr>
        <w:tc>
          <w:tcPr>
            <w:tcW w:type="dxa" w:w="1900"/>
          </w:tcPr>
          <w:p>
            <w:pPr>
              <w:pStyle w:val="TableText"/>
            </w:pPr>
            <w:r>
              <w:t>FR-ZAL-03</w:t>
            </w:r>
          </w:p>
        </w:tc>
        <w:tc>
          <w:tcPr>
            <w:tcW w:type="dxa" w:w="3000"/>
          </w:tcPr>
          <w:p>
            <w:pPr>
              <w:pStyle w:val="TableText"/>
            </w:pPr>
            <w:r>
              <w:t>S1 §4.10/§7; [R6–R8]</w:t>
            </w:r>
          </w:p>
        </w:tc>
        <w:tc>
          <w:tcPr>
            <w:tcW w:type="dxa" w:w="1900"/>
          </w:tcPr>
          <w:p>
            <w:pPr>
              <w:pStyle w:val="TableText"/>
            </w:pPr>
            <w:r>
              <w:t>AT-ZAL-03</w:t>
            </w:r>
          </w:p>
        </w:tc>
        <w:tc>
          <w:tcPr>
            <w:tcW w:type="dxa" w:w="2560"/>
          </w:tcPr>
          <w:p>
            <w:pPr>
              <w:pStyle w:val="TableText"/>
            </w:pPr>
            <w:r>
              <w:t>OI-20/21</w:t>
            </w:r>
          </w:p>
        </w:tc>
      </w:tr>
      <w:tr>
        <w:trPr>
          <w:cantSplit/>
        </w:trPr>
        <w:tc>
          <w:tcPr>
            <w:tcW w:type="dxa" w:w="1900"/>
          </w:tcPr>
          <w:p>
            <w:pPr>
              <w:pStyle w:val="TableText"/>
            </w:pPr>
            <w:r>
              <w:t>FR-ZAL-04</w:t>
            </w:r>
          </w:p>
        </w:tc>
        <w:tc>
          <w:tcPr>
            <w:tcW w:type="dxa" w:w="3000"/>
          </w:tcPr>
          <w:p>
            <w:pPr>
              <w:pStyle w:val="TableText"/>
            </w:pPr>
            <w:r>
              <w:t>S1 §4.10/§7</w:t>
            </w:r>
          </w:p>
        </w:tc>
        <w:tc>
          <w:tcPr>
            <w:tcW w:type="dxa" w:w="1900"/>
          </w:tcPr>
          <w:p>
            <w:pPr>
              <w:pStyle w:val="TableText"/>
            </w:pPr>
            <w:r>
              <w:t>AT-ZAL-04</w:t>
            </w:r>
          </w:p>
        </w:tc>
        <w:tc>
          <w:tcPr>
            <w:tcW w:type="dxa" w:w="2560"/>
          </w:tcPr>
          <w:p>
            <w:pPr>
              <w:pStyle w:val="TableText"/>
            </w:pPr>
            <w:r>
              <w:t>OI-20/21</w:t>
            </w:r>
          </w:p>
        </w:tc>
      </w:tr>
      <w:tr>
        <w:trPr>
          <w:cantSplit/>
        </w:trPr>
        <w:tc>
          <w:tcPr>
            <w:tcW w:type="dxa" w:w="1900"/>
          </w:tcPr>
          <w:p>
            <w:pPr>
              <w:pStyle w:val="TableText"/>
            </w:pPr>
            <w:r>
              <w:t>FR-ZAL-05</w:t>
            </w:r>
          </w:p>
        </w:tc>
        <w:tc>
          <w:tcPr>
            <w:tcW w:type="dxa" w:w="3000"/>
          </w:tcPr>
          <w:p>
            <w:pPr>
              <w:pStyle w:val="TableText"/>
            </w:pPr>
            <w:r>
              <w:t>S1 §4.10/§7</w:t>
            </w:r>
          </w:p>
        </w:tc>
        <w:tc>
          <w:tcPr>
            <w:tcW w:type="dxa" w:w="1900"/>
          </w:tcPr>
          <w:p>
            <w:pPr>
              <w:pStyle w:val="TableText"/>
            </w:pPr>
            <w:r>
              <w:t>AT-ZAL-05</w:t>
            </w:r>
          </w:p>
        </w:tc>
        <w:tc>
          <w:tcPr>
            <w:tcW w:type="dxa" w:w="2560"/>
          </w:tcPr>
          <w:p>
            <w:pPr>
              <w:pStyle w:val="TableText"/>
            </w:pPr>
            <w:r>
              <w:t>OI-01/20/21</w:t>
            </w:r>
          </w:p>
        </w:tc>
      </w:tr>
      <w:tr>
        <w:trPr>
          <w:cantSplit/>
        </w:trPr>
        <w:tc>
          <w:tcPr>
            <w:tcW w:type="dxa" w:w="1900"/>
          </w:tcPr>
          <w:p>
            <w:pPr>
              <w:pStyle w:val="TableText"/>
            </w:pPr>
            <w:r>
              <w:t>FR-DSH-01</w:t>
            </w:r>
          </w:p>
        </w:tc>
        <w:tc>
          <w:tcPr>
            <w:tcW w:type="dxa" w:w="3000"/>
          </w:tcPr>
          <w:p>
            <w:pPr>
              <w:pStyle w:val="TableText"/>
            </w:pPr>
            <w:r>
              <w:t>S1 §4.1</w:t>
            </w:r>
          </w:p>
        </w:tc>
        <w:tc>
          <w:tcPr>
            <w:tcW w:type="dxa" w:w="1900"/>
          </w:tcPr>
          <w:p>
            <w:pPr>
              <w:pStyle w:val="TableText"/>
            </w:pPr>
            <w:r>
              <w:t>AT-DSH-01</w:t>
            </w:r>
          </w:p>
        </w:tc>
        <w:tc>
          <w:tcPr>
            <w:tcW w:type="dxa" w:w="2560"/>
          </w:tcPr>
          <w:p>
            <w:pPr>
              <w:pStyle w:val="TableText"/>
            </w:pPr>
            <w:r>
              <w:t>OI-01/02/09/12</w:t>
            </w:r>
          </w:p>
        </w:tc>
      </w:tr>
      <w:tr>
        <w:trPr>
          <w:cantSplit/>
        </w:trPr>
        <w:tc>
          <w:tcPr>
            <w:tcW w:type="dxa" w:w="1900"/>
          </w:tcPr>
          <w:p>
            <w:pPr>
              <w:pStyle w:val="TableText"/>
            </w:pPr>
            <w:r>
              <w:t>FR-DSH-02</w:t>
            </w:r>
          </w:p>
        </w:tc>
        <w:tc>
          <w:tcPr>
            <w:tcW w:type="dxa" w:w="3000"/>
          </w:tcPr>
          <w:p>
            <w:pPr>
              <w:pStyle w:val="TableText"/>
            </w:pPr>
            <w:r>
              <w:t>S1 §4.1/§4.6</w:t>
            </w:r>
          </w:p>
        </w:tc>
        <w:tc>
          <w:tcPr>
            <w:tcW w:type="dxa" w:w="1900"/>
          </w:tcPr>
          <w:p>
            <w:pPr>
              <w:pStyle w:val="TableText"/>
            </w:pPr>
            <w:r>
              <w:t>AT-DSH-02</w:t>
            </w:r>
          </w:p>
        </w:tc>
        <w:tc>
          <w:tcPr>
            <w:tcW w:type="dxa" w:w="2560"/>
          </w:tcPr>
          <w:p>
            <w:pPr>
              <w:pStyle w:val="TableText"/>
            </w:pPr>
            <w:r>
              <w:t>OI-13</w:t>
            </w:r>
          </w:p>
        </w:tc>
      </w:tr>
    </w:tbl>
    <w:p>
      <w:pPr>
        <w:pStyle w:val="Heading2"/>
        <w:widowControl/>
      </w:pPr>
      <w:r>
        <w:t>11.1. Các kịch bản xuyên module bắt buộc review</w:t>
      </w:r>
    </w:p>
    <w:p>
      <w:pPr>
        <w:pStyle w:val="ListBullet"/>
        <w:widowControl/>
        <w:numPr>
          <w:ilvl w:val="0"/>
          <w:numId w:val="50"/>
        </w:numPr>
      </w:pPr>
      <w:r>
        <w:t>E2E-01: chủ nhà → tòa/phòng → khách/HĐ → dịch vụ → hóa đơn → thu → báo cáo. Đối chiếu bộ số mẫu §3.1 và mỗi chứng từ cấu thành.</w:t>
      </w:r>
    </w:p>
    <w:p>
      <w:pPr>
        <w:pStyle w:val="ListBullet"/>
        <w:widowControl/>
        <w:numPr>
          <w:ilvl w:val="0"/>
          <w:numId w:val="50"/>
        </w:numPr>
      </w:pPr>
      <w:r>
        <w:t>E2E-02: hợp đồng sắp hết → gửi nhắc → gia hạn trước khi gửi → kiểm tra loại tin không còn phù hợp và giữ lịch sử gia hạn.</w:t>
      </w:r>
    </w:p>
    <w:p>
      <w:pPr>
        <w:pStyle w:val="ListBullet"/>
        <w:widowControl/>
        <w:numPr>
          <w:ilvl w:val="0"/>
          <w:numId w:val="50"/>
        </w:numPr>
      </w:pPr>
      <w:r>
        <w:t>E2E-03: trả phòng → khấu trừ → duyệt/từ chối → hoàn thực tế → dọn phòng → mở bán; không chuyển sẵn sàng sớm.</w:t>
      </w:r>
    </w:p>
    <w:p>
      <w:pPr>
        <w:pStyle w:val="ListBullet"/>
        <w:widowControl/>
        <w:numPr>
          <w:ilvl w:val="0"/>
          <w:numId w:val="50"/>
        </w:numPr>
      </w:pPr>
      <w:r>
        <w:t>E2E-04: chạy lại tác vụ, timeout khi thu tiền, callback trùng/sai thứ tự và SMS fallback; kiểm tra không tạo trùng tiền hoặc tin.</w:t>
      </w:r>
    </w:p>
    <w:p>
      <w:pPr>
        <w:pStyle w:val="ListBullet"/>
        <w:widowControl/>
        <w:numPr>
          <w:ilvl w:val="0"/>
          <w:numId w:val="50"/>
        </w:numPr>
      </w:pPr>
      <w:r>
        <w:t>E2E-05: vốn góp thay đổi giữa kỳ → phân phối → công bố; kiểm tra quyền cổ đông, công thức và bảo toàn kỳ trước.</w:t>
      </w:r>
    </w:p>
    <w:p>
      <w:pPr>
        <w:pStyle w:val="ListBullet"/>
        <w:widowControl/>
        <w:numPr>
          <w:ilvl w:val="0"/>
          <w:numId w:val="50"/>
        </w:numPr>
      </w:pPr>
      <w:r>
        <w:t>E2E-06: khóa kỳ → sửa danh mục/giá/phân công → xem kỳ trước → điều chỉnh có kiểm soát; số liệu không thay âm thầm.</w:t>
      </w:r>
    </w:p>
    <w:p>
      <w:pPr>
        <w:pStyle w:val="Heading2"/>
        <w:widowControl/>
      </w:pPr>
      <w:r>
        <w:t>11.2. Báo cáo kiểm tra chất lượng đặc tả</w:t>
      </w:r>
    </w:p>
    <w:p>
      <w:pPr>
        <w:widowControl/>
      </w:pPr>
      <w:r>
        <w:t>Đã ánh xạ 11 module nghiệp vụ nguồn, thêm nhóm IAM dùng chung; mọi FR có nguồn hoặc ghi rõ BA đề xuất và có 2 AC. Module Tài liệu và cổng cổ đông được ghi có điều kiện; không bỏ mất chỉ vì nguồn chưa chi tiết. Danh mục ở mục 13 xử lý các thiếu hụt quan trọng. Đây là kiểm tra độ bao phủ cấu trúc và truy vết, không phải kết luận 100% nghiệp vụ đúng hoặc Ready for Development.</w:t>
      </w:r>
    </w:p>
    <w:p>
      <w:bookmarkStart w:id="112" w:name="sec_12"/>
      <w:pPr>
        <w:pStyle w:val="Heading1"/>
        <w:widowControl/>
      </w:pPr>
      <w:r>
        <w:t>12. Điều kiện nghiệm thu và quản lý thay đổi</w:t>
      </w:r>
      <w:bookmarkEnd w:id="112"/>
    </w:p>
    <w:p>
      <w:pPr>
        <w:pStyle w:val="Heading2"/>
        <w:widowControl/>
      </w:pPr>
      <w:r>
        <w:t>12.1. Điều kiện hình thành baseline</w:t>
      </w:r>
    </w:p>
    <w:p>
      <w:pPr>
        <w:pStyle w:val="ListBullet"/>
        <w:widowControl/>
        <w:numPr>
          <w:ilvl w:val="0"/>
          <w:numId w:val="50"/>
        </w:numPr>
      </w:pPr>
      <w:r>
        <w:t>Đại diện nghiệp vụ duyệt phạm vi module/FR và release áp dụng; yêu cầu N/G/ĐX đều được quyết định rõ: chấp nhận, sửa, hoãn hoặc loại.</w:t>
      </w:r>
    </w:p>
    <w:p>
      <w:pPr>
        <w:pStyle w:val="ListBullet"/>
        <w:widowControl/>
        <w:numPr>
          <w:ilvl w:val="0"/>
          <w:numId w:val="50"/>
        </w:numPr>
      </w:pPr>
      <w:r>
        <w:t>Các OI ảnh hưởng công thức, quyền, trạng thái, gửi tiền/tin hoặc cấu trúc dữ liệu phải có câu trả lời trước khi baseline phần liên quan. Nếu hoãn module, ghi rõ các FR bị hoãn.</w:t>
      </w:r>
    </w:p>
    <w:p>
      <w:pPr>
        <w:pStyle w:val="ListBullet"/>
        <w:widowControl/>
        <w:numPr>
          <w:ilvl w:val="0"/>
          <w:numId w:val="50"/>
        </w:numPr>
      </w:pPr>
      <w:r>
        <w:t>Có mẫu thật đã ẩn dữ liệu nhạy cảm cho hóa đơn, bảng giá, hoàn cọc, báo cáo, bảng lương và phân phối cổ đông; phép tính thử được người phụ trách xác nhận.</w:t>
      </w:r>
    </w:p>
    <w:p>
      <w:pPr>
        <w:pStyle w:val="ListBullet"/>
        <w:widowControl/>
        <w:numPr>
          <w:ilvl w:val="0"/>
          <w:numId w:val="50"/>
        </w:numPr>
      </w:pPr>
      <w:r>
        <w:t>Tech lead và QA rà soát tính khả thi, dữ liệu, tích hợp và AC; người phê duyệt cùng ngày/phạm vi ký duyệt được cập nhật vào mục 0.</w:t>
      </w:r>
    </w:p>
    <w:p>
      <w:pPr>
        <w:pStyle w:val="Heading2"/>
        <w:widowControl/>
      </w:pPr>
      <w:r>
        <w:t>12.2. Điều kiện nghiệm thu phần mềm đề xuất</w:t>
      </w:r>
    </w:p>
    <w:p>
      <w:pPr>
        <w:widowControl/>
      </w:pPr>
      <w:r>
        <w:t>Mỗi FR nằm trong baseline phải có test case gắn AC và bằng chứng kết quả. Các luồng thu tiền, hoàn cọc, phân quyền và chống trùng phải đạt; không còn lỗi gây lộ dữ liệu, sai tiền hoặc mất dữ liệu. Ngưỡng lỗi khác, phạm vi UAT, người ký và chính sách nghiệm thu từng phần cần được thống nhất trong kế hoạch UAT. Các mục tiêu NFR chỉ trở thành điều kiện nghiệm thu khi đã duyệt bằng văn bản.</w:t>
      </w:r>
    </w:p>
    <w:p>
      <w:pPr>
        <w:widowControl/>
      </w:pPr>
      <w:r>
        <w:t>Kiểm thử tích hợp phải dùng tài khoản/mẫu được phép thử và ghi kết quả từ nhà cung cấp. Không thể nghiệm thu giao tin đến người nhận chỉ dựa trên mock API. Import đầu kỳ chỉ nghiệm thu sau đối chiếu số lượng và tổng công nợ/cọc/vốn theo bộ kiểm soát đã thống nhất. Backup cần thử khôi phục theo mục tiêu NFR được duyệt.</w:t>
      </w:r>
    </w:p>
    <w:p>
      <w:pPr>
        <w:pStyle w:val="Heading2"/>
        <w:widowControl/>
      </w:pPr>
      <w:r>
        <w:t>12.3. Quy trình thay đổi</w:t>
      </w:r>
    </w:p>
    <w:p>
      <w:pPr>
        <w:widowControl/>
      </w:pPr>
      <w:r>
        <w:t>Sau baseline, mỗi thay đổi ghi mã CR, lý do, người yêu cầu, FR/BR/OI bị ảnh hưởng, dữ liệu và test cần cập nhật. BA phân tích ảnh hưởng, người có thẩm quyền chấp thuận, cập nhật phiên bản và ma trận truy vết trước triển khai. Không đổi mã FR đã được sử dụng; FR loại bỏ giữ lịch sử. Việc hoàn thành tài liệu này không tự đồng nghĩa bổ sung toàn bộ phạm vi vào báo giá hoặc hợp đồng.</w:t>
      </w:r>
    </w:p>
    <w:p>
      <w:bookmarkStart w:id="113" w:name="sec_13"/>
      <w:pPr>
        <w:pStyle w:val="Heading1"/>
        <w:widowControl/>
      </w:pPr>
      <w:r>
        <w:t>13. Danh sách quyết định cần xác nhận</w:t>
      </w:r>
      <w:bookmarkEnd w:id="113"/>
    </w:p>
    <w:p>
      <w:pPr>
        <w:widowControl/>
      </w:pPr>
      <w:r>
        <w:t>Tất cả OI dưới đây đang Open. Mức C = cần chốt trước baseline chức năng liên quan; M = cần chốt chi tiết trước phát triển/UAT liên quan. Người phụ trách là vai trò đề xuất, chưa phải giao việc cho cá nhân. Tài liệu đã hoàn thành phần soạn thảo; danh sách này giúp chốt đúng nghiệp vụ, không yêu cầu dừng mọi công việc độc lập.</w:t>
      </w:r>
    </w:p>
    <w:p>
      <w:pPr>
        <w:pStyle w:val="Heading2"/>
        <w:widowControl/>
      </w:pPr>
      <w:r>
        <w:t>OI-01 — Ma trận quyền và phân công</w:t>
      </w:r>
    </w:p>
    <w:p>
      <w:pPr>
        <w:pStyle w:val="SourceText"/>
        <w:keepNext/>
        <w:widowControl/>
      </w:pPr>
      <w:r>
        <w:t>Open • Mức C • Nguồn: S1 §2/§9.1 • Người xác nhận đề xuất: Đại diện nghiệp vụ / vận hành</w:t>
      </w:r>
    </w:p>
    <w:p>
      <w:pPr>
        <w:widowControl/>
      </w:pPr>
      <w:r>
        <w:rPr>
          <w:b/>
        </w:rPr>
        <w:t xml:space="preserve">Câu hỏi: </w:t>
      </w:r>
      <w:r>
        <w:t>Ma trận nguồn có được duyệt không? Một nhân sự có nhiều vai trò/khu vực/tòa không; quyền xem/sửa/duyệt/thu/đảo thu được cấp như thế nào?</w:t>
      </w:r>
    </w:p>
    <w:p>
      <w:pPr>
        <w:widowControl/>
      </w:pPr>
      <w:r>
        <w:rPr>
          <w:b/>
        </w:rPr>
        <w:t xml:space="preserve">Bằng chứng / cách xử lý: </w:t>
      </w:r>
      <w:r>
        <w:t>Cần bảng vai trò × hành động × phạm vi, ngày hiệu lực và quy tắc thay người. Tạm giữ quyền chưa rõ ở trạng thái chưa cấp.</w:t>
      </w:r>
    </w:p>
    <w:p>
      <w:pPr>
        <w:keepNext/>
        <w:widowControl/>
      </w:pPr>
      <w:r>
        <w:rPr>
          <w:b/>
        </w:rPr>
        <w:t xml:space="preserve">Ảnh hưởng: </w:t>
      </w:r>
      <w:r>
        <w:t>IAM; FIN; BLD; SHR</w:t>
      </w:r>
    </w:p>
    <w:p>
      <w:pPr>
        <w:pStyle w:val="Small"/>
        <w:widowControl/>
      </w:pPr>
      <w:r>
        <w:t>Kết luận: Chưa có • Ngày/người xác nhận: Chưa có</w:t>
      </w:r>
    </w:p>
    <w:p>
      <w:pPr>
        <w:pStyle w:val="Heading2"/>
        <w:widowControl/>
      </w:pPr>
      <w:r>
        <w:t>OI-02 — Các vai trò thiếu trong ma trận</w:t>
      </w:r>
    </w:p>
    <w:p>
      <w:pPr>
        <w:pStyle w:val="SourceText"/>
        <w:keepNext/>
        <w:widowControl/>
      </w:pPr>
      <w:r>
        <w:t>Open • Mức C • Nguồn: S1 §3 so với §2 • Người xác nhận đề xuất: Đại diện nghiệp vụ / HR</w:t>
      </w:r>
    </w:p>
    <w:p>
      <w:pPr>
        <w:widowControl/>
      </w:pPr>
      <w:r>
        <w:rPr>
          <w:b/>
        </w:rPr>
        <w:t xml:space="preserve">Câu hỏi: </w:t>
      </w:r>
      <w:r>
        <w:t>Ban lãnh đạo, HR, Trưởng phòng, Trưởng nhóm KD và Kỹ thuật là tài khoản riêng hay dùng vai trò nào?</w:t>
      </w:r>
    </w:p>
    <w:p>
      <w:pPr>
        <w:widowControl/>
      </w:pPr>
      <w:r>
        <w:rPr>
          <w:b/>
        </w:rPr>
        <w:t xml:space="preserve">Bằng chứng / cách xử lý: </w:t>
      </w:r>
      <w:r>
        <w:t>Cần xác định quyền từng nhóm; không gán Admin để lấp khoảng trống.</w:t>
      </w:r>
    </w:p>
    <w:p>
      <w:pPr>
        <w:keepNext/>
        <w:widowControl/>
      </w:pPr>
      <w:r>
        <w:rPr>
          <w:b/>
        </w:rPr>
        <w:t xml:space="preserve">Ảnh hưởng: </w:t>
      </w:r>
      <w:r>
        <w:t>IAM; SAL; HR; MNT; DSH</w:t>
      </w:r>
    </w:p>
    <w:p>
      <w:pPr>
        <w:pStyle w:val="Small"/>
        <w:widowControl/>
      </w:pPr>
      <w:r>
        <w:t>Kết luận: Chưa có • Ngày/người xác nhận: Chưa có</w:t>
      </w:r>
    </w:p>
    <w:p>
      <w:pPr>
        <w:pStyle w:val="Heading2"/>
        <w:widowControl/>
      </w:pPr>
      <w:r>
        <w:t>OI-03 — Hợp đồng đầu vào và lịch trả chủ nhà</w:t>
      </w:r>
    </w:p>
    <w:p>
      <w:pPr>
        <w:pStyle w:val="SourceText"/>
        <w:keepNext/>
        <w:widowControl/>
      </w:pPr>
      <w:r>
        <w:t>Open • Mức M • Nguồn: S1 §4.2.A/C • Người xác nhận đề xuất: Vận hành / Kế toán</w:t>
      </w:r>
    </w:p>
    <w:p>
      <w:pPr>
        <w:widowControl/>
      </w:pPr>
      <w:r>
        <w:rPr>
          <w:b/>
        </w:rPr>
        <w:t xml:space="preserve">Câu hỏi: </w:t>
      </w:r>
      <w:r>
        <w:t>“Timehouse cam kết không tăng giá thuê với chủ nhà” có đúng chiều cam kết không? Giữ giá do bên nào áp dụng; trả ngày nào; nhắc trước 3 hay 5 ngày và gửi cho ai?</w:t>
      </w:r>
    </w:p>
    <w:p>
      <w:pPr>
        <w:widowControl/>
      </w:pPr>
      <w:r>
        <w:rPr>
          <w:b/>
        </w:rPr>
        <w:t xml:space="preserve">Bằng chứng / cách xử lý: </w:t>
      </w:r>
      <w:r>
        <w:t>Cần hợp đồng mẫu, chu kỳ/ngày, kênh và người nhận. Làm rõ một tòa có nhiều chủ đồng sở hữu hay không.</w:t>
      </w:r>
    </w:p>
    <w:p>
      <w:pPr>
        <w:keepNext/>
        <w:widowControl/>
      </w:pPr>
      <w:r>
        <w:rPr>
          <w:b/>
        </w:rPr>
        <w:t xml:space="preserve">Ảnh hưởng: </w:t>
      </w:r>
      <w:r>
        <w:t>BLD</w:t>
      </w:r>
    </w:p>
    <w:p>
      <w:pPr>
        <w:pStyle w:val="Small"/>
        <w:widowControl/>
      </w:pPr>
      <w:r>
        <w:t>Kết luận: Chưa có • Ngày/người xác nhận: Chưa có</w:t>
      </w:r>
    </w:p>
    <w:p>
      <w:pPr>
        <w:pStyle w:val="Heading2"/>
        <w:widowControl/>
      </w:pPr>
      <w:r>
        <w:t>OI-04 — Cấu trúc hóa đơn và công thức tổng</w:t>
      </w:r>
    </w:p>
    <w:p>
      <w:pPr>
        <w:pStyle w:val="SourceText"/>
        <w:keepNext/>
        <w:widowControl/>
      </w:pPr>
      <w:r>
        <w:t>Open • Mức C • Nguồn: S1 §4.3/§4.4 • Người xác nhận đề xuất: Kế toán</w:t>
      </w:r>
    </w:p>
    <w:p>
      <w:pPr>
        <w:widowControl/>
      </w:pPr>
      <w:r>
        <w:rPr>
          <w:b/>
        </w:rPr>
        <w:t xml:space="preserve">Câu hỏi: </w:t>
      </w:r>
      <w:r>
        <w:t>Hóa đơn gồm những dòng nào; giá niêm yết chỉ để so sánh hay tham gia tính? Kỳ thu, VAT/phụ phí, giảm trừ và làm tròn tính ra sao?</w:t>
      </w:r>
    </w:p>
    <w:p>
      <w:pPr>
        <w:widowControl/>
      </w:pPr>
      <w:r>
        <w:rPr>
          <w:b/>
        </w:rPr>
        <w:t xml:space="preserve">Bằng chứng / cách xử lý: </w:t>
      </w:r>
      <w:r>
        <w:t>Cần hóa đơn mẫu và ít nhất một bộ dữ liệu tính chuẩn; mặc định hiện tại không thêm VAT hoặc giảm trừ.</w:t>
      </w:r>
    </w:p>
    <w:p>
      <w:pPr>
        <w:keepNext/>
        <w:widowControl/>
      </w:pPr>
      <w:r>
        <w:rPr>
          <w:b/>
        </w:rPr>
        <w:t xml:space="preserve">Ảnh hưởng: </w:t>
      </w:r>
      <w:r>
        <w:t>FIN; CUS</w:t>
      </w:r>
    </w:p>
    <w:p>
      <w:pPr>
        <w:pStyle w:val="Small"/>
        <w:widowControl/>
      </w:pPr>
      <w:r>
        <w:t>Kết luận: Chưa có • Ngày/người xác nhận: Chưa có</w:t>
      </w:r>
    </w:p>
    <w:p>
      <w:pPr>
        <w:pStyle w:val="Heading2"/>
        <w:widowControl/>
      </w:pPr>
      <w:r>
        <w:t>OI-05 — Giá dịch vụ, điện nước, xe và lẻ tháng</w:t>
      </w:r>
    </w:p>
    <w:p>
      <w:pPr>
        <w:pStyle w:val="SourceText"/>
        <w:keepNext/>
        <w:widowControl/>
      </w:pPr>
      <w:r>
        <w:t>Open • Mức C • Nguồn: S1 §4.3 • Người xác nhận đề xuất: Vận hành / Kế toán</w:t>
      </w:r>
    </w:p>
    <w:p>
      <w:pPr>
        <w:widowControl/>
      </w:pPr>
      <w:r>
        <w:rPr>
          <w:b/>
        </w:rPr>
        <w:t xml:space="preserve">Câu hỏi: </w:t>
      </w:r>
      <w:r>
        <w:t>Nhập chỉ số hay sản lượng; giá điện/nước theo phòng/tòa/HĐ? Đổi giá, tăng xe hoặc vào/ra giữa tháng xử lý thế nào? Một HĐ có nhiều người ở không?</w:t>
      </w:r>
    </w:p>
    <w:p>
      <w:pPr>
        <w:widowControl/>
      </w:pPr>
      <w:r>
        <w:rPr>
          <w:b/>
        </w:rPr>
        <w:t xml:space="preserve">Bằng chứng / cách xử lý: </w:t>
      </w:r>
      <w:r>
        <w:t>Cần bảng giá, đơn vị, kỳ hiệu lực và ví dụ tính lẻ tháng; không mặc định chia 30 ngày.</w:t>
      </w:r>
    </w:p>
    <w:p>
      <w:pPr>
        <w:keepNext/>
        <w:widowControl/>
      </w:pPr>
      <w:r>
        <w:rPr>
          <w:b/>
        </w:rPr>
        <w:t xml:space="preserve">Ảnh hưởng: </w:t>
      </w:r>
      <w:r>
        <w:t>CUS; FIN</w:t>
      </w:r>
    </w:p>
    <w:p>
      <w:pPr>
        <w:pStyle w:val="Small"/>
        <w:widowControl/>
      </w:pPr>
      <w:r>
        <w:t>Kết luận: Chưa có • Ngày/người xác nhận: Chưa có</w:t>
      </w:r>
    </w:p>
    <w:p>
      <w:pPr>
        <w:pStyle w:val="Heading2"/>
        <w:widowControl/>
      </w:pPr>
      <w:r>
        <w:t>OI-06 — Thu một phần, tiền thừa và sửa phiếu thu</w:t>
      </w:r>
    </w:p>
    <w:p>
      <w:pPr>
        <w:pStyle w:val="SourceText"/>
        <w:keepNext/>
        <w:widowControl/>
      </w:pPr>
      <w:r>
        <w:t>Open • Mức C • Nguồn: S1 §2/§4.3/§5 • Người xác nhận đề xuất: Kế toán / Vận hành</w:t>
      </w:r>
    </w:p>
    <w:p>
      <w:pPr>
        <w:widowControl/>
      </w:pPr>
      <w:r>
        <w:rPr>
          <w:b/>
        </w:rPr>
        <w:t xml:space="preserve">Câu hỏi: </w:t>
      </w:r>
      <w:r>
        <w:t>Cho thu thiếu/thừa hoặc phân bổ nhiều hóa đơn không? Ai được sửa/đảo phiếu, ngày thu lùi kỳ và bằng chứng cần lưu là gì?</w:t>
      </w:r>
    </w:p>
    <w:p>
      <w:pPr>
        <w:widowControl/>
      </w:pPr>
      <w:r>
        <w:rPr>
          <w:b/>
        </w:rPr>
        <w:t xml:space="preserve">Bằng chứng / cách xử lý: </w:t>
      </w:r>
      <w:r>
        <w:t>Cần quy tắc phân bổ, xử lý tiền thừa, sửa sai và mẫu phiếu; phương án thu một phần ở SRS là ĐX.</w:t>
      </w:r>
    </w:p>
    <w:p>
      <w:pPr>
        <w:keepNext/>
        <w:widowControl/>
      </w:pPr>
      <w:r>
        <w:rPr>
          <w:b/>
        </w:rPr>
        <w:t xml:space="preserve">Ảnh hưởng: </w:t>
      </w:r>
      <w:r>
        <w:t>FIN; CUS</w:t>
      </w:r>
    </w:p>
    <w:p>
      <w:pPr>
        <w:pStyle w:val="Small"/>
        <w:widowControl/>
      </w:pPr>
      <w:r>
        <w:t>Kết luận: Chưa có • Ngày/người xác nhận: Chưa có</w:t>
      </w:r>
    </w:p>
    <w:p>
      <w:pPr>
        <w:pStyle w:val="Heading2"/>
        <w:widowControl/>
      </w:pPr>
      <w:r>
        <w:t>OI-07 — Hoàn cọc, bù nợ và dọn phòng</w:t>
      </w:r>
    </w:p>
    <w:p>
      <w:pPr>
        <w:pStyle w:val="SourceText"/>
        <w:keepNext/>
        <w:widowControl/>
      </w:pPr>
      <w:r>
        <w:t>Open • Mức C • Nguồn: S1 §4.4/§5/§6 • Người xác nhận đề xuất: Trưởng vận hành / Kế toán</w:t>
      </w:r>
    </w:p>
    <w:p>
      <w:pPr>
        <w:widowControl/>
      </w:pPr>
      <w:r>
        <w:rPr>
          <w:b/>
        </w:rPr>
        <w:t xml:space="preserve">Câu hỏi: </w:t>
      </w:r>
      <w:r>
        <w:t>Ai lập, duyệt, chi; có bù nợ/phạt phá HĐ không; vượt cọc xử lý thế nào? Phòng có thể dọn/cho thuê lại trước khi hoàn tiền không?</w:t>
      </w:r>
    </w:p>
    <w:p>
      <w:pPr>
        <w:widowControl/>
      </w:pPr>
      <w:r>
        <w:rPr>
          <w:b/>
        </w:rPr>
        <w:t xml:space="preserve">Bằng chứng / cách xử lý: </w:t>
      </w:r>
      <w:r>
        <w:t>Cần bảng đơn giá thật, hồ sơ hoàn mẫu, điều kiện tách tình trạng phòng khỏi thanh toán; không tự áp bù trừ.</w:t>
      </w:r>
    </w:p>
    <w:p>
      <w:pPr>
        <w:keepNext/>
        <w:widowControl/>
      </w:pPr>
      <w:r>
        <w:rPr>
          <w:b/>
        </w:rPr>
        <w:t xml:space="preserve">Ảnh hưởng: </w:t>
      </w:r>
      <w:r>
        <w:t>FIN; BLD; CUS</w:t>
      </w:r>
    </w:p>
    <w:p>
      <w:pPr>
        <w:pStyle w:val="Small"/>
        <w:widowControl/>
      </w:pPr>
      <w:r>
        <w:t>Kết luận: Chưa có • Ngày/người xác nhận: Chưa có</w:t>
      </w:r>
    </w:p>
    <w:p>
      <w:pPr>
        <w:pStyle w:val="Heading2"/>
        <w:widowControl/>
      </w:pPr>
      <w:r>
        <w:t>OI-08 — Định nghĩa công nợ và ngưỡng trễ hạn</w:t>
      </w:r>
    </w:p>
    <w:p>
      <w:pPr>
        <w:pStyle w:val="SourceText"/>
        <w:keepNext/>
        <w:widowControl/>
      </w:pPr>
      <w:r>
        <w:t>Open • Mức C • Nguồn: S1 §4.4/§5 • Người xác nhận đề xuất: Kế toán</w:t>
      </w:r>
    </w:p>
    <w:p>
      <w:pPr>
        <w:widowControl/>
      </w:pPr>
      <w:r>
        <w:rPr>
          <w:b/>
        </w:rPr>
        <w:t xml:space="preserve">Câu hỏi: </w:t>
      </w:r>
      <w:r>
        <w:t>Khoản chưa thu được gọi công nợ ngay khi phát hành hay chỉ sau quá hạn? Mốc là 5 hay 7 ngày, dùng lớn hơn hay từ ngày thứ N?</w:t>
      </w:r>
    </w:p>
    <w:p>
      <w:pPr>
        <w:widowControl/>
      </w:pPr>
      <w:r>
        <w:rPr>
          <w:b/>
        </w:rPr>
        <w:t xml:space="preserve">Bằng chứng / cách xử lý: </w:t>
      </w:r>
      <w:r>
        <w:t>Cần ví dụ hóa đơn có hạn cụ thể và lịch nhắc; ĐX giữ số dư từ phát hành, tách nhãn trễ hạn.</w:t>
      </w:r>
    </w:p>
    <w:p>
      <w:pPr>
        <w:keepNext/>
        <w:widowControl/>
      </w:pPr>
      <w:r>
        <w:rPr>
          <w:b/>
        </w:rPr>
        <w:t xml:space="preserve">Ảnh hưởng: </w:t>
      </w:r>
      <w:r>
        <w:t>FIN; ZAL</w:t>
      </w:r>
    </w:p>
    <w:p>
      <w:pPr>
        <w:pStyle w:val="Small"/>
        <w:widowControl/>
      </w:pPr>
      <w:r>
        <w:t>Kết luận: Chưa có • Ngày/người xác nhận: Chưa có</w:t>
      </w:r>
    </w:p>
    <w:p>
      <w:pPr>
        <w:pStyle w:val="Heading2"/>
        <w:widowControl/>
      </w:pPr>
      <w:r>
        <w:t>OI-09 — Giữ chỗ, gia hạn và nhóm phòng</w:t>
      </w:r>
    </w:p>
    <w:p>
      <w:pPr>
        <w:pStyle w:val="SourceText"/>
        <w:keepNext/>
        <w:widowControl/>
      </w:pPr>
      <w:r>
        <w:t>Open • Mức C • Nguồn: S1 §4.1/§5/§6 • Người xác nhận đề xuất: Kinh doanh / Vận hành</w:t>
      </w:r>
    </w:p>
    <w:p>
      <w:pPr>
        <w:widowControl/>
      </w:pPr>
      <w:r>
        <w:rPr>
          <w:b/>
        </w:rPr>
        <w:t xml:space="preserve">Câu hỏi: </w:t>
      </w:r>
      <w:r>
        <w:t>Giữ chỗ trong bao lâu, tiền giữ và hủy thế nào? Gia hạn bằng phụ lục hay HĐ mới? Điều kiện trống ở luôn/trống hết tháng/đang chờ là gì?</w:t>
      </w:r>
    </w:p>
    <w:p>
      <w:pPr>
        <w:widowControl/>
      </w:pPr>
      <w:r>
        <w:rPr>
          <w:b/>
        </w:rPr>
        <w:t xml:space="preserve">Bằng chứng / cách xử lý: </w:t>
      </w:r>
      <w:r>
        <w:t>Cần state transition được duyệt, thứ tự đồng thời, cách chạy bù mốc 35 ngày và định nghĩa nhóm có chồng lấp hay không.</w:t>
      </w:r>
    </w:p>
    <w:p>
      <w:pPr>
        <w:keepNext/>
        <w:widowControl/>
      </w:pPr>
      <w:r>
        <w:rPr>
          <w:b/>
        </w:rPr>
        <w:t xml:space="preserve">Ảnh hưởng: </w:t>
      </w:r>
      <w:r>
        <w:t>BLD; CUS; SAL; DSH</w:t>
      </w:r>
    </w:p>
    <w:p>
      <w:pPr>
        <w:pStyle w:val="Small"/>
        <w:widowControl/>
      </w:pPr>
      <w:r>
        <w:t>Kết luận: Chưa có • Ngày/người xác nhận: Chưa có</w:t>
      </w:r>
    </w:p>
    <w:p>
      <w:pPr>
        <w:pStyle w:val="Heading2"/>
        <w:widowControl/>
      </w:pPr>
      <w:r>
        <w:t>OI-10 — Hai báo cáo ghi chú “hỏi Ngọc”</w:t>
      </w:r>
    </w:p>
    <w:p>
      <w:pPr>
        <w:pStyle w:val="SourceText"/>
        <w:keepNext/>
        <w:widowControl/>
      </w:pPr>
      <w:r>
        <w:t>Open • Mức C • Nguồn: S1 §4.4/§4.6/§9.5–6 • Người xác nhận đề xuất: Kế toán / người sở hữu báo cáo</w:t>
      </w:r>
    </w:p>
    <w:p>
      <w:pPr>
        <w:widowControl/>
      </w:pPr>
      <w:r>
        <w:rPr>
          <w:b/>
        </w:rPr>
        <w:t xml:space="preserve">Câu hỏi: </w:t>
      </w:r>
      <w:r>
        <w:t>“Báo cáo kinh doanh của nhà” có phải đối chiếu điện/nước không? Dự kiến lợi nhuận dùng mô hình nào, có thật sự trung bình 3 tháng?</w:t>
      </w:r>
    </w:p>
    <w:p>
      <w:pPr>
        <w:widowControl/>
      </w:pPr>
      <w:r>
        <w:rPr>
          <w:b/>
        </w:rPr>
        <w:t xml:space="preserve">Bằng chứng / cách xử lý: </w:t>
      </w:r>
      <w:r>
        <w:t>Cần hai mẫu báo cáo và bộ số liệu có đáp án. Nếu chưa có, FR-REP-03/04 chưa được baseline công thức.</w:t>
      </w:r>
    </w:p>
    <w:p>
      <w:pPr>
        <w:keepNext/>
        <w:widowControl/>
      </w:pPr>
      <w:r>
        <w:rPr>
          <w:b/>
        </w:rPr>
        <w:t xml:space="preserve">Ảnh hưởng: </w:t>
      </w:r>
      <w:r>
        <w:t>REP; FIN</w:t>
      </w:r>
    </w:p>
    <w:p>
      <w:pPr>
        <w:pStyle w:val="Small"/>
        <w:widowControl/>
      </w:pPr>
      <w:r>
        <w:t>Kết luận: Chưa có • Ngày/người xác nhận: Chưa có</w:t>
      </w:r>
    </w:p>
    <w:p>
      <w:pPr>
        <w:pStyle w:val="Heading2"/>
        <w:widowControl/>
      </w:pPr>
      <w:r>
        <w:t>OI-11 — Khấu hao và chi phí đầu tư</w:t>
      </w:r>
    </w:p>
    <w:p>
      <w:pPr>
        <w:pStyle w:val="SourceText"/>
        <w:keepNext/>
        <w:widowControl/>
      </w:pPr>
      <w:r>
        <w:t>Open • Mức C • Nguồn: S1 §4.2.C/§4.4/§9.3 • Người xác nhận đề xuất: Kế toán</w:t>
      </w:r>
    </w:p>
    <w:p>
      <w:pPr>
        <w:widowControl/>
      </w:pPr>
      <w:r>
        <w:rPr>
          <w:b/>
        </w:rPr>
        <w:t xml:space="preserve">Câu hỏi: </w:t>
      </w:r>
      <w:r>
        <w:t>Nguyên giá, giá trị còn lại, ngày bắt đầu, số tháng khấu hao và thanh lý ra sao? Thiết bị 3 năm/nội thất 3–5 năm có được xác nhận?</w:t>
      </w:r>
    </w:p>
    <w:p>
      <w:pPr>
        <w:widowControl/>
      </w:pPr>
      <w:r>
        <w:rPr>
          <w:b/>
        </w:rPr>
        <w:t xml:space="preserve">Bằng chứng / cách xử lý: </w:t>
      </w:r>
      <w:r>
        <w:t>Cần sổ tài sản hoặc bảng tính mẫu; làm rõ tiền mua ở dòng tiền và khấu hao ở báo cáo vận hành, tránh tính hai lần.</w:t>
      </w:r>
    </w:p>
    <w:p>
      <w:pPr>
        <w:keepNext/>
        <w:widowControl/>
      </w:pPr>
      <w:r>
        <w:rPr>
          <w:b/>
        </w:rPr>
        <w:t xml:space="preserve">Ảnh hưởng: </w:t>
      </w:r>
      <w:r>
        <w:t>BLD; FIN; REP</w:t>
      </w:r>
    </w:p>
    <w:p>
      <w:pPr>
        <w:pStyle w:val="Small"/>
        <w:widowControl/>
      </w:pPr>
      <w:r>
        <w:t>Kết luận: Chưa có • Ngày/người xác nhận: Chưa có</w:t>
      </w:r>
    </w:p>
    <w:p>
      <w:pPr>
        <w:pStyle w:val="Heading2"/>
        <w:widowControl/>
      </w:pPr>
      <w:r>
        <w:t>OI-12 — Mẫu số hiệu suất</w:t>
      </w:r>
    </w:p>
    <w:p>
      <w:pPr>
        <w:pStyle w:val="SourceText"/>
        <w:keepNext/>
        <w:widowControl/>
      </w:pPr>
      <w:r>
        <w:t>Open • Mức C • Nguồn: S1 §4.2.C/§4.6 • Người xác nhận đề xuất: Vận hành / Ban lãnh đạo</w:t>
      </w:r>
    </w:p>
    <w:p>
      <w:pPr>
        <w:widowControl/>
      </w:pPr>
      <w:r>
        <w:rPr>
          <w:b/>
        </w:rPr>
        <w:t xml:space="preserve">Câu hỏi: </w:t>
      </w:r>
      <w:r>
        <w:t>Tính theo ngày phòng có khách hay doanh thu? Phòng bảo trì, thêm mới, giữ chỗ và bàn giao giữa ngày tính thế nào?</w:t>
      </w:r>
    </w:p>
    <w:p>
      <w:pPr>
        <w:widowControl/>
      </w:pPr>
      <w:r>
        <w:rPr>
          <w:b/>
        </w:rPr>
        <w:t xml:space="preserve">Bằng chứng / cách xử lý: </w:t>
      </w:r>
      <w:r>
        <w:t>Cần ví dụ tổng hợp nhiều tòa với mẫu số khác nhau; chưa mặc định trung bình tỷ lệ tòa.</w:t>
      </w:r>
    </w:p>
    <w:p>
      <w:pPr>
        <w:keepNext/>
        <w:widowControl/>
      </w:pPr>
      <w:r>
        <w:rPr>
          <w:b/>
        </w:rPr>
        <w:t xml:space="preserve">Ảnh hưởng: </w:t>
      </w:r>
      <w:r>
        <w:t>REP; DSH</w:t>
      </w:r>
    </w:p>
    <w:p>
      <w:pPr>
        <w:pStyle w:val="Small"/>
        <w:widowControl/>
      </w:pPr>
      <w:r>
        <w:t>Kết luận: Chưa có • Ngày/người xác nhận: Chưa có</w:t>
      </w:r>
    </w:p>
    <w:p>
      <w:pPr>
        <w:pStyle w:val="Heading2"/>
        <w:widowControl/>
      </w:pPr>
      <w:r>
        <w:t>OI-13 — Doanh thu, dòng tiền và khóa kỳ</w:t>
      </w:r>
    </w:p>
    <w:p>
      <w:pPr>
        <w:pStyle w:val="SourceText"/>
        <w:keepNext/>
        <w:widowControl/>
      </w:pPr>
      <w:r>
        <w:t>Open • Mức C • Nguồn: S1 §4.1/§4.2.C/§4.6 • Người xác nhận đề xuất: Kế toán / Ban lãnh đạo</w:t>
      </w:r>
    </w:p>
    <w:p>
      <w:pPr>
        <w:widowControl/>
      </w:pPr>
      <w:r>
        <w:rPr>
          <w:b/>
        </w:rPr>
        <w:t xml:space="preserve">Câu hỏi: </w:t>
      </w:r>
      <w:r>
        <w:t>Ghi nhận theo phát sinh hay thực thu? Cọc/tiền phá HĐ thuộc chỉ tiêu nào? Phân bổ chi phí, ngày chốt, người khóa/mở kỳ và sửa kỳ cũ ra sao?</w:t>
      </w:r>
    </w:p>
    <w:p>
      <w:pPr>
        <w:widowControl/>
      </w:pPr>
      <w:r>
        <w:rPr>
          <w:b/>
        </w:rPr>
        <w:t xml:space="preserve">Bằng chứng / cách xử lý: </w:t>
      </w:r>
      <w:r>
        <w:t>Cần từ điển chỉ tiêu, báo cáo mẫu, quy tắc chốt và điều chỉnh; chốt nhãn Tổng quan để không gọi tổng thu là lợi nhuận.</w:t>
      </w:r>
    </w:p>
    <w:p>
      <w:pPr>
        <w:keepNext/>
        <w:widowControl/>
      </w:pPr>
      <w:r>
        <w:rPr>
          <w:b/>
        </w:rPr>
        <w:t xml:space="preserve">Ảnh hưởng: </w:t>
      </w:r>
      <w:r>
        <w:t>FIN; REP; DSH</w:t>
      </w:r>
    </w:p>
    <w:p>
      <w:pPr>
        <w:pStyle w:val="Small"/>
        <w:widowControl/>
      </w:pPr>
      <w:r>
        <w:t>Kết luận: Chưa có • Ngày/người xác nhận: Chưa có</w:t>
      </w:r>
    </w:p>
    <w:p>
      <w:pPr>
        <w:pStyle w:val="Heading2"/>
        <w:widowControl/>
      </w:pPr>
      <w:r>
        <w:t>OI-14 — Hoa hồng, lead và giao dịch</w:t>
      </w:r>
    </w:p>
    <w:p>
      <w:pPr>
        <w:pStyle w:val="SourceText"/>
        <w:keepNext/>
        <w:widowControl/>
      </w:pPr>
      <w:r>
        <w:t>Open • Mức C • Nguồn: S1 §4.5/§9.4 • Người xác nhận đề xuất: Trưởng kinh doanh / Kế toán</w:t>
      </w:r>
    </w:p>
    <w:p>
      <w:pPr>
        <w:widowControl/>
      </w:pPr>
      <w:r>
        <w:rPr>
          <w:b/>
        </w:rPr>
        <w:t xml:space="preserve">Câu hỏi: </w:t>
      </w:r>
      <w:r>
        <w:t>% nhân giá trị tháng đầu hay toàn HĐ; mức % theo ai; đủ tháng đầu tính khoản nào? Hủy thuê/hoàn tiền/đổi Sale xử lý thế nào?</w:t>
      </w:r>
    </w:p>
    <w:p>
      <w:pPr>
        <w:widowControl/>
      </w:pPr>
      <w:r>
        <w:rPr>
          <w:b/>
        </w:rPr>
        <w:t xml:space="preserve">Bằng chứng / cách xử lý: </w:t>
      </w:r>
      <w:r>
        <w:t>Cần bảng hoa hồng, ví dụ hủy/đổi người, quyền team và quy tắc lead trùng.</w:t>
      </w:r>
    </w:p>
    <w:p>
      <w:pPr>
        <w:keepNext/>
        <w:widowControl/>
      </w:pPr>
      <w:r>
        <w:rPr>
          <w:b/>
        </w:rPr>
        <w:t xml:space="preserve">Ảnh hưởng: </w:t>
      </w:r>
      <w:r>
        <w:t>SAL; CUS; HR</w:t>
      </w:r>
    </w:p>
    <w:p>
      <w:pPr>
        <w:pStyle w:val="Small"/>
        <w:widowControl/>
      </w:pPr>
      <w:r>
        <w:t>Kết luận: Chưa có • Ngày/người xác nhận: Chưa có</w:t>
      </w:r>
    </w:p>
    <w:p>
      <w:pPr>
        <w:pStyle w:val="Heading2"/>
        <w:widowControl/>
      </w:pPr>
      <w:r>
        <w:t>OI-15 — Công thức lương và phạm vi nhân sự</w:t>
      </w:r>
    </w:p>
    <w:p>
      <w:pPr>
        <w:pStyle w:val="SourceText"/>
        <w:keepNext/>
        <w:widowControl/>
      </w:pPr>
      <w:r>
        <w:t>Open • Mức C • Nguồn: S1 §4.7/§9.8 • Người xác nhận đề xuất: HR / Kế toán</w:t>
      </w:r>
    </w:p>
    <w:p>
      <w:pPr>
        <w:widowControl/>
      </w:pPr>
      <w:r>
        <w:rPr>
          <w:b/>
        </w:rPr>
        <w:t xml:space="preserve">Câu hỏi: </w:t>
      </w:r>
      <w:r>
        <w:t>Phụ cấp chức danh, số nhà theo mốc nào, nhân sự đổi vai trò giữa tháng tính ra sao; nguồn hoa hồng đưa vào kỳ nào?</w:t>
      </w:r>
    </w:p>
    <w:p>
      <w:pPr>
        <w:widowControl/>
      </w:pPr>
      <w:r>
        <w:rPr>
          <w:b/>
        </w:rPr>
        <w:t xml:space="preserve">Bằng chứng / cách xử lý: </w:t>
      </w:r>
      <w:r>
        <w:t>Cần bảng lương thật đã che dữ liệu; xác định phần nhân sự bao gồm/không bao gồm trước baseline.</w:t>
      </w:r>
    </w:p>
    <w:p>
      <w:pPr>
        <w:keepNext/>
        <w:widowControl/>
      </w:pPr>
      <w:r>
        <w:rPr>
          <w:b/>
        </w:rPr>
        <w:t xml:space="preserve">Ảnh hưởng: </w:t>
      </w:r>
      <w:r>
        <w:t>HR</w:t>
      </w:r>
    </w:p>
    <w:p>
      <w:pPr>
        <w:pStyle w:val="Small"/>
        <w:widowControl/>
      </w:pPr>
      <w:r>
        <w:t>Kết luận: Chưa có • Ngày/người xác nhận: Chưa có</w:t>
      </w:r>
    </w:p>
    <w:p>
      <w:pPr>
        <w:pStyle w:val="Heading2"/>
        <w:widowControl/>
      </w:pPr>
      <w:r>
        <w:t>OI-16 — Cổ đông có đăng nhập không</w:t>
      </w:r>
    </w:p>
    <w:p>
      <w:pPr>
        <w:pStyle w:val="SourceText"/>
        <w:keepNext/>
        <w:widowControl/>
      </w:pPr>
      <w:r>
        <w:t>Open • Mức C • Nguồn: S1 §2/§5 • Người xác nhận đề xuất: Đại diện Timehouse / cổ đông</w:t>
      </w:r>
    </w:p>
    <w:p>
      <w:pPr>
        <w:widowControl/>
      </w:pPr>
      <w:r>
        <w:rPr>
          <w:b/>
        </w:rPr>
        <w:t xml:space="preserve">Câu hỏi: </w:t>
      </w:r>
      <w:r>
        <w:t>Cần cổng cổ đông hay chỉ xuất báo cáo? Nếu đăng nhập, họ xem báo cáo nào, thời điểm công bố và mức chi tiết khách/cọc/tài sản nào?</w:t>
      </w:r>
    </w:p>
    <w:p>
      <w:pPr>
        <w:widowControl/>
      </w:pPr>
      <w:r>
        <w:rPr>
          <w:b/>
        </w:rPr>
        <w:t xml:space="preserve">Bằng chứng / cách xử lý: </w:t>
      </w:r>
      <w:r>
        <w:t>Cần ma trận công bố; không mặc định cổng riêng đã là chức năng được chốt chỉ vì có trong sơ đồ.</w:t>
      </w:r>
    </w:p>
    <w:p>
      <w:pPr>
        <w:keepNext/>
        <w:widowControl/>
      </w:pPr>
      <w:r>
        <w:rPr>
          <w:b/>
        </w:rPr>
        <w:t xml:space="preserve">Ảnh hưởng: </w:t>
      </w:r>
      <w:r>
        <w:t>SHR; IAM</w:t>
      </w:r>
    </w:p>
    <w:p>
      <w:pPr>
        <w:pStyle w:val="Small"/>
        <w:widowControl/>
      </w:pPr>
      <w:r>
        <w:t>Kết luận: Chưa có • Ngày/người xác nhận: Chưa có</w:t>
      </w:r>
    </w:p>
    <w:p>
      <w:pPr>
        <w:pStyle w:val="Heading2"/>
        <w:widowControl/>
      </w:pPr>
      <w:r>
        <w:t>OI-17 — Vốn góp và phân phối</w:t>
      </w:r>
    </w:p>
    <w:p>
      <w:pPr>
        <w:pStyle w:val="SourceText"/>
        <w:keepNext/>
        <w:widowControl/>
      </w:pPr>
      <w:r>
        <w:t>Open • Mức C • Nguồn: S1 §4.8/§9.7 • Người xác nhận đề xuất: Kế toán / người phụ trách cổ đông</w:t>
      </w:r>
    </w:p>
    <w:p>
      <w:pPr>
        <w:widowControl/>
      </w:pPr>
      <w:r>
        <w:rPr>
          <w:b/>
        </w:rPr>
        <w:t xml:space="preserve">Câu hỏi: </w:t>
      </w:r>
      <w:r>
        <w:t>Tổng vốn là cam kết hay thực góp; tài sản góp định giá ra sao; góp/rút giữa kỳ, kỳ lỗ và làm tròn xử lý thế nào? Lợi nhuận chia lấy từ báo cáo nào?</w:t>
      </w:r>
    </w:p>
    <w:p>
      <w:pPr>
        <w:widowControl/>
      </w:pPr>
      <w:r>
        <w:rPr>
          <w:b/>
        </w:rPr>
        <w:t xml:space="preserve">Bằng chứng / cách xử lý: </w:t>
      </w:r>
      <w:r>
        <w:t>Cần bảng vốn và phân phối thật, ngày hiệu lực, khoản được chia và quyền duyệt; không mặc định tỷ lệ hiện tại áp toàn lịch sử.</w:t>
      </w:r>
    </w:p>
    <w:p>
      <w:pPr>
        <w:keepNext/>
        <w:widowControl/>
      </w:pPr>
      <w:r>
        <w:rPr>
          <w:b/>
        </w:rPr>
        <w:t xml:space="preserve">Ảnh hưởng: </w:t>
      </w:r>
      <w:r>
        <w:t>SHR; REP</w:t>
      </w:r>
    </w:p>
    <w:p>
      <w:pPr>
        <w:pStyle w:val="Small"/>
        <w:widowControl/>
      </w:pPr>
      <w:r>
        <w:t>Kết luận: Chưa có • Ngày/người xác nhận: Chưa có</w:t>
      </w:r>
    </w:p>
    <w:p>
      <w:pPr>
        <w:pStyle w:val="Heading2"/>
        <w:widowControl/>
      </w:pPr>
      <w:r>
        <w:t>OI-18 — Tài sản, bảo trì và sự cố</w:t>
      </w:r>
    </w:p>
    <w:p>
      <w:pPr>
        <w:pStyle w:val="SourceText"/>
        <w:keepNext/>
        <w:widowControl/>
      </w:pPr>
      <w:r>
        <w:t>Open • Mức M • Nguồn: S1 §2/§4.9 • Người xác nhận đề xuất: Vận hành / Kỹ thuật</w:t>
      </w:r>
    </w:p>
    <w:p>
      <w:pPr>
        <w:widowControl/>
      </w:pPr>
      <w:r>
        <w:rPr>
          <w:b/>
        </w:rPr>
        <w:t xml:space="preserve">Câu hỏi: </w:t>
      </w:r>
      <w:r>
        <w:t>Danh mục thiết bị, kỳ lặp, người nhận/kênh nhắc 7 ngày là gì; kiểm kê chênh lệch và sửa chữa xử lý đến đâu?</w:t>
      </w:r>
    </w:p>
    <w:p>
      <w:pPr>
        <w:widowControl/>
      </w:pPr>
      <w:r>
        <w:rPr>
          <w:b/>
        </w:rPr>
        <w:t xml:space="preserve">Bằng chứng / cách xử lý: </w:t>
      </w:r>
      <w:r>
        <w:t>Cần mẫu kiểm kê/bảo dưỡng, nhóm trạng thái phòng không khả dụng; chưa có cơ sở thêm SLA, mua sắm hoặc khách tự gửi ticket.</w:t>
      </w:r>
    </w:p>
    <w:p>
      <w:pPr>
        <w:keepNext/>
        <w:widowControl/>
      </w:pPr>
      <w:r>
        <w:rPr>
          <w:b/>
        </w:rPr>
        <w:t xml:space="preserve">Ảnh hưởng: </w:t>
      </w:r>
      <w:r>
        <w:t>MNT; BLD</w:t>
      </w:r>
    </w:p>
    <w:p>
      <w:pPr>
        <w:pStyle w:val="Small"/>
        <w:widowControl/>
      </w:pPr>
      <w:r>
        <w:t>Kết luận: Chưa có • Ngày/người xác nhận: Chưa có</w:t>
      </w:r>
    </w:p>
    <w:p>
      <w:pPr>
        <w:pStyle w:val="Heading2"/>
        <w:widowControl/>
      </w:pPr>
      <w:r>
        <w:t>OI-19 — Danh mục và khóa nghiệp vụ</w:t>
      </w:r>
    </w:p>
    <w:p>
      <w:pPr>
        <w:pStyle w:val="SourceText"/>
        <w:keepNext/>
        <w:widowControl/>
      </w:pPr>
      <w:r>
        <w:t>Open • Mức M • Nguồn: S1 §4.2/§4.6/§9.2/§10 • Người xác nhận đề xuất: Vận hành / Kinh doanh</w:t>
      </w:r>
    </w:p>
    <w:p>
      <w:pPr>
        <w:widowControl/>
      </w:pPr>
      <w:r>
        <w:rPr>
          <w:b/>
        </w:rPr>
        <w:t xml:space="preserve">Câu hỏi: </w:t>
      </w:r>
      <w:r>
        <w:t>T/S/G chính xác là gì; mã tòa/phòng theo format nào; ai quản lý nguồn khách, nghề nghiệp và ánh xạ phân khúc?</w:t>
      </w:r>
    </w:p>
    <w:p>
      <w:pPr>
        <w:widowControl/>
      </w:pPr>
      <w:r>
        <w:rPr>
          <w:b/>
        </w:rPr>
        <w:t xml:space="preserve">Bằng chứng / cách xử lý: </w:t>
      </w:r>
      <w:r>
        <w:t>Cần danh mục dùng thực tế; không cố định T/S/G = Trọ/Studio/Gia đình khi nguồn đánh dấu độ tin cậy thấp.</w:t>
      </w:r>
    </w:p>
    <w:p>
      <w:pPr>
        <w:keepNext/>
        <w:widowControl/>
      </w:pPr>
      <w:r>
        <w:rPr>
          <w:b/>
        </w:rPr>
        <w:t xml:space="preserve">Ảnh hưởng: </w:t>
      </w:r>
      <w:r>
        <w:t>BLD; CUS; REP; DSH</w:t>
      </w:r>
    </w:p>
    <w:p>
      <w:pPr>
        <w:pStyle w:val="Small"/>
        <w:widowControl/>
      </w:pPr>
      <w:r>
        <w:t>Kết luận: Chưa có • Ngày/người xác nhận: Chưa có</w:t>
      </w:r>
    </w:p>
    <w:p>
      <w:pPr>
        <w:pStyle w:val="Heading2"/>
        <w:widowControl/>
      </w:pPr>
      <w:r>
        <w:t>OI-20 — Điều kiện kết nối Zalo và mẫu tin</w:t>
      </w:r>
    </w:p>
    <w:p>
      <w:pPr>
        <w:pStyle w:val="SourceText"/>
        <w:keepNext/>
        <w:widowControl/>
      </w:pPr>
      <w:r>
        <w:t>Open • Mức C • Nguồn: S1 §4.10/§7; R6 • Người xác nhận đề xuất: Admin nghiệp vụ / người quản trị OA</w:t>
      </w:r>
    </w:p>
    <w:p>
      <w:pPr>
        <w:widowControl/>
      </w:pPr>
      <w:r>
        <w:rPr>
          <w:b/>
        </w:rPr>
        <w:t xml:space="preserve">Câu hỏi: </w:t>
      </w:r>
      <w:r>
        <w:t>OA đã xác minh, app/ủy quyền và tài khoản dịch vụ đã có chưa? Mẫu cho từng sự kiện, loại tin và quyền gửi đã được duyệt chưa?</w:t>
      </w:r>
    </w:p>
    <w:p>
      <w:pPr>
        <w:widowControl/>
      </w:pPr>
      <w:r>
        <w:rPr>
          <w:b/>
        </w:rPr>
        <w:t xml:space="preserve">Bằng chứng / cách xử lý: </w:t>
      </w:r>
      <w:r>
        <w:t>Cần tài liệu và quyền thử hợp lệ; xác minh API hiện hành ZBS. Không hỏi lại lựa chọn Zalo theo SĐT đã nêu trong nguồn.</w:t>
      </w:r>
    </w:p>
    <w:p>
      <w:pPr>
        <w:keepNext/>
        <w:widowControl/>
      </w:pPr>
      <w:r>
        <w:rPr>
          <w:b/>
        </w:rPr>
        <w:t xml:space="preserve">Ảnh hưởng: </w:t>
      </w:r>
      <w:r>
        <w:t>ZAL</w:t>
      </w:r>
    </w:p>
    <w:p>
      <w:pPr>
        <w:pStyle w:val="Small"/>
        <w:widowControl/>
      </w:pPr>
      <w:r>
        <w:t>Kết luận: Chưa có • Ngày/người xác nhận: Chưa có</w:t>
      </w:r>
    </w:p>
    <w:p>
      <w:pPr>
        <w:pStyle w:val="Heading2"/>
        <w:widowControl/>
      </w:pPr>
      <w:r>
        <w:t>OI-21 — Lịch gửi, retry và SMS</w:t>
      </w:r>
    </w:p>
    <w:p>
      <w:pPr>
        <w:pStyle w:val="SourceText"/>
        <w:keepNext/>
        <w:widowControl/>
      </w:pPr>
      <w:r>
        <w:t>Open • Mức C • Nguồn: S1 §4.10/§7 • Người xác nhận đề xuất: Vận hành / người quản trị tích hợp</w:t>
      </w:r>
    </w:p>
    <w:p>
      <w:pPr>
        <w:widowControl/>
      </w:pPr>
      <w:r>
        <w:rPr>
          <w:b/>
        </w:rPr>
        <w:t xml:space="preserve">Câu hỏi: </w:t>
      </w:r>
      <w:r>
        <w:t>Giờ gửi, số lần nhắc theo kỳ, điều kiện retry/timeout, ngừng nhận, nhà cung cấp SMS và khi nào được fallback?</w:t>
      </w:r>
    </w:p>
    <w:p>
      <w:pPr>
        <w:widowControl/>
      </w:pPr>
      <w:r>
        <w:rPr>
          <w:b/>
        </w:rPr>
        <w:t xml:space="preserve">Bằng chứng / cách xử lý: </w:t>
      </w:r>
      <w:r>
        <w:t>Cần bảng nhóm lỗi → hành động, trần số lần/thời gian và người giám sát; không mặc định fallback mọi lỗi.</w:t>
      </w:r>
    </w:p>
    <w:p>
      <w:pPr>
        <w:keepNext/>
        <w:widowControl/>
      </w:pPr>
      <w:r>
        <w:rPr>
          <w:b/>
        </w:rPr>
        <w:t xml:space="preserve">Ảnh hưởng: </w:t>
      </w:r>
      <w:r>
        <w:t>ZAL; FIN</w:t>
      </w:r>
    </w:p>
    <w:p>
      <w:pPr>
        <w:pStyle w:val="Small"/>
        <w:widowControl/>
      </w:pPr>
      <w:r>
        <w:t>Kết luận: Chưa có • Ngày/người xác nhận: Chưa có</w:t>
      </w:r>
    </w:p>
    <w:p>
      <w:pPr>
        <w:pStyle w:val="Heading2"/>
        <w:widowControl/>
      </w:pPr>
      <w:r>
        <w:t>OI-22 — Tài liệu và đầu ra xuất file</w:t>
      </w:r>
    </w:p>
    <w:p>
      <w:pPr>
        <w:pStyle w:val="SourceText"/>
        <w:keepNext/>
        <w:widowControl/>
      </w:pPr>
      <w:r>
        <w:t>Open • Mức M • Nguồn: S1 §3/§4.2/§4.3 • Người xác nhận đề xuất: Vận hành / Kế toán</w:t>
      </w:r>
    </w:p>
    <w:p>
      <w:pPr>
        <w:widowControl/>
      </w:pPr>
      <w:r>
        <w:rPr>
          <w:b/>
        </w:rPr>
        <w:t xml:space="preserve">Câu hỏi: </w:t>
      </w:r>
      <w:r>
        <w:t>Module Tài liệu độc lập có các loại hồ sơ nào; ai xem/tải/xóa; có cần quản lý phiên bản? Báo cáo/phiếu nào phải xuất PDF/XLSX?</w:t>
      </w:r>
    </w:p>
    <w:p>
      <w:pPr>
        <w:widowControl/>
      </w:pPr>
      <w:r>
        <w:rPr>
          <w:b/>
        </w:rPr>
        <w:t xml:space="preserve">Bằng chứng / cách xử lý: </w:t>
      </w:r>
      <w:r>
        <w:t>Cần danh mục tệp, giới hạn và mẫu đầu ra; FR-DOC-02 có thể hoãn nếu chỉ lưu file gắn đối tượng.</w:t>
      </w:r>
    </w:p>
    <w:p>
      <w:pPr>
        <w:keepNext/>
        <w:widowControl/>
      </w:pPr>
      <w:r>
        <w:rPr>
          <w:b/>
        </w:rPr>
        <w:t xml:space="preserve">Ảnh hưởng: </w:t>
      </w:r>
      <w:r>
        <w:t>DOC; REP</w:t>
      </w:r>
    </w:p>
    <w:p>
      <w:pPr>
        <w:pStyle w:val="Small"/>
        <w:widowControl/>
      </w:pPr>
      <w:r>
        <w:t>Kết luận: Chưa có • Ngày/người xác nhận: Chưa có</w:t>
      </w:r>
    </w:p>
    <w:p>
      <w:pPr>
        <w:pStyle w:val="Heading2"/>
        <w:widowControl/>
      </w:pPr>
      <w:r>
        <w:t>OI-23 — Chuyển dữ liệu đầu kỳ</w:t>
      </w:r>
    </w:p>
    <w:p>
      <w:pPr>
        <w:pStyle w:val="SourceText"/>
        <w:keepNext/>
        <w:widowControl/>
      </w:pPr>
      <w:r>
        <w:t>Open • Mức M • Nguồn: Thiếu trong S1; BA • Người xác nhận đề xuất: Chủ sở hữu dữ liệu / Kế toán</w:t>
      </w:r>
    </w:p>
    <w:p>
      <w:pPr>
        <w:widowControl/>
      </w:pPr>
      <w:r>
        <w:rPr>
          <w:b/>
        </w:rPr>
        <w:t xml:space="preserve">Câu hỏi: </w:t>
      </w:r>
      <w:r>
        <w:t>Có nhập dữ liệu cũ không; nhập bao nhiêu kỳ; nguồn nào và ai xác nhận công nợ, cọc, vốn, tài sản đầu kỳ?</w:t>
      </w:r>
    </w:p>
    <w:p>
      <w:pPr>
        <w:widowControl/>
      </w:pPr>
      <w:r>
        <w:rPr>
          <w:b/>
        </w:rPr>
        <w:t xml:space="preserve">Bằng chứng / cách xử lý: </w:t>
      </w:r>
      <w:r>
        <w:t>Cần file mẫu, số lượng, dữ liệu đối chiếu, quy tắc trùng; chưa tự cam kết import thường xuyên.</w:t>
      </w:r>
    </w:p>
    <w:p>
      <w:pPr>
        <w:keepNext/>
        <w:widowControl/>
      </w:pPr>
      <w:r>
        <w:rPr>
          <w:b/>
        </w:rPr>
        <w:t xml:space="preserve">Ảnh hưởng: </w:t>
      </w:r>
      <w:r>
        <w:t>Dữ liệu; FIN; SHR</w:t>
      </w:r>
    </w:p>
    <w:p>
      <w:pPr>
        <w:pStyle w:val="Small"/>
        <w:widowControl/>
      </w:pPr>
      <w:r>
        <w:t>Kết luận: Chưa có • Ngày/người xác nhận: Chưa có</w:t>
      </w:r>
    </w:p>
    <w:p>
      <w:pPr>
        <w:pStyle w:val="Heading2"/>
        <w:widowControl/>
      </w:pPr>
      <w:r>
        <w:t>OI-24 — Quy mô, NFR và phân kỳ triển khai</w:t>
      </w:r>
    </w:p>
    <w:p>
      <w:pPr>
        <w:pStyle w:val="SourceText"/>
        <w:keepNext/>
        <w:widowControl/>
      </w:pPr>
      <w:r>
        <w:t>Open • Mức C • Nguồn: Thiếu trong S1; BA • Người xác nhận đề xuất: Đại diện Timehouse / Tech lead / QA</w:t>
      </w:r>
    </w:p>
    <w:p>
      <w:pPr>
        <w:widowControl/>
      </w:pPr>
      <w:r>
        <w:rPr>
          <w:b/>
        </w:rPr>
        <w:t xml:space="preserve">Câu hỏi: </w:t>
      </w:r>
      <w:r>
        <w:t>Quy mô tòa/phòng/khách/hóa đơn/người dùng, thiết bị, uptime, RPO/RTO, lưu giữ, hỗ trợ, và FR thuộc từng release là gì?</w:t>
      </w:r>
    </w:p>
    <w:p>
      <w:pPr>
        <w:widowControl/>
      </w:pPr>
      <w:r>
        <w:rPr>
          <w:b/>
        </w:rPr>
        <w:t xml:space="preserve">Bằng chứng / cách xử lý: </w:t>
      </w:r>
      <w:r>
        <w:t>Duyệt hoặc sửa mục tiêu §9; chỉ tiêu đề xuất không phải SLA. Phải chốt release trước đưa toàn bộ SRS vào cam kết triển khai.</w:t>
      </w:r>
    </w:p>
    <w:p>
      <w:pPr>
        <w:keepNext/>
        <w:widowControl/>
      </w:pPr>
      <w:r>
        <w:rPr>
          <w:b/>
        </w:rPr>
        <w:t xml:space="preserve">Ảnh hưởng: </w:t>
      </w:r>
      <w:r>
        <w:t>Toàn SRS</w:t>
      </w:r>
    </w:p>
    <w:p>
      <w:pPr>
        <w:pStyle w:val="Small"/>
        <w:widowControl/>
      </w:pPr>
      <w:r>
        <w:t>Kết luận: Chưa có • Ngày/người xác nhận: Chưa có</w:t>
      </w:r>
    </w:p>
    <w:p>
      <w:bookmarkStart w:id="114" w:name="sec_14"/>
      <w:pPr>
        <w:pStyle w:val="Heading1"/>
        <w:widowControl/>
      </w:pPr>
      <w:r>
        <w:t>14. Tài liệu tham khảo</w:t>
      </w:r>
      <w:bookmarkEnd w:id="114"/>
    </w:p>
    <w:p>
      <w:pPr>
        <w:widowControl/>
      </w:pPr>
      <w:r>
        <w:t>Tra cứu ngày 08/09/2026. Các mẫu công khai được dùng để tham khảo cách tổ chức và kiểm soát yêu cầu. Toàn bộ nội dung nghiệp vụ Timehouse do BA biên soạn từ S1; không sao chép các yêu cầu của dự án khác. Các nguồn không chứng minh mọi công ty áp dụng cùng một template.</w:t>
      </w:r>
    </w:p>
    <w:p>
      <w:pPr>
        <w:keepNext/>
        <w:widowControl/>
      </w:pPr>
      <w:r>
        <w:rPr>
          <w:b/>
        </w:rPr>
        <w:t xml:space="preserve">S1: </w:t>
      </w:r>
      <w:r>
        <w:t>Phan-tich-nghiep-vu-Timehouse.md, phiên bản 02</w:t>
      </w:r>
    </w:p>
    <w:p>
      <w:pPr>
        <w:pStyle w:val="Small"/>
        <w:widowControl/>
      </w:pPr>
      <w:r>
        <w:t>Tài liệu người dùng cung cấp; nguồn nghiệp vụ chính.</w:t>
      </w:r>
    </w:p>
    <w:p>
      <w:pPr>
        <w:keepNext/>
        <w:widowControl/>
      </w:pPr>
      <w:r>
        <w:rPr>
          <w:b/>
        </w:rPr>
        <w:t xml:space="preserve">R1: </w:t>
      </w:r>
      <w:r>
        <w:t>Erbis — Software Requirements Documentation; mẫu SRS PDF công khai</w:t>
      </w:r>
    </w:p>
    <w:p>
      <w:pPr>
        <w:pStyle w:val="Small"/>
        <w:widowControl/>
      </w:pPr>
      <w:r>
        <w:t>https://erbis.com/blog/software-requirement-document/</w:t>
      </w:r>
    </w:p>
    <w:p>
      <w:pPr>
        <w:keepNext/>
        <w:widowControl/>
      </w:pPr>
      <w:r>
        <w:rPr>
          <w:b/>
        </w:rPr>
        <w:t xml:space="preserve">R1a: </w:t>
      </w:r>
      <w:r>
        <w:t>Erbis — file template đã đọc (9 trang)</w:t>
      </w:r>
    </w:p>
    <w:p>
      <w:pPr>
        <w:pStyle w:val="Small"/>
        <w:widowControl/>
      </w:pPr>
      <w:r>
        <w:t>https://assets.ctfassets.net/bqt23vn8s835/29sWajdnD41ynnLCqdzBvi/97f7bdbeac0cf682d5e60afa081f963d/software-requirement-document-template_Erbis.pdf</w:t>
      </w:r>
    </w:p>
    <w:p>
      <w:pPr>
        <w:keepNext/>
        <w:widowControl/>
      </w:pPr>
      <w:r>
        <w:rPr>
          <w:b/>
        </w:rPr>
        <w:t xml:space="preserve">R2: </w:t>
      </w:r>
      <w:r>
        <w:t>Perforce — How to Write a Software Requirements Specification (SRS) Document</w:t>
      </w:r>
    </w:p>
    <w:p>
      <w:pPr>
        <w:pStyle w:val="Small"/>
        <w:widowControl/>
      </w:pPr>
      <w:r>
        <w:t>https://www.perforce.com/blog/alm/how-write-software-requirements-specification-srs-document</w:t>
      </w:r>
    </w:p>
    <w:p>
      <w:pPr>
        <w:keepNext/>
        <w:widowControl/>
      </w:pPr>
      <w:r>
        <w:rPr>
          <w:b/>
        </w:rPr>
        <w:t xml:space="preserve">R3: </w:t>
      </w:r>
      <w:r>
        <w:t>Atlassian — Product requirements document template (PRD, nguồn bổ trợ)</w:t>
      </w:r>
    </w:p>
    <w:p>
      <w:pPr>
        <w:pStyle w:val="Small"/>
        <w:widowControl/>
      </w:pPr>
      <w:r>
        <w:t>https://www.atlassian.com/software/confluence/templates/product-requirements</w:t>
      </w:r>
    </w:p>
    <w:p>
      <w:pPr>
        <w:keepNext/>
        <w:widowControl/>
      </w:pPr>
      <w:r>
        <w:rPr>
          <w:b/>
        </w:rPr>
        <w:t xml:space="preserve">R4: </w:t>
      </w:r>
      <w:r>
        <w:t>Atlassian — Requirements Traceability Matrix Template</w:t>
      </w:r>
    </w:p>
    <w:p>
      <w:pPr>
        <w:pStyle w:val="Small"/>
        <w:widowControl/>
      </w:pPr>
      <w:r>
        <w:t>https://www.atlassian.com/software/jira/templates/requirements-traceability-matrix</w:t>
      </w:r>
    </w:p>
    <w:p>
      <w:pPr>
        <w:keepNext/>
        <w:widowControl/>
      </w:pPr>
      <w:r>
        <w:rPr>
          <w:b/>
        </w:rPr>
        <w:t xml:space="preserve">R5: </w:t>
      </w:r>
      <w:r>
        <w:t>ISO — ISO/IEC/IEEE 29148:2018, trang giới thiệu chính thức</w:t>
      </w:r>
    </w:p>
    <w:p>
      <w:pPr>
        <w:pStyle w:val="Small"/>
        <w:widowControl/>
      </w:pPr>
      <w:r>
        <w:t>https://www.iso.org/standard/72089.html</w:t>
      </w:r>
    </w:p>
    <w:p>
      <w:pPr>
        <w:keepNext/>
        <w:widowControl/>
      </w:pPr>
      <w:r>
        <w:rPr>
          <w:b/>
        </w:rPr>
        <w:t xml:space="preserve">R6: </w:t>
      </w:r>
      <w:r>
        <w:t>Zalo Business Solutions — thông báo ZBS Template Message, 22/01/2026</w:t>
      </w:r>
    </w:p>
    <w:p>
      <w:pPr>
        <w:pStyle w:val="Small"/>
        <w:widowControl/>
      </w:pPr>
      <w:r>
        <w:t>https://zalo.solutions/news/thong-bao-hop-nhat-dinh-nghia-tin-uid-va-zns-thanh-zbs-template-message/cp1zx4bq8mzhhszgz0br1ocd</w:t>
      </w:r>
    </w:p>
    <w:p>
      <w:pPr>
        <w:keepNext/>
        <w:widowControl/>
      </w:pPr>
      <w:r>
        <w:rPr>
          <w:b/>
        </w:rPr>
        <w:t xml:space="preserve">R7: </w:t>
      </w:r>
      <w:r>
        <w:t>Zalo For Developers — gửi tin theo SĐT; tài liệu cũ có hướng dẫn chuyển ZBS</w:t>
      </w:r>
    </w:p>
    <w:p>
      <w:pPr>
        <w:pStyle w:val="Small"/>
        <w:widowControl/>
      </w:pPr>
      <w:r>
        <w:t>https://stc-developers.zdn.vn/docs/v2/zalo-notification-service/gui-tin-zns/gui-zns</w:t>
      </w:r>
    </w:p>
    <w:p>
      <w:pPr>
        <w:keepNext/>
        <w:widowControl/>
      </w:pPr>
      <w:r>
        <w:rPr>
          <w:b/>
        </w:rPr>
        <w:t xml:space="preserve">R8: </w:t>
      </w:r>
      <w:r>
        <w:t>Zalo For Developers — truy xuất trạng thái; dùng làm điểm dẫn tra cứu API hiện hành</w:t>
      </w:r>
    </w:p>
    <w:p>
      <w:pPr>
        <w:pStyle w:val="Small"/>
        <w:widowControl/>
      </w:pPr>
      <w:r>
        <w:t>https://stc-developers.zdn.vn/docs/v2/zalo-notification-service/truy-xuat-thong-tin/lay-thong-tin-trang-thai-zns</w:t>
      </w:r>
    </w:p>
    <w:p>
      <w:pPr>
        <w:pStyle w:val="Normal"/>
      </w:pPr>
      <w:r>
        <w:br w:type="page"/>
      </w:r>
      <w:r>
        <w:t xml:space="preserve"/>
      </w:r>
    </w:p>
    <w:p>
      <w:pPr>
        <w:pStyle w:val="Heading1"/>
      </w:pPr>
      <w:r>
        <w:t xml:space="preserve">TIMEHOUSE — SRS v1.1: cập nhật theo Excel nghiệp vụ</w:t>
      </w:r>
    </w:p>
    <w:p>
      <w:pPr>
        <w:pStyle w:val="Normal"/>
      </w:pPr>
      <w:r>
        <w:t xml:space="preserve"/>
      </w:r>
    </w:p>
    <w:p>
      <w:pPr>
        <w:pStyle w:val="Normal"/>
      </w:pPr>
      <w:r>
        <w:t xml:space="preserve">Mã tài liệu: TH-SRS-001</w:t>
      </w:r>
    </w:p>
    <w:p>
      <w:pPr>
        <w:pStyle w:val="Normal"/>
      </w:pPr>
      <w:r>
        <w:t xml:space="preserve">Phiên bản: 1.1</w:t>
      </w:r>
    </w:p>
    <w:p>
      <w:pPr>
        <w:pStyle w:val="Normal"/>
      </w:pPr>
      <w:r>
        <w:t xml:space="preserve">Ngày cập nhật: 12/09/2026</w:t>
      </w:r>
    </w:p>
    <w:p>
      <w:pPr>
        <w:pStyle w:val="Normal"/>
      </w:pPr>
      <w:r>
        <w:t xml:space="preserve">Trạng thái: Draft để khách hàng/BA review</w:t>
      </w:r>
    </w:p>
    <w:p>
      <w:pPr>
        <w:pStyle w:val="Normal"/>
      </w:pPr>
      <w:r>
        <w:t xml:space="preserve">Tài liệu gốc được giữ nguyên: Timehouse-SRS-v1.0.docx</w:t>
      </w:r>
    </w:p>
    <w:p>
      <w:pPr>
        <w:pStyle w:val="Normal"/>
      </w:pPr>
      <w:r>
        <w:t xml:space="preserve"/>
      </w:r>
    </w:p>
    <w:p>
      <w:pPr>
        <w:pStyle w:val="Heading2"/>
      </w:pPr>
      <w:r>
        <w:t xml:space="preserve">1. Nguồn và thứ tự ưu tiên</w:t>
      </w:r>
    </w:p>
    <w:p>
      <w:pPr>
        <w:pStyle w:val="Normal"/>
      </w:pPr>
      <w:r>
        <w:t xml:space="preserve"/>
      </w:r>
    </w:p>
    <w:p>
      <w:pPr>
        <w:pStyle w:val="Normal"/>
      </w:pPr>
      <w:r>
        <w:t xml:space="preserve">1. Cột **Trả lời của khách hàng** tại sheet `Câu hỏi làm rõ nghiệp vụ`, workbook `Cau-hoi-lam-ro-nghiep-vu-Timehouse (1).xlsx` là nguồn xác nhận.</w:t>
      </w:r>
    </w:p>
    <w:p>
      <w:pPr>
        <w:pStyle w:val="Normal"/>
      </w:pPr>
      <w:r>
        <w:t xml:space="preserve">2. Workbook `nội dung làm web Timehouse 31.8.2026.xlsx` là nguồn mô tả trường, danh mục và báo cáo; truy vết theo `sheet + dòng Excel`.</w:t>
      </w:r>
    </w:p>
    <w:p>
      <w:pPr>
        <w:pStyle w:val="Normal"/>
      </w:pPr>
      <w:r>
        <w:t xml:space="preserve">3. Sheet `ZALO` và `SO SÁNH CP ZALO` chỉ là tài liệu tham khảo. Nội dung không có trong cột trả lời của khách hàng phải mang nhãn `BA-ĐỀ-XUẤT` hoặc `TBD`.</w:t>
      </w:r>
    </w:p>
    <w:p>
      <w:pPr>
        <w:pStyle w:val="Normal"/>
      </w:pPr>
      <w:r>
        <w:t xml:space="preserve">4. Nếu nội dung v1.0 mâu thuẫn với phụ lục này, phụ lục v1.1 được ưu tiên. Công thức chưa được xác nhận không được tự tính.</w:t>
      </w:r>
    </w:p>
    <w:p>
      <w:pPr>
        <w:pStyle w:val="Normal"/>
      </w:pPr>
      <w:r>
        <w:t xml:space="preserve"/>
      </w:r>
    </w:p>
    <w:p>
      <w:pPr>
        <w:pStyle w:val="Heading2"/>
      </w:pPr>
      <w:r>
        <w:t xml:space="preserve">2. Lịch sử thay đổi</w:t>
      </w:r>
    </w:p>
    <w:p>
      <w:pPr>
        <w:pStyle w:val="Normal"/>
      </w:pPr>
      <w:r>
        <w:t xml:space="preserve"/>
      </w:r>
    </w:p>
    <w:p>
      <w:pPr>
        <w:pStyle w:val="TableText"/>
      </w:pPr>
      <w:r>
        <w:t xml:space="preserve">Phiên bản | Ngày | Thay đổi</w:t>
      </w:r>
    </w:p>
    <w:p>
      <w:pPr>
        <w:pStyle w:val="TableText"/>
      </w:pPr>
      <w:r>
        <w:t xml:space="preserve">1.0 | 08/09/2026 | Baseline ban đầu theo phân tích nghiệp vụ v05.</w:t>
      </w:r>
    </w:p>
    <w:p>
      <w:pPr>
        <w:pStyle w:val="TableText"/>
      </w:pPr>
      <w:r>
        <w:t xml:space="preserve">1.1 | 12/09/2026 | Đối chiếu trực tiếp hai workbook; sửa mâu thuẫn Qxx; bổ sung xe, dịch vụ, chi phí, kinh doanh, nhân sự, báo cáo, bảo trì và hội thoại Zalo.</w:t>
      </w:r>
    </w:p>
    <w:p>
      <w:pPr>
        <w:pStyle w:val="Normal"/>
      </w:pPr>
      <w:r>
        <w:t xml:space="preserve"/>
      </w:r>
    </w:p>
    <w:p>
      <w:pPr>
        <w:pStyle w:val="Heading2"/>
      </w:pPr>
      <w:r>
        <w:t xml:space="preserve">3. Quyết định nghiệp vụ được xác nhận</w:t>
      </w:r>
    </w:p>
    <w:p>
      <w:pPr>
        <w:pStyle w:val="Normal"/>
      </w:pPr>
      <w:r>
        <w:t xml:space="preserve"/>
      </w:r>
    </w:p>
    <w:p>
      <w:pPr>
        <w:pStyle w:val="Normal"/>
      </w:pPr>
      <w:r>
        <w:t xml:space="preserve">• **Q02:** T/S/G là ký hiệu mã tòa, không phải loại nhà.</w:t>
      </w:r>
    </w:p>
    <w:p>
      <w:pPr>
        <w:pStyle w:val="Normal"/>
      </w:pPr>
      <w:r>
        <w:t xml:space="preserve">• **Q05:** chủ nhà không được tăng giá thuê của Timehouse trong thời gian giữ giá.</w:t>
      </w:r>
    </w:p>
    <w:p>
      <w:pPr>
        <w:pStyle w:val="Normal"/>
      </w:pPr>
      <w:r>
        <w:t xml:space="preserve">• **Q08:** chu kỳ trả chủ nhà cấu hình theo tòa, nhận một trong 3/4/6 tháng.</w:t>
      </w:r>
    </w:p>
    <w:p>
      <w:pPr>
        <w:pStyle w:val="Normal"/>
      </w:pPr>
      <w:r>
        <w:t xml:space="preserve">• **Q09:** cảnh báo hết hợp đồng trước 35 ngày áp dụng toàn hệ thống.</w:t>
      </w:r>
    </w:p>
    <w:p>
      <w:pPr>
        <w:pStyle w:val="Normal"/>
      </w:pPr>
      <w:r>
        <w:t xml:space="preserve">• **Q12:** không giới hạn số xe; xe liên kết khách/hợp đồng, thời gian hiệu lực và phí hóa đơn.</w:t>
      </w:r>
    </w:p>
    <w:p>
      <w:pPr>
        <w:pStyle w:val="Normal"/>
      </w:pPr>
      <w:r>
        <w:t xml:space="preserve">• **Q14:** bắt đầu xử lý công nợ sau mốc 5 ngày. Điểm neo của 5 ngày vẫn là `TBD` cho tới khi chốt ngày phát hành hay hạn thanh toán.</w:t>
      </w:r>
    </w:p>
    <w:p>
      <w:pPr>
        <w:pStyle w:val="Normal"/>
      </w:pPr>
      <w:r>
        <w:t xml:space="preserve">• **Q18:** nguồn khách baseline gồm Facebook, Tờ rơi, Đăng tin, Zalo.</w:t>
      </w:r>
    </w:p>
    <w:p>
      <w:pPr>
        <w:pStyle w:val="Normal"/>
      </w:pPr>
      <w:r>
        <w:t xml:space="preserve">• **Q19–Q20:** hoa hồng thuộc một Sale cá nhân; đủ điều kiện khi hợp đồng có hiệu lực và đã thu đủ một cọc. Phần trăm và cơ sở nhân là `TBD`.</w:t>
      </w:r>
    </w:p>
    <w:p>
      <w:pPr>
        <w:pStyle w:val="Normal"/>
      </w:pPr>
      <w:r>
        <w:t xml:space="preserve">• **Q27:** trạng thái nhân sự gồm Đang làm, Thử việc, Nghỉ việc.</w:t>
      </w:r>
    </w:p>
    <w:p>
      <w:pPr>
        <w:pStyle w:val="Normal"/>
      </w:pPr>
      <w:r>
        <w:t xml:space="preserve">• **Q32–Q33:** bảo trì nhắc trước 7 ngày; kiểm kê hàng tháng do Admin/Kế toán phụ trách.</w:t>
      </w:r>
    </w:p>
    <w:p>
      <w:pPr>
        <w:pStyle w:val="Normal"/>
      </w:pPr>
      <w:r>
        <w:t xml:space="preserve">• **Q35–Q37:** luồng cá nhân hóa dùng ZNS/ZBS; hội thoại đồng bộ hai chiều và gắn Trưởng phòng phụ trách. Broadcast và fallback SMS chưa được xác nhận.</w:t>
      </w:r>
    </w:p>
    <w:p>
      <w:pPr>
        <w:pStyle w:val="Normal"/>
      </w:pPr>
      <w:r>
        <w:t xml:space="preserve"/>
      </w:r>
    </w:p>
    <w:p>
      <w:pPr>
        <w:pStyle w:val="Heading2"/>
      </w:pPr>
      <w:r>
        <w:t xml:space="preserve">4. Nội dung v1.0 được thay thế</w:t>
      </w:r>
    </w:p>
    <w:p>
      <w:pPr>
        <w:pStyle w:val="Normal"/>
      </w:pPr>
      <w:r>
        <w:t xml:space="preserve"/>
      </w:r>
    </w:p>
    <w:p>
      <w:pPr>
        <w:pStyle w:val="TableText"/>
      </w:pPr>
      <w:r>
        <w:t xml:space="preserve">Vị trí | Nội dung v1.1 có hiệu lực</w:t>
      </w:r>
    </w:p>
    <w:p>
      <w:pPr>
        <w:pStyle w:val="TableText"/>
      </w:pPr>
      <w:r>
        <w:t xml:space="preserve">FR-FIN-07 | Người duyệt/từ chối hoàn cọc là Admin hoặc Kế toán. NV vận hành được lập hồ sơ nháp theo phạm vi nhưng không duyệt và không ghi thực chi.</w:t>
      </w:r>
    </w:p>
    <w:p>
      <w:pPr>
        <w:pStyle w:val="TableText"/>
      </w:pPr>
      <w:r>
        <w:t xml:space="preserve">FR-MNT-02 | Đợt kiểm kê là hàng tháng; Admin/Kế toán phụ trách. Phân vai tạo, nhập, review chi tiết vẫn TBD.</w:t>
      </w:r>
    </w:p>
    <w:p>
      <w:pPr>
        <w:pStyle w:val="TableText"/>
      </w:pPr>
      <w:r>
        <w:t xml:space="preserve">FR-ZAL-05 | Hệ thống lưu và hiển thị nội dung hội thoại hai chiều theo quyền; gắn khách, hợp đồng/phòng, Trưởng phòng và lịch sử xử lý.</w:t>
      </w:r>
    </w:p>
    <w:p>
      <w:pPr>
        <w:pStyle w:val="TableText"/>
      </w:pPr>
      <w:r>
        <w:t xml:space="preserve">FR-SAL-03 | Bỏ điều kiện thu đủ tháng đầu. Điều kiện đủ là hợp đồng hiệu lực và thu đủ một cọc; số tiền hoa hồng chỉ được tính sau khi BA duyệt công thức.</w:t>
      </w:r>
    </w:p>
    <w:p>
      <w:pPr>
        <w:pStyle w:val="TableText"/>
      </w:pPr>
      <w:r>
        <w:t xml:space="preserve">FR-SAL-01 | Danh mục nguồn khách chỉ gồm Facebook, Tờ rơi, Đăng tin, Zalo.</w:t>
      </w:r>
    </w:p>
    <w:p>
      <w:pPr>
        <w:pStyle w:val="TableText"/>
      </w:pPr>
      <w:r>
        <w:t xml:space="preserve">FR-HR-01 | Trạng thái nhân sự chỉ gồm Đang làm, Thử việc, Nghỉ việc.</w:t>
      </w:r>
    </w:p>
    <w:p>
      <w:pPr>
        <w:pStyle w:val="TableText"/>
      </w:pPr>
      <w:r>
        <w:t xml:space="preserve">FR-ZAL-01/04 | ZBS Template Message là kênh cá nhân hóa chính. OA Broadcast là Chưa xác nhận; fallback là Chưa chọn phương án, không mặc định SMS.</w:t>
      </w:r>
    </w:p>
    <w:p>
      <w:pPr>
        <w:pStyle w:val="Normal"/>
      </w:pPr>
      <w:r>
        <w:t xml:space="preserve"/>
      </w:r>
    </w:p>
    <w:p>
      <w:pPr>
        <w:pStyle w:val="Heading2"/>
      </w:pPr>
      <w:r>
        <w:t xml:space="preserve">5. Yêu cầu chức năng bổ sung</w:t>
      </w:r>
    </w:p>
    <w:p>
      <w:pPr>
        <w:pStyle w:val="Normal"/>
      </w:pPr>
      <w:r>
        <w:t xml:space="preserve"/>
      </w:r>
    </w:p>
    <w:p>
      <w:pPr>
        <w:pStyle w:val="Heading3"/>
      </w:pPr>
      <w:r>
        <w:t xml:space="preserve">FR-BLD-06 — Hồ sơ chủ nhà và pháp lý</w:t>
      </w:r>
    </w:p>
    <w:p>
      <w:pPr>
        <w:pStyle w:val="Normal"/>
      </w:pPr>
      <w:r>
        <w:t xml:space="preserve"/>
      </w:r>
    </w:p>
    <w:p>
      <w:pPr>
        <w:pStyle w:val="Normal"/>
      </w:pPr>
      <w:r>
        <w:t xml:space="preserve">Lưu thông tin cá nhân/pháp lý, liên hệ, địa chỉ, thuế và tài khoản nhận tiền của chủ nhà. Trường chỉ được bắt buộc khi có bằng chứng từ Excel/hợp đồng. Tòa hiển thị chu kỳ trả chủ nhà, thời gian giữ giá, thời gian vận hành và trạng thái PCCC/sổ đỏ.</w:t>
      </w:r>
    </w:p>
    <w:p>
      <w:pPr>
        <w:pStyle w:val="Normal"/>
      </w:pPr>
      <w:r>
        <w:t xml:space="preserve"/>
      </w:r>
    </w:p>
    <w:p>
      <w:pPr>
        <w:pStyle w:val="Heading3"/>
      </w:pPr>
      <w:r>
        <w:t xml:space="preserve">FR-BLD-07 — Lịch sử phân công tòa</w:t>
      </w:r>
    </w:p>
    <w:p>
      <w:pPr>
        <w:pStyle w:val="Normal"/>
      </w:pPr>
      <w:r>
        <w:t xml:space="preserve"/>
      </w:r>
    </w:p>
    <w:p>
      <w:pPr>
        <w:pStyle w:val="Normal"/>
      </w:pPr>
      <w:r>
        <w:t xml:space="preserve">Lưu Trưởng nhóm, NV vận hành, NV vệ sinh, NV kỹ thuật cùng ngày bắt đầu/kết thúc và trạng thái. Mọi thay đổi phải giữ lịch sử hiệu lực và kiểm tra phạm vi tòa.</w:t>
      </w:r>
    </w:p>
    <w:p>
      <w:pPr>
        <w:pStyle w:val="Normal"/>
      </w:pPr>
      <w:r>
        <w:t xml:space="preserve"/>
      </w:r>
    </w:p>
    <w:p>
      <w:pPr>
        <w:pStyle w:val="Heading3"/>
      </w:pPr>
      <w:r>
        <w:t xml:space="preserve">FR-DOC-03 — Tài liệu theo phạm vi</w:t>
      </w:r>
    </w:p>
    <w:p>
      <w:pPr>
        <w:pStyle w:val="Normal"/>
      </w:pPr>
      <w:r>
        <w:t xml:space="preserve"/>
      </w:r>
    </w:p>
    <w:p>
      <w:pPr>
        <w:pStyle w:val="Normal"/>
      </w:pPr>
      <w:r>
        <w:t xml:space="preserve">Tài liệu hỗ trợ hợp đồng khách và hợp đồng chủ nhà; PCCC/sổ đỏ gắn hồ sơ tòa/chủ nhà. Admin/Kế toán xem toàn bộ; nhân viên nội bộ tải lên trong phạm vi được giao; cổ đông không truy cập tài liệu nhạy cảm.</w:t>
      </w:r>
    </w:p>
    <w:p>
      <w:pPr>
        <w:pStyle w:val="Normal"/>
      </w:pPr>
      <w:r>
        <w:t xml:space="preserve"/>
      </w:r>
    </w:p>
    <w:p>
      <w:pPr>
        <w:pStyle w:val="Heading3"/>
      </w:pPr>
      <w:r>
        <w:t xml:space="preserve">FR-CUS-06 — Phương tiện</w:t>
      </w:r>
    </w:p>
    <w:p>
      <w:pPr>
        <w:pStyle w:val="Normal"/>
      </w:pPr>
      <w:r>
        <w:t xml:space="preserve"/>
      </w:r>
    </w:p>
    <w:p>
      <w:pPr>
        <w:pStyle w:val="Normal"/>
      </w:pPr>
      <w:r>
        <w:t xml:space="preserve">Một hợp đồng có không giới hạn phương tiện. Mỗi phương tiện có khách, hợp đồng, loại xe, biển số, ngày vào/ra, dịch vụ tính phí và trạng thái. Không cho phép cùng biển số đang hiệu lực bị khai báo trùng trong một hợp đồng.</w:t>
      </w:r>
    </w:p>
    <w:p>
      <w:pPr>
        <w:pStyle w:val="Normal"/>
      </w:pPr>
      <w:r>
        <w:t xml:space="preserve"/>
      </w:r>
    </w:p>
    <w:p>
      <w:pPr>
        <w:pStyle w:val="Heading3"/>
      </w:pPr>
      <w:r>
        <w:t xml:space="preserve">FR-FIN-09 — Snapshot phí phương tiện</w:t>
      </w:r>
    </w:p>
    <w:p>
      <w:pPr>
        <w:pStyle w:val="Normal"/>
      </w:pPr>
      <w:r>
        <w:t xml:space="preserve"/>
      </w:r>
    </w:p>
    <w:p>
      <w:pPr>
        <w:pStyle w:val="Normal"/>
      </w:pPr>
      <w:r>
        <w:t xml:space="preserve">Phí gửi xe dùng số phương tiện có hiệu lực trong kỳ. Hóa đơn phát hành giữ snapshot số lượng, đơn giá, nguồn dịch vụ và không hồi tố khi xe thay đổi.</w:t>
      </w:r>
    </w:p>
    <w:p>
      <w:pPr>
        <w:pStyle w:val="Normal"/>
      </w:pPr>
      <w:r>
        <w:t xml:space="preserve"/>
      </w:r>
    </w:p>
    <w:p>
      <w:pPr>
        <w:pStyle w:val="Heading3"/>
      </w:pPr>
      <w:r>
        <w:t xml:space="preserve">FR-FIN-10 — Danh mục dịch vụ đầy đủ</w:t>
      </w:r>
    </w:p>
    <w:p>
      <w:pPr>
        <w:pStyle w:val="Normal"/>
      </w:pPr>
      <w:r>
        <w:t xml:space="preserve"/>
      </w:r>
    </w:p>
    <w:p>
      <w:pPr>
        <w:pStyle w:val="Normal"/>
      </w:pPr>
      <w:r>
        <w:t xml:space="preserve">Danh mục baseline gồm Điện, Nước, Mạng, Thang máy, Dịch vụ chung, Sạc xe điện, Gửi xe. Giá chung theo tòa và giá đã chốt theo hợp đồng là hai loại dữ liệu riêng, đều có ngày hiệu lực.</w:t>
      </w:r>
    </w:p>
    <w:p>
      <w:pPr>
        <w:pStyle w:val="Normal"/>
      </w:pPr>
      <w:r>
        <w:t xml:space="preserve"/>
      </w:r>
    </w:p>
    <w:p>
      <w:pPr>
        <w:pStyle w:val="Heading3"/>
      </w:pPr>
      <w:r>
        <w:t xml:space="preserve">FR-FIN-11 — Hóa đơn và công nợ hàng nghìn dòng</w:t>
      </w:r>
    </w:p>
    <w:p>
      <w:pPr>
        <w:pStyle w:val="Normal"/>
      </w:pPr>
      <w:r>
        <w:t xml:space="preserve"/>
      </w:r>
    </w:p>
    <w:p>
      <w:pPr>
        <w:pStyle w:val="Normal"/>
      </w:pPr>
      <w:r>
        <w:t xml:space="preserve">Danh sách hiển thị phòng/tòa, quản lý, cọc, giá niêm yết, giá thuê, số tháng thanh toán, tổng phải thu, đã thu, còn nợ, ngày thu gần nhất, hạn, trạng thái chứng từ và trạng thái thu. Bộ lọc gồm ký hiệu T/S/G, tòa, khu vực, quản lý, trưởng nhóm, trạng thái chứng từ, trạng thái thu và hạn. Công nợ ưu tiên mã phòng/tòa; tên khách chỉ xuất hiện ở chi tiết có quyền.</w:t>
      </w:r>
    </w:p>
    <w:p>
      <w:pPr>
        <w:pStyle w:val="Normal"/>
      </w:pPr>
      <w:r>
        <w:t xml:space="preserve"/>
      </w:r>
    </w:p>
    <w:p>
      <w:pPr>
        <w:pStyle w:val="Heading3"/>
      </w:pPr>
      <w:r>
        <w:t xml:space="preserve">FR-FIN-12 — Danh mục chi phí phân cấp</w:t>
      </w:r>
    </w:p>
    <w:p>
      <w:pPr>
        <w:pStyle w:val="Normal"/>
      </w:pPr>
      <w:r>
        <w:t xml:space="preserve"/>
      </w:r>
    </w:p>
    <w:p>
      <w:pPr>
        <w:pStyle w:val="Normal"/>
      </w:pPr>
      <w:r>
        <w:t xml:space="preserve">Chi phí có kỳ, tòa, nhóm, tiểu mục, chứng từ, cách ghi nhận và phân bổ. Danh mục gồm giá vốn/tiền thuê nhà; mua sắm thiết bị; giá gốc điện/nước/mạng/rác/môi trường/bảo trì thang máy; chi phí vận hành và lương; marketing/bán hàng; sửa chữa/thay thế/bảo trì; chi phí khác.</w:t>
      </w:r>
    </w:p>
    <w:p>
      <w:pPr>
        <w:pStyle w:val="Normal"/>
      </w:pPr>
      <w:r>
        <w:t xml:space="preserve"/>
      </w:r>
    </w:p>
    <w:p>
      <w:pPr>
        <w:pStyle w:val="Heading3"/>
      </w:pPr>
      <w:r>
        <w:t xml:space="preserve">FR-SAL-04 — Tổng quan kinh doanh</w:t>
      </w:r>
    </w:p>
    <w:p>
      <w:pPr>
        <w:pStyle w:val="Normal"/>
      </w:pPr>
      <w:r>
        <w:t xml:space="preserve"/>
      </w:r>
    </w:p>
    <w:p>
      <w:pPr>
        <w:pStyle w:val="Normal"/>
      </w:pPr>
      <w:r>
        <w:t xml:space="preserve">Hiển thị phòng đã chốt, đã nhận, phát sinh hoàn cọc/phá hợp đồng và phòng chờ xử lý. Giao dịch lưu ngày phát sinh, phòng/tòa, quản lý, SĐT, cọc, giá chốt, ngày tính tiền, thời hạn, nguồn, tình trạng thu, Sale, team, hoa hồng, trạng thái phòng và ghi chú.</w:t>
      </w:r>
    </w:p>
    <w:p>
      <w:pPr>
        <w:pStyle w:val="Normal"/>
      </w:pPr>
      <w:r>
        <w:t xml:space="preserve"/>
      </w:r>
    </w:p>
    <w:p>
      <w:pPr>
        <w:pStyle w:val="Heading3"/>
      </w:pPr>
      <w:r>
        <w:t xml:space="preserve">FR-SAL-05 — Thống kê khách</w:t>
      </w:r>
    </w:p>
    <w:p>
      <w:pPr>
        <w:pStyle w:val="Normal"/>
      </w:pPr>
      <w:r>
        <w:t xml:space="preserve"/>
      </w:r>
    </w:p>
    <w:p>
      <w:pPr>
        <w:pStyle w:val="Normal"/>
      </w:pPr>
      <w:r>
        <w:t xml:space="preserve">Thống kê theo Sale, nguồn, khu vực, ngày chuyển khách và trạng thái xem/chốt. Team chỉ dùng để lọc/báo cáo; người hưởng hoa hồng là một Sale cá nhân.</w:t>
      </w:r>
    </w:p>
    <w:p>
      <w:pPr>
        <w:pStyle w:val="Normal"/>
      </w:pPr>
      <w:r>
        <w:t xml:space="preserve"/>
      </w:r>
    </w:p>
    <w:p>
      <w:pPr>
        <w:pStyle w:val="Heading3"/>
      </w:pPr>
      <w:r>
        <w:t xml:space="preserve">FR-HR-03 — Hồ sơ và phạm vi nhân sự</w:t>
      </w:r>
    </w:p>
    <w:p>
      <w:pPr>
        <w:pStyle w:val="Normal"/>
      </w:pPr>
      <w:r>
        <w:t xml:space="preserve"/>
      </w:r>
    </w:p>
    <w:p>
      <w:pPr>
        <w:pStyle w:val="Normal"/>
      </w:pPr>
      <w:r>
        <w:t xml:space="preserve">Hồ sơ có phòng ban, chức vụ, ngày vào làm, thâm niên, trạng thái, số tòa và số phòng đang quản lý. Phòng ban gồm Kinh doanh, Vận hành, Kỹ thuật, Thị trường, TC-KT.</w:t>
      </w:r>
    </w:p>
    <w:p>
      <w:pPr>
        <w:pStyle w:val="Normal"/>
      </w:pPr>
      <w:r>
        <w:t xml:space="preserve"/>
      </w:r>
    </w:p>
    <w:p>
      <w:pPr>
        <w:pStyle w:val="Heading3"/>
      </w:pPr>
      <w:r>
        <w:t xml:space="preserve">FR-REP-06 — Review báo cáo chưa có công thức</w:t>
      </w:r>
    </w:p>
    <w:p>
      <w:pPr>
        <w:pStyle w:val="Normal"/>
      </w:pPr>
      <w:r>
        <w:t xml:space="preserve"/>
      </w:r>
    </w:p>
    <w:p>
      <w:pPr>
        <w:pStyle w:val="Normal"/>
      </w:pPr>
      <w:r>
        <w:t xml:space="preserve">Báo cáo chia Điều hành, Vận hành, Kinh doanh và Đầu tư. Chỉ tiêu chưa có công thức chỉ hiển thị dữ liệu nguồn, thời điểm dữ liệu và phần còn thiếu; hỗ trợ Ghi nhận giả định, Tải dữ liệu đối chiếu, Đánh dấu đã review. Không hiển thị kết quả hoặc phần trăm giả.</w:t>
      </w:r>
    </w:p>
    <w:p>
      <w:pPr>
        <w:pStyle w:val="Normal"/>
      </w:pPr>
      <w:r>
        <w:t xml:space="preserve"/>
      </w:r>
    </w:p>
    <w:p>
      <w:pPr>
        <w:pStyle w:val="Heading3"/>
      </w:pPr>
      <w:r>
        <w:t xml:space="preserve">FR-MNT-04 — Danh mục thiết bị bảo trì</w:t>
      </w:r>
    </w:p>
    <w:p>
      <w:pPr>
        <w:pStyle w:val="Normal"/>
      </w:pPr>
      <w:r>
        <w:t xml:space="preserve"/>
      </w:r>
    </w:p>
    <w:p>
      <w:pPr>
        <w:pStyle w:val="Normal"/>
      </w:pPr>
      <w:r>
        <w:t xml:space="preserve">Danh mục gồm thang máy, máy bơm, máy giặt/vệ sinh giặt, máy lọc nước và tài sản décor. Cảnh báo được tạo trước ngày dự kiến 7 ngày; lịch hủy không sinh cảnh báo mới.</w:t>
      </w:r>
    </w:p>
    <w:p>
      <w:pPr>
        <w:pStyle w:val="Normal"/>
      </w:pPr>
      <w:r>
        <w:t xml:space="preserve"/>
      </w:r>
    </w:p>
    <w:p>
      <w:pPr>
        <w:pStyle w:val="Heading3"/>
      </w:pPr>
      <w:r>
        <w:t xml:space="preserve">FR-ZAL-06 — Hội thoại hai chiều</w:t>
      </w:r>
    </w:p>
    <w:p>
      <w:pPr>
        <w:pStyle w:val="Normal"/>
      </w:pPr>
      <w:r>
        <w:t xml:space="preserve"/>
      </w:r>
    </w:p>
    <w:p>
      <w:pPr>
        <w:pStyle w:val="Normal"/>
      </w:pPr>
      <w:r>
        <w:t xml:space="preserve">Lưu nội dung đến/đi, khách, hợp đồng/phòng, Trưởng phòng phụ trách, mã nhà cung cấp và lịch sử xử lý. Tin gửi thành công không được dùng làm bằng chứng đã thanh toán.</w:t>
      </w:r>
    </w:p>
    <w:p>
      <w:pPr>
        <w:pStyle w:val="Normal"/>
      </w:pPr>
      <w:r>
        <w:t xml:space="preserve"/>
      </w:r>
    </w:p>
    <w:p>
      <w:pPr>
        <w:pStyle w:val="Heading2"/>
      </w:pPr>
      <w:r>
        <w:t xml:space="preserve">6. Yêu cầu dữ liệu và migration</w:t>
      </w:r>
    </w:p>
    <w:p>
      <w:pPr>
        <w:pStyle w:val="Normal"/>
      </w:pPr>
      <w:r>
        <w:t xml:space="preserve"/>
      </w:r>
    </w:p>
    <w:p>
      <w:pPr>
        <w:pStyle w:val="Normal"/>
      </w:pPr>
      <w:r>
        <w:t xml:space="preserve">• Schema nghiệp vụ nâng từ 6 lên 7 và phải giữ toàn bộ dữ liệu v6.</w:t>
      </w:r>
    </w:p>
    <w:p>
      <w:pPr>
        <w:pStyle w:val="Normal"/>
      </w:pPr>
      <w:r>
        <w:t xml:space="preserve">• Collection mới: `vehicles`, `buildingAssignments`, `reportReviews`, `expenseAllocations`.</w:t>
      </w:r>
    </w:p>
    <w:p>
      <w:pPr>
        <w:pStyle w:val="Normal"/>
      </w:pPr>
      <w:r>
        <w:t xml:space="preserve">• Hóa đơn lưu snapshot giá thuê, dịch vụ và số xe theo kỳ.</w:t>
      </w:r>
    </w:p>
    <w:p>
      <w:pPr>
        <w:pStyle w:val="Normal"/>
      </w:pPr>
      <w:r>
        <w:t xml:space="preserve">• Tác vụ import và action có khóa idempotency; chạy lại không tạo trùng.</w:t>
      </w:r>
    </w:p>
    <w:p>
      <w:pPr>
        <w:pStyle w:val="Normal"/>
      </w:pPr>
      <w:r>
        <w:t xml:space="preserve">• Bảng mặc định 20 dòng, chọn 20/50/100; bộ lọc giữ khi đổi trang.</w:t>
      </w:r>
    </w:p>
    <w:p>
      <w:pPr>
        <w:pStyle w:val="Normal"/>
      </w:pPr>
      <w:r>
        <w:t xml:space="preserve"/>
      </w:r>
    </w:p>
    <w:p>
      <w:pPr>
        <w:pStyle w:val="Heading2"/>
      </w:pPr>
      <w:r>
        <w:t xml:space="preserve">7. Phần còn mở</w:t>
      </w:r>
    </w:p>
    <w:p>
      <w:pPr>
        <w:pStyle w:val="Normal"/>
      </w:pPr>
      <w:r>
        <w:t xml:space="preserve"/>
      </w:r>
    </w:p>
    <w:p>
      <w:pPr>
        <w:pStyle w:val="Normal"/>
      </w:pPr>
      <w:r>
        <w:t xml:space="preserve">• Q07, Q11, Q16, Q24, Q26, Q28 chưa có câu trả lời dùng để baseline.</w:t>
      </w:r>
    </w:p>
    <w:p>
      <w:pPr>
        <w:pStyle w:val="Normal"/>
      </w:pPr>
      <w:r>
        <w:t xml:space="preserve">• Workbook thiếu STT 4; không tự tạo câu hỏi thay thế.</w:t>
      </w:r>
    </w:p>
    <w:p>
      <w:pPr>
        <w:pStyle w:val="Normal"/>
      </w:pPr>
      <w:r>
        <w:t xml:space="preserve">• Định dạng/độ tin cậy OCR; điểm neo mốc công nợ 5 ngày; công thức lợi nhuận, hiệu suất, lương, khấu hao, hoa hồng và phân phối cổ đông tiếp tục `TBD`.</w:t>
      </w:r>
    </w:p>
    <w:p>
      <w:pPr>
        <w:pStyle w:val="Normal"/>
      </w:pPr>
      <w:r>
        <w:t xml:space="preserve">• Broadcast, phương án fallback, giới hạn retry/giờ gửi và ngừng nhận tin chưa được xác nhận.</w:t>
      </w:r>
    </w:p>
    <w:p>
      <w:pPr>
        <w:pStyle w:val="Normal"/>
      </w:pPr>
      <w:r>
        <w:t xml:space="preserve"/>
      </w:r>
    </w:p>
    <w:p>
      <w:pPr>
        <w:pStyle w:val="Heading2"/>
      </w:pPr>
      <w:r>
        <w:t xml:space="preserve">8. Truy vết Excel → Qxx → yêu cầu → UI → test</w:t>
      </w:r>
    </w:p>
    <w:p>
      <w:pPr>
        <w:pStyle w:val="Normal"/>
      </w:pPr>
      <w:r>
        <w:t xml:space="preserve"/>
      </w:r>
    </w:p>
    <w:p>
      <w:pPr>
        <w:pStyle w:val="TableText"/>
      </w:pPr>
      <w:r>
        <w:t xml:space="preserve">Nguồn | Qxx | FR/BR/OI | Màn hình/action | Kiểm thử</w:t>
      </w:r>
    </w:p>
    <w:p>
      <w:pPr>
        <w:pStyle w:val="TableText"/>
      </w:pPr>
      <w:r>
        <w:t xml:space="preserve">TỔNG QUAN dòng 1–18 | Q02, Q05, Q08 | FR-BLD-06/07, BR-11 | Tòa, chủ nhà, phân công | excel-alignment.cjs, F12/F14</w:t>
      </w:r>
    </w:p>
    <w:p>
      <w:pPr>
        <w:pStyle w:val="TableText"/>
      </w:pPr>
      <w:r>
        <w:t xml:space="preserve">KHÁCH HÀNG dòng 1–14 | Q09–Q13 | FR-CUS-06, FR-FIN-09/10 | Hợp đồng, phương tiện, dịch vụ | excel-alignment.cjs, F01/F10</w:t>
      </w:r>
    </w:p>
    <w:p>
      <w:pPr>
        <w:pStyle w:val="TableText"/>
      </w:pPr>
      <w:r>
        <w:t xml:space="preserve">TÀI CHÍNH CHUNG dòng 1–27 | Q14–Q17 | FR-FIN-07/11/12, OI-08/11 | Hóa đơn, công nợ, chi phí | actions.cjs, F02/F03/F04</w:t>
      </w:r>
    </w:p>
    <w:p>
      <w:pPr>
        <w:pStyle w:val="TableText"/>
      </w:pPr>
      <w:r>
        <w:t xml:space="preserve">KINH DOANH dòng 1–41 | Q18–Q20 | FR-SAL-01/03/04/05, OI-14 | Tổng quan KD, lead, giao dịch | excel-alignment.cjs, F13</w:t>
      </w:r>
    </w:p>
    <w:p>
      <w:pPr>
        <w:pStyle w:val="TableText"/>
      </w:pPr>
      <w:r>
        <w:t xml:space="preserve">NHÂN SỰ dòng 1–20 | Q26–Q27 | FR-HR-01/03, OI-15 | Hồ sơ, phân công, review lương | excel-alignment.cjs, F14</w:t>
      </w:r>
    </w:p>
    <w:p>
      <w:pPr>
        <w:pStyle w:val="TableText"/>
      </w:pPr>
      <w:r>
        <w:t xml:space="preserve">BÁO CÁO dòng 1–24 | Q07, Q16, Q22–Q25 | FR-REP-01–06, OI-10/12/13 | 4 nhóm báo cáo, review TBD | excel-alignment.cjs, F15</w:t>
      </w:r>
    </w:p>
    <w:p>
      <w:pPr>
        <w:pStyle w:val="TableText"/>
      </w:pPr>
      <w:r>
        <w:t xml:space="preserve">CỔ ĐÔNG dòng 1–15 | Q28–Q31 | FR-SHR-01–04, OI-17 | Nghĩa vụ, vốn góp, phân phối TBD | actions.cjs, F12/F15</w:t>
      </w:r>
    </w:p>
    <w:p>
      <w:pPr>
        <w:pStyle w:val="TableText"/>
      </w:pPr>
      <w:r>
        <w:t xml:space="preserve">BẢO TRÌ/KIỂM KÊ dòng 1–15 | Q32–Q33 | FR-MNT-01/02/04, OI-18 | Lịch bảo trì, kiểm kê tháng | actions.cjs, F06/F14</w:t>
      </w:r>
    </w:p>
    <w:p>
      <w:pPr>
        <w:pStyle w:val="TableText"/>
      </w:pPr>
      <w:r>
        <w:t xml:space="preserve">ZALO/CSKH dòng 1–20 | Q34–Q37 | FR-ZAL-01–06, OI-20/21 | Rule ZBS, đợt gửi, hội thoại | actions.cjs, F09/F05</w:t>
      </w:r>
    </w:p>
    <w:p>
      <w:pPr>
        <w:pStyle w:val="Normal"/>
      </w:pPr>
      <w:r>
        <w:t xml:space="preserve"/>
      </w:r>
    </w:p>
    <w:p>
      <w:pPr>
        <w:pStyle w:val="Normal"/>
      </w:pPr>
      <w:r>
        <w:br w:type="page"/>
      </w:r>
      <w:r>
        <w:t xml:space="preserve"/>
      </w:r>
    </w:p>
    <w:p>
      <w:pPr>
        <w:pStyle w:val="Heading1"/>
      </w:pPr>
      <w:r>
        <w:t xml:space="preserve">Timehouse SRS v1.2 — Generated Reports Delta</w:t>
      </w:r>
    </w:p>
    <w:p>
      <w:pPr>
        <w:pStyle w:val="Normal"/>
      </w:pPr>
      <w:r>
        <w:t xml:space="preserve"/>
      </w:r>
    </w:p>
    <w:p>
      <w:pPr>
        <w:pStyle w:val="Heading2"/>
      </w:pPr>
      <w:r>
        <w:t xml:space="preserve">1. Lịch sử và nguồn</w:t>
      </w:r>
    </w:p>
    <w:p>
      <w:pPr>
        <w:pStyle w:val="Normal"/>
      </w:pPr>
      <w:r>
        <w:t xml:space="preserve"/>
      </w:r>
    </w:p>
    <w:p>
      <w:pPr>
        <w:pStyle w:val="TableText"/>
      </w:pPr>
      <w:r>
        <w:t xml:space="preserve">Phiên bản | Ngày | Nội dung</w:t>
      </w:r>
    </w:p>
    <w:p>
      <w:pPr>
        <w:pStyle w:val="TableText"/>
      </w:pPr>
      <w:r>
        <w:t xml:space="preserve">1.2 | 12/09/2026 | Bổ sung danh mục đủ 20 báo cáo từ sheet BÁO CÁO, tạo báo cáo lẻ/bộ, lịch sử, phiên bản và tải XLSX.</w:t>
      </w:r>
    </w:p>
    <w:p>
      <w:pPr>
        <w:pStyle w:val="Normal"/>
      </w:pPr>
      <w:r>
        <w:t xml:space="preserve"/>
      </w:r>
    </w:p>
    <w:p>
      <w:pPr>
        <w:pStyle w:val="Normal"/>
      </w:pPr>
      <w:r>
        <w:t xml:space="preserve">Nguồn truy vết trực tiếp là workbook nội dung làm web Timehouse 31.8.2026.xlsx, sheet BÁO CÁO, dòng 1–23; các câu làm rõ Q07, Q16, Q22–Q25; và SRS v1.1. Nội dung chưa được trả lời vẫn là TBD.</w:t>
      </w:r>
    </w:p>
    <w:p>
      <w:pPr>
        <w:pStyle w:val="Normal"/>
      </w:pPr>
      <w:r>
        <w:t xml:space="preserve"/>
      </w:r>
    </w:p>
    <w:p>
      <w:pPr>
        <w:pStyle w:val="Heading2"/>
      </w:pPr>
      <w:r>
        <w:t xml:space="preserve">2. Yêu cầu chức năng bổ sung</w:t>
      </w:r>
    </w:p>
    <w:p>
      <w:pPr>
        <w:pStyle w:val="Normal"/>
      </w:pPr>
      <w:r>
        <w:t xml:space="preserve"/>
      </w:r>
    </w:p>
    <w:p>
      <w:pPr>
        <w:pStyle w:val="Heading3"/>
      </w:pPr>
      <w:r>
        <w:t xml:space="preserve">FR-REP-07 — Danh mục báo cáo</w:t>
      </w:r>
    </w:p>
    <w:p>
      <w:pPr>
        <w:pStyle w:val="Normal"/>
      </w:pPr>
      <w:r>
        <w:t xml:space="preserve"/>
      </w:r>
    </w:p>
    <w:p>
      <w:pPr>
        <w:pStyle w:val="Normal"/>
      </w:pPr>
      <w:r>
        <w:t xml:space="preserve">Hệ thống phải duy trì 20 mã báo cáo/biến thể từ Excel và một mã Bảng phân phối cổ đông bổ sung từ SRS. Mỗi mã có nhóm, mô tả, nguồn dữ liệu, bộ lọc, trường đầu ra và trạng thái công thức. Hiệu suất thực tế/tạm tính là hai mã độc lập; phân khúc khách hàng là một mã bắt buộc.</w:t>
      </w:r>
    </w:p>
    <w:p>
      <w:pPr>
        <w:pStyle w:val="Normal"/>
      </w:pPr>
      <w:r>
        <w:t xml:space="preserve"/>
      </w:r>
    </w:p>
    <w:p>
      <w:pPr>
        <w:pStyle w:val="Heading3"/>
      </w:pPr>
      <w:r>
        <w:t xml:space="preserve">FR-REP-08 — Tạo báo cáo</w:t>
      </w:r>
    </w:p>
    <w:p>
      <w:pPr>
        <w:pStyle w:val="Normal"/>
      </w:pPr>
      <w:r>
        <w:t xml:space="preserve"/>
      </w:r>
    </w:p>
    <w:p>
      <w:pPr>
        <w:pStyle w:val="Normal"/>
      </w:pPr>
      <w:r>
        <w:t xml:space="preserve">Admin/Kế toán được tạo một báo cáo hoặc bộ báo cáo theo kỳ. Luồng phải chọn loại, khoảng ngày, phạm vi, kiểm tra dữ liệu nguồn, xem trước tối đa 50 dòng và xác nhận. Tác vụ tạo file có tiến độ và kết quả thành công/lỗi.</w:t>
      </w:r>
    </w:p>
    <w:p>
      <w:pPr>
        <w:pStyle w:val="Normal"/>
      </w:pPr>
      <w:r>
        <w:t xml:space="preserve"/>
      </w:r>
    </w:p>
    <w:p>
      <w:pPr>
        <w:pStyle w:val="Heading3"/>
      </w:pPr>
      <w:r>
        <w:t xml:space="preserve">FR-REP-09 — File Excel và lịch sử</w:t>
      </w:r>
    </w:p>
    <w:p>
      <w:pPr>
        <w:pStyle w:val="Normal"/>
      </w:pPr>
      <w:r>
        <w:t xml:space="preserve"/>
      </w:r>
    </w:p>
    <w:p>
      <w:pPr>
        <w:pStyle w:val="Normal"/>
      </w:pPr>
      <w:r>
        <w:t xml:space="preserve">Báo cáo lẻ có ba sheet Thông tin, Tổng hợp, Dữ liệu nguồn. Bộ báo cáo có Mục lục và một sheet cho mỗi định nghĩa. Danh sách báo cáo đã tạo lưu kỳ, phạm vi, phiên bản, loại bản, số dòng, người tạo, thời gian, dung lượng, checksum và trạng thái; hỗ trợ tải lại XLSX.</w:t>
      </w:r>
    </w:p>
    <w:p>
      <w:pPr>
        <w:pStyle w:val="Normal"/>
      </w:pPr>
      <w:r>
        <w:t xml:space="preserve"/>
      </w:r>
    </w:p>
    <w:p>
      <w:pPr>
        <w:pStyle w:val="Heading3"/>
      </w:pPr>
      <w:r>
        <w:t xml:space="preserve">FR-REP-10 — Phiên bản, retry và chống trùng</w:t>
      </w:r>
    </w:p>
    <w:p>
      <w:pPr>
        <w:pStyle w:val="Normal"/>
      </w:pPr>
      <w:r>
        <w:t xml:space="preserve"/>
      </w:r>
    </w:p>
    <w:p>
      <w:pPr>
        <w:pStyle w:val="Normal"/>
      </w:pPr>
      <w:r>
        <w:t xml:space="preserve">Một request token chỉ tạo một báo cáo. Retry lỗi cập nhật đúng bản ghi/tác vụ. Người dùng chủ động tạo phiên bản mới thì version tăng, không ghi đè file cũ.</w:t>
      </w:r>
    </w:p>
    <w:p>
      <w:pPr>
        <w:pStyle w:val="Normal"/>
      </w:pPr>
      <w:r>
        <w:t xml:space="preserve"/>
      </w:r>
    </w:p>
    <w:p>
      <w:pPr>
        <w:pStyle w:val="Heading3"/>
      </w:pPr>
      <w:r>
        <w:t xml:space="preserve">FR-REP-11 — TBD, công bố và quyền</w:t>
      </w:r>
    </w:p>
    <w:p>
      <w:pPr>
        <w:pStyle w:val="Normal"/>
      </w:pPr>
      <w:r>
        <w:t xml:space="preserve"/>
      </w:r>
    </w:p>
    <w:p>
      <w:pPr>
        <w:pStyle w:val="Normal"/>
      </w:pPr>
      <w:r>
        <w:t xml:space="preserve">Báo cáo thiếu công thức vẫn được tạo dưới dạng Đối chiếu · TBD, có dữ liệu nguồn nhưng không có số kết quả chưa duyệt và không thể công bố. Admin/Kế toán được tạo, retry và công bố bản Chính thức. Trưởng phòng/Ban lãnh đạo chỉ xem/tải trong phạm vi. Quyền cổ đông giữ OI-16.</w:t>
      </w:r>
    </w:p>
    <w:p>
      <w:pPr>
        <w:pStyle w:val="Normal"/>
      </w:pPr>
      <w:r>
        <w:t xml:space="preserve"/>
      </w:r>
    </w:p>
    <w:p>
      <w:pPr>
        <w:pStyle w:val="Heading2"/>
      </w:pPr>
      <w:r>
        <w:t xml:space="preserve">3. Dữ liệu và lưu trữ</w:t>
      </w:r>
    </w:p>
    <w:p>
      <w:pPr>
        <w:pStyle w:val="Normal"/>
      </w:pPr>
      <w:r>
        <w:t xml:space="preserve"/>
      </w:r>
    </w:p>
    <w:p>
      <w:pPr>
        <w:pStyle w:val="Normal"/>
      </w:pPr>
      <w:r>
        <w:t xml:space="preserve">Schema 8 thêm collection generatedReports gồm reportCode, reportCodes, mode, period, filters, version, kind, publicationStatus, createdBy, createdAt, status, progress, requestToken, sourceSnapshotAt, sourceRowCount, fileKey, fileName, fileSize, checksum, generatedAt, lastError.</w:t>
      </w:r>
    </w:p>
    <w:p>
      <w:pPr>
        <w:pStyle w:val="Normal"/>
      </w:pPr>
      <w:r>
        <w:t xml:space="preserve"/>
      </w:r>
    </w:p>
    <w:p>
      <w:pPr>
        <w:pStyle w:val="Normal"/>
      </w:pPr>
      <w:r>
        <w:t xml:space="preserve">File nhị phân XLSX lưu tại IndexedDB timehouse-reports-v1/files; sessionStorage chỉ giữ metadata. Migration schema 7 → 8 không xóa hoặc thay đổi record nghiệp vụ hiện có.</w:t>
      </w:r>
    </w:p>
    <w:p>
      <w:pPr>
        <w:pStyle w:val="Normal"/>
      </w:pPr>
      <w:r>
        <w:t xml:space="preserve"/>
      </w:r>
    </w:p>
    <w:p>
      <w:pPr>
        <w:pStyle w:val="Heading2"/>
      </w:pPr>
      <w:r>
        <w:t xml:space="preserve">4. Quy tắc nghiệp vụ</w:t>
      </w:r>
    </w:p>
    <w:p>
      <w:pPr>
        <w:pStyle w:val="Normal"/>
      </w:pPr>
      <w:r>
        <w:t xml:space="preserve"/>
      </w:r>
    </w:p>
    <w:p>
      <w:pPr>
        <w:pStyle w:val="Normal"/>
      </w:pPr>
      <w:r>
        <w:t xml:space="preserve">• Báo cáo trực tiếp từ dữ liệu nguồn có thể hiển thị tổng/count đã định nghĩa; lợi nhuận, dự kiến, hiệu suất, thời gian trống, biên lợi nhuận, khấu hao và phân phối chưa chốt vẫn TBD.</w:t>
      </w:r>
    </w:p>
    <w:p>
      <w:pPr>
        <w:pStyle w:val="Normal"/>
      </w:pPr>
      <w:r>
        <w:t xml:space="preserve">• Bản chứa ít nhất một chỉ tiêu TBD có loại `Đối chiếu · TBD`.</w:t>
      </w:r>
    </w:p>
    <w:p>
      <w:pPr>
        <w:pStyle w:val="Normal"/>
      </w:pPr>
      <w:r>
        <w:t xml:space="preserve">• File phải ghi collection nguồn, bộ lọc, thời điểm chốt và công thức còn thiếu.</w:t>
      </w:r>
    </w:p>
    <w:p>
      <w:pPr>
        <w:pStyle w:val="Normal"/>
      </w:pPr>
      <w:r>
        <w:t xml:space="preserve">• Tên sheet không quá 31 ký tự và không trùng.</w:t>
      </w:r>
    </w:p>
    <w:p>
      <w:pPr>
        <w:pStyle w:val="Normal"/>
      </w:pPr>
      <w:r>
        <w:t xml:space="preserve">• Không xuất dữ liệu khách nhạy cảm vượt quyền của người tải.</w:t>
      </w:r>
    </w:p>
    <w:p>
      <w:pPr>
        <w:pStyle w:val="Normal"/>
      </w:pPr>
      <w:r>
        <w:t xml:space="preserve"/>
      </w:r>
    </w:p>
    <w:p>
      <w:pPr>
        <w:pStyle w:val="Heading2"/>
      </w:pPr>
      <w:r>
        <w:t xml:space="preserve">5. Truy vết</w:t>
      </w:r>
    </w:p>
    <w:p>
      <w:pPr>
        <w:pStyle w:val="Normal"/>
      </w:pPr>
      <w:r>
        <w:t xml:space="preserve"/>
      </w:r>
    </w:p>
    <w:p>
      <w:pPr>
        <w:pStyle w:val="TableText"/>
      </w:pPr>
      <w:r>
        <w:t xml:space="preserve">Excel / Qxx | FR | Route/action | Test</w:t>
      </w:r>
    </w:p>
    <w:p>
      <w:pPr>
        <w:pStyle w:val="TableText"/>
      </w:pPr>
      <w:r>
        <w:t xml:space="preserve">BÁO CÁO dòng 1–23; Q07/Q16/Q22–Q25 | FR-REP-07–11 | reports, reportCreate, generatedReports; sáu action báo cáo | report-generation.cjs, F15, browser acceptance</w:t>
      </w:r>
    </w:p>
    <w:p>
      <w:pPr>
        <w:pStyle w:val="TableText"/>
      </w:pPr>
      <w:r>
        <w:t xml:space="preserve">CỔ ĐÔNG dòng 1–15; Q28 | FR-REP-07/11, FR-SHR-03/04 | RPT-SHAREHOLDER-DISTRIBUTION; publish bị khóa khi TBD | report-generation.cjs</w:t>
      </w:r>
    </w:p>
    <w:p>
      <w:pPr>
        <w:pStyle w:val="Normal"/>
      </w:pPr>
      <w:r>
        <w:t xml:space="preserve"/>
      </w:r>
    </w:p>
    <w:p>
      <w:pPr>
        <w:pStyle w:val="Normal"/>
      </w:pPr>
      <w:r>
        <w:t xml:space="preserve">Các câu Q07, Q16, Q24, Q28 và cơ chế đăng nhập cổ đông OI-16 tiếp tục mở.</w:t>
      </w:r>
    </w:p>
    <w:sectPr w:rsidR="00FC693F" w:rsidRPr="0006063C" w:rsidSect="00034616">
      <w:headerReference w:type="default" ns2:id="rId9"/>
      <w:footerReference w:type="default" ns2: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TH-SRS-001 • v0.9 • Draft   |   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64748B"/>
      </w:rPr>
      <w:t>TIMEHOUSE  |  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lvlJc w:val="left"/>
      <w:pPr>
        <w:ind w:left="720" w:hanging="360"/>
        <w:tabs>
          <w:tab w:val="num" w:pos="720"/>
        </w:tabs>
      </w:pPr>
    </w:lvl>
  </w:abstract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before="0"/>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line="264" w:lineRule="auto"/>
    </w:pPr>
    <w:rPr>
      <w:sz w:val="18"/>
    </w:rPr>
  </w:style>
  <w:style w:type="paragraph" w:customStyle="1" w:styleId="TableText">
    <w:name w:val="Table Text"/>
    <w:basedOn w:val="Normal"/>
    <w:pPr>
      <w:spacing w:after="80" w:line="264" w:lineRule="auto"/>
    </w:pPr>
    <w:rPr>
      <w:sz w:val="18"/>
    </w:rPr>
  </w:style>
  <w:style w:type="paragraph" w:customStyle="1" w:styleId="SourceText">
    <w:name w:val="Source Text"/>
    <w:basedOn w:val="Normal"/>
    <w:pPr>
      <w:spacing w:after="80" w:line="264" w:lineRule="auto" w:before="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Timehouse SRS v1.2</dc:title>
  <dc:subject>TH-SRS-001 | v0.9 | Draft for business review</dc:subject>
  <dc:creator>BA – Timehouse</dc:creator>
  <cp:keywords>SRS, Timehouse, requirements, Draft</cp:keywords>
  <dc:description>generated by python-docx</dc:description>
  <cp:lastModifiedBy/>
  <cp:revision>1</cp:revision>
  <dcterms:created xsi:type="dcterms:W3CDTF">2013-12-23T23:15:00Z</dcterms:created>
  <dcterms:modified xsi:type="dcterms:W3CDTF">2013-12-23T23:15:00Z</dcterms:modified>
  <cp:category/>
</cp:coreProperties>
</file>