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Arial" w:hAnsi="Arial"/>
          <w:b/>
          <w:color w:val="E48732"/>
          <w:sz w:val="28"/>
        </w:rPr>
        <w:t>TIMEHOUSE</w:t>
      </w:r>
    </w:p>
    <w:p/>
    <w:p/>
    <w:p>
      <w:pPr>
        <w:jc w:val="left"/>
      </w:pPr>
      <w:r>
        <w:rPr>
          <w:rFonts w:ascii="Arial" w:hAnsi="Arial"/>
          <w:b/>
          <w:color w:val="16324F"/>
          <w:sz w:val="58"/>
        </w:rPr>
        <w:t>PHẠM VI CHỨC NĂNG VÀ LỘ TRÌNH TRIỂN KHAI</w:t>
      </w:r>
    </w:p>
    <w:p>
      <w:r>
        <w:rPr>
          <w:rFonts w:ascii="Arial" w:hAnsi="Arial"/>
          <w:b/>
          <w:color w:val="E48732"/>
          <w:sz w:val="30"/>
        </w:rPr>
        <w:t>Tổng quan Phase 1 – Phase 2 – Phase 3</w:t>
      </w:r>
    </w:p>
    <w:p>
      <w:pPr>
        <w:spacing w:before="360"/>
      </w:pPr>
      <w:r>
        <w:rPr>
          <w:color w:val="3F4A54"/>
          <w:sz w:val="24"/>
        </w:rPr>
        <w:t>Hệ thống quản lý vận hành nhà cho thuê</w:t>
      </w:r>
    </w:p>
    <w:tbl>
      <w:tblPr>
        <w:tblW w:type="auto" w:w="0"/>
        <w:jc w:val="left"/>
        <w:tblLayout w:type="fixed"/>
        <w:tblLook w:firstColumn="1" w:firstRow="1" w:lastColumn="0" w:lastRow="0" w:noHBand="0" w:noVBand="1" w:val="04A0"/>
      </w:tblPr>
      <w:tblGrid>
        <w:gridCol w:w="2835"/>
        <w:gridCol w:w="6520"/>
      </w:tblGrid>
      <w:tr>
        <w:trPr>
          <w:trHeight w:val="454" w:hRule="atLeast"/>
          <w:cantSplit/>
        </w:trPr>
        <w:tc>
          <w:tcPr>
            <w:tcW w:type="dxa" w:w="4986"/>
            <w:vAlign w:val="center"/>
            <w:tcMar>
              <w:top w:w="100" w:type="dxa"/>
              <w:start w:w="120" w:type="dxa"/>
              <w:bottom w:w="100" w:type="dxa"/>
              <w:end w:w="120" w:type="dxa"/>
            </w:tcMar>
            <w:shd w:fill="E48732"/>
            <w:tcBorders>
              <w:top w:val="single" w:sz="5" w:space="0" w:color="D7DDE3"/>
              <w:left w:val="single" w:sz="5" w:space="0" w:color="D7DDE3"/>
              <w:bottom w:val="single" w:sz="5" w:space="0" w:color="D7DDE3"/>
              <w:right w:val="single" w:sz="5" w:space="0" w:color="D7DDE3"/>
            </w:tcBorders>
          </w:tcPr>
          <w:p>
            <w:r>
              <w:rPr>
                <w:b/>
                <w:color w:val="FFFFFF"/>
                <w:sz w:val="18"/>
              </w:rPr>
              <w:t>Mã tài liệu</w:t>
            </w:r>
          </w:p>
        </w:tc>
        <w:tc>
          <w:tcPr>
            <w:tcW w:type="dxa" w:w="4986"/>
            <w:vAlign w:val="center"/>
            <w:tcMar>
              <w:top w:w="100" w:type="dxa"/>
              <w:start w:w="120" w:type="dxa"/>
              <w:bottom w:w="100" w:type="dxa"/>
              <w:end w:w="120" w:type="dxa"/>
            </w:tcMar>
            <w:tcBorders>
              <w:top w:val="single" w:sz="5" w:space="0" w:color="D7DDE3"/>
              <w:left w:val="single" w:sz="5" w:space="0" w:color="D7DDE3"/>
              <w:bottom w:val="single" w:sz="5" w:space="0" w:color="D7DDE3"/>
              <w:right w:val="single" w:sz="5" w:space="0" w:color="D7DDE3"/>
            </w:tcBorders>
          </w:tcPr>
          <w:p>
            <w:r>
              <w:rPr>
                <w:sz w:val="18"/>
              </w:rPr>
              <w:t>TH-SCOPE-OVERVIEW-1.0</w:t>
            </w:r>
          </w:p>
        </w:tc>
      </w:tr>
      <w:tr>
        <w:trPr>
          <w:trHeight w:val="454" w:hRule="atLeast"/>
          <w:cantSplit/>
        </w:trPr>
        <w:tc>
          <w:tcPr>
            <w:tcW w:type="dxa" w:w="4986"/>
            <w:vAlign w:val="center"/>
            <w:tcMar>
              <w:top w:w="100" w:type="dxa"/>
              <w:start w:w="120" w:type="dxa"/>
              <w:bottom w:w="100" w:type="dxa"/>
              <w:end w:w="120" w:type="dxa"/>
            </w:tcMar>
            <w:shd w:fill="E48732"/>
            <w:tcBorders>
              <w:top w:val="single" w:sz="5" w:space="0" w:color="D7DDE3"/>
              <w:left w:val="single" w:sz="5" w:space="0" w:color="D7DDE3"/>
              <w:bottom w:val="single" w:sz="5" w:space="0" w:color="D7DDE3"/>
              <w:right w:val="single" w:sz="5" w:space="0" w:color="D7DDE3"/>
            </w:tcBorders>
          </w:tcPr>
          <w:p>
            <w:r>
              <w:rPr>
                <w:b/>
                <w:color w:val="FFFFFF"/>
                <w:sz w:val="18"/>
              </w:rPr>
              <w:t>Phiên bản</w:t>
            </w:r>
          </w:p>
        </w:tc>
        <w:tc>
          <w:tcPr>
            <w:tcW w:type="dxa" w:w="4986"/>
            <w:vAlign w:val="center"/>
            <w:tcMar>
              <w:top w:w="100" w:type="dxa"/>
              <w:start w:w="120" w:type="dxa"/>
              <w:bottom w:w="100" w:type="dxa"/>
              <w:end w:w="120" w:type="dxa"/>
            </w:tcMar>
            <w:tcBorders>
              <w:top w:val="single" w:sz="5" w:space="0" w:color="D7DDE3"/>
              <w:left w:val="single" w:sz="5" w:space="0" w:color="D7DDE3"/>
              <w:bottom w:val="single" w:sz="5" w:space="0" w:color="D7DDE3"/>
              <w:right w:val="single" w:sz="5" w:space="0" w:color="D7DDE3"/>
            </w:tcBorders>
          </w:tcPr>
          <w:p>
            <w:r>
              <w:rPr>
                <w:sz w:val="18"/>
              </w:rPr>
              <w:t>1.0</w:t>
            </w:r>
          </w:p>
        </w:tc>
      </w:tr>
      <w:tr>
        <w:trPr>
          <w:trHeight w:val="454" w:hRule="atLeast"/>
          <w:cantSplit/>
        </w:trPr>
        <w:tc>
          <w:tcPr>
            <w:tcW w:type="dxa" w:w="4986"/>
            <w:vAlign w:val="center"/>
            <w:tcMar>
              <w:top w:w="100" w:type="dxa"/>
              <w:start w:w="120" w:type="dxa"/>
              <w:bottom w:w="100" w:type="dxa"/>
              <w:end w:w="120" w:type="dxa"/>
            </w:tcMar>
            <w:shd w:fill="E48732"/>
            <w:tcBorders>
              <w:top w:val="single" w:sz="5" w:space="0" w:color="D7DDE3"/>
              <w:left w:val="single" w:sz="5" w:space="0" w:color="D7DDE3"/>
              <w:bottom w:val="single" w:sz="5" w:space="0" w:color="D7DDE3"/>
              <w:right w:val="single" w:sz="5" w:space="0" w:color="D7DDE3"/>
            </w:tcBorders>
          </w:tcPr>
          <w:p>
            <w:r>
              <w:rPr>
                <w:b/>
                <w:color w:val="FFFFFF"/>
                <w:sz w:val="18"/>
              </w:rPr>
              <w:t>Ngày phát hành</w:t>
            </w:r>
          </w:p>
        </w:tc>
        <w:tc>
          <w:tcPr>
            <w:tcW w:type="dxa" w:w="4986"/>
            <w:vAlign w:val="center"/>
            <w:tcMar>
              <w:top w:w="100" w:type="dxa"/>
              <w:start w:w="120" w:type="dxa"/>
              <w:bottom w:w="100" w:type="dxa"/>
              <w:end w:w="120" w:type="dxa"/>
            </w:tcMar>
            <w:tcBorders>
              <w:top w:val="single" w:sz="5" w:space="0" w:color="D7DDE3"/>
              <w:left w:val="single" w:sz="5" w:space="0" w:color="D7DDE3"/>
              <w:bottom w:val="single" w:sz="5" w:space="0" w:color="D7DDE3"/>
              <w:right w:val="single" w:sz="5" w:space="0" w:color="D7DDE3"/>
            </w:tcBorders>
          </w:tcPr>
          <w:p>
            <w:r>
              <w:rPr>
                <w:sz w:val="18"/>
              </w:rPr>
              <w:t>14/09/2026</w:t>
            </w:r>
          </w:p>
        </w:tc>
      </w:tr>
      <w:tr>
        <w:trPr>
          <w:trHeight w:val="454" w:hRule="atLeast"/>
          <w:cantSplit/>
        </w:trPr>
        <w:tc>
          <w:tcPr>
            <w:tcW w:type="dxa" w:w="4986"/>
            <w:vAlign w:val="center"/>
            <w:tcMar>
              <w:top w:w="100" w:type="dxa"/>
              <w:start w:w="120" w:type="dxa"/>
              <w:bottom w:w="100" w:type="dxa"/>
              <w:end w:w="120" w:type="dxa"/>
            </w:tcMar>
            <w:shd w:fill="E48732"/>
            <w:tcBorders>
              <w:top w:val="single" w:sz="5" w:space="0" w:color="D7DDE3"/>
              <w:left w:val="single" w:sz="5" w:space="0" w:color="D7DDE3"/>
              <w:bottom w:val="single" w:sz="5" w:space="0" w:color="D7DDE3"/>
              <w:right w:val="single" w:sz="5" w:space="0" w:color="D7DDE3"/>
            </w:tcBorders>
          </w:tcPr>
          <w:p>
            <w:r>
              <w:rPr>
                <w:b/>
                <w:color w:val="FFFFFF"/>
                <w:sz w:val="18"/>
              </w:rPr>
              <w:t>Trạng thái</w:t>
            </w:r>
          </w:p>
        </w:tc>
        <w:tc>
          <w:tcPr>
            <w:tcW w:type="dxa" w:w="4986"/>
            <w:vAlign w:val="center"/>
            <w:tcMar>
              <w:top w:w="100" w:type="dxa"/>
              <w:start w:w="120" w:type="dxa"/>
              <w:bottom w:w="100" w:type="dxa"/>
              <w:end w:w="120" w:type="dxa"/>
            </w:tcMar>
            <w:tcBorders>
              <w:top w:val="single" w:sz="5" w:space="0" w:color="D7DDE3"/>
              <w:left w:val="single" w:sz="5" w:space="0" w:color="D7DDE3"/>
              <w:bottom w:val="single" w:sz="5" w:space="0" w:color="D7DDE3"/>
              <w:right w:val="single" w:sz="5" w:space="0" w:color="D7DDE3"/>
            </w:tcBorders>
          </w:tcPr>
          <w:p>
            <w:r>
              <w:rPr>
                <w:sz w:val="18"/>
              </w:rPr>
              <w:t>Dự thảo gửi khách hàng xác nhận</w:t>
            </w:r>
          </w:p>
        </w:tc>
      </w:tr>
      <w:tr>
        <w:trPr>
          <w:trHeight w:val="454" w:hRule="atLeast"/>
          <w:cantSplit/>
        </w:trPr>
        <w:tc>
          <w:tcPr>
            <w:tcW w:type="dxa" w:w="4986"/>
            <w:vAlign w:val="center"/>
            <w:tcMar>
              <w:top w:w="100" w:type="dxa"/>
              <w:start w:w="120" w:type="dxa"/>
              <w:bottom w:w="100" w:type="dxa"/>
              <w:end w:w="120" w:type="dxa"/>
            </w:tcMar>
            <w:shd w:fill="E48732"/>
            <w:tcBorders>
              <w:top w:val="single" w:sz="5" w:space="0" w:color="D7DDE3"/>
              <w:left w:val="single" w:sz="5" w:space="0" w:color="D7DDE3"/>
              <w:bottom w:val="single" w:sz="5" w:space="0" w:color="D7DDE3"/>
              <w:right w:val="single" w:sz="5" w:space="0" w:color="D7DDE3"/>
            </w:tcBorders>
          </w:tcPr>
          <w:p>
            <w:r>
              <w:rPr>
                <w:b/>
                <w:color w:val="FFFFFF"/>
                <w:sz w:val="18"/>
              </w:rPr>
              <w:t>Khách hàng</w:t>
            </w:r>
          </w:p>
        </w:tc>
        <w:tc>
          <w:tcPr>
            <w:tcW w:type="dxa" w:w="4986"/>
            <w:vAlign w:val="center"/>
            <w:tcMar>
              <w:top w:w="100" w:type="dxa"/>
              <w:start w:w="120" w:type="dxa"/>
              <w:bottom w:w="100" w:type="dxa"/>
              <w:end w:w="120" w:type="dxa"/>
            </w:tcMar>
            <w:tcBorders>
              <w:top w:val="single" w:sz="5" w:space="0" w:color="D7DDE3"/>
              <w:left w:val="single" w:sz="5" w:space="0" w:color="D7DDE3"/>
              <w:bottom w:val="single" w:sz="5" w:space="0" w:color="D7DDE3"/>
              <w:right w:val="single" w:sz="5" w:space="0" w:color="D7DDE3"/>
            </w:tcBorders>
          </w:tcPr>
          <w:p>
            <w:r>
              <w:rPr>
                <w:sz w:val="18"/>
              </w:rPr>
              <w:t>[TÊN KHÁCH HÀNG]</w:t>
            </w:r>
          </w:p>
        </w:tc>
      </w:tr>
    </w:tbl>
    <w:p>
      <w:pPr>
        <w:spacing w:before="840"/>
        <w:jc w:val="left"/>
      </w:pPr>
      <w:r>
        <w:rPr>
          <w:color w:val="3F4A54"/>
          <w:sz w:val="20"/>
        </w:rPr>
        <w:t>Đơn vị thực hiện: [TÊN ĐƠN VỊ THỰC HIỆN]</w:t>
        <w:br/>
        <w:t>Tài liệu dành cho: [TÊN KHÁCH HÀNG]</w:t>
      </w:r>
    </w:p>
    <w:p>
      <w:r>
        <w:br w:type="page"/>
      </w:r>
    </w:p>
    <w:p>
      <w:pPr>
        <w:pStyle w:val="Heading1"/>
      </w:pPr>
      <w:r>
        <w:t>Kiểm soát tài liệu</w:t>
      </w:r>
    </w:p>
    <w:tbl>
      <w:tblPr>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1247"/>
            <w:vAlign w:val="center"/>
            <w:shd w:fill="16324F"/>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Phiên bản</w:t>
            </w:r>
          </w:p>
        </w:tc>
        <w:tc>
          <w:tcPr>
            <w:tcW w:type="dxa" w:w="1531"/>
            <w:vAlign w:val="center"/>
            <w:shd w:fill="16324F"/>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Ngày</w:t>
            </w:r>
          </w:p>
        </w:tc>
        <w:tc>
          <w:tcPr>
            <w:tcW w:type="dxa" w:w="1871"/>
            <w:vAlign w:val="center"/>
            <w:shd w:fill="16324F"/>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Trạng thái</w:t>
            </w:r>
          </w:p>
        </w:tc>
        <w:tc>
          <w:tcPr>
            <w:tcW w:type="dxa" w:w="4535"/>
            <w:vAlign w:val="center"/>
            <w:shd w:fill="16324F"/>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Mục đích phát hành</w:t>
            </w:r>
          </w:p>
        </w:tc>
      </w:tr>
      <w:tr>
        <w:trPr>
          <w:cantSplit/>
        </w:trPr>
        <w:tc>
          <w:tcPr>
            <w:tcW w:type="dxa" w:w="1247"/>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1.0</w:t>
            </w:r>
          </w:p>
        </w:tc>
        <w:tc>
          <w:tcPr>
            <w:tcW w:type="dxa" w:w="1531"/>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14/09/2026</w:t>
            </w:r>
          </w:p>
        </w:tc>
        <w:tc>
          <w:tcPr>
            <w:tcW w:type="dxa" w:w="1871"/>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Dự thảo</w:t>
            </w:r>
          </w:p>
        </w:tc>
        <w:tc>
          <w:tcPr>
            <w:tcW w:type="dxa" w:w="4535"/>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Thống nhất cách phân chia phạm vi và định hướng triển khai</w:t>
            </w:r>
          </w:p>
        </w:tc>
      </w:tr>
    </w:tbl>
    <w:p/>
    <w:p/>
    <w:tbl>
      <w:tblPr>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268"/>
            <w:vAlign w:val="center"/>
            <w:shd w:fill="16324F"/>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Vai trò</w:t>
            </w:r>
          </w:p>
        </w:tc>
        <w:tc>
          <w:tcPr>
            <w:tcW w:type="dxa" w:w="3402"/>
            <w:vAlign w:val="center"/>
            <w:shd w:fill="16324F"/>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Đơn vị/Họ tên</w:t>
            </w:r>
          </w:p>
        </w:tc>
        <w:tc>
          <w:tcPr>
            <w:tcW w:type="dxa" w:w="3515"/>
            <w:vAlign w:val="center"/>
            <w:shd w:fill="16324F"/>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Trách nhiệm</w:t>
            </w:r>
          </w:p>
        </w:tc>
      </w:tr>
      <w:tr>
        <w:trPr>
          <w:cantSplit/>
        </w:trPr>
        <w:tc>
          <w:tcPr>
            <w:tcW w:type="dxa" w:w="2268"/>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Đại diện khách hàng</w:t>
            </w:r>
          </w:p>
        </w:tc>
        <w:tc>
          <w:tcPr>
            <w:tcW w:type="dxa" w:w="3402"/>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[TÊN KHÁCH HÀNG]</w:t>
            </w:r>
          </w:p>
        </w:tc>
        <w:tc>
          <w:tcPr>
            <w:tcW w:type="dxa" w:w="3515"/>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Rà soát nghiệp vụ và xác nhận phạm vi</w:t>
            </w:r>
          </w:p>
        </w:tc>
      </w:tr>
      <w:tr>
        <w:trPr>
          <w:cantSplit/>
        </w:trPr>
        <w:tc>
          <w:tcPr>
            <w:tcW w:type="dxa" w:w="2268"/>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Đơn vị thực hiện</w:t>
            </w:r>
          </w:p>
        </w:tc>
        <w:tc>
          <w:tcPr>
            <w:tcW w:type="dxa" w:w="3402"/>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[TÊN ĐƠN VỊ THỰC HIỆN]</w:t>
            </w:r>
          </w:p>
        </w:tc>
        <w:tc>
          <w:tcPr>
            <w:tcW w:type="dxa" w:w="3515"/>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Phân tích, triển khai và bàn giao theo phạm vi được duyệt</w:t>
            </w:r>
          </w:p>
        </w:tc>
      </w:tr>
    </w:tbl>
    <w:p/>
    <w:p>
      <w:pPr>
        <w:pStyle w:val="Heading1"/>
      </w:pPr>
      <w:r>
        <w:t>Mục lục</w:t>
      </w:r>
    </w:p>
    <w:p>
      <w:r>
        <w:fldChar w:fldCharType="begin"/>
        <w:instrText xml:space="preserve">TOC \o "1-3" \h \z \u</w:instrText>
        <w:fldChar w:fldCharType="end"/>
      </w:r>
    </w:p>
    <w:p>
      <w:pPr>
        <w:pStyle w:val="THSmall"/>
      </w:pPr>
      <w:r>
        <w:t>Mục lục sẽ tự cập nhật khi mở bằng Microsoft Word. Nếu chưa hiển thị, chọn toàn bộ tài liệu và nhấn F9.</w:t>
      </w:r>
    </w:p>
    <w:p>
      <w:r>
        <w:br w:type="page"/>
      </w:r>
    </w:p>
    <w:p>
      <w:pPr>
        <w:pStyle w:val="Heading1"/>
        <w:keepNext/>
      </w:pPr>
      <w:r>
        <w:t>1. Tóm tắt điều hành</w:t>
      </w:r>
    </w:p>
    <w:p>
      <w:r>
        <w:t>TimeHouse được chia thành ba giai đoạn để ưu tiên khả năng vận hành cho thuê trước, sau đó mở rộng sang kinh doanh, tự động hóa và quản trị doanh nghiệp. Cách chia này giúp kiểm soát phạm vi, cho phép kiểm chứng giá trị sớm và hạn chế việc phát triển đồng thời quá nhiều chức năng chưa có dữ liệu nền.</w:t>
      </w:r>
    </w:p>
    <w:tbl>
      <w:tblPr>
        <w:tblW w:type="auto" w:w="0"/>
        <w:jc w:val="center"/>
        <w:tblLook w:firstColumn="1" w:firstRow="1" w:lastColumn="0" w:lastRow="0" w:noHBand="0" w:noVBand="1" w:val="04A0"/>
      </w:tblPr>
      <w:tblGrid>
        <w:gridCol w:w="9972"/>
      </w:tblGrid>
      <w:tr>
        <w:tc>
          <w:tcPr>
            <w:tcW w:type="dxa" w:w="9972"/>
            <w:shd w:fill="EAF3F9"/>
            <w:tcMar>
              <w:top w:w="160" w:type="dxa"/>
              <w:start w:w="180" w:type="dxa"/>
              <w:bottom w:w="160" w:type="dxa"/>
              <w:end w:w="180" w:type="dxa"/>
            </w:tcMar>
            <w:tcBorders>
              <w:left w:val="single" w:sz="18" w:space="0" w:color="1769AA"/>
            </w:tcBorders>
          </w:tcPr>
          <w:p>
            <w:r>
              <w:rPr>
                <w:b/>
                <w:color w:val="1769AA"/>
              </w:rPr>
              <w:t>HIỆN TRẠNG DỰ ÁN</w:t>
              <w:br/>
            </w:r>
            <w:r>
              <w:rPr>
                <w:color w:val="3F4A54"/>
              </w:rPr>
              <w:t>Code hiện tại thuộc Phase 1 và là mockup tương tác dùng để trình diễn, rà soát nghiệp vụ và chốt yêu cầu. Dữ liệu đang lưu trên trình duyệt; Zalo và các dịch vụ ngoài hệ thống đang được mô phỏng, chưa phải kết nối production.</w:t>
            </w:r>
          </w:p>
        </w:tc>
      </w:tr>
    </w:tbl>
    <w:p>
      <w:pPr>
        <w:pStyle w:val="Heading1"/>
        <w:keepNext/>
      </w:pPr>
      <w:r>
        <w:t>2. Lộ trình ba giai đoạn</w:t>
      </w:r>
    </w:p>
    <w:tbl>
      <w:tblPr>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2438"/>
            <w:vAlign w:val="center"/>
            <w:shd w:fill="E48732"/>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Giai đoạn</w:t>
            </w:r>
          </w:p>
        </w:tc>
        <w:tc>
          <w:tcPr>
            <w:tcW w:type="dxa" w:w="1928"/>
            <w:vAlign w:val="center"/>
            <w:shd w:fill="E48732"/>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Trọng tâm</w:t>
            </w:r>
          </w:p>
        </w:tc>
        <w:tc>
          <w:tcPr>
            <w:tcW w:type="dxa" w:w="3402"/>
            <w:vAlign w:val="center"/>
            <w:shd w:fill="E48732"/>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Giá trị mang lại</w:t>
            </w:r>
          </w:p>
        </w:tc>
        <w:tc>
          <w:tcPr>
            <w:tcW w:type="dxa" w:w="1814"/>
            <w:vAlign w:val="center"/>
            <w:shd w:fill="E48732"/>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Trạng thái</w:t>
            </w:r>
          </w:p>
        </w:tc>
      </w:tr>
      <w:tr>
        <w:trPr>
          <w:cantSplit/>
        </w:trPr>
        <w:tc>
          <w:tcPr>
            <w:tcW w:type="dxa" w:w="2438"/>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Phase 1 – Core Rental / Go-live</w:t>
            </w:r>
          </w:p>
        </w:tc>
        <w:tc>
          <w:tcPr>
            <w:tcW w:type="dxa" w:w="1928"/>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Vận hành cho thuê cốt lõi</w:t>
            </w:r>
          </w:p>
        </w:tc>
        <w:tc>
          <w:tcPr>
            <w:tcW w:type="dxa" w:w="3402"/>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Số hóa luồng từ phòng, khách, hợp đồng đến hóa đơn, thu tiền và trả phòng</w:t>
            </w:r>
          </w:p>
        </w:tc>
        <w:tc>
          <w:tcPr>
            <w:tcW w:type="dxa" w:w="1814"/>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Hiện tại – đã có mockup tương tác</w:t>
            </w:r>
          </w:p>
        </w:tc>
      </w:tr>
      <w:tr>
        <w:trPr>
          <w:cantSplit/>
        </w:trPr>
        <w:tc>
          <w:tcPr>
            <w:tcW w:type="dxa" w:w="2438"/>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Phase 2 – Sales, Automation &amp; Operations</w:t>
            </w:r>
          </w:p>
        </w:tc>
        <w:tc>
          <w:tcPr>
            <w:tcW w:type="dxa" w:w="1928"/>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Kinh doanh và tối ưu vận hành</w:t>
            </w:r>
          </w:p>
        </w:tc>
        <w:tc>
          <w:tcPr>
            <w:tcW w:type="dxa" w:w="3402"/>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CRM, tự động hóa, bảo trì, đối soát và báo cáo quản trị</w:t>
            </w:r>
          </w:p>
        </w:tc>
        <w:tc>
          <w:tcPr>
            <w:tcW w:type="dxa" w:w="1814"/>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Dự kiến – chưa triển khai</w:t>
            </w:r>
          </w:p>
        </w:tc>
      </w:tr>
      <w:tr>
        <w:trPr>
          <w:cantSplit/>
        </w:trPr>
        <w:tc>
          <w:tcPr>
            <w:tcW w:type="dxa" w:w="2438"/>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Phase 3 – Enterprise &amp; Investment</w:t>
            </w:r>
          </w:p>
        </w:tc>
        <w:tc>
          <w:tcPr>
            <w:tcW w:type="dxa" w:w="1928"/>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Quản trị doanh nghiệp và đầu tư</w:t>
            </w:r>
          </w:p>
        </w:tc>
        <w:tc>
          <w:tcPr>
            <w:tcW w:type="dxa" w:w="3402"/>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Tài sản, nhân sự, cổ đông, đầu tư và tài chính tích hợp</w:t>
            </w:r>
          </w:p>
        </w:tc>
        <w:tc>
          <w:tcPr>
            <w:tcW w:type="dxa" w:w="1814"/>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Định hướng – chưa triển khai</w:t>
            </w:r>
          </w:p>
        </w:tc>
      </w:tr>
    </w:tbl>
    <w:p/>
    <w:tbl>
      <w:tblPr>
        <w:tblW w:type="auto" w:w="0"/>
        <w:jc w:val="center"/>
        <w:tblLook w:firstColumn="1" w:firstRow="1" w:lastColumn="0" w:lastRow="0" w:noHBand="0" w:noVBand="1" w:val="04A0"/>
      </w:tblPr>
      <w:tblGrid>
        <w:gridCol w:w="9972"/>
      </w:tblGrid>
      <w:tr>
        <w:tc>
          <w:tcPr>
            <w:tcW w:type="dxa" w:w="9972"/>
            <w:shd w:fill="EAF3F9"/>
            <w:tcMar>
              <w:top w:w="160" w:type="dxa"/>
              <w:start w:w="180" w:type="dxa"/>
              <w:bottom w:w="160" w:type="dxa"/>
              <w:end w:w="180" w:type="dxa"/>
            </w:tcMar>
            <w:tcBorders>
              <w:left w:val="single" w:sz="18" w:space="0" w:color="1769AA"/>
            </w:tcBorders>
          </w:tcPr>
          <w:p>
            <w:r>
              <w:rPr>
                <w:b/>
                <w:color w:val="1769AA"/>
              </w:rPr>
              <w:t>LUỒNG LÕI PHASE 1</w:t>
              <w:br/>
            </w:r>
            <w:r>
              <w:rPr>
                <w:color w:val="3F4A54"/>
              </w:rPr>
              <w:t>Tòa nhà → Phòng → Khách thuê → Hợp đồng → Dịch vụ/Điện nước → Hóa đơn → Công nợ/Thu tiền → Zalo → Trả phòng/Hoàn cọc</w:t>
            </w:r>
          </w:p>
        </w:tc>
      </w:tr>
    </w:tbl>
    <w:p>
      <w:pPr>
        <w:pStyle w:val="Heading1"/>
        <w:keepNext/>
      </w:pPr>
      <w:r>
        <w:t>3. Phạm vi tóm tắt từng phase</w:t>
      </w:r>
    </w:p>
    <w:p>
      <w:pPr>
        <w:pStyle w:val="Heading2"/>
        <w:keepNext/>
      </w:pPr>
      <w:r>
        <w:t>3.1. Phase 1 – Core Rental / Go-live</w:t>
      </w:r>
    </w:p>
    <w:p>
      <w:r>
        <w:t>Mục tiêu: hình thành quy trình vận hành cho thuê tối thiểu trên một hệ thống thống nhất.</w:t>
      </w:r>
    </w:p>
    <w:p>
      <w:pPr>
        <w:pStyle w:val="ListBullet"/>
        <w:spacing w:after="60"/>
      </w:pPr>
      <w:r>
        <w:t>Đăng nhập, tài khoản và phân quyền theo vai trò/phạm vi tòa.</w:t>
      </w:r>
    </w:p>
    <w:p>
      <w:pPr>
        <w:pStyle w:val="ListBullet"/>
        <w:spacing w:after="60"/>
      </w:pPr>
      <w:r>
        <w:t>Tòa nhà, phòng, chủ nhà, khách thuê và hợp đồng thuê.</w:t>
      </w:r>
    </w:p>
    <w:p>
      <w:pPr>
        <w:pStyle w:val="ListBullet"/>
        <w:spacing w:after="60"/>
      </w:pPr>
      <w:r>
        <w:t>Dịch vụ, bảng giá, chỉ số điện nước và lập hóa đơn theo kỳ.</w:t>
      </w:r>
    </w:p>
    <w:p>
      <w:pPr>
        <w:pStyle w:val="ListBullet"/>
        <w:spacing w:after="60"/>
      </w:pPr>
      <w:r>
        <w:t>Công nợ, thu tiền, hoàn cọc, chi phí và báo cáo cơ bản.</w:t>
      </w:r>
    </w:p>
    <w:p>
      <w:pPr>
        <w:pStyle w:val="ListBullet"/>
        <w:spacing w:after="60"/>
      </w:pPr>
      <w:r>
        <w:t>Thông báo hóa đơn/nhắc công nợ qua luồng Zalo; import dữ liệu cơ bản.</w:t>
      </w:r>
    </w:p>
    <w:p>
      <w:pPr>
        <w:pStyle w:val="Heading2"/>
        <w:keepNext/>
      </w:pPr>
      <w:r>
        <w:t>3.2. Phase 2 – Sales, Automation &amp; Operations</w:t>
      </w:r>
    </w:p>
    <w:p>
      <w:r>
        <w:t>Mục tiêu: tăng hiệu quả kinh doanh và giảm thao tác vận hành thủ công sau khi dữ liệu lõi ổn định.</w:t>
      </w:r>
    </w:p>
    <w:p>
      <w:pPr>
        <w:pStyle w:val="ListBullet"/>
        <w:spacing w:after="60"/>
      </w:pPr>
      <w:r>
        <w:t>CRM/Lead, pipeline, lịch xem, giữ chỗ, chốt thuê và hoa hồng.</w:t>
      </w:r>
    </w:p>
    <w:p>
      <w:pPr>
        <w:pStyle w:val="ListBullet"/>
        <w:spacing w:after="60"/>
      </w:pPr>
      <w:r>
        <w:t>OCR hợp đồng, bảo trì/bảo dưỡng và lịch công việc.</w:t>
      </w:r>
    </w:p>
    <w:p>
      <w:pPr>
        <w:pStyle w:val="ListBullet"/>
        <w:spacing w:after="60"/>
      </w:pPr>
      <w:r>
        <w:t>Import bảng kê, đối soát, Data Job và xử lý ngoại lệ.</w:t>
      </w:r>
    </w:p>
    <w:p>
      <w:pPr>
        <w:pStyle w:val="ListBullet"/>
        <w:spacing w:after="60"/>
      </w:pPr>
      <w:r>
        <w:t>Quản lý kỳ, dòng tiền, chi phí phân bổ và báo cáo quản trị.</w:t>
      </w:r>
    </w:p>
    <w:p>
      <w:pPr>
        <w:pStyle w:val="ListBullet"/>
        <w:spacing w:after="60"/>
      </w:pPr>
      <w:r>
        <w:t>Rule Builder và thông báo đa sự kiện/kênh.</w:t>
      </w:r>
    </w:p>
    <w:p>
      <w:pPr>
        <w:pStyle w:val="Heading2"/>
        <w:keepNext/>
      </w:pPr>
      <w:r>
        <w:t>3.3. Phase 3 – Enterprise &amp; Investment</w:t>
      </w:r>
    </w:p>
    <w:p>
      <w:r>
        <w:t>Mục tiêu: mở rộng TimeHouse thành nền tảng quản trị doanh nghiệp và đầu tư.</w:t>
      </w:r>
    </w:p>
    <w:p>
      <w:pPr>
        <w:pStyle w:val="ListBullet"/>
        <w:spacing w:after="60"/>
      </w:pPr>
      <w:r>
        <w:t>Tài sản, QR, kiểm kê, tình trạng và khấu hao.</w:t>
      </w:r>
    </w:p>
    <w:p>
      <w:pPr>
        <w:pStyle w:val="ListBullet"/>
        <w:spacing w:after="60"/>
      </w:pPr>
      <w:r>
        <w:t>Nhân sự, phân công, KPI, chấm công và lương thưởng khi có nhu cầu.</w:t>
      </w:r>
    </w:p>
    <w:p>
      <w:pPr>
        <w:pStyle w:val="ListBullet"/>
        <w:spacing w:after="60"/>
      </w:pPr>
      <w:r>
        <w:t>Cổ đông, vốn góp, phân phối lợi nhuận và cổng nhà đầu tư.</w:t>
      </w:r>
    </w:p>
    <w:p>
      <w:pPr>
        <w:pStyle w:val="ListBullet"/>
        <w:spacing w:after="60"/>
      </w:pPr>
      <w:r>
        <w:t>QR Payment, cổng thanh toán, ngân hàng và đối soát tự động.</w:t>
      </w:r>
    </w:p>
    <w:p>
      <w:pPr>
        <w:pStyle w:val="ListBullet"/>
        <w:spacing w:after="60"/>
      </w:pPr>
      <w:r>
        <w:t>Audit nâng cao, BI, báo cáo tùy chỉnh và cảnh báo bất thường.</w:t>
      </w:r>
    </w:p>
    <w:p>
      <w:pPr>
        <w:pStyle w:val="Heading1"/>
        <w:keepNext/>
      </w:pPr>
      <w:r>
        <w:t>4. Ma trận phân bổ chức năng</w:t>
      </w:r>
    </w:p>
    <w:tbl>
      <w:tblPr>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3402"/>
            <w:vAlign w:val="center"/>
            <w:shd w:fill="E48732"/>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Nhóm chức năng</w:t>
            </w:r>
          </w:p>
        </w:tc>
        <w:tc>
          <w:tcPr>
            <w:tcW w:type="dxa" w:w="1928"/>
            <w:vAlign w:val="center"/>
            <w:shd w:fill="E48732"/>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Phase 1</w:t>
            </w:r>
          </w:p>
        </w:tc>
        <w:tc>
          <w:tcPr>
            <w:tcW w:type="dxa" w:w="2211"/>
            <w:vAlign w:val="center"/>
            <w:shd w:fill="E48732"/>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Phase 2</w:t>
            </w:r>
          </w:p>
        </w:tc>
        <w:tc>
          <w:tcPr>
            <w:tcW w:type="dxa" w:w="2154"/>
            <w:vAlign w:val="center"/>
            <w:shd w:fill="E48732"/>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Phase 3</w:t>
            </w:r>
          </w:p>
        </w:tc>
      </w:tr>
      <w:tr>
        <w:trPr>
          <w:cantSplit/>
        </w:trPr>
        <w:tc>
          <w:tcPr>
            <w:tcW w:type="dxa" w:w="3402"/>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Tòa nhà, phòng, khách thuê</w:t>
            </w:r>
          </w:p>
        </w:tc>
        <w:tc>
          <w:tcPr>
            <w:tcW w:type="dxa" w:w="1928"/>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Phạm vi chính</w:t>
            </w:r>
          </w:p>
        </w:tc>
        <w:tc>
          <w:tcPr>
            <w:tcW w:type="dxa" w:w="2211"/>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Mở rộng vận hành</w:t>
            </w:r>
          </w:p>
        </w:tc>
        <w:tc>
          <w:tcPr>
            <w:tcW w:type="dxa" w:w="2154"/>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Phân tích nâng cao</w:t>
            </w:r>
          </w:p>
        </w:tc>
      </w:tr>
      <w:tr>
        <w:trPr>
          <w:cantSplit/>
        </w:trPr>
        <w:tc>
          <w:tcPr>
            <w:tcW w:type="dxa" w:w="3402"/>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Hợp đồng và dịch vụ</w:t>
            </w:r>
          </w:p>
        </w:tc>
        <w:tc>
          <w:tcPr>
            <w:tcW w:type="dxa" w:w="1928"/>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Phạm vi chính</w:t>
            </w:r>
          </w:p>
        </w:tc>
        <w:tc>
          <w:tcPr>
            <w:tcW w:type="dxa" w:w="2211"/>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OCR/automation</w:t>
            </w:r>
          </w:p>
        </w:tc>
        <w:tc>
          <w:tcPr>
            <w:tcW w:type="dxa" w:w="2154"/>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w:t>
            </w:r>
          </w:p>
        </w:tc>
      </w:tr>
      <w:tr>
        <w:trPr>
          <w:cantSplit/>
        </w:trPr>
        <w:tc>
          <w:tcPr>
            <w:tcW w:type="dxa" w:w="3402"/>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Hóa đơn, công nợ, thu tiền</w:t>
            </w:r>
          </w:p>
        </w:tc>
        <w:tc>
          <w:tcPr>
            <w:tcW w:type="dxa" w:w="1928"/>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Cơ bản</w:t>
            </w:r>
          </w:p>
        </w:tc>
        <w:tc>
          <w:tcPr>
            <w:tcW w:type="dxa" w:w="2211"/>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Đối soát/quản lý kỳ</w:t>
            </w:r>
          </w:p>
        </w:tc>
        <w:tc>
          <w:tcPr>
            <w:tcW w:type="dxa" w:w="2154"/>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Ngân hàng/thanh toán</w:t>
            </w:r>
          </w:p>
        </w:tc>
      </w:tr>
      <w:tr>
        <w:trPr>
          <w:cantSplit/>
        </w:trPr>
        <w:tc>
          <w:tcPr>
            <w:tcW w:type="dxa" w:w="3402"/>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Trả phòng và hoàn cọc</w:t>
            </w:r>
          </w:p>
        </w:tc>
        <w:tc>
          <w:tcPr>
            <w:tcW w:type="dxa" w:w="1928"/>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Cơ bản</w:t>
            </w:r>
          </w:p>
        </w:tc>
        <w:tc>
          <w:tcPr>
            <w:tcW w:type="dxa" w:w="2211"/>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Workflow nâng cao</w:t>
            </w:r>
          </w:p>
        </w:tc>
        <w:tc>
          <w:tcPr>
            <w:tcW w:type="dxa" w:w="2154"/>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w:t>
            </w:r>
          </w:p>
        </w:tc>
      </w:tr>
      <w:tr>
        <w:trPr>
          <w:cantSplit/>
        </w:trPr>
        <w:tc>
          <w:tcPr>
            <w:tcW w:type="dxa" w:w="3402"/>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Zalo/thông báo</w:t>
            </w:r>
          </w:p>
        </w:tc>
        <w:tc>
          <w:tcPr>
            <w:tcW w:type="dxa" w:w="1928"/>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Cơ bản</w:t>
            </w:r>
          </w:p>
        </w:tc>
        <w:tc>
          <w:tcPr>
            <w:tcW w:type="dxa" w:w="2211"/>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Rule đa sự kiện/kênh</w:t>
            </w:r>
          </w:p>
        </w:tc>
        <w:tc>
          <w:tcPr>
            <w:tcW w:type="dxa" w:w="2154"/>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w:t>
            </w:r>
          </w:p>
        </w:tc>
      </w:tr>
      <w:tr>
        <w:trPr>
          <w:cantSplit/>
        </w:trPr>
        <w:tc>
          <w:tcPr>
            <w:tcW w:type="dxa" w:w="3402"/>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Báo cáo</w:t>
            </w:r>
          </w:p>
        </w:tc>
        <w:tc>
          <w:tcPr>
            <w:tcW w:type="dxa" w:w="1928"/>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Vận hành cơ bản</w:t>
            </w:r>
          </w:p>
        </w:tc>
        <w:tc>
          <w:tcPr>
            <w:tcW w:type="dxa" w:w="2211"/>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Quản trị</w:t>
            </w:r>
          </w:p>
        </w:tc>
        <w:tc>
          <w:tcPr>
            <w:tcW w:type="dxa" w:w="2154"/>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BI/tùy chỉnh</w:t>
            </w:r>
          </w:p>
        </w:tc>
      </w:tr>
      <w:tr>
        <w:trPr>
          <w:cantSplit/>
        </w:trPr>
        <w:tc>
          <w:tcPr>
            <w:tcW w:type="dxa" w:w="3402"/>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CRM, sale, hoa hồng</w:t>
            </w:r>
          </w:p>
        </w:tc>
        <w:tc>
          <w:tcPr>
            <w:tcW w:type="dxa" w:w="1928"/>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w:t>
            </w:r>
          </w:p>
        </w:tc>
        <w:tc>
          <w:tcPr>
            <w:tcW w:type="dxa" w:w="2211"/>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Phạm vi chính</w:t>
            </w:r>
          </w:p>
        </w:tc>
        <w:tc>
          <w:tcPr>
            <w:tcW w:type="dxa" w:w="2154"/>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w:t>
            </w:r>
          </w:p>
        </w:tc>
      </w:tr>
      <w:tr>
        <w:trPr>
          <w:cantSplit/>
        </w:trPr>
        <w:tc>
          <w:tcPr>
            <w:tcW w:type="dxa" w:w="3402"/>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Bảo trì/bảo dưỡng</w:t>
            </w:r>
          </w:p>
        </w:tc>
        <w:tc>
          <w:tcPr>
            <w:tcW w:type="dxa" w:w="1928"/>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w:t>
            </w:r>
          </w:p>
        </w:tc>
        <w:tc>
          <w:tcPr>
            <w:tcW w:type="dxa" w:w="2211"/>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Phạm vi chính</w:t>
            </w:r>
          </w:p>
        </w:tc>
        <w:tc>
          <w:tcPr>
            <w:tcW w:type="dxa" w:w="2154"/>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Liên kết tài sản</w:t>
            </w:r>
          </w:p>
        </w:tc>
      </w:tr>
      <w:tr>
        <w:trPr>
          <w:cantSplit/>
        </w:trPr>
        <w:tc>
          <w:tcPr>
            <w:tcW w:type="dxa" w:w="3402"/>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Tài sản/kiểm kê</w:t>
            </w:r>
          </w:p>
        </w:tc>
        <w:tc>
          <w:tcPr>
            <w:tcW w:type="dxa" w:w="1928"/>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Danh mục cơ bản</w:t>
            </w:r>
          </w:p>
        </w:tc>
        <w:tc>
          <w:tcPr>
            <w:tcW w:type="dxa" w:w="2211"/>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Theo dõi bảo trì</w:t>
            </w:r>
          </w:p>
        </w:tc>
        <w:tc>
          <w:tcPr>
            <w:tcW w:type="dxa" w:w="2154"/>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Phạm vi chính</w:t>
            </w:r>
          </w:p>
        </w:tc>
      </w:tr>
      <w:tr>
        <w:trPr>
          <w:cantSplit/>
        </w:trPr>
        <w:tc>
          <w:tcPr>
            <w:tcW w:type="dxa" w:w="3402"/>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Nhân sự</w:t>
            </w:r>
          </w:p>
        </w:tc>
        <w:tc>
          <w:tcPr>
            <w:tcW w:type="dxa" w:w="1928"/>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w:t>
            </w:r>
          </w:p>
        </w:tc>
        <w:tc>
          <w:tcPr>
            <w:tcW w:type="dxa" w:w="2211"/>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w:t>
            </w:r>
          </w:p>
        </w:tc>
        <w:tc>
          <w:tcPr>
            <w:tcW w:type="dxa" w:w="2154"/>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Phạm vi chính</w:t>
            </w:r>
          </w:p>
        </w:tc>
      </w:tr>
      <w:tr>
        <w:trPr>
          <w:cantSplit/>
        </w:trPr>
        <w:tc>
          <w:tcPr>
            <w:tcW w:type="dxa" w:w="3402"/>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Cổ đông và đầu tư</w:t>
            </w:r>
          </w:p>
        </w:tc>
        <w:tc>
          <w:tcPr>
            <w:tcW w:type="dxa" w:w="1928"/>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w:t>
            </w:r>
          </w:p>
        </w:tc>
        <w:tc>
          <w:tcPr>
            <w:tcW w:type="dxa" w:w="2211"/>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w:t>
            </w:r>
          </w:p>
        </w:tc>
        <w:tc>
          <w:tcPr>
            <w:tcW w:type="dxa" w:w="2154"/>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Phạm vi chính</w:t>
            </w:r>
          </w:p>
        </w:tc>
      </w:tr>
    </w:tbl>
    <w:p/>
    <w:p>
      <w:pPr>
        <w:pStyle w:val="Heading1"/>
        <w:keepNext/>
      </w:pPr>
      <w:r>
        <w:t>5. Nguyên tắc bàn giao và nghiệm thu</w:t>
      </w:r>
    </w:p>
    <w:p>
      <w:pPr>
        <w:pStyle w:val="ListBullet"/>
        <w:spacing w:after="60"/>
      </w:pPr>
      <w:r>
        <w:t>Mỗi phase có tài liệu phạm vi riêng, danh sách deliverable và tiêu chí nghiệm thu tương ứng.</w:t>
      </w:r>
    </w:p>
    <w:p>
      <w:pPr>
        <w:pStyle w:val="ListBullet"/>
        <w:spacing w:after="60"/>
      </w:pPr>
      <w:r>
        <w:t>Một phase chỉ được xác nhận hoàn thành khi các luồng nghiệp vụ trọng tâm chạy xuyên suốt trên dữ liệu kiểm thử đã thống nhất.</w:t>
      </w:r>
    </w:p>
    <w:p>
      <w:pPr>
        <w:pStyle w:val="ListBullet"/>
        <w:spacing w:after="60"/>
      </w:pPr>
      <w:r>
        <w:t>Yêu cầu production phải được kiểm thử thêm về phân quyền, bảo mật, hiệu năng, sao lưu, dữ liệu thật và tích hợp thật.</w:t>
      </w:r>
    </w:p>
    <w:p>
      <w:pPr>
        <w:pStyle w:val="ListBullet"/>
        <w:spacing w:after="60"/>
      </w:pPr>
      <w:r>
        <w:t>Hạng mục chưa có công thức hoặc quy trình được duyệt sẽ giữ trạng thái TBD và không được hiểu là đã bao gồm trong cam kết triển khai.</w:t>
      </w:r>
    </w:p>
    <w:p>
      <w:pPr>
        <w:pStyle w:val="Heading1"/>
        <w:keepNext/>
      </w:pPr>
      <w:r>
        <w:t>6. Tài liệu bàn giao theo phase</w:t>
      </w:r>
    </w:p>
    <w:tbl>
      <w:tblPr>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587"/>
            <w:vAlign w:val="center"/>
            <w:shd w:fill="E48732"/>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Mã</w:t>
            </w:r>
          </w:p>
        </w:tc>
        <w:tc>
          <w:tcPr>
            <w:tcW w:type="dxa" w:w="3969"/>
            <w:vAlign w:val="center"/>
            <w:shd w:fill="E48732"/>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Tài liệu</w:t>
            </w:r>
          </w:p>
        </w:tc>
        <w:tc>
          <w:tcPr>
            <w:tcW w:type="dxa" w:w="4139"/>
            <w:vAlign w:val="center"/>
            <w:shd w:fill="E48732"/>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Mục đích</w:t>
            </w:r>
          </w:p>
        </w:tc>
      </w:tr>
      <w:tr>
        <w:trPr>
          <w:cantSplit/>
        </w:trPr>
        <w:tc>
          <w:tcPr>
            <w:tcW w:type="dxa" w:w="1587"/>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TH-SOW-P1</w:t>
            </w:r>
          </w:p>
        </w:tc>
        <w:tc>
          <w:tcPr>
            <w:tcW w:type="dxa" w:w="3969"/>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Phạm vi Phase 1 – Core Rental / Go-live</w:t>
            </w:r>
          </w:p>
        </w:tc>
        <w:tc>
          <w:tcPr>
            <w:tcW w:type="dxa" w:w="4139"/>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Xác nhận phạm vi hiện tại và tiêu chí Go-live</w:t>
            </w:r>
          </w:p>
        </w:tc>
      </w:tr>
      <w:tr>
        <w:trPr>
          <w:cantSplit/>
        </w:trPr>
        <w:tc>
          <w:tcPr>
            <w:tcW w:type="dxa" w:w="1587"/>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TH-SOW-P2</w:t>
            </w:r>
          </w:p>
        </w:tc>
        <w:tc>
          <w:tcPr>
            <w:tcW w:type="dxa" w:w="3969"/>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Phạm vi Phase 2 – Sales, Automation &amp; Operations</w:t>
            </w:r>
          </w:p>
        </w:tc>
        <w:tc>
          <w:tcPr>
            <w:tcW w:type="dxa" w:w="4139"/>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Chốt định hướng CRM, automation và vận hành nâng cao</w:t>
            </w:r>
          </w:p>
        </w:tc>
      </w:tr>
      <w:tr>
        <w:trPr>
          <w:cantSplit/>
        </w:trPr>
        <w:tc>
          <w:tcPr>
            <w:tcW w:type="dxa" w:w="1587"/>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TH-SOW-P3</w:t>
            </w:r>
          </w:p>
        </w:tc>
        <w:tc>
          <w:tcPr>
            <w:tcW w:type="dxa" w:w="3969"/>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Phạm vi Phase 3 – Enterprise &amp; Investment</w:t>
            </w:r>
          </w:p>
        </w:tc>
        <w:tc>
          <w:tcPr>
            <w:tcW w:type="dxa" w:w="4139"/>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Chốt định hướng doanh nghiệp, tài sản và đầu tư</w:t>
            </w:r>
          </w:p>
        </w:tc>
      </w:tr>
    </w:tbl>
    <w:p/>
    <w:p>
      <w:pPr>
        <w:pStyle w:val="Heading1"/>
        <w:keepNext/>
      </w:pPr>
      <w:r>
        <w:t>Giả định và phụ thuộc</w:t>
      </w:r>
    </w:p>
    <w:p>
      <w:pPr>
        <w:pStyle w:val="ListBullet"/>
        <w:spacing w:after="60"/>
      </w:pPr>
      <w:r>
        <w:t>Khách hàng cung cấp dữ liệu mẫu, biểu mẫu, quy trình hiện hành và đầu mối có thẩm quyền xác nhận nghiệp vụ.</w:t>
      </w:r>
    </w:p>
    <w:p>
      <w:pPr>
        <w:pStyle w:val="ListBullet"/>
        <w:spacing w:after="60"/>
      </w:pPr>
      <w:r>
        <w:t>Dữ liệu sử dụng cho kiểm thử và chuyển đổi phải đúng định dạng, đủ chất lượng và được khách hàng xác nhận quyền sử dụng.</w:t>
      </w:r>
    </w:p>
    <w:p>
      <w:pPr>
        <w:pStyle w:val="ListBullet"/>
        <w:spacing w:after="60"/>
      </w:pPr>
      <w:r>
        <w:t>Tích hợp bên thứ ba phụ thuộc tài khoản, hợp đồng dịch vụ, API, hạn mức, chi phí và môi trường kiểm thử do nhà cung cấp hỗ trợ.</w:t>
      </w:r>
    </w:p>
    <w:p>
      <w:pPr>
        <w:pStyle w:val="ListBullet"/>
        <w:spacing w:after="60"/>
      </w:pPr>
      <w:r>
        <w:t>Thời gian và chi phí chỉ được chốt sau khi phạm vi chi tiết, nguồn lực, dữ liệu và phụ thuộc tích hợp được xác nhận.</w:t>
      </w:r>
    </w:p>
    <w:p>
      <w:pPr>
        <w:pStyle w:val="ListBullet"/>
        <w:spacing w:after="60"/>
      </w:pPr>
      <w:r>
        <w:t>Các nội dung kế toán, thuế, đầu tư và dữ liệu cá nhân cần được khách hàng hoặc đơn vị tư vấn chuyên môn xác nhận trước khi đưa vào production.</w:t>
      </w:r>
    </w:p>
    <w:p>
      <w:pPr>
        <w:pStyle w:val="Heading1"/>
        <w:keepNext/>
      </w:pPr>
      <w:r>
        <w:t>Mốc triển khai dự kiến</w:t>
      </w:r>
    </w:p>
    <w:tbl>
      <w:tblPr>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737"/>
            <w:vAlign w:val="center"/>
            <w:shd w:fill="E48732"/>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Mốc</w:t>
            </w:r>
          </w:p>
        </w:tc>
        <w:tc>
          <w:tcPr>
            <w:tcW w:type="dxa" w:w="3628"/>
            <w:vAlign w:val="center"/>
            <w:shd w:fill="E48732"/>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Nội dung</w:t>
            </w:r>
          </w:p>
        </w:tc>
        <w:tc>
          <w:tcPr>
            <w:tcW w:type="dxa" w:w="1701"/>
            <w:vAlign w:val="center"/>
            <w:shd w:fill="E48732"/>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Ngày dự kiến</w:t>
            </w:r>
          </w:p>
        </w:tc>
        <w:tc>
          <w:tcPr>
            <w:tcW w:type="dxa" w:w="3118"/>
            <w:vAlign w:val="center"/>
            <w:shd w:fill="E48732"/>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Điều kiện hoàn thành</w:t>
            </w:r>
          </w:p>
        </w:tc>
      </w:tr>
      <w:tr>
        <w:trPr>
          <w:cantSplit/>
        </w:trPr>
        <w:tc>
          <w:tcPr>
            <w:tcW w:type="dxa" w:w="737"/>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M1</w:t>
            </w:r>
          </w:p>
        </w:tc>
        <w:tc>
          <w:tcPr>
            <w:tcW w:type="dxa" w:w="3628"/>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Xác nhận phạm vi và yêu cầu chi tiết</w:t>
            </w:r>
          </w:p>
        </w:tc>
        <w:tc>
          <w:tcPr>
            <w:tcW w:type="dxa" w:w="1701"/>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TBD</w:t>
            </w:r>
          </w:p>
        </w:tc>
        <w:tc>
          <w:tcPr>
            <w:tcW w:type="dxa" w:w="3118"/>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Biên bản/tài liệu được hai bên xác nhận</w:t>
            </w:r>
          </w:p>
        </w:tc>
      </w:tr>
      <w:tr>
        <w:trPr>
          <w:cantSplit/>
        </w:trPr>
        <w:tc>
          <w:tcPr>
            <w:tcW w:type="dxa" w:w="737"/>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M2</w:t>
            </w:r>
          </w:p>
        </w:tc>
        <w:tc>
          <w:tcPr>
            <w:tcW w:type="dxa" w:w="3628"/>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Thiết kế hoặc cập nhật mockup</w:t>
            </w:r>
          </w:p>
        </w:tc>
        <w:tc>
          <w:tcPr>
            <w:tcW w:type="dxa" w:w="1701"/>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TBD</w:t>
            </w:r>
          </w:p>
        </w:tc>
        <w:tc>
          <w:tcPr>
            <w:tcW w:type="dxa" w:w="3118"/>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Khách hàng duyệt luồng và giao diện chính</w:t>
            </w:r>
          </w:p>
        </w:tc>
      </w:tr>
      <w:tr>
        <w:trPr>
          <w:cantSplit/>
        </w:trPr>
        <w:tc>
          <w:tcPr>
            <w:tcW w:type="dxa" w:w="737"/>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M3</w:t>
            </w:r>
          </w:p>
        </w:tc>
        <w:tc>
          <w:tcPr>
            <w:tcW w:type="dxa" w:w="3628"/>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Phát triển và kiểm thử nội bộ</w:t>
            </w:r>
          </w:p>
        </w:tc>
        <w:tc>
          <w:tcPr>
            <w:tcW w:type="dxa" w:w="1701"/>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TBD</w:t>
            </w:r>
          </w:p>
        </w:tc>
        <w:tc>
          <w:tcPr>
            <w:tcW w:type="dxa" w:w="3118"/>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Đạt tiêu chí kỹ thuật nội bộ</w:t>
            </w:r>
          </w:p>
        </w:tc>
      </w:tr>
      <w:tr>
        <w:trPr>
          <w:cantSplit/>
        </w:trPr>
        <w:tc>
          <w:tcPr>
            <w:tcW w:type="dxa" w:w="737"/>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M4</w:t>
            </w:r>
          </w:p>
        </w:tc>
        <w:tc>
          <w:tcPr>
            <w:tcW w:type="dxa" w:w="3628"/>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UAT với khách hàng</w:t>
            </w:r>
          </w:p>
        </w:tc>
        <w:tc>
          <w:tcPr>
            <w:tcW w:type="dxa" w:w="1701"/>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TBD</w:t>
            </w:r>
          </w:p>
        </w:tc>
        <w:tc>
          <w:tcPr>
            <w:tcW w:type="dxa" w:w="3118"/>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Các lỗi mức nghiêm trọng đã được xử lý</w:t>
            </w:r>
          </w:p>
        </w:tc>
      </w:tr>
      <w:tr>
        <w:trPr>
          <w:cantSplit/>
        </w:trPr>
        <w:tc>
          <w:tcPr>
            <w:tcW w:type="dxa" w:w="737"/>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M5</w:t>
            </w:r>
          </w:p>
        </w:tc>
        <w:tc>
          <w:tcPr>
            <w:tcW w:type="dxa" w:w="3628"/>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Bàn giao/Go-live</w:t>
            </w:r>
          </w:p>
        </w:tc>
        <w:tc>
          <w:tcPr>
            <w:tcW w:type="dxa" w:w="1701"/>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TBD</w:t>
            </w:r>
          </w:p>
        </w:tc>
        <w:tc>
          <w:tcPr>
            <w:tcW w:type="dxa" w:w="3118"/>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Biên bản nghiệm thu và kế hoạch vận hành được duyệt</w:t>
            </w:r>
          </w:p>
        </w:tc>
      </w:tr>
    </w:tbl>
    <w:p/>
    <w:p>
      <w:pPr>
        <w:pStyle w:val="Heading1"/>
        <w:keepNext/>
      </w:pPr>
      <w:r>
        <w:t>Quy trình nghiệm thu</w:t>
      </w:r>
    </w:p>
    <w:p>
      <w:pPr>
        <w:pStyle w:val="ListNumber"/>
        <w:spacing w:after="60"/>
      </w:pPr>
      <w:r>
        <w:t>Đơn vị thực hiện bàn giao phiên bản kiểm thử, tài liệu hướng dẫn và bộ dữ liệu/kịch bản kiểm thử đã thống nhất.</w:t>
      </w:r>
    </w:p>
    <w:p>
      <w:pPr>
        <w:pStyle w:val="ListNumber"/>
        <w:spacing w:after="60"/>
      </w:pPr>
      <w:r>
        <w:t>Khách hàng thực hiện UAT theo tiêu chí nghiệm thu và ghi nhận lỗi hoặc sai khác so với phạm vi đã duyệt.</w:t>
      </w:r>
    </w:p>
    <w:p>
      <w:pPr>
        <w:pStyle w:val="ListNumber"/>
        <w:spacing w:after="60"/>
      </w:pPr>
      <w:r>
        <w:t>Đơn vị thực hiện xử lý các lỗi thuộc phạm vi; các yêu cầu mới được đưa qua quy trình thay đổi phạm vi.</w:t>
      </w:r>
    </w:p>
    <w:p>
      <w:pPr>
        <w:pStyle w:val="ListNumber"/>
        <w:spacing w:after="60"/>
      </w:pPr>
      <w:r>
        <w:t>Hai bên kiểm tra lại và lập biên bản xác nhận hoàn thành hoặc danh sách tồn đọng có thời hạn xử lý.</w:t>
      </w:r>
    </w:p>
    <w:p>
      <w:pPr>
        <w:pStyle w:val="Heading1"/>
        <w:keepNext/>
      </w:pPr>
      <w:r>
        <w:t>Quản lý thay đổi phạm vi</w:t>
      </w:r>
    </w:p>
    <w:p>
      <w:r>
        <w:t>Yêu cầu làm phát sinh chức năng, vai trò, báo cáo, tích hợp, luồng phê duyệt hoặc quy tắc tính toán chưa được mô tả trong lộ trình ba phase được xem là thay đổi phạm vi. Mọi thay đổi cần được ghi nhận bằng Change Request, phân tích ảnh hưởng đến dữ liệu, bảo mật, thời gian và chi phí, sau đó được hai bên phê duyệt bằng văn bản trước khi triển khai.</w:t>
      </w:r>
    </w:p>
    <w:p>
      <w:pPr>
        <w:pStyle w:val="Heading1"/>
        <w:keepNext/>
      </w:pPr>
      <w:r>
        <w:t>Xác nhận phạm vi</w:t>
      </w:r>
    </w:p>
    <w:p>
      <w:r>
        <w:t>Việc ký xác nhận cho biết hai bên đã rà soát và thống nhất phạm vi ở mức nêu trong tài liệu. Thời gian, chi phí, SLA và điều khoản thương mại chỉ có hiệu lực khi được xác nhận trong kế hoạch hoặc phụ lục riêng.</w:t>
      </w:r>
    </w:p>
    <w:tbl>
      <w:tblPr>
        <w:tblW w:type="auto" w:w="0"/>
        <w:jc w:val="center"/>
        <w:tblLayout w:type="fixed"/>
        <w:tblLook w:firstColumn="1" w:firstRow="1" w:lastColumn="0" w:lastRow="0" w:noHBand="0" w:noVBand="1" w:val="04A0"/>
      </w:tblPr>
      <w:tblGrid>
        <w:gridCol w:w="4986"/>
        <w:gridCol w:w="4986"/>
      </w:tblGrid>
      <w:tr>
        <w:trPr>
          <w:tblHeader w:val="true"/>
        </w:trPr>
        <w:tc>
          <w:tcPr>
            <w:tcW w:type="dxa" w:w="4592"/>
            <w:vAlign w:val="center"/>
            <w:shd w:fill="16324F"/>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ĐẠI DIỆN KHÁCH HÀNG</w:t>
            </w:r>
          </w:p>
        </w:tc>
        <w:tc>
          <w:tcPr>
            <w:tcW w:type="dxa" w:w="4592"/>
            <w:vAlign w:val="center"/>
            <w:shd w:fill="16324F"/>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ĐẠI DIỆN ĐƠN VỊ THỰC HIỆN</w:t>
            </w:r>
          </w:p>
        </w:tc>
      </w:tr>
      <w:tr>
        <w:trPr>
          <w:cantSplit/>
        </w:trPr>
        <w:tc>
          <w:tcPr>
            <w:tcW w:type="dxa" w:w="4592"/>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8"/>
              </w:rPr>
              <w:t>Họ tên: ______________________________</w:t>
              <w:br/>
              <w:t>Chức vụ: _____________________________</w:t>
              <w:br/>
              <w:t>Ngày: ______ / ______ / __________</w:t>
              <w:br/>
              <w:br/>
              <w:br/>
              <w:t>Chữ ký: ______________________________</w:t>
            </w:r>
          </w:p>
        </w:tc>
        <w:tc>
          <w:tcPr>
            <w:tcW w:type="dxa" w:w="4592"/>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8"/>
              </w:rPr>
              <w:t>Họ tên: ______________________________</w:t>
              <w:br/>
              <w:t>Chức vụ: _____________________________</w:t>
              <w:br/>
              <w:t>Ngày: ______ / ______ / __________</w:t>
              <w:br/>
              <w:br/>
              <w:br/>
              <w:t>Chữ ký: ______________________________</w:t>
            </w:r>
          </w:p>
        </w:tc>
      </w:tr>
    </w:tbl>
    <w:p/>
    <w:sectPr w:rsidR="00FC693F" w:rsidRPr="0006063C" w:rsidSect="00034616">
      <w:headerReference w:type="default" r:id="rId9"/>
      <w:footerReference w:type="default" r:id="rId10"/>
      <w:pgSz w:w="12240" w:h="15840"/>
      <w:pgMar w:top="1020" w:right="1134"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HSmall"/>
      <w:jc w:val="right"/>
    </w:pPr>
    <w:r>
      <w:t xml:space="preserve">Tài liệu dự thảo – Chỉ sử dụng để xác nhận phạm vi  |  </w:t>
    </w:r>
    <w:r>
      <w:t xml:space="preserve">Trang </w:t>
      <w:fldChar w:fldCharType="begin"/>
      <w:instrText xml:space="preserve">PAGE</w:instrText>
      <w:fldChar w:fldCharType="end"/>
      <w:t xml:space="preserve"> / </w:t>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HSmall"/>
      <w:jc w:val="right"/>
      <w:pBdr>
        <w:bottom w:val="single" w:sz="8" w:space="5" w:color="E48732"/>
      </w:pBdr>
    </w:pPr>
    <w:r>
      <w:rPr>
        <w:b/>
        <w:color w:val="E48732"/>
      </w:rPr>
      <w:t>TIMEHOUSE  |  Lộ trình và phạm vi chức năng theo 3 giai đoạn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color w:val="3F4A5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E48732"/>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eastAsia="Arial"/>
      <w:b/>
      <w:bCs/>
      <w:color w:val="16324F"/>
      <w:sz w:val="2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rial" w:hAnsi="Arial" w:eastAsia="Arial"/>
      <w:b/>
      <w:bCs/>
      <w:color w:val="3F4A5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632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3F4A5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HSmall">
    <w:name w:val="TH Small"/>
    <w:pPr>
      <w:spacing w:after="40"/>
    </w:pPr>
    <w:rPr>
      <w:rFonts w:ascii="Arial" w:hAnsi="Arial" w:eastAsia="Arial"/>
      <w:color w:val="3F4A54"/>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Lộ trình và phạm vi chức năng theo 3 giai đoạn</dc:title>
  <dc:subject>Phạm vi chức năng và lộ trình triển khai TimeHouse</dc:subject>
  <dc:creator>[TÊN ĐƠN VỊ THỰC HIỆN]</dc:creator>
  <cp:keywords>TimeHouse, scope of work, phase, deliverables, acceptance criteria</cp:keywords>
  <dc:description>generated by python-docx</dc:description>
  <cp:lastModifiedBy/>
  <cp:revision>1</cp:revision>
  <dcterms:created xsi:type="dcterms:W3CDTF">2013-12-23T23:15:00Z</dcterms:created>
  <dcterms:modified xsi:type="dcterms:W3CDTF">2013-12-23T23:15:00Z</dcterms:modified>
  <cp:category/>
</cp:coreProperties>
</file>