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color w:val="1769AA"/>
          <w:sz w:val="28"/>
        </w:rPr>
        <w:t>TIMEHOUSE</w:t>
      </w:r>
    </w:p>
    <w:p/>
    <w:p/>
    <w:p>
      <w:pPr>
        <w:jc w:val="left"/>
      </w:pPr>
      <w:r>
        <w:rPr>
          <w:rFonts w:ascii="Arial" w:hAnsi="Arial"/>
          <w:b/>
          <w:color w:val="16324F"/>
          <w:sz w:val="58"/>
        </w:rPr>
        <w:t>PHẠM VI CÔNG VIỆC – PHASE 1 – CORE RENTAL / GO-LIVE</w:t>
      </w:r>
    </w:p>
    <w:p>
      <w:r>
        <w:rPr>
          <w:rFonts w:ascii="Arial" w:hAnsi="Arial"/>
          <w:b/>
          <w:color w:val="1769AA"/>
          <w:sz w:val="30"/>
        </w:rPr>
        <w:t>Software Scope of Work</w:t>
      </w:r>
    </w:p>
    <w:p>
      <w:pPr>
        <w:spacing w:before="360"/>
      </w:pPr>
      <w:r>
        <w:rPr>
          <w:color w:val="3F4A54"/>
          <w:sz w:val="24"/>
        </w:rPr>
        <w:t>Hệ thống quản lý vận hành nhà cho thuê</w:t>
      </w:r>
    </w:p>
    <w:tbl>
      <w:tblPr>
        <w:tblW w:type="auto" w:w="0"/>
        <w:jc w:val="left"/>
        <w:tblLayout w:type="fixed"/>
        <w:tblLook w:firstColumn="1" w:firstRow="1" w:lastColumn="0" w:lastRow="0" w:noHBand="0" w:noVBand="1" w:val="04A0"/>
      </w:tblPr>
      <w:tblGrid>
        <w:gridCol w:w="2835"/>
        <w:gridCol w:w="6520"/>
      </w:tblGrid>
      <w:tr>
        <w:trPr>
          <w:trHeight w:val="454" w:hRule="atLeast"/>
          <w:cantSplit/>
        </w:trPr>
        <w:tc>
          <w:tcPr>
            <w:tcW w:type="dxa" w:w="4986"/>
            <w:vAlign w:val="center"/>
            <w:tcMar>
              <w:top w:w="100" w:type="dxa"/>
              <w:start w:w="120" w:type="dxa"/>
              <w:bottom w:w="100" w:type="dxa"/>
              <w:end w:w="120" w:type="dxa"/>
            </w:tcMar>
            <w:shd w:fill="1769AA"/>
            <w:tcBorders>
              <w:top w:val="single" w:sz="5" w:space="0" w:color="D7DDE3"/>
              <w:left w:val="single" w:sz="5" w:space="0" w:color="D7DDE3"/>
              <w:bottom w:val="single" w:sz="5" w:space="0" w:color="D7DDE3"/>
              <w:right w:val="single" w:sz="5" w:space="0" w:color="D7DDE3"/>
            </w:tcBorders>
          </w:tcPr>
          <w:p>
            <w:r>
              <w:rPr>
                <w:b/>
                <w:color w:val="FFFFFF"/>
                <w:sz w:val="18"/>
              </w:rPr>
              <w:t>Mã tài liệu</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TH-SOW-P1-1.0</w:t>
            </w:r>
          </w:p>
        </w:tc>
      </w:tr>
      <w:tr>
        <w:trPr>
          <w:trHeight w:val="454" w:hRule="atLeast"/>
          <w:cantSplit/>
        </w:trPr>
        <w:tc>
          <w:tcPr>
            <w:tcW w:type="dxa" w:w="4986"/>
            <w:vAlign w:val="center"/>
            <w:tcMar>
              <w:top w:w="100" w:type="dxa"/>
              <w:start w:w="120" w:type="dxa"/>
              <w:bottom w:w="100" w:type="dxa"/>
              <w:end w:w="120" w:type="dxa"/>
            </w:tcMar>
            <w:shd w:fill="1769AA"/>
            <w:tcBorders>
              <w:top w:val="single" w:sz="5" w:space="0" w:color="D7DDE3"/>
              <w:left w:val="single" w:sz="5" w:space="0" w:color="D7DDE3"/>
              <w:bottom w:val="single" w:sz="5" w:space="0" w:color="D7DDE3"/>
              <w:right w:val="single" w:sz="5" w:space="0" w:color="D7DDE3"/>
            </w:tcBorders>
          </w:tcPr>
          <w:p>
            <w:r>
              <w:rPr>
                <w:b/>
                <w:color w:val="FFFFFF"/>
                <w:sz w:val="18"/>
              </w:rPr>
              <w:t>Phiên bản</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1.0</w:t>
            </w:r>
          </w:p>
        </w:tc>
      </w:tr>
      <w:tr>
        <w:trPr>
          <w:trHeight w:val="454" w:hRule="atLeast"/>
          <w:cantSplit/>
        </w:trPr>
        <w:tc>
          <w:tcPr>
            <w:tcW w:type="dxa" w:w="4986"/>
            <w:vAlign w:val="center"/>
            <w:tcMar>
              <w:top w:w="100" w:type="dxa"/>
              <w:start w:w="120" w:type="dxa"/>
              <w:bottom w:w="100" w:type="dxa"/>
              <w:end w:w="120" w:type="dxa"/>
            </w:tcMar>
            <w:shd w:fill="1769AA"/>
            <w:tcBorders>
              <w:top w:val="single" w:sz="5" w:space="0" w:color="D7DDE3"/>
              <w:left w:val="single" w:sz="5" w:space="0" w:color="D7DDE3"/>
              <w:bottom w:val="single" w:sz="5" w:space="0" w:color="D7DDE3"/>
              <w:right w:val="single" w:sz="5" w:space="0" w:color="D7DDE3"/>
            </w:tcBorders>
          </w:tcPr>
          <w:p>
            <w:r>
              <w:rPr>
                <w:b/>
                <w:color w:val="FFFFFF"/>
                <w:sz w:val="18"/>
              </w:rPr>
              <w:t>Ngày phát hành</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14/09/2026</w:t>
            </w:r>
          </w:p>
        </w:tc>
      </w:tr>
      <w:tr>
        <w:trPr>
          <w:trHeight w:val="454" w:hRule="atLeast"/>
          <w:cantSplit/>
        </w:trPr>
        <w:tc>
          <w:tcPr>
            <w:tcW w:type="dxa" w:w="4986"/>
            <w:vAlign w:val="center"/>
            <w:tcMar>
              <w:top w:w="100" w:type="dxa"/>
              <w:start w:w="120" w:type="dxa"/>
              <w:bottom w:w="100" w:type="dxa"/>
              <w:end w:w="120" w:type="dxa"/>
            </w:tcMar>
            <w:shd w:fill="1769AA"/>
            <w:tcBorders>
              <w:top w:val="single" w:sz="5" w:space="0" w:color="D7DDE3"/>
              <w:left w:val="single" w:sz="5" w:space="0" w:color="D7DDE3"/>
              <w:bottom w:val="single" w:sz="5" w:space="0" w:color="D7DDE3"/>
              <w:right w:val="single" w:sz="5" w:space="0" w:color="D7DDE3"/>
            </w:tcBorders>
          </w:tcPr>
          <w:p>
            <w:r>
              <w:rPr>
                <w:b/>
                <w:color w:val="FFFFFF"/>
                <w:sz w:val="18"/>
              </w:rPr>
              <w:t>Trạng thái</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Hiện tại – đã có mockup tương tác</w:t>
            </w:r>
          </w:p>
        </w:tc>
      </w:tr>
      <w:tr>
        <w:trPr>
          <w:trHeight w:val="454" w:hRule="atLeast"/>
          <w:cantSplit/>
        </w:trPr>
        <w:tc>
          <w:tcPr>
            <w:tcW w:type="dxa" w:w="4986"/>
            <w:vAlign w:val="center"/>
            <w:tcMar>
              <w:top w:w="100" w:type="dxa"/>
              <w:start w:w="120" w:type="dxa"/>
              <w:bottom w:w="100" w:type="dxa"/>
              <w:end w:w="120" w:type="dxa"/>
            </w:tcMar>
            <w:shd w:fill="1769AA"/>
            <w:tcBorders>
              <w:top w:val="single" w:sz="5" w:space="0" w:color="D7DDE3"/>
              <w:left w:val="single" w:sz="5" w:space="0" w:color="D7DDE3"/>
              <w:bottom w:val="single" w:sz="5" w:space="0" w:color="D7DDE3"/>
              <w:right w:val="single" w:sz="5" w:space="0" w:color="D7DDE3"/>
            </w:tcBorders>
          </w:tcPr>
          <w:p>
            <w:r>
              <w:rPr>
                <w:b/>
                <w:color w:val="FFFFFF"/>
                <w:sz w:val="18"/>
              </w:rPr>
              <w:t>Khách hàng</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[TÊN KHÁCH HÀNG]</w:t>
            </w:r>
          </w:p>
        </w:tc>
      </w:tr>
    </w:tbl>
    <w:p>
      <w:pPr>
        <w:spacing w:before="840"/>
        <w:jc w:val="left"/>
      </w:pPr>
      <w:r>
        <w:rPr>
          <w:color w:val="3F4A54"/>
          <w:sz w:val="20"/>
        </w:rPr>
        <w:t>Đơn vị thực hiện: [TÊN ĐƠN VỊ THỰC HIỆN]</w:t>
        <w:br/>
        <w:t>Tài liệu dành cho: [TÊN KHÁCH HÀNG]</w:t>
      </w:r>
    </w:p>
    <w:p>
      <w:r>
        <w:br w:type="page"/>
      </w:r>
    </w:p>
    <w:p>
      <w:pPr>
        <w:pStyle w:val="Heading1"/>
      </w:pPr>
      <w:r>
        <w:t>Kiểm soát tài liệu</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247"/>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Phiên bản</w:t>
            </w:r>
          </w:p>
        </w:tc>
        <w:tc>
          <w:tcPr>
            <w:tcW w:type="dxa" w:w="1531"/>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Ngày</w:t>
            </w:r>
          </w:p>
        </w:tc>
        <w:tc>
          <w:tcPr>
            <w:tcW w:type="dxa" w:w="1871"/>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Trạng thái</w:t>
            </w:r>
          </w:p>
        </w:tc>
        <w:tc>
          <w:tcPr>
            <w:tcW w:type="dxa" w:w="4535"/>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Mục đích phát hành</w:t>
            </w:r>
          </w:p>
        </w:tc>
      </w:tr>
      <w:tr>
        <w:trPr>
          <w:cantSplit/>
        </w:trPr>
        <w:tc>
          <w:tcPr>
            <w:tcW w:type="dxa" w:w="124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1.0</w:t>
            </w:r>
          </w:p>
        </w:tc>
        <w:tc>
          <w:tcPr>
            <w:tcW w:type="dxa" w:w="153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14/09/2026</w:t>
            </w:r>
          </w:p>
        </w:tc>
        <w:tc>
          <w:tcPr>
            <w:tcW w:type="dxa" w:w="187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Hiện tại – đã có mockup tương tác</w:t>
            </w:r>
          </w:p>
        </w:tc>
        <w:tc>
          <w:tcPr>
            <w:tcW w:type="dxa" w:w="45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Xác nhận phạm vi hiện tại và tiêu chí triển khai production/Go-live</w:t>
            </w:r>
          </w:p>
        </w:tc>
      </w:tr>
    </w:tbl>
    <w:p/>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Vai trò</w:t>
            </w:r>
          </w:p>
        </w:tc>
        <w:tc>
          <w:tcPr>
            <w:tcW w:type="dxa" w:w="3402"/>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Đơn vị/Họ tên</w:t>
            </w:r>
          </w:p>
        </w:tc>
        <w:tc>
          <w:tcPr>
            <w:tcW w:type="dxa" w:w="3515"/>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Trách nhiệm</w:t>
            </w:r>
          </w:p>
        </w:tc>
      </w:tr>
      <w:tr>
        <w:trPr>
          <w:cantSplit/>
        </w:trPr>
        <w:tc>
          <w:tcPr>
            <w:tcW w:type="dxa" w:w="226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Đại diện khách hàng</w:t>
            </w:r>
          </w:p>
        </w:tc>
        <w:tc>
          <w:tcPr>
            <w:tcW w:type="dxa" w:w="340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[TÊN KHÁCH HÀNG]</w:t>
            </w:r>
          </w:p>
        </w:tc>
        <w:tc>
          <w:tcPr>
            <w:tcW w:type="dxa" w:w="351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Rà soát nghiệp vụ và xác nhận phạm vi</w:t>
            </w:r>
          </w:p>
        </w:tc>
      </w:tr>
      <w:tr>
        <w:trPr>
          <w:cantSplit/>
        </w:trPr>
        <w:tc>
          <w:tcPr>
            <w:tcW w:type="dxa" w:w="226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Đơn vị thực hiện</w:t>
            </w:r>
          </w:p>
        </w:tc>
        <w:tc>
          <w:tcPr>
            <w:tcW w:type="dxa" w:w="3402"/>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[TÊN ĐƠN VỊ THỰC HIỆN]</w:t>
            </w:r>
          </w:p>
        </w:tc>
        <w:tc>
          <w:tcPr>
            <w:tcW w:type="dxa" w:w="351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Phân tích, triển khai và bàn giao theo phạm vi được duyệt</w:t>
            </w:r>
          </w:p>
        </w:tc>
      </w:tr>
    </w:tbl>
    <w:p/>
    <w:p>
      <w:pPr>
        <w:pStyle w:val="Heading1"/>
      </w:pPr>
      <w:r>
        <w:t>Mục lục</w:t>
      </w:r>
    </w:p>
    <w:p>
      <w:r>
        <w:fldChar w:fldCharType="begin"/>
        <w:instrText xml:space="preserve">TOC \o "1-3" \h \z \u</w:instrText>
        <w:fldChar w:fldCharType="end"/>
      </w:r>
    </w:p>
    <w:p>
      <w:pPr>
        <w:pStyle w:val="THSmall"/>
      </w:pPr>
      <w:r>
        <w:t>Mục lục sẽ tự cập nhật khi mở bằng Microsoft Word. Nếu chưa hiển thị, chọn toàn bộ tài liệu và nhấn F9.</w:t>
      </w:r>
    </w:p>
    <w:p>
      <w:r>
        <w:br w:type="page"/>
      </w:r>
    </w:p>
    <w:p>
      <w:pPr>
        <w:pStyle w:val="Heading1"/>
        <w:keepNext/>
      </w:pPr>
      <w:r>
        <w:t>1. Bối cảnh và mục tiêu</w:t>
      </w:r>
    </w:p>
    <w:p>
      <w:r>
        <w:t>Hoàn thiện luồng nghiệp vụ tối thiểu để doanh nghiệp quản lý hoạt động cho thuê hằng ngày trên một hệ thống thống nhất, giảm theo dõi rời rạc và tạo nền tảng dữ liệu cho các phase tiếp theo.</w:t>
      </w:r>
    </w:p>
    <w:tbl>
      <w:tblPr>
        <w:tblW w:type="auto" w:w="0"/>
        <w:jc w:val="center"/>
        <w:tblLook w:firstColumn="1" w:firstRow="1" w:lastColumn="0" w:lastRow="0" w:noHBand="0" w:noVBand="1" w:val="04A0"/>
      </w:tblPr>
      <w:tblGrid>
        <w:gridCol w:w="9972"/>
      </w:tblGrid>
      <w:tr>
        <w:tc>
          <w:tcPr>
            <w:tcW w:type="dxa" w:w="9972"/>
            <w:shd w:fill="EAF3F9"/>
            <w:tcMar>
              <w:top w:w="160" w:type="dxa"/>
              <w:start w:w="180" w:type="dxa"/>
              <w:bottom w:w="160" w:type="dxa"/>
              <w:end w:w="180" w:type="dxa"/>
            </w:tcMar>
            <w:tcBorders>
              <w:left w:val="single" w:sz="18" w:space="0" w:color="1769AA"/>
            </w:tcBorders>
          </w:tcPr>
          <w:p>
            <w:r>
              <w:rPr>
                <w:b/>
                <w:color w:val="1769AA"/>
              </w:rPr>
              <w:t>TRẠNG THÁI HIỆN TẠI</w:t>
              <w:br/>
            </w:r>
            <w:r>
              <w:rPr>
                <w:color w:val="3F4A54"/>
              </w:rPr>
              <w:t>Phase 1 đã có mockup tương tác để demo và xác nhận nghiệp vụ. Mockup dùng localStorage trên trình duyệt; gửi Zalo và các dịch vụ ngoài hệ thống đang được mô phỏng. Việc triển khai production cần backend, cơ sở dữ liệu, hạ tầng, bảo mật, sao lưu và tích hợp thật theo kế hoạch riêng.</w:t>
            </w:r>
          </w:p>
        </w:tc>
      </w:tr>
    </w:tbl>
    <w:p>
      <w:pPr>
        <w:pStyle w:val="Heading1"/>
        <w:keepNext/>
      </w:pPr>
      <w:r>
        <w:t>2. Phạm vi chức năng</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907"/>
            <w:vAlign w:val="center"/>
            <w:shd w:fill="1769AA"/>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Mã</w:t>
            </w:r>
          </w:p>
        </w:tc>
        <w:tc>
          <w:tcPr>
            <w:tcW w:type="dxa" w:w="2154"/>
            <w:vAlign w:val="center"/>
            <w:shd w:fill="1769AA"/>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Nhóm chức năng</w:t>
            </w:r>
          </w:p>
        </w:tc>
        <w:tc>
          <w:tcPr>
            <w:tcW w:type="dxa" w:w="4139"/>
            <w:vAlign w:val="center"/>
            <w:shd w:fill="1769AA"/>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Nội dung chính</w:t>
            </w:r>
          </w:p>
        </w:tc>
        <w:tc>
          <w:tcPr>
            <w:tcW w:type="dxa" w:w="2835"/>
            <w:vAlign w:val="center"/>
            <w:shd w:fill="1769AA"/>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Kết quả mong đợi</w:t>
            </w:r>
          </w:p>
        </w:tc>
      </w:tr>
      <w:tr>
        <w:trPr>
          <w:cantSplit/>
        </w:trPr>
        <w:tc>
          <w:tcPr>
            <w:tcW w:type="dxa" w:w="90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P1-F01</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Đăng nhập và phân quyền</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Đăng nhập/đăng xuất; tài khoản; vai trò Admin, Kế toán, Quản lý/Vận hành; phạm vi theo tòa</w:t>
            </w:r>
          </w:p>
        </w:tc>
        <w:tc>
          <w:tcPr>
            <w:tcW w:type="dxa" w:w="28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Người dùng chỉ xem và thao tác đúng quyền</w:t>
            </w:r>
          </w:p>
        </w:tc>
      </w:tr>
      <w:tr>
        <w:trPr>
          <w:cantSplit/>
        </w:trPr>
        <w:tc>
          <w:tcPr>
            <w:tcW w:type="dxa" w:w="90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P1-F02</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Tổng quan</w:t>
            </w:r>
          </w:p>
        </w:tc>
        <w:tc>
          <w:tcPr>
            <w:tcW w:type="dxa" w:w="4139"/>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Tình trạng phòng; phải thu, đã thu, còn nợ, quá hạn; việc cần xử lý</w:t>
            </w:r>
          </w:p>
        </w:tc>
        <w:tc>
          <w:tcPr>
            <w:tcW w:type="dxa" w:w="283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Nắm nhanh tình hình vận hành và tài chính</w:t>
            </w:r>
          </w:p>
        </w:tc>
      </w:tr>
      <w:tr>
        <w:trPr>
          <w:cantSplit/>
        </w:trPr>
        <w:tc>
          <w:tcPr>
            <w:tcW w:type="dxa" w:w="90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P1-F03</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Tòa nhà và chủ nhà</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Hồ sơ tòa, người phụ trách, chủ nhà, hợp đồng đầu vào và lịch thanh toán cơ bản</w:t>
            </w:r>
          </w:p>
        </w:tc>
        <w:tc>
          <w:tcPr>
            <w:tcW w:type="dxa" w:w="28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Quản lý tập trung thông tin đầu vào</w:t>
            </w:r>
          </w:p>
        </w:tc>
      </w:tr>
      <w:tr>
        <w:trPr>
          <w:cantSplit/>
        </w:trPr>
        <w:tc>
          <w:tcPr>
            <w:tcW w:type="dxa" w:w="90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P1-F04</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Phòng</w:t>
            </w:r>
          </w:p>
        </w:tc>
        <w:tc>
          <w:tcPr>
            <w:tcW w:type="dxa" w:w="4139"/>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Danh sách/chi tiết; giá; dịch vụ; import; trạng thái Sẵn sàng, Đang thuê, Chờ dọn, Bảo trì, Ngừng sử dụng</w:t>
            </w:r>
          </w:p>
        </w:tc>
        <w:tc>
          <w:tcPr>
            <w:tcW w:type="dxa" w:w="283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Theo dõi khả năng khai thác từng phòng</w:t>
            </w:r>
          </w:p>
        </w:tc>
      </w:tr>
      <w:tr>
        <w:trPr>
          <w:cantSplit/>
        </w:trPr>
        <w:tc>
          <w:tcPr>
            <w:tcW w:type="dxa" w:w="90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P1-F05</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Khách thuê</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Hồ sơ, liên hệ/Zalo, giấy tờ, phương tiện, lịch sử thuê, công nợ và import</w:t>
            </w:r>
          </w:p>
        </w:tc>
        <w:tc>
          <w:tcPr>
            <w:tcW w:type="dxa" w:w="28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Hồ sơ khách liên kết với phòng/hợp đồng</w:t>
            </w:r>
          </w:p>
        </w:tc>
      </w:tr>
      <w:tr>
        <w:trPr>
          <w:cantSplit/>
        </w:trPr>
        <w:tc>
          <w:tcPr>
            <w:tcW w:type="dxa" w:w="90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P1-F06</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Hợp đồng thuê</w:t>
            </w:r>
          </w:p>
        </w:tc>
        <w:tc>
          <w:tcPr>
            <w:tcW w:type="dxa" w:w="4139"/>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Tạo nháp, kích hoạt, gia hạn, kết thúc/hủy; giá, cọc, kỳ, thành viên, dịch vụ và tệp đính kèm</w:t>
            </w:r>
          </w:p>
        </w:tc>
        <w:tc>
          <w:tcPr>
            <w:tcW w:type="dxa" w:w="283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Quản lý vòng đời hợp đồng và trạng thái phòng</w:t>
            </w:r>
          </w:p>
        </w:tc>
      </w:tr>
      <w:tr>
        <w:trPr>
          <w:cantSplit/>
        </w:trPr>
        <w:tc>
          <w:tcPr>
            <w:tcW w:type="dxa" w:w="90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P1-F07</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Dịch vụ và điện nước</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Danh mục/bảng giá; nhập/import chỉ số; đối chiếu kỳ trước; cảnh báo bất thường</w:t>
            </w:r>
          </w:p>
        </w:tc>
        <w:tc>
          <w:tcPr>
            <w:tcW w:type="dxa" w:w="28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Chuẩn hóa dữ liệu đầu vào để tính tiền</w:t>
            </w:r>
          </w:p>
        </w:tc>
      </w:tr>
      <w:tr>
        <w:trPr>
          <w:cantSplit/>
        </w:trPr>
        <w:tc>
          <w:tcPr>
            <w:tcW w:type="dxa" w:w="90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P1-F08</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Hóa đơn</w:t>
            </w:r>
          </w:p>
        </w:tc>
        <w:tc>
          <w:tcPr>
            <w:tcW w:type="dxa" w:w="4139"/>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Tạo đơn lẻ/hàng loạt; nháp, phát hành, hủy/điều chỉnh; chi tiết phí và bản in/PDF</w:t>
            </w:r>
          </w:p>
        </w:tc>
        <w:tc>
          <w:tcPr>
            <w:tcW w:type="dxa" w:w="283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Lập hóa đơn và theo dõi trạng thái thanh toán</w:t>
            </w:r>
          </w:p>
        </w:tc>
      </w:tr>
      <w:tr>
        <w:trPr>
          <w:cantSplit/>
        </w:trPr>
        <w:tc>
          <w:tcPr>
            <w:tcW w:type="dxa" w:w="90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P1-F09</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Công nợ và thu tiền</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Phải thu/đã thu/còn nợ/quá hạn; thu đủ/một phần; phân bổ; minh chứng; hoàn tác theo quyền</w:t>
            </w:r>
          </w:p>
        </w:tc>
        <w:tc>
          <w:tcPr>
            <w:tcW w:type="dxa" w:w="28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Công nợ cập nhật theo khoản thu thực tế</w:t>
            </w:r>
          </w:p>
        </w:tc>
      </w:tr>
      <w:tr>
        <w:trPr>
          <w:cantSplit/>
        </w:trPr>
        <w:tc>
          <w:tcPr>
            <w:tcW w:type="dxa" w:w="90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P1-F10</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Trả phòng và hoàn cọc</w:t>
            </w:r>
          </w:p>
        </w:tc>
        <w:tc>
          <w:tcPr>
            <w:tcW w:type="dxa" w:w="4139"/>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Kết thúc HĐ; kiểm tra nợ; khấu trừ; duyệt; ghi nhận hoàn; Chờ dọn và xác nhận dọn xong</w:t>
            </w:r>
          </w:p>
        </w:tc>
        <w:tc>
          <w:tcPr>
            <w:tcW w:type="dxa" w:w="283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Khép kín vòng đời thuê và đưa phòng về Sẵn sàng</w:t>
            </w:r>
          </w:p>
        </w:tc>
      </w:tr>
      <w:tr>
        <w:trPr>
          <w:cantSplit/>
        </w:trPr>
        <w:tc>
          <w:tcPr>
            <w:tcW w:type="dxa" w:w="90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P1-F11</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Chi phí cơ bản</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Khoản chi theo nhóm, tòa, ngày, số tiền, chứng từ và ghi chú</w:t>
            </w:r>
          </w:p>
        </w:tc>
        <w:tc>
          <w:tcPr>
            <w:tcW w:type="dxa" w:w="28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Có dữ liệu chi phí vận hành ban đầu</w:t>
            </w:r>
          </w:p>
        </w:tc>
      </w:tr>
      <w:tr>
        <w:trPr>
          <w:cantSplit/>
        </w:trPr>
        <w:tc>
          <w:tcPr>
            <w:tcW w:type="dxa" w:w="90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P1-F12</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Thông báo Zalo</w:t>
            </w:r>
          </w:p>
        </w:tc>
        <w:tc>
          <w:tcPr>
            <w:tcW w:type="dxa" w:w="4139"/>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Cấu hình mẫu/sự kiện; chọn người nhận; re-check công nợ; theo dõi kết quả; retry</w:t>
            </w:r>
          </w:p>
        </w:tc>
        <w:tc>
          <w:tcPr>
            <w:tcW w:type="dxa" w:w="283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Hỗ trợ gửi hóa đơn và nhắc công nợ có kiểm soát</w:t>
            </w:r>
          </w:p>
        </w:tc>
      </w:tr>
      <w:tr>
        <w:trPr>
          <w:cantSplit/>
        </w:trPr>
        <w:tc>
          <w:tcPr>
            <w:tcW w:type="dxa" w:w="90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P1-F13</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Báo cáo và import</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Báo cáo phòng/công nợ/thu tiền; import phòng, khách, chỉ số và hóa đơn</w:t>
            </w:r>
          </w:p>
        </w:tc>
        <w:tc>
          <w:tcPr>
            <w:tcW w:type="dxa" w:w="28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Hỗ trợ vận hành, đối chiếu và cập nhật hàng loạt</w:t>
            </w:r>
          </w:p>
        </w:tc>
      </w:tr>
    </w:tbl>
    <w:p/>
    <w:p>
      <w:pPr>
        <w:pStyle w:val="Heading1"/>
        <w:keepNext/>
      </w:pPr>
      <w:r>
        <w:t>3. Luồng nghiệp vụ trọng tâm</w:t>
      </w:r>
    </w:p>
    <w:p>
      <w:pPr>
        <w:pStyle w:val="ListNumber"/>
        <w:spacing w:after="60"/>
      </w:pPr>
      <w:r>
        <w:t>Tạo hoặc import khách thuê.</w:t>
      </w:r>
    </w:p>
    <w:p>
      <w:pPr>
        <w:pStyle w:val="ListNumber"/>
        <w:spacing w:after="60"/>
      </w:pPr>
      <w:r>
        <w:t>Chọn phòng Sẵn sàng; tạo và kích hoạt hợp đồng với giá, cọc, kỳ thanh toán và dịch vụ.</w:t>
      </w:r>
    </w:p>
    <w:p>
      <w:pPr>
        <w:pStyle w:val="ListNumber"/>
        <w:spacing w:after="60"/>
      </w:pPr>
      <w:r>
        <w:t>Ghi nhận chỉ số điện nước; tạo và phát hành hóa đơn theo kỳ.</w:t>
      </w:r>
    </w:p>
    <w:p>
      <w:pPr>
        <w:pStyle w:val="ListNumber"/>
        <w:spacing w:after="60"/>
      </w:pPr>
      <w:r>
        <w:t>Gửi thông báo hóa đơn; xem công nợ và ghi nhận thu đủ hoặc một phần.</w:t>
      </w:r>
    </w:p>
    <w:p>
      <w:pPr>
        <w:pStyle w:val="ListNumber"/>
        <w:spacing w:after="60"/>
      </w:pPr>
      <w:r>
        <w:t>Gửi nhắc công nợ; theo dõi trạng thái và thử lại trường hợp gửi lỗi.</w:t>
      </w:r>
    </w:p>
    <w:p>
      <w:pPr>
        <w:pStyle w:val="ListNumber"/>
        <w:spacing w:after="60"/>
      </w:pPr>
      <w:r>
        <w:t>Kết thúc hợp đồng; lập, duyệt và ghi nhận hồ sơ hoàn cọc.</w:t>
      </w:r>
    </w:p>
    <w:p>
      <w:pPr>
        <w:pStyle w:val="ListNumber"/>
        <w:spacing w:after="60"/>
      </w:pPr>
      <w:r>
        <w:t>Chuyển phòng sang Chờ dọn; xác nhận dọn xong và đưa phòng về Sẵn sàng.</w:t>
      </w:r>
    </w:p>
    <w:p>
      <w:pPr>
        <w:pStyle w:val="ListNumber"/>
        <w:spacing w:after="60"/>
      </w:pPr>
      <w:r>
        <w:t>Kiểm tra báo cáo phòng, công nợ và thu tiền theo kỳ.</w:t>
      </w:r>
    </w:p>
    <w:p>
      <w:pPr>
        <w:pStyle w:val="Heading1"/>
        <w:keepNext/>
      </w:pPr>
      <w:r>
        <w:t>4. Kết quả bàn giao (Deliverables)</w:t>
      </w:r>
    </w:p>
    <w:tbl>
      <w:tblPr>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964"/>
            <w:vAlign w:val="center"/>
            <w:shd w:fill="1769AA"/>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Mã</w:t>
            </w:r>
          </w:p>
        </w:tc>
        <w:tc>
          <w:tcPr>
            <w:tcW w:type="dxa" w:w="1984"/>
            <w:vAlign w:val="center"/>
            <w:shd w:fill="1769AA"/>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Kết quả bàn giao</w:t>
            </w:r>
          </w:p>
        </w:tc>
        <w:tc>
          <w:tcPr>
            <w:tcW w:type="dxa" w:w="2551"/>
            <w:vAlign w:val="center"/>
            <w:shd w:fill="1769AA"/>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Nội dung</w:t>
            </w:r>
          </w:p>
        </w:tc>
        <w:tc>
          <w:tcPr>
            <w:tcW w:type="dxa" w:w="3118"/>
            <w:vAlign w:val="center"/>
            <w:shd w:fill="1769AA"/>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Tiêu chí chấp nhận</w:t>
            </w:r>
          </w:p>
        </w:tc>
        <w:tc>
          <w:tcPr>
            <w:tcW w:type="dxa" w:w="1701"/>
            <w:vAlign w:val="center"/>
            <w:shd w:fill="1769AA"/>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Hiện trạng</w:t>
            </w:r>
          </w:p>
        </w:tc>
      </w:tr>
      <w:tr>
        <w:trPr>
          <w:cantSplit/>
        </w:trPr>
        <w:tc>
          <w:tcPr>
            <w:tcW w:type="dxa" w:w="96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P1-D01</w:t>
            </w:r>
          </w:p>
        </w:tc>
        <w:tc>
          <w:tcPr>
            <w:tcW w:type="dxa" w:w="198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Bộ màn hình và luồng Phase 1</w:t>
            </w:r>
          </w:p>
        </w:tc>
        <w:tc>
          <w:tcPr>
            <w:tcW w:type="dxa" w:w="255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Các nhóm chức năng P1-F01 đến P1-F13</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Các màn/luồng được duyệt theo yêu cầu chi tiết</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Đang có mockup</w:t>
            </w:r>
          </w:p>
        </w:tc>
      </w:tr>
      <w:tr>
        <w:trPr>
          <w:cantSplit/>
        </w:trPr>
        <w:tc>
          <w:tcPr>
            <w:tcW w:type="dxa" w:w="96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P1-D02</w:t>
            </w:r>
          </w:p>
        </w:tc>
        <w:tc>
          <w:tcPr>
            <w:tcW w:type="dxa" w:w="198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Dữ liệu và import</w:t>
            </w:r>
          </w:p>
        </w:tc>
        <w:tc>
          <w:tcPr>
            <w:tcW w:type="dxa" w:w="255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File mẫu, kiểm tra dữ liệu, kết quả import</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Import thành công dữ liệu hợp lệ; nêu rõ dòng lỗi</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Đang có mockup</w:t>
            </w:r>
          </w:p>
        </w:tc>
      </w:tr>
      <w:tr>
        <w:trPr>
          <w:cantSplit/>
        </w:trPr>
        <w:tc>
          <w:tcPr>
            <w:tcW w:type="dxa" w:w="96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P1-D03</w:t>
            </w:r>
          </w:p>
        </w:tc>
        <w:tc>
          <w:tcPr>
            <w:tcW w:type="dxa" w:w="198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Phân quyền</w:t>
            </w:r>
          </w:p>
        </w:tc>
        <w:tc>
          <w:tcPr>
            <w:tcW w:type="dxa" w:w="255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Ba vai trò Phase 1 và phạm vi theo tòa</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Kịch bản quyền được kiểm thử và không lộ dữ liệu ngoài phạm vi</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Đang có mockup</w:t>
            </w:r>
          </w:p>
        </w:tc>
      </w:tr>
      <w:tr>
        <w:trPr>
          <w:cantSplit/>
        </w:trPr>
        <w:tc>
          <w:tcPr>
            <w:tcW w:type="dxa" w:w="96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P1-D04</w:t>
            </w:r>
          </w:p>
        </w:tc>
        <w:tc>
          <w:tcPr>
            <w:tcW w:type="dxa" w:w="198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Tích hợp thông báo</w:t>
            </w:r>
          </w:p>
        </w:tc>
        <w:tc>
          <w:tcPr>
            <w:tcW w:type="dxa" w:w="255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Kết nối Zalo production sau khi có tài khoản/API</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Gửi/nhận kết quả qua môi trường thật và có log đối soát</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Chưa tích hợp thật</w:t>
            </w:r>
          </w:p>
        </w:tc>
      </w:tr>
      <w:tr>
        <w:trPr>
          <w:cantSplit/>
        </w:trPr>
        <w:tc>
          <w:tcPr>
            <w:tcW w:type="dxa" w:w="96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P1-D05</w:t>
            </w:r>
          </w:p>
        </w:tc>
        <w:tc>
          <w:tcPr>
            <w:tcW w:type="dxa" w:w="198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Báo cáo và xuất dữ liệu</w:t>
            </w:r>
          </w:p>
        </w:tc>
        <w:tc>
          <w:tcPr>
            <w:tcW w:type="dxa" w:w="255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Phòng, công nợ, thu tiền</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Số liệu đối chiếu đúng với bộ dữ liệu chuẩn</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Đang có mockup</w:t>
            </w:r>
          </w:p>
        </w:tc>
      </w:tr>
      <w:tr>
        <w:trPr>
          <w:cantSplit/>
        </w:trPr>
        <w:tc>
          <w:tcPr>
            <w:tcW w:type="dxa" w:w="96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P1-D06</w:t>
            </w:r>
          </w:p>
        </w:tc>
        <w:tc>
          <w:tcPr>
            <w:tcW w:type="dxa" w:w="198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Tài liệu bàn giao</w:t>
            </w:r>
          </w:p>
        </w:tc>
        <w:tc>
          <w:tcPr>
            <w:tcW w:type="dxa" w:w="255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Hướng dẫn sử dụng, cấu hình, triển khai và biên bản UAT</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Tài liệu được bàn giao và khách hàng xác nhận</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Chờ production</w:t>
            </w:r>
          </w:p>
        </w:tc>
      </w:tr>
    </w:tbl>
    <w:p/>
    <w:p>
      <w:pPr>
        <w:pStyle w:val="Heading1"/>
        <w:keepNext/>
      </w:pPr>
      <w:r>
        <w:t>5. Tiêu chí nghiệm thu</w:t>
      </w:r>
    </w:p>
    <w:p>
      <w:pPr>
        <w:pStyle w:val="ListBullet"/>
        <w:spacing w:after="60"/>
      </w:pPr>
      <w:r>
        <w:t>Hoàn thành xuyên suốt luồng từ tạo khách, hợp đồng, hóa đơn, thu tiền đến trả phòng trên dữ liệu UAT.</w:t>
      </w:r>
    </w:p>
    <w:p>
      <w:pPr>
        <w:pStyle w:val="ListBullet"/>
        <w:spacing w:after="60"/>
      </w:pPr>
      <w:r>
        <w:t>Trạng thái phòng, hợp đồng, hóa đơn, công nợ và hoàn cọc chuyển đúng theo quy tắc đã chốt.</w:t>
      </w:r>
    </w:p>
    <w:p>
      <w:pPr>
        <w:pStyle w:val="ListBullet"/>
        <w:spacing w:after="60"/>
      </w:pPr>
      <w:r>
        <w:t>Ba vai trò Phase 1 truy cập đúng chức năng và dữ liệu được phân công.</w:t>
      </w:r>
    </w:p>
    <w:p>
      <w:pPr>
        <w:pStyle w:val="ListBullet"/>
        <w:spacing w:after="60"/>
      </w:pPr>
      <w:r>
        <w:t>Số liệu báo cáo đối chiếu đúng với dữ liệu nguồn và công thức được duyệt.</w:t>
      </w:r>
    </w:p>
    <w:p>
      <w:pPr>
        <w:pStyle w:val="ListBullet"/>
        <w:spacing w:after="60"/>
      </w:pPr>
      <w:r>
        <w:t>Các tích hợp production có log kết quả và cơ chế xử lý lỗi theo tài liệu tích hợp.</w:t>
      </w:r>
    </w:p>
    <w:p>
      <w:pPr>
        <w:pStyle w:val="ListBullet"/>
        <w:spacing w:after="60"/>
      </w:pPr>
      <w:r>
        <w:t>Không còn lỗi mức Blocker/Critical; các lỗi còn lại có phương án và thời hạn được khách hàng chấp thuận.</w:t>
      </w:r>
    </w:p>
    <w:p>
      <w:r>
        <w:t>Bộ dữ liệu UAT, mức độ lỗi, thời gian phản hồi và danh sách trình duyệt/thiết bị hỗ trợ sẽ được chốt trong Kế hoạch kiểm thử trước khi bắt đầu UAT.</w:t>
      </w:r>
    </w:p>
    <w:p>
      <w:pPr>
        <w:pStyle w:val="Heading1"/>
        <w:keepNext/>
      </w:pPr>
      <w:r>
        <w:t>6. Ngoài phạm vi</w:t>
      </w:r>
    </w:p>
    <w:p>
      <w:pPr>
        <w:pStyle w:val="ListBullet"/>
        <w:spacing w:after="60"/>
      </w:pPr>
      <w:r>
        <w:t>CRM/Lead, lịch xem phòng, giữ chỗ tự động, quản lý kênh và hoa hồng sale.</w:t>
      </w:r>
    </w:p>
    <w:p>
      <w:pPr>
        <w:pStyle w:val="ListBullet"/>
        <w:spacing w:after="60"/>
      </w:pPr>
      <w:r>
        <w:t>OCR/AI trích xuất hợp đồng, chữ ký điện tử và phê duyệt hợp đồng nhiều cấp.</w:t>
      </w:r>
    </w:p>
    <w:p>
      <w:pPr>
        <w:pStyle w:val="ListBullet"/>
        <w:spacing w:after="60"/>
      </w:pPr>
      <w:r>
        <w:t>Import bảng kê ngân hàng, đối soát hoặc tự động khớp giao dịch.</w:t>
      </w:r>
    </w:p>
    <w:p>
      <w:pPr>
        <w:pStyle w:val="ListBullet"/>
        <w:spacing w:after="60"/>
      </w:pPr>
      <w:r>
        <w:t>Bảo trì/sửa chữa, lịch bảo dưỡng và quản lý nhà cung cấp nâng cao.</w:t>
      </w:r>
    </w:p>
    <w:p>
      <w:pPr>
        <w:pStyle w:val="ListBullet"/>
        <w:spacing w:after="60"/>
      </w:pPr>
      <w:r>
        <w:t>Workflow hoàn cọc nhiều cấp hoặc theo ngưỡng số tiền.</w:t>
      </w:r>
    </w:p>
    <w:p>
      <w:pPr>
        <w:pStyle w:val="ListBullet"/>
        <w:spacing w:after="60"/>
      </w:pPr>
      <w:r>
        <w:t>Rule Builder đa kênh, fallback SMS/email và hội thoại hai chiều.</w:t>
      </w:r>
    </w:p>
    <w:p>
      <w:pPr>
        <w:pStyle w:val="ListBullet"/>
        <w:spacing w:after="60"/>
      </w:pPr>
      <w:r>
        <w:t>BI, lợi nhuận, dòng tiền, khóa kỳ và trình tạo báo cáo tùy chỉnh.</w:t>
      </w:r>
    </w:p>
    <w:p>
      <w:pPr>
        <w:pStyle w:val="ListBullet"/>
        <w:spacing w:after="60"/>
      </w:pPr>
      <w:r>
        <w:t>Nhân sự, cổ đông, đầu tư và cổng nhà đầu tư.</w:t>
      </w:r>
    </w:p>
    <w:tbl>
      <w:tblPr>
        <w:tblW w:type="auto" w:w="0"/>
        <w:jc w:val="center"/>
        <w:tblLook w:firstColumn="1" w:firstRow="1" w:lastColumn="0" w:lastRow="0" w:noHBand="0" w:noVBand="1" w:val="04A0"/>
      </w:tblPr>
      <w:tblGrid>
        <w:gridCol w:w="9972"/>
      </w:tblGrid>
      <w:tr>
        <w:tc>
          <w:tcPr>
            <w:tcW w:type="dxa" w:w="9972"/>
            <w:shd w:fill="EAF3F9"/>
            <w:tcMar>
              <w:top w:w="160" w:type="dxa"/>
              <w:start w:w="180" w:type="dxa"/>
              <w:bottom w:w="160" w:type="dxa"/>
              <w:end w:w="180" w:type="dxa"/>
            </w:tcMar>
            <w:tcBorders>
              <w:left w:val="single" w:sz="18" w:space="0" w:color="1769AA"/>
            </w:tcBorders>
          </w:tcPr>
          <w:p>
            <w:r>
              <w:rPr>
                <w:b/>
                <w:color w:val="1769AA"/>
              </w:rPr>
              <w:t>NGUYÊN TẮC PHẠM VI</w:t>
              <w:br/>
            </w:r>
            <w:r>
              <w:rPr>
                <w:color w:val="3F4A54"/>
              </w:rPr>
              <w:t>Nội dung không được nêu trong mục Phạm vi chức năng hoặc Kết quả bàn giao không mặc nhiên được hiểu là đã bao gồm.</w:t>
            </w:r>
          </w:p>
        </w:tc>
      </w:tr>
    </w:tbl>
    <w:p>
      <w:pPr>
        <w:pStyle w:val="Heading1"/>
        <w:keepNext/>
      </w:pPr>
      <w:r>
        <w:t>7. Trách nhiệm các bên</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268"/>
            <w:vAlign w:val="center"/>
            <w:shd w:fill="1769AA"/>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Bên</w:t>
            </w:r>
          </w:p>
        </w:tc>
        <w:tc>
          <w:tcPr>
            <w:tcW w:type="dxa" w:w="6917"/>
            <w:vAlign w:val="center"/>
            <w:shd w:fill="1769AA"/>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Trách nhiệm chính</w:t>
            </w:r>
          </w:p>
        </w:tc>
      </w:tr>
      <w:tr>
        <w:trPr>
          <w:cantSplit/>
        </w:trPr>
        <w:tc>
          <w:tcPr>
            <w:tcW w:type="dxa" w:w="226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Khách hàng</w:t>
            </w:r>
          </w:p>
        </w:tc>
        <w:tc>
          <w:tcPr>
            <w:tcW w:type="dxa" w:w="691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Cung cấp dữ liệu/quy trình; chỉ định người duyệt; phản hồi đúng hạn; cung cấp tài khoản dịch vụ bên thứ ba; tổ chức UAT và xác nhận kết quả.</w:t>
            </w:r>
          </w:p>
        </w:tc>
      </w:tr>
      <w:tr>
        <w:trPr>
          <w:cantSplit/>
        </w:trPr>
        <w:tc>
          <w:tcPr>
            <w:tcW w:type="dxa" w:w="226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Đơn vị thực hiện</w:t>
            </w:r>
          </w:p>
        </w:tc>
        <w:tc>
          <w:tcPr>
            <w:tcW w:type="dxa" w:w="691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Phân tích yêu cầu; thiết kế/phát triển; kiểm thử nội bộ; sửa lỗi thuộc phạm vi; bàn giao tài liệu và hỗ trợ UAT theo kế hoạch.</w:t>
            </w:r>
          </w:p>
        </w:tc>
      </w:tr>
      <w:tr>
        <w:trPr>
          <w:cantSplit/>
        </w:trPr>
        <w:tc>
          <w:tcPr>
            <w:tcW w:type="dxa" w:w="226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Nhà cung cấp bên thứ ba</w:t>
            </w:r>
          </w:p>
        </w:tc>
        <w:tc>
          <w:tcPr>
            <w:tcW w:type="dxa" w:w="691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Cung cấp API, tài khoản, môi trường, tài liệu kỹ thuật và hỗ trợ sự cố theo điều khoản dịch vụ riêng.</w:t>
            </w:r>
          </w:p>
        </w:tc>
      </w:tr>
    </w:tbl>
    <w:p/>
    <w:p>
      <w:pPr>
        <w:pStyle w:val="Heading1"/>
        <w:keepNext/>
      </w:pPr>
      <w:r>
        <w:t>Giả định và phụ thuộc</w:t>
      </w:r>
    </w:p>
    <w:p>
      <w:pPr>
        <w:pStyle w:val="ListBullet"/>
        <w:spacing w:after="60"/>
      </w:pPr>
      <w:r>
        <w:t>Khách hàng cung cấp dữ liệu mẫu, biểu mẫu, quy trình hiện hành và đầu mối có thẩm quyền xác nhận nghiệp vụ.</w:t>
      </w:r>
    </w:p>
    <w:p>
      <w:pPr>
        <w:pStyle w:val="ListBullet"/>
        <w:spacing w:after="60"/>
      </w:pPr>
      <w:r>
        <w:t>Dữ liệu sử dụng cho kiểm thử và chuyển đổi phải đúng định dạng, đủ chất lượng và được khách hàng xác nhận quyền sử dụng.</w:t>
      </w:r>
    </w:p>
    <w:p>
      <w:pPr>
        <w:pStyle w:val="ListBullet"/>
        <w:spacing w:after="60"/>
      </w:pPr>
      <w:r>
        <w:t>Tích hợp bên thứ ba phụ thuộc tài khoản, hợp đồng dịch vụ, API, hạn mức, chi phí và môi trường kiểm thử do nhà cung cấp hỗ trợ.</w:t>
      </w:r>
    </w:p>
    <w:p>
      <w:pPr>
        <w:pStyle w:val="ListBullet"/>
        <w:spacing w:after="60"/>
      </w:pPr>
      <w:r>
        <w:t>Thời gian và chi phí chỉ được chốt sau khi phạm vi chi tiết, nguồn lực, dữ liệu và phụ thuộc tích hợp được xác nhận.</w:t>
      </w:r>
    </w:p>
    <w:p>
      <w:pPr>
        <w:pStyle w:val="ListBullet"/>
        <w:spacing w:after="60"/>
      </w:pPr>
      <w:r>
        <w:t>Các nội dung kế toán, thuế, đầu tư và dữ liệu cá nhân cần được khách hàng hoặc đơn vị tư vấn chuyên môn xác nhận trước khi đưa vào production.</w:t>
      </w:r>
    </w:p>
    <w:p>
      <w:pPr>
        <w:pStyle w:val="Heading1"/>
        <w:keepNext/>
      </w:pPr>
      <w:r>
        <w:t>Mốc triển khai dự kiến</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37"/>
            <w:vAlign w:val="center"/>
            <w:shd w:fill="1769AA"/>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Mốc</w:t>
            </w:r>
          </w:p>
        </w:tc>
        <w:tc>
          <w:tcPr>
            <w:tcW w:type="dxa" w:w="3628"/>
            <w:vAlign w:val="center"/>
            <w:shd w:fill="1769AA"/>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Nội dung</w:t>
            </w:r>
          </w:p>
        </w:tc>
        <w:tc>
          <w:tcPr>
            <w:tcW w:type="dxa" w:w="1701"/>
            <w:vAlign w:val="center"/>
            <w:shd w:fill="1769AA"/>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Ngày dự kiến</w:t>
            </w:r>
          </w:p>
        </w:tc>
        <w:tc>
          <w:tcPr>
            <w:tcW w:type="dxa" w:w="3118"/>
            <w:vAlign w:val="center"/>
            <w:shd w:fill="1769AA"/>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Điều kiện hoàn thành</w:t>
            </w:r>
          </w:p>
        </w:tc>
      </w:tr>
      <w:tr>
        <w:trPr>
          <w:cantSplit/>
        </w:trPr>
        <w:tc>
          <w:tcPr>
            <w:tcW w:type="dxa" w:w="73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M1</w:t>
            </w:r>
          </w:p>
        </w:tc>
        <w:tc>
          <w:tcPr>
            <w:tcW w:type="dxa" w:w="36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Xác nhận phạm vi và yêu cầu chi tiết</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Biên bản/tài liệu được hai bên xác nhận</w:t>
            </w:r>
          </w:p>
        </w:tc>
      </w:tr>
      <w:tr>
        <w:trPr>
          <w:cantSplit/>
        </w:trPr>
        <w:tc>
          <w:tcPr>
            <w:tcW w:type="dxa" w:w="73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M2</w:t>
            </w:r>
          </w:p>
        </w:tc>
        <w:tc>
          <w:tcPr>
            <w:tcW w:type="dxa" w:w="362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Thiết kế hoặc cập nhật mockup</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Khách hàng duyệt luồng và giao diện chính</w:t>
            </w:r>
          </w:p>
        </w:tc>
      </w:tr>
      <w:tr>
        <w:trPr>
          <w:cantSplit/>
        </w:trPr>
        <w:tc>
          <w:tcPr>
            <w:tcW w:type="dxa" w:w="73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M3</w:t>
            </w:r>
          </w:p>
        </w:tc>
        <w:tc>
          <w:tcPr>
            <w:tcW w:type="dxa" w:w="36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Phát triển và kiểm thử nội bộ</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Đạt tiêu chí kỹ thuật nội bộ</w:t>
            </w:r>
          </w:p>
        </w:tc>
      </w:tr>
      <w:tr>
        <w:trPr>
          <w:cantSplit/>
        </w:trPr>
        <w:tc>
          <w:tcPr>
            <w:tcW w:type="dxa" w:w="73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M4</w:t>
            </w:r>
          </w:p>
        </w:tc>
        <w:tc>
          <w:tcPr>
            <w:tcW w:type="dxa" w:w="362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UAT với khách hàng</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Các lỗi mức nghiêm trọng đã được xử lý</w:t>
            </w:r>
          </w:p>
        </w:tc>
      </w:tr>
      <w:tr>
        <w:trPr>
          <w:cantSplit/>
        </w:trPr>
        <w:tc>
          <w:tcPr>
            <w:tcW w:type="dxa" w:w="73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M5</w:t>
            </w:r>
          </w:p>
        </w:tc>
        <w:tc>
          <w:tcPr>
            <w:tcW w:type="dxa" w:w="36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Bàn giao/Go-live</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Biên bản nghiệm thu và kế hoạch vận hành được duyệt</w:t>
            </w:r>
          </w:p>
        </w:tc>
      </w:tr>
    </w:tbl>
    <w:p/>
    <w:p>
      <w:pPr>
        <w:pStyle w:val="Heading1"/>
        <w:keepNext/>
      </w:pPr>
      <w:r>
        <w:t>Quy trình nghiệm thu</w:t>
      </w:r>
    </w:p>
    <w:p>
      <w:pPr>
        <w:pStyle w:val="ListNumber"/>
        <w:spacing w:after="60"/>
      </w:pPr>
      <w:r>
        <w:t>Đơn vị thực hiện bàn giao phiên bản kiểm thử, tài liệu hướng dẫn và bộ dữ liệu/kịch bản kiểm thử đã thống nhất.</w:t>
      </w:r>
    </w:p>
    <w:p>
      <w:pPr>
        <w:pStyle w:val="ListNumber"/>
        <w:spacing w:after="60"/>
      </w:pPr>
      <w:r>
        <w:t>Khách hàng thực hiện UAT theo tiêu chí nghiệm thu và ghi nhận lỗi hoặc sai khác so với phạm vi đã duyệt.</w:t>
      </w:r>
    </w:p>
    <w:p>
      <w:pPr>
        <w:pStyle w:val="ListNumber"/>
        <w:spacing w:after="60"/>
      </w:pPr>
      <w:r>
        <w:t>Đơn vị thực hiện xử lý các lỗi thuộc phạm vi; các yêu cầu mới được đưa qua quy trình thay đổi phạm vi.</w:t>
      </w:r>
    </w:p>
    <w:p>
      <w:pPr>
        <w:pStyle w:val="ListNumber"/>
        <w:spacing w:after="60"/>
      </w:pPr>
      <w:r>
        <w:t>Hai bên kiểm tra lại và lập biên bản xác nhận hoàn thành hoặc danh sách tồn đọng có thời hạn xử lý.</w:t>
      </w:r>
    </w:p>
    <w:p>
      <w:pPr>
        <w:pStyle w:val="Heading1"/>
        <w:keepNext/>
      </w:pPr>
      <w:r>
        <w:t>Quản lý thay đổi phạm vi</w:t>
      </w:r>
    </w:p>
    <w:p>
      <w:r>
        <w:t>Yêu cầu làm phát sinh chức năng, vai trò, báo cáo, tích hợp, luồng phê duyệt hoặc quy tắc tính toán chưa được mô tả trong Phase 1 – Core Rental / Go-live được xem là thay đổi phạm vi. Mọi thay đổi cần được ghi nhận bằng Change Request, phân tích ảnh hưởng đến dữ liệu, bảo mật, thời gian và chi phí, sau đó được hai bên phê duyệt bằng văn bản trước khi triển khai.</w:t>
      </w:r>
    </w:p>
    <w:p>
      <w:pPr>
        <w:pStyle w:val="Heading1"/>
        <w:keepNext/>
      </w:pPr>
      <w:r>
        <w:t>Xác nhận phạm vi</w:t>
      </w:r>
    </w:p>
    <w:p>
      <w:r>
        <w:t>Việc ký xác nhận cho biết hai bên đã rà soát và thống nhất phạm vi ở mức nêu trong tài liệu. Thời gian, chi phí, SLA và điều khoản thương mại chỉ có hiệu lực khi được xác nhận trong kế hoạch hoặc phụ lục riêng.</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4592"/>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ĐẠI DIỆN KHÁCH HÀNG</w:t>
            </w:r>
          </w:p>
        </w:tc>
        <w:tc>
          <w:tcPr>
            <w:tcW w:type="dxa" w:w="4592"/>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ĐẠI DIỆN ĐƠN VỊ THỰC HIỆN</w:t>
            </w:r>
          </w:p>
        </w:tc>
      </w:tr>
      <w:tr>
        <w:trPr>
          <w:cantSplit/>
        </w:trPr>
        <w:tc>
          <w:tcPr>
            <w:tcW w:type="dxa" w:w="459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8"/>
              </w:rPr>
              <w:t>Họ tên: ______________________________</w:t>
              <w:br/>
              <w:t>Chức vụ: _____________________________</w:t>
              <w:br/>
              <w:t>Ngày: ______ / ______ / __________</w:t>
              <w:br/>
              <w:br/>
              <w:br/>
              <w:t>Chữ ký: ______________________________</w:t>
            </w:r>
          </w:p>
        </w:tc>
        <w:tc>
          <w:tcPr>
            <w:tcW w:type="dxa" w:w="459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8"/>
              </w:rPr>
              <w:t>Họ tên: ______________________________</w:t>
              <w:br/>
              <w:t>Chức vụ: _____________________________</w:t>
              <w:br/>
              <w:t>Ngày: ______ / ______ / __________</w:t>
              <w:br/>
              <w:br/>
              <w:br/>
              <w:t>Chữ ký: ______________________________</w:t>
            </w:r>
          </w:p>
        </w:tc>
      </w:tr>
    </w:tbl>
    <w:p/>
    <w:sectPr w:rsidR="00FC693F" w:rsidRPr="0006063C" w:rsidSect="00034616">
      <w:headerReference w:type="default" r:id="rId9"/>
      <w:footerReference w:type="default" r:id="rId10"/>
      <w:pgSz w:w="12240" w:h="15840"/>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Small"/>
      <w:jc w:val="right"/>
    </w:pPr>
    <w:r>
      <w:t xml:space="preserve">Tài liệu dự thảo – Chỉ sử dụng để xác nhận phạm vi  |  </w:t>
    </w:r>
    <w:r>
      <w:t xml:space="preserve">Trang </w:t>
      <w:fldChar w:fldCharType="begin"/>
      <w:instrText xml:space="preserve">PAGE</w:instrText>
      <w:fldChar w:fldCharType="end"/>
      <w:t xml:space="preserve"> / </w:t>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Small"/>
      <w:jc w:val="right"/>
      <w:pBdr>
        <w:bottom w:val="single" w:sz="8" w:space="5" w:color="1769AA"/>
      </w:pBdr>
    </w:pPr>
    <w:r>
      <w:rPr>
        <w:b/>
        <w:color w:val="1769AA"/>
      </w:rPr>
      <w:t>TIMEHOUSE  |  Phase 1 – Core Rental / Go-live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3F4A5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69A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16324F"/>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eastAsia="Arial"/>
      <w:b/>
      <w:bCs/>
      <w:color w:val="3F4A5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3F4A5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Small">
    <w:name w:val="TH Small"/>
    <w:pPr>
      <w:spacing w:after="40"/>
    </w:pPr>
    <w:rPr>
      <w:rFonts w:ascii="Arial" w:hAnsi="Arial" w:eastAsia="Arial"/>
      <w:color w:val="3F4A5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 Core Rental / Go-live</dc:title>
  <dc:subject>Phạm vi chức năng và lộ trình triển khai TimeHouse</dc:subject>
  <dc:creator>[TÊN ĐƠN VỊ THỰC HIỆN]</dc:creator>
  <cp:keywords>TimeHouse, scope of work, phase, deliverables, acceptance criteria</cp:keywords>
  <dc:description>generated by python-docx</dc:description>
  <cp:lastModifiedBy/>
  <cp:revision>1</cp:revision>
  <dcterms:created xsi:type="dcterms:W3CDTF">2013-12-23T23:15:00Z</dcterms:created>
  <dcterms:modified xsi:type="dcterms:W3CDTF">2013-12-23T23:15:00Z</dcterms:modified>
  <cp:category/>
</cp:coreProperties>
</file>