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2B7A66"/>
          <w:sz w:val="28"/>
        </w:rPr>
        <w:t>TIMEHOUSE</w:t>
      </w:r>
    </w:p>
    <w:p/>
    <w:p/>
    <w:p>
      <w:pPr>
        <w:jc w:val="left"/>
      </w:pPr>
      <w:r>
        <w:rPr>
          <w:rFonts w:ascii="Arial" w:hAnsi="Arial"/>
          <w:b/>
          <w:color w:val="16324F"/>
          <w:sz w:val="58"/>
        </w:rPr>
        <w:t>PHẠM VI CÔNG VIỆC – PHASE 2 – SALES, AUTOMATION &amp; OPERATIONS</w:t>
      </w:r>
    </w:p>
    <w:p>
      <w:r>
        <w:rPr>
          <w:rFonts w:ascii="Arial" w:hAnsi="Arial"/>
          <w:b/>
          <w:color w:val="2B7A66"/>
          <w:sz w:val="30"/>
        </w:rPr>
        <w:t>Software Scope of Work</w:t>
      </w:r>
    </w:p>
    <w:p>
      <w:pPr>
        <w:spacing w:before="360"/>
      </w:pPr>
      <w:r>
        <w:rPr>
          <w:color w:val="3F4A54"/>
          <w:sz w:val="24"/>
        </w:rPr>
        <w:t>Hệ thống quản lý vận hành nhà cho thuê</w:t>
      </w:r>
    </w:p>
    <w:tbl>
      <w:tblPr>
        <w:tblW w:type="auto" w:w="0"/>
        <w:jc w:val="left"/>
        <w:tblLayout w:type="fixed"/>
        <w:tblLook w:firstColumn="1" w:firstRow="1" w:lastColumn="0" w:lastRow="0" w:noHBand="0" w:noVBand="1" w:val="04A0"/>
      </w:tblPr>
      <w:tblGrid>
        <w:gridCol w:w="2835"/>
        <w:gridCol w:w="6520"/>
      </w:tblGrid>
      <w:tr>
        <w:trPr>
          <w:trHeight w:val="454" w:hRule="atLeast"/>
          <w:cantSplit/>
        </w:trPr>
        <w:tc>
          <w:tcPr>
            <w:tcW w:type="dxa" w:w="4986"/>
            <w:vAlign w:val="center"/>
            <w:tcMar>
              <w:top w:w="100" w:type="dxa"/>
              <w:start w:w="120" w:type="dxa"/>
              <w:bottom w:w="100" w:type="dxa"/>
              <w:end w:w="120" w:type="dxa"/>
            </w:tcMar>
            <w:shd w:fill="2B7A66"/>
            <w:tcBorders>
              <w:top w:val="single" w:sz="5" w:space="0" w:color="D7DDE3"/>
              <w:left w:val="single" w:sz="5" w:space="0" w:color="D7DDE3"/>
              <w:bottom w:val="single" w:sz="5" w:space="0" w:color="D7DDE3"/>
              <w:right w:val="single" w:sz="5" w:space="0" w:color="D7DDE3"/>
            </w:tcBorders>
          </w:tcPr>
          <w:p>
            <w:r>
              <w:rPr>
                <w:b/>
                <w:color w:val="FFFFFF"/>
                <w:sz w:val="18"/>
              </w:rPr>
              <w:t>Mã tài liệu</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TH-SOW-P2-1.0</w:t>
            </w:r>
          </w:p>
        </w:tc>
      </w:tr>
      <w:tr>
        <w:trPr>
          <w:trHeight w:val="454" w:hRule="atLeast"/>
          <w:cantSplit/>
        </w:trPr>
        <w:tc>
          <w:tcPr>
            <w:tcW w:type="dxa" w:w="4986"/>
            <w:vAlign w:val="center"/>
            <w:tcMar>
              <w:top w:w="100" w:type="dxa"/>
              <w:start w:w="120" w:type="dxa"/>
              <w:bottom w:w="100" w:type="dxa"/>
              <w:end w:w="120" w:type="dxa"/>
            </w:tcMar>
            <w:shd w:fill="2B7A66"/>
            <w:tcBorders>
              <w:top w:val="single" w:sz="5" w:space="0" w:color="D7DDE3"/>
              <w:left w:val="single" w:sz="5" w:space="0" w:color="D7DDE3"/>
              <w:bottom w:val="single" w:sz="5" w:space="0" w:color="D7DDE3"/>
              <w:right w:val="single" w:sz="5" w:space="0" w:color="D7DDE3"/>
            </w:tcBorders>
          </w:tcPr>
          <w:p>
            <w:r>
              <w:rPr>
                <w:b/>
                <w:color w:val="FFFFFF"/>
                <w:sz w:val="18"/>
              </w:rPr>
              <w:t>Phiên bản</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1.0</w:t>
            </w:r>
          </w:p>
        </w:tc>
      </w:tr>
      <w:tr>
        <w:trPr>
          <w:trHeight w:val="454" w:hRule="atLeast"/>
          <w:cantSplit/>
        </w:trPr>
        <w:tc>
          <w:tcPr>
            <w:tcW w:type="dxa" w:w="4986"/>
            <w:vAlign w:val="center"/>
            <w:tcMar>
              <w:top w:w="100" w:type="dxa"/>
              <w:start w:w="120" w:type="dxa"/>
              <w:bottom w:w="100" w:type="dxa"/>
              <w:end w:w="120" w:type="dxa"/>
            </w:tcMar>
            <w:shd w:fill="2B7A66"/>
            <w:tcBorders>
              <w:top w:val="single" w:sz="5" w:space="0" w:color="D7DDE3"/>
              <w:left w:val="single" w:sz="5" w:space="0" w:color="D7DDE3"/>
              <w:bottom w:val="single" w:sz="5" w:space="0" w:color="D7DDE3"/>
              <w:right w:val="single" w:sz="5" w:space="0" w:color="D7DDE3"/>
            </w:tcBorders>
          </w:tcPr>
          <w:p>
            <w:r>
              <w:rPr>
                <w:b/>
                <w:color w:val="FFFFFF"/>
                <w:sz w:val="18"/>
              </w:rPr>
              <w:t>Ngày phát hành</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14/09/2026</w:t>
            </w:r>
          </w:p>
        </w:tc>
      </w:tr>
      <w:tr>
        <w:trPr>
          <w:trHeight w:val="454" w:hRule="atLeast"/>
          <w:cantSplit/>
        </w:trPr>
        <w:tc>
          <w:tcPr>
            <w:tcW w:type="dxa" w:w="4986"/>
            <w:vAlign w:val="center"/>
            <w:tcMar>
              <w:top w:w="100" w:type="dxa"/>
              <w:start w:w="120" w:type="dxa"/>
              <w:bottom w:w="100" w:type="dxa"/>
              <w:end w:w="120" w:type="dxa"/>
            </w:tcMar>
            <w:shd w:fill="2B7A66"/>
            <w:tcBorders>
              <w:top w:val="single" w:sz="5" w:space="0" w:color="D7DDE3"/>
              <w:left w:val="single" w:sz="5" w:space="0" w:color="D7DDE3"/>
              <w:bottom w:val="single" w:sz="5" w:space="0" w:color="D7DDE3"/>
              <w:right w:val="single" w:sz="5" w:space="0" w:color="D7DDE3"/>
            </w:tcBorders>
          </w:tcPr>
          <w:p>
            <w:r>
              <w:rPr>
                <w:b/>
                <w:color w:val="FFFFFF"/>
                <w:sz w:val="18"/>
              </w:rPr>
              <w:t>Trạng thái</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Dự kiến – chưa triển khai</w:t>
            </w:r>
          </w:p>
        </w:tc>
      </w:tr>
      <w:tr>
        <w:trPr>
          <w:trHeight w:val="454" w:hRule="atLeast"/>
          <w:cantSplit/>
        </w:trPr>
        <w:tc>
          <w:tcPr>
            <w:tcW w:type="dxa" w:w="4986"/>
            <w:vAlign w:val="center"/>
            <w:tcMar>
              <w:top w:w="100" w:type="dxa"/>
              <w:start w:w="120" w:type="dxa"/>
              <w:bottom w:w="100" w:type="dxa"/>
              <w:end w:w="120" w:type="dxa"/>
            </w:tcMar>
            <w:shd w:fill="2B7A66"/>
            <w:tcBorders>
              <w:top w:val="single" w:sz="5" w:space="0" w:color="D7DDE3"/>
              <w:left w:val="single" w:sz="5" w:space="0" w:color="D7DDE3"/>
              <w:bottom w:val="single" w:sz="5" w:space="0" w:color="D7DDE3"/>
              <w:right w:val="single" w:sz="5" w:space="0" w:color="D7DDE3"/>
            </w:tcBorders>
          </w:tcPr>
          <w:p>
            <w:r>
              <w:rPr>
                <w:b/>
                <w:color w:val="FFFFFF"/>
                <w:sz w:val="18"/>
              </w:rPr>
              <w:t>Khách hàng</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[TÊN KHÁCH HÀNG]</w:t>
            </w:r>
          </w:p>
        </w:tc>
      </w:tr>
    </w:tbl>
    <w:p>
      <w:pPr>
        <w:spacing w:before="840"/>
        <w:jc w:val="left"/>
      </w:pPr>
      <w:r>
        <w:rPr>
          <w:color w:val="3F4A54"/>
          <w:sz w:val="20"/>
        </w:rPr>
        <w:t>Đơn vị thực hiện: [TÊN ĐƠN VỊ THỰC HIỆN]</w:t>
        <w:br/>
        <w:t>Tài liệu dành cho: [TÊN KHÁCH HÀNG]</w:t>
      </w:r>
    </w:p>
    <w:p>
      <w:r>
        <w:br w:type="page"/>
      </w:r>
    </w:p>
    <w:p>
      <w:pPr>
        <w:pStyle w:val="Heading1"/>
      </w:pPr>
      <w:r>
        <w:t>Kiểm soát tài liệu</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Phiên bản</w:t>
            </w:r>
          </w:p>
        </w:tc>
        <w:tc>
          <w:tcPr>
            <w:tcW w:type="dxa" w:w="153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w:t>
            </w:r>
          </w:p>
        </w:tc>
        <w:tc>
          <w:tcPr>
            <w:tcW w:type="dxa" w:w="187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Trạng thái</w:t>
            </w:r>
          </w:p>
        </w:tc>
        <w:tc>
          <w:tcPr>
            <w:tcW w:type="dxa" w:w="453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Mục đích phát hành</w:t>
            </w:r>
          </w:p>
        </w:tc>
      </w:tr>
      <w:tr>
        <w:trPr>
          <w:cantSplit/>
        </w:trPr>
        <w:tc>
          <w:tcPr>
            <w:tcW w:type="dxa" w:w="124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1.0</w:t>
            </w:r>
          </w:p>
        </w:tc>
        <w:tc>
          <w:tcPr>
            <w:tcW w:type="dxa" w:w="153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14/09/2026</w:t>
            </w:r>
          </w:p>
        </w:tc>
        <w:tc>
          <w:tcPr>
            <w:tcW w:type="dxa" w:w="187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Dự kiến – chưa triển khai</w:t>
            </w:r>
          </w:p>
        </w:tc>
        <w:tc>
          <w:tcPr>
            <w:tcW w:type="dxa" w:w="45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định hướng CRM, tự động hóa và vận hành nâng cao</w:t>
            </w:r>
          </w:p>
        </w:tc>
      </w:tr>
    </w:tbl>
    <w:p/>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Vai trò</w:t>
            </w:r>
          </w:p>
        </w:tc>
        <w:tc>
          <w:tcPr>
            <w:tcW w:type="dxa" w:w="340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Đơn vị/Họ tên</w:t>
            </w:r>
          </w:p>
        </w:tc>
        <w:tc>
          <w:tcPr>
            <w:tcW w:type="dxa" w:w="351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Đại diện khách hàng</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KHÁCH HÀNG]</w:t>
            </w:r>
          </w:p>
        </w:tc>
        <w:tc>
          <w:tcPr>
            <w:tcW w:type="dxa" w:w="351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Rà soát nghiệp vụ và xác nhận phạm vi</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ĐƠN VỊ THỰC HIỆN]</w:t>
            </w:r>
          </w:p>
        </w:tc>
        <w:tc>
          <w:tcPr>
            <w:tcW w:type="dxa" w:w="351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triển khai và bàn giao theo phạm vi được duyệt</w:t>
            </w:r>
          </w:p>
        </w:tc>
      </w:tr>
    </w:tbl>
    <w:p/>
    <w:p>
      <w:pPr>
        <w:pStyle w:val="Heading1"/>
      </w:pPr>
      <w:r>
        <w:t>Mục lục</w:t>
      </w:r>
    </w:p>
    <w:p>
      <w:r>
        <w:fldChar w:fldCharType="begin"/>
        <w:instrText xml:space="preserve">TOC \o "1-3" \h \z \u</w:instrText>
        <w:fldChar w:fldCharType="end"/>
      </w:r>
    </w:p>
    <w:p>
      <w:pPr>
        <w:pStyle w:val="THSmall"/>
      </w:pPr>
      <w:r>
        <w:t>Mục lục sẽ tự cập nhật khi mở bằng Microsoft Word. Nếu chưa hiển thị, chọn toàn bộ tài liệu và nhấn F9.</w:t>
      </w:r>
    </w:p>
    <w:p>
      <w:r>
        <w:br w:type="page"/>
      </w:r>
    </w:p>
    <w:p>
      <w:pPr>
        <w:pStyle w:val="Heading1"/>
        <w:keepNext/>
      </w:pPr>
      <w:r>
        <w:t>1. Bối cảnh và mục tiêu</w:t>
      </w:r>
    </w:p>
    <w:p>
      <w:r>
        <w:t>Tối ưu hoạt động kinh doanh và vận hành sau khi dữ liệu lõi Phase 1 ổn định; giảm thao tác thủ công, tăng khả năng kiểm soát và cung cấp báo cáo quản trị sâu hơn.</w:t>
      </w:r>
    </w:p>
    <w:tbl>
      <w:tblPr>
        <w:tblW w:type="auto" w:w="0"/>
        <w:jc w:val="center"/>
        <w:tblLook w:firstColumn="1" w:firstRow="1" w:lastColumn="0" w:lastRow="0" w:noHBand="0" w:noVBand="1" w:val="04A0"/>
      </w:tblPr>
      <w:tblGrid>
        <w:gridCol w:w="9972"/>
      </w:tblGrid>
      <w:tr>
        <w:tc>
          <w:tcPr>
            <w:tcW w:type="dxa" w:w="9972"/>
            <w:shd w:fill="EAF5F1"/>
            <w:tcMar>
              <w:top w:w="160" w:type="dxa"/>
              <w:start w:w="180" w:type="dxa"/>
              <w:bottom w:w="160" w:type="dxa"/>
              <w:end w:w="180" w:type="dxa"/>
            </w:tcMar>
            <w:tcBorders>
              <w:left w:val="single" w:sz="18" w:space="0" w:color="2B7A66"/>
            </w:tcBorders>
          </w:tcPr>
          <w:p>
            <w:r>
              <w:rPr>
                <w:b/>
                <w:color w:val="2B7A66"/>
              </w:rPr>
              <w:t>TRẠNG THÁI PHẠM VI</w:t>
              <w:br/>
            </w:r>
            <w:r>
              <w:rPr>
                <w:color w:val="3F4A54"/>
              </w:rPr>
              <w:t>Phase 2 – Sales, Automation &amp; Operations là phạm vi dự kiến. Chức năng, công thức, tích hợp, thời gian và chi phí chỉ được cam kết sau bước khảo sát và xác nhận yêu cầu chi tiết.</w:t>
            </w:r>
          </w:p>
        </w:tc>
      </w:tr>
    </w:tbl>
    <w:p>
      <w:pPr>
        <w:pStyle w:val="Heading1"/>
        <w:keepNext/>
      </w:pPr>
      <w:r>
        <w:t>2. Phạm vi chức năng</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907"/>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2154"/>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Nhóm chức năng</w:t>
            </w:r>
          </w:p>
        </w:tc>
        <w:tc>
          <w:tcPr>
            <w:tcW w:type="dxa" w:w="4139"/>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 chính</w:t>
            </w:r>
          </w:p>
        </w:tc>
        <w:tc>
          <w:tcPr>
            <w:tcW w:type="dxa" w:w="2835"/>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mong đợi</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P2-F01</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CRM và Lead</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Danh sách/Kanban Lead; nguồn; sale phụ trách; lịch sử chăm sóc; pipeline</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Theo dõi cơ hội và tỷ lệ chuyển đổi</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P2-F02</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Lịch xem và giữ chỗ</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Đặt/nhắc lịch; kết quả xem; phí/thời hạn giữ; tự hết hạn; khóa phòng</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Giảm xung đột và chuẩn hóa quy trình trước hợp đồng</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P2-F03</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Chốt thuê và hoa hồng</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Chuyển Lead thành khách/HĐ; giao dịch, doanh số và điều kiện hoa hồng</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Liên kết hiệu suất sale với dữ liệu vận hành</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P2-F04</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OCR hợp đồng</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Tải PDF/JPG; trích xuất; confidence; rà soát; mapping vào form</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Giảm thời gian nhập liệu nhưng vẫn có bước kiểm tra</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P2-F05</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Bảo trì/bảo dưỡng</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Sự cố; ưu tiên; phân công; tiến độ; lịch; nhà cung cấp; checklist; bằng chứng</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Theo dõi trách nhiệm, SLA và chi phí bảo trì</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P2-F06</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Import và đối soát</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Bảng kê thu tiền; mapping; auto-match; ngoại lệ; Data Job; retry dòng lỗi</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Giảm nhập liệu và đối soát thủ công</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P2-F07</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Tài chính nâng cao</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Chi phí phân bổ; sổ cọc; thu chi; dòng tiền; kết quả vận hành; khóa kỳ</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Kiểm soát tài chính theo tòa và kỳ</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P2-F08</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Thông báo nâng cao</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Rule Builder; nhiều sự kiện; phiên bản mẫu; lịch gửi; provider response; fallback</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Tự động hóa thông báo có cấu hình và truy vết</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P2-F09</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Báo cáo quản trị</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Lấp đầy; thời gian trống; lợi nhuận; sale; marketing; bảo trì; Report Hub</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Cung cấp dữ liệu quản trị và ra quyết định</w:t>
            </w:r>
          </w:p>
        </w:tc>
      </w:tr>
    </w:tbl>
    <w:p/>
    <w:p>
      <w:pPr>
        <w:pStyle w:val="Heading1"/>
        <w:keepNext/>
      </w:pPr>
      <w:r>
        <w:t>3. Luồng nghiệp vụ trọng tâm</w:t>
      </w:r>
    </w:p>
    <w:p>
      <w:pPr>
        <w:pStyle w:val="ListNumber"/>
        <w:spacing w:after="60"/>
      </w:pPr>
      <w:r>
        <w:t>Tiếp nhận Lead, phân công sale và quản lý pipeline.</w:t>
      </w:r>
    </w:p>
    <w:p>
      <w:pPr>
        <w:pStyle w:val="ListNumber"/>
        <w:spacing w:after="60"/>
      </w:pPr>
      <w:r>
        <w:t>Đặt lịch xem, ghi nhận kết quả và giữ chỗ phòng trong thời hạn cho phép.</w:t>
      </w:r>
    </w:p>
    <w:p>
      <w:pPr>
        <w:pStyle w:val="ListNumber"/>
        <w:spacing w:after="60"/>
      </w:pPr>
      <w:r>
        <w:t>Chốt thuê, chuyển dữ liệu sang khách thuê/hợp đồng và ghi nhận hoa hồng.</w:t>
      </w:r>
    </w:p>
    <w:p>
      <w:pPr>
        <w:pStyle w:val="ListNumber"/>
        <w:spacing w:after="60"/>
      </w:pPr>
      <w:r>
        <w:t>Tải hợp đồng, OCR, rà soát trường và cập nhật form hợp đồng.</w:t>
      </w:r>
    </w:p>
    <w:p>
      <w:pPr>
        <w:pStyle w:val="ListNumber"/>
        <w:spacing w:after="60"/>
      </w:pPr>
      <w:r>
        <w:t>Nhập bảng kê, tự khớp giao dịch với hóa đơn và xử lý ngoại lệ.</w:t>
      </w:r>
    </w:p>
    <w:p>
      <w:pPr>
        <w:pStyle w:val="ListNumber"/>
        <w:spacing w:after="60"/>
      </w:pPr>
      <w:r>
        <w:t>Tiếp nhận sự cố, phân công, theo dõi xử lý và ghi nhận chi phí/bằng chứng.</w:t>
      </w:r>
    </w:p>
    <w:p>
      <w:pPr>
        <w:pStyle w:val="ListNumber"/>
        <w:spacing w:after="60"/>
      </w:pPr>
      <w:r>
        <w:t>Khóa kỳ và xem các báo cáo quản trị đã đối chiếu.</w:t>
      </w:r>
    </w:p>
    <w:p>
      <w:pPr>
        <w:pStyle w:val="Heading1"/>
        <w:keepNext/>
      </w:pPr>
      <w:r>
        <w:t>4. Kết quả bàn giao (Deliverables)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964"/>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1984"/>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bàn giao</w:t>
            </w:r>
          </w:p>
        </w:tc>
        <w:tc>
          <w:tcPr>
            <w:tcW w:type="dxa" w:w="2551"/>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3118"/>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Tiêu chí chấp nhận</w:t>
            </w:r>
          </w:p>
        </w:tc>
        <w:tc>
          <w:tcPr>
            <w:tcW w:type="dxa" w:w="1701"/>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Hiện trạng</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P2-D01</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CRM và pipeline</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Lead, lịch xem, giữ chỗ, chốt thuê</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Luồng Lead → Hợp đồng chạy xuyên suốt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P2-D02</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Hoa hồng và hiệu suất sale</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Quy tắc, giao dịch, báo cáo</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Kết quả khớp bộ số liệu chuẩn</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P2-D03</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OCR hợp đồng</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Trích xuất và màn review</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Người dùng sửa/xác nhận trước khi lưu; đo độ chính xác theo mẫu</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P2-D04</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Bảo trì/bảo dưỡng</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Sự cố, lịch, phân công, checklist</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Luồng từ tiếp nhận đến hoàn tất có lịch sử và bằng chứng</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P2-D05</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Đối soát và Data Job</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Import, auto-match, ngoại lệ, retry</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Không tạo trùng; truy vết được từng dòng xử lý</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P2-D06</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Báo cáo quản trị</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Report Hub và chỉ số Phase 2</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Công thức và số liệu được khách hàng xác nhận</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bl>
    <w:p/>
    <w:p>
      <w:pPr>
        <w:pStyle w:val="Heading1"/>
        <w:keepNext/>
      </w:pPr>
      <w:r>
        <w:t>5. Tiêu chí nghiệm thu</w:t>
      </w:r>
    </w:p>
    <w:p>
      <w:pPr>
        <w:pStyle w:val="ListBullet"/>
        <w:spacing w:after="60"/>
      </w:pPr>
      <w:r>
        <w:t>Luồng Lead → lịch xem → giữ chỗ → chốt thuê → hợp đồng chạy xuyên suốt trên dữ liệu UAT.</w:t>
      </w:r>
    </w:p>
    <w:p>
      <w:pPr>
        <w:pStyle w:val="ListBullet"/>
        <w:spacing w:after="60"/>
      </w:pPr>
      <w:r>
        <w:t>Quy tắc hoa hồng và chỉ số sale khớp bộ số liệu chuẩn được khách hàng duyệt.</w:t>
      </w:r>
    </w:p>
    <w:p>
      <w:pPr>
        <w:pStyle w:val="ListBullet"/>
        <w:spacing w:after="60"/>
      </w:pPr>
      <w:r>
        <w:t>OCR hiển thị độ tin cậy, cho phép rà soát và không tự ghi dữ liệu chưa được xác nhận.</w:t>
      </w:r>
    </w:p>
    <w:p>
      <w:pPr>
        <w:pStyle w:val="ListBullet"/>
        <w:spacing w:after="60"/>
      </w:pPr>
      <w:r>
        <w:t>Luồng sự cố/bảo trì lưu được phân công, lịch sử trạng thái, chi phí và bằng chứng.</w:t>
      </w:r>
    </w:p>
    <w:p>
      <w:pPr>
        <w:pStyle w:val="ListBullet"/>
        <w:spacing w:after="60"/>
      </w:pPr>
      <w:r>
        <w:t>Đối soát không tạo trùng, có danh sách ngoại lệ và truy vết được từng dòng.</w:t>
      </w:r>
    </w:p>
    <w:p>
      <w:pPr>
        <w:pStyle w:val="ListBullet"/>
        <w:spacing w:after="60"/>
      </w:pPr>
      <w:r>
        <w:t>Báo cáo Phase 2 đối chiếu đúng với công thức và dữ liệu nguồn đã chốt.</w:t>
      </w:r>
    </w:p>
    <w:p>
      <w:r>
        <w:t>Bộ dữ liệu UAT, mức độ lỗi, thời gian phản hồi và danh sách trình duyệt/thiết bị hỗ trợ sẽ được chốt trong Kế hoạch kiểm thử trước khi bắt đầu UAT.</w:t>
      </w:r>
    </w:p>
    <w:p>
      <w:pPr>
        <w:pStyle w:val="Heading1"/>
        <w:keepNext/>
      </w:pPr>
      <w:r>
        <w:t>6. Ngoài phạm vi</w:t>
      </w:r>
    </w:p>
    <w:p>
      <w:pPr>
        <w:pStyle w:val="ListBullet"/>
        <w:spacing w:after="60"/>
      </w:pPr>
      <w:r>
        <w:t>Quản lý tài sản bằng QR, kiểm kê và khấu hao toàn diện.</w:t>
      </w:r>
    </w:p>
    <w:p>
      <w:pPr>
        <w:pStyle w:val="ListBullet"/>
        <w:spacing w:after="60"/>
      </w:pPr>
      <w:r>
        <w:t>Nhân sự, chấm công, KPI và bảng lương.</w:t>
      </w:r>
    </w:p>
    <w:p>
      <w:pPr>
        <w:pStyle w:val="ListBullet"/>
        <w:spacing w:after="60"/>
      </w:pPr>
      <w:r>
        <w:t>Cổ đông, vốn góp, phân phối lợi nhuận và cổng nhà đầu tư.</w:t>
      </w:r>
    </w:p>
    <w:p>
      <w:pPr>
        <w:pStyle w:val="ListBullet"/>
        <w:spacing w:after="60"/>
      </w:pPr>
      <w:r>
        <w:t>QR Payment, cổng thanh toán, kết nối ngân hàng và webhook.</w:t>
      </w:r>
    </w:p>
    <w:p>
      <w:pPr>
        <w:pStyle w:val="ListBullet"/>
        <w:spacing w:after="60"/>
      </w:pPr>
      <w:r>
        <w:t>Kho dữ liệu, BI doanh nghiệp và phát hiện bất thường nâng cao.</w:t>
      </w:r>
    </w:p>
    <w:p>
      <w:pPr>
        <w:pStyle w:val="ListBullet"/>
        <w:spacing w:after="60"/>
      </w:pPr>
      <w:r>
        <w:t>Các chức năng hoặc tích hợp chưa có quy trình/công thức được phê duyệt.</w:t>
      </w:r>
    </w:p>
    <w:tbl>
      <w:tblPr>
        <w:tblW w:type="auto" w:w="0"/>
        <w:jc w:val="center"/>
        <w:tblLook w:firstColumn="1" w:firstRow="1" w:lastColumn="0" w:lastRow="0" w:noHBand="0" w:noVBand="1" w:val="04A0"/>
      </w:tblPr>
      <w:tblGrid>
        <w:gridCol w:w="9972"/>
      </w:tblGrid>
      <w:tr>
        <w:tc>
          <w:tcPr>
            <w:tcW w:type="dxa" w:w="9972"/>
            <w:shd w:fill="EAF5F1"/>
            <w:tcMar>
              <w:top w:w="160" w:type="dxa"/>
              <w:start w:w="180" w:type="dxa"/>
              <w:bottom w:w="160" w:type="dxa"/>
              <w:end w:w="180" w:type="dxa"/>
            </w:tcMar>
            <w:tcBorders>
              <w:left w:val="single" w:sz="18" w:space="0" w:color="2B7A66"/>
            </w:tcBorders>
          </w:tcPr>
          <w:p>
            <w:r>
              <w:rPr>
                <w:b/>
                <w:color w:val="2B7A66"/>
              </w:rPr>
              <w:t>NGUYÊN TẮC PHẠM VI</w:t>
              <w:br/>
            </w:r>
            <w:r>
              <w:rPr>
                <w:color w:val="3F4A54"/>
              </w:rPr>
              <w:t>Nội dung không được nêu trong mục Phạm vi chức năng hoặc Kết quả bàn giao không mặc nhiên được hiểu là đã bao gồm.</w:t>
            </w:r>
          </w:p>
        </w:tc>
      </w:tr>
    </w:tbl>
    <w:p>
      <w:pPr>
        <w:pStyle w:val="Heading1"/>
        <w:keepNext/>
      </w:pPr>
      <w:r>
        <w:t>7. Trách nhiệm các bên</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Bên</w:t>
            </w:r>
          </w:p>
        </w:tc>
        <w:tc>
          <w:tcPr>
            <w:tcW w:type="dxa" w:w="6917"/>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 chính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dữ liệu/quy trình; chỉ định người duyệt; phản hồi đúng hạn; cung cấp tài khoản dịch vụ bên thứ ba; tổ chức UAT và xác nhận kết quả.</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691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yêu cầu; thiết kế/phát triển; kiểm thử nội bộ; sửa lỗi thuộc phạm vi; bàn giao tài liệu và hỗ trợ UAT theo kế hoạch.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Nhà cung cấp bên thứ ba</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API, tài khoản, môi trường, tài liệu kỹ thuật và hỗ trợ sự cố theo điều khoản dịch vụ riêng.</w:t>
            </w:r>
          </w:p>
        </w:tc>
      </w:tr>
    </w:tbl>
    <w:p/>
    <w:p>
      <w:pPr>
        <w:pStyle w:val="Heading1"/>
        <w:keepNext/>
      </w:pPr>
      <w:r>
        <w:t>Giả định và phụ thuộc</w:t>
      </w:r>
    </w:p>
    <w:p>
      <w:pPr>
        <w:pStyle w:val="ListBullet"/>
        <w:spacing w:after="60"/>
      </w:pPr>
      <w:r>
        <w:t>Khách hàng cung cấp dữ liệu mẫu, biểu mẫu, quy trình hiện hành và đầu mối có thẩm quyền xác nhận nghiệp vụ.</w:t>
      </w:r>
    </w:p>
    <w:p>
      <w:pPr>
        <w:pStyle w:val="ListBullet"/>
        <w:spacing w:after="60"/>
      </w:pPr>
      <w:r>
        <w:t>Dữ liệu sử dụng cho kiểm thử và chuyển đổi phải đúng định dạng, đủ chất lượng và được khách hàng xác nhận quyền sử dụng.</w:t>
      </w:r>
    </w:p>
    <w:p>
      <w:pPr>
        <w:pStyle w:val="ListBullet"/>
        <w:spacing w:after="60"/>
      </w:pPr>
      <w:r>
        <w:t>Tích hợp bên thứ ba phụ thuộc tài khoản, hợp đồng dịch vụ, API, hạn mức, chi phí và môi trường kiểm thử do nhà cung cấp hỗ trợ.</w:t>
      </w:r>
    </w:p>
    <w:p>
      <w:pPr>
        <w:pStyle w:val="ListBullet"/>
        <w:spacing w:after="60"/>
      </w:pPr>
      <w:r>
        <w:t>Thời gian và chi phí chỉ được chốt sau khi phạm vi chi tiết, nguồn lực, dữ liệu và phụ thuộc tích hợp được xác nhận.</w:t>
      </w:r>
    </w:p>
    <w:p>
      <w:pPr>
        <w:pStyle w:val="ListBullet"/>
        <w:spacing w:after="60"/>
      </w:pPr>
      <w:r>
        <w:t>Các nội dung kế toán, thuế, đầu tư và dữ liệu cá nhân cần được khách hàng hoặc đơn vị tư vấn chuyên môn xác nhận trước khi đưa vào production.</w:t>
      </w:r>
    </w:p>
    <w:p>
      <w:pPr>
        <w:pStyle w:val="Heading1"/>
        <w:keepNext/>
      </w:pPr>
      <w:r>
        <w:t>Mốc triển khai dự kiến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37"/>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Mốc</w:t>
            </w:r>
          </w:p>
        </w:tc>
        <w:tc>
          <w:tcPr>
            <w:tcW w:type="dxa" w:w="3628"/>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1701"/>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 dự kiến</w:t>
            </w:r>
          </w:p>
        </w:tc>
        <w:tc>
          <w:tcPr>
            <w:tcW w:type="dxa" w:w="3118"/>
            <w:vAlign w:val="center"/>
            <w:shd w:fill="2B7A66"/>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Điều kiện hoàn thành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M1</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và yêu cầu chi tiết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bản/tài liệu được hai bên xác nhận</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M2</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Thiết kế hoặc cập nhật mockup</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 duyệt luồng và giao diện chính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M3</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Phát triển và kiểm thử nội bộ</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Đạt tiêu chí kỹ thuật nội bộ</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M4</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UAT với khách hàng</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Các lỗi mức nghiêm trọng đã được xử lý</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M5</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Bàn giao/Go-live</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 nghiệm thu và kế hoạch vận hành được duyệt</w:t>
            </w:r>
          </w:p>
        </w:tc>
      </w:tr>
    </w:tbl>
    <w:p/>
    <w:p>
      <w:pPr>
        <w:pStyle w:val="Heading1"/>
        <w:keepNext/>
      </w:pPr>
      <w:r>
        <w:t>Quy trình nghiệm thu</w:t>
      </w:r>
    </w:p>
    <w:p>
      <w:pPr>
        <w:pStyle w:val="ListNumber"/>
        <w:spacing w:after="60"/>
      </w:pPr>
      <w:r>
        <w:t>Đơn vị thực hiện bàn giao phiên bản kiểm thử, tài liệu hướng dẫn và bộ dữ liệu/kịch bản kiểm thử đã thống nhất.</w:t>
      </w:r>
    </w:p>
    <w:p>
      <w:pPr>
        <w:pStyle w:val="ListNumber"/>
        <w:spacing w:after="60"/>
      </w:pPr>
      <w:r>
        <w:t>Khách hàng thực hiện UAT theo tiêu chí nghiệm thu và ghi nhận lỗi hoặc sai khác so với phạm vi đã duyệt.</w:t>
      </w:r>
    </w:p>
    <w:p>
      <w:pPr>
        <w:pStyle w:val="ListNumber"/>
        <w:spacing w:after="60"/>
      </w:pPr>
      <w:r>
        <w:t>Đơn vị thực hiện xử lý các lỗi thuộc phạm vi; các yêu cầu mới được đưa qua quy trình thay đổi phạm vi.</w:t>
      </w:r>
    </w:p>
    <w:p>
      <w:pPr>
        <w:pStyle w:val="ListNumber"/>
        <w:spacing w:after="60"/>
      </w:pPr>
      <w:r>
        <w:t>Hai bên kiểm tra lại và lập biên bản xác nhận hoàn thành hoặc danh sách tồn đọng có thời hạn xử lý.</w:t>
      </w:r>
    </w:p>
    <w:p>
      <w:pPr>
        <w:pStyle w:val="Heading1"/>
        <w:keepNext/>
      </w:pPr>
      <w:r>
        <w:t>Quản lý thay đổi phạm vi</w:t>
      </w:r>
    </w:p>
    <w:p>
      <w:r>
        <w:t>Yêu cầu làm phát sinh chức năng, vai trò, báo cáo, tích hợp, luồng phê duyệt hoặc quy tắc tính toán chưa được mô tả trong Phase 2 – Sales, Automation &amp; Operations được xem là thay đổi phạm vi. Mọi thay đổi cần được ghi nhận bằng Change Request, phân tích ảnh hưởng đến dữ liệu, bảo mật, thời gian và chi phí, sau đó được hai bên phê duyệt bằng văn bản trước khi triển khai.</w:t>
      </w:r>
    </w:p>
    <w:p>
      <w:pPr>
        <w:pStyle w:val="Heading1"/>
        <w:keepNext/>
      </w:pPr>
      <w:r>
        <w:t>Xác nhận phạm vi</w:t>
      </w:r>
    </w:p>
    <w:p>
      <w:r>
        <w:t>Việc ký xác nhận cho biết hai bên đã rà soát và thống nhất phạm vi ở mức nêu trong tài liệu. Thời gian, chi phí, SLA và điều khoản thương mại chỉ có hiệu lực khi được xác nhận trong kế hoạch hoặc phụ lục riêng.</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KHÁCH HÀNG</w:t>
            </w:r>
          </w:p>
        </w:tc>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ĐƠN VỊ THỰC HIỆN</w:t>
            </w:r>
          </w:p>
        </w:tc>
      </w:tr>
      <w:tr>
        <w:trPr>
          <w:cantSplit/>
        </w:trPr>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r>
    </w:tbl>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Pr>
    <w:r>
      <w:t xml:space="preserve">Tài liệu dự thảo – Chỉ sử dụng để xác nhận phạm vi  |  </w:t>
    </w:r>
    <w:r>
      <w:t xml:space="preserve">Trang </w:t>
      <w:fldChar w:fldCharType="begin"/>
      <w:instrText xml:space="preserve">PAGE</w:instrText>
      <w:fldChar w:fldCharType="end"/>
      <w:t xml:space="preserve"> /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Bdr>
        <w:bottom w:val="single" w:sz="8" w:space="5" w:color="2B7A66"/>
      </w:pBdr>
    </w:pPr>
    <w:r>
      <w:rPr>
        <w:b/>
        <w:color w:val="2B7A66"/>
      </w:rPr>
      <w:t>TIMEHOUSE  |  Phase 2 – Sales, Automation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3F4A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2B7A66"/>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F4A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F4A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Small">
    <w:name w:val="TH Small"/>
    <w:pPr>
      <w:spacing w:after="40"/>
    </w:pPr>
    <w:rPr>
      <w:rFonts w:ascii="Arial" w:hAnsi="Arial" w:eastAsia="Arial"/>
      <w:color w:val="3F4A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Sales, Automation &amp; Operations</dc:title>
  <dc:subject>Phạm vi chức năng và lộ trình triển khai TimeHouse</dc:subject>
  <dc:creator>[TÊN ĐƠN VỊ THỰC HIỆN]</dc:creator>
  <cp:keywords>TimeHouse, scope of work, phase, deliverables,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