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2A68F" w14:textId="77777777" w:rsidR="00BB2E4C" w:rsidRPr="00BB2E4C" w:rsidRDefault="00BB2E4C" w:rsidP="00BB2E4C">
      <w:pPr>
        <w:rPr>
          <w:b/>
          <w:bCs/>
        </w:rPr>
      </w:pPr>
      <w:r w:rsidRPr="00BB2E4C">
        <w:rPr>
          <w:b/>
          <w:bCs/>
        </w:rPr>
        <w:t>Bước 1: Phân tích bối cảnh vĩ mô và ngành</w:t>
      </w:r>
    </w:p>
    <w:p w14:paraId="2EBC73EC" w14:textId="77777777" w:rsidR="00BB2E4C" w:rsidRPr="00BB2E4C" w:rsidRDefault="00BB2E4C" w:rsidP="00BB2E4C">
      <w:r w:rsidRPr="00BB2E4C">
        <w:t>Trước khi đi vào doanh nghiệp, bạn cần hiểu các yếu tố ngoại cảnh tác động đến dòng tiền của KCN.</w:t>
      </w:r>
    </w:p>
    <w:p w14:paraId="0EB7F283" w14:textId="77777777" w:rsidR="00BB2E4C" w:rsidRPr="00BB2E4C" w:rsidRDefault="00BB2E4C" w:rsidP="00BB2E4C">
      <w:pPr>
        <w:numPr>
          <w:ilvl w:val="0"/>
          <w:numId w:val="1"/>
        </w:numPr>
      </w:pPr>
      <w:r w:rsidRPr="00BB2E4C">
        <w:rPr>
          <w:b/>
          <w:bCs/>
        </w:rPr>
        <w:t>Phân tích FDI:</w:t>
      </w:r>
      <w:r w:rsidRPr="00BB2E4C">
        <w:t xml:space="preserve"> Theo dõi vốn FDI thực hiện và vốn FDI đăng ký (bao gồm cấp mới, điều chỉnh, góp vốn mua cổ phần). Sự dịch chuyển từ lĩnh vực BĐS sang sản xuất/chế biến/chế tạo là tín hiệu quan trọng. </w:t>
      </w:r>
    </w:p>
    <w:p w14:paraId="41DF53E5" w14:textId="77777777" w:rsidR="00BB2E4C" w:rsidRPr="00BB2E4C" w:rsidRDefault="00BB2E4C" w:rsidP="00BB2E4C">
      <w:pPr>
        <w:numPr>
          <w:ilvl w:val="1"/>
          <w:numId w:val="1"/>
        </w:numPr>
      </w:pPr>
      <w:r w:rsidRPr="00BB2E4C">
        <w:rPr>
          <w:i/>
          <w:iCs/>
        </w:rPr>
        <w:t>Nguồn dữ liệu:</w:t>
      </w:r>
      <w:r w:rsidRPr="00BB2E4C">
        <w:t xml:space="preserve"> Tổng cục Thống kê, Bộ Tài chính. </w:t>
      </w:r>
    </w:p>
    <w:p w14:paraId="2FA25CE5" w14:textId="77777777" w:rsidR="00BB2E4C" w:rsidRPr="00BB2E4C" w:rsidRDefault="00BB2E4C" w:rsidP="00BB2E4C">
      <w:pPr>
        <w:numPr>
          <w:ilvl w:val="0"/>
          <w:numId w:val="1"/>
        </w:numPr>
      </w:pPr>
      <w:r w:rsidRPr="00BB2E4C">
        <w:rPr>
          <w:b/>
          <w:bCs/>
        </w:rPr>
        <w:t>Tác động vĩ mô:</w:t>
      </w:r>
      <w:r w:rsidRPr="00BB2E4C">
        <w:t xml:space="preserve"> Theo dõi các thay đổi về chính sách thuế quan, địa chính trị và lãi suất (ví dụ: tác động của căng thẳng thương mại hoặc các biến động giá dầu ảnh hưởng tới nền kinh tế toàn cầu). </w:t>
      </w:r>
    </w:p>
    <w:p w14:paraId="02D29BD4" w14:textId="77777777" w:rsidR="00BB2E4C" w:rsidRPr="00BB2E4C" w:rsidRDefault="00BB2E4C" w:rsidP="00BB2E4C">
      <w:pPr>
        <w:rPr>
          <w:b/>
          <w:bCs/>
        </w:rPr>
      </w:pPr>
      <w:r w:rsidRPr="00BB2E4C">
        <w:rPr>
          <w:b/>
          <w:bCs/>
        </w:rPr>
        <w:t>Bước 2: Phân tích nội tại doanh nghiệp (Sức khỏe và Tiềm năng)</w:t>
      </w:r>
    </w:p>
    <w:p w14:paraId="64B0D74D" w14:textId="77777777" w:rsidR="00BB2E4C" w:rsidRPr="00BB2E4C" w:rsidRDefault="00BB2E4C" w:rsidP="00BB2E4C">
      <w:pPr>
        <w:numPr>
          <w:ilvl w:val="0"/>
          <w:numId w:val="2"/>
        </w:numPr>
      </w:pPr>
      <w:r w:rsidRPr="00BB2E4C">
        <w:rPr>
          <w:b/>
          <w:bCs/>
        </w:rPr>
        <w:t>Cấu trúc doanh thu:</w:t>
      </w:r>
      <w:r w:rsidRPr="00BB2E4C">
        <w:t xml:space="preserve"> Phân tách rõ các mảng: Hạ tầng KCN (đất cho thuê), Điện (phân phối điện), BOT, và BĐS dân cư. Đánh giá tỷ trọng đóng góp của từng mảng vào doanh thu và lợi nhuận gộp. </w:t>
      </w:r>
    </w:p>
    <w:p w14:paraId="6F408328" w14:textId="77777777" w:rsidR="00BB2E4C" w:rsidRPr="00BB2E4C" w:rsidRDefault="00BB2E4C" w:rsidP="00BB2E4C">
      <w:pPr>
        <w:numPr>
          <w:ilvl w:val="0"/>
          <w:numId w:val="2"/>
        </w:numPr>
      </w:pPr>
      <w:r w:rsidRPr="00BB2E4C">
        <w:rPr>
          <w:b/>
          <w:bCs/>
        </w:rPr>
        <w:t>Tiến độ dự án:</w:t>
      </w:r>
      <w:r w:rsidRPr="00BB2E4C">
        <w:t xml:space="preserve"> Theo dõi sát tiến độ giải phóng mặt bằng, phê duyệt pháp lý và triển khai hạ tầng của các dự án trọng điểm. </w:t>
      </w:r>
    </w:p>
    <w:p w14:paraId="18F492BD" w14:textId="77777777" w:rsidR="00BB2E4C" w:rsidRPr="00BB2E4C" w:rsidRDefault="00BB2E4C" w:rsidP="00BB2E4C">
      <w:pPr>
        <w:numPr>
          <w:ilvl w:val="0"/>
          <w:numId w:val="2"/>
        </w:numPr>
      </w:pPr>
      <w:r w:rsidRPr="00BB2E4C">
        <w:rPr>
          <w:b/>
          <w:bCs/>
        </w:rPr>
        <w:t>Quỹ đất và khách hàng:</w:t>
      </w:r>
    </w:p>
    <w:p w14:paraId="79AE2437" w14:textId="77777777" w:rsidR="00BB2E4C" w:rsidRPr="00BB2E4C" w:rsidRDefault="00BB2E4C" w:rsidP="00BB2E4C">
      <w:pPr>
        <w:numPr>
          <w:ilvl w:val="1"/>
          <w:numId w:val="2"/>
        </w:numPr>
      </w:pPr>
      <w:r w:rsidRPr="00BB2E4C">
        <w:t xml:space="preserve">Tổng diện tích quỹ đất sạch sẵn sàng cho thuê là "nồi cơm" của doanh nghiệp. </w:t>
      </w:r>
    </w:p>
    <w:p w14:paraId="28B03DBB" w14:textId="77777777" w:rsidR="00BB2E4C" w:rsidRPr="00BB2E4C" w:rsidRDefault="00BB2E4C" w:rsidP="00BB2E4C">
      <w:pPr>
        <w:numPr>
          <w:ilvl w:val="1"/>
          <w:numId w:val="2"/>
        </w:numPr>
      </w:pPr>
      <w:r w:rsidRPr="00BB2E4C">
        <w:t xml:space="preserve">Tỷ lệ lấp đầy (tỷ lệ KCN đã cho thuê) thể hiện sức hấp dẫn của dự án. </w:t>
      </w:r>
    </w:p>
    <w:p w14:paraId="0C3CEA35" w14:textId="77777777" w:rsidR="00BB2E4C" w:rsidRPr="00BB2E4C" w:rsidRDefault="00BB2E4C" w:rsidP="00BB2E4C">
      <w:pPr>
        <w:numPr>
          <w:ilvl w:val="1"/>
          <w:numId w:val="2"/>
        </w:numPr>
      </w:pPr>
      <w:r w:rsidRPr="00BB2E4C">
        <w:t xml:space="preserve">Xem xét danh mục khách hàng FDI nổi bật để đánh giá uy tín. </w:t>
      </w:r>
    </w:p>
    <w:p w14:paraId="17F19A5F" w14:textId="77777777" w:rsidR="00BB2E4C" w:rsidRPr="00BB2E4C" w:rsidRDefault="00BB2E4C" w:rsidP="00BB2E4C">
      <w:pPr>
        <w:numPr>
          <w:ilvl w:val="1"/>
          <w:numId w:val="2"/>
        </w:numPr>
      </w:pPr>
      <w:r w:rsidRPr="00BB2E4C">
        <w:rPr>
          <w:i/>
          <w:iCs/>
        </w:rPr>
        <w:t>Nguồn dữ liệu:</w:t>
      </w:r>
      <w:r w:rsidRPr="00BB2E4C">
        <w:t xml:space="preserve"> Báo cáo cập nhật từ các công ty chứng khoán, thuyết minh BCTC của doanh nghiệp. </w:t>
      </w:r>
    </w:p>
    <w:p w14:paraId="2ABBDAF2" w14:textId="77777777" w:rsidR="00BB2E4C" w:rsidRPr="00BB2E4C" w:rsidRDefault="00BB2E4C" w:rsidP="00BB2E4C">
      <w:pPr>
        <w:rPr>
          <w:b/>
          <w:bCs/>
        </w:rPr>
      </w:pPr>
      <w:r w:rsidRPr="00BB2E4C">
        <w:rPr>
          <w:b/>
          <w:bCs/>
        </w:rPr>
        <w:t>Bước 3: Phân tích kết quả kinh doanh (Đọc BCTC)</w:t>
      </w:r>
    </w:p>
    <w:p w14:paraId="03CB44BE" w14:textId="77777777" w:rsidR="00BB2E4C" w:rsidRPr="00BB2E4C" w:rsidRDefault="00BB2E4C" w:rsidP="00BB2E4C">
      <w:pPr>
        <w:numPr>
          <w:ilvl w:val="0"/>
          <w:numId w:val="3"/>
        </w:numPr>
      </w:pPr>
      <w:r w:rsidRPr="00BB2E4C">
        <w:rPr>
          <w:b/>
          <w:bCs/>
        </w:rPr>
        <w:t>Ghi nhận doanh thu:</w:t>
      </w:r>
      <w:r w:rsidRPr="00BB2E4C">
        <w:t xml:space="preserve"> Cần lưu ý sự khác biệt giữa doanh thu ghi nhận một lần (khi chuyển giao rủi ro/lợi ích hoặc quyền kiểm soát) và doanh thu phân bổ hàng năm (tiền thuê đất trả dần). </w:t>
      </w:r>
    </w:p>
    <w:p w14:paraId="2818E3CC" w14:textId="77777777" w:rsidR="00BB2E4C" w:rsidRPr="00BB2E4C" w:rsidRDefault="00BB2E4C" w:rsidP="00BB2E4C">
      <w:pPr>
        <w:numPr>
          <w:ilvl w:val="0"/>
          <w:numId w:val="3"/>
        </w:numPr>
      </w:pPr>
      <w:r w:rsidRPr="00BB2E4C">
        <w:rPr>
          <w:b/>
          <w:bCs/>
        </w:rPr>
        <w:t>Biên lợi nhuận:</w:t>
      </w:r>
      <w:r w:rsidRPr="00BB2E4C">
        <w:t xml:space="preserve"> Theo dõi xu hướng biên lợi nhuận gộp để thấy sự hiệu quả trong quản lý chi phí. </w:t>
      </w:r>
    </w:p>
    <w:p w14:paraId="5DE7DA7B" w14:textId="77777777" w:rsidR="00BB2E4C" w:rsidRPr="00BB2E4C" w:rsidRDefault="00BB2E4C" w:rsidP="00BB2E4C">
      <w:pPr>
        <w:numPr>
          <w:ilvl w:val="0"/>
          <w:numId w:val="3"/>
        </w:numPr>
      </w:pPr>
      <w:r w:rsidRPr="00BB2E4C">
        <w:rPr>
          <w:b/>
          <w:bCs/>
        </w:rPr>
        <w:t>Dòng tiền:</w:t>
      </w:r>
      <w:r w:rsidRPr="00BB2E4C">
        <w:t xml:space="preserve"> Kiểm tra tiền từ hoạt động kinh doanh (CFO) để đảm bảo doanh nghiệp có tiền thực tế từ việc cho thuê đất chứ không chỉ là lợi nhuận trên giấy tờ. </w:t>
      </w:r>
    </w:p>
    <w:p w14:paraId="22B58491" w14:textId="77777777" w:rsidR="00BB2E4C" w:rsidRPr="00BB2E4C" w:rsidRDefault="00BB2E4C" w:rsidP="00BB2E4C">
      <w:pPr>
        <w:rPr>
          <w:b/>
          <w:bCs/>
        </w:rPr>
      </w:pPr>
      <w:r w:rsidRPr="00BB2E4C">
        <w:rPr>
          <w:b/>
          <w:bCs/>
        </w:rPr>
        <w:lastRenderedPageBreak/>
        <w:t>Bước 4: Xây dựng dự phóng và Định giá (RNAV)</w:t>
      </w:r>
    </w:p>
    <w:p w14:paraId="28AB6706" w14:textId="77777777" w:rsidR="00BB2E4C" w:rsidRPr="00BB2E4C" w:rsidRDefault="00BB2E4C" w:rsidP="00BB2E4C">
      <w:r w:rsidRPr="00BB2E4C">
        <w:t xml:space="preserve">Đối với doanh nghiệp KCN, phương pháp </w:t>
      </w:r>
      <w:r w:rsidRPr="00BB2E4C">
        <w:rPr>
          <w:b/>
          <w:bCs/>
        </w:rPr>
        <w:t>RNAV (Giá trị tài sản ròng)</w:t>
      </w:r>
      <w:r w:rsidRPr="00BB2E4C">
        <w:t xml:space="preserve"> là tối ưu nhất. </w:t>
      </w:r>
    </w:p>
    <w:p w14:paraId="529C1B6F" w14:textId="77777777" w:rsidR="00BB2E4C" w:rsidRPr="00BB2E4C" w:rsidRDefault="00BB2E4C" w:rsidP="00BB2E4C">
      <w:pPr>
        <w:numPr>
          <w:ilvl w:val="0"/>
          <w:numId w:val="4"/>
        </w:numPr>
      </w:pPr>
      <w:r w:rsidRPr="00BB2E4C">
        <w:rPr>
          <w:b/>
          <w:bCs/>
        </w:rPr>
        <w:t>Định giá từng dự án KCN:</w:t>
      </w:r>
      <w:r w:rsidRPr="00BB2E4C">
        <w:t xml:space="preserve"> Sử dụng phương pháp RNAV hoặc DCF (chiết khấu dòng tiền) cho từng dự án thành phần dựa trên diện tích đất, giá thuê kỳ vọng và tiến độ cho thuê. </w:t>
      </w:r>
    </w:p>
    <w:p w14:paraId="49D54B63" w14:textId="77777777" w:rsidR="00BB2E4C" w:rsidRPr="00BB2E4C" w:rsidRDefault="00BB2E4C" w:rsidP="00BB2E4C">
      <w:pPr>
        <w:numPr>
          <w:ilvl w:val="0"/>
          <w:numId w:val="4"/>
        </w:numPr>
      </w:pPr>
      <w:r w:rsidRPr="00BB2E4C">
        <w:rPr>
          <w:b/>
          <w:bCs/>
        </w:rPr>
        <w:t>Định giá mảng phụ:</w:t>
      </w:r>
      <w:r w:rsidRPr="00BB2E4C">
        <w:t xml:space="preserve"> Sử dụng phương pháp định giá phù hợp cho các mảng kinh doanh ổn định như Năng lượng (điện) hoặc BOT (phí đường bộ), thường là DCF. </w:t>
      </w:r>
    </w:p>
    <w:p w14:paraId="16B9FB8B" w14:textId="77777777" w:rsidR="00BB2E4C" w:rsidRPr="00BB2E4C" w:rsidRDefault="00BB2E4C" w:rsidP="00BB2E4C">
      <w:pPr>
        <w:numPr>
          <w:ilvl w:val="0"/>
          <w:numId w:val="4"/>
        </w:numPr>
      </w:pPr>
      <w:r w:rsidRPr="00BB2E4C">
        <w:rPr>
          <w:b/>
          <w:bCs/>
        </w:rPr>
        <w:t>Tính giá trị vốn chủ sở hữu:</w:t>
      </w:r>
    </w:p>
    <w:p w14:paraId="77F3D085" w14:textId="77777777" w:rsidR="00BB2E4C" w:rsidRPr="00BB2E4C" w:rsidRDefault="00BB2E4C" w:rsidP="00BB2E4C">
      <w:pPr>
        <w:numPr>
          <w:ilvl w:val="1"/>
          <w:numId w:val="4"/>
        </w:numPr>
      </w:pPr>
      <w:r w:rsidRPr="00BB2E4C">
        <w:rPr>
          <w:i/>
          <w:iCs/>
        </w:rPr>
        <w:t>Giá trị EV =</w:t>
      </w:r>
      <w:r w:rsidRPr="00BB2E4C">
        <w:t xml:space="preserve"> Tổng giá trị các dự án KCN + Giá trị mảng Điện/BOT + Tiền/Đầu tư ngắn hạn. </w:t>
      </w:r>
    </w:p>
    <w:p w14:paraId="5F937407" w14:textId="77777777" w:rsidR="00BB2E4C" w:rsidRPr="00BB2E4C" w:rsidRDefault="00BB2E4C" w:rsidP="00BB2E4C">
      <w:pPr>
        <w:numPr>
          <w:ilvl w:val="1"/>
          <w:numId w:val="4"/>
        </w:numPr>
      </w:pPr>
      <w:r w:rsidRPr="00BB2E4C">
        <w:rPr>
          <w:i/>
          <w:iCs/>
        </w:rPr>
        <w:t>Giá trị vốn chủ sở hữu =</w:t>
      </w:r>
      <w:r w:rsidRPr="00BB2E4C">
        <w:t xml:space="preserve"> EV - Nợ vay - Lợi ích cổ đông thiểu số. </w:t>
      </w:r>
    </w:p>
    <w:p w14:paraId="36D7182B" w14:textId="77777777" w:rsidR="00BB2E4C" w:rsidRPr="00BB2E4C" w:rsidRDefault="00BB2E4C" w:rsidP="00BB2E4C">
      <w:pPr>
        <w:numPr>
          <w:ilvl w:val="1"/>
          <w:numId w:val="4"/>
        </w:numPr>
      </w:pPr>
      <w:r w:rsidRPr="00BB2E4C">
        <w:rPr>
          <w:i/>
          <w:iCs/>
        </w:rPr>
        <w:t>Giá mục tiêu mỗi cổ phiếu =</w:t>
      </w:r>
      <w:r w:rsidRPr="00BB2E4C">
        <w:t xml:space="preserve"> (Giá trị vốn chủ sở hữu) / (Tổng số lượng cổ phiếu lưu hành). </w:t>
      </w:r>
    </w:p>
    <w:p w14:paraId="74C70B79" w14:textId="77777777" w:rsidR="00BB2E4C" w:rsidRPr="00BB2E4C" w:rsidRDefault="00BB2E4C" w:rsidP="00BB2E4C">
      <w:pPr>
        <w:rPr>
          <w:b/>
          <w:bCs/>
        </w:rPr>
      </w:pPr>
      <w:r w:rsidRPr="00BB2E4C">
        <w:rPr>
          <w:b/>
          <w:bCs/>
        </w:rPr>
        <w:t>Bước 5: Các chỉ số cần theo dõi (Checklist)</w:t>
      </w:r>
    </w:p>
    <w:p w14:paraId="131029B4" w14:textId="77777777" w:rsidR="00BB2E4C" w:rsidRPr="00BB2E4C" w:rsidRDefault="00BB2E4C" w:rsidP="00BB2E4C">
      <w:pPr>
        <w:numPr>
          <w:ilvl w:val="0"/>
          <w:numId w:val="5"/>
        </w:numPr>
      </w:pPr>
      <w:r w:rsidRPr="00BB2E4C">
        <w:rPr>
          <w:b/>
          <w:bCs/>
        </w:rPr>
        <w:t>WACC (Chi phí vốn):</w:t>
      </w:r>
      <w:r w:rsidRPr="00BB2E4C">
        <w:t xml:space="preserve"> Sử dụng lãi suất phi rủi ro (ví dụ: lãi suất trái phiếu chính phủ 10 năm) và tính toán Beta dựa trên dữ liệu lịch sử của cổ phiếu. </w:t>
      </w:r>
    </w:p>
    <w:p w14:paraId="6E1CA4E5" w14:textId="77777777" w:rsidR="00BB2E4C" w:rsidRPr="00BB2E4C" w:rsidRDefault="00BB2E4C" w:rsidP="00BB2E4C">
      <w:pPr>
        <w:numPr>
          <w:ilvl w:val="0"/>
          <w:numId w:val="5"/>
        </w:numPr>
      </w:pPr>
      <w:r w:rsidRPr="00BB2E4C">
        <w:rPr>
          <w:b/>
          <w:bCs/>
        </w:rPr>
        <w:t>Chỉ số định giá:</w:t>
      </w:r>
      <w:r w:rsidRPr="00BB2E4C">
        <w:t xml:space="preserve"> Theo dõi P/E, P/B, và EV/EBITDA so với trung bình lịch sử để xác định vùng giá đắt/rẻ. </w:t>
      </w:r>
    </w:p>
    <w:p w14:paraId="5BEEE278" w14:textId="77777777" w:rsidR="00BB2E4C" w:rsidRPr="00BB2E4C" w:rsidRDefault="00BB2E4C" w:rsidP="00BB2E4C">
      <w:pPr>
        <w:numPr>
          <w:ilvl w:val="0"/>
          <w:numId w:val="5"/>
        </w:numPr>
      </w:pPr>
      <w:r w:rsidRPr="00BB2E4C">
        <w:rPr>
          <w:b/>
          <w:bCs/>
        </w:rPr>
        <w:t>Rủi ro:</w:t>
      </w:r>
      <w:r w:rsidRPr="00BB2E4C">
        <w:t xml:space="preserve"> Luôn đánh giá 4 rủi ro chính: (1) FDI suy yếu; (2) Thị trường BĐS suy giảm; (3) Tiến độ dự án chậm; (4) Rủi ro pháp lý. </w:t>
      </w:r>
    </w:p>
    <w:p w14:paraId="76730A67" w14:textId="77777777" w:rsidR="00BB2E4C" w:rsidRPr="00BB2E4C" w:rsidRDefault="00BB2E4C" w:rsidP="00BB2E4C">
      <w:r w:rsidRPr="00BB2E4C">
        <w:rPr>
          <w:b/>
          <w:bCs/>
        </w:rPr>
        <w:t>Lời khuyên:</w:t>
      </w:r>
      <w:r w:rsidRPr="00BB2E4C">
        <w:t xml:space="preserve"> Hãy cập nhật dữ liệu hàng quý thông qua </w:t>
      </w:r>
      <w:r w:rsidRPr="00BB2E4C">
        <w:rPr>
          <w:b/>
          <w:bCs/>
        </w:rPr>
        <w:t>Báo cáo cập nhật (Update Report)</w:t>
      </w:r>
      <w:r w:rsidRPr="00BB2E4C">
        <w:t xml:space="preserve"> của các công ty chứng khoán, đây là nguồn dữ liệu đã được các chuyên viên phân tích tổng hợp và tính toán sẵn giúp bạn tiết kiệm thời gian. </w:t>
      </w:r>
    </w:p>
    <w:p w14:paraId="36ADEC64" w14:textId="77777777" w:rsidR="005F1E06" w:rsidRDefault="005F1E06"/>
    <w:sectPr w:rsidR="005F1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C4699"/>
    <w:multiLevelType w:val="multilevel"/>
    <w:tmpl w:val="38F4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515BB"/>
    <w:multiLevelType w:val="multilevel"/>
    <w:tmpl w:val="94C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950F1"/>
    <w:multiLevelType w:val="multilevel"/>
    <w:tmpl w:val="EB5C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356080"/>
    <w:multiLevelType w:val="multilevel"/>
    <w:tmpl w:val="A5AA1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3331D"/>
    <w:multiLevelType w:val="multilevel"/>
    <w:tmpl w:val="2C843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92368">
    <w:abstractNumId w:val="4"/>
  </w:num>
  <w:num w:numId="2" w16cid:durableId="1595937559">
    <w:abstractNumId w:val="3"/>
  </w:num>
  <w:num w:numId="3" w16cid:durableId="525220564">
    <w:abstractNumId w:val="1"/>
  </w:num>
  <w:num w:numId="4" w16cid:durableId="359356358">
    <w:abstractNumId w:val="2"/>
  </w:num>
  <w:num w:numId="5" w16cid:durableId="206362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BBE"/>
    <w:rsid w:val="00517BBE"/>
    <w:rsid w:val="005B6CE3"/>
    <w:rsid w:val="005F1E06"/>
    <w:rsid w:val="00BB2E4C"/>
    <w:rsid w:val="00FF3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E4065D-8192-4849-970D-031E173F3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BB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17BB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17BB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17BB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17BB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7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BB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17BB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17BB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17BB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17BB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7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BBE"/>
    <w:rPr>
      <w:rFonts w:eastAsiaTheme="majorEastAsia" w:cstheme="majorBidi"/>
      <w:color w:val="272727" w:themeColor="text1" w:themeTint="D8"/>
    </w:rPr>
  </w:style>
  <w:style w:type="paragraph" w:styleId="Title">
    <w:name w:val="Title"/>
    <w:basedOn w:val="Normal"/>
    <w:next w:val="Normal"/>
    <w:link w:val="TitleChar"/>
    <w:uiPriority w:val="10"/>
    <w:qFormat/>
    <w:rsid w:val="00517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BBE"/>
    <w:pPr>
      <w:spacing w:before="160"/>
      <w:jc w:val="center"/>
    </w:pPr>
    <w:rPr>
      <w:i/>
      <w:iCs/>
      <w:color w:val="404040" w:themeColor="text1" w:themeTint="BF"/>
    </w:rPr>
  </w:style>
  <w:style w:type="character" w:customStyle="1" w:styleId="QuoteChar">
    <w:name w:val="Quote Char"/>
    <w:basedOn w:val="DefaultParagraphFont"/>
    <w:link w:val="Quote"/>
    <w:uiPriority w:val="29"/>
    <w:rsid w:val="00517BBE"/>
    <w:rPr>
      <w:i/>
      <w:iCs/>
      <w:color w:val="404040" w:themeColor="text1" w:themeTint="BF"/>
    </w:rPr>
  </w:style>
  <w:style w:type="paragraph" w:styleId="ListParagraph">
    <w:name w:val="List Paragraph"/>
    <w:basedOn w:val="Normal"/>
    <w:uiPriority w:val="34"/>
    <w:qFormat/>
    <w:rsid w:val="00517BBE"/>
    <w:pPr>
      <w:ind w:left="720"/>
      <w:contextualSpacing/>
    </w:pPr>
  </w:style>
  <w:style w:type="character" w:styleId="IntenseEmphasis">
    <w:name w:val="Intense Emphasis"/>
    <w:basedOn w:val="DefaultParagraphFont"/>
    <w:uiPriority w:val="21"/>
    <w:qFormat/>
    <w:rsid w:val="00517BBE"/>
    <w:rPr>
      <w:i/>
      <w:iCs/>
      <w:color w:val="2E74B5" w:themeColor="accent1" w:themeShade="BF"/>
    </w:rPr>
  </w:style>
  <w:style w:type="paragraph" w:styleId="IntenseQuote">
    <w:name w:val="Intense Quote"/>
    <w:basedOn w:val="Normal"/>
    <w:next w:val="Normal"/>
    <w:link w:val="IntenseQuoteChar"/>
    <w:uiPriority w:val="30"/>
    <w:qFormat/>
    <w:rsid w:val="00517B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7BBE"/>
    <w:rPr>
      <w:i/>
      <w:iCs/>
      <w:color w:val="2E74B5" w:themeColor="accent1" w:themeShade="BF"/>
    </w:rPr>
  </w:style>
  <w:style w:type="character" w:styleId="IntenseReference">
    <w:name w:val="Intense Reference"/>
    <w:basedOn w:val="DefaultParagraphFont"/>
    <w:uiPriority w:val="32"/>
    <w:qFormat/>
    <w:rsid w:val="00517B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471</Words>
  <Characters>2689</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2026-07-05T04:46:00Z</dcterms:created>
  <dcterms:modified xsi:type="dcterms:W3CDTF">2026-07-05T04:57:00Z</dcterms:modified>
</cp:coreProperties>
</file>