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Warfarin Dosing Calculator</w:t>
        <w:br/>
        <w:t>Scientific Foundation and Logic</w:t>
      </w:r>
    </w:p>
    <w:p>
      <w:pPr>
        <w:jc w:val="center"/>
      </w:pPr>
      <w:r>
        <w:rPr>
          <w:i/>
          <w:color w:val="667085"/>
        </w:rPr>
        <w:t>Beginner-friendly internal guide for Xcode Life calculator development</w:t>
      </w:r>
    </w:p>
    <w:p>
      <w:pPr>
        <w:jc w:val="center"/>
      </w:pPr>
      <w:r>
        <w:rPr>
          <w:color w:val="667085"/>
          <w:sz w:val="19"/>
        </w:rPr>
        <w:t>Scope: adult stable-maintenance dose estimation; target INR 2.0-3.0</w:t>
      </w:r>
    </w:p>
    <w:p>
      <w:pPr>
        <w:pStyle w:val="Heading1"/>
      </w:pPr>
      <w:r>
        <w:t>1. The simplest way to understand the calculator</w:t>
      </w:r>
    </w:p>
    <w:p>
      <w:r>
        <w:rPr>
          <w:b/>
        </w:rPr>
        <w:t xml:space="preserve">Warfarin dosing has two layers. </w:t>
      </w:r>
      <w:r>
        <w:t>First, estimate a starting point for the patient's eventual stable maintenance dose. Second, monitor INR and adjust treatment in real life. The calculator only helps with the first layer; it does not replace INR monitoring.</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tcMar>
              <w:top w:w="120" w:type="dxa"/>
              <w:start w:w="120" w:type="dxa"/>
              <w:bottom w:w="120" w:type="dxa"/>
              <w:end w:w="120" w:type="dxa"/>
            </w:tcMar>
            <w:shd w:fill="EFF6FF"/>
          </w:tcPr>
          <w:p>
            <w:pPr>
              <w:jc w:val="center"/>
            </w:pPr>
            <w:r>
              <w:rPr>
                <w:b/>
              </w:rPr>
              <w:t>Clinical data</w:t>
            </w:r>
          </w:p>
        </w:tc>
        <w:tc>
          <w:tcPr>
            <w:tcW w:type="dxa" w:w="2033"/>
            <w:vAlign w:val="center"/>
            <w:tcMar>
              <w:top w:w="120" w:type="dxa"/>
              <w:start w:w="120" w:type="dxa"/>
              <w:bottom w:w="120" w:type="dxa"/>
              <w:end w:w="120" w:type="dxa"/>
            </w:tcMar>
            <w:shd w:fill="FFFFFF"/>
          </w:tcPr>
          <w:p>
            <w:pPr>
              <w:jc w:val="center"/>
            </w:pPr>
            <w:r>
              <w:rPr>
                <w:b/>
              </w:rPr>
              <w:t>+</w:t>
            </w:r>
          </w:p>
        </w:tc>
        <w:tc>
          <w:tcPr>
            <w:tcW w:type="dxa" w:w="2033"/>
            <w:vAlign w:val="center"/>
            <w:tcMar>
              <w:top w:w="120" w:type="dxa"/>
              <w:start w:w="120" w:type="dxa"/>
              <w:bottom w:w="120" w:type="dxa"/>
              <w:end w:w="120" w:type="dxa"/>
            </w:tcMar>
            <w:shd w:fill="EFF6FF"/>
          </w:tcPr>
          <w:p>
            <w:pPr>
              <w:jc w:val="center"/>
            </w:pPr>
            <w:r>
              <w:rPr>
                <w:b/>
              </w:rPr>
              <w:t>PGx data (when usable)</w:t>
            </w:r>
          </w:p>
        </w:tc>
        <w:tc>
          <w:tcPr>
            <w:tcW w:type="dxa" w:w="2033"/>
            <w:vAlign w:val="center"/>
            <w:tcMar>
              <w:top w:w="120" w:type="dxa"/>
              <w:start w:w="120" w:type="dxa"/>
              <w:bottom w:w="120" w:type="dxa"/>
              <w:end w:w="120" w:type="dxa"/>
            </w:tcMar>
            <w:shd w:fill="FFFFFF"/>
          </w:tcPr>
          <w:p>
            <w:pPr>
              <w:jc w:val="center"/>
            </w:pPr>
            <w:r>
              <w:rPr>
                <w:b/>
              </w:rPr>
              <w:t>→</w:t>
            </w:r>
          </w:p>
        </w:tc>
        <w:tc>
          <w:tcPr>
            <w:tcW w:type="dxa" w:w="2033"/>
            <w:vAlign w:val="center"/>
            <w:tcMar>
              <w:top w:w="120" w:type="dxa"/>
              <w:start w:w="120" w:type="dxa"/>
              <w:bottom w:w="120" w:type="dxa"/>
              <w:end w:w="120" w:type="dxa"/>
            </w:tcMar>
            <w:shd w:fill="EFF6FF"/>
          </w:tcPr>
          <w:p>
            <w:pPr>
              <w:jc w:val="center"/>
            </w:pPr>
            <w:r>
              <w:rPr>
                <w:b/>
              </w:rPr>
              <w:t>Estimated stable maintenance dose</w:t>
            </w:r>
          </w:p>
        </w:tc>
      </w:tr>
    </w:tbl>
    <w:p>
      <w:r>
        <w:rPr>
          <w:b/>
        </w:rPr>
        <w:t xml:space="preserve">If the required PGx inputs are not usable, </w:t>
      </w:r>
      <w:r>
        <w:t>the calculator does not invent a genotype. It switches to the published IWPC clinical-only equation and gives a clinically based estimate instead. CPIC explicitly defines “dose clinically” as dosing without genetic information, which may include a clinical dosing algorithm or standard-dose approach. [2]</w:t>
      </w:r>
    </w:p>
    <w:p>
      <w:pPr>
        <w:pStyle w:val="Heading1"/>
      </w:pPr>
      <w:r>
        <w:t>2. What problem are we trying to solve?</w:t>
      </w:r>
    </w:p>
    <w:p>
      <w:r>
        <w:rPr>
          <w:b/>
        </w:rPr>
        <w:t xml:space="preserve">Warfarin is difficult to dose because the dose needed to reach the same anticoagulant effect varies greatly between patients. </w:t>
      </w:r>
      <w:r>
        <w:t>The goal is not to make everyone take the same milligram dose; the goal is to find a dose that keeps the patient's INR in the appropriate therapeutic range.</w:t>
      </w:r>
    </w:p>
    <w:p>
      <w:r>
        <w:rPr>
          <w:b/>
        </w:rPr>
        <w:t xml:space="preserve">INR </w:t>
      </w:r>
      <w:r>
        <w:t>(International Normalized Ratio) standardizes prothrombin time. For the calculator we are building, the relevant CPIC adult pathway is mainly the common target INR range of 2.0-3.0. Most of the published algorithms used by CPIC were developed for this target range. [2]</w:t>
      </w:r>
    </w:p>
    <w:p>
      <w:r>
        <w:rPr>
          <w:b/>
        </w:rPr>
        <w:t xml:space="preserve">Stable maintenance dose </w:t>
      </w:r>
      <w:r>
        <w:t>means the approximate ongoing warfarin dose that ultimately maintains the desired INR after the patient has been titrated and stabilized. It is different from a loading dose and different from later INR-based dose adjustment.</w:t>
      </w:r>
    </w:p>
    <w:p>
      <w:pPr>
        <w:pStyle w:val="Heading1"/>
      </w:pPr>
      <w:r>
        <w:t>3. The sources do different jobs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EF7"/>
          </w:tcPr>
          <w:p>
            <w:r>
              <w:rPr>
                <w:b/>
              </w:rPr>
              <w:t>Source</w:t>
            </w:r>
          </w:p>
        </w:tc>
        <w:tc>
          <w:tcPr>
            <w:tcW w:type="dxa" w:w="3389"/>
            <w:shd w:fill="D9EEF7"/>
          </w:tcPr>
          <w:p>
            <w:r>
              <w:rPr>
                <w:b/>
              </w:rPr>
              <w:t>What it contributes</w:t>
            </w:r>
          </w:p>
        </w:tc>
        <w:tc>
          <w:tcPr>
            <w:tcW w:type="dxa" w:w="3389"/>
            <w:shd w:fill="D9EEF7"/>
          </w:tcPr>
          <w:p>
            <w:r>
              <w:rPr>
                <w:b/>
              </w:rPr>
              <w:t>How we use it</w:t>
            </w:r>
          </w:p>
        </w:tc>
      </w:tr>
      <w:tr>
        <w:tc>
          <w:tcPr>
            <w:tcW w:type="dxa" w:w="3389"/>
            <w:tcMar>
              <w:top w:w="95" w:type="dxa"/>
              <w:start w:w="95" w:type="dxa"/>
              <w:bottom w:w="95" w:type="dxa"/>
              <w:end w:w="95" w:type="dxa"/>
            </w:tcMar>
          </w:tcPr>
          <w:p>
            <w:r>
              <w:t>IWPC 2009 NEJM paper + supplement</w:t>
            </w:r>
          </w:p>
        </w:tc>
        <w:tc>
          <w:tcPr>
            <w:tcW w:type="dxa" w:w="3389"/>
            <w:tcMar>
              <w:top w:w="95" w:type="dxa"/>
              <w:start w:w="95" w:type="dxa"/>
              <w:bottom w:w="95" w:type="dxa"/>
              <w:end w:w="95" w:type="dxa"/>
            </w:tcMar>
          </w:tcPr>
          <w:p>
            <w:r>
              <w:t>Developed and validated the clinical-only and pharmacogenetic dose-prediction equations.</w:t>
            </w:r>
          </w:p>
        </w:tc>
        <w:tc>
          <w:tcPr>
            <w:tcW w:type="dxa" w:w="3389"/>
            <w:tcMar>
              <w:top w:w="95" w:type="dxa"/>
              <w:start w:w="95" w:type="dxa"/>
              <w:bottom w:w="95" w:type="dxa"/>
              <w:end w:w="95" w:type="dxa"/>
            </w:tcMar>
          </w:tcPr>
          <w:p>
            <w:r>
              <w:t>This is the mathematical engine.</w:t>
            </w:r>
          </w:p>
        </w:tc>
      </w:tr>
      <w:tr>
        <w:tc>
          <w:tcPr>
            <w:tcW w:type="dxa" w:w="3389"/>
            <w:tcMar>
              <w:top w:w="95" w:type="dxa"/>
              <w:start w:w="95" w:type="dxa"/>
              <w:bottom w:w="95" w:type="dxa"/>
              <w:end w:w="95" w:type="dxa"/>
            </w:tcMar>
          </w:tcPr>
          <w:p>
            <w:r>
              <w:t>CPIC 2017 guideline + supplement</w:t>
            </w:r>
          </w:p>
        </w:tc>
        <w:tc>
          <w:tcPr>
            <w:tcW w:type="dxa" w:w="3389"/>
            <w:tcMar>
              <w:top w:w="95" w:type="dxa"/>
              <w:start w:w="95" w:type="dxa"/>
              <w:bottom w:w="95" w:type="dxa"/>
              <w:end w:w="95" w:type="dxa"/>
            </w:tcMar>
          </w:tcPr>
          <w:p>
            <w:r>
              <w:t>Explains when and how to use genotype-guided warfarin dosing; adds ancestry-specific rules and extra variants beyond the original IWPC equation.</w:t>
            </w:r>
          </w:p>
        </w:tc>
        <w:tc>
          <w:tcPr>
            <w:tcW w:type="dxa" w:w="3389"/>
            <w:tcMar>
              <w:top w:w="95" w:type="dxa"/>
              <w:start w:w="95" w:type="dxa"/>
              <w:bottom w:w="95" w:type="dxa"/>
              <w:end w:w="95" w:type="dxa"/>
            </w:tcMar>
          </w:tcPr>
          <w:p>
            <w:r>
              <w:t>This is the rule/interpretation layer around the engine.</w:t>
            </w:r>
          </w:p>
        </w:tc>
      </w:tr>
      <w:tr>
        <w:tc>
          <w:tcPr>
            <w:tcW w:type="dxa" w:w="3389"/>
            <w:tcMar>
              <w:top w:w="95" w:type="dxa"/>
              <w:start w:w="95" w:type="dxa"/>
              <w:bottom w:w="95" w:type="dxa"/>
              <w:end w:w="95" w:type="dxa"/>
            </w:tcMar>
          </w:tcPr>
          <w:p>
            <w:r>
              <w:t>Gage et al. 2008 / WarfarinDosing.org</w:t>
            </w:r>
          </w:p>
        </w:tc>
        <w:tc>
          <w:tcPr>
            <w:tcW w:type="dxa" w:w="3389"/>
            <w:tcMar>
              <w:top w:w="95" w:type="dxa"/>
              <w:start w:w="95" w:type="dxa"/>
              <w:bottom w:w="95" w:type="dxa"/>
              <w:end w:w="95" w:type="dxa"/>
            </w:tcMar>
          </w:tcPr>
          <w:p>
            <w:r>
              <w:t>An alternative validated pharmacogenetic algorithm. CPIC notes WarfarinDosing.org uses Gage primarily and IWPC secondarily.</w:t>
            </w:r>
          </w:p>
        </w:tc>
        <w:tc>
          <w:tcPr>
            <w:tcW w:type="dxa" w:w="3389"/>
            <w:tcMar>
              <w:top w:w="95" w:type="dxa"/>
              <w:start w:w="95" w:type="dxa"/>
              <w:bottom w:w="95" w:type="dxa"/>
              <w:end w:w="95" w:type="dxa"/>
            </w:tcMar>
          </w:tcPr>
          <w:p>
            <w:r>
              <w:t>Useful comparator; our V1 uses IWPC because it matches the spreadsheet and is transparent.</w:t>
            </w:r>
          </w:p>
        </w:tc>
      </w:tr>
      <w:tr>
        <w:tc>
          <w:tcPr>
            <w:tcW w:type="dxa" w:w="3389"/>
            <w:tcMar>
              <w:top w:w="95" w:type="dxa"/>
              <w:start w:w="95" w:type="dxa"/>
              <w:bottom w:w="95" w:type="dxa"/>
              <w:end w:w="95" w:type="dxa"/>
            </w:tcMar>
          </w:tcPr>
          <w:p>
            <w:r>
              <w:t>Current U.S. warfarin label (DailyMed)</w:t>
            </w:r>
          </w:p>
        </w:tc>
        <w:tc>
          <w:tcPr>
            <w:tcW w:type="dxa" w:w="3389"/>
            <w:tcMar>
              <w:top w:w="95" w:type="dxa"/>
              <w:start w:w="95" w:type="dxa"/>
              <w:bottom w:w="95" w:type="dxa"/>
              <w:end w:w="95" w:type="dxa"/>
            </w:tcMar>
          </w:tcPr>
          <w:p>
            <w:r>
              <w:t>Provides genotype dose ranges, monitoring language, and non-genotype dosing context.</w:t>
            </w:r>
          </w:p>
        </w:tc>
        <w:tc>
          <w:tcPr>
            <w:tcW w:type="dxa" w:w="3389"/>
            <w:tcMar>
              <w:top w:w="95" w:type="dxa"/>
              <w:start w:w="95" w:type="dxa"/>
              <w:bottom w:w="95" w:type="dxa"/>
              <w:end w:w="95" w:type="dxa"/>
            </w:tcMar>
          </w:tcPr>
          <w:p>
            <w:r>
              <w:t>Used as a sanity/safety reference, not as our primary exact-dose equation.</w:t>
            </w:r>
          </w:p>
        </w:tc>
      </w:tr>
      <w:tr>
        <w:tc>
          <w:tcPr>
            <w:tcW w:type="dxa" w:w="3389"/>
            <w:tcMar>
              <w:top w:w="95" w:type="dxa"/>
              <w:start w:w="95" w:type="dxa"/>
              <w:bottom w:w="95" w:type="dxa"/>
              <w:end w:w="95" w:type="dxa"/>
            </w:tcMar>
          </w:tcPr>
          <w:p>
            <w:r>
              <w:t>PharmCAT documentation</w:t>
            </w:r>
          </w:p>
        </w:tc>
        <w:tc>
          <w:tcPr>
            <w:tcW w:type="dxa" w:w="3389"/>
            <w:tcMar>
              <w:top w:w="95" w:type="dxa"/>
              <w:start w:w="95" w:type="dxa"/>
              <w:bottom w:w="95" w:type="dxa"/>
              <w:end w:w="95" w:type="dxa"/>
            </w:tcMar>
          </w:tcPr>
          <w:p>
            <w:r>
              <w:t>Explains genotype/diplotype calling, missing positions, *1/reference behavior, and VKORC1 strand display.</w:t>
            </w:r>
          </w:p>
        </w:tc>
        <w:tc>
          <w:tcPr>
            <w:tcW w:type="dxa" w:w="3389"/>
            <w:tcMar>
              <w:top w:w="95" w:type="dxa"/>
              <w:start w:w="95" w:type="dxa"/>
              <w:bottom w:w="95" w:type="dxa"/>
              <w:end w:w="95" w:type="dxa"/>
            </w:tcMar>
          </w:tcPr>
          <w:p>
            <w:r>
              <w:t>Used to decide whether genetic inputs are actually trustworthy enough to feed the calculator.</w:t>
            </w:r>
          </w:p>
        </w:tc>
      </w:tr>
      <w:tr>
        <w:tc>
          <w:tcPr>
            <w:tcW w:type="dxa" w:w="3389"/>
            <w:tcMar>
              <w:top w:w="95" w:type="dxa"/>
              <w:start w:w="95" w:type="dxa"/>
              <w:bottom w:w="95" w:type="dxa"/>
              <w:end w:w="95" w:type="dxa"/>
            </w:tcMar>
          </w:tcPr>
          <w:p>
            <w:r>
              <w:t>Jahmunah et al. 2023 deep neural network paper</w:t>
            </w:r>
          </w:p>
        </w:tc>
        <w:tc>
          <w:tcPr>
            <w:tcW w:type="dxa" w:w="3389"/>
            <w:tcMar>
              <w:top w:w="95" w:type="dxa"/>
              <w:start w:w="95" w:type="dxa"/>
              <w:bottom w:w="95" w:type="dxa"/>
              <w:end w:w="95" w:type="dxa"/>
            </w:tcMar>
          </w:tcPr>
          <w:p>
            <w:r>
              <w:t>Explores a machine-learning dose predictor using the IWPC dataset and many inputs.</w:t>
            </w:r>
          </w:p>
        </w:tc>
        <w:tc>
          <w:tcPr>
            <w:tcW w:type="dxa" w:w="3389"/>
            <w:tcMar>
              <w:top w:w="95" w:type="dxa"/>
              <w:start w:w="95" w:type="dxa"/>
              <w:bottom w:w="95" w:type="dxa"/>
              <w:end w:w="95" w:type="dxa"/>
            </w:tcMar>
          </w:tcPr>
          <w:p>
            <w:r>
              <w:t>Research context only; not used as the V1 production engine.</w:t>
            </w:r>
          </w:p>
        </w:tc>
      </w:tr>
    </w:tbl>
    <w:p>
      <w:pPr>
        <w:pStyle w:val="Heading1"/>
      </w:pPr>
      <w:r>
        <w:t>4. IWPC 2009: the paper behind the core equations</w:t>
      </w:r>
    </w:p>
    <w:p>
      <w:r>
        <w:rPr>
          <w:b/>
        </w:rPr>
        <w:t xml:space="preserve">Paper: </w:t>
      </w:r>
      <w:r>
        <w:t>International Warfarin Pharmacogenetics Consortium. “Estimation of the Warfarin Dose with Clinical and Pharmacogenetic Data.” New England Journal of Medicine, 2009. [1]</w:t>
      </w:r>
    </w:p>
    <w:p>
      <w:r>
        <w:rPr>
          <w:b/>
        </w:rPr>
        <w:t xml:space="preserve">What they did. </w:t>
      </w:r>
      <w:r>
        <w:t>The investigators pooled clinical and genetic data from 4,043 patients to derive two models: one using clinical variables only and another adding genetic information. They then tested both in a separate validation cohort of 1,009 patients. [1]</w:t>
      </w:r>
    </w:p>
    <w:p>
      <w:r>
        <w:rPr>
          <w:b/>
        </w:rPr>
        <w:t xml:space="preserve">What they found. </w:t>
      </w:r>
      <w:r>
        <w:t>The pharmacogenetic model predicted stable dose more accurately overall than the clinical-only model or a fixed 35 mg/week approach, with the largest advantage in patients who ultimately needed unusually low doses (≤21 mg/week) or unusually high doses (≥49 mg/week). The corrected NEJM results report mean absolute errors of about 8.5 mg/week for the pharmacogenetic model, 9.9 mg/week for the clinical model, and 13.0 mg/week for fixed dosing. [1]</w:t>
      </w:r>
    </w:p>
    <w:p>
      <w:r>
        <w:rPr>
          <w:b/>
        </w:rPr>
        <w:t xml:space="preserve">What this means for us. </w:t>
      </w:r>
      <w:r>
        <w:t>IWPC gives us a defensible clinical-only fallback and a transparent PGx-enhanced equation. The equation predicts a stable maintenance requirement; it does not remove the need for subsequent INR-guided care.</w:t>
      </w:r>
    </w:p>
    <w:p>
      <w:pPr>
        <w:pStyle w:val="Heading1"/>
      </w:pPr>
      <w:r>
        <w:t>5. IWPC clinical-only equation</w:t>
      </w:r>
    </w:p>
    <w:p>
      <w:r>
        <w:rPr>
          <w:b/>
        </w:rPr>
        <w:t xml:space="preserve">Use this when the calculator cannot appropriately use the genetic pathway. </w:t>
      </w:r>
      <w:r>
        <w:t>Examples include no PGx file, missing core PGx markers, or an African-ancestry pathway where the expanded CYP2C9 alleles required by CPIC were not all tested.</w:t>
      </w:r>
    </w:p>
    <w:tbl>
      <w:tblPr>
        <w:tblStyle w:val="TableGrid"/>
        <w:tblW w:type="auto" w:w="0"/>
        <w:jc w:val="center"/>
        <w:tblLook w:firstColumn="1" w:firstRow="1" w:lastColumn="0" w:lastRow="0" w:noHBand="0" w:noVBand="1" w:val="04A0"/>
      </w:tblPr>
      <w:tblGrid>
        <w:gridCol w:w="10166"/>
      </w:tblGrid>
      <w:tr>
        <w:tc>
          <w:tcPr>
            <w:tcW w:type="dxa" w:w="10166"/>
            <w:shd w:fill="F6FAFF"/>
            <w:tcMar>
              <w:top w:w="150" w:type="dxa"/>
              <w:start w:w="180" w:type="dxa"/>
              <w:bottom w:w="150" w:type="dxa"/>
              <w:end w:w="180" w:type="dxa"/>
            </w:tcMar>
          </w:tcPr>
          <w:p>
            <w:r>
              <w:rPr>
                <w:rFonts w:ascii="Consolas" w:hAnsi="Consolas"/>
                <w:sz w:val="19"/>
              </w:rPr>
              <w:t>√ weekly dose = 4.0376</w:t>
              <w:br/>
              <w:t>− 0.2546 × age in decades</w:t>
              <w:br/>
              <w:t>+ 0.0118 × height (cm)</w:t>
              <w:br/>
              <w:t>+ 0.0134 × weight (kg)</w:t>
              <w:br/>
              <w:t>− 0.6752 × Asian</w:t>
              <w:br/>
              <w:t>+ 0.4060 × Black/African American</w:t>
              <w:br/>
              <w:t>+ 0.0443 × Mixed/Unknown</w:t>
              <w:br/>
              <w:t>+ 1.2799 × enzyme inducer</w:t>
              <w:br/>
              <w:t>− 0.5695 × amiodarone</w:t>
            </w:r>
          </w:p>
        </w:tc>
      </w:tr>
    </w:tbl>
    <w:p>
      <w:r>
        <w:rPr>
          <w:b/>
        </w:rPr>
        <w:t xml:space="preserve">Then: </w:t>
      </w:r>
      <w:r>
        <w:t>square the result to obtain mg/week. Divide by 7 for the average mg/day equivalent. [3]</w:t>
      </w:r>
    </w:p>
    <w:p>
      <w:r>
        <w:rPr>
          <w:b/>
        </w:rPr>
        <w:t xml:space="preserve">The 0/1 logic. </w:t>
      </w:r>
      <w:r>
        <w:t>The categorical terms are indicator variables. For example, Asian = 1 if that category applies and 0 otherwise; amiodarone = 1 if the patient is taking it and 0 otherwise. Age uses the IWPC decade coding: 10-19=1, 20-29=2, 30-39=3, etc. [3]</w:t>
      </w:r>
    </w:p>
    <w:p>
      <w:pPr>
        <w:pStyle w:val="Heading1"/>
      </w:pPr>
      <w:r>
        <w:t>6. IWPC pharmacogenetic equation</w:t>
      </w:r>
    </w:p>
    <w:p>
      <w:r>
        <w:rPr>
          <w:b/>
        </w:rPr>
        <w:t xml:space="preserve">Use this when the core genetic inputs are available and the relevant CPIC ancestry requirements are satisfied. </w:t>
      </w:r>
      <w:r>
        <w:t>The original IWPC genetic equation adds VKORC1 and CYP2C9 *2/*3 to the same kinds of clinical variables.</w:t>
      </w:r>
    </w:p>
    <w:tbl>
      <w:tblPr>
        <w:tblStyle w:val="TableGrid"/>
        <w:tblW w:type="auto" w:w="0"/>
        <w:jc w:val="center"/>
        <w:tblLook w:firstColumn="1" w:firstRow="1" w:lastColumn="0" w:lastRow="0" w:noHBand="0" w:noVBand="1" w:val="04A0"/>
      </w:tblPr>
      <w:tblGrid>
        <w:gridCol w:w="10166"/>
      </w:tblGrid>
      <w:tr>
        <w:tc>
          <w:tcPr>
            <w:tcW w:type="dxa" w:w="10166"/>
            <w:shd w:fill="F6FAFF"/>
            <w:tcMar>
              <w:top w:w="150" w:type="dxa"/>
              <w:start w:w="180" w:type="dxa"/>
              <w:bottom w:w="150" w:type="dxa"/>
              <w:end w:w="180" w:type="dxa"/>
            </w:tcMar>
          </w:tcPr>
          <w:p>
            <w:r>
              <w:rPr>
                <w:rFonts w:ascii="Consolas" w:hAnsi="Consolas"/>
                <w:sz w:val="18"/>
              </w:rPr>
              <w:t>√ weekly dose = 5.6044</w:t>
              <w:br/>
              <w:t>− 0.2614 × age in decades</w:t>
              <w:br/>
              <w:t>+ 0.0087 × height (cm)</w:t>
              <w:br/>
              <w:t>+ 0.0128 × weight (kg)</w:t>
              <w:br/>
              <w:t>− 0.8677 × VKORC1 A/G</w:t>
              <w:br/>
              <w:t>− 1.6974 × VKORC1 A/A</w:t>
              <w:br/>
              <w:t>− 0.5211 × CYP2C9 *1/*2</w:t>
              <w:br/>
              <w:t>− 0.9357 × CYP2C9 *1/*3</w:t>
              <w:br/>
              <w:t>− 1.0616 × CYP2C9 *2/*2</w:t>
              <w:br/>
              <w:t>− 1.9206 × CYP2C9 *2/*3</w:t>
              <w:br/>
              <w:t>− 2.3312 × CYP2C9 *3/*3</w:t>
              <w:br/>
              <w:t>− 0.1092 × Asian</w:t>
              <w:br/>
              <w:t>− 0.2760 × Black/African American</w:t>
              <w:br/>
              <w:t>− 0.1032 × Mixed/Unknown</w:t>
              <w:br/>
              <w:t>+ 1.1816 × enzyme inducer</w:t>
              <w:br/>
              <w:t>− 0.5503 × amiodarone</w:t>
            </w:r>
          </w:p>
        </w:tc>
      </w:tr>
    </w:tbl>
    <w:p>
      <w:r>
        <w:rPr>
          <w:b/>
        </w:rPr>
        <w:t xml:space="preserve">Important simplification for our V1. </w:t>
      </w:r>
      <w:r>
        <w:t>The original published equation also contains “genotype unknown” coefficients. Our Xcode implementation does not use missing consumer-array markers as a shortcut through those coefficients. If the core PGx pathway is incomplete, we switch cleanly to the separately published clinical-only equation instead. This avoids treating missing raw-DNA coverage as if it were reliable genotype information.</w:t>
      </w:r>
    </w:p>
    <w:p>
      <w:pPr>
        <w:pStyle w:val="Heading1"/>
      </w:pPr>
      <w:r>
        <w:t>7. How to read a coefficient without being a statistician</w:t>
      </w:r>
    </w:p>
    <w:p>
      <w:r>
        <w:rPr>
          <w:b/>
        </w:rPr>
        <w:t xml:space="preserve">Think of the equation as a weighted score. </w:t>
      </w:r>
      <w:r>
        <w:t>A positive term pushes the predicted dose upward; a negative term pushes it downward. The weights were estimated statistically from patient data. After all terms are added, IWPC squares the score to get the weekly milligram dose.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EF7"/>
          </w:tcPr>
          <w:p>
            <w:r>
              <w:rPr>
                <w:b/>
              </w:rPr>
              <w:t>Variable</w:t>
            </w:r>
          </w:p>
        </w:tc>
        <w:tc>
          <w:tcPr>
            <w:tcW w:type="dxa" w:w="3389"/>
            <w:shd w:fill="D9EEF7"/>
          </w:tcPr>
          <w:p>
            <w:r>
              <w:rPr>
                <w:b/>
              </w:rPr>
              <w:t>Direction in IWPC</w:t>
            </w:r>
          </w:p>
        </w:tc>
        <w:tc>
          <w:tcPr>
            <w:tcW w:type="dxa" w:w="3389"/>
            <w:shd w:fill="D9EEF7"/>
          </w:tcPr>
          <w:p>
            <w:r>
              <w:rPr>
                <w:b/>
              </w:rPr>
              <w:t>Beginner interpretation</w:t>
            </w:r>
          </w:p>
        </w:tc>
      </w:tr>
      <w:tr>
        <w:tc>
          <w:tcPr>
            <w:tcW w:type="dxa" w:w="3389"/>
          </w:tcPr>
          <w:p>
            <w:r>
              <w:t>Older age</w:t>
            </w:r>
          </w:p>
        </w:tc>
        <w:tc>
          <w:tcPr>
            <w:tcW w:type="dxa" w:w="3389"/>
          </w:tcPr>
          <w:p>
            <w:r>
              <w:t>Lower</w:t>
            </w:r>
          </w:p>
        </w:tc>
        <w:tc>
          <w:tcPr>
            <w:tcW w:type="dxa" w:w="3389"/>
          </w:tcPr>
          <w:p>
            <w:r>
              <w:t>Older patients tend to need less warfarin.</w:t>
            </w:r>
          </w:p>
        </w:tc>
      </w:tr>
      <w:tr>
        <w:tc>
          <w:tcPr>
            <w:tcW w:type="dxa" w:w="3389"/>
          </w:tcPr>
          <w:p>
            <w:r>
              <w:t>Greater height/weight</w:t>
            </w:r>
          </w:p>
        </w:tc>
        <w:tc>
          <w:tcPr>
            <w:tcW w:type="dxa" w:w="3389"/>
          </w:tcPr>
          <w:p>
            <w:r>
              <w:t>Higher</w:t>
            </w:r>
          </w:p>
        </w:tc>
        <w:tc>
          <w:tcPr>
            <w:tcW w:type="dxa" w:w="3389"/>
          </w:tcPr>
          <w:p>
            <w:r>
              <w:t>Larger body size tends to increase dose requirement.</w:t>
            </w:r>
          </w:p>
        </w:tc>
      </w:tr>
      <w:tr>
        <w:tc>
          <w:tcPr>
            <w:tcW w:type="dxa" w:w="3389"/>
          </w:tcPr>
          <w:p>
            <w:r>
              <w:t>Amiodarone</w:t>
            </w:r>
          </w:p>
        </w:tc>
        <w:tc>
          <w:tcPr>
            <w:tcW w:type="dxa" w:w="3389"/>
          </w:tcPr>
          <w:p>
            <w:r>
              <w:t>Lower</w:t>
            </w:r>
          </w:p>
        </w:tc>
        <w:tc>
          <w:tcPr>
            <w:tcW w:type="dxa" w:w="3389"/>
          </w:tcPr>
          <w:p>
            <w:r>
              <w:t>Amiodarone interaction tends to reduce dose requirement.</w:t>
            </w:r>
          </w:p>
        </w:tc>
      </w:tr>
      <w:tr>
        <w:tc>
          <w:tcPr>
            <w:tcW w:type="dxa" w:w="3389"/>
          </w:tcPr>
          <w:p>
            <w:r>
              <w:t>Enzyme inducer</w:t>
            </w:r>
          </w:p>
        </w:tc>
        <w:tc>
          <w:tcPr>
            <w:tcW w:type="dxa" w:w="3389"/>
          </w:tcPr>
          <w:p>
            <w:r>
              <w:t>Higher</w:t>
            </w:r>
          </w:p>
        </w:tc>
        <w:tc>
          <w:tcPr>
            <w:tcW w:type="dxa" w:w="3389"/>
          </w:tcPr>
          <w:p>
            <w:r>
              <w:t>Inducers increase warfarin metabolism, so more drug may be needed.</w:t>
            </w:r>
          </w:p>
        </w:tc>
      </w:tr>
      <w:tr>
        <w:tc>
          <w:tcPr>
            <w:tcW w:type="dxa" w:w="3389"/>
          </w:tcPr>
          <w:p>
            <w:r>
              <w:t>VKORC1 A allele</w:t>
            </w:r>
          </w:p>
        </w:tc>
        <w:tc>
          <w:tcPr>
            <w:tcW w:type="dxa" w:w="3389"/>
          </w:tcPr>
          <w:p>
            <w:r>
              <w:t>Lower</w:t>
            </w:r>
          </w:p>
        </w:tc>
        <w:tc>
          <w:tcPr>
            <w:tcW w:type="dxa" w:w="3389"/>
          </w:tcPr>
          <w:p>
            <w:r>
              <w:t>Greater warfarin sensitivity.</w:t>
            </w:r>
          </w:p>
        </w:tc>
      </w:tr>
      <w:tr>
        <w:tc>
          <w:tcPr>
            <w:tcW w:type="dxa" w:w="3389"/>
          </w:tcPr>
          <w:p>
            <w:r>
              <w:t>CYP2C9 reduced/no-function alleles</w:t>
            </w:r>
          </w:p>
        </w:tc>
        <w:tc>
          <w:tcPr>
            <w:tcW w:type="dxa" w:w="3389"/>
          </w:tcPr>
          <w:p>
            <w:r>
              <w:t>Lower</w:t>
            </w:r>
          </w:p>
        </w:tc>
        <w:tc>
          <w:tcPr>
            <w:tcW w:type="dxa" w:w="3389"/>
          </w:tcPr>
          <w:p>
            <w:r>
              <w:t>Slower S-warfarin clearance.</w:t>
            </w:r>
          </w:p>
        </w:tc>
      </w:tr>
    </w:tbl>
    <w:p>
      <w:pPr>
        <w:pStyle w:val="Heading1"/>
      </w:pPr>
      <w:r>
        <w:t>8. What the warfarin genes are doing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EF7"/>
          </w:tcPr>
          <w:p>
            <w:r>
              <w:rPr>
                <w:b/>
              </w:rPr>
              <w:t>Gene/variant</w:t>
            </w:r>
          </w:p>
        </w:tc>
        <w:tc>
          <w:tcPr>
            <w:tcW w:type="dxa" w:w="2541"/>
            <w:shd w:fill="D9EEF7"/>
          </w:tcPr>
          <w:p>
            <w:r>
              <w:rPr>
                <w:b/>
              </w:rPr>
              <w:t>Biological role</w:t>
            </w:r>
          </w:p>
        </w:tc>
        <w:tc>
          <w:tcPr>
            <w:tcW w:type="dxa" w:w="2541"/>
            <w:shd w:fill="D9EEF7"/>
          </w:tcPr>
          <w:p>
            <w:r>
              <w:rPr>
                <w:b/>
              </w:rPr>
              <w:t>Typical direction</w:t>
            </w:r>
          </w:p>
        </w:tc>
        <w:tc>
          <w:tcPr>
            <w:tcW w:type="dxa" w:w="2541"/>
            <w:shd w:fill="D9EEF7"/>
          </w:tcPr>
          <w:p>
            <w:r>
              <w:rPr>
                <w:b/>
              </w:rPr>
              <w:t>How calculator uses it</w:t>
            </w:r>
          </w:p>
        </w:tc>
      </w:tr>
      <w:tr>
        <w:tc>
          <w:tcPr>
            <w:tcW w:type="dxa" w:w="2541"/>
          </w:tcPr>
          <w:p>
            <w:r>
              <w:t>CYP2C9 *2 / *3</w:t>
            </w:r>
          </w:p>
        </w:tc>
        <w:tc>
          <w:tcPr>
            <w:tcW w:type="dxa" w:w="2541"/>
          </w:tcPr>
          <w:p>
            <w:r>
              <w:t>CYP2C9 metabolizes the more potent S-warfarin. *2 and *3 reduce function.</w:t>
            </w:r>
          </w:p>
        </w:tc>
        <w:tc>
          <w:tcPr>
            <w:tcW w:type="dxa" w:w="2541"/>
          </w:tcPr>
          <w:p>
            <w:r>
              <w:t>Lower dose</w:t>
            </w:r>
          </w:p>
        </w:tc>
        <w:tc>
          <w:tcPr>
            <w:tcW w:type="dxa" w:w="2541"/>
          </w:tcPr>
          <w:p>
            <w:r>
              <w:t>Built directly into original IWPC PGx equation.</w:t>
            </w:r>
          </w:p>
        </w:tc>
      </w:tr>
      <w:tr>
        <w:tc>
          <w:tcPr>
            <w:tcW w:type="dxa" w:w="2541"/>
          </w:tcPr>
          <w:p>
            <w:r>
              <w:t>VKORC1 c.-1639G&gt;A, rs9923231</w:t>
            </w:r>
          </w:p>
        </w:tc>
        <w:tc>
          <w:tcPr>
            <w:tcW w:type="dxa" w:w="2541"/>
          </w:tcPr>
          <w:p>
            <w:r>
              <w:t>VKORC1 is the pharmacologic target of warfarin. The A allele is associated with increased sensitivity.</w:t>
            </w:r>
          </w:p>
        </w:tc>
        <w:tc>
          <w:tcPr>
            <w:tcW w:type="dxa" w:w="2541"/>
          </w:tcPr>
          <w:p>
            <w:r>
              <w:t>Lower dose</w:t>
            </w:r>
          </w:p>
        </w:tc>
        <w:tc>
          <w:tcPr>
            <w:tcW w:type="dxa" w:w="2541"/>
          </w:tcPr>
          <w:p>
            <w:r>
              <w:t>Built directly into original IWPC PGx equation.</w:t>
            </w:r>
          </w:p>
        </w:tc>
      </w:tr>
      <w:tr>
        <w:tc>
          <w:tcPr>
            <w:tcW w:type="dxa" w:w="2541"/>
          </w:tcPr>
          <w:p>
            <w:r>
              <w:t>CYP2C9 *5/*6/*8/*11</w:t>
            </w:r>
          </w:p>
        </w:tc>
        <w:tc>
          <w:tcPr>
            <w:tcW w:type="dxa" w:w="2541"/>
          </w:tcPr>
          <w:p>
            <w:r>
              <w:t>Additional reduced/no-function alleles important particularly in African ancestry.</w:t>
            </w:r>
          </w:p>
        </w:tc>
        <w:tc>
          <w:tcPr>
            <w:tcW w:type="dxa" w:w="2541"/>
          </w:tcPr>
          <w:p>
            <w:r>
              <w:t>Lower dose</w:t>
            </w:r>
          </w:p>
        </w:tc>
        <w:tc>
          <w:tcPr>
            <w:tcW w:type="dxa" w:w="2541"/>
          </w:tcPr>
          <w:p>
            <w:r>
              <w:t>Handled by CPIC adjustment rules outside the original IWPC equation.</w:t>
            </w:r>
          </w:p>
        </w:tc>
      </w:tr>
      <w:tr>
        <w:tc>
          <w:tcPr>
            <w:tcW w:type="dxa" w:w="2541"/>
          </w:tcPr>
          <w:p>
            <w:r>
              <w:t>CYP4F2*3, rs2108622</w:t>
            </w:r>
          </w:p>
        </w:tc>
        <w:tc>
          <w:tcPr>
            <w:tcW w:type="dxa" w:w="2541"/>
          </w:tcPr>
          <w:p>
            <w:r>
              <w:t>CYP4F2 helps oxidize vitamin K; *3 is associated with modestly higher dose needs in non-African populations.</w:t>
            </w:r>
          </w:p>
        </w:tc>
        <w:tc>
          <w:tcPr>
            <w:tcW w:type="dxa" w:w="2541"/>
          </w:tcPr>
          <w:p>
            <w:r>
              <w:t>Higher dose</w:t>
            </w:r>
          </w:p>
        </w:tc>
        <w:tc>
          <w:tcPr>
            <w:tcW w:type="dxa" w:w="2541"/>
          </w:tcPr>
          <w:p>
            <w:r>
              <w:t>CPIC optional +5-10% in non-African ancestry.</w:t>
            </w:r>
          </w:p>
        </w:tc>
      </w:tr>
      <w:tr>
        <w:tc>
          <w:tcPr>
            <w:tcW w:type="dxa" w:w="2541"/>
          </w:tcPr>
          <w:p>
            <w:r>
              <w:t>rs12777823</w:t>
            </w:r>
          </w:p>
        </w:tc>
        <w:tc>
          <w:tcPr>
            <w:tcW w:type="dxa" w:w="2541"/>
          </w:tcPr>
          <w:p>
            <w:r>
              <w:t>Variant in the CYP2C cluster associated with dose in African Americans.</w:t>
            </w:r>
          </w:p>
        </w:tc>
        <w:tc>
          <w:tcPr>
            <w:tcW w:type="dxa" w:w="2541"/>
          </w:tcPr>
          <w:p>
            <w:r>
              <w:t>Lower dose in the supported population</w:t>
            </w:r>
          </w:p>
        </w:tc>
        <w:tc>
          <w:tcPr>
            <w:tcW w:type="dxa" w:w="2541"/>
          </w:tcPr>
          <w:p>
            <w:r>
              <w:t>CPIC recommends -10-25% for African Americans with A/G or A/A.</w:t>
            </w:r>
          </w:p>
        </w:tc>
      </w:tr>
    </w:tbl>
    <w:p>
      <w:r>
        <w:rPr>
          <w:b/>
        </w:rPr>
        <w:t xml:space="preserve">VKORC1 strand note. </w:t>
      </w:r>
      <w:r>
        <w:t>PharmCAT notes that VKORC1 is on the negative chromosomal strand, so the genomic alleles displayed in a VCF may be the complement of the conventional -1639G&gt;A clinical notation. For example, genomic C/C corresponds to clinical -1639 G/G. [5]</w:t>
      </w:r>
    </w:p>
    <w:p>
      <w:pPr>
        <w:pStyle w:val="Heading1"/>
      </w:pPr>
      <w:r>
        <w:t>9. What CPIC adds on top of IWPC</w:t>
      </w:r>
    </w:p>
    <w:p>
      <w:r>
        <w:rPr>
          <w:b/>
        </w:rPr>
        <w:t xml:space="preserve">CPIC is not another single master formula. </w:t>
      </w:r>
      <w:r>
        <w:t>Its 2017 guideline recommends using a validated pharmacogenetic algorithm such as IWPC or Gage, then applying additional genotype/ancestry guidance that the original algorithms did not contain. CPIC explicitly notes that original IWPC/Gage use only VKORC1 -1639G&gt;A and CYP2C9 *2/*3; CYP4F2, CYP2C9 *5/*6/*8/*11, and rs12777823 must be incorporated separately when appropriate. [2]</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EF7"/>
          </w:tcPr>
          <w:p>
            <w:r>
              <w:rPr>
                <w:b/>
              </w:rPr>
              <w:t>Situation</w:t>
            </w:r>
          </w:p>
        </w:tc>
        <w:tc>
          <w:tcPr>
            <w:tcW w:type="dxa" w:w="3389"/>
            <w:shd w:fill="D9EEF7"/>
          </w:tcPr>
          <w:p>
            <w:r>
              <w:rPr>
                <w:b/>
              </w:rPr>
              <w:t>CPIC guidance</w:t>
            </w:r>
          </w:p>
        </w:tc>
        <w:tc>
          <w:tcPr>
            <w:tcW w:type="dxa" w:w="3389"/>
            <w:shd w:fill="D9EEF7"/>
          </w:tcPr>
          <w:p>
            <w:r>
              <w:rPr>
                <w:b/>
              </w:rPr>
              <w:t>Our V1 behavior</w:t>
            </w:r>
          </w:p>
        </w:tc>
      </w:tr>
      <w:tr>
        <w:tc>
          <w:tcPr>
            <w:tcW w:type="dxa" w:w="3389"/>
          </w:tcPr>
          <w:p>
            <w:r>
              <w:t>Non-African ancestry; core CYP2C9 *2/*3 + VKORC1 available</w:t>
            </w:r>
          </w:p>
        </w:tc>
        <w:tc>
          <w:tcPr>
            <w:tcW w:type="dxa" w:w="3389"/>
          </w:tcPr>
          <w:p>
            <w:r>
              <w:t>Use validated PGx algorithm. If *5/*6/*8/*11 detected, decrease calculated dose 15-30% per allele (optional). If CYP4F2*3 detected, increase 5-10% (optional). Do not use rs12777823.</w:t>
            </w:r>
          </w:p>
        </w:tc>
        <w:tc>
          <w:tcPr>
            <w:tcW w:type="dxa" w:w="3389"/>
          </w:tcPr>
          <w:p>
            <w:r>
              <w:t>Use IWPC PGx base estimate; show extra CPIC considerations separately.</w:t>
            </w:r>
          </w:p>
        </w:tc>
      </w:tr>
      <w:tr>
        <w:tc>
          <w:tcPr>
            <w:tcW w:type="dxa" w:w="3389"/>
          </w:tcPr>
          <w:p>
            <w:r>
              <w:t>African ancestry; *5/*6/*8/*11 NOT all tested</w:t>
            </w:r>
          </w:p>
        </w:tc>
        <w:tc>
          <w:tcPr>
            <w:tcW w:type="dxa" w:w="3389"/>
          </w:tcPr>
          <w:p>
            <w:r>
              <w:t>Dose clinically without genotype.</w:t>
            </w:r>
          </w:p>
        </w:tc>
        <w:tc>
          <w:tcPr>
            <w:tcW w:type="dxa" w:w="3389"/>
          </w:tcPr>
          <w:p>
            <w:r>
              <w:t>Use IWPC clinical-only equation.</w:t>
            </w:r>
          </w:p>
        </w:tc>
      </w:tr>
      <w:tr>
        <w:tc>
          <w:tcPr>
            <w:tcW w:type="dxa" w:w="3389"/>
          </w:tcPr>
          <w:p>
            <w:r>
              <w:t>African ancestry; expanded CYP2C9 known</w:t>
            </w:r>
          </w:p>
        </w:tc>
        <w:tc>
          <w:tcPr>
            <w:tcW w:type="dxa" w:w="3389"/>
          </w:tcPr>
          <w:p>
            <w:r>
              <w:t>Use validated PGx algorithm; decrease 15-30% for *5/*6/*8/*11, larger reduction may be needed with two variant alleles.</w:t>
            </w:r>
          </w:p>
        </w:tc>
        <w:tc>
          <w:tcPr>
            <w:tcW w:type="dxa" w:w="3389"/>
          </w:tcPr>
          <w:p>
            <w:r>
              <w:t>Use IWPC PGx base estimate and display CPIC reduction guidance.</w:t>
            </w:r>
          </w:p>
        </w:tc>
      </w:tr>
      <w:tr>
        <w:tc>
          <w:tcPr>
            <w:tcW w:type="dxa" w:w="3389"/>
          </w:tcPr>
          <w:p>
            <w:r>
              <w:t>African American with rs12777823 A/G or A/A</w:t>
            </w:r>
          </w:p>
        </w:tc>
        <w:tc>
          <w:tcPr>
            <w:tcW w:type="dxa" w:w="3389"/>
          </w:tcPr>
          <w:p>
            <w:r>
              <w:t>Decrease calculated dose 10-25%.</w:t>
            </w:r>
          </w:p>
        </w:tc>
        <w:tc>
          <w:tcPr>
            <w:tcW w:type="dxa" w:w="3389"/>
          </w:tcPr>
          <w:p>
            <w:r>
              <w:t>Display separate rs12777823 consideration.</w:t>
            </w:r>
          </w:p>
        </w:tc>
      </w:tr>
      <w:tr>
        <w:tc>
          <w:tcPr>
            <w:tcW w:type="dxa" w:w="3389"/>
          </w:tcPr>
          <w:p>
            <w:r>
              <w:t>African ancestry + CYP4F2</w:t>
            </w:r>
          </w:p>
        </w:tc>
        <w:tc>
          <w:tcPr>
            <w:tcW w:type="dxa" w:w="3389"/>
          </w:tcPr>
          <w:p>
            <w:r>
              <w:t>CPIC does not recommend CYP4F2 dose adjustment in this population.</w:t>
            </w:r>
          </w:p>
        </w:tc>
        <w:tc>
          <w:tcPr>
            <w:tcW w:type="dxa" w:w="3389"/>
          </w:tcPr>
          <w:p>
            <w:r>
              <w:t>No CYP4F2 increase applied.</w:t>
            </w:r>
          </w:p>
        </w:tc>
      </w:tr>
      <w:tr>
        <w:tc>
          <w:tcPr>
            <w:tcW w:type="dxa" w:w="3389"/>
          </w:tcPr>
          <w:p>
            <w:r>
              <w:t>CYP2C9 poor metabolism / marked warfarin sensitivity</w:t>
            </w:r>
          </w:p>
        </w:tc>
        <w:tc>
          <w:tcPr>
            <w:tcW w:type="dxa" w:w="3389"/>
          </w:tcPr>
          <w:p>
            <w:r>
              <w:t>CPIC says an alternative oral anticoagulant should be considered in relevant genotypes.</w:t>
            </w:r>
          </w:p>
        </w:tc>
        <w:tc>
          <w:tcPr>
            <w:tcW w:type="dxa" w:w="3389"/>
          </w:tcPr>
          <w:p>
            <w:r>
              <w:t>Surface a clinician warning; do not pretend the formula alone settles therapy.</w:t>
            </w:r>
          </w:p>
        </w:tc>
      </w:tr>
    </w:tbl>
    <w:p>
      <w:pPr>
        <w:pStyle w:val="Heading1"/>
      </w:pPr>
      <w:r>
        <w:t>10. Why ancestry and marker coverage matter so much</w:t>
      </w:r>
    </w:p>
    <w:p>
      <w:r>
        <w:rPr>
          <w:b/>
        </w:rPr>
        <w:t xml:space="preserve">The COAG trial is the key lesson. </w:t>
      </w:r>
      <w:r>
        <w:t>It compared genotype-guided and clinical-algorithm dosing in a diverse U.S. population. Overall it did not show a clinical advantage for genotype-guided dosing; in Black participants, the genotype-guided arm was less accurate. CPIC notes that the genotyping panel used only CYP2C9 *2/*3 and VKORC1 and omitted variants such as *5/*6/*8/*11 and rs12777823 that are more important in African ancestry. This is one reason the 2017 CPIC guideline specifically says not to use PGx dosing in this setting when those expanded alleles were not tested. [2]</w:t>
      </w:r>
    </w:p>
    <w:p>
      <w:r>
        <w:rPr>
          <w:b/>
        </w:rPr>
        <w:t xml:space="preserve">That is directly relevant to consumer raw-DNA files. </w:t>
      </w:r>
      <w:r>
        <w:t>Different platforms cover different markers. Therefore, the calculator should check the actual required SNPs for the submitted file rather than assuming that a PharmCAT *1 result proves complete gene coverage.</w:t>
      </w:r>
    </w:p>
    <w:p>
      <w:pPr>
        <w:pStyle w:val="Heading1"/>
      </w:pPr>
      <w:r>
        <w:t>11. PharmCAT, missing markers, and the *1 issue</w:t>
      </w:r>
    </w:p>
    <w:p>
      <w:r>
        <w:rPr>
          <w:b/>
        </w:rPr>
        <w:t xml:space="preserve">PharmCAT says missing queried positions are not assumed to be reference. </w:t>
      </w:r>
      <w:r>
        <w:t>Missing positions can alter genotype, phenotype, and guideline interpretation. It also explains that *1/reference means no alternative allele was detected at the positions interrogated; it does not mean the entire gene sequence is known to be reference. [5]</w:t>
      </w:r>
    </w:p>
    <w:p>
      <w:r>
        <w:rPr>
          <w:b/>
        </w:rPr>
        <w:t xml:space="preserve">Our practical rule is therefore: </w:t>
      </w:r>
      <w:r>
        <w:t>for the warfarin calculator, marker-level evidence outranks a bare *1 label. A called reference genotype is different from an unavailable marker. If the required PGx pathway is incomplete, the calculator switches to the clinical-only equation instead of guessing.</w:t>
      </w:r>
    </w:p>
    <w:p>
      <w:pPr>
        <w:pStyle w:val="Heading1"/>
      </w:pPr>
      <w:r>
        <w:t>12. Why we are not building the “second calculator” yet</w:t>
      </w:r>
    </w:p>
    <w:p>
      <w:r>
        <w:rPr>
          <w:b/>
        </w:rPr>
        <w:t xml:space="preserve">CPIC distinguishes maintenance-dose prediction from later dose revision. </w:t>
      </w:r>
      <w:r>
        <w:t>The IWPC/Gage algorithms estimate anticipated stable dose before or early in treatment. CPIC also mentions a dose-revision algorithm that can be used around days 4-5 after actual warfarin doses and INR measurements are available. [2]</w:t>
      </w:r>
    </w:p>
    <w:p>
      <w:r>
        <w:rPr>
          <w:b/>
        </w:rPr>
        <w:t xml:space="preserve">V1 intentionally does only stable-maintenance estimation. </w:t>
      </w:r>
      <w:r>
        <w:t>A later INR-based refinement tool would be a separate feature because it uses different inputs and answers a different clinical question.</w:t>
      </w:r>
    </w:p>
    <w:p>
      <w:pPr>
        <w:pStyle w:val="Heading1"/>
      </w:pPr>
      <w:r>
        <w:t>13. The 2023 deep neural network paper you uploaded</w:t>
      </w:r>
    </w:p>
    <w:p>
      <w:r>
        <w:rPr>
          <w:b/>
        </w:rPr>
        <w:t xml:space="preserve">Paper: </w:t>
      </w:r>
      <w:r>
        <w:t>Jahmunah V, Chen S, Oh SL, Acharya UR, Chowbay B. “Automated warfarin dose prediction for Asian, American, and Caucasian populations using a deep neural network.” Computers in Biology and Medicine. 2023;153:106548. [6]</w:t>
      </w:r>
    </w:p>
    <w:p>
      <w:r>
        <w:rPr>
          <w:b/>
        </w:rPr>
        <w:t xml:space="preserve">What it did. </w:t>
      </w:r>
      <w:r>
        <w:t>It used the IWPC dataset (more than 6,000 records in the dataset version used by the authors) and fed a deep neural network many inputs, including physical characteristics, medical conditions, medications, genotype information, and therapeutic INR. The paper reported different mean absolute errors by population and only 36.4% of all patients had a predicted dose within 20% of the administered dose. The authors describe the model as an alternative for clinical prediction upon validation in ethnically similar datasets. [6]</w:t>
      </w:r>
    </w:p>
    <w:p>
      <w:r>
        <w:rPr>
          <w:b/>
        </w:rPr>
        <w:t xml:space="preserve">Why it is not our V1 engine. </w:t>
      </w:r>
      <w:r>
        <w:t>It is a research model rather than the guideline-endorsed transparent pathway we can audit term-by-term. It also needs more inputs, including therapeutic INR, and the paper itself calls for further validation. For a doctor-facing V1 calculator, IWPC + CPIC is easier to explain, reproduce, test, and govern.</w:t>
      </w:r>
    </w:p>
    <w:p>
      <w:pPr>
        <w:pStyle w:val="Heading1"/>
      </w:pPr>
      <w:r>
        <w:t>14. What the FDA/DailyMed warfarin label contributes</w:t>
      </w:r>
    </w:p>
    <w:p>
      <w:r>
        <w:rPr>
          <w:b/>
        </w:rPr>
        <w:t xml:space="preserve">The current U.S. label does not provide our exact regression equation. </w:t>
      </w:r>
      <w:r>
        <w:t>Instead, it provides broad expected maintenance-dose ranges for combinations of CYP2C9 and VKORC1 and says that, when genotypes are unknown, initial dosing is usually 2-5 mg once daily with dose requirements determined by close INR monitoring. It also emphasizes ongoing INR monitoring and notes that some CYP2C9 genotypes may take longer to show their full INR effect. [4]</w:t>
      </w:r>
    </w:p>
    <w:p>
      <w:r>
        <w:rPr>
          <w:b/>
        </w:rPr>
        <w:t xml:space="preserve">How we use it. </w:t>
      </w:r>
      <w:r>
        <w:t>As an external safety/reference check and for clinician instructions, not as the core mathematical engine.</w:t>
      </w:r>
    </w:p>
    <w:p>
      <w:pPr>
        <w:pStyle w:val="Heading1"/>
      </w:pPr>
      <w:r>
        <w:t>15. Final Xcode Life calculator logic</w:t>
      </w:r>
    </w:p>
    <w:tbl>
      <w:tblPr>
        <w:tblStyle w:val="TableGrid"/>
        <w:tblW w:type="auto" w:w="0"/>
        <w:jc w:val="center"/>
        <w:tblLook w:firstColumn="1" w:firstRow="1" w:lastColumn="0" w:lastRow="0" w:noHBand="0" w:noVBand="1" w:val="04A0"/>
      </w:tblPr>
      <w:tblGrid>
        <w:gridCol w:w="5083"/>
        <w:gridCol w:w="5083"/>
      </w:tblGrid>
      <w:tr>
        <w:tc>
          <w:tcPr>
            <w:tcW w:type="dxa" w:w="5083"/>
            <w:shd w:fill="D9EEF7"/>
          </w:tcPr>
          <w:p>
            <w:r>
              <w:rPr>
                <w:b/>
              </w:rPr>
              <w:t>Question</w:t>
            </w:r>
          </w:p>
        </w:tc>
        <w:tc>
          <w:tcPr>
            <w:tcW w:type="dxa" w:w="5083"/>
            <w:shd w:fill="D9EEF7"/>
          </w:tcPr>
          <w:p>
            <w:r>
              <w:rPr>
                <w:b/>
              </w:rPr>
              <w:t>Calculator action</w:t>
            </w:r>
          </w:p>
        </w:tc>
      </w:tr>
      <w:tr>
        <w:tc>
          <w:tcPr>
            <w:tcW w:type="dxa" w:w="5083"/>
          </w:tcPr>
          <w:p>
            <w:r>
              <w:t>Has the doctor uploaded an Xcode Warfarin PGx input file?</w:t>
            </w:r>
          </w:p>
        </w:tc>
        <w:tc>
          <w:tcPr>
            <w:tcW w:type="dxa" w:w="5083"/>
          </w:tcPr>
          <w:p>
            <w:r>
              <w:t>No → use IWPC clinical-only equation. Yes → inspect marker-level coverage.</w:t>
            </w:r>
          </w:p>
        </w:tc>
      </w:tr>
      <w:tr>
        <w:tc>
          <w:tcPr>
            <w:tcW w:type="dxa" w:w="5083"/>
          </w:tcPr>
          <w:p>
            <w:r>
              <w:t>Are CYP2C9 *2, *3 and VKORC1 rs9923231 usable?</w:t>
            </w:r>
          </w:p>
        </w:tc>
        <w:tc>
          <w:tcPr>
            <w:tcW w:type="dxa" w:w="5083"/>
          </w:tcPr>
          <w:p>
            <w:r>
              <w:t>No → use IWPC clinical-only equation. Yes → candidate for IWPC PGx equation.</w:t>
            </w:r>
          </w:p>
        </w:tc>
      </w:tr>
      <w:tr>
        <w:tc>
          <w:tcPr>
            <w:tcW w:type="dxa" w:w="5083"/>
          </w:tcPr>
          <w:p>
            <w:r>
              <w:t>Patient is Black/African American: were *5/*6/*8/*11 all tested?</w:t>
            </w:r>
          </w:p>
        </w:tc>
        <w:tc>
          <w:tcPr>
            <w:tcW w:type="dxa" w:w="5083"/>
          </w:tcPr>
          <w:p>
            <w:r>
              <w:t>No → use clinical-only equation per CPIC. Yes → use PGx pathway.</w:t>
            </w:r>
          </w:p>
        </w:tc>
      </w:tr>
      <w:tr>
        <w:tc>
          <w:tcPr>
            <w:tcW w:type="dxa" w:w="5083"/>
          </w:tcPr>
          <w:p>
            <w:r>
              <w:t>Use PGx pathway</w:t>
            </w:r>
          </w:p>
        </w:tc>
        <w:tc>
          <w:tcPr>
            <w:tcW w:type="dxa" w:w="5083"/>
          </w:tcPr>
          <w:p>
            <w:r>
              <w:t>Calculate IWPC PGx base dose, then assess additional CPIC rules.</w:t>
            </w:r>
          </w:p>
        </w:tc>
      </w:tr>
      <w:tr>
        <w:tc>
          <w:tcPr>
            <w:tcW w:type="dxa" w:w="5083"/>
          </w:tcPr>
          <w:p>
            <w:r>
              <w:t>Additional CYP2C9 *5/*6/*8/*11 detected?</w:t>
            </w:r>
          </w:p>
        </w:tc>
        <w:tc>
          <w:tcPr>
            <w:tcW w:type="dxa" w:w="5083"/>
          </w:tcPr>
          <w:p>
            <w:r>
              <w:t>Display CPIC lower-dose guidance.</w:t>
            </w:r>
          </w:p>
        </w:tc>
      </w:tr>
      <w:tr>
        <w:tc>
          <w:tcPr>
            <w:tcW w:type="dxa" w:w="5083"/>
          </w:tcPr>
          <w:p>
            <w:r>
              <w:t>Non-African + CYP4F2*3?</w:t>
            </w:r>
          </w:p>
        </w:tc>
        <w:tc>
          <w:tcPr>
            <w:tcW w:type="dxa" w:w="5083"/>
          </w:tcPr>
          <w:p>
            <w:r>
              <w:t>Display optional 5-10% higher-dose guidance.</w:t>
            </w:r>
          </w:p>
        </w:tc>
      </w:tr>
      <w:tr>
        <w:tc>
          <w:tcPr>
            <w:tcW w:type="dxa" w:w="5083"/>
          </w:tcPr>
          <w:p>
            <w:r>
              <w:t>African American + rs12777823 A/G or A/A?</w:t>
            </w:r>
          </w:p>
        </w:tc>
        <w:tc>
          <w:tcPr>
            <w:tcW w:type="dxa" w:w="5083"/>
          </w:tcPr>
          <w:p>
            <w:r>
              <w:t>Display 10-25% lower-dose guidance.</w:t>
            </w:r>
          </w:p>
        </w:tc>
      </w:tr>
      <w:tr>
        <w:tc>
          <w:tcPr>
            <w:tcW w:type="dxa" w:w="5083"/>
          </w:tcPr>
          <w:p>
            <w:r>
              <w:t>Output</w:t>
            </w:r>
          </w:p>
        </w:tc>
        <w:tc>
          <w:tcPr>
            <w:tcW w:type="dxa" w:w="5083"/>
          </w:tcPr>
          <w:p>
            <w:r>
              <w:t>Show mg/week first, average mg/day second, calculation method, relevant PGx notes, and clinician/INR guidance.</w:t>
            </w:r>
          </w:p>
        </w:tc>
      </w:tr>
    </w:tbl>
    <w:p>
      <w:pPr>
        <w:pStyle w:val="Heading1"/>
      </w:pPr>
      <w:r>
        <w:t>16. What the calculator does NOT claim</w:t>
      </w:r>
    </w:p>
    <w:p>
      <w:pPr>
        <w:pStyle w:val="ListBullet"/>
      </w:pPr>
      <w:r>
        <w:t>The estimate is not a substitute for INR monitoring.</w:t>
      </w:r>
    </w:p>
    <w:p>
      <w:pPr>
        <w:pStyle w:val="ListBullet"/>
      </w:pPr>
      <w:r>
        <w:t>The estimate is not a routine loading-dose regimen.</w:t>
      </w:r>
    </w:p>
    <w:p>
      <w:pPr>
        <w:pStyle w:val="ListBullet"/>
      </w:pPr>
      <w:r>
        <w:t>The calculator does not assume missing genetic markers are normal/reference.</w:t>
      </w:r>
    </w:p>
    <w:p>
      <w:pPr>
        <w:pStyle w:val="ListBullet"/>
      </w:pPr>
      <w:r>
        <w:t>The calculator does not currently perform day-4/day-5 INR-based dose revision.</w:t>
      </w:r>
    </w:p>
    <w:p>
      <w:pPr>
        <w:pStyle w:val="ListBullet"/>
      </w:pPr>
      <w:r>
        <w:t>The calculator should not silently combine multiple optional CPIC percentage modifiers into a single highly precise “final” dose without a documented clinical specification.</w:t>
      </w:r>
    </w:p>
    <w:p>
      <w:pPr>
        <w:pStyle w:val="Heading1"/>
      </w:pPr>
      <w:r>
        <w:t>17. Minimum validation before release</w:t>
      </w:r>
    </w:p>
    <w:p>
      <w:r>
        <w:rPr>
          <w:b/>
        </w:rPr>
        <w:t xml:space="preserve">The mathematical formulas are published, but the software still needs implementation validation. </w:t>
      </w:r>
      <w:r>
        <w:t>At minimum, test known clinical-only and PGx examples, every supported CYP2C9/VKORC1 combination, missing-marker fallback behavior, *5/*6/*8/*11 detection, CYP4F2, rs12777823, and each raw-DNA platform you support. The code should also record which algorithm/version generated a result.</w:t>
      </w:r>
    </w:p>
    <w:p>
      <w:pPr>
        <w:pStyle w:val="Heading1"/>
      </w:pPr>
      <w:r>
        <w:t>18. References and source hierarchy</w:t>
      </w:r>
    </w:p>
    <w:p>
      <w:r>
        <w:rPr>
          <w:b w:val="0"/>
        </w:rPr>
        <w:t>[1] International Warfarin Pharmacogenetics Consortium. Estimation of the Warfarin Dose with Clinical and Pharmacogenetic Data. N Engl J Med. 2009;360:753-764. DOI: 10.1056/NEJMoa0809329.</w:t>
      </w:r>
    </w:p>
    <w:p>
      <w:r>
        <w:rPr>
          <w:color w:val="0D87B8"/>
          <w:sz w:val="17"/>
        </w:rPr>
        <w:t>https://www.nejm.org/doi/full/10.1056/NEJMoa0809329</w:t>
      </w:r>
    </w:p>
    <w:p>
      <w:r>
        <w:rPr>
          <w:b w:val="0"/>
        </w:rPr>
        <w:t>[2] Johnson JA, et al. Clinical Pharmacogenetics Implementation Consortium (CPIC) Guideline for Pharmacogenetics-Guided Warfarin Dosing: 2017 Update. Clin Pharmacol Ther. 2017. PMID: 28198005.</w:t>
      </w:r>
    </w:p>
    <w:p>
      <w:r>
        <w:rPr>
          <w:color w:val="0D87B8"/>
          <w:sz w:val="17"/>
        </w:rPr>
        <w:t>https://files.cpicpgx.org/data/guideline/publication/warfarin/2017/warfarin.pdf</w:t>
      </w:r>
    </w:p>
    <w:p>
      <w:r>
        <w:rPr>
          <w:b w:val="0"/>
        </w:rPr>
        <w:t>[3] CPIC Warfarin Guideline Supplement. Contains the IWPC and Gage equations and supporting tables.</w:t>
      </w:r>
    </w:p>
    <w:p>
      <w:r>
        <w:rPr>
          <w:color w:val="0D87B8"/>
          <w:sz w:val="17"/>
        </w:rPr>
        <w:t>https://cpicpgx.org/content/guideline/publication/warfarin/2017/warfarin-supplement.pdf</w:t>
      </w:r>
    </w:p>
    <w:p>
      <w:r>
        <w:rPr>
          <w:b w:val="0"/>
        </w:rPr>
        <w:t>[4] U.S. prescribing information for warfarin sodium (DailyMed).</w:t>
      </w:r>
    </w:p>
    <w:p>
      <w:r>
        <w:rPr>
          <w:color w:val="0D87B8"/>
          <w:sz w:val="17"/>
        </w:rPr>
        <w:t>https://dailymed.nlm.nih.gov/dailymed/drugInfo.cfm?setid=bd6ea120-5d1c-4815-94f2-81e28dc6b7a9</w:t>
      </w:r>
    </w:p>
    <w:p>
      <w:r>
        <w:rPr>
          <w:b w:val="0"/>
        </w:rPr>
        <w:t>[5] PharmCAT documentation: Disclaimers, VCF Requirements, FAQ, and example reports.</w:t>
      </w:r>
    </w:p>
    <w:p>
      <w:r>
        <w:rPr>
          <w:color w:val="0D87B8"/>
          <w:sz w:val="17"/>
        </w:rPr>
        <w:t>https://pharmcat.org/Disclaimers/</w:t>
      </w:r>
    </w:p>
    <w:p>
      <w:r>
        <w:rPr>
          <w:b w:val="0"/>
        </w:rPr>
        <w:t>[6] Jahmunah V, Chen S, Oh SL, Acharya UR, Chowbay B. Automated warfarin dose prediction for Asian, American, and Caucasian populations using a deep neural network. Comput Biol Med. 2023;153:106548. DOI: 10.1016/j.compbiomed.2023.106548.</w:t>
      </w:r>
    </w:p>
    <w:p>
      <w:r>
        <w:rPr>
          <w:color w:val="0D87B8"/>
          <w:sz w:val="17"/>
        </w:rPr>
        <w:t>https://pubmed.ncbi.nlm.nih.gov/36652867/</w:t>
      </w:r>
    </w:p>
    <w:p>
      <w:r>
        <w:rPr>
          <w:b w:val="0"/>
        </w:rPr>
        <w:t>[7] Gage BF, et al. Use of Pharmacogenetic and Clinical Factors to Predict the Therapeutic Dose of Warfarin. Clin Pharmacol Ther. 2008;84:326-331. DOI: 10.1038/clpt.2008.10.</w:t>
      </w:r>
    </w:p>
    <w:p>
      <w:r>
        <w:rPr>
          <w:color w:val="0D87B8"/>
          <w:sz w:val="17"/>
        </w:rPr>
        <w:t>https://pubmed.ncbi.nlm.nih.gov/18305455/</w:t>
      </w:r>
    </w:p>
    <w:sectPr w:rsidR="00FC693F" w:rsidRPr="0006063C" w:rsidSect="00034616">
      <w:footerReference w:type="default" r:id="rId9"/>
      <w:pgSz w:w="12240" w:h="15840"/>
      <w:pgMar w:top="864"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Xcode Life | Warfarin Dosing Calculator Scientific Foundation | Internal development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D3B7A"/>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D87B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75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