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xcode-life-logo.png"/>
                    <pic:cNvPicPr/>
                  </pic:nvPicPr>
                  <pic:blipFill>
                    <a:blip r:embed="rId11"/>
                    <a:stretch>
                      <a:fillRect/>
                    </a:stretch>
                  </pic:blipFill>
                  <pic:spPr>
                    <a:xfrm>
                      <a:off x="0" y="0"/>
                      <a:ext cx="1645920" cy="1645920"/>
                    </a:xfrm>
                    <a:prstGeom prst="rect"/>
                  </pic:spPr>
                </pic:pic>
              </a:graphicData>
            </a:graphic>
          </wp:inline>
        </w:drawing>
      </w:r>
    </w:p>
    <w:p>
      <w:pPr>
        <w:spacing w:after="560"/>
      </w:pPr>
    </w:p>
    <w:p>
      <w:pPr>
        <w:jc w:val="center"/>
      </w:pPr>
      <w:r>
        <w:rPr>
          <w:b/>
          <w:color w:val="023D79"/>
          <w:sz w:val="56"/>
        </w:rPr>
        <w:t>Warfarin Dosing Calculator</w:t>
      </w:r>
    </w:p>
    <w:p>
      <w:pPr>
        <w:jc w:val="center"/>
      </w:pPr>
      <w:r>
        <w:rPr>
          <w:b/>
          <w:color w:val="18A6B8"/>
          <w:sz w:val="36"/>
        </w:rPr>
        <w:t>Technical Documentation &amp; PGx Integration Guide</w:t>
      </w:r>
    </w:p>
    <w:p>
      <w:pPr>
        <w:jc w:val="center"/>
      </w:pPr>
      <w:r>
        <w:rPr>
          <w:color w:val="56616B"/>
          <w:sz w:val="22"/>
        </w:rPr>
        <w:t>Companion to the Xcode Life PGx Report Generation Pipeline</w:t>
      </w:r>
    </w:p>
    <w:p>
      <w:pPr>
        <w:spacing w:after="520"/>
      </w:pPr>
    </w:p>
    <w:tbl>
      <w:tblPr>
        <w:tblW w:type="auto" w:w="0"/>
        <w:jc w:val="center"/>
        <w:tblLook w:firstColumn="1" w:firstRow="1" w:lastColumn="0" w:lastRow="0" w:noHBand="0" w:noVBand="1" w:val="04A0"/>
      </w:tblPr>
      <w:tblGrid>
        <w:gridCol w:w="10080"/>
      </w:tblGrid>
      <w:tr>
        <w:trPr>
          <w:cantSplit/>
        </w:trPr>
        <w:tc>
          <w:tcPr>
            <w:tcW w:type="dxa" w:w="10080"/>
            <w:shd w:fill="EAF7FA"/>
          </w:tcPr>
          <w:p>
            <w:r>
              <w:rPr>
                <w:b/>
                <w:color w:val="18A6B8"/>
                <w:sz w:val="19"/>
              </w:rPr>
              <w:t>Document purpose</w:t>
              <w:br/>
            </w:r>
            <w:r>
              <w:rPr>
                <w:color w:val="1F2937"/>
                <w:sz w:val="17"/>
              </w:rPr>
              <w:t>This document explains how the Warfarin calculator is connected to the Xcode Life PGx pipeline, how Step 2b creates the calculator input file, how the calculator selects and executes dosing pathways, how to install and run the application, and how to maintain, validate, troubleshoot, and deploy it. It is written as an engineering handover document so a developer who has not worked on the project can operate it independently.</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FFF7E6"/>
          </w:tcPr>
          <w:p>
            <w:r>
              <w:rPr>
                <w:b/>
                <w:color w:val="9A6700"/>
                <w:sz w:val="19"/>
              </w:rPr>
              <w:t>Clinical scope boundary</w:t>
              <w:br/>
            </w:r>
            <w:r>
              <w:rPr>
                <w:color w:val="1F2937"/>
                <w:sz w:val="17"/>
              </w:rPr>
              <w:t>The software estimates a stable maintenance-dose point estimate using the algorithms implemented in the uploaded code. It is not an INR-based dose-adjustment tool, not a loading-dose calculator, and not a substitute for clinician-directed INR monitoring or validated clinical pharmacogenetic testing.</w:t>
            </w:r>
          </w:p>
        </w:tc>
      </w:tr>
    </w:tbl>
    <w:p>
      <w:pPr>
        <w:spacing w:after="20"/>
      </w:pPr>
    </w:p>
    <w:p>
      <w:pPr>
        <w:jc w:val="center"/>
      </w:pPr>
      <w:r>
        <w:rPr>
          <w:color w:val="56616B"/>
          <w:sz w:val="18"/>
        </w:rPr>
        <w:t>Document version 1.0  |  September 2026</w:t>
      </w:r>
    </w:p>
    <w:p>
      <w:r>
        <w:br w:type="page"/>
      </w:r>
    </w:p>
    <w:p>
      <w:pPr>
        <w:pStyle w:val="Heading1"/>
        <w:keepNext/>
      </w:pPr>
      <w:r>
        <w:t>Contents</w:t>
      </w:r>
    </w:p>
    <w:p>
      <w:pPr>
        <w:spacing w:after="40"/>
      </w:pPr>
      <w:r>
        <w:rPr>
          <w:color w:val="1F2937"/>
          <w:sz w:val="18"/>
        </w:rPr>
        <w:t>1. System Purpose and Relationship to the PGx Pipeline</w:t>
      </w:r>
    </w:p>
    <w:p>
      <w:pPr>
        <w:spacing w:after="40"/>
      </w:pPr>
      <w:r>
        <w:rPr>
          <w:color w:val="1F2937"/>
          <w:sz w:val="18"/>
        </w:rPr>
        <w:t>2. End-to-End Architecture</w:t>
      </w:r>
    </w:p>
    <w:p>
      <w:pPr>
        <w:spacing w:after="40"/>
      </w:pPr>
      <w:r>
        <w:rPr>
          <w:color w:val="1F2937"/>
          <w:sz w:val="18"/>
        </w:rPr>
        <w:t>3. Repository and Component Structure</w:t>
      </w:r>
    </w:p>
    <w:p>
      <w:pPr>
        <w:spacing w:after="40"/>
      </w:pPr>
      <w:r>
        <w:rPr>
          <w:color w:val="1F2937"/>
          <w:sz w:val="18"/>
        </w:rPr>
        <w:t>4. PGx Step 2b: Warfarin Input Generation</w:t>
      </w:r>
    </w:p>
    <w:p>
      <w:pPr>
        <w:spacing w:after="40"/>
      </w:pPr>
      <w:r>
        <w:rPr>
          <w:color w:val="1F2937"/>
          <w:sz w:val="18"/>
        </w:rPr>
        <w:t>5. Warfarin PGx Input File Contract</w:t>
      </w:r>
    </w:p>
    <w:p>
      <w:pPr>
        <w:spacing w:after="40"/>
      </w:pPr>
      <w:r>
        <w:rPr>
          <w:color w:val="1F2937"/>
          <w:sz w:val="18"/>
        </w:rPr>
        <w:t>6. Calculator Clinical Inputs and Validation</w:t>
      </w:r>
    </w:p>
    <w:p>
      <w:pPr>
        <w:spacing w:after="40"/>
      </w:pPr>
      <w:r>
        <w:rPr>
          <w:color w:val="1F2937"/>
          <w:sz w:val="18"/>
        </w:rPr>
        <w:t>7. Genotype Parsing and Interpretation</w:t>
      </w:r>
    </w:p>
    <w:p>
      <w:pPr>
        <w:spacing w:after="40"/>
      </w:pPr>
      <w:r>
        <w:rPr>
          <w:color w:val="1F2937"/>
          <w:sz w:val="18"/>
        </w:rPr>
        <w:t>8. Pathway Selection: Clinical vs Pharmacogenetic IWPC</w:t>
      </w:r>
    </w:p>
    <w:p>
      <w:pPr>
        <w:spacing w:after="40"/>
      </w:pPr>
      <w:r>
        <w:rPr>
          <w:color w:val="1F2937"/>
          <w:sz w:val="18"/>
        </w:rPr>
        <w:t>9. IWPC Dose Equations Implemented</w:t>
      </w:r>
    </w:p>
    <w:p>
      <w:pPr>
        <w:spacing w:after="40"/>
      </w:pPr>
      <w:r>
        <w:rPr>
          <w:color w:val="1F2937"/>
          <w:sz w:val="18"/>
        </w:rPr>
        <w:t>10. CPIC 2017 Considerations Layer</w:t>
      </w:r>
    </w:p>
    <w:p>
      <w:pPr>
        <w:spacing w:after="40"/>
      </w:pPr>
      <w:r>
        <w:rPr>
          <w:color w:val="1F2937"/>
          <w:sz w:val="18"/>
        </w:rPr>
        <w:t>11. FDA Label Reference Logic</w:t>
      </w:r>
    </w:p>
    <w:p>
      <w:pPr>
        <w:spacing w:after="40"/>
      </w:pPr>
      <w:r>
        <w:rPr>
          <w:color w:val="1F2937"/>
          <w:sz w:val="18"/>
        </w:rPr>
        <w:t>12. Backend API and Request Flow</w:t>
      </w:r>
    </w:p>
    <w:p>
      <w:pPr>
        <w:spacing w:after="40"/>
      </w:pPr>
      <w:r>
        <w:rPr>
          <w:color w:val="1F2937"/>
          <w:sz w:val="18"/>
        </w:rPr>
        <w:t>13. Frontend Workflow</w:t>
      </w:r>
    </w:p>
    <w:p>
      <w:pPr>
        <w:spacing w:after="40"/>
      </w:pPr>
      <w:r>
        <w:rPr>
          <w:color w:val="1F2937"/>
          <w:sz w:val="18"/>
        </w:rPr>
        <w:t>14. Local Installation and First Run</w:t>
      </w:r>
    </w:p>
    <w:p>
      <w:pPr>
        <w:spacing w:after="40"/>
      </w:pPr>
      <w:r>
        <w:rPr>
          <w:color w:val="1F2937"/>
          <w:sz w:val="18"/>
        </w:rPr>
        <w:t>15. Running from the PGx Pipeline</w:t>
      </w:r>
    </w:p>
    <w:p>
      <w:pPr>
        <w:spacing w:after="40"/>
      </w:pPr>
      <w:r>
        <w:rPr>
          <w:color w:val="1F2937"/>
          <w:sz w:val="18"/>
        </w:rPr>
        <w:t>16. Deployment Options</w:t>
      </w:r>
    </w:p>
    <w:p>
      <w:pPr>
        <w:spacing w:after="40"/>
      </w:pPr>
      <w:r>
        <w:rPr>
          <w:color w:val="1F2937"/>
          <w:sz w:val="18"/>
        </w:rPr>
        <w:t>17. Testing and Verification</w:t>
      </w:r>
    </w:p>
    <w:p>
      <w:pPr>
        <w:spacing w:after="40"/>
      </w:pPr>
      <w:r>
        <w:rPr>
          <w:color w:val="1F2937"/>
          <w:sz w:val="18"/>
        </w:rPr>
        <w:t>18. Current Integration Gaps and Hardening Recommendations</w:t>
      </w:r>
    </w:p>
    <w:p>
      <w:pPr>
        <w:spacing w:after="40"/>
      </w:pPr>
      <w:r>
        <w:rPr>
          <w:color w:val="1F2937"/>
          <w:sz w:val="18"/>
        </w:rPr>
        <w:t>19. Troubleshooting</w:t>
      </w:r>
    </w:p>
    <w:p>
      <w:pPr>
        <w:spacing w:after="40"/>
      </w:pPr>
      <w:r>
        <w:rPr>
          <w:color w:val="1F2937"/>
          <w:sz w:val="18"/>
        </w:rPr>
        <w:t>20. Maintenance Guide: Where to Change What</w:t>
      </w:r>
    </w:p>
    <w:p>
      <w:pPr>
        <w:spacing w:after="40"/>
      </w:pPr>
      <w:r>
        <w:rPr>
          <w:color w:val="1F2937"/>
          <w:sz w:val="18"/>
        </w:rPr>
        <w:t>21. Production Release Checklist</w:t>
      </w:r>
    </w:p>
    <w:p>
      <w:pPr>
        <w:spacing w:after="40"/>
      </w:pPr>
      <w:r>
        <w:rPr>
          <w:color w:val="1F2937"/>
          <w:sz w:val="18"/>
        </w:rPr>
        <w:t>Appendix A. Warfarin Marker Reference</w:t>
      </w:r>
    </w:p>
    <w:p>
      <w:pPr>
        <w:spacing w:after="40"/>
      </w:pPr>
      <w:r>
        <w:rPr>
          <w:color w:val="1F2937"/>
          <w:sz w:val="18"/>
        </w:rPr>
        <w:t>Appendix B. Step 2b CSV Field Reference</w:t>
      </w:r>
    </w:p>
    <w:p>
      <w:pPr>
        <w:spacing w:after="40"/>
      </w:pPr>
      <w:r>
        <w:rPr>
          <w:color w:val="1F2937"/>
          <w:sz w:val="18"/>
        </w:rPr>
        <w:t>Appendix C. Example API Request/Response</w:t>
      </w:r>
    </w:p>
    <w:p>
      <w:pPr>
        <w:spacing w:after="40"/>
      </w:pPr>
      <w:r>
        <w:rPr>
          <w:color w:val="1F2937"/>
          <w:sz w:val="18"/>
        </w:rPr>
        <w:t>Appendix D. Scientific References Carried by the Project</w:t>
      </w:r>
    </w:p>
    <w:p>
      <w:r>
        <w:br w:type="page"/>
      </w:r>
    </w:p>
    <w:p>
      <w:pPr>
        <w:pStyle w:val="Heading1"/>
        <w:keepNext/>
      </w:pPr>
      <w:r>
        <w:t>1. System Purpose and Relationship to the PGx Pipeline</w:t>
      </w:r>
    </w:p>
    <w:p>
      <w:r>
        <w:t>The Warfarin calculator is a companion application to the Xcode Life pharmacogenomics report pipeline. The main PGx pipeline analyzes raw DNA, runs PharmCAT, prepares interpretation data, and generates the final PGx report. During that workflow, Step 2b creates a dedicated Warfarin PGx transfer file. The separate calculator can then consume that file together with patient clinical variables to estimate a stable warfarin maintenance dose.</w:t>
      </w:r>
    </w:p>
    <w:tbl>
      <w:tblPr>
        <w:tblW w:type="auto" w:w="0"/>
        <w:jc w:val="center"/>
        <w:tblLook w:firstColumn="1" w:firstRow="1" w:lastColumn="0" w:lastRow="0" w:noHBand="0" w:noVBand="1" w:val="04A0"/>
      </w:tblPr>
      <w:tblGrid>
        <w:gridCol w:w="10080"/>
      </w:tblGrid>
      <w:tr>
        <w:trPr>
          <w:cantSplit/>
        </w:trPr>
        <w:tc>
          <w:tcPr>
            <w:tcW w:type="dxa" w:w="10080"/>
            <w:shd w:fill="EAF7FA"/>
          </w:tcPr>
          <w:p>
            <w:r>
              <w:rPr>
                <w:b/>
                <w:color w:val="18A6B8"/>
                <w:sz w:val="19"/>
              </w:rPr>
              <w:t>Terminology clarification</w:t>
              <w:br/>
            </w:r>
            <w:r>
              <w:rPr>
                <w:color w:val="1F2937"/>
                <w:sz w:val="17"/>
              </w:rPr>
              <w:t>In the main PGx orchestrator, “Step 2b” is technically the Warfarin input-generation step. It does not itself calculate a dose. It creates the Warfarin_Input_&lt;sample&gt;.csv file that is designed to be uploaded into the separate Warfarin calculator application. Operationally, the two pieces together form the Warfarin calculator integration.</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023D79"/>
          </w:tcPr>
          <w:p>
            <w:r/>
            <w:r>
              <w:rPr>
                <w:rFonts w:ascii="Aptos" w:hAnsi="Aptos"/>
                <w:b/>
                <w:color w:val="FFFFFF"/>
                <w:sz w:val="16"/>
              </w:rPr>
              <w:t>PGx stage</w:t>
            </w:r>
          </w:p>
        </w:tc>
        <w:tc>
          <w:tcPr>
            <w:tcW w:type="dxa" w:w="3096"/>
            <w:vAlign w:val="center"/>
            <w:shd w:fill="023D79"/>
          </w:tcPr>
          <w:p>
            <w:r/>
            <w:r>
              <w:rPr>
                <w:rFonts w:ascii="Aptos" w:hAnsi="Aptos"/>
                <w:b/>
                <w:color w:val="FFFFFF"/>
                <w:sz w:val="16"/>
              </w:rPr>
              <w:t>Function</w:t>
            </w:r>
          </w:p>
        </w:tc>
        <w:tc>
          <w:tcPr>
            <w:tcW w:type="dxa" w:w="5040"/>
            <w:vAlign w:val="center"/>
            <w:shd w:fill="023D79"/>
          </w:tcPr>
          <w:p>
            <w:r/>
            <w:r>
              <w:rPr>
                <w:rFonts w:ascii="Aptos" w:hAnsi="Aptos"/>
                <w:b/>
                <w:color w:val="FFFFFF"/>
                <w:sz w:val="16"/>
              </w:rPr>
              <w:t>Warfarin connection</w:t>
            </w:r>
          </w:p>
        </w:tc>
      </w:tr>
      <w:tr>
        <w:trPr>
          <w:cantSplit/>
        </w:trPr>
        <w:tc>
          <w:tcPr>
            <w:tcW w:type="dxa" w:w="1440"/>
            <w:vAlign w:val="center"/>
          </w:tcPr>
          <w:p>
            <w:r/>
            <w:r>
              <w:rPr>
                <w:rFonts w:ascii="Aptos" w:hAnsi="Aptos"/>
                <w:b w:val="0"/>
                <w:sz w:val="16"/>
              </w:rPr>
              <w:t>Step 1</w:t>
            </w:r>
          </w:p>
        </w:tc>
        <w:tc>
          <w:tcPr>
            <w:tcW w:type="dxa" w:w="3096"/>
            <w:vAlign w:val="center"/>
          </w:tcPr>
          <w:p>
            <w:r/>
            <w:r>
              <w:rPr>
                <w:rFonts w:ascii="Aptos" w:hAnsi="Aptos"/>
                <w:b w:val="0"/>
                <w:sz w:val="16"/>
              </w:rPr>
              <w:t>Raw DNA → targeted VCF</w:t>
            </w:r>
          </w:p>
        </w:tc>
        <w:tc>
          <w:tcPr>
            <w:tcW w:type="dxa" w:w="5040"/>
            <w:vAlign w:val="center"/>
          </w:tcPr>
          <w:p>
            <w:r/>
            <w:r>
              <w:rPr>
                <w:rFonts w:ascii="Aptos" w:hAnsi="Aptos"/>
                <w:b w:val="0"/>
                <w:sz w:val="16"/>
              </w:rPr>
              <w:t>Provides the variant calls used by Step 2b.</w:t>
            </w:r>
          </w:p>
        </w:tc>
      </w:tr>
      <w:tr>
        <w:trPr>
          <w:cantSplit/>
        </w:trPr>
        <w:tc>
          <w:tcPr>
            <w:tcW w:type="dxa" w:w="1440"/>
            <w:vAlign w:val="center"/>
            <w:shd w:fill="F7FAFC"/>
          </w:tcPr>
          <w:p>
            <w:r/>
            <w:r>
              <w:rPr>
                <w:rFonts w:ascii="Aptos" w:hAnsi="Aptos"/>
                <w:b w:val="0"/>
                <w:sz w:val="16"/>
              </w:rPr>
              <w:t>Step 2</w:t>
            </w:r>
          </w:p>
        </w:tc>
        <w:tc>
          <w:tcPr>
            <w:tcW w:type="dxa" w:w="3096"/>
            <w:vAlign w:val="center"/>
            <w:shd w:fill="F7FAFC"/>
          </w:tcPr>
          <w:p>
            <w:r/>
            <w:r>
              <w:rPr>
                <w:rFonts w:ascii="Aptos" w:hAnsi="Aptos"/>
                <w:b w:val="0"/>
                <w:sz w:val="16"/>
              </w:rPr>
              <w:t>PharmCAT analysis</w:t>
            </w:r>
          </w:p>
        </w:tc>
        <w:tc>
          <w:tcPr>
            <w:tcW w:type="dxa" w:w="5040"/>
            <w:vAlign w:val="center"/>
            <w:shd w:fill="F7FAFC"/>
          </w:tcPr>
          <w:p>
            <w:r/>
            <w:r>
              <w:rPr>
                <w:rFonts w:ascii="Aptos" w:hAnsi="Aptos"/>
                <w:b w:val="0"/>
                <w:sz w:val="16"/>
              </w:rPr>
              <w:t>Provides CYP2C9/CYP4F2/VKORC1 report-level calls used in the Step 2b file.</w:t>
            </w:r>
          </w:p>
        </w:tc>
      </w:tr>
      <w:tr>
        <w:trPr>
          <w:cantSplit/>
        </w:trPr>
        <w:tc>
          <w:tcPr>
            <w:tcW w:type="dxa" w:w="1440"/>
            <w:vAlign w:val="center"/>
          </w:tcPr>
          <w:p>
            <w:r/>
            <w:r>
              <w:rPr>
                <w:rFonts w:ascii="Aptos" w:hAnsi="Aptos"/>
                <w:b w:val="0"/>
                <w:sz w:val="16"/>
              </w:rPr>
              <w:t>Step 2b</w:t>
            </w:r>
          </w:p>
        </w:tc>
        <w:tc>
          <w:tcPr>
            <w:tcW w:type="dxa" w:w="3096"/>
            <w:vAlign w:val="center"/>
          </w:tcPr>
          <w:p>
            <w:r/>
            <w:r>
              <w:rPr>
                <w:rFonts w:ascii="Aptos" w:hAnsi="Aptos"/>
                <w:b w:val="0"/>
                <w:sz w:val="16"/>
              </w:rPr>
              <w:t>Warfarin input generation</w:t>
            </w:r>
          </w:p>
        </w:tc>
        <w:tc>
          <w:tcPr>
            <w:tcW w:type="dxa" w:w="5040"/>
            <w:vAlign w:val="center"/>
          </w:tcPr>
          <w:p>
            <w:r/>
            <w:r>
              <w:rPr>
                <w:rFonts w:ascii="Aptos" w:hAnsi="Aptos"/>
                <w:b w:val="0"/>
                <w:sz w:val="16"/>
              </w:rPr>
              <w:t>Extracts nine relevant markers and writes Warfarin_Input_&lt;sample&gt;.csv.</w:t>
            </w:r>
          </w:p>
        </w:tc>
      </w:tr>
      <w:tr>
        <w:trPr>
          <w:cantSplit/>
        </w:trPr>
        <w:tc>
          <w:tcPr>
            <w:tcW w:type="dxa" w:w="1440"/>
            <w:vAlign w:val="center"/>
            <w:shd w:fill="F7FAFC"/>
          </w:tcPr>
          <w:p>
            <w:r/>
            <w:r>
              <w:rPr>
                <w:rFonts w:ascii="Aptos" w:hAnsi="Aptos"/>
                <w:b w:val="0"/>
                <w:sz w:val="16"/>
              </w:rPr>
              <w:t>Warfarin app</w:t>
            </w:r>
          </w:p>
        </w:tc>
        <w:tc>
          <w:tcPr>
            <w:tcW w:type="dxa" w:w="3096"/>
            <w:vAlign w:val="center"/>
            <w:shd w:fill="F7FAFC"/>
          </w:tcPr>
          <w:p>
            <w:r/>
            <w:r>
              <w:rPr>
                <w:rFonts w:ascii="Aptos" w:hAnsi="Aptos"/>
                <w:b w:val="0"/>
                <w:sz w:val="16"/>
              </w:rPr>
              <w:t>Clinical + PGx dosing calculator</w:t>
            </w:r>
          </w:p>
        </w:tc>
        <w:tc>
          <w:tcPr>
            <w:tcW w:type="dxa" w:w="5040"/>
            <w:vAlign w:val="center"/>
            <w:shd w:fill="F7FAFC"/>
          </w:tcPr>
          <w:p>
            <w:r/>
            <w:r>
              <w:rPr>
                <w:rFonts w:ascii="Aptos" w:hAnsi="Aptos"/>
                <w:b w:val="0"/>
                <w:sz w:val="16"/>
              </w:rPr>
              <w:t>Uploads the Step 2b CSV, combines it with patient variables, selects an IWPC pathway, and returns a maintenance-dose estimate plus PGx notes.</w:t>
            </w:r>
          </w:p>
        </w:tc>
      </w:tr>
      <w:tr>
        <w:trPr>
          <w:cantSplit/>
        </w:trPr>
        <w:tc>
          <w:tcPr>
            <w:tcW w:type="dxa" w:w="1440"/>
            <w:vAlign w:val="center"/>
          </w:tcPr>
          <w:p>
            <w:r/>
            <w:r>
              <w:rPr>
                <w:rFonts w:ascii="Aptos" w:hAnsi="Aptos"/>
                <w:b w:val="0"/>
                <w:sz w:val="16"/>
              </w:rPr>
              <w:t>Steps 3–5</w:t>
            </w:r>
          </w:p>
        </w:tc>
        <w:tc>
          <w:tcPr>
            <w:tcW w:type="dxa" w:w="3096"/>
            <w:vAlign w:val="center"/>
          </w:tcPr>
          <w:p>
            <w:r/>
            <w:r>
              <w:rPr>
                <w:rFonts w:ascii="Aptos" w:hAnsi="Aptos"/>
                <w:b w:val="0"/>
                <w:sz w:val="16"/>
              </w:rPr>
              <w:t>PGx summary, recommendation merge, report generation</w:t>
            </w:r>
          </w:p>
        </w:tc>
        <w:tc>
          <w:tcPr>
            <w:tcW w:type="dxa" w:w="5040"/>
            <w:vAlign w:val="center"/>
          </w:tcPr>
          <w:p>
            <w:r/>
            <w:r>
              <w:rPr>
                <w:rFonts w:ascii="Aptos" w:hAnsi="Aptos"/>
                <w:b w:val="0"/>
                <w:sz w:val="16"/>
              </w:rPr>
              <w:t>Continue the main PGx report independently of the calculator.</w:t>
            </w:r>
          </w:p>
        </w:tc>
      </w:tr>
    </w:tbl>
    <w:p>
      <w:pPr>
        <w:spacing w:after="20"/>
      </w:pPr>
    </w:p>
    <w:p>
      <w:pPr>
        <w:pStyle w:val="Heading1"/>
        <w:keepNext/>
      </w:pPr>
      <w:r>
        <w:t>2. End-to-End Architecture</w:t>
      </w:r>
    </w:p>
    <w:p>
      <w:pPr>
        <w:pStyle w:val="CodeBlock"/>
        <w:keepLines/>
        <w:shd w:fill="F1F5F8"/>
      </w:pPr>
      <w:r>
        <w:rPr>
          <w:rFonts w:ascii="Consolas" w:hAnsi="Consolas"/>
          <w:sz w:val="16"/>
        </w:rPr>
        <w:t>Consumer raw DNA</w:t>
        <w:br/>
        <w:t xml:space="preserve">      │</w:t>
        <w:br/>
        <w:t xml:space="preserve">      ▼</w:t>
        <w:br/>
        <w:t>Step 1: step1_convert_rawdna_to_vcf.py</w:t>
        <w:br/>
        <w:t xml:space="preserve">      │  targeted VCF</w:t>
        <w:br/>
        <w:t xml:space="preserve">      ▼</w:t>
        <w:br/>
        <w:t>Step 2: PharmCAT 3.2.0</w:t>
        <w:br/>
        <w:t xml:space="preserve">      │  PharmCAT JSON + VCF</w:t>
        <w:br/>
        <w:t xml:space="preserve">      ├───────────────────────────────┐</w:t>
        <w:br/>
        <w:t xml:space="preserve">      ▼                               ▼</w:t>
        <w:br/>
        <w:t>Step 2b: step2b_warfarin_input.py    Main PGx Steps 3 → 4 → 5</w:t>
        <w:br/>
        <w:t xml:space="preserve">      │                               │</w:t>
        <w:br/>
        <w:t xml:space="preserve">      │ Warfarin_Input_&lt;sample&gt;.csv   └─&gt; PGx PDF/HTML</w:t>
        <w:br/>
        <w:t xml:space="preserve">      ▼</w:t>
        <w:br/>
        <w:t>Warfarin web calculator</w:t>
        <w:br/>
        <w:t xml:space="preserve">      + age, height, weight</w:t>
        <w:br/>
        <w:t xml:space="preserve">      + IWPC population category</w:t>
        <w:br/>
        <w:t xml:space="preserve">      + amiodarone / enzyme-inducer status</w:t>
        <w:br/>
        <w:t xml:space="preserve">      + African-American context when relevant</w:t>
        <w:br/>
        <w:t xml:space="preserve">      ▼</w:t>
        <w:br/>
        <w:t>Pathway decision</w:t>
        <w:br/>
        <w:t xml:space="preserve">      ├─&gt; IWPC pharmacogenetic equation (when eligible)</w:t>
        <w:br/>
        <w:t xml:space="preserve">      └─&gt; IWPC clinical equation (when PGx is absent/incomplete)</w:t>
        <w:br/>
        <w:t xml:space="preserve">      ▼</w:t>
        <w:br/>
        <w:t>Point estimate (mg/week + average mg/day)</w:t>
        <w:br/>
        <w:t xml:space="preserve">      + CPIC considerations</w:t>
        <w:br/>
        <w:t xml:space="preserve">      + selected FDA label reference</w:t>
        <w:br/>
        <w:t xml:space="preserve">      + warnings / pathway explanation</w:t>
      </w:r>
    </w:p>
    <w:p>
      <w:r>
        <w:t>The architecture deliberately keeps the base IWPC point estimate separate from later CPIC percentage considerations. The code does not automatically compound multiple CPIC modifiers into a single “final” dose. This preserves transparency about what came from the published IWPC equation versus what is presented as a separate guideline consideration.</w:t>
      </w:r>
    </w:p>
    <w:p>
      <w:pPr>
        <w:pStyle w:val="Heading1"/>
        <w:keepNext/>
      </w:pPr>
      <w:r>
        <w:t>3. Repository and Component Structure</w:t>
      </w:r>
    </w:p>
    <w:p>
      <w:pPr>
        <w:pStyle w:val="CodeBlock"/>
        <w:keepLines/>
        <w:shd w:fill="F1F5F8"/>
      </w:pPr>
      <w:r>
        <w:rPr>
          <w:rFonts w:ascii="Consolas" w:hAnsi="Consolas"/>
          <w:sz w:val="16"/>
        </w:rPr>
        <w:t>Xcode_Warfarin_Calculator/</w:t>
        <w:br/>
        <w:t>├── backend/</w:t>
        <w:br/>
        <w:t>│   ├── app.py                 # Flask web server and /api/calculate endpoint</w:t>
        <w:br/>
        <w:t>│   ├── warfarin_logic.py      # IWPC, PGx parsing, pathway and CPIC logic</w:t>
        <w:br/>
        <w:t>│   └── requirements.txt       # Flask + gunicorn</w:t>
        <w:br/>
        <w:t>├── frontend/</w:t>
        <w:br/>
        <w:t>│   ├── index.html             # User interface and educational content</w:t>
        <w:br/>
        <w:t>│   ├── app.js                 # Form handling, API request, result rendering</w:t>
        <w:br/>
        <w:t>│   ├── styles.css             # Xcode Life visual styling</w:t>
        <w:br/>
        <w:t>│   └── assets/xcode-life-logo.png</w:t>
        <w:br/>
        <w:t>├── api/index.py               # Vercel Python entry point</w:t>
        <w:br/>
        <w:t>├── Procfile                   # Gunicorn deployment command</w:t>
        <w:br/>
        <w:t>├── vercel.json                # Vercel routing/build configuration</w:t>
        <w:br/>
        <w:t>├── README.md                  # Project scientific and run documentation</w:t>
        <w:br/>
        <w:t>└── requirements.txt           # Minimal root dependency file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023D79"/>
          </w:tcPr>
          <w:p>
            <w:r/>
            <w:r>
              <w:rPr>
                <w:rFonts w:ascii="Aptos" w:hAnsi="Aptos"/>
                <w:b/>
                <w:color w:val="FFFFFF"/>
                <w:sz w:val="16"/>
              </w:rPr>
              <w:t>File</w:t>
            </w:r>
          </w:p>
        </w:tc>
        <w:tc>
          <w:tcPr>
            <w:tcW w:type="dxa" w:w="7200"/>
            <w:vAlign w:val="center"/>
            <w:shd w:fill="023D79"/>
          </w:tcPr>
          <w:p>
            <w:r/>
            <w:r>
              <w:rPr>
                <w:rFonts w:ascii="Aptos" w:hAnsi="Aptos"/>
                <w:b/>
                <w:color w:val="FFFFFF"/>
                <w:sz w:val="16"/>
              </w:rPr>
              <w:t>Responsibility</w:t>
            </w:r>
          </w:p>
        </w:tc>
      </w:tr>
      <w:tr>
        <w:trPr>
          <w:cantSplit/>
        </w:trPr>
        <w:tc>
          <w:tcPr>
            <w:tcW w:type="dxa" w:w="2592"/>
            <w:vAlign w:val="center"/>
          </w:tcPr>
          <w:p>
            <w:r/>
            <w:r>
              <w:rPr>
                <w:rFonts w:ascii="Aptos" w:hAnsi="Aptos"/>
                <w:b w:val="0"/>
                <w:sz w:val="16"/>
              </w:rPr>
              <w:t>backend/app.py</w:t>
            </w:r>
          </w:p>
        </w:tc>
        <w:tc>
          <w:tcPr>
            <w:tcW w:type="dxa" w:w="7200"/>
            <w:vAlign w:val="center"/>
          </w:tcPr>
          <w:p>
            <w:r/>
            <w:r>
              <w:rPr>
                <w:rFonts w:ascii="Aptos" w:hAnsi="Aptos"/>
                <w:b w:val="0"/>
                <w:sz w:val="16"/>
              </w:rPr>
              <w:t>Receives browser form data, validates INR scope, parses either uploaded or manual PGx input, calls calculate(), and returns JSON.</w:t>
            </w:r>
          </w:p>
        </w:tc>
      </w:tr>
      <w:tr>
        <w:trPr>
          <w:cantSplit/>
        </w:trPr>
        <w:tc>
          <w:tcPr>
            <w:tcW w:type="dxa" w:w="2592"/>
            <w:vAlign w:val="center"/>
            <w:shd w:fill="F7FAFC"/>
          </w:tcPr>
          <w:p>
            <w:r/>
            <w:r>
              <w:rPr>
                <w:rFonts w:ascii="Aptos" w:hAnsi="Aptos"/>
                <w:b w:val="0"/>
                <w:sz w:val="16"/>
              </w:rPr>
              <w:t>backend/warfarin_logic.py</w:t>
            </w:r>
          </w:p>
        </w:tc>
        <w:tc>
          <w:tcPr>
            <w:tcW w:type="dxa" w:w="7200"/>
            <w:vAlign w:val="center"/>
            <w:shd w:fill="F7FAFC"/>
          </w:tcPr>
          <w:p>
            <w:r/>
            <w:r>
              <w:rPr>
                <w:rFonts w:ascii="Aptos" w:hAnsi="Aptos"/>
                <w:b w:val="0"/>
                <w:sz w:val="16"/>
              </w:rPr>
              <w:t>Core scientific/algorithmic logic: genotype interpretation, IWPC equations, pathway selection, CPIC notes, FDA range lookup, and self-test.</w:t>
            </w:r>
          </w:p>
        </w:tc>
      </w:tr>
      <w:tr>
        <w:trPr>
          <w:cantSplit/>
        </w:trPr>
        <w:tc>
          <w:tcPr>
            <w:tcW w:type="dxa" w:w="2592"/>
            <w:vAlign w:val="center"/>
          </w:tcPr>
          <w:p>
            <w:r/>
            <w:r>
              <w:rPr>
                <w:rFonts w:ascii="Aptos" w:hAnsi="Aptos"/>
                <w:b w:val="0"/>
                <w:sz w:val="16"/>
              </w:rPr>
              <w:t>frontend/index.html</w:t>
            </w:r>
          </w:p>
        </w:tc>
        <w:tc>
          <w:tcPr>
            <w:tcW w:type="dxa" w:w="7200"/>
            <w:vAlign w:val="center"/>
          </w:tcPr>
          <w:p>
            <w:r/>
            <w:r>
              <w:rPr>
                <w:rFonts w:ascii="Aptos" w:hAnsi="Aptos"/>
                <w:b w:val="0"/>
                <w:sz w:val="16"/>
              </w:rPr>
              <w:t>Defines patient inputs, PGx upload/manual fields, results area, warnings, FAQ, equations, and references.</w:t>
            </w:r>
          </w:p>
        </w:tc>
      </w:tr>
      <w:tr>
        <w:trPr>
          <w:cantSplit/>
        </w:trPr>
        <w:tc>
          <w:tcPr>
            <w:tcW w:type="dxa" w:w="2592"/>
            <w:vAlign w:val="center"/>
            <w:shd w:fill="F7FAFC"/>
          </w:tcPr>
          <w:p>
            <w:r/>
            <w:r>
              <w:rPr>
                <w:rFonts w:ascii="Aptos" w:hAnsi="Aptos"/>
                <w:b w:val="0"/>
                <w:sz w:val="16"/>
              </w:rPr>
              <w:t>frontend/app.js</w:t>
            </w:r>
          </w:p>
        </w:tc>
        <w:tc>
          <w:tcPr>
            <w:tcW w:type="dxa" w:w="7200"/>
            <w:vAlign w:val="center"/>
            <w:shd w:fill="F7FAFC"/>
          </w:tcPr>
          <w:p>
            <w:r/>
            <w:r>
              <w:rPr>
                <w:rFonts w:ascii="Aptos" w:hAnsi="Aptos"/>
                <w:b w:val="0"/>
                <w:sz w:val="16"/>
              </w:rPr>
              <w:t>Builds FormData, posts to /api/calculate, displays pathway, dose, genetic summary, CPIC notes, FDA reference, and warnings.</w:t>
            </w:r>
          </w:p>
        </w:tc>
      </w:tr>
      <w:tr>
        <w:trPr>
          <w:cantSplit/>
        </w:trPr>
        <w:tc>
          <w:tcPr>
            <w:tcW w:type="dxa" w:w="2592"/>
            <w:vAlign w:val="center"/>
          </w:tcPr>
          <w:p>
            <w:r/>
            <w:r>
              <w:rPr>
                <w:rFonts w:ascii="Aptos" w:hAnsi="Aptos"/>
                <w:b w:val="0"/>
                <w:sz w:val="16"/>
              </w:rPr>
              <w:t>api/index.py</w:t>
            </w:r>
          </w:p>
        </w:tc>
        <w:tc>
          <w:tcPr>
            <w:tcW w:type="dxa" w:w="7200"/>
            <w:vAlign w:val="center"/>
          </w:tcPr>
          <w:p>
            <w:r/>
            <w:r>
              <w:rPr>
                <w:rFonts w:ascii="Aptos" w:hAnsi="Aptos"/>
                <w:b w:val="0"/>
                <w:sz w:val="16"/>
              </w:rPr>
              <w:t>Adds backend to sys.path and exposes the Flask app for Vercel.</w:t>
            </w:r>
          </w:p>
        </w:tc>
      </w:tr>
      <w:tr>
        <w:trPr>
          <w:cantSplit/>
        </w:trPr>
        <w:tc>
          <w:tcPr>
            <w:tcW w:type="dxa" w:w="2592"/>
            <w:vAlign w:val="center"/>
            <w:shd w:fill="F7FAFC"/>
          </w:tcPr>
          <w:p>
            <w:r/>
            <w:r>
              <w:rPr>
                <w:rFonts w:ascii="Aptos" w:hAnsi="Aptos"/>
                <w:b w:val="0"/>
                <w:sz w:val="16"/>
              </w:rPr>
              <w:t>Procfile</w:t>
            </w:r>
          </w:p>
        </w:tc>
        <w:tc>
          <w:tcPr>
            <w:tcW w:type="dxa" w:w="7200"/>
            <w:vAlign w:val="center"/>
            <w:shd w:fill="F7FAFC"/>
          </w:tcPr>
          <w:p>
            <w:r/>
            <w:r>
              <w:rPr>
                <w:rFonts w:ascii="Aptos" w:hAnsi="Aptos"/>
                <w:b w:val="0"/>
                <w:sz w:val="16"/>
              </w:rPr>
              <w:t>Runs gunicorn with backend as the working directory.</w:t>
            </w:r>
          </w:p>
        </w:tc>
      </w:tr>
    </w:tbl>
    <w:p>
      <w:pPr>
        <w:spacing w:after="20"/>
      </w:pPr>
    </w:p>
    <w:p>
      <w:pPr>
        <w:pStyle w:val="Heading1"/>
        <w:keepNext/>
      </w:pPr>
      <w:r>
        <w:t>4. PGx Step 2b: Warfarin Input Generation</w:t>
      </w:r>
    </w:p>
    <w:p>
      <w:r>
        <w:t>The PGx pipeline calls step2b_warfarin_input.generate_warfarin_csv() immediately after PharmCAT completes. The function requires both the Step 1 VCF and the PharmCAT JSON report. It combines marker-level VCF data with gene-level PharmCAT calls and writes a small UTF-8 CSV for the calculator.</w:t>
      </w:r>
    </w:p>
    <w:p>
      <w:pPr>
        <w:pStyle w:val="CodeBlock"/>
        <w:keepLines/>
        <w:shd w:fill="F1F5F8"/>
      </w:pPr>
      <w:r>
        <w:rPr>
          <w:rFonts w:ascii="Consolas" w:hAnsi="Consolas"/>
          <w:sz w:val="16"/>
        </w:rPr>
        <w:t>warfarin_csv_path = generate_warfarin_csv(</w:t>
        <w:br/>
        <w:t xml:space="preserve">    vcf_path=&lt;Step 1 VCF&gt;,</w:t>
        <w:br/>
        <w:t xml:space="preserve">    pharmcat_json_path=&lt;PharmCAT report JSON&gt;,</w:t>
        <w:br/>
        <w:t xml:space="preserve">    sample_id=&lt;step1 sample id&gt;</w:t>
        <w:br/>
        <w:t>)</w:t>
      </w:r>
    </w:p>
    <w:p>
      <w:pPr>
        <w:pStyle w:val="Heading2"/>
        <w:keepNext/>
      </w:pPr>
      <w:r>
        <w:t>4.1 What Step 2b reads</w:t>
      </w:r>
    </w:p>
    <w:p>
      <w:pPr>
        <w:pStyle w:val="ListBullet"/>
      </w:pPr>
      <w:r>
        <w:t>Step 1 VCF: used to find the nine Warfarin-relevant rsIDs and their GT/REF/ALT/genotype/status information.</w:t>
      </w:r>
    </w:p>
    <w:p>
      <w:pPr>
        <w:pStyle w:val="ListBullet"/>
      </w:pPr>
      <w:r>
        <w:t>PharmCAT JSON: used to capture reported CYP2C9, CYP4F2 and VKORC1 diplotype/phenotype/activity-score information where available.</w:t>
      </w:r>
    </w:p>
    <w:p>
      <w:pPr>
        <w:pStyle w:val="Heading2"/>
        <w:keepNext/>
      </w:pPr>
      <w:r>
        <w:t>4.2 What Step 2b writes</w:t>
      </w:r>
    </w:p>
    <w:p>
      <w:pPr>
        <w:pStyle w:val="CodeBlock"/>
        <w:keepLines/>
        <w:shd w:fill="F1F5F8"/>
      </w:pPr>
      <w:r>
        <w:rPr>
          <w:rFonts w:ascii="Consolas" w:hAnsi="Consolas"/>
          <w:sz w:val="16"/>
        </w:rPr>
        <w:t>results/warfarin_inputs/Warfarin_Input_&lt;sample&gt;.csv</w:t>
      </w:r>
    </w:p>
    <w:p>
      <w:r>
        <w:t>The output contains one row per expected marker. If a marker is not available in the VCF, the row is still written with status UNAVAILABLE. This is an important safety behavior because missing markers are not silently converted into normal/reference calls.</w:t>
      </w:r>
    </w:p>
    <w:p>
      <w:pPr>
        <w:pStyle w:val="Heading2"/>
        <w:keepNext/>
      </w:pPr>
      <w:r>
        <w:t>4.3 Marker completeness flags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023D79"/>
          </w:tcPr>
          <w:p>
            <w:r/>
            <w:r>
              <w:rPr>
                <w:rFonts w:ascii="Aptos" w:hAnsi="Aptos"/>
                <w:b/>
                <w:color w:val="FFFFFF"/>
                <w:sz w:val="16"/>
              </w:rPr>
              <w:t>Flag</w:t>
            </w:r>
          </w:p>
        </w:tc>
        <w:tc>
          <w:tcPr>
            <w:tcW w:type="dxa" w:w="3888"/>
            <w:vAlign w:val="center"/>
            <w:shd w:fill="023D79"/>
          </w:tcPr>
          <w:p>
            <w:r/>
            <w:r>
              <w:rPr>
                <w:rFonts w:ascii="Aptos" w:hAnsi="Aptos"/>
                <w:b/>
                <w:color w:val="FFFFFF"/>
                <w:sz w:val="16"/>
              </w:rPr>
              <w:t>Markers</w:t>
            </w:r>
          </w:p>
        </w:tc>
        <w:tc>
          <w:tcPr>
            <w:tcW w:type="dxa" w:w="3456"/>
            <w:vAlign w:val="center"/>
            <w:shd w:fill="023D79"/>
          </w:tcPr>
          <w:p>
            <w:r/>
            <w:r>
              <w:rPr>
                <w:rFonts w:ascii="Aptos" w:hAnsi="Aptos"/>
                <w:b/>
                <w:color w:val="FFFFFF"/>
                <w:sz w:val="16"/>
              </w:rPr>
              <w:t>Meaning</w:t>
            </w:r>
          </w:p>
        </w:tc>
      </w:tr>
      <w:tr>
        <w:trPr>
          <w:cantSplit/>
        </w:trPr>
        <w:tc>
          <w:tcPr>
            <w:tcW w:type="dxa" w:w="2448"/>
            <w:vAlign w:val="center"/>
          </w:tcPr>
          <w:p>
            <w:r/>
            <w:r>
              <w:rPr>
                <w:rFonts w:ascii="Aptos" w:hAnsi="Aptos"/>
                <w:b w:val="0"/>
                <w:sz w:val="16"/>
              </w:rPr>
              <w:t>core_complete</w:t>
            </w:r>
          </w:p>
        </w:tc>
        <w:tc>
          <w:tcPr>
            <w:tcW w:type="dxa" w:w="3888"/>
            <w:vAlign w:val="center"/>
          </w:tcPr>
          <w:p>
            <w:r/>
            <w:r>
              <w:rPr>
                <w:rFonts w:ascii="Aptos" w:hAnsi="Aptos"/>
                <w:b w:val="0"/>
                <w:sz w:val="16"/>
              </w:rPr>
              <w:t>rs1799853, rs1057910, rs9923231</w:t>
            </w:r>
          </w:p>
        </w:tc>
        <w:tc>
          <w:tcPr>
            <w:tcW w:type="dxa" w:w="3456"/>
            <w:vAlign w:val="center"/>
          </w:tcPr>
          <w:p>
            <w:r/>
            <w:r>
              <w:rPr>
                <w:rFonts w:ascii="Aptos" w:hAnsi="Aptos"/>
                <w:b w:val="0"/>
                <w:sz w:val="16"/>
              </w:rPr>
              <w:t>Whether the core CYP2C9 *2/*3 and VKORC1 marker calls are all available.</w:t>
            </w:r>
          </w:p>
        </w:tc>
      </w:tr>
      <w:tr>
        <w:trPr>
          <w:cantSplit/>
        </w:trPr>
        <w:tc>
          <w:tcPr>
            <w:tcW w:type="dxa" w:w="2448"/>
            <w:vAlign w:val="center"/>
            <w:shd w:fill="F7FAFC"/>
          </w:tcPr>
          <w:p>
            <w:r/>
            <w:r>
              <w:rPr>
                <w:rFonts w:ascii="Aptos" w:hAnsi="Aptos"/>
                <w:b w:val="0"/>
                <w:sz w:val="16"/>
              </w:rPr>
              <w:t>expanded_cyp2c9_complete</w:t>
            </w:r>
          </w:p>
        </w:tc>
        <w:tc>
          <w:tcPr>
            <w:tcW w:type="dxa" w:w="3888"/>
            <w:vAlign w:val="center"/>
            <w:shd w:fill="F7FAFC"/>
          </w:tcPr>
          <w:p>
            <w:r/>
            <w:r>
              <w:rPr>
                <w:rFonts w:ascii="Aptos" w:hAnsi="Aptos"/>
                <w:b w:val="0"/>
                <w:sz w:val="16"/>
              </w:rPr>
              <w:t>rs28371686, rs9332131, rs7900194, rs28371685</w:t>
            </w:r>
          </w:p>
        </w:tc>
        <w:tc>
          <w:tcPr>
            <w:tcW w:type="dxa" w:w="3456"/>
            <w:vAlign w:val="center"/>
            <w:shd w:fill="F7FAFC"/>
          </w:tcPr>
          <w:p>
            <w:r/>
            <w:r>
              <w:rPr>
                <w:rFonts w:ascii="Aptos" w:hAnsi="Aptos"/>
                <w:b w:val="0"/>
                <w:sz w:val="16"/>
              </w:rPr>
              <w:t>Whether CYP2C9 *5/*6/*8/*11 marker coverage is complete.</w:t>
            </w:r>
          </w:p>
        </w:tc>
      </w:tr>
      <w:tr>
        <w:trPr>
          <w:cantSplit/>
        </w:trPr>
        <w:tc>
          <w:tcPr>
            <w:tcW w:type="dxa" w:w="2448"/>
            <w:vAlign w:val="center"/>
          </w:tcPr>
          <w:p>
            <w:r/>
            <w:r>
              <w:rPr>
                <w:rFonts w:ascii="Aptos" w:hAnsi="Aptos"/>
                <w:b w:val="0"/>
                <w:sz w:val="16"/>
              </w:rPr>
              <w:t>additional_markers_complete</w:t>
            </w:r>
          </w:p>
        </w:tc>
        <w:tc>
          <w:tcPr>
            <w:tcW w:type="dxa" w:w="3888"/>
            <w:vAlign w:val="center"/>
          </w:tcPr>
          <w:p>
            <w:r/>
            <w:r>
              <w:rPr>
                <w:rFonts w:ascii="Aptos" w:hAnsi="Aptos"/>
                <w:b w:val="0"/>
                <w:sz w:val="16"/>
              </w:rPr>
              <w:t>rs2108622, rs12777823</w:t>
            </w:r>
          </w:p>
        </w:tc>
        <w:tc>
          <w:tcPr>
            <w:tcW w:type="dxa" w:w="3456"/>
            <w:vAlign w:val="center"/>
          </w:tcPr>
          <w:p>
            <w:r/>
            <w:r>
              <w:rPr>
                <w:rFonts w:ascii="Aptos" w:hAnsi="Aptos"/>
                <w:b w:val="0"/>
                <w:sz w:val="16"/>
              </w:rPr>
              <w:t>Whether CYP4F2 and rs12777823 additional markers are both available.</w:t>
            </w:r>
          </w:p>
        </w:tc>
      </w:tr>
    </w:tbl>
    <w:p>
      <w:pPr>
        <w:spacing w:after="20"/>
      </w:pPr>
    </w:p>
    <w:p>
      <w:pPr>
        <w:pStyle w:val="Heading1"/>
        <w:keepNext/>
      </w:pPr>
      <w:r>
        <w:t>5. Warfarin PGx Input File Contract</w:t>
      </w:r>
    </w:p>
    <w:p>
      <w:r>
        <w:t>The calculator upload parser expects a CSV whose file_type is XCODE_WARFARIN_PGX_INPUT and which contains all nine expected marker rows. It decodes UTF-8 with BOM support and rejects an empty file, an unrecognized file type, or a file missing any required marker row.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023D79"/>
          </w:tcPr>
          <w:p>
            <w:r/>
            <w:r>
              <w:rPr>
                <w:rFonts w:ascii="Aptos" w:hAnsi="Aptos"/>
                <w:b/>
                <w:color w:val="FFFFFF"/>
                <w:sz w:val="16"/>
              </w:rPr>
              <w:t>Validation</w:t>
            </w:r>
          </w:p>
        </w:tc>
        <w:tc>
          <w:tcPr>
            <w:tcW w:type="dxa" w:w="7344"/>
            <w:vAlign w:val="center"/>
            <w:shd w:fill="023D79"/>
          </w:tcPr>
          <w:p>
            <w:r/>
            <w:r>
              <w:rPr>
                <w:rFonts w:ascii="Aptos" w:hAnsi="Aptos"/>
                <w:b/>
                <w:color w:val="FFFFFF"/>
                <w:sz w:val="16"/>
              </w:rPr>
              <w:t>Current behavior</w:t>
            </w:r>
          </w:p>
        </w:tc>
      </w:tr>
      <w:tr>
        <w:trPr>
          <w:cantSplit/>
        </w:trPr>
        <w:tc>
          <w:tcPr>
            <w:tcW w:type="dxa" w:w="2448"/>
            <w:vAlign w:val="center"/>
          </w:tcPr>
          <w:p>
            <w:r/>
            <w:r>
              <w:rPr>
                <w:rFonts w:ascii="Aptos" w:hAnsi="Aptos"/>
                <w:b w:val="0"/>
                <w:sz w:val="16"/>
              </w:rPr>
              <w:t>Encoding</w:t>
            </w:r>
          </w:p>
        </w:tc>
        <w:tc>
          <w:tcPr>
            <w:tcW w:type="dxa" w:w="7344"/>
            <w:vAlign w:val="center"/>
          </w:tcPr>
          <w:p>
            <w:r/>
            <w:r>
              <w:rPr>
                <w:rFonts w:ascii="Aptos" w:hAnsi="Aptos"/>
                <w:b w:val="0"/>
                <w:sz w:val="16"/>
              </w:rPr>
              <w:t>UTF-8 / UTF-8-SIG.</w:t>
            </w:r>
          </w:p>
        </w:tc>
      </w:tr>
      <w:tr>
        <w:trPr>
          <w:cantSplit/>
        </w:trPr>
        <w:tc>
          <w:tcPr>
            <w:tcW w:type="dxa" w:w="2448"/>
            <w:vAlign w:val="center"/>
            <w:shd w:fill="F7FAFC"/>
          </w:tcPr>
          <w:p>
            <w:r/>
            <w:r>
              <w:rPr>
                <w:rFonts w:ascii="Aptos" w:hAnsi="Aptos"/>
                <w:b w:val="0"/>
                <w:sz w:val="16"/>
              </w:rPr>
              <w:t>file_type</w:t>
            </w:r>
          </w:p>
        </w:tc>
        <w:tc>
          <w:tcPr>
            <w:tcW w:type="dxa" w:w="7344"/>
            <w:vAlign w:val="center"/>
            <w:shd w:fill="F7FAFC"/>
          </w:tcPr>
          <w:p>
            <w:r/>
            <w:r>
              <w:rPr>
                <w:rFonts w:ascii="Aptos" w:hAnsi="Aptos"/>
                <w:b w:val="0"/>
                <w:sz w:val="16"/>
              </w:rPr>
              <w:t>Must equal XCODE_WARFARIN_PGX_INPUT.</w:t>
            </w:r>
          </w:p>
        </w:tc>
      </w:tr>
      <w:tr>
        <w:trPr>
          <w:cantSplit/>
        </w:trPr>
        <w:tc>
          <w:tcPr>
            <w:tcW w:type="dxa" w:w="2448"/>
            <w:vAlign w:val="center"/>
          </w:tcPr>
          <w:p>
            <w:r/>
            <w:r>
              <w:rPr>
                <w:rFonts w:ascii="Aptos" w:hAnsi="Aptos"/>
                <w:b w:val="0"/>
                <w:sz w:val="16"/>
              </w:rPr>
              <w:t>Expected rows</w:t>
            </w:r>
          </w:p>
        </w:tc>
        <w:tc>
          <w:tcPr>
            <w:tcW w:type="dxa" w:w="7344"/>
            <w:vAlign w:val="center"/>
          </w:tcPr>
          <w:p>
            <w:r/>
            <w:r>
              <w:rPr>
                <w:rFonts w:ascii="Aptos" w:hAnsi="Aptos"/>
                <w:b w:val="0"/>
                <w:sz w:val="16"/>
              </w:rPr>
              <w:t>All nine marker rsIDs must be present as rows, even if a row is UNAVAILABLE.</w:t>
            </w:r>
          </w:p>
        </w:tc>
      </w:tr>
      <w:tr>
        <w:trPr>
          <w:cantSplit/>
        </w:trPr>
        <w:tc>
          <w:tcPr>
            <w:tcW w:type="dxa" w:w="2448"/>
            <w:vAlign w:val="center"/>
            <w:shd w:fill="F7FAFC"/>
          </w:tcPr>
          <w:p>
            <w:r/>
            <w:r>
              <w:rPr>
                <w:rFonts w:ascii="Aptos" w:hAnsi="Aptos"/>
                <w:b w:val="0"/>
                <w:sz w:val="16"/>
              </w:rPr>
              <w:t>schema_version</w:t>
            </w:r>
          </w:p>
        </w:tc>
        <w:tc>
          <w:tcPr>
            <w:tcW w:type="dxa" w:w="7344"/>
            <w:vAlign w:val="center"/>
            <w:shd w:fill="F7FAFC"/>
          </w:tcPr>
          <w:p>
            <w:r/>
            <w:r>
              <w:rPr>
                <w:rFonts w:ascii="Aptos" w:hAnsi="Aptos"/>
                <w:b w:val="0"/>
                <w:sz w:val="16"/>
              </w:rPr>
              <w:t>The calculator defines SCHEMA_VERSION = 1.1, but parse_genetic_csv() currently does not enforce the CSV schema_version field.</w:t>
            </w:r>
          </w:p>
        </w:tc>
      </w:tr>
      <w:tr>
        <w:trPr>
          <w:cantSplit/>
        </w:trPr>
        <w:tc>
          <w:tcPr>
            <w:tcW w:type="dxa" w:w="2448"/>
            <w:vAlign w:val="center"/>
          </w:tcPr>
          <w:p>
            <w:r/>
            <w:r>
              <w:rPr>
                <w:rFonts w:ascii="Aptos" w:hAnsi="Aptos"/>
                <w:b w:val="0"/>
                <w:sz w:val="16"/>
              </w:rPr>
              <w:t>File size</w:t>
            </w:r>
          </w:p>
        </w:tc>
        <w:tc>
          <w:tcPr>
            <w:tcW w:type="dxa" w:w="7344"/>
            <w:vAlign w:val="center"/>
          </w:tcPr>
          <w:p>
            <w:r/>
            <w:r>
              <w:rPr>
                <w:rFonts w:ascii="Aptos" w:hAnsi="Aptos"/>
                <w:b w:val="0"/>
                <w:sz w:val="16"/>
              </w:rPr>
              <w:t>Flask MAX_CONTENT_LENGTH is 2 MB.</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FFF7E6"/>
          </w:tcPr>
          <w:p>
            <w:r>
              <w:rPr>
                <w:b/>
                <w:color w:val="9A6700"/>
                <w:sz w:val="19"/>
              </w:rPr>
              <w:t>Current version detail</w:t>
              <w:br/>
            </w:r>
            <w:r>
              <w:rPr>
                <w:color w:val="1F2937"/>
                <w:sz w:val="17"/>
              </w:rPr>
              <w:t>The uploaded PGx Step 2b generator writes schema_version = 1.0, while the calculator code declares SCHEMA_VERSION = 1.1. Because the parser currently does not check schema_version, Step 2b files are still accepted. For production hardening, align the versions and enforce a compatibility policy intentionally.</w:t>
            </w:r>
          </w:p>
        </w:tc>
      </w:tr>
    </w:tbl>
    <w:p>
      <w:pPr>
        <w:spacing w:after="20"/>
      </w:pPr>
    </w:p>
    <w:p>
      <w:pPr>
        <w:pStyle w:val="Heading1"/>
        <w:keepNext/>
      </w:pPr>
      <w:r>
        <w:t>6. Calculator Clinical Inputs and Validation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vAlign w:val="center"/>
            <w:shd w:fill="023D79"/>
          </w:tcPr>
          <w:p>
            <w:r/>
            <w:r>
              <w:rPr>
                <w:rFonts w:ascii="Aptos" w:hAnsi="Aptos"/>
                <w:b/>
                <w:color w:val="FFFFFF"/>
                <w:sz w:val="16"/>
              </w:rPr>
              <w:t>Input</w:t>
            </w:r>
          </w:p>
        </w:tc>
        <w:tc>
          <w:tcPr>
            <w:tcW w:type="dxa" w:w="4032"/>
            <w:vAlign w:val="center"/>
            <w:shd w:fill="023D79"/>
          </w:tcPr>
          <w:p>
            <w:r/>
            <w:r>
              <w:rPr>
                <w:rFonts w:ascii="Aptos" w:hAnsi="Aptos"/>
                <w:b/>
                <w:color w:val="FFFFFF"/>
                <w:sz w:val="16"/>
              </w:rPr>
              <w:t>Accepted range/options</w:t>
            </w:r>
          </w:p>
        </w:tc>
        <w:tc>
          <w:tcPr>
            <w:tcW w:type="dxa" w:w="3816"/>
            <w:vAlign w:val="center"/>
            <w:shd w:fill="023D79"/>
          </w:tcPr>
          <w:p>
            <w:r/>
            <w:r>
              <w:rPr>
                <w:rFonts w:ascii="Aptos" w:hAnsi="Aptos"/>
                <w:b/>
                <w:color w:val="FFFFFF"/>
                <w:sz w:val="16"/>
              </w:rPr>
              <w:t>Used by</w:t>
            </w:r>
          </w:p>
        </w:tc>
      </w:tr>
      <w:tr>
        <w:trPr>
          <w:cantSplit/>
        </w:trPr>
        <w:tc>
          <w:tcPr>
            <w:tcW w:type="dxa" w:w="1944"/>
            <w:vAlign w:val="center"/>
          </w:tcPr>
          <w:p>
            <w:r/>
            <w:r>
              <w:rPr>
                <w:rFonts w:ascii="Aptos" w:hAnsi="Aptos"/>
                <w:b w:val="0"/>
                <w:sz w:val="16"/>
              </w:rPr>
              <w:t>Age</w:t>
            </w:r>
          </w:p>
        </w:tc>
        <w:tc>
          <w:tcPr>
            <w:tcW w:type="dxa" w:w="4032"/>
            <w:vAlign w:val="center"/>
          </w:tcPr>
          <w:p>
            <w:r/>
            <w:r>
              <w:rPr>
                <w:rFonts w:ascii="Aptos" w:hAnsi="Aptos"/>
                <w:b w:val="0"/>
                <w:sz w:val="16"/>
              </w:rPr>
              <w:t>18–120 years; age decades capped at 9</w:t>
            </w:r>
          </w:p>
        </w:tc>
        <w:tc>
          <w:tcPr>
            <w:tcW w:type="dxa" w:w="3816"/>
            <w:vAlign w:val="center"/>
          </w:tcPr>
          <w:p>
            <w:r/>
            <w:r>
              <w:rPr>
                <w:rFonts w:ascii="Aptos" w:hAnsi="Aptos"/>
                <w:b w:val="0"/>
                <w:sz w:val="16"/>
              </w:rPr>
              <w:t>Both IWPC equations</w:t>
            </w:r>
          </w:p>
        </w:tc>
      </w:tr>
      <w:tr>
        <w:trPr>
          <w:cantSplit/>
        </w:trPr>
        <w:tc>
          <w:tcPr>
            <w:tcW w:type="dxa" w:w="1944"/>
            <w:vAlign w:val="center"/>
            <w:shd w:fill="F7FAFC"/>
          </w:tcPr>
          <w:p>
            <w:r/>
            <w:r>
              <w:rPr>
                <w:rFonts w:ascii="Aptos" w:hAnsi="Aptos"/>
                <w:b w:val="0"/>
                <w:sz w:val="16"/>
              </w:rPr>
              <w:t>Height</w:t>
            </w:r>
          </w:p>
        </w:tc>
        <w:tc>
          <w:tcPr>
            <w:tcW w:type="dxa" w:w="4032"/>
            <w:vAlign w:val="center"/>
            <w:shd w:fill="F7FAFC"/>
          </w:tcPr>
          <w:p>
            <w:r/>
            <w:r>
              <w:rPr>
                <w:rFonts w:ascii="Aptos" w:hAnsi="Aptos"/>
                <w:b w:val="0"/>
                <w:sz w:val="16"/>
              </w:rPr>
              <w:t>100–250 cm</w:t>
            </w:r>
          </w:p>
        </w:tc>
        <w:tc>
          <w:tcPr>
            <w:tcW w:type="dxa" w:w="3816"/>
            <w:vAlign w:val="center"/>
            <w:shd w:fill="F7FAFC"/>
          </w:tcPr>
          <w:p>
            <w:r/>
            <w:r>
              <w:rPr>
                <w:rFonts w:ascii="Aptos" w:hAnsi="Aptos"/>
                <w:b w:val="0"/>
                <w:sz w:val="16"/>
              </w:rPr>
              <w:t>Both IWPC equations</w:t>
            </w:r>
          </w:p>
        </w:tc>
      </w:tr>
      <w:tr>
        <w:trPr>
          <w:cantSplit/>
        </w:trPr>
        <w:tc>
          <w:tcPr>
            <w:tcW w:type="dxa" w:w="1944"/>
            <w:vAlign w:val="center"/>
          </w:tcPr>
          <w:p>
            <w:r/>
            <w:r>
              <w:rPr>
                <w:rFonts w:ascii="Aptos" w:hAnsi="Aptos"/>
                <w:b w:val="0"/>
                <w:sz w:val="16"/>
              </w:rPr>
              <w:t>Weight</w:t>
            </w:r>
          </w:p>
        </w:tc>
        <w:tc>
          <w:tcPr>
            <w:tcW w:type="dxa" w:w="4032"/>
            <w:vAlign w:val="center"/>
          </w:tcPr>
          <w:p>
            <w:r/>
            <w:r>
              <w:rPr>
                <w:rFonts w:ascii="Aptos" w:hAnsi="Aptos"/>
                <w:b w:val="0"/>
                <w:sz w:val="16"/>
              </w:rPr>
              <w:t>25–350 kg</w:t>
            </w:r>
          </w:p>
        </w:tc>
        <w:tc>
          <w:tcPr>
            <w:tcW w:type="dxa" w:w="3816"/>
            <w:vAlign w:val="center"/>
          </w:tcPr>
          <w:p>
            <w:r/>
            <w:r>
              <w:rPr>
                <w:rFonts w:ascii="Aptos" w:hAnsi="Aptos"/>
                <w:b w:val="0"/>
                <w:sz w:val="16"/>
              </w:rPr>
              <w:t>Both IWPC equations</w:t>
            </w:r>
          </w:p>
        </w:tc>
      </w:tr>
      <w:tr>
        <w:trPr>
          <w:cantSplit/>
        </w:trPr>
        <w:tc>
          <w:tcPr>
            <w:tcW w:type="dxa" w:w="1944"/>
            <w:vAlign w:val="center"/>
            <w:shd w:fill="F7FAFC"/>
          </w:tcPr>
          <w:p>
            <w:r/>
            <w:r>
              <w:rPr>
                <w:rFonts w:ascii="Aptos" w:hAnsi="Aptos"/>
                <w:b w:val="0"/>
                <w:sz w:val="16"/>
              </w:rPr>
              <w:t>Population</w:t>
            </w:r>
          </w:p>
        </w:tc>
        <w:tc>
          <w:tcPr>
            <w:tcW w:type="dxa" w:w="4032"/>
            <w:vAlign w:val="center"/>
            <w:shd w:fill="F7FAFC"/>
          </w:tcPr>
          <w:p>
            <w:r/>
            <w:r>
              <w:rPr>
                <w:rFonts w:ascii="Aptos" w:hAnsi="Aptos"/>
                <w:b w:val="0"/>
                <w:sz w:val="16"/>
              </w:rPr>
              <w:t>White/Other, Asian, Black/African American, Mixed/Unknown</w:t>
            </w:r>
          </w:p>
        </w:tc>
        <w:tc>
          <w:tcPr>
            <w:tcW w:type="dxa" w:w="3816"/>
            <w:vAlign w:val="center"/>
            <w:shd w:fill="F7FAFC"/>
          </w:tcPr>
          <w:p>
            <w:r/>
            <w:r>
              <w:rPr>
                <w:rFonts w:ascii="Aptos" w:hAnsi="Aptos"/>
                <w:b w:val="0"/>
                <w:sz w:val="16"/>
              </w:rPr>
              <w:t>Published IWPC population coefficient and CPIC branching</w:t>
            </w:r>
          </w:p>
        </w:tc>
      </w:tr>
      <w:tr>
        <w:trPr>
          <w:cantSplit/>
        </w:trPr>
        <w:tc>
          <w:tcPr>
            <w:tcW w:type="dxa" w:w="1944"/>
            <w:vAlign w:val="center"/>
          </w:tcPr>
          <w:p>
            <w:r/>
            <w:r>
              <w:rPr>
                <w:rFonts w:ascii="Aptos" w:hAnsi="Aptos"/>
                <w:b w:val="0"/>
                <w:sz w:val="16"/>
              </w:rPr>
              <w:t>Target INR</w:t>
            </w:r>
          </w:p>
        </w:tc>
        <w:tc>
          <w:tcPr>
            <w:tcW w:type="dxa" w:w="4032"/>
            <w:vAlign w:val="center"/>
          </w:tcPr>
          <w:p>
            <w:r/>
            <w:r>
              <w:rPr>
                <w:rFonts w:ascii="Aptos" w:hAnsi="Aptos"/>
                <w:b w:val="0"/>
                <w:sz w:val="16"/>
              </w:rPr>
              <w:t>2.0–3.0 only</w:t>
            </w:r>
          </w:p>
        </w:tc>
        <w:tc>
          <w:tcPr>
            <w:tcW w:type="dxa" w:w="3816"/>
            <w:vAlign w:val="center"/>
          </w:tcPr>
          <w:p>
            <w:r/>
            <w:r>
              <w:rPr>
                <w:rFonts w:ascii="Aptos" w:hAnsi="Aptos"/>
                <w:b w:val="0"/>
                <w:sz w:val="16"/>
              </w:rPr>
              <w:t>Scope gate; other targets rejected</w:t>
            </w:r>
          </w:p>
        </w:tc>
      </w:tr>
      <w:tr>
        <w:trPr>
          <w:cantSplit/>
        </w:trPr>
        <w:tc>
          <w:tcPr>
            <w:tcW w:type="dxa" w:w="1944"/>
            <w:vAlign w:val="center"/>
            <w:shd w:fill="F7FAFC"/>
          </w:tcPr>
          <w:p>
            <w:r/>
            <w:r>
              <w:rPr>
                <w:rFonts w:ascii="Aptos" w:hAnsi="Aptos"/>
                <w:b w:val="0"/>
                <w:sz w:val="16"/>
              </w:rPr>
              <w:t>Amiodarone</w:t>
            </w:r>
          </w:p>
        </w:tc>
        <w:tc>
          <w:tcPr>
            <w:tcW w:type="dxa" w:w="4032"/>
            <w:vAlign w:val="center"/>
            <w:shd w:fill="F7FAFC"/>
          </w:tcPr>
          <w:p>
            <w:r/>
            <w:r>
              <w:rPr>
                <w:rFonts w:ascii="Aptos" w:hAnsi="Aptos"/>
                <w:b w:val="0"/>
                <w:sz w:val="16"/>
              </w:rPr>
              <w:t>Boolean</w:t>
            </w:r>
          </w:p>
        </w:tc>
        <w:tc>
          <w:tcPr>
            <w:tcW w:type="dxa" w:w="3816"/>
            <w:vAlign w:val="center"/>
            <w:shd w:fill="F7FAFC"/>
          </w:tcPr>
          <w:p>
            <w:r/>
            <w:r>
              <w:rPr>
                <w:rFonts w:ascii="Aptos" w:hAnsi="Aptos"/>
                <w:b w:val="0"/>
                <w:sz w:val="16"/>
              </w:rPr>
              <w:t>Both IWPC equations</w:t>
            </w:r>
          </w:p>
        </w:tc>
      </w:tr>
      <w:tr>
        <w:trPr>
          <w:cantSplit/>
        </w:trPr>
        <w:tc>
          <w:tcPr>
            <w:tcW w:type="dxa" w:w="1944"/>
            <w:vAlign w:val="center"/>
          </w:tcPr>
          <w:p>
            <w:r/>
            <w:r>
              <w:rPr>
                <w:rFonts w:ascii="Aptos" w:hAnsi="Aptos"/>
                <w:b w:val="0"/>
                <w:sz w:val="16"/>
              </w:rPr>
              <w:t>Enzyme inducer</w:t>
            </w:r>
          </w:p>
        </w:tc>
        <w:tc>
          <w:tcPr>
            <w:tcW w:type="dxa" w:w="4032"/>
            <w:vAlign w:val="center"/>
          </w:tcPr>
          <w:p>
            <w:r/>
            <w:r>
              <w:rPr>
                <w:rFonts w:ascii="Aptos" w:hAnsi="Aptos"/>
                <w:b w:val="0"/>
                <w:sz w:val="16"/>
              </w:rPr>
              <w:t>Boolean; UI describes carbamazepine, phenytoin, rifampin/rifampicin</w:t>
            </w:r>
          </w:p>
        </w:tc>
        <w:tc>
          <w:tcPr>
            <w:tcW w:type="dxa" w:w="3816"/>
            <w:vAlign w:val="center"/>
          </w:tcPr>
          <w:p>
            <w:r/>
            <w:r>
              <w:rPr>
                <w:rFonts w:ascii="Aptos" w:hAnsi="Aptos"/>
                <w:b w:val="0"/>
                <w:sz w:val="16"/>
              </w:rPr>
              <w:t>Both IWPC equations</w:t>
            </w:r>
          </w:p>
        </w:tc>
      </w:tr>
      <w:tr>
        <w:trPr>
          <w:cantSplit/>
        </w:trPr>
        <w:tc>
          <w:tcPr>
            <w:tcW w:type="dxa" w:w="1944"/>
            <w:vAlign w:val="center"/>
            <w:shd w:fill="F7FAFC"/>
          </w:tcPr>
          <w:p>
            <w:r/>
            <w:r>
              <w:rPr>
                <w:rFonts w:ascii="Aptos" w:hAnsi="Aptos"/>
                <w:b w:val="0"/>
                <w:sz w:val="16"/>
              </w:rPr>
              <w:t>African context</w:t>
            </w:r>
          </w:p>
        </w:tc>
        <w:tc>
          <w:tcPr>
            <w:tcW w:type="dxa" w:w="4032"/>
            <w:vAlign w:val="center"/>
            <w:shd w:fill="F7FAFC"/>
          </w:tcPr>
          <w:p>
            <w:r/>
            <w:r>
              <w:rPr>
                <w:rFonts w:ascii="Aptos" w:hAnsi="Aptos"/>
                <w:b w:val="0"/>
                <w:sz w:val="16"/>
              </w:rPr>
              <w:t>unknown / african_american / other_african</w:t>
            </w:r>
          </w:p>
        </w:tc>
        <w:tc>
          <w:tcPr>
            <w:tcW w:type="dxa" w:w="3816"/>
            <w:vAlign w:val="center"/>
            <w:shd w:fill="F7FAFC"/>
          </w:tcPr>
          <w:p>
            <w:r/>
            <w:r>
              <w:rPr>
                <w:rFonts w:ascii="Aptos" w:hAnsi="Aptos"/>
                <w:b w:val="0"/>
                <w:sz w:val="16"/>
              </w:rPr>
              <w:t>Controls rs12777823 CPIC presentation</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7FA"/>
          </w:tcPr>
          <w:p>
            <w:r>
              <w:rPr>
                <w:b/>
                <w:color w:val="18A6B8"/>
                <w:sz w:val="19"/>
              </w:rPr>
              <w:t>Population input</w:t>
              <w:br/>
            </w:r>
            <w:r>
              <w:rPr>
                <w:color w:val="1F2937"/>
                <w:sz w:val="17"/>
              </w:rPr>
              <w:t>The frontend explicitly states that the IWPC population category is self-identified clinical information and is not inferred from the DNA file.</w:t>
            </w:r>
          </w:p>
        </w:tc>
      </w:tr>
    </w:tbl>
    <w:p>
      <w:pPr>
        <w:spacing w:after="20"/>
      </w:pPr>
    </w:p>
    <w:p>
      <w:pPr>
        <w:pStyle w:val="Heading1"/>
        <w:keepNext/>
      </w:pPr>
      <w:r>
        <w:t>7. Genotype Parsing and Interpretation</w:t>
      </w:r>
    </w:p>
    <w:p>
      <w:pPr>
        <w:pStyle w:val="Heading2"/>
        <w:keepNext/>
      </w:pPr>
      <w:r>
        <w:t>7.1 Two supported PGx input modes</w:t>
      </w:r>
    </w:p>
    <w:p>
      <w:pPr>
        <w:pStyle w:val="ListBullet"/>
      </w:pPr>
      <w:r>
        <w:t>Xcode file upload: parse_genetic_csv() reads the Step 2b CSV and stores row-level markers plus metadata.</w:t>
      </w:r>
    </w:p>
    <w:p>
      <w:pPr>
        <w:pStyle w:val="ListBullet"/>
      </w:pPr>
      <w:r>
        <w:t>Manual entry: parse_manual_genetic() accepts explicit CYP2C9 star alleles, VKORC1, CYP4F2, rs12777823 and a checkbox confirming expanded CYP2C9 testing.</w:t>
      </w:r>
    </w:p>
    <w:p>
      <w:pPr>
        <w:pStyle w:val="Heading2"/>
        <w:keepNext/>
      </w:pPr>
      <w:r>
        <w:t>7.2 Manual-input safeguards</w:t>
      </w:r>
    </w:p>
    <w:p>
      <w:pPr>
        <w:pStyle w:val="ListBullet"/>
      </w:pPr>
      <w:r>
        <w:t>Both CYP2C9 alleles must be provided together or both left unavailable.</w:t>
      </w:r>
    </w:p>
    <w:p>
      <w:pPr>
        <w:pStyle w:val="ListBullet"/>
      </w:pPr>
      <w:r>
        <w:t>Supported manual CYP2C9 alleles are *1, *2, *3, *5, *6, *8 and *11.</w:t>
      </w:r>
    </w:p>
    <w:p>
      <w:pPr>
        <w:pStyle w:val="ListBullet"/>
      </w:pPr>
      <w:r>
        <w:t>VKORC1 must be G/G, G/A or A/A in clinical -1639 notation.</w:t>
      </w:r>
    </w:p>
    <w:p>
      <w:pPr>
        <w:pStyle w:val="ListBullet"/>
      </w:pPr>
      <w:r>
        <w:t>CYP4F2 supports *1/*1, *1/*3 and *3/*3.</w:t>
      </w:r>
    </w:p>
    <w:p>
      <w:pPr>
        <w:pStyle w:val="ListBullet"/>
      </w:pPr>
      <w:r>
        <w:t>rs12777823 supports G/G, G/A or A/A.</w:t>
      </w:r>
    </w:p>
    <w:p>
      <w:pPr>
        <w:pStyle w:val="ListBullet"/>
      </w:pPr>
      <w:r>
        <w:t>Manual *1 is expected to represent an explicitly reported allele, not a substitute for “not tested”.</w:t>
      </w:r>
    </w:p>
    <w:p>
      <w:pPr>
        <w:pStyle w:val="Heading2"/>
        <w:keepNext/>
      </w:pPr>
      <w:r>
        <w:t>7.3 Historical IWPC CYP2C9 base category</w:t>
      </w:r>
    </w:p>
    <w:p>
      <w:r>
        <w:t>The IWPC pharmacogenetic equation in this application uses the original *2/*3 genotype categories. _iwpc_cyp2c9_category() therefore maps *2 and *3 copy counts into one of six historical categories. Expanded alleles (*5/*6/*8/*11) are handled separately as CPIC considerations rather than being forced into an unsupported IWPC coefficient.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023D79"/>
          </w:tcPr>
          <w:p>
            <w:r/>
            <w:r>
              <w:rPr>
                <w:rFonts w:ascii="Aptos" w:hAnsi="Aptos"/>
                <w:b/>
                <w:color w:val="FFFFFF"/>
                <w:sz w:val="16"/>
              </w:rPr>
              <w:t>*2 copies</w:t>
            </w:r>
          </w:p>
        </w:tc>
        <w:tc>
          <w:tcPr>
            <w:tcW w:type="dxa" w:w="2016"/>
            <w:vAlign w:val="center"/>
            <w:shd w:fill="023D79"/>
          </w:tcPr>
          <w:p>
            <w:r/>
            <w:r>
              <w:rPr>
                <w:rFonts w:ascii="Aptos" w:hAnsi="Aptos"/>
                <w:b/>
                <w:color w:val="FFFFFF"/>
                <w:sz w:val="16"/>
              </w:rPr>
              <w:t>*3 copies</w:t>
            </w:r>
          </w:p>
        </w:tc>
        <w:tc>
          <w:tcPr>
            <w:tcW w:type="dxa" w:w="3168"/>
            <w:vAlign w:val="center"/>
            <w:shd w:fill="023D79"/>
          </w:tcPr>
          <w:p>
            <w:r/>
            <w:r>
              <w:rPr>
                <w:rFonts w:ascii="Aptos" w:hAnsi="Aptos"/>
                <w:b/>
                <w:color w:val="FFFFFF"/>
                <w:sz w:val="16"/>
              </w:rPr>
              <w:t>IWPC category</w:t>
            </w:r>
          </w:p>
        </w:tc>
      </w:tr>
      <w:tr>
        <w:trPr>
          <w:cantSplit/>
        </w:trPr>
        <w:tc>
          <w:tcPr>
            <w:tcW w:type="dxa" w:w="2016"/>
            <w:vAlign w:val="center"/>
          </w:tcPr>
          <w:p>
            <w:r/>
            <w:r>
              <w:rPr>
                <w:rFonts w:ascii="Aptos" w:hAnsi="Aptos"/>
                <w:b w:val="0"/>
                <w:sz w:val="16"/>
              </w:rPr>
              <w:t>0</w:t>
            </w:r>
          </w:p>
        </w:tc>
        <w:tc>
          <w:tcPr>
            <w:tcW w:type="dxa" w:w="2016"/>
            <w:vAlign w:val="center"/>
          </w:tcPr>
          <w:p>
            <w:r/>
            <w:r>
              <w:rPr>
                <w:rFonts w:ascii="Aptos" w:hAnsi="Aptos"/>
                <w:b w:val="0"/>
                <w:sz w:val="16"/>
              </w:rPr>
              <w:t>0</w:t>
            </w:r>
          </w:p>
        </w:tc>
        <w:tc>
          <w:tcPr>
            <w:tcW w:type="dxa" w:w="3168"/>
            <w:vAlign w:val="center"/>
          </w:tcPr>
          <w:p>
            <w:r/>
            <w:r>
              <w:rPr>
                <w:rFonts w:ascii="Aptos" w:hAnsi="Aptos"/>
                <w:b w:val="0"/>
                <w:sz w:val="16"/>
              </w:rPr>
              <w:t>*1/*1</w:t>
            </w:r>
          </w:p>
        </w:tc>
      </w:tr>
      <w:tr>
        <w:trPr>
          <w:cantSplit/>
        </w:trPr>
        <w:tc>
          <w:tcPr>
            <w:tcW w:type="dxa" w:w="2016"/>
            <w:vAlign w:val="center"/>
            <w:shd w:fill="F7FAFC"/>
          </w:tcPr>
          <w:p>
            <w:r/>
            <w:r>
              <w:rPr>
                <w:rFonts w:ascii="Aptos" w:hAnsi="Aptos"/>
                <w:b w:val="0"/>
                <w:sz w:val="16"/>
              </w:rPr>
              <w:t>1</w:t>
            </w:r>
          </w:p>
        </w:tc>
        <w:tc>
          <w:tcPr>
            <w:tcW w:type="dxa" w:w="2016"/>
            <w:vAlign w:val="center"/>
            <w:shd w:fill="F7FAFC"/>
          </w:tcPr>
          <w:p>
            <w:r/>
            <w:r>
              <w:rPr>
                <w:rFonts w:ascii="Aptos" w:hAnsi="Aptos"/>
                <w:b w:val="0"/>
                <w:sz w:val="16"/>
              </w:rPr>
              <w:t>0</w:t>
            </w:r>
          </w:p>
        </w:tc>
        <w:tc>
          <w:tcPr>
            <w:tcW w:type="dxa" w:w="3168"/>
            <w:vAlign w:val="center"/>
            <w:shd w:fill="F7FAFC"/>
          </w:tcPr>
          <w:p>
            <w:r/>
            <w:r>
              <w:rPr>
                <w:rFonts w:ascii="Aptos" w:hAnsi="Aptos"/>
                <w:b w:val="0"/>
                <w:sz w:val="16"/>
              </w:rPr>
              <w:t>*1/*2</w:t>
            </w:r>
          </w:p>
        </w:tc>
      </w:tr>
      <w:tr>
        <w:trPr>
          <w:cantSplit/>
        </w:trPr>
        <w:tc>
          <w:tcPr>
            <w:tcW w:type="dxa" w:w="2016"/>
            <w:vAlign w:val="center"/>
          </w:tcPr>
          <w:p>
            <w:r/>
            <w:r>
              <w:rPr>
                <w:rFonts w:ascii="Aptos" w:hAnsi="Aptos"/>
                <w:b w:val="0"/>
                <w:sz w:val="16"/>
              </w:rPr>
              <w:t>2</w:t>
            </w:r>
          </w:p>
        </w:tc>
        <w:tc>
          <w:tcPr>
            <w:tcW w:type="dxa" w:w="2016"/>
            <w:vAlign w:val="center"/>
          </w:tcPr>
          <w:p>
            <w:r/>
            <w:r>
              <w:rPr>
                <w:rFonts w:ascii="Aptos" w:hAnsi="Aptos"/>
                <w:b w:val="0"/>
                <w:sz w:val="16"/>
              </w:rPr>
              <w:t>0</w:t>
            </w:r>
          </w:p>
        </w:tc>
        <w:tc>
          <w:tcPr>
            <w:tcW w:type="dxa" w:w="3168"/>
            <w:vAlign w:val="center"/>
          </w:tcPr>
          <w:p>
            <w:r/>
            <w:r>
              <w:rPr>
                <w:rFonts w:ascii="Aptos" w:hAnsi="Aptos"/>
                <w:b w:val="0"/>
                <w:sz w:val="16"/>
              </w:rPr>
              <w:t>*2/*2</w:t>
            </w:r>
          </w:p>
        </w:tc>
      </w:tr>
      <w:tr>
        <w:trPr>
          <w:cantSplit/>
        </w:trPr>
        <w:tc>
          <w:tcPr>
            <w:tcW w:type="dxa" w:w="2016"/>
            <w:vAlign w:val="center"/>
            <w:shd w:fill="F7FAFC"/>
          </w:tcPr>
          <w:p>
            <w:r/>
            <w:r>
              <w:rPr>
                <w:rFonts w:ascii="Aptos" w:hAnsi="Aptos"/>
                <w:b w:val="0"/>
                <w:sz w:val="16"/>
              </w:rPr>
              <w:t>0</w:t>
            </w:r>
          </w:p>
        </w:tc>
        <w:tc>
          <w:tcPr>
            <w:tcW w:type="dxa" w:w="2016"/>
            <w:vAlign w:val="center"/>
            <w:shd w:fill="F7FAFC"/>
          </w:tcPr>
          <w:p>
            <w:r/>
            <w:r>
              <w:rPr>
                <w:rFonts w:ascii="Aptos" w:hAnsi="Aptos"/>
                <w:b w:val="0"/>
                <w:sz w:val="16"/>
              </w:rPr>
              <w:t>1</w:t>
            </w:r>
          </w:p>
        </w:tc>
        <w:tc>
          <w:tcPr>
            <w:tcW w:type="dxa" w:w="3168"/>
            <w:vAlign w:val="center"/>
            <w:shd w:fill="F7FAFC"/>
          </w:tcPr>
          <w:p>
            <w:r/>
            <w:r>
              <w:rPr>
                <w:rFonts w:ascii="Aptos" w:hAnsi="Aptos"/>
                <w:b w:val="0"/>
                <w:sz w:val="16"/>
              </w:rPr>
              <w:t>*1/*3</w:t>
            </w:r>
          </w:p>
        </w:tc>
      </w:tr>
      <w:tr>
        <w:trPr>
          <w:cantSplit/>
        </w:trPr>
        <w:tc>
          <w:tcPr>
            <w:tcW w:type="dxa" w:w="2016"/>
            <w:vAlign w:val="center"/>
          </w:tcPr>
          <w:p>
            <w:r/>
            <w:r>
              <w:rPr>
                <w:rFonts w:ascii="Aptos" w:hAnsi="Aptos"/>
                <w:b w:val="0"/>
                <w:sz w:val="16"/>
              </w:rPr>
              <w:t>0</w:t>
            </w:r>
          </w:p>
        </w:tc>
        <w:tc>
          <w:tcPr>
            <w:tcW w:type="dxa" w:w="2016"/>
            <w:vAlign w:val="center"/>
          </w:tcPr>
          <w:p>
            <w:r/>
            <w:r>
              <w:rPr>
                <w:rFonts w:ascii="Aptos" w:hAnsi="Aptos"/>
                <w:b w:val="0"/>
                <w:sz w:val="16"/>
              </w:rPr>
              <w:t>2</w:t>
            </w:r>
          </w:p>
        </w:tc>
        <w:tc>
          <w:tcPr>
            <w:tcW w:type="dxa" w:w="3168"/>
            <w:vAlign w:val="center"/>
          </w:tcPr>
          <w:p>
            <w:r/>
            <w:r>
              <w:rPr>
                <w:rFonts w:ascii="Aptos" w:hAnsi="Aptos"/>
                <w:b w:val="0"/>
                <w:sz w:val="16"/>
              </w:rPr>
              <w:t>*3/*3</w:t>
            </w:r>
          </w:p>
        </w:tc>
      </w:tr>
      <w:tr>
        <w:trPr>
          <w:cantSplit/>
        </w:trPr>
        <w:tc>
          <w:tcPr>
            <w:tcW w:type="dxa" w:w="2016"/>
            <w:vAlign w:val="center"/>
            <w:shd w:fill="F7FAFC"/>
          </w:tcPr>
          <w:p>
            <w:r/>
            <w:r>
              <w:rPr>
                <w:rFonts w:ascii="Aptos" w:hAnsi="Aptos"/>
                <w:b w:val="0"/>
                <w:sz w:val="16"/>
              </w:rPr>
              <w:t>1</w:t>
            </w:r>
          </w:p>
        </w:tc>
        <w:tc>
          <w:tcPr>
            <w:tcW w:type="dxa" w:w="2016"/>
            <w:vAlign w:val="center"/>
            <w:shd w:fill="F7FAFC"/>
          </w:tcPr>
          <w:p>
            <w:r/>
            <w:r>
              <w:rPr>
                <w:rFonts w:ascii="Aptos" w:hAnsi="Aptos"/>
                <w:b w:val="0"/>
                <w:sz w:val="16"/>
              </w:rPr>
              <w:t>1</w:t>
            </w:r>
          </w:p>
        </w:tc>
        <w:tc>
          <w:tcPr>
            <w:tcW w:type="dxa" w:w="3168"/>
            <w:vAlign w:val="center"/>
            <w:shd w:fill="F7FAFC"/>
          </w:tcPr>
          <w:p>
            <w:r/>
            <w:r>
              <w:rPr>
                <w:rFonts w:ascii="Aptos" w:hAnsi="Aptos"/>
                <w:b w:val="0"/>
                <w:sz w:val="16"/>
              </w:rPr>
              <w:t>*2/*3</w:t>
            </w:r>
          </w:p>
        </w:tc>
      </w:tr>
    </w:tbl>
    <w:p>
      <w:pPr>
        <w:spacing w:after="20"/>
      </w:pPr>
    </w:p>
    <w:p>
      <w:pPr>
        <w:pStyle w:val="Heading1"/>
        <w:keepNext/>
      </w:pPr>
      <w:r>
        <w:t>8. Pathway Selection: Clinical vs Pharmacogenetic IWPC</w:t>
      </w:r>
    </w:p>
    <w:p>
      <w:r>
        <w:t>calculate() starts from the clinical pathway and upgrades to the pharmacogenetic pathway only when eligibility conditions are satisfied. The logic intentionally treats missing data as missing rather than normal.</w:t>
      </w:r>
    </w:p>
    <w:p>
      <w:pPr>
        <w:pStyle w:val="CodeBlock"/>
        <w:keepLines/>
        <w:shd w:fill="F1F5F8"/>
      </w:pPr>
      <w:r>
        <w:rPr>
          <w:rFonts w:ascii="Consolas" w:hAnsi="Consolas"/>
          <w:sz w:val="16"/>
        </w:rPr>
        <w:t>1. Validate age / height / weight / population.</w:t>
        <w:br/>
        <w:t>2. If PGx is present:</w:t>
        <w:br/>
        <w:t xml:space="preserve">   a. Derive historical IWPC CYP2C9 *2/*3 category.</w:t>
        <w:br/>
        <w:t xml:space="preserve">   b. Derive VKORC1 -1639 category.</w:t>
        <w:br/>
        <w:t xml:space="preserve">   c. core_complete = CYP2C9 category AND VKORC1 category are available.</w:t>
        <w:br/>
        <w:t xml:space="preserve">   d. Determine whether *5/*6/*8/*11 coverage is complete.</w:t>
        <w:br/>
        <w:t>3. If core data are incomplete -&gt; use IWPC clinical algorithm.</w:t>
        <w:br/>
        <w:t>4. If Black/African American AND expanded CYP2C9 coverage is incomplete -&gt; use clinical algorithm.</w:t>
        <w:br/>
        <w:t>5. Otherwise -&gt; use IWPC pharmacogenetic algorithm.</w:t>
        <w:br/>
        <w:t>6. Generate separate CPIC notes when applicable.</w:t>
        <w:br/>
        <w:t>7. Return point estimate, pathway reason, genetics summary, warnings and optional FDA reference.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400"/>
            <w:vAlign w:val="center"/>
            <w:shd w:fill="023D79"/>
          </w:tcPr>
          <w:p>
            <w:r/>
            <w:r>
              <w:rPr>
                <w:rFonts w:ascii="Aptos" w:hAnsi="Aptos"/>
                <w:b/>
                <w:color w:val="FFFFFF"/>
                <w:sz w:val="16"/>
              </w:rPr>
              <w:t>Situation</w:t>
            </w:r>
          </w:p>
        </w:tc>
        <w:tc>
          <w:tcPr>
            <w:tcW w:type="dxa" w:w="4320"/>
            <w:vAlign w:val="center"/>
            <w:shd w:fill="023D79"/>
          </w:tcPr>
          <w:p>
            <w:r/>
            <w:r>
              <w:rPr>
                <w:rFonts w:ascii="Aptos" w:hAnsi="Aptos"/>
                <w:b/>
                <w:color w:val="FFFFFF"/>
                <w:sz w:val="16"/>
              </w:rPr>
              <w:t>Selected method</w:t>
            </w:r>
          </w:p>
        </w:tc>
      </w:tr>
      <w:tr>
        <w:trPr>
          <w:cantSplit/>
        </w:trPr>
        <w:tc>
          <w:tcPr>
            <w:tcW w:type="dxa" w:w="5400"/>
            <w:vAlign w:val="center"/>
          </w:tcPr>
          <w:p>
            <w:r/>
            <w:r>
              <w:rPr>
                <w:rFonts w:ascii="Aptos" w:hAnsi="Aptos"/>
                <w:b w:val="0"/>
                <w:sz w:val="16"/>
              </w:rPr>
              <w:t>No PGx supplied</w:t>
            </w:r>
          </w:p>
        </w:tc>
        <w:tc>
          <w:tcPr>
            <w:tcW w:type="dxa" w:w="4320"/>
            <w:vAlign w:val="center"/>
          </w:tcPr>
          <w:p>
            <w:r/>
            <w:r>
              <w:rPr>
                <w:rFonts w:ascii="Aptos" w:hAnsi="Aptos"/>
                <w:b w:val="0"/>
                <w:sz w:val="16"/>
              </w:rPr>
              <w:t>IWPC clinical algorithm</w:t>
            </w:r>
          </w:p>
        </w:tc>
      </w:tr>
      <w:tr>
        <w:trPr>
          <w:cantSplit/>
        </w:trPr>
        <w:tc>
          <w:tcPr>
            <w:tcW w:type="dxa" w:w="5400"/>
            <w:vAlign w:val="center"/>
            <w:shd w:fill="F7FAFC"/>
          </w:tcPr>
          <w:p>
            <w:r/>
            <w:r>
              <w:rPr>
                <w:rFonts w:ascii="Aptos" w:hAnsi="Aptos"/>
                <w:b w:val="0"/>
                <w:sz w:val="16"/>
              </w:rPr>
              <w:t>PGx supplied but CYP2C9 *2/*3 or VKORC1 information incomplete</w:t>
            </w:r>
          </w:p>
        </w:tc>
        <w:tc>
          <w:tcPr>
            <w:tcW w:type="dxa" w:w="4320"/>
            <w:vAlign w:val="center"/>
            <w:shd w:fill="F7FAFC"/>
          </w:tcPr>
          <w:p>
            <w:r/>
            <w:r>
              <w:rPr>
                <w:rFonts w:ascii="Aptos" w:hAnsi="Aptos"/>
                <w:b w:val="0"/>
                <w:sz w:val="16"/>
              </w:rPr>
              <w:t>IWPC clinical algorithm</w:t>
            </w:r>
          </w:p>
        </w:tc>
      </w:tr>
      <w:tr>
        <w:trPr>
          <w:cantSplit/>
        </w:trPr>
        <w:tc>
          <w:tcPr>
            <w:tcW w:type="dxa" w:w="5400"/>
            <w:vAlign w:val="center"/>
          </w:tcPr>
          <w:p>
            <w:r/>
            <w:r>
              <w:rPr>
                <w:rFonts w:ascii="Aptos" w:hAnsi="Aptos"/>
                <w:b w:val="0"/>
                <w:sz w:val="16"/>
              </w:rPr>
              <w:t>Black/African American + core PGx available + *5/*6/*8/*11 coverage incomplete</w:t>
            </w:r>
          </w:p>
        </w:tc>
        <w:tc>
          <w:tcPr>
            <w:tcW w:type="dxa" w:w="4320"/>
            <w:vAlign w:val="center"/>
          </w:tcPr>
          <w:p>
            <w:r/>
            <w:r>
              <w:rPr>
                <w:rFonts w:ascii="Aptos" w:hAnsi="Aptos"/>
                <w:b w:val="0"/>
                <w:sz w:val="16"/>
              </w:rPr>
              <w:t>IWPC clinical algorithm</w:t>
            </w:r>
          </w:p>
        </w:tc>
      </w:tr>
      <w:tr>
        <w:trPr>
          <w:cantSplit/>
        </w:trPr>
        <w:tc>
          <w:tcPr>
            <w:tcW w:type="dxa" w:w="5400"/>
            <w:vAlign w:val="center"/>
            <w:shd w:fill="F7FAFC"/>
          </w:tcPr>
          <w:p>
            <w:r/>
            <w:r>
              <w:rPr>
                <w:rFonts w:ascii="Aptos" w:hAnsi="Aptos"/>
                <w:b w:val="0"/>
                <w:sz w:val="16"/>
              </w:rPr>
              <w:t>Core PGx available and pathway requirements satisfied</w:t>
            </w:r>
          </w:p>
        </w:tc>
        <w:tc>
          <w:tcPr>
            <w:tcW w:type="dxa" w:w="4320"/>
            <w:vAlign w:val="center"/>
            <w:shd w:fill="F7FAFC"/>
          </w:tcPr>
          <w:p>
            <w:r/>
            <w:r>
              <w:rPr>
                <w:rFonts w:ascii="Aptos" w:hAnsi="Aptos"/>
                <w:b w:val="0"/>
                <w:sz w:val="16"/>
              </w:rPr>
              <w:t>IWPC pharmacogenetic algorithm</w:t>
            </w:r>
          </w:p>
        </w:tc>
      </w:tr>
    </w:tbl>
    <w:p>
      <w:pPr>
        <w:spacing w:after="20"/>
      </w:pPr>
    </w:p>
    <w:p>
      <w:pPr>
        <w:pStyle w:val="Heading1"/>
        <w:keepNext/>
      </w:pPr>
      <w:r>
        <w:t>9. IWPC Dose Equations Implemented</w:t>
      </w:r>
    </w:p>
    <w:p>
      <w:r>
        <w:t>The implementation calculates the square root of weekly dose and then squares the result. The returned estimate is rounded to one decimal place in mg/week; the average daily equivalent is weekly dose divided by seven and rounded to one decimal place.</w:t>
      </w:r>
    </w:p>
    <w:p>
      <w:pPr>
        <w:pStyle w:val="Heading2"/>
        <w:keepNext/>
      </w:pPr>
      <w:r>
        <w:t>9.1 Clinical IWPC equation</w:t>
      </w:r>
    </w:p>
    <w:p>
      <w:pPr>
        <w:pStyle w:val="CodeBlock"/>
        <w:keepLines/>
        <w:shd w:fill="F1F5F8"/>
      </w:pPr>
      <w:r>
        <w:rPr>
          <w:rFonts w:ascii="Consolas" w:hAnsi="Consolas"/>
          <w:sz w:val="16"/>
        </w:rPr>
        <w:t>sqrt(weekly dose) =</w:t>
        <w:br/>
        <w:t xml:space="preserve">  4.0376</w:t>
        <w:br/>
        <w:t xml:space="preserve">  - 0.2546 × age_decades</w:t>
        <w:br/>
        <w:t xml:space="preserve">  + 0.0118 × height_cm</w:t>
        <w:br/>
        <w:t xml:space="preserve">  + 0.0134 × weight_kg</w:t>
        <w:br/>
        <w:t xml:space="preserve">  + clinical population coefficient</w:t>
        <w:br/>
        <w:t xml:space="preserve">  + 1.2799 if enzyme inducer</w:t>
        <w:br/>
        <w:t xml:space="preserve">  - 0.5695 if amiodarone</w:t>
        <w:br/>
        <w:br/>
        <w:t>weekly dose = value²</w:t>
      </w:r>
    </w:p>
    <w:p>
      <w:pPr>
        <w:pStyle w:val="Heading2"/>
        <w:keepNext/>
      </w:pPr>
      <w:r>
        <w:t>9.2 Pharmacogenetic IWPC equation</w:t>
      </w:r>
    </w:p>
    <w:p>
      <w:pPr>
        <w:pStyle w:val="CodeBlock"/>
        <w:keepLines/>
        <w:shd w:fill="F1F5F8"/>
      </w:pPr>
      <w:r>
        <w:rPr>
          <w:rFonts w:ascii="Consolas" w:hAnsi="Consolas"/>
          <w:sz w:val="16"/>
        </w:rPr>
        <w:t>sqrt(weekly dose) =</w:t>
        <w:br/>
        <w:t xml:space="preserve">  5.6044</w:t>
        <w:br/>
        <w:t xml:space="preserve">  - 0.2614 × age_decades</w:t>
        <w:br/>
        <w:t xml:space="preserve">  + 0.0087 × height_cm</w:t>
        <w:br/>
        <w:t xml:space="preserve">  + 0.0128 × weight_kg</w:t>
        <w:br/>
        <w:t xml:space="preserve">  + VKORC1 coefficient</w:t>
        <w:br/>
        <w:t xml:space="preserve">  + CYP2C9 *2/*3 coefficient</w:t>
        <w:br/>
        <w:t xml:space="preserve">  + PGx population coefficient</w:t>
        <w:br/>
        <w:t xml:space="preserve">  + 1.1816 if enzyme inducer</w:t>
        <w:br/>
        <w:t xml:space="preserve">  - 0.5503 if amiodarone</w:t>
        <w:br/>
        <w:br/>
        <w:t>weekly dose = value²</w:t>
      </w:r>
    </w:p>
    <w:tbl>
      <w:tblPr>
        <w:tblW w:type="auto" w:w="0"/>
        <w:jc w:val="center"/>
        <w:tblLook w:firstColumn="1" w:firstRow="1" w:lastColumn="0" w:lastRow="0" w:noHBand="0" w:noVBand="1" w:val="04A0"/>
      </w:tblPr>
      <w:tblGrid>
        <w:gridCol w:w="10080"/>
      </w:tblGrid>
      <w:tr>
        <w:trPr>
          <w:cantSplit/>
        </w:trPr>
        <w:tc>
          <w:tcPr>
            <w:tcW w:type="dxa" w:w="10080"/>
            <w:shd w:fill="EAF7FA"/>
          </w:tcPr>
          <w:p>
            <w:r>
              <w:rPr>
                <w:b/>
                <w:color w:val="18A6B8"/>
                <w:sz w:val="19"/>
              </w:rPr>
              <w:t>No invented individualized “safe range”</w:t>
              <w:br/>
            </w:r>
            <w:r>
              <w:rPr>
                <w:color w:val="1F2937"/>
                <w:sz w:val="17"/>
              </w:rPr>
              <w:t>The code returns the IWPC point estimate. It does not convert the original IWPC ±20% evaluation concept into a patient-specific therapeutic range.</w:t>
            </w:r>
          </w:p>
        </w:tc>
      </w:tr>
    </w:tbl>
    <w:p>
      <w:pPr>
        <w:spacing w:after="20"/>
      </w:pPr>
    </w:p>
    <w:p>
      <w:pPr>
        <w:pStyle w:val="Heading1"/>
        <w:keepNext/>
      </w:pPr>
      <w:r>
        <w:t>10. CPIC 2017 Considerations Layer</w:t>
      </w:r>
    </w:p>
    <w:p>
      <w:r>
        <w:t>CPIC-related logic is implemented as a separate notes layer. These values are presented alongside the IWPC point estimate and are not automatically multiplied together into a new hidden “final dose”.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744"/>
            <w:vAlign w:val="center"/>
            <w:shd w:fill="023D79"/>
          </w:tcPr>
          <w:p>
            <w:r/>
            <w:r>
              <w:rPr>
                <w:rFonts w:ascii="Aptos" w:hAnsi="Aptos"/>
                <w:b/>
                <w:color w:val="FFFFFF"/>
                <w:sz w:val="16"/>
              </w:rPr>
              <w:t>Finding / context</w:t>
            </w:r>
          </w:p>
        </w:tc>
        <w:tc>
          <w:tcPr>
            <w:tcW w:type="dxa" w:w="6048"/>
            <w:vAlign w:val="center"/>
            <w:shd w:fill="023D79"/>
          </w:tcPr>
          <w:p>
            <w:r/>
            <w:r>
              <w:rPr>
                <w:rFonts w:ascii="Aptos" w:hAnsi="Aptos"/>
                <w:b/>
                <w:color w:val="FFFFFF"/>
                <w:sz w:val="16"/>
              </w:rPr>
              <w:t>Current code behavior</w:t>
            </w:r>
          </w:p>
        </w:tc>
      </w:tr>
      <w:tr>
        <w:trPr>
          <w:cantSplit/>
        </w:trPr>
        <w:tc>
          <w:tcPr>
            <w:tcW w:type="dxa" w:w="3744"/>
            <w:vAlign w:val="center"/>
          </w:tcPr>
          <w:p>
            <w:r/>
            <w:r>
              <w:rPr>
                <w:rFonts w:ascii="Aptos" w:hAnsi="Aptos"/>
                <w:b w:val="0"/>
                <w:sz w:val="16"/>
              </w:rPr>
              <w:t>One CYP2C9 *5/*6/*8/*11 allele</w:t>
            </w:r>
          </w:p>
        </w:tc>
        <w:tc>
          <w:tcPr>
            <w:tcW w:type="dxa" w:w="6048"/>
            <w:vAlign w:val="center"/>
          </w:tcPr>
          <w:p>
            <w:r/>
            <w:r>
              <w:rPr>
                <w:rFonts w:ascii="Aptos" w:hAnsi="Aptos"/>
                <w:b w:val="0"/>
                <w:sz w:val="16"/>
              </w:rPr>
              <w:t>Displays a 15–30% decrease consideration; strength Moderate for Black/African American, Optional otherwise.</w:t>
            </w:r>
          </w:p>
        </w:tc>
      </w:tr>
      <w:tr>
        <w:trPr>
          <w:cantSplit/>
        </w:trPr>
        <w:tc>
          <w:tcPr>
            <w:tcW w:type="dxa" w:w="3744"/>
            <w:vAlign w:val="center"/>
            <w:shd w:fill="F7FAFC"/>
          </w:tcPr>
          <w:p>
            <w:r/>
            <w:r>
              <w:rPr>
                <w:rFonts w:ascii="Aptos" w:hAnsi="Aptos"/>
                <w:b w:val="0"/>
                <w:sz w:val="16"/>
              </w:rPr>
              <w:t>Two or more relevant expanded CYP2C9 alleles</w:t>
            </w:r>
          </w:p>
        </w:tc>
        <w:tc>
          <w:tcPr>
            <w:tcW w:type="dxa" w:w="6048"/>
            <w:vAlign w:val="center"/>
            <w:shd w:fill="F7FAFC"/>
          </w:tcPr>
          <w:p>
            <w:r/>
            <w:r>
              <w:rPr>
                <w:rFonts w:ascii="Aptos" w:hAnsi="Aptos"/>
                <w:b w:val="0"/>
                <w:sz w:val="16"/>
              </w:rPr>
              <w:t>Displays an approximately 20–40% decrease consideration.</w:t>
            </w:r>
          </w:p>
        </w:tc>
      </w:tr>
      <w:tr>
        <w:trPr>
          <w:cantSplit/>
        </w:trPr>
        <w:tc>
          <w:tcPr>
            <w:tcW w:type="dxa" w:w="3744"/>
            <w:vAlign w:val="center"/>
          </w:tcPr>
          <w:p>
            <w:r/>
            <w:r>
              <w:rPr>
                <w:rFonts w:ascii="Aptos" w:hAnsi="Aptos"/>
                <w:b w:val="0"/>
                <w:sz w:val="16"/>
              </w:rPr>
              <w:t>CYP4F2*3 carrier, non-Black/African pathway</w:t>
            </w:r>
          </w:p>
        </w:tc>
        <w:tc>
          <w:tcPr>
            <w:tcW w:type="dxa" w:w="6048"/>
            <w:vAlign w:val="center"/>
          </w:tcPr>
          <w:p>
            <w:r/>
            <w:r>
              <w:rPr>
                <w:rFonts w:ascii="Aptos" w:hAnsi="Aptos"/>
                <w:b w:val="0"/>
                <w:sz w:val="16"/>
              </w:rPr>
              <w:t>Displays an optional 5–10% increase consideration.</w:t>
            </w:r>
          </w:p>
        </w:tc>
      </w:tr>
      <w:tr>
        <w:trPr>
          <w:cantSplit/>
        </w:trPr>
        <w:tc>
          <w:tcPr>
            <w:tcW w:type="dxa" w:w="3744"/>
            <w:vAlign w:val="center"/>
            <w:shd w:fill="F7FAFC"/>
          </w:tcPr>
          <w:p>
            <w:r/>
            <w:r>
              <w:rPr>
                <w:rFonts w:ascii="Aptos" w:hAnsi="Aptos"/>
                <w:b w:val="0"/>
                <w:sz w:val="16"/>
              </w:rPr>
              <w:t>rs12777823 A allele + Black/African American + context = african_american</w:t>
            </w:r>
          </w:p>
        </w:tc>
        <w:tc>
          <w:tcPr>
            <w:tcW w:type="dxa" w:w="6048"/>
            <w:vAlign w:val="center"/>
            <w:shd w:fill="F7FAFC"/>
          </w:tcPr>
          <w:p>
            <w:r/>
            <w:r>
              <w:rPr>
                <w:rFonts w:ascii="Aptos" w:hAnsi="Aptos"/>
                <w:b w:val="0"/>
                <w:sz w:val="16"/>
              </w:rPr>
              <w:t>Displays a 10–25% decrease consideration, strength Moderate.</w:t>
            </w:r>
          </w:p>
        </w:tc>
      </w:tr>
      <w:tr>
        <w:trPr>
          <w:cantSplit/>
        </w:trPr>
        <w:tc>
          <w:tcPr>
            <w:tcW w:type="dxa" w:w="3744"/>
            <w:vAlign w:val="center"/>
          </w:tcPr>
          <w:p>
            <w:r/>
            <w:r>
              <w:rPr>
                <w:rFonts w:ascii="Aptos" w:hAnsi="Aptos"/>
                <w:b w:val="0"/>
                <w:sz w:val="16"/>
              </w:rPr>
              <w:t>rs12777823 A allele + Black/African American but population context not confirmed</w:t>
            </w:r>
          </w:p>
        </w:tc>
        <w:tc>
          <w:tcPr>
            <w:tcW w:type="dxa" w:w="6048"/>
            <w:vAlign w:val="center"/>
          </w:tcPr>
          <w:p>
            <w:r/>
            <w:r>
              <w:rPr>
                <w:rFonts w:ascii="Aptos" w:hAnsi="Aptos"/>
                <w:b w:val="0"/>
                <w:sz w:val="16"/>
              </w:rPr>
              <w:t>Informational note only; no adjustment range is shown.</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FFF7E6"/>
          </w:tcPr>
          <w:p>
            <w:r>
              <w:rPr>
                <w:b/>
                <w:color w:val="9A6700"/>
                <w:sz w:val="19"/>
              </w:rPr>
              <w:t>Important separation</w:t>
              <w:br/>
            </w:r>
            <w:r>
              <w:rPr>
                <w:color w:val="1F2937"/>
                <w:sz w:val="17"/>
              </w:rPr>
              <w:t>The CPIC note “range” is a display of what that single percentage consideration would imply relative to the IWPC point estimate. The program intentionally does not stack multiple CPIC percentage modifiers.</w:t>
            </w:r>
          </w:p>
        </w:tc>
      </w:tr>
    </w:tbl>
    <w:p>
      <w:pPr>
        <w:spacing w:after="20"/>
      </w:pPr>
    </w:p>
    <w:p>
      <w:pPr>
        <w:pStyle w:val="Heading1"/>
        <w:keepNext/>
      </w:pPr>
      <w:r>
        <w:t>11. FDA Label Reference Logic</w:t>
      </w:r>
    </w:p>
    <w:p>
      <w:r>
        <w:t>The calculator contains an FDA maintenance-dose reference table indexed by VKORC1 and six CYP2C9 diplotypes. get_fda_label_range() only returns an FDA range when the actual reported CYP2C9 diplotype is one of *1/*1, *1/*2, *1/*3, *2/*2, *2/*3 or *3/*3. Expanded alleles are intentionally not remapped to *1/*1 for this purpose.</w:t>
      </w:r>
    </w:p>
    <w:tbl>
      <w:tblPr>
        <w:tblW w:type="auto" w:w="0"/>
        <w:jc w:val="center"/>
        <w:tblLook w:firstColumn="1" w:firstRow="1" w:lastColumn="0" w:lastRow="0" w:noHBand="0" w:noVBand="1" w:val="04A0"/>
      </w:tblPr>
      <w:tblGrid>
        <w:gridCol w:w="10080"/>
      </w:tblGrid>
      <w:tr>
        <w:trPr>
          <w:cantSplit/>
        </w:trPr>
        <w:tc>
          <w:tcPr>
            <w:tcW w:type="dxa" w:w="10080"/>
            <w:shd w:fill="EAF7FA"/>
          </w:tcPr>
          <w:p>
            <w:r>
              <w:rPr>
                <w:b/>
                <w:color w:val="18A6B8"/>
                <w:sz w:val="19"/>
              </w:rPr>
              <w:t>Why this restriction matters</w:t>
              <w:br/>
            </w:r>
            <w:r>
              <w:rPr>
                <w:color w:val="1F2937"/>
                <w:sz w:val="17"/>
              </w:rPr>
              <w:t>A result such as *1/*11 can yield an IWPC historical *1/*1 base coefficient for the original equation while still being genetically different from an actual *1/*1 diplotype. The FDA lookup therefore checks the actual reported diplotype before showing the label range.</w:t>
            </w:r>
          </w:p>
        </w:tc>
      </w:tr>
    </w:tbl>
    <w:p>
      <w:pPr>
        <w:spacing w:after="20"/>
      </w:pPr>
    </w:p>
    <w:p>
      <w:pPr>
        <w:pStyle w:val="Heading1"/>
        <w:keepNext/>
      </w:pPr>
      <w:r>
        <w:t>12. Backend API and Request Flow</w:t>
      </w:r>
    </w:p>
    <w:p>
      <w:pPr>
        <w:pStyle w:val="Heading2"/>
        <w:keepNext/>
      </w:pPr>
      <w:r>
        <w:t>12.1 Endpoints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vAlign w:val="center"/>
            <w:shd w:fill="023D79"/>
          </w:tcPr>
          <w:p>
            <w:r/>
            <w:r>
              <w:rPr>
                <w:rFonts w:ascii="Aptos" w:hAnsi="Aptos"/>
                <w:b/>
                <w:color w:val="FFFFFF"/>
                <w:sz w:val="16"/>
              </w:rPr>
              <w:t>Method</w:t>
            </w:r>
          </w:p>
        </w:tc>
        <w:tc>
          <w:tcPr>
            <w:tcW w:type="dxa" w:w="2304"/>
            <w:vAlign w:val="center"/>
            <w:shd w:fill="023D79"/>
          </w:tcPr>
          <w:p>
            <w:r/>
            <w:r>
              <w:rPr>
                <w:rFonts w:ascii="Aptos" w:hAnsi="Aptos"/>
                <w:b/>
                <w:color w:val="FFFFFF"/>
                <w:sz w:val="16"/>
              </w:rPr>
              <w:t>Path</w:t>
            </w:r>
          </w:p>
        </w:tc>
        <w:tc>
          <w:tcPr>
            <w:tcW w:type="dxa" w:w="6192"/>
            <w:vAlign w:val="center"/>
            <w:shd w:fill="023D79"/>
          </w:tcPr>
          <w:p>
            <w:r/>
            <w:r>
              <w:rPr>
                <w:rFonts w:ascii="Aptos" w:hAnsi="Aptos"/>
                <w:b/>
                <w:color w:val="FFFFFF"/>
                <w:sz w:val="16"/>
              </w:rPr>
              <w:t>Purpose</w:t>
            </w:r>
          </w:p>
        </w:tc>
      </w:tr>
      <w:tr>
        <w:trPr>
          <w:cantSplit/>
        </w:trPr>
        <w:tc>
          <w:tcPr>
            <w:tcW w:type="dxa" w:w="1152"/>
            <w:vAlign w:val="center"/>
          </w:tcPr>
          <w:p>
            <w:r/>
            <w:r>
              <w:rPr>
                <w:rFonts w:ascii="Aptos" w:hAnsi="Aptos"/>
                <w:b w:val="0"/>
                <w:sz w:val="16"/>
              </w:rPr>
              <w:t>GET</w:t>
            </w:r>
          </w:p>
        </w:tc>
        <w:tc>
          <w:tcPr>
            <w:tcW w:type="dxa" w:w="2304"/>
            <w:vAlign w:val="center"/>
          </w:tcPr>
          <w:p>
            <w:r/>
            <w:r>
              <w:rPr>
                <w:rFonts w:ascii="Aptos" w:hAnsi="Aptos"/>
                <w:b w:val="0"/>
                <w:sz w:val="16"/>
              </w:rPr>
              <w:t>/</w:t>
            </w:r>
          </w:p>
        </w:tc>
        <w:tc>
          <w:tcPr>
            <w:tcW w:type="dxa" w:w="6192"/>
            <w:vAlign w:val="center"/>
          </w:tcPr>
          <w:p>
            <w:r/>
            <w:r>
              <w:rPr>
                <w:rFonts w:ascii="Aptos" w:hAnsi="Aptos"/>
                <w:b w:val="0"/>
                <w:sz w:val="16"/>
              </w:rPr>
              <w:t>Serves frontend/index.html.</w:t>
            </w:r>
          </w:p>
        </w:tc>
      </w:tr>
      <w:tr>
        <w:trPr>
          <w:cantSplit/>
        </w:trPr>
        <w:tc>
          <w:tcPr>
            <w:tcW w:type="dxa" w:w="1152"/>
            <w:vAlign w:val="center"/>
            <w:shd w:fill="F7FAFC"/>
          </w:tcPr>
          <w:p>
            <w:r/>
            <w:r>
              <w:rPr>
                <w:rFonts w:ascii="Aptos" w:hAnsi="Aptos"/>
                <w:b w:val="0"/>
                <w:sz w:val="16"/>
              </w:rPr>
              <w:t>GET</w:t>
            </w:r>
          </w:p>
        </w:tc>
        <w:tc>
          <w:tcPr>
            <w:tcW w:type="dxa" w:w="2304"/>
            <w:vAlign w:val="center"/>
            <w:shd w:fill="F7FAFC"/>
          </w:tcPr>
          <w:p>
            <w:r/>
            <w:r>
              <w:rPr>
                <w:rFonts w:ascii="Aptos" w:hAnsi="Aptos"/>
                <w:b w:val="0"/>
                <w:sz w:val="16"/>
              </w:rPr>
              <w:t>/health</w:t>
            </w:r>
          </w:p>
        </w:tc>
        <w:tc>
          <w:tcPr>
            <w:tcW w:type="dxa" w:w="6192"/>
            <w:vAlign w:val="center"/>
            <w:shd w:fill="F7FAFC"/>
          </w:tcPr>
          <w:p>
            <w:r/>
            <w:r>
              <w:rPr>
                <w:rFonts w:ascii="Aptos" w:hAnsi="Aptos"/>
                <w:b w:val="0"/>
                <w:sz w:val="16"/>
              </w:rPr>
              <w:t>Returns status, calculator name and version 1.3.1.</w:t>
            </w:r>
          </w:p>
        </w:tc>
      </w:tr>
      <w:tr>
        <w:trPr>
          <w:cantSplit/>
        </w:trPr>
        <w:tc>
          <w:tcPr>
            <w:tcW w:type="dxa" w:w="1152"/>
            <w:vAlign w:val="center"/>
          </w:tcPr>
          <w:p>
            <w:r/>
            <w:r>
              <w:rPr>
                <w:rFonts w:ascii="Aptos" w:hAnsi="Aptos"/>
                <w:b w:val="0"/>
                <w:sz w:val="16"/>
              </w:rPr>
              <w:t>POST</w:t>
            </w:r>
          </w:p>
        </w:tc>
        <w:tc>
          <w:tcPr>
            <w:tcW w:type="dxa" w:w="2304"/>
            <w:vAlign w:val="center"/>
          </w:tcPr>
          <w:p>
            <w:r/>
            <w:r>
              <w:rPr>
                <w:rFonts w:ascii="Aptos" w:hAnsi="Aptos"/>
                <w:b w:val="0"/>
                <w:sz w:val="16"/>
              </w:rPr>
              <w:t>/api/calculate</w:t>
            </w:r>
          </w:p>
        </w:tc>
        <w:tc>
          <w:tcPr>
            <w:tcW w:type="dxa" w:w="6192"/>
            <w:vAlign w:val="center"/>
          </w:tcPr>
          <w:p>
            <w:r/>
            <w:r>
              <w:rPr>
                <w:rFonts w:ascii="Aptos" w:hAnsi="Aptos"/>
                <w:b w:val="0"/>
                <w:sz w:val="16"/>
              </w:rPr>
              <w:t>Accepts multipart/form-data, runs the calculator and returns JSON.</w:t>
            </w:r>
          </w:p>
        </w:tc>
      </w:tr>
    </w:tbl>
    <w:p>
      <w:pPr>
        <w:spacing w:after="20"/>
      </w:pPr>
    </w:p>
    <w:p>
      <w:pPr>
        <w:pStyle w:val="Heading2"/>
        <w:keepNext/>
      </w:pPr>
      <w:r>
        <w:t>12.2 Request flow in app.py</w:t>
      </w:r>
    </w:p>
    <w:p>
      <w:pPr>
        <w:pStyle w:val="ListNumber"/>
      </w:pPr>
      <w:r>
        <w:t>Validate target INR; reject unsupported target ranges.</w:t>
      </w:r>
    </w:p>
    <w:p>
      <w:pPr>
        <w:pStyle w:val="ListNumber"/>
      </w:pPr>
      <w:r>
        <w:t>Parse age, height, weight, IWPC population category and African-context value.</w:t>
      </w:r>
    </w:p>
    <w:p>
      <w:pPr>
        <w:pStyle w:val="ListNumber"/>
      </w:pPr>
      <w:r>
        <w:t>Convert amiodarone and enzyme-inducer form values to booleans.</w:t>
      </w:r>
    </w:p>
    <w:p>
      <w:pPr>
        <w:pStyle w:val="ListNumber"/>
      </w:pPr>
      <w:r>
        <w:t>Require upload mode or manual PGx mode, not both.</w:t>
      </w:r>
    </w:p>
    <w:p>
      <w:pPr>
        <w:pStyle w:val="ListNumber"/>
      </w:pPr>
      <w:r>
        <w:t>Parse genetic input if supplied.</w:t>
      </w:r>
    </w:p>
    <w:p>
      <w:pPr>
        <w:pStyle w:val="ListNumber"/>
      </w:pPr>
      <w:r>
        <w:t>Call warfarin_logic.calculate().</w:t>
      </w:r>
    </w:p>
    <w:p>
      <w:pPr>
        <w:pStyle w:val="ListNumber"/>
      </w:pPr>
      <w:r>
        <w:t>Return JSON result; user errors return HTTP 400; unexpected errors return HTTP 500.</w:t>
      </w:r>
    </w:p>
    <w:p>
      <w:pPr>
        <w:pStyle w:val="Heading2"/>
        <w:keepNext/>
      </w:pPr>
      <w:r>
        <w:t>12.3 Main response fields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023D79"/>
          </w:tcPr>
          <w:p>
            <w:r/>
            <w:r>
              <w:rPr>
                <w:rFonts w:ascii="Aptos" w:hAnsi="Aptos"/>
                <w:b/>
                <w:color w:val="FFFFFF"/>
                <w:sz w:val="16"/>
              </w:rPr>
              <w:t>Field</w:t>
            </w:r>
          </w:p>
        </w:tc>
        <w:tc>
          <w:tcPr>
            <w:tcW w:type="dxa" w:w="7200"/>
            <w:vAlign w:val="center"/>
            <w:shd w:fill="023D79"/>
          </w:tcPr>
          <w:p>
            <w:r/>
            <w:r>
              <w:rPr>
                <w:rFonts w:ascii="Aptos" w:hAnsi="Aptos"/>
                <w:b/>
                <w:color w:val="FFFFFF"/>
                <w:sz w:val="16"/>
              </w:rPr>
              <w:t>Meaning</w:t>
            </w:r>
          </w:p>
        </w:tc>
      </w:tr>
      <w:tr>
        <w:trPr>
          <w:cantSplit/>
        </w:trPr>
        <w:tc>
          <w:tcPr>
            <w:tcW w:type="dxa" w:w="2592"/>
            <w:vAlign w:val="center"/>
          </w:tcPr>
          <w:p>
            <w:r/>
            <w:r>
              <w:rPr>
                <w:rFonts w:ascii="Aptos" w:hAnsi="Aptos"/>
                <w:b w:val="0"/>
                <w:sz w:val="16"/>
              </w:rPr>
              <w:t>method / method_label</w:t>
            </w:r>
          </w:p>
        </w:tc>
        <w:tc>
          <w:tcPr>
            <w:tcW w:type="dxa" w:w="7200"/>
            <w:vAlign w:val="center"/>
          </w:tcPr>
          <w:p>
            <w:r/>
            <w:r>
              <w:rPr>
                <w:rFonts w:ascii="Aptos" w:hAnsi="Aptos"/>
                <w:b w:val="0"/>
                <w:sz w:val="16"/>
              </w:rPr>
              <w:t>clinical_iwpc or pharmacogenetic_iwpc plus human-readable label.</w:t>
            </w:r>
          </w:p>
        </w:tc>
      </w:tr>
      <w:tr>
        <w:trPr>
          <w:cantSplit/>
        </w:trPr>
        <w:tc>
          <w:tcPr>
            <w:tcW w:type="dxa" w:w="2592"/>
            <w:vAlign w:val="center"/>
            <w:shd w:fill="F7FAFC"/>
          </w:tcPr>
          <w:p>
            <w:r/>
            <w:r>
              <w:rPr>
                <w:rFonts w:ascii="Aptos" w:hAnsi="Aptos"/>
                <w:b w:val="0"/>
                <w:sz w:val="16"/>
              </w:rPr>
              <w:t>pathway_reason</w:t>
            </w:r>
          </w:p>
        </w:tc>
        <w:tc>
          <w:tcPr>
            <w:tcW w:type="dxa" w:w="7200"/>
            <w:vAlign w:val="center"/>
            <w:shd w:fill="F7FAFC"/>
          </w:tcPr>
          <w:p>
            <w:r/>
            <w:r>
              <w:rPr>
                <w:rFonts w:ascii="Aptos" w:hAnsi="Aptos"/>
                <w:b w:val="0"/>
                <w:sz w:val="16"/>
              </w:rPr>
              <w:t>Why the selected calculation pathway was used.</w:t>
            </w:r>
          </w:p>
        </w:tc>
      </w:tr>
      <w:tr>
        <w:trPr>
          <w:cantSplit/>
        </w:trPr>
        <w:tc>
          <w:tcPr>
            <w:tcW w:type="dxa" w:w="2592"/>
            <w:vAlign w:val="center"/>
          </w:tcPr>
          <w:p>
            <w:r/>
            <w:r>
              <w:rPr>
                <w:rFonts w:ascii="Aptos" w:hAnsi="Aptos"/>
                <w:b w:val="0"/>
                <w:sz w:val="16"/>
              </w:rPr>
              <w:t>weekly_mg</w:t>
            </w:r>
          </w:p>
        </w:tc>
        <w:tc>
          <w:tcPr>
            <w:tcW w:type="dxa" w:w="7200"/>
            <w:vAlign w:val="center"/>
          </w:tcPr>
          <w:p>
            <w:r/>
            <w:r>
              <w:rPr>
                <w:rFonts w:ascii="Aptos" w:hAnsi="Aptos"/>
                <w:b w:val="0"/>
                <w:sz w:val="16"/>
              </w:rPr>
              <w:t>Estimated stable maintenance dose in mg/week.</w:t>
            </w:r>
          </w:p>
        </w:tc>
      </w:tr>
      <w:tr>
        <w:trPr>
          <w:cantSplit/>
        </w:trPr>
        <w:tc>
          <w:tcPr>
            <w:tcW w:type="dxa" w:w="2592"/>
            <w:vAlign w:val="center"/>
            <w:shd w:fill="F7FAFC"/>
          </w:tcPr>
          <w:p>
            <w:r/>
            <w:r>
              <w:rPr>
                <w:rFonts w:ascii="Aptos" w:hAnsi="Aptos"/>
                <w:b w:val="0"/>
                <w:sz w:val="16"/>
              </w:rPr>
              <w:t>daily_average_mg</w:t>
            </w:r>
          </w:p>
        </w:tc>
        <w:tc>
          <w:tcPr>
            <w:tcW w:type="dxa" w:w="7200"/>
            <w:vAlign w:val="center"/>
            <w:shd w:fill="F7FAFC"/>
          </w:tcPr>
          <w:p>
            <w:r/>
            <w:r>
              <w:rPr>
                <w:rFonts w:ascii="Aptos" w:hAnsi="Aptos"/>
                <w:b w:val="0"/>
                <w:sz w:val="16"/>
              </w:rPr>
              <w:t>Average daily equivalent in mg/day.</w:t>
            </w:r>
          </w:p>
        </w:tc>
      </w:tr>
      <w:tr>
        <w:trPr>
          <w:cantSplit/>
        </w:trPr>
        <w:tc>
          <w:tcPr>
            <w:tcW w:type="dxa" w:w="2592"/>
            <w:vAlign w:val="center"/>
          </w:tcPr>
          <w:p>
            <w:r/>
            <w:r>
              <w:rPr>
                <w:rFonts w:ascii="Aptos" w:hAnsi="Aptos"/>
                <w:b w:val="0"/>
                <w:sz w:val="16"/>
              </w:rPr>
              <w:t>genetic_summary</w:t>
            </w:r>
          </w:p>
        </w:tc>
        <w:tc>
          <w:tcPr>
            <w:tcW w:type="dxa" w:w="7200"/>
            <w:vAlign w:val="center"/>
          </w:tcPr>
          <w:p>
            <w:r/>
            <w:r>
              <w:rPr>
                <w:rFonts w:ascii="Aptos" w:hAnsi="Aptos"/>
                <w:b w:val="0"/>
                <w:sz w:val="16"/>
              </w:rPr>
              <w:t>Displayed PGx summary and coverage metadata.</w:t>
            </w:r>
          </w:p>
        </w:tc>
      </w:tr>
      <w:tr>
        <w:trPr>
          <w:cantSplit/>
        </w:trPr>
        <w:tc>
          <w:tcPr>
            <w:tcW w:type="dxa" w:w="2592"/>
            <w:vAlign w:val="center"/>
            <w:shd w:fill="F7FAFC"/>
          </w:tcPr>
          <w:p>
            <w:r/>
            <w:r>
              <w:rPr>
                <w:rFonts w:ascii="Aptos" w:hAnsi="Aptos"/>
                <w:b w:val="0"/>
                <w:sz w:val="16"/>
              </w:rPr>
              <w:t>pgx_notes</w:t>
            </w:r>
          </w:p>
        </w:tc>
        <w:tc>
          <w:tcPr>
            <w:tcW w:type="dxa" w:w="7200"/>
            <w:vAlign w:val="center"/>
            <w:shd w:fill="F7FAFC"/>
          </w:tcPr>
          <w:p>
            <w:r/>
            <w:r>
              <w:rPr>
                <w:rFonts w:ascii="Aptos" w:hAnsi="Aptos"/>
                <w:b w:val="0"/>
                <w:sz w:val="16"/>
              </w:rPr>
              <w:t>Separate CPIC considerations.</w:t>
            </w:r>
          </w:p>
        </w:tc>
      </w:tr>
      <w:tr>
        <w:trPr>
          <w:cantSplit/>
        </w:trPr>
        <w:tc>
          <w:tcPr>
            <w:tcW w:type="dxa" w:w="2592"/>
            <w:vAlign w:val="center"/>
          </w:tcPr>
          <w:p>
            <w:r/>
            <w:r>
              <w:rPr>
                <w:rFonts w:ascii="Aptos" w:hAnsi="Aptos"/>
                <w:b w:val="0"/>
                <w:sz w:val="16"/>
              </w:rPr>
              <w:t>warnings</w:t>
            </w:r>
          </w:p>
        </w:tc>
        <w:tc>
          <w:tcPr>
            <w:tcW w:type="dxa" w:w="7200"/>
            <w:vAlign w:val="center"/>
          </w:tcPr>
          <w:p>
            <w:r/>
            <w:r>
              <w:rPr>
                <w:rFonts w:ascii="Aptos" w:hAnsi="Aptos"/>
                <w:b w:val="0"/>
                <w:sz w:val="16"/>
              </w:rPr>
              <w:t>Age/PGx/poor-metabolizer safety notices generated by the backend.</w:t>
            </w:r>
          </w:p>
        </w:tc>
      </w:tr>
      <w:tr>
        <w:trPr>
          <w:cantSplit/>
        </w:trPr>
        <w:tc>
          <w:tcPr>
            <w:tcW w:type="dxa" w:w="2592"/>
            <w:vAlign w:val="center"/>
            <w:shd w:fill="F7FAFC"/>
          </w:tcPr>
          <w:p>
            <w:r/>
            <w:r>
              <w:rPr>
                <w:rFonts w:ascii="Aptos" w:hAnsi="Aptos"/>
                <w:b w:val="0"/>
                <w:sz w:val="16"/>
              </w:rPr>
              <w:t>fda_label_reference</w:t>
            </w:r>
          </w:p>
        </w:tc>
        <w:tc>
          <w:tcPr>
            <w:tcW w:type="dxa" w:w="7200"/>
            <w:vAlign w:val="center"/>
            <w:shd w:fill="F7FAFC"/>
          </w:tcPr>
          <w:p>
            <w:r/>
            <w:r>
              <w:rPr>
                <w:rFonts w:ascii="Aptos" w:hAnsi="Aptos"/>
                <w:b w:val="0"/>
                <w:sz w:val="16"/>
              </w:rPr>
              <w:t>Optional label-reference sentence when strict genotype lookup succeeds.</w:t>
            </w:r>
          </w:p>
        </w:tc>
      </w:tr>
      <w:tr>
        <w:trPr>
          <w:cantSplit/>
        </w:trPr>
        <w:tc>
          <w:tcPr>
            <w:tcW w:type="dxa" w:w="2592"/>
            <w:vAlign w:val="center"/>
          </w:tcPr>
          <w:p>
            <w:r/>
            <w:r>
              <w:rPr>
                <w:rFonts w:ascii="Aptos" w:hAnsi="Aptos"/>
                <w:b w:val="0"/>
                <w:sz w:val="16"/>
              </w:rPr>
              <w:t>calculator_version</w:t>
            </w:r>
          </w:p>
        </w:tc>
        <w:tc>
          <w:tcPr>
            <w:tcW w:type="dxa" w:w="7200"/>
            <w:vAlign w:val="center"/>
          </w:tcPr>
          <w:p>
            <w:r/>
            <w:r>
              <w:rPr>
                <w:rFonts w:ascii="Aptos" w:hAnsi="Aptos"/>
                <w:b w:val="0"/>
                <w:sz w:val="16"/>
              </w:rPr>
              <w:t>1.3.1.</w:t>
            </w:r>
          </w:p>
        </w:tc>
      </w:tr>
    </w:tbl>
    <w:p>
      <w:pPr>
        <w:spacing w:after="20"/>
      </w:pPr>
    </w:p>
    <w:p>
      <w:pPr>
        <w:pStyle w:val="Heading1"/>
        <w:keepNext/>
      </w:pPr>
      <w:r>
        <w:t>13. Frontend Workflow</w:t>
      </w:r>
    </w:p>
    <w:p>
      <w:r>
        <w:t>frontend/app.js posts directly to /api/calculate using FormData. It supports two mutually exclusive PGx modes: “Upload Xcode file” and “Enter manually”.</w:t>
      </w:r>
    </w:p>
    <w:p>
      <w:pPr>
        <w:pStyle w:val="ListNumber"/>
      </w:pPr>
      <w:r>
        <w:t>Browser native validation checks required clinical inputs.</w:t>
      </w:r>
    </w:p>
    <w:p>
      <w:pPr>
        <w:pStyle w:val="ListNumber"/>
      </w:pPr>
      <w:r>
        <w:t>The UI blocks target INR = “other” before making the API request.</w:t>
      </w:r>
    </w:p>
    <w:p>
      <w:pPr>
        <w:pStyle w:val="ListNumber"/>
      </w:pPr>
      <w:r>
        <w:t>Clinical values and medication flags are added to FormData.</w:t>
      </w:r>
    </w:p>
    <w:p>
      <w:pPr>
        <w:pStyle w:val="ListNumber"/>
      </w:pPr>
      <w:r>
        <w:t>Upload mode attaches genetic_file; manual mode sends allele/genotype fields and expanded_tested.</w:t>
      </w:r>
    </w:p>
    <w:p>
      <w:pPr>
        <w:pStyle w:val="ListNumber"/>
      </w:pPr>
      <w:r>
        <w:t>The browser posts to /api/calculate and parses JSON.</w:t>
      </w:r>
    </w:p>
    <w:p>
      <w:pPr>
        <w:pStyle w:val="ListNumber"/>
      </w:pPr>
      <w:r>
        <w:t>renderResult() displays weekly dose, daily equivalent, method, pathway reason, genetic information, CPIC considerations, FDA reference and warnings.</w:t>
      </w:r>
    </w:p>
    <w:tbl>
      <w:tblPr>
        <w:tblW w:type="auto" w:w="0"/>
        <w:jc w:val="center"/>
        <w:tblLook w:firstColumn="1" w:firstRow="1" w:lastColumn="0" w:lastRow="0" w:noHBand="0" w:noVBand="1" w:val="04A0"/>
      </w:tblPr>
      <w:tblGrid>
        <w:gridCol w:w="10080"/>
      </w:tblGrid>
      <w:tr>
        <w:trPr>
          <w:cantSplit/>
        </w:trPr>
        <w:tc>
          <w:tcPr>
            <w:tcW w:type="dxa" w:w="10080"/>
            <w:shd w:fill="EAF7FA"/>
          </w:tcPr>
          <w:p>
            <w:r>
              <w:rPr>
                <w:b/>
                <w:color w:val="18A6B8"/>
                <w:sz w:val="19"/>
              </w:rPr>
              <w:t>Frontend is presentation, backend is authority</w:t>
              <w:br/>
            </w:r>
            <w:r>
              <w:rPr>
                <w:color w:val="1F2937"/>
                <w:sz w:val="17"/>
              </w:rPr>
              <w:t>Do not rely on JavaScript-only validation for scientific or security rules. The Flask backend repeats key validation and should remain the authoritative calculation boundary.</w:t>
            </w:r>
          </w:p>
        </w:tc>
      </w:tr>
    </w:tbl>
    <w:p>
      <w:pPr>
        <w:spacing w:after="20"/>
      </w:pPr>
    </w:p>
    <w:p>
      <w:pPr>
        <w:pStyle w:val="Heading1"/>
        <w:keepNext/>
      </w:pPr>
      <w:r>
        <w:t>14. Local Installation and First Run</w:t>
      </w:r>
    </w:p>
    <w:tbl>
      <w:tblPr>
        <w:tblW w:type="auto" w:w="0"/>
        <w:jc w:val="center"/>
        <w:tblLook w:firstColumn="1" w:firstRow="1" w:lastColumn="0" w:lastRow="0" w:noHBand="0" w:noVBand="1" w:val="04A0"/>
      </w:tblPr>
      <w:tblGrid>
        <w:gridCol w:w="10080"/>
      </w:tblGrid>
      <w:tr>
        <w:trPr>
          <w:cantSplit/>
        </w:trPr>
        <w:tc>
          <w:tcPr>
            <w:tcW w:type="dxa" w:w="10080"/>
            <w:shd w:fill="FFF7E6"/>
          </w:tcPr>
          <w:p>
            <w:r>
              <w:rPr>
                <w:b/>
                <w:color w:val="9A6700"/>
                <w:sz w:val="19"/>
              </w:rPr>
              <w:t>Do not reuse the zipped .venv</w:t>
              <w:br/>
            </w:r>
            <w:r>
              <w:rPr>
                <w:color w:val="1F2937"/>
                <w:sz w:val="17"/>
              </w:rPr>
              <w:t>The uploaded ZIP contains a local virtual environment. Do not treat that environment as portable. Create a fresh .venv on each machine and install dependencies from backend/requirements.txt.</w:t>
            </w:r>
          </w:p>
        </w:tc>
      </w:tr>
    </w:tbl>
    <w:p>
      <w:pPr>
        <w:spacing w:after="20"/>
      </w:pPr>
    </w:p>
    <w:p>
      <w:pPr>
        <w:pStyle w:val="Heading2"/>
        <w:keepNext/>
      </w:pPr>
      <w:r>
        <w:t>14.1 Prerequisites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736"/>
            <w:vAlign w:val="center"/>
            <w:shd w:fill="023D79"/>
          </w:tcPr>
          <w:p>
            <w:r/>
            <w:r>
              <w:rPr>
                <w:rFonts w:ascii="Aptos" w:hAnsi="Aptos"/>
                <w:b/>
                <w:color w:val="FFFFFF"/>
                <w:sz w:val="16"/>
              </w:rPr>
              <w:t>Requirement</w:t>
            </w:r>
          </w:p>
        </w:tc>
        <w:tc>
          <w:tcPr>
            <w:tcW w:type="dxa" w:w="7056"/>
            <w:vAlign w:val="center"/>
            <w:shd w:fill="023D79"/>
          </w:tcPr>
          <w:p>
            <w:r/>
            <w:r>
              <w:rPr>
                <w:rFonts w:ascii="Aptos" w:hAnsi="Aptos"/>
                <w:b/>
                <w:color w:val="FFFFFF"/>
                <w:sz w:val="16"/>
              </w:rPr>
              <w:t>Notes</w:t>
            </w:r>
          </w:p>
        </w:tc>
      </w:tr>
      <w:tr>
        <w:trPr>
          <w:cantSplit/>
        </w:trPr>
        <w:tc>
          <w:tcPr>
            <w:tcW w:type="dxa" w:w="2736"/>
            <w:vAlign w:val="center"/>
          </w:tcPr>
          <w:p>
            <w:r/>
            <w:r>
              <w:rPr>
                <w:rFonts w:ascii="Aptos" w:hAnsi="Aptos"/>
                <w:b w:val="0"/>
                <w:sz w:val="16"/>
              </w:rPr>
              <w:t>Python</w:t>
            </w:r>
          </w:p>
        </w:tc>
        <w:tc>
          <w:tcPr>
            <w:tcW w:type="dxa" w:w="7056"/>
            <w:vAlign w:val="center"/>
          </w:tcPr>
          <w:p>
            <w:r/>
            <w:r>
              <w:rPr>
                <w:rFonts w:ascii="Aptos" w:hAnsi="Aptos"/>
                <w:b w:val="0"/>
                <w:sz w:val="16"/>
              </w:rPr>
              <w:t>The project does not pin a Python version in requirements. Use the company-supported Python version and validate it with the self-test.</w:t>
            </w:r>
          </w:p>
        </w:tc>
      </w:tr>
      <w:tr>
        <w:trPr>
          <w:cantSplit/>
        </w:trPr>
        <w:tc>
          <w:tcPr>
            <w:tcW w:type="dxa" w:w="2736"/>
            <w:vAlign w:val="center"/>
            <w:shd w:fill="F7FAFC"/>
          </w:tcPr>
          <w:p>
            <w:r/>
            <w:r>
              <w:rPr>
                <w:rFonts w:ascii="Aptos" w:hAnsi="Aptos"/>
                <w:b w:val="0"/>
                <w:sz w:val="16"/>
              </w:rPr>
              <w:t>pip / venv</w:t>
            </w:r>
          </w:p>
        </w:tc>
        <w:tc>
          <w:tcPr>
            <w:tcW w:type="dxa" w:w="7056"/>
            <w:vAlign w:val="center"/>
            <w:shd w:fill="F7FAFC"/>
          </w:tcPr>
          <w:p>
            <w:r/>
            <w:r>
              <w:rPr>
                <w:rFonts w:ascii="Aptos" w:hAnsi="Aptos"/>
                <w:b w:val="0"/>
                <w:sz w:val="16"/>
              </w:rPr>
              <w:t>Needed to create an isolated environment.</w:t>
            </w:r>
          </w:p>
        </w:tc>
      </w:tr>
      <w:tr>
        <w:trPr>
          <w:cantSplit/>
        </w:trPr>
        <w:tc>
          <w:tcPr>
            <w:tcW w:type="dxa" w:w="2736"/>
            <w:vAlign w:val="center"/>
          </w:tcPr>
          <w:p>
            <w:r/>
            <w:r>
              <w:rPr>
                <w:rFonts w:ascii="Aptos" w:hAnsi="Aptos"/>
                <w:b w:val="0"/>
                <w:sz w:val="16"/>
              </w:rPr>
              <w:t>Browser</w:t>
            </w:r>
          </w:p>
        </w:tc>
        <w:tc>
          <w:tcPr>
            <w:tcW w:type="dxa" w:w="7056"/>
            <w:vAlign w:val="center"/>
          </w:tcPr>
          <w:p>
            <w:r/>
            <w:r>
              <w:rPr>
                <w:rFonts w:ascii="Aptos" w:hAnsi="Aptos"/>
                <w:b w:val="0"/>
                <w:sz w:val="16"/>
              </w:rPr>
              <w:t>Any modern browser for the local frontend.</w:t>
            </w:r>
          </w:p>
        </w:tc>
      </w:tr>
      <w:tr>
        <w:trPr>
          <w:cantSplit/>
        </w:trPr>
        <w:tc>
          <w:tcPr>
            <w:tcW w:type="dxa" w:w="2736"/>
            <w:vAlign w:val="center"/>
            <w:shd w:fill="F7FAFC"/>
          </w:tcPr>
          <w:p>
            <w:r/>
            <w:r>
              <w:rPr>
                <w:rFonts w:ascii="Aptos" w:hAnsi="Aptos"/>
                <w:b w:val="0"/>
                <w:sz w:val="16"/>
              </w:rPr>
              <w:t>No Java/PharmCAT required for calculator-only use</w:t>
            </w:r>
          </w:p>
        </w:tc>
        <w:tc>
          <w:tcPr>
            <w:tcW w:type="dxa" w:w="7056"/>
            <w:vAlign w:val="center"/>
            <w:shd w:fill="F7FAFC"/>
          </w:tcPr>
          <w:p>
            <w:r/>
            <w:r>
              <w:rPr>
                <w:rFonts w:ascii="Aptos" w:hAnsi="Aptos"/>
                <w:b w:val="0"/>
                <w:sz w:val="16"/>
              </w:rPr>
              <w:t>Java/PharmCAT are required upstream by the main PGx pipeline, not by this Flask calculator itself.</w:t>
            </w:r>
          </w:p>
        </w:tc>
      </w:tr>
    </w:tbl>
    <w:p>
      <w:pPr>
        <w:spacing w:after="20"/>
      </w:pPr>
    </w:p>
    <w:p>
      <w:pPr>
        <w:pStyle w:val="Heading2"/>
        <w:keepNext/>
      </w:pPr>
      <w:r>
        <w:t>14.2 Windows PowerShell</w:t>
      </w:r>
    </w:p>
    <w:p>
      <w:pPr>
        <w:pStyle w:val="CodeBlock"/>
        <w:keepLines/>
        <w:shd w:fill="F1F5F8"/>
      </w:pPr>
      <w:r>
        <w:rPr>
          <w:rFonts w:ascii="Consolas" w:hAnsi="Consolas"/>
          <w:sz w:val="16"/>
        </w:rPr>
        <w:t>cd "C:\path\to\Xcode_Warfarin_Calculator"</w:t>
        <w:br/>
        <w:t>python -m venv .venv</w:t>
        <w:br/>
        <w:t>.\.venv\Scripts\Activate.ps1</w:t>
        <w:br/>
        <w:t>python -m pip install --upgrade pip</w:t>
        <w:br/>
        <w:t>pip install -r backend\requirements.txt</w:t>
        <w:br/>
        <w:t>python backend\app.py</w:t>
      </w:r>
    </w:p>
    <w:p>
      <w:r>
        <w:t>Open http://127.0.0.1:5000 in the browser. The direct-run path executes warfarin_logic.self_test() before starting Flask.</w:t>
      </w:r>
    </w:p>
    <w:p>
      <w:pPr>
        <w:pStyle w:val="Heading2"/>
        <w:keepNext/>
      </w:pPr>
      <w:r>
        <w:t>14.3 WSL / Linux / macOS-style shell</w:t>
      </w:r>
    </w:p>
    <w:p>
      <w:pPr>
        <w:pStyle w:val="CodeBlock"/>
        <w:keepLines/>
        <w:shd w:fill="F1F5F8"/>
      </w:pPr>
      <w:r>
        <w:rPr>
          <w:rFonts w:ascii="Consolas" w:hAnsi="Consolas"/>
          <w:sz w:val="16"/>
        </w:rPr>
        <w:t>cd /path/to/Xcode_Warfarin_Calculator</w:t>
        <w:br/>
        <w:t>python3 -m venv .venv</w:t>
        <w:br/>
        <w:t>source .venv/bin/activate</w:t>
        <w:br/>
        <w:t>python -m pip install --upgrade pip</w:t>
        <w:br/>
        <w:t>pip install -r backend/requirements.txt</w:t>
        <w:br/>
        <w:t>python backend/app.py</w:t>
      </w:r>
    </w:p>
    <w:p>
      <w:pPr>
        <w:pStyle w:val="Heading2"/>
        <w:keepNext/>
      </w:pPr>
      <w:r>
        <w:t>14.4 Verify the server</w:t>
      </w:r>
    </w:p>
    <w:p>
      <w:pPr>
        <w:pStyle w:val="CodeBlock"/>
        <w:keepLines/>
        <w:shd w:fill="F1F5F8"/>
      </w:pPr>
      <w:r>
        <w:rPr>
          <w:rFonts w:ascii="Consolas" w:hAnsi="Consolas"/>
          <w:sz w:val="16"/>
        </w:rPr>
        <w:t># Browser</w:t>
        <w:br/>
        <w:t>http://127.0.0.1:5000</w:t>
        <w:br/>
        <w:br/>
        <w:t># Health endpoint</w:t>
        <w:br/>
        <w:t>http://127.0.0.1:5000/health</w:t>
        <w:br/>
        <w:br/>
        <w:t>Expected health JSON:</w:t>
        <w:br/>
        <w:t>{"status":"ok","calculator":"warfarin","version":"1.3.1"}</w:t>
      </w:r>
    </w:p>
    <w:p>
      <w:pPr>
        <w:pStyle w:val="Heading1"/>
        <w:keepNext/>
      </w:pPr>
      <w:r>
        <w:t>15. Running from the PGx Pipeline</w:t>
      </w:r>
    </w:p>
    <w:p>
      <w:pPr>
        <w:pStyle w:val="Heading2"/>
        <w:keepNext/>
      </w:pPr>
      <w:r>
        <w:t>15.1 Generate the Step 2b file as part of the normal PGx run</w:t>
      </w:r>
    </w:p>
    <w:p>
      <w:pPr>
        <w:pStyle w:val="CodeBlock"/>
        <w:keepLines/>
        <w:shd w:fill="F1F5F8"/>
      </w:pPr>
      <w:r>
        <w:rPr>
          <w:rFonts w:ascii="Consolas" w:hAnsi="Consolas"/>
          <w:sz w:val="16"/>
        </w:rPr>
        <w:t>python main.py 01_inputs/sample_AncestryDNA.txt --name "Patient Name"</w:t>
      </w:r>
    </w:p>
    <w:p>
      <w:r>
        <w:t>When Step 1 and PharmCAT succeed, the main PGx pipeline calls Step 2b and creates:</w:t>
      </w:r>
    </w:p>
    <w:p>
      <w:pPr>
        <w:pStyle w:val="CodeBlock"/>
        <w:keepLines/>
        <w:shd w:fill="F1F5F8"/>
      </w:pPr>
      <w:r>
        <w:rPr>
          <w:rFonts w:ascii="Consolas" w:hAnsi="Consolas"/>
          <w:sz w:val="16"/>
        </w:rPr>
        <w:t>results/warfarin_inputs/Warfarin_Input_sample_AncestryDNA.csv</w:t>
      </w:r>
    </w:p>
    <w:p>
      <w:pPr>
        <w:pStyle w:val="Heading2"/>
        <w:keepNext/>
      </w:pPr>
      <w:r>
        <w:t>15.2 Generate only the Step 2b file manually</w:t>
      </w:r>
    </w:p>
    <w:p>
      <w:pPr>
        <w:pStyle w:val="CodeBlock"/>
        <w:keepLines/>
        <w:shd w:fill="F1F5F8"/>
      </w:pPr>
      <w:r>
        <w:rPr>
          <w:rFonts w:ascii="Consolas" w:hAnsi="Consolas"/>
          <w:sz w:val="16"/>
        </w:rPr>
        <w:t>python step2b_warfarin_input.py \</w:t>
        <w:br/>
        <w:t xml:space="preserve">  results/step1_sample_AncestryDNA.vcf \</w:t>
        <w:br/>
        <w:t xml:space="preserve">  results/reports/step1_sample_AncestryDNA.report.json \</w:t>
        <w:br/>
        <w:t xml:space="preserve">  step1_sample_AncestryDNA</w:t>
      </w:r>
    </w:p>
    <w:p>
      <w:pPr>
        <w:pStyle w:val="Heading2"/>
        <w:keepNext/>
      </w:pPr>
      <w:r>
        <w:t>15.3 Use the generated file</w:t>
      </w:r>
    </w:p>
    <w:p>
      <w:pPr>
        <w:pStyle w:val="ListNumber"/>
      </w:pPr>
      <w:r>
        <w:t>Start the Warfarin calculator web app.</w:t>
      </w:r>
    </w:p>
    <w:p>
      <w:pPr>
        <w:pStyle w:val="ListNumber"/>
      </w:pPr>
      <w:r>
        <w:t>Open the calculator in the browser.</w:t>
      </w:r>
    </w:p>
    <w:p>
      <w:pPr>
        <w:pStyle w:val="ListNumber"/>
      </w:pPr>
      <w:r>
        <w:t>Enter age, height, weight, IWPC population category, target INR and medication variables.</w:t>
      </w:r>
    </w:p>
    <w:p>
      <w:pPr>
        <w:pStyle w:val="ListNumber"/>
      </w:pPr>
      <w:r>
        <w:t>Under Pharmacogenetic results, choose “Upload Xcode file”.</w:t>
      </w:r>
    </w:p>
    <w:p>
      <w:pPr>
        <w:pStyle w:val="ListNumber"/>
      </w:pPr>
      <w:r>
        <w:t>Select the Warfarin_Input_&lt;sample&gt;.csv generated by Step 2b.</w:t>
      </w:r>
    </w:p>
    <w:p>
      <w:pPr>
        <w:pStyle w:val="ListNumber"/>
      </w:pPr>
      <w:r>
        <w:t>Click Calculate maintenance dose.</w:t>
      </w:r>
    </w:p>
    <w:p>
      <w:pPr>
        <w:pStyle w:val="ListNumber"/>
      </w:pPr>
      <w:r>
        <w:t>Review the selected pathway and reason before interpreting the point estimate.</w:t>
      </w:r>
    </w:p>
    <w:p>
      <w:pPr>
        <w:pStyle w:val="Heading1"/>
        <w:keepNext/>
      </w:pPr>
      <w:r>
        <w:t>16. Deployment Options</w:t>
      </w:r>
    </w:p>
    <w:p>
      <w:pPr>
        <w:pStyle w:val="Heading2"/>
        <w:keepNext/>
      </w:pPr>
      <w:r>
        <w:t>16.1 Gunicorn / Procfile</w:t>
      </w:r>
    </w:p>
    <w:p>
      <w:r>
        <w:t>backend/requirements.txt includes gunicorn. The Procfile contains:</w:t>
      </w:r>
    </w:p>
    <w:p>
      <w:pPr>
        <w:pStyle w:val="CodeBlock"/>
        <w:keepLines/>
        <w:shd w:fill="F1F5F8"/>
      </w:pPr>
      <w:r>
        <w:rPr>
          <w:rFonts w:ascii="Consolas" w:hAnsi="Consolas"/>
          <w:sz w:val="16"/>
        </w:rPr>
        <w:t>web: gunicorn app:app --chdir backend</w:t>
      </w:r>
    </w:p>
    <w:p>
      <w:r>
        <w:t>This starts the same Flask app without running the __main__ block, so warfarin_logic.self_test() is not automatically executed at process startup under gunicorn.</w:t>
      </w:r>
    </w:p>
    <w:p>
      <w:pPr>
        <w:pStyle w:val="Heading2"/>
        <w:keepNext/>
      </w:pPr>
      <w:r>
        <w:t>16.2 Vercel</w:t>
      </w:r>
    </w:p>
    <w:p>
      <w:r>
        <w:t>api/index.py adds the backend directory to sys.path and imports app. vercel.json routes all incoming paths to that Python entry point. The root requirements.txt currently contains Flask only.</w:t>
      </w:r>
    </w:p>
    <w:tbl>
      <w:tblPr>
        <w:tblW w:type="auto" w:w="0"/>
        <w:jc w:val="center"/>
        <w:tblLook w:firstColumn="1" w:firstRow="1" w:lastColumn="0" w:lastRow="0" w:noHBand="0" w:noVBand="1" w:val="04A0"/>
      </w:tblPr>
      <w:tblGrid>
        <w:gridCol w:w="10080"/>
      </w:tblGrid>
      <w:tr>
        <w:trPr>
          <w:cantSplit/>
        </w:trPr>
        <w:tc>
          <w:tcPr>
            <w:tcW w:type="dxa" w:w="10080"/>
            <w:shd w:fill="FFF7E6"/>
          </w:tcPr>
          <w:p>
            <w:r>
              <w:rPr>
                <w:b/>
                <w:color w:val="9A6700"/>
                <w:sz w:val="19"/>
              </w:rPr>
              <w:t>Deployment QA recommendation</w:t>
              <w:br/>
            </w:r>
            <w:r>
              <w:rPr>
                <w:color w:val="1F2937"/>
                <w:sz w:val="17"/>
              </w:rPr>
              <w:t>Because self_test() runs only when backend/app.py is executed directly, add an explicit CI/test step for deployments rather than relying on application startup to validate the algorithm.</w:t>
            </w:r>
          </w:p>
        </w:tc>
      </w:tr>
    </w:tbl>
    <w:p>
      <w:pPr>
        <w:spacing w:after="20"/>
      </w:pPr>
    </w:p>
    <w:p>
      <w:pPr>
        <w:pStyle w:val="Heading1"/>
        <w:keepNext/>
      </w:pPr>
      <w:r>
        <w:t>17. Testing and Verification</w:t>
      </w:r>
    </w:p>
    <w:p>
      <w:r>
        <w:t>The uploaded package contains an internal self_test() function in warfarin_logic.py. In this review, that self-test executed successfully.</w:t>
      </w:r>
    </w:p>
    <w:p>
      <w:pPr>
        <w:pStyle w:val="CodeBlock"/>
        <w:keepLines/>
        <w:shd w:fill="F1F5F8"/>
      </w:pPr>
      <w:r>
        <w:rPr>
          <w:rFonts w:ascii="Consolas" w:hAnsi="Consolas"/>
          <w:sz w:val="16"/>
        </w:rPr>
        <w:t>cd backend</w:t>
        <w:br/>
        <w:t>python -c "import warfarin_logic; warfarin_logic.self_test(); print('PASS')"</w:t>
      </w:r>
    </w:p>
    <w:p>
      <w:r>
        <w:t>The current self-test verifies at least one known pharmacogenetic calculation, checks that the clinical equation returns a positive value, and checks a manual *1/*11 scenario where the base IWPC category and separate expanded-allele handling are preserved.</w:t>
      </w:r>
    </w:p>
    <w:tbl>
      <w:tblPr>
        <w:tblW w:type="auto" w:w="0"/>
        <w:jc w:val="center"/>
        <w:tblLook w:firstColumn="1" w:firstRow="1" w:lastColumn="0" w:lastRow="0" w:noHBand="0" w:noVBand="1" w:val="04A0"/>
      </w:tblPr>
      <w:tblGrid>
        <w:gridCol w:w="10080"/>
      </w:tblGrid>
      <w:tr>
        <w:trPr>
          <w:cantSplit/>
        </w:trPr>
        <w:tc>
          <w:tcPr>
            <w:tcW w:type="dxa" w:w="10080"/>
            <w:shd w:fill="FFF7E6"/>
          </w:tcPr>
          <w:p>
            <w:r>
              <w:rPr>
                <w:b/>
                <w:color w:val="9A6700"/>
                <w:sz w:val="19"/>
              </w:rPr>
              <w:t>README vs repository contents</w:t>
              <w:br/>
            </w:r>
            <w:r>
              <w:rPr>
                <w:color w:val="1F2937"/>
                <w:sz w:val="17"/>
              </w:rPr>
              <w:t>The README suggests `python -m unittest discover -s backend`, but the uploaded package does not contain a conventional test_*.py unittest suite. The implemented verification mechanism visible in the source is self_test(). A formal automated test suite should be added for production regression testing.</w:t>
            </w:r>
          </w:p>
        </w:tc>
      </w:tr>
    </w:tbl>
    <w:p>
      <w:pPr>
        <w:spacing w:after="20"/>
      </w:pPr>
    </w:p>
    <w:p>
      <w:pPr>
        <w:pStyle w:val="Heading2"/>
        <w:keepNext/>
      </w:pPr>
      <w:r>
        <w:t>17.1 Minimum regression cases to add</w:t>
      </w:r>
    </w:p>
    <w:p>
      <w:pPr>
        <w:pStyle w:val="ListBullet"/>
      </w:pPr>
      <w:r>
        <w:t>Clinical-only calculation with no PGx.</w:t>
      </w:r>
    </w:p>
    <w:p>
      <w:pPr>
        <w:pStyle w:val="ListBullet"/>
      </w:pPr>
      <w:r>
        <w:t>Canonical *1/*1 + VKORC1 G/G PGx case.</w:t>
      </w:r>
    </w:p>
    <w:p>
      <w:pPr>
        <w:pStyle w:val="ListBullet"/>
      </w:pPr>
      <w:r>
        <w:t>*1/*2 and *2/*3 cases.</w:t>
      </w:r>
    </w:p>
    <w:p>
      <w:pPr>
        <w:pStyle w:val="ListBullet"/>
      </w:pPr>
      <w:r>
        <w:t>Expanded allele cases (*5/*6/*8/*11) with and without complete expanded coverage.</w:t>
      </w:r>
    </w:p>
    <w:p>
      <w:pPr>
        <w:pStyle w:val="ListBullet"/>
      </w:pPr>
      <w:r>
        <w:t>Black/African American fallback when expanded CYP2C9 coverage is incomplete.</w:t>
      </w:r>
    </w:p>
    <w:p>
      <w:pPr>
        <w:pStyle w:val="ListBullet"/>
      </w:pPr>
      <w:r>
        <w:t>rs12777823 African-American context behavior.</w:t>
      </w:r>
    </w:p>
    <w:p>
      <w:pPr>
        <w:pStyle w:val="ListBullet"/>
      </w:pPr>
      <w:r>
        <w:t>CYP4F2 note behavior in non-African pathway.</w:t>
      </w:r>
    </w:p>
    <w:p>
      <w:pPr>
        <w:pStyle w:val="ListBullet"/>
      </w:pPr>
      <w:r>
        <w:t>Malformed/missing marker rows in uploaded CSV.</w:t>
      </w:r>
    </w:p>
    <w:p>
      <w:pPr>
        <w:pStyle w:val="ListBullet"/>
      </w:pPr>
      <w:r>
        <w:t>Unsupported target INR.</w:t>
      </w:r>
    </w:p>
    <w:p>
      <w:pPr>
        <w:pStyle w:val="ListBullet"/>
      </w:pPr>
      <w:r>
        <w:t>Boundary ages, heights and weights.</w:t>
      </w:r>
    </w:p>
    <w:p>
      <w:pPr>
        <w:pStyle w:val="ListBullet"/>
      </w:pPr>
      <w:r>
        <w:t>FDA lookup exclusion for expanded CYP2C9 diplotypes.</w:t>
      </w:r>
    </w:p>
    <w:p>
      <w:pPr>
        <w:pStyle w:val="Heading1"/>
        <w:keepNext/>
      </w:pPr>
      <w:r>
        <w:t>18. Current Integration Gaps and Hardening Recommendations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023D79"/>
          </w:tcPr>
          <w:p>
            <w:r/>
            <w:r>
              <w:rPr>
                <w:rFonts w:ascii="Aptos" w:hAnsi="Aptos"/>
                <w:b/>
                <w:color w:val="FFFFFF"/>
                <w:sz w:val="16"/>
              </w:rPr>
              <w:t>Area</w:t>
            </w:r>
          </w:p>
        </w:tc>
        <w:tc>
          <w:tcPr>
            <w:tcW w:type="dxa" w:w="4032"/>
            <w:vAlign w:val="center"/>
            <w:shd w:fill="023D79"/>
          </w:tcPr>
          <w:p>
            <w:r/>
            <w:r>
              <w:rPr>
                <w:rFonts w:ascii="Aptos" w:hAnsi="Aptos"/>
                <w:b/>
                <w:color w:val="FFFFFF"/>
                <w:sz w:val="16"/>
              </w:rPr>
              <w:t>Current implementation</w:t>
            </w:r>
          </w:p>
        </w:tc>
        <w:tc>
          <w:tcPr>
            <w:tcW w:type="dxa" w:w="4176"/>
            <w:vAlign w:val="center"/>
            <w:shd w:fill="023D79"/>
          </w:tcPr>
          <w:p>
            <w:r/>
            <w:r>
              <w:rPr>
                <w:rFonts w:ascii="Aptos" w:hAnsi="Aptos"/>
                <w:b/>
                <w:color w:val="FFFFFF"/>
                <w:sz w:val="16"/>
              </w:rPr>
              <w:t>Recommended hardening</w:t>
            </w:r>
          </w:p>
        </w:tc>
      </w:tr>
      <w:tr>
        <w:trPr>
          <w:cantSplit/>
        </w:trPr>
        <w:tc>
          <w:tcPr>
            <w:tcW w:type="dxa" w:w="2160"/>
            <w:vAlign w:val="center"/>
          </w:tcPr>
          <w:p>
            <w:r/>
            <w:r>
              <w:rPr>
                <w:rFonts w:ascii="Aptos" w:hAnsi="Aptos"/>
                <w:b w:val="0"/>
                <w:sz w:val="16"/>
              </w:rPr>
              <w:t>Schema version</w:t>
            </w:r>
          </w:p>
        </w:tc>
        <w:tc>
          <w:tcPr>
            <w:tcW w:type="dxa" w:w="4032"/>
            <w:vAlign w:val="center"/>
          </w:tcPr>
          <w:p>
            <w:r/>
            <w:r>
              <w:rPr>
                <w:rFonts w:ascii="Aptos" w:hAnsi="Aptos"/>
                <w:b w:val="0"/>
                <w:sz w:val="16"/>
              </w:rPr>
              <w:t>Step 2b writes 1.0; calculator declares 1.1; parser does not enforce schema_version.</w:t>
            </w:r>
          </w:p>
        </w:tc>
        <w:tc>
          <w:tcPr>
            <w:tcW w:type="dxa" w:w="4176"/>
            <w:vAlign w:val="center"/>
          </w:tcPr>
          <w:p>
            <w:r/>
            <w:r>
              <w:rPr>
                <w:rFonts w:ascii="Aptos" w:hAnsi="Aptos"/>
                <w:b w:val="0"/>
                <w:sz w:val="16"/>
              </w:rPr>
              <w:t>Define supported schema versions centrally; update generator/parser together; reject unknown incompatible versions.</w:t>
            </w:r>
          </w:p>
        </w:tc>
      </w:tr>
      <w:tr>
        <w:trPr>
          <w:cantSplit/>
        </w:trPr>
        <w:tc>
          <w:tcPr>
            <w:tcW w:type="dxa" w:w="2160"/>
            <w:vAlign w:val="center"/>
            <w:shd w:fill="F7FAFC"/>
          </w:tcPr>
          <w:p>
            <w:r/>
            <w:r>
              <w:rPr>
                <w:rFonts w:ascii="Aptos" w:hAnsi="Aptos"/>
                <w:b w:val="0"/>
                <w:sz w:val="16"/>
              </w:rPr>
              <w:t>source_type warning</w:t>
            </w:r>
          </w:p>
        </w:tc>
        <w:tc>
          <w:tcPr>
            <w:tcW w:type="dxa" w:w="4032"/>
            <w:vAlign w:val="center"/>
            <w:shd w:fill="F7FAFC"/>
          </w:tcPr>
          <w:p>
            <w:r/>
            <w:r>
              <w:rPr>
                <w:rFonts w:ascii="Aptos" w:hAnsi="Aptos"/>
                <w:b w:val="0"/>
                <w:sz w:val="16"/>
              </w:rPr>
              <w:t>Calculator can show a consumer-raw-DNA warning only when meta.source_type == consumer_raw_dna. Step 2b currently does not write source_type.</w:t>
            </w:r>
          </w:p>
        </w:tc>
        <w:tc>
          <w:tcPr>
            <w:tcW w:type="dxa" w:w="4176"/>
            <w:vAlign w:val="center"/>
            <w:shd w:fill="F7FAFC"/>
          </w:tcPr>
          <w:p>
            <w:r/>
            <w:r>
              <w:rPr>
                <w:rFonts w:ascii="Aptos" w:hAnsi="Aptos"/>
                <w:b w:val="0"/>
                <w:sz w:val="16"/>
              </w:rPr>
              <w:t>Add source_type to Step 2b CSV or make the upload path explicitly identify Xcode consumer-derived input.</w:t>
            </w:r>
          </w:p>
        </w:tc>
      </w:tr>
      <w:tr>
        <w:trPr>
          <w:cantSplit/>
        </w:trPr>
        <w:tc>
          <w:tcPr>
            <w:tcW w:type="dxa" w:w="2160"/>
            <w:vAlign w:val="center"/>
          </w:tcPr>
          <w:p>
            <w:r/>
            <w:r>
              <w:rPr>
                <w:rFonts w:ascii="Aptos" w:hAnsi="Aptos"/>
                <w:b w:val="0"/>
                <w:sz w:val="16"/>
              </w:rPr>
              <w:t>rs12777823 display</w:t>
            </w:r>
          </w:p>
        </w:tc>
        <w:tc>
          <w:tcPr>
            <w:tcW w:type="dxa" w:w="4032"/>
            <w:vAlign w:val="center"/>
          </w:tcPr>
          <w:p>
            <w:r/>
            <w:r>
              <w:rPr>
                <w:rFonts w:ascii="Aptos" w:hAnsi="Aptos"/>
                <w:b w:val="0"/>
                <w:sz w:val="16"/>
              </w:rPr>
              <w:t>Uploaded-file genetic summary reads rs12777823 from metadata, while Step 2b stores it as a marker row.</w:t>
            </w:r>
          </w:p>
        </w:tc>
        <w:tc>
          <w:tcPr>
            <w:tcW w:type="dxa" w:w="4176"/>
            <w:vAlign w:val="center"/>
          </w:tcPr>
          <w:p>
            <w:r/>
            <w:r>
              <w:rPr>
                <w:rFonts w:ascii="Aptos" w:hAnsi="Aptos"/>
                <w:b w:val="0"/>
                <w:sz w:val="16"/>
              </w:rPr>
              <w:t>Populate summary from the marker row or add a dedicated metadata value.</w:t>
            </w:r>
          </w:p>
        </w:tc>
      </w:tr>
      <w:tr>
        <w:trPr>
          <w:cantSplit/>
        </w:trPr>
        <w:tc>
          <w:tcPr>
            <w:tcW w:type="dxa" w:w="2160"/>
            <w:vAlign w:val="center"/>
            <w:shd w:fill="F7FAFC"/>
          </w:tcPr>
          <w:p>
            <w:r/>
            <w:r>
              <w:rPr>
                <w:rFonts w:ascii="Aptos" w:hAnsi="Aptos"/>
                <w:b w:val="0"/>
                <w:sz w:val="16"/>
              </w:rPr>
              <w:t>Automated tests</w:t>
            </w:r>
          </w:p>
        </w:tc>
        <w:tc>
          <w:tcPr>
            <w:tcW w:type="dxa" w:w="4032"/>
            <w:vAlign w:val="center"/>
            <w:shd w:fill="F7FAFC"/>
          </w:tcPr>
          <w:p>
            <w:r/>
            <w:r>
              <w:rPr>
                <w:rFonts w:ascii="Aptos" w:hAnsi="Aptos"/>
                <w:b w:val="0"/>
                <w:sz w:val="16"/>
              </w:rPr>
              <w:t>self_test() exists, but no full unit/integration test suite is present.</w:t>
            </w:r>
          </w:p>
        </w:tc>
        <w:tc>
          <w:tcPr>
            <w:tcW w:type="dxa" w:w="4176"/>
            <w:vAlign w:val="center"/>
            <w:shd w:fill="F7FAFC"/>
          </w:tcPr>
          <w:p>
            <w:r/>
            <w:r>
              <w:rPr>
                <w:rFonts w:ascii="Aptos" w:hAnsi="Aptos"/>
                <w:b w:val="0"/>
                <w:sz w:val="16"/>
              </w:rPr>
              <w:t>Add pytest/unittest coverage for equations, parser, pathway selection, API and frontend contract.</w:t>
            </w:r>
          </w:p>
        </w:tc>
      </w:tr>
      <w:tr>
        <w:trPr>
          <w:cantSplit/>
        </w:trPr>
        <w:tc>
          <w:tcPr>
            <w:tcW w:type="dxa" w:w="2160"/>
            <w:vAlign w:val="center"/>
          </w:tcPr>
          <w:p>
            <w:r/>
            <w:r>
              <w:rPr>
                <w:rFonts w:ascii="Aptos" w:hAnsi="Aptos"/>
                <w:b w:val="0"/>
                <w:sz w:val="16"/>
              </w:rPr>
              <w:t>Deployment self-test</w:t>
            </w:r>
          </w:p>
        </w:tc>
        <w:tc>
          <w:tcPr>
            <w:tcW w:type="dxa" w:w="4032"/>
            <w:vAlign w:val="center"/>
          </w:tcPr>
          <w:p>
            <w:r/>
            <w:r>
              <w:rPr>
                <w:rFonts w:ascii="Aptos" w:hAnsi="Aptos"/>
                <w:b w:val="0"/>
                <w:sz w:val="16"/>
              </w:rPr>
              <w:t>Direct `python backend/app.py` runs self_test; gunicorn/Vercel import paths do not.</w:t>
            </w:r>
          </w:p>
        </w:tc>
        <w:tc>
          <w:tcPr>
            <w:tcW w:type="dxa" w:w="4176"/>
            <w:vAlign w:val="center"/>
          </w:tcPr>
          <w:p>
            <w:r/>
            <w:r>
              <w:rPr>
                <w:rFonts w:ascii="Aptos" w:hAnsi="Aptos"/>
                <w:b w:val="0"/>
                <w:sz w:val="16"/>
              </w:rPr>
              <w:t>Run tests in CI/CD before deployment.</w:t>
            </w:r>
          </w:p>
        </w:tc>
      </w:tr>
      <w:tr>
        <w:trPr>
          <w:cantSplit/>
        </w:trPr>
        <w:tc>
          <w:tcPr>
            <w:tcW w:type="dxa" w:w="2160"/>
            <w:vAlign w:val="center"/>
            <w:shd w:fill="F7FAFC"/>
          </w:tcPr>
          <w:p>
            <w:r/>
            <w:r>
              <w:rPr>
                <w:rFonts w:ascii="Aptos" w:hAnsi="Aptos"/>
                <w:b w:val="0"/>
                <w:sz w:val="16"/>
              </w:rPr>
              <w:t>Versioning</w:t>
            </w:r>
          </w:p>
        </w:tc>
        <w:tc>
          <w:tcPr>
            <w:tcW w:type="dxa" w:w="4032"/>
            <w:vAlign w:val="center"/>
            <w:shd w:fill="F7FAFC"/>
          </w:tcPr>
          <w:p>
            <w:r/>
            <w:r>
              <w:rPr>
                <w:rFonts w:ascii="Aptos" w:hAnsi="Aptos"/>
                <w:b w:val="0"/>
                <w:sz w:val="16"/>
              </w:rPr>
              <w:t>Calculator version is hard-coded as 1.3.1 in backend responses/health.</w:t>
            </w:r>
          </w:p>
        </w:tc>
        <w:tc>
          <w:tcPr>
            <w:tcW w:type="dxa" w:w="4176"/>
            <w:vAlign w:val="center"/>
            <w:shd w:fill="F7FAFC"/>
          </w:tcPr>
          <w:p>
            <w:r/>
            <w:r>
              <w:rPr>
                <w:rFonts w:ascii="Aptos" w:hAnsi="Aptos"/>
                <w:b w:val="0"/>
                <w:sz w:val="16"/>
              </w:rPr>
              <w:t>Centralize version metadata and record it in release artifacts.</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7FA"/>
          </w:tcPr>
          <w:p>
            <w:r>
              <w:rPr>
                <w:b/>
                <w:color w:val="18A6B8"/>
                <w:sz w:val="19"/>
              </w:rPr>
              <w:t>These are engineering findings</w:t>
              <w:br/>
            </w:r>
            <w:r>
              <w:rPr>
                <w:color w:val="1F2937"/>
                <w:sz w:val="17"/>
              </w:rPr>
              <w:t>The items above are observations from the uploaded source code. They are not evidence that the calculator’s scientific equations are invalid; they are integration, traceability, display, and regression-testing issues that should be resolved before treating the system as a production-controlled workflow.</w:t>
            </w:r>
          </w:p>
        </w:tc>
      </w:tr>
    </w:tbl>
    <w:p>
      <w:pPr>
        <w:spacing w:after="20"/>
      </w:pPr>
    </w:p>
    <w:p>
      <w:pPr>
        <w:pStyle w:val="Heading1"/>
        <w:keepNext/>
      </w:pPr>
      <w:r>
        <w:t>19. Troubleshooting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023D79"/>
          </w:tcPr>
          <w:p>
            <w:r/>
            <w:r>
              <w:rPr>
                <w:rFonts w:ascii="Aptos" w:hAnsi="Aptos"/>
                <w:b/>
                <w:color w:val="FFFFFF"/>
                <w:sz w:val="16"/>
              </w:rPr>
              <w:t>Symptom</w:t>
            </w:r>
          </w:p>
        </w:tc>
        <w:tc>
          <w:tcPr>
            <w:tcW w:type="dxa" w:w="3744"/>
            <w:vAlign w:val="center"/>
            <w:shd w:fill="023D79"/>
          </w:tcPr>
          <w:p>
            <w:r/>
            <w:r>
              <w:rPr>
                <w:rFonts w:ascii="Aptos" w:hAnsi="Aptos"/>
                <w:b/>
                <w:color w:val="FFFFFF"/>
                <w:sz w:val="16"/>
              </w:rPr>
              <w:t>Likely cause</w:t>
            </w:r>
          </w:p>
        </w:tc>
        <w:tc>
          <w:tcPr>
            <w:tcW w:type="dxa" w:w="3744"/>
            <w:vAlign w:val="center"/>
            <w:shd w:fill="023D79"/>
          </w:tcPr>
          <w:p>
            <w:r/>
            <w:r>
              <w:rPr>
                <w:rFonts w:ascii="Aptos" w:hAnsi="Aptos"/>
                <w:b/>
                <w:color w:val="FFFFFF"/>
                <w:sz w:val="16"/>
              </w:rPr>
              <w:t>What to check</w:t>
            </w:r>
          </w:p>
        </w:tc>
      </w:tr>
      <w:tr>
        <w:trPr>
          <w:cantSplit/>
        </w:trPr>
        <w:tc>
          <w:tcPr>
            <w:tcW w:type="dxa" w:w="2880"/>
            <w:vAlign w:val="center"/>
          </w:tcPr>
          <w:p>
            <w:r/>
            <w:r>
              <w:rPr>
                <w:rFonts w:ascii="Aptos" w:hAnsi="Aptos"/>
                <w:b w:val="0"/>
                <w:sz w:val="16"/>
              </w:rPr>
              <w:t>“This is not a recognized Xcode Life Warfarin input file.”</w:t>
            </w:r>
          </w:p>
        </w:tc>
        <w:tc>
          <w:tcPr>
            <w:tcW w:type="dxa" w:w="3744"/>
            <w:vAlign w:val="center"/>
          </w:tcPr>
          <w:p>
            <w:r/>
            <w:r>
              <w:rPr>
                <w:rFonts w:ascii="Aptos" w:hAnsi="Aptos"/>
                <w:b w:val="0"/>
                <w:sz w:val="16"/>
              </w:rPr>
              <w:t>Wrong CSV or file_type changed.</w:t>
            </w:r>
          </w:p>
        </w:tc>
        <w:tc>
          <w:tcPr>
            <w:tcW w:type="dxa" w:w="3744"/>
            <w:vAlign w:val="center"/>
          </w:tcPr>
          <w:p>
            <w:r/>
            <w:r>
              <w:rPr>
                <w:rFonts w:ascii="Aptos" w:hAnsi="Aptos"/>
                <w:b w:val="0"/>
                <w:sz w:val="16"/>
              </w:rPr>
              <w:t>Open CSV header/first row; confirm file_type = XCODE_WARFARIN_PGX_INPUT.</w:t>
            </w:r>
          </w:p>
        </w:tc>
      </w:tr>
      <w:tr>
        <w:trPr>
          <w:cantSplit/>
        </w:trPr>
        <w:tc>
          <w:tcPr>
            <w:tcW w:type="dxa" w:w="2880"/>
            <w:vAlign w:val="center"/>
            <w:shd w:fill="F7FAFC"/>
          </w:tcPr>
          <w:p>
            <w:r/>
            <w:r>
              <w:rPr>
                <w:rFonts w:ascii="Aptos" w:hAnsi="Aptos"/>
                <w:b w:val="0"/>
                <w:sz w:val="16"/>
              </w:rPr>
              <w:t>“expected marker rows are missing”</w:t>
            </w:r>
          </w:p>
        </w:tc>
        <w:tc>
          <w:tcPr>
            <w:tcW w:type="dxa" w:w="3744"/>
            <w:vAlign w:val="center"/>
            <w:shd w:fill="F7FAFC"/>
          </w:tcPr>
          <w:p>
            <w:r/>
            <w:r>
              <w:rPr>
                <w:rFonts w:ascii="Aptos" w:hAnsi="Aptos"/>
                <w:b w:val="0"/>
                <w:sz w:val="16"/>
              </w:rPr>
              <w:t>CSV was edited/truncated or generated by incompatible code.</w:t>
            </w:r>
          </w:p>
        </w:tc>
        <w:tc>
          <w:tcPr>
            <w:tcW w:type="dxa" w:w="3744"/>
            <w:vAlign w:val="center"/>
            <w:shd w:fill="F7FAFC"/>
          </w:tcPr>
          <w:p>
            <w:r/>
            <w:r>
              <w:rPr>
                <w:rFonts w:ascii="Aptos" w:hAnsi="Aptos"/>
                <w:b w:val="0"/>
                <w:sz w:val="16"/>
              </w:rPr>
              <w:t>Confirm all nine marker rsIDs are present as rows.</w:t>
            </w:r>
          </w:p>
        </w:tc>
      </w:tr>
      <w:tr>
        <w:trPr>
          <w:cantSplit/>
        </w:trPr>
        <w:tc>
          <w:tcPr>
            <w:tcW w:type="dxa" w:w="2880"/>
            <w:vAlign w:val="center"/>
          </w:tcPr>
          <w:p>
            <w:r/>
            <w:r>
              <w:rPr>
                <w:rFonts w:ascii="Aptos" w:hAnsi="Aptos"/>
                <w:b w:val="0"/>
                <w:sz w:val="16"/>
              </w:rPr>
              <w:t>Calculator uses clinical algorithm despite uploaded PGx</w:t>
            </w:r>
          </w:p>
        </w:tc>
        <w:tc>
          <w:tcPr>
            <w:tcW w:type="dxa" w:w="3744"/>
            <w:vAlign w:val="center"/>
          </w:tcPr>
          <w:p>
            <w:r/>
            <w:r>
              <w:rPr>
                <w:rFonts w:ascii="Aptos" w:hAnsi="Aptos"/>
                <w:b w:val="0"/>
                <w:sz w:val="16"/>
              </w:rPr>
              <w:t>Core data missing; or Black/African pathway lacks complete *5/*6/*8/*11 coverage.</w:t>
            </w:r>
          </w:p>
        </w:tc>
        <w:tc>
          <w:tcPr>
            <w:tcW w:type="dxa" w:w="3744"/>
            <w:vAlign w:val="center"/>
          </w:tcPr>
          <w:p>
            <w:r/>
            <w:r>
              <w:rPr>
                <w:rFonts w:ascii="Aptos" w:hAnsi="Aptos"/>
                <w:b w:val="0"/>
                <w:sz w:val="16"/>
              </w:rPr>
              <w:t>Read pathway_reason and inspect marker statuses in Step 2b CSV.</w:t>
            </w:r>
          </w:p>
        </w:tc>
      </w:tr>
      <w:tr>
        <w:trPr>
          <w:cantSplit/>
        </w:trPr>
        <w:tc>
          <w:tcPr>
            <w:tcW w:type="dxa" w:w="2880"/>
            <w:vAlign w:val="center"/>
            <w:shd w:fill="F7FAFC"/>
          </w:tcPr>
          <w:p>
            <w:r/>
            <w:r>
              <w:rPr>
                <w:rFonts w:ascii="Aptos" w:hAnsi="Aptos"/>
                <w:b w:val="0"/>
                <w:sz w:val="16"/>
              </w:rPr>
              <w:t>Manual CYP2C9 rejected</w:t>
            </w:r>
          </w:p>
        </w:tc>
        <w:tc>
          <w:tcPr>
            <w:tcW w:type="dxa" w:w="3744"/>
            <w:vAlign w:val="center"/>
            <w:shd w:fill="F7FAFC"/>
          </w:tcPr>
          <w:p>
            <w:r/>
            <w:r>
              <w:rPr>
                <w:rFonts w:ascii="Aptos" w:hAnsi="Aptos"/>
                <w:b w:val="0"/>
                <w:sz w:val="16"/>
              </w:rPr>
              <w:t>Only one allele entered or unsupported allele value.</w:t>
            </w:r>
          </w:p>
        </w:tc>
        <w:tc>
          <w:tcPr>
            <w:tcW w:type="dxa" w:w="3744"/>
            <w:vAlign w:val="center"/>
            <w:shd w:fill="F7FAFC"/>
          </w:tcPr>
          <w:p>
            <w:r/>
            <w:r>
              <w:rPr>
                <w:rFonts w:ascii="Aptos" w:hAnsi="Aptos"/>
                <w:b w:val="0"/>
                <w:sz w:val="16"/>
              </w:rPr>
              <w:t>Enter both alleles and use supported values.</w:t>
            </w:r>
          </w:p>
        </w:tc>
      </w:tr>
      <w:tr>
        <w:trPr>
          <w:cantSplit/>
        </w:trPr>
        <w:tc>
          <w:tcPr>
            <w:tcW w:type="dxa" w:w="2880"/>
            <w:vAlign w:val="center"/>
          </w:tcPr>
          <w:p>
            <w:r/>
            <w:r>
              <w:rPr>
                <w:rFonts w:ascii="Aptos" w:hAnsi="Aptos"/>
                <w:b w:val="0"/>
                <w:sz w:val="16"/>
              </w:rPr>
              <w:t>Unsupported INR error</w:t>
            </w:r>
          </w:p>
        </w:tc>
        <w:tc>
          <w:tcPr>
            <w:tcW w:type="dxa" w:w="3744"/>
            <w:vAlign w:val="center"/>
          </w:tcPr>
          <w:p>
            <w:r/>
            <w:r>
              <w:rPr>
                <w:rFonts w:ascii="Aptos" w:hAnsi="Aptos"/>
                <w:b w:val="0"/>
                <w:sz w:val="16"/>
              </w:rPr>
              <w:t>Target INR is not 2.0–3.0.</w:t>
            </w:r>
          </w:p>
        </w:tc>
        <w:tc>
          <w:tcPr>
            <w:tcW w:type="dxa" w:w="3744"/>
            <w:vAlign w:val="center"/>
          </w:tcPr>
          <w:p>
            <w:r/>
            <w:r>
              <w:rPr>
                <w:rFonts w:ascii="Aptos" w:hAnsi="Aptos"/>
                <w:b w:val="0"/>
                <w:sz w:val="16"/>
              </w:rPr>
              <w:t>This calculator intentionally rejects other target INR scopes.</w:t>
            </w:r>
          </w:p>
        </w:tc>
      </w:tr>
      <w:tr>
        <w:trPr>
          <w:cantSplit/>
        </w:trPr>
        <w:tc>
          <w:tcPr>
            <w:tcW w:type="dxa" w:w="2880"/>
            <w:vAlign w:val="center"/>
            <w:shd w:fill="F7FAFC"/>
          </w:tcPr>
          <w:p>
            <w:r/>
            <w:r>
              <w:rPr>
                <w:rFonts w:ascii="Aptos" w:hAnsi="Aptos"/>
                <w:b w:val="0"/>
                <w:sz w:val="16"/>
              </w:rPr>
              <w:t>Flask app does not start</w:t>
            </w:r>
          </w:p>
        </w:tc>
        <w:tc>
          <w:tcPr>
            <w:tcW w:type="dxa" w:w="3744"/>
            <w:vAlign w:val="center"/>
            <w:shd w:fill="F7FAFC"/>
          </w:tcPr>
          <w:p>
            <w:r/>
            <w:r>
              <w:rPr>
                <w:rFonts w:ascii="Aptos" w:hAnsi="Aptos"/>
                <w:b w:val="0"/>
                <w:sz w:val="16"/>
              </w:rPr>
              <w:t>Environment/dependency/path issue.</w:t>
            </w:r>
          </w:p>
        </w:tc>
        <w:tc>
          <w:tcPr>
            <w:tcW w:type="dxa" w:w="3744"/>
            <w:vAlign w:val="center"/>
            <w:shd w:fill="F7FAFC"/>
          </w:tcPr>
          <w:p>
            <w:r/>
            <w:r>
              <w:rPr>
                <w:rFonts w:ascii="Aptos" w:hAnsi="Aptos"/>
                <w:b w:val="0"/>
                <w:sz w:val="16"/>
              </w:rPr>
              <w:t>Activate fresh .venv; install backend/requirements.txt; run from repository root.</w:t>
            </w:r>
          </w:p>
        </w:tc>
      </w:tr>
      <w:tr>
        <w:trPr>
          <w:cantSplit/>
        </w:trPr>
        <w:tc>
          <w:tcPr>
            <w:tcW w:type="dxa" w:w="2880"/>
            <w:vAlign w:val="center"/>
          </w:tcPr>
          <w:p>
            <w:r/>
            <w:r>
              <w:rPr>
                <w:rFonts w:ascii="Aptos" w:hAnsi="Aptos"/>
                <w:b w:val="0"/>
                <w:sz w:val="16"/>
              </w:rPr>
              <w:t>Port already in use</w:t>
            </w:r>
          </w:p>
        </w:tc>
        <w:tc>
          <w:tcPr>
            <w:tcW w:type="dxa" w:w="3744"/>
            <w:vAlign w:val="center"/>
          </w:tcPr>
          <w:p>
            <w:r/>
            <w:r>
              <w:rPr>
                <w:rFonts w:ascii="Aptos" w:hAnsi="Aptos"/>
                <w:b w:val="0"/>
                <w:sz w:val="16"/>
              </w:rPr>
              <w:t>Another service is on port 5000.</w:t>
            </w:r>
          </w:p>
        </w:tc>
        <w:tc>
          <w:tcPr>
            <w:tcW w:type="dxa" w:w="3744"/>
            <w:vAlign w:val="center"/>
          </w:tcPr>
          <w:p>
            <w:r/>
            <w:r>
              <w:rPr>
                <w:rFonts w:ascii="Aptos" w:hAnsi="Aptos"/>
                <w:b w:val="0"/>
                <w:sz w:val="16"/>
              </w:rPr>
              <w:t>Set PORT environment variable or stop the conflicting process.</w:t>
            </w:r>
          </w:p>
        </w:tc>
      </w:tr>
      <w:tr>
        <w:trPr>
          <w:cantSplit/>
        </w:trPr>
        <w:tc>
          <w:tcPr>
            <w:tcW w:type="dxa" w:w="2880"/>
            <w:vAlign w:val="center"/>
            <w:shd w:fill="F7FAFC"/>
          </w:tcPr>
          <w:p>
            <w:r/>
            <w:r>
              <w:rPr>
                <w:rFonts w:ascii="Aptos" w:hAnsi="Aptos"/>
                <w:b w:val="0"/>
                <w:sz w:val="16"/>
              </w:rPr>
              <w:t>PGx upload too large</w:t>
            </w:r>
          </w:p>
        </w:tc>
        <w:tc>
          <w:tcPr>
            <w:tcW w:type="dxa" w:w="3744"/>
            <w:vAlign w:val="center"/>
            <w:shd w:fill="F7FAFC"/>
          </w:tcPr>
          <w:p>
            <w:r/>
            <w:r>
              <w:rPr>
                <w:rFonts w:ascii="Aptos" w:hAnsi="Aptos"/>
                <w:b w:val="0"/>
                <w:sz w:val="16"/>
              </w:rPr>
              <w:t>Flask upload limit is 2 MB.</w:t>
            </w:r>
          </w:p>
        </w:tc>
        <w:tc>
          <w:tcPr>
            <w:tcW w:type="dxa" w:w="3744"/>
            <w:vAlign w:val="center"/>
            <w:shd w:fill="F7FAFC"/>
          </w:tcPr>
          <w:p>
            <w:r/>
            <w:r>
              <w:rPr>
                <w:rFonts w:ascii="Aptos" w:hAnsi="Aptos"/>
                <w:b w:val="0"/>
                <w:sz w:val="16"/>
              </w:rPr>
              <w:t>Use the small Step 2b CSV, not raw DNA/VCF/PharmCAT files.</w:t>
            </w:r>
          </w:p>
        </w:tc>
      </w:tr>
    </w:tbl>
    <w:p>
      <w:pPr>
        <w:spacing w:after="20"/>
      </w:pPr>
    </w:p>
    <w:p>
      <w:pPr>
        <w:pStyle w:val="Heading1"/>
        <w:keepNext/>
      </w:pPr>
      <w:r>
        <w:t>20. Maintenance Guide: Where to Change What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464"/>
            <w:vAlign w:val="center"/>
            <w:shd w:fill="023D79"/>
          </w:tcPr>
          <w:p>
            <w:r/>
            <w:r>
              <w:rPr>
                <w:rFonts w:ascii="Aptos" w:hAnsi="Aptos"/>
                <w:b/>
                <w:color w:val="FFFFFF"/>
                <w:sz w:val="16"/>
              </w:rPr>
              <w:t>Change request</w:t>
            </w:r>
          </w:p>
        </w:tc>
        <w:tc>
          <w:tcPr>
            <w:tcW w:type="dxa" w:w="5904"/>
            <w:vAlign w:val="center"/>
            <w:shd w:fill="023D79"/>
          </w:tcPr>
          <w:p>
            <w:r/>
            <w:r>
              <w:rPr>
                <w:rFonts w:ascii="Aptos" w:hAnsi="Aptos"/>
                <w:b/>
                <w:color w:val="FFFFFF"/>
                <w:sz w:val="16"/>
              </w:rPr>
              <w:t>Primary file(s)</w:t>
            </w:r>
          </w:p>
        </w:tc>
      </w:tr>
      <w:tr>
        <w:trPr>
          <w:cantSplit/>
        </w:trPr>
        <w:tc>
          <w:tcPr>
            <w:tcW w:type="dxa" w:w="4464"/>
            <w:vAlign w:val="center"/>
          </w:tcPr>
          <w:p>
            <w:r/>
            <w:r>
              <w:rPr>
                <w:rFonts w:ascii="Aptos" w:hAnsi="Aptos"/>
                <w:b w:val="0"/>
                <w:sz w:val="16"/>
              </w:rPr>
              <w:t>Change IWPC coefficients/equation implementation</w:t>
            </w:r>
          </w:p>
        </w:tc>
        <w:tc>
          <w:tcPr>
            <w:tcW w:type="dxa" w:w="5904"/>
            <w:vAlign w:val="center"/>
          </w:tcPr>
          <w:p>
            <w:r/>
            <w:r>
              <w:rPr>
                <w:rFonts w:ascii="Aptos" w:hAnsi="Aptos"/>
                <w:b w:val="0"/>
                <w:sz w:val="16"/>
              </w:rPr>
              <w:t>backend/warfarin_logic.py — clinical_iwpc_weekly_dose(), pgx_iwpc_weekly_dose(), coefficient dictionaries.</w:t>
            </w:r>
          </w:p>
        </w:tc>
      </w:tr>
      <w:tr>
        <w:trPr>
          <w:cantSplit/>
        </w:trPr>
        <w:tc>
          <w:tcPr>
            <w:tcW w:type="dxa" w:w="4464"/>
            <w:vAlign w:val="center"/>
            <w:shd w:fill="F7FAFC"/>
          </w:tcPr>
          <w:p>
            <w:r/>
            <w:r>
              <w:rPr>
                <w:rFonts w:ascii="Aptos" w:hAnsi="Aptos"/>
                <w:b w:val="0"/>
                <w:sz w:val="16"/>
              </w:rPr>
              <w:t>Change pathway eligibility rules</w:t>
            </w:r>
          </w:p>
        </w:tc>
        <w:tc>
          <w:tcPr>
            <w:tcW w:type="dxa" w:w="5904"/>
            <w:vAlign w:val="center"/>
            <w:shd w:fill="F7FAFC"/>
          </w:tcPr>
          <w:p>
            <w:r/>
            <w:r>
              <w:rPr>
                <w:rFonts w:ascii="Aptos" w:hAnsi="Aptos"/>
                <w:b w:val="0"/>
                <w:sz w:val="16"/>
              </w:rPr>
              <w:t>backend/warfarin_logic.py — calculate(), _expanded_complete(), genotype-category helpers.</w:t>
            </w:r>
          </w:p>
        </w:tc>
      </w:tr>
      <w:tr>
        <w:trPr>
          <w:cantSplit/>
        </w:trPr>
        <w:tc>
          <w:tcPr>
            <w:tcW w:type="dxa" w:w="4464"/>
            <w:vAlign w:val="center"/>
          </w:tcPr>
          <w:p>
            <w:r/>
            <w:r>
              <w:rPr>
                <w:rFonts w:ascii="Aptos" w:hAnsi="Aptos"/>
                <w:b w:val="0"/>
                <w:sz w:val="16"/>
              </w:rPr>
              <w:t>Change CPIC presentation logic</w:t>
            </w:r>
          </w:p>
        </w:tc>
        <w:tc>
          <w:tcPr>
            <w:tcW w:type="dxa" w:w="5904"/>
            <w:vAlign w:val="center"/>
          </w:tcPr>
          <w:p>
            <w:r/>
            <w:r>
              <w:rPr>
                <w:rFonts w:ascii="Aptos" w:hAnsi="Aptos"/>
                <w:b w:val="0"/>
                <w:sz w:val="16"/>
              </w:rPr>
              <w:t>backend/warfarin_logic.py — _pgx_notes().</w:t>
            </w:r>
          </w:p>
        </w:tc>
      </w:tr>
      <w:tr>
        <w:trPr>
          <w:cantSplit/>
        </w:trPr>
        <w:tc>
          <w:tcPr>
            <w:tcW w:type="dxa" w:w="4464"/>
            <w:vAlign w:val="center"/>
            <w:shd w:fill="F7FAFC"/>
          </w:tcPr>
          <w:p>
            <w:r/>
            <w:r>
              <w:rPr>
                <w:rFonts w:ascii="Aptos" w:hAnsi="Aptos"/>
                <w:b w:val="0"/>
                <w:sz w:val="16"/>
              </w:rPr>
              <w:t>Change FDA genotype table</w:t>
            </w:r>
          </w:p>
        </w:tc>
        <w:tc>
          <w:tcPr>
            <w:tcW w:type="dxa" w:w="5904"/>
            <w:vAlign w:val="center"/>
            <w:shd w:fill="F7FAFC"/>
          </w:tcPr>
          <w:p>
            <w:r/>
            <w:r>
              <w:rPr>
                <w:rFonts w:ascii="Aptos" w:hAnsi="Aptos"/>
                <w:b w:val="0"/>
                <w:sz w:val="16"/>
              </w:rPr>
              <w:t>backend/warfarin_logic.py — FDA_LABEL_RANGES and get_fda_label_range().</w:t>
            </w:r>
          </w:p>
        </w:tc>
      </w:tr>
      <w:tr>
        <w:trPr>
          <w:cantSplit/>
        </w:trPr>
        <w:tc>
          <w:tcPr>
            <w:tcW w:type="dxa" w:w="4464"/>
            <w:vAlign w:val="center"/>
          </w:tcPr>
          <w:p>
            <w:r/>
            <w:r>
              <w:rPr>
                <w:rFonts w:ascii="Aptos" w:hAnsi="Aptos"/>
                <w:b w:val="0"/>
                <w:sz w:val="16"/>
              </w:rPr>
              <w:t>Add/remove Warfarin markers from PGx handoff</w:t>
            </w:r>
          </w:p>
        </w:tc>
        <w:tc>
          <w:tcPr>
            <w:tcW w:type="dxa" w:w="5904"/>
            <w:vAlign w:val="center"/>
          </w:tcPr>
          <w:p>
            <w:r/>
            <w:r>
              <w:rPr>
                <w:rFonts w:ascii="Aptos" w:hAnsi="Aptos"/>
                <w:b w:val="0"/>
                <w:sz w:val="16"/>
              </w:rPr>
              <w:t>Both step2b_warfarin_input.py in the PGx project and MARKERS/parser logic in backend/warfarin_logic.py.</w:t>
            </w:r>
          </w:p>
        </w:tc>
      </w:tr>
      <w:tr>
        <w:trPr>
          <w:cantSplit/>
        </w:trPr>
        <w:tc>
          <w:tcPr>
            <w:tcW w:type="dxa" w:w="4464"/>
            <w:vAlign w:val="center"/>
            <w:shd w:fill="F7FAFC"/>
          </w:tcPr>
          <w:p>
            <w:r/>
            <w:r>
              <w:rPr>
                <w:rFonts w:ascii="Aptos" w:hAnsi="Aptos"/>
                <w:b w:val="0"/>
                <w:sz w:val="16"/>
              </w:rPr>
              <w:t>Change input validation/API</w:t>
            </w:r>
          </w:p>
        </w:tc>
        <w:tc>
          <w:tcPr>
            <w:tcW w:type="dxa" w:w="5904"/>
            <w:vAlign w:val="center"/>
            <w:shd w:fill="F7FAFC"/>
          </w:tcPr>
          <w:p>
            <w:r/>
            <w:r>
              <w:rPr>
                <w:rFonts w:ascii="Aptos" w:hAnsi="Aptos"/>
                <w:b w:val="0"/>
                <w:sz w:val="16"/>
              </w:rPr>
              <w:t>backend/app.py and backend/warfarin_logic.py.</w:t>
            </w:r>
          </w:p>
        </w:tc>
      </w:tr>
      <w:tr>
        <w:trPr>
          <w:cantSplit/>
        </w:trPr>
        <w:tc>
          <w:tcPr>
            <w:tcW w:type="dxa" w:w="4464"/>
            <w:vAlign w:val="center"/>
          </w:tcPr>
          <w:p>
            <w:r/>
            <w:r>
              <w:rPr>
                <w:rFonts w:ascii="Aptos" w:hAnsi="Aptos"/>
                <w:b w:val="0"/>
                <w:sz w:val="16"/>
              </w:rPr>
              <w:t>Change UI labels/FAQ/equations/references</w:t>
            </w:r>
          </w:p>
        </w:tc>
        <w:tc>
          <w:tcPr>
            <w:tcW w:type="dxa" w:w="5904"/>
            <w:vAlign w:val="center"/>
          </w:tcPr>
          <w:p>
            <w:r/>
            <w:r>
              <w:rPr>
                <w:rFonts w:ascii="Aptos" w:hAnsi="Aptos"/>
                <w:b w:val="0"/>
                <w:sz w:val="16"/>
              </w:rPr>
              <w:t>frontend/index.html.</w:t>
            </w:r>
          </w:p>
        </w:tc>
      </w:tr>
      <w:tr>
        <w:trPr>
          <w:cantSplit/>
        </w:trPr>
        <w:tc>
          <w:tcPr>
            <w:tcW w:type="dxa" w:w="4464"/>
            <w:vAlign w:val="center"/>
            <w:shd w:fill="F7FAFC"/>
          </w:tcPr>
          <w:p>
            <w:r/>
            <w:r>
              <w:rPr>
                <w:rFonts w:ascii="Aptos" w:hAnsi="Aptos"/>
                <w:b w:val="0"/>
                <w:sz w:val="16"/>
              </w:rPr>
              <w:t>Change browser behavior/result rendering</w:t>
            </w:r>
          </w:p>
        </w:tc>
        <w:tc>
          <w:tcPr>
            <w:tcW w:type="dxa" w:w="5904"/>
            <w:vAlign w:val="center"/>
            <w:shd w:fill="F7FAFC"/>
          </w:tcPr>
          <w:p>
            <w:r/>
            <w:r>
              <w:rPr>
                <w:rFonts w:ascii="Aptos" w:hAnsi="Aptos"/>
                <w:b w:val="0"/>
                <w:sz w:val="16"/>
              </w:rPr>
              <w:t>frontend/app.js.</w:t>
            </w:r>
          </w:p>
        </w:tc>
      </w:tr>
      <w:tr>
        <w:trPr>
          <w:cantSplit/>
        </w:trPr>
        <w:tc>
          <w:tcPr>
            <w:tcW w:type="dxa" w:w="4464"/>
            <w:vAlign w:val="center"/>
          </w:tcPr>
          <w:p>
            <w:r/>
            <w:r>
              <w:rPr>
                <w:rFonts w:ascii="Aptos" w:hAnsi="Aptos"/>
                <w:b w:val="0"/>
                <w:sz w:val="16"/>
              </w:rPr>
              <w:t>Change styling</w:t>
            </w:r>
          </w:p>
        </w:tc>
        <w:tc>
          <w:tcPr>
            <w:tcW w:type="dxa" w:w="5904"/>
            <w:vAlign w:val="center"/>
          </w:tcPr>
          <w:p>
            <w:r/>
            <w:r>
              <w:rPr>
                <w:rFonts w:ascii="Aptos" w:hAnsi="Aptos"/>
                <w:b w:val="0"/>
                <w:sz w:val="16"/>
              </w:rPr>
              <w:t>frontend/styles.css.</w:t>
            </w:r>
          </w:p>
        </w:tc>
      </w:tr>
      <w:tr>
        <w:trPr>
          <w:cantSplit/>
        </w:trPr>
        <w:tc>
          <w:tcPr>
            <w:tcW w:type="dxa" w:w="4464"/>
            <w:vAlign w:val="center"/>
            <w:shd w:fill="F7FAFC"/>
          </w:tcPr>
          <w:p>
            <w:r/>
            <w:r>
              <w:rPr>
                <w:rFonts w:ascii="Aptos" w:hAnsi="Aptos"/>
                <w:b w:val="0"/>
                <w:sz w:val="16"/>
              </w:rPr>
              <w:t>Change Vercel deployment</w:t>
            </w:r>
          </w:p>
        </w:tc>
        <w:tc>
          <w:tcPr>
            <w:tcW w:type="dxa" w:w="5904"/>
            <w:vAlign w:val="center"/>
            <w:shd w:fill="F7FAFC"/>
          </w:tcPr>
          <w:p>
            <w:r/>
            <w:r>
              <w:rPr>
                <w:rFonts w:ascii="Aptos" w:hAnsi="Aptos"/>
                <w:b w:val="0"/>
                <w:sz w:val="16"/>
              </w:rPr>
              <w:t>api/index.py and vercel.json.</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FFF7E6"/>
          </w:tcPr>
          <w:p>
            <w:r>
              <w:rPr>
                <w:b/>
                <w:color w:val="9A6700"/>
                <w:sz w:val="19"/>
              </w:rPr>
              <w:t>Change-control rule</w:t>
              <w:br/>
            </w:r>
            <w:r>
              <w:rPr>
                <w:color w:val="1F2937"/>
                <w:sz w:val="17"/>
              </w:rPr>
              <w:t>Any change to marker definitions, genotype interpretation, pathway selection, dose coefficients, CPIC modifiers, or FDA lookup logic should be treated as calculation-affecting. Update tests, documentation, calculator version, and release notes together.</w:t>
            </w:r>
          </w:p>
        </w:tc>
      </w:tr>
    </w:tbl>
    <w:p>
      <w:pPr>
        <w:spacing w:after="20"/>
      </w:pPr>
    </w:p>
    <w:p>
      <w:pPr>
        <w:pStyle w:val="Heading1"/>
        <w:keepNext/>
      </w:pPr>
      <w:r>
        <w:t>21. Production Release Checklist</w:t>
      </w:r>
    </w:p>
    <w:p>
      <w:pPr>
        <w:pStyle w:val="ListBullet"/>
      </w:pPr>
      <w:r>
        <w:t>Confirm Step 2b and calculator file-contract versions are intentionally compatible.</w:t>
      </w:r>
    </w:p>
    <w:p>
      <w:pPr>
        <w:pStyle w:val="ListBullet"/>
      </w:pPr>
      <w:r>
        <w:t>Run algorithm unit/regression tests and API integration tests.</w:t>
      </w:r>
    </w:p>
    <w:p>
      <w:pPr>
        <w:pStyle w:val="ListBullet"/>
      </w:pPr>
      <w:r>
        <w:t>Run warfarin_logic.self_test().</w:t>
      </w:r>
    </w:p>
    <w:p>
      <w:pPr>
        <w:pStyle w:val="ListBullet"/>
      </w:pPr>
      <w:r>
        <w:t>Test at least one clinical-only and one pharmacogenetic workflow end to end.</w:t>
      </w:r>
    </w:p>
    <w:p>
      <w:pPr>
        <w:pStyle w:val="ListBullet"/>
      </w:pPr>
      <w:r>
        <w:t>Test the Black/African American incomplete-expanded-coverage fallback.</w:t>
      </w:r>
    </w:p>
    <w:p>
      <w:pPr>
        <w:pStyle w:val="ListBullet"/>
      </w:pPr>
      <w:r>
        <w:t>Validate the nine-marker Step 2b CSV against calculator parser expectations.</w:t>
      </w:r>
    </w:p>
    <w:p>
      <w:pPr>
        <w:pStyle w:val="ListBullet"/>
      </w:pPr>
      <w:r>
        <w:t>Confirm calculator version is updated and visible in /health and JSON output.</w:t>
      </w:r>
    </w:p>
    <w:p>
      <w:pPr>
        <w:pStyle w:val="ListBullet"/>
      </w:pPr>
      <w:r>
        <w:t>Confirm clinical warnings and consumer-PGx limitations appear as intended.</w:t>
      </w:r>
    </w:p>
    <w:p>
      <w:pPr>
        <w:pStyle w:val="ListBullet"/>
      </w:pPr>
      <w:r>
        <w:t>Confirm HTTPS, server logging, upload handling and privacy controls in the deployment environment.</w:t>
      </w:r>
    </w:p>
    <w:p>
      <w:pPr>
        <w:pStyle w:val="ListBullet"/>
      </w:pPr>
      <w:r>
        <w:t>Do not deploy the packaged .venv or local .git metadata as application content.</w:t>
      </w:r>
    </w:p>
    <w:p>
      <w:pPr>
        <w:pStyle w:val="ListBullet"/>
      </w:pPr>
      <w:r>
        <w:t>Record the exact code commit/release used with the companion PGx pipeline release.</w:t>
      </w:r>
    </w:p>
    <w:p>
      <w:pPr>
        <w:pStyle w:val="Heading1"/>
        <w:keepNext/>
      </w:pPr>
      <w:r>
        <w:t>Appendix A. Warfarin Marker Reference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vAlign w:val="center"/>
            <w:shd w:fill="023D79"/>
          </w:tcPr>
          <w:p>
            <w:r/>
            <w:r>
              <w:rPr>
                <w:rFonts w:ascii="Aptos" w:hAnsi="Aptos"/>
                <w:b/>
                <w:color w:val="FFFFFF"/>
                <w:sz w:val="16"/>
              </w:rPr>
              <w:t>Marker</w:t>
            </w:r>
          </w:p>
        </w:tc>
        <w:tc>
          <w:tcPr>
            <w:tcW w:type="dxa" w:w="2088"/>
            <w:vAlign w:val="center"/>
            <w:shd w:fill="023D79"/>
          </w:tcPr>
          <w:p>
            <w:r/>
            <w:r>
              <w:rPr>
                <w:rFonts w:ascii="Aptos" w:hAnsi="Aptos"/>
                <w:b/>
                <w:color w:val="FFFFFF"/>
                <w:sz w:val="16"/>
              </w:rPr>
              <w:t>Gene/group</w:t>
            </w:r>
          </w:p>
        </w:tc>
        <w:tc>
          <w:tcPr>
            <w:tcW w:type="dxa" w:w="4032"/>
            <w:vAlign w:val="center"/>
            <w:shd w:fill="023D79"/>
          </w:tcPr>
          <w:p>
            <w:r/>
            <w:r>
              <w:rPr>
                <w:rFonts w:ascii="Aptos" w:hAnsi="Aptos"/>
                <w:b/>
                <w:color w:val="FFFFFF"/>
                <w:sz w:val="16"/>
              </w:rPr>
              <w:t>Meaning in project</w:t>
            </w:r>
          </w:p>
        </w:tc>
        <w:tc>
          <w:tcPr>
            <w:tcW w:type="dxa" w:w="1800"/>
            <w:vAlign w:val="center"/>
            <w:shd w:fill="023D79"/>
          </w:tcPr>
          <w:p>
            <w:r/>
            <w:r>
              <w:rPr>
                <w:rFonts w:ascii="Aptos" w:hAnsi="Aptos"/>
                <w:b/>
                <w:color w:val="FFFFFF"/>
                <w:sz w:val="16"/>
              </w:rPr>
              <w:t>Group</w:t>
            </w:r>
          </w:p>
        </w:tc>
      </w:tr>
      <w:tr>
        <w:trPr>
          <w:cantSplit/>
        </w:trPr>
        <w:tc>
          <w:tcPr>
            <w:tcW w:type="dxa" w:w="1800"/>
            <w:vAlign w:val="center"/>
          </w:tcPr>
          <w:p>
            <w:r/>
            <w:r>
              <w:rPr>
                <w:rFonts w:ascii="Aptos" w:hAnsi="Aptos"/>
                <w:b w:val="0"/>
                <w:sz w:val="16"/>
              </w:rPr>
              <w:t>rs1799853</w:t>
            </w:r>
          </w:p>
        </w:tc>
        <w:tc>
          <w:tcPr>
            <w:tcW w:type="dxa" w:w="2088"/>
            <w:vAlign w:val="center"/>
          </w:tcPr>
          <w:p>
            <w:r/>
            <w:r>
              <w:rPr>
                <w:rFonts w:ascii="Aptos" w:hAnsi="Aptos"/>
                <w:b w:val="0"/>
                <w:sz w:val="16"/>
              </w:rPr>
              <w:t>CYP2C9</w:t>
            </w:r>
          </w:p>
        </w:tc>
        <w:tc>
          <w:tcPr>
            <w:tcW w:type="dxa" w:w="4032"/>
            <w:vAlign w:val="center"/>
          </w:tcPr>
          <w:p>
            <w:r/>
            <w:r>
              <w:rPr>
                <w:rFonts w:ascii="Aptos" w:hAnsi="Aptos"/>
                <w:b w:val="0"/>
                <w:sz w:val="16"/>
              </w:rPr>
              <w:t>CYP2C9 *2</w:t>
            </w:r>
          </w:p>
        </w:tc>
        <w:tc>
          <w:tcPr>
            <w:tcW w:type="dxa" w:w="1800"/>
            <w:vAlign w:val="center"/>
          </w:tcPr>
          <w:p>
            <w:r/>
            <w:r>
              <w:rPr>
                <w:rFonts w:ascii="Aptos" w:hAnsi="Aptos"/>
                <w:b w:val="0"/>
                <w:sz w:val="16"/>
              </w:rPr>
              <w:t>core</w:t>
            </w:r>
          </w:p>
        </w:tc>
      </w:tr>
      <w:tr>
        <w:trPr>
          <w:cantSplit/>
        </w:trPr>
        <w:tc>
          <w:tcPr>
            <w:tcW w:type="dxa" w:w="1800"/>
            <w:vAlign w:val="center"/>
            <w:shd w:fill="F7FAFC"/>
          </w:tcPr>
          <w:p>
            <w:r/>
            <w:r>
              <w:rPr>
                <w:rFonts w:ascii="Aptos" w:hAnsi="Aptos"/>
                <w:b w:val="0"/>
                <w:sz w:val="16"/>
              </w:rPr>
              <w:t>rs1057910</w:t>
            </w:r>
          </w:p>
        </w:tc>
        <w:tc>
          <w:tcPr>
            <w:tcW w:type="dxa" w:w="2088"/>
            <w:vAlign w:val="center"/>
            <w:shd w:fill="F7FAFC"/>
          </w:tcPr>
          <w:p>
            <w:r/>
            <w:r>
              <w:rPr>
                <w:rFonts w:ascii="Aptos" w:hAnsi="Aptos"/>
                <w:b w:val="0"/>
                <w:sz w:val="16"/>
              </w:rPr>
              <w:t>CYP2C9</w:t>
            </w:r>
          </w:p>
        </w:tc>
        <w:tc>
          <w:tcPr>
            <w:tcW w:type="dxa" w:w="4032"/>
            <w:vAlign w:val="center"/>
            <w:shd w:fill="F7FAFC"/>
          </w:tcPr>
          <w:p>
            <w:r/>
            <w:r>
              <w:rPr>
                <w:rFonts w:ascii="Aptos" w:hAnsi="Aptos"/>
                <w:b w:val="0"/>
                <w:sz w:val="16"/>
              </w:rPr>
              <w:t>CYP2C9 *3</w:t>
            </w:r>
          </w:p>
        </w:tc>
        <w:tc>
          <w:tcPr>
            <w:tcW w:type="dxa" w:w="1800"/>
            <w:vAlign w:val="center"/>
            <w:shd w:fill="F7FAFC"/>
          </w:tcPr>
          <w:p>
            <w:r/>
            <w:r>
              <w:rPr>
                <w:rFonts w:ascii="Aptos" w:hAnsi="Aptos"/>
                <w:b w:val="0"/>
                <w:sz w:val="16"/>
              </w:rPr>
              <w:t>core</w:t>
            </w:r>
          </w:p>
        </w:tc>
      </w:tr>
      <w:tr>
        <w:trPr>
          <w:cantSplit/>
        </w:trPr>
        <w:tc>
          <w:tcPr>
            <w:tcW w:type="dxa" w:w="1800"/>
            <w:vAlign w:val="center"/>
          </w:tcPr>
          <w:p>
            <w:r/>
            <w:r>
              <w:rPr>
                <w:rFonts w:ascii="Aptos" w:hAnsi="Aptos"/>
                <w:b w:val="0"/>
                <w:sz w:val="16"/>
              </w:rPr>
              <w:t>rs28371686</w:t>
            </w:r>
          </w:p>
        </w:tc>
        <w:tc>
          <w:tcPr>
            <w:tcW w:type="dxa" w:w="2088"/>
            <w:vAlign w:val="center"/>
          </w:tcPr>
          <w:p>
            <w:r/>
            <w:r>
              <w:rPr>
                <w:rFonts w:ascii="Aptos" w:hAnsi="Aptos"/>
                <w:b w:val="0"/>
                <w:sz w:val="16"/>
              </w:rPr>
              <w:t>CYP2C9</w:t>
            </w:r>
          </w:p>
        </w:tc>
        <w:tc>
          <w:tcPr>
            <w:tcW w:type="dxa" w:w="4032"/>
            <w:vAlign w:val="center"/>
          </w:tcPr>
          <w:p>
            <w:r/>
            <w:r>
              <w:rPr>
                <w:rFonts w:ascii="Aptos" w:hAnsi="Aptos"/>
                <w:b w:val="0"/>
                <w:sz w:val="16"/>
              </w:rPr>
              <w:t>CYP2C9 *5</w:t>
            </w:r>
          </w:p>
        </w:tc>
        <w:tc>
          <w:tcPr>
            <w:tcW w:type="dxa" w:w="1800"/>
            <w:vAlign w:val="center"/>
          </w:tcPr>
          <w:p>
            <w:r/>
            <w:r>
              <w:rPr>
                <w:rFonts w:ascii="Aptos" w:hAnsi="Aptos"/>
                <w:b w:val="0"/>
                <w:sz w:val="16"/>
              </w:rPr>
              <w:t>expanded</w:t>
            </w:r>
          </w:p>
        </w:tc>
      </w:tr>
      <w:tr>
        <w:trPr>
          <w:cantSplit/>
        </w:trPr>
        <w:tc>
          <w:tcPr>
            <w:tcW w:type="dxa" w:w="1800"/>
            <w:vAlign w:val="center"/>
            <w:shd w:fill="F7FAFC"/>
          </w:tcPr>
          <w:p>
            <w:r/>
            <w:r>
              <w:rPr>
                <w:rFonts w:ascii="Aptos" w:hAnsi="Aptos"/>
                <w:b w:val="0"/>
                <w:sz w:val="16"/>
              </w:rPr>
              <w:t>rs9332131</w:t>
            </w:r>
          </w:p>
        </w:tc>
        <w:tc>
          <w:tcPr>
            <w:tcW w:type="dxa" w:w="2088"/>
            <w:vAlign w:val="center"/>
            <w:shd w:fill="F7FAFC"/>
          </w:tcPr>
          <w:p>
            <w:r/>
            <w:r>
              <w:rPr>
                <w:rFonts w:ascii="Aptos" w:hAnsi="Aptos"/>
                <w:b w:val="0"/>
                <w:sz w:val="16"/>
              </w:rPr>
              <w:t>CYP2C9</w:t>
            </w:r>
          </w:p>
        </w:tc>
        <w:tc>
          <w:tcPr>
            <w:tcW w:type="dxa" w:w="4032"/>
            <w:vAlign w:val="center"/>
            <w:shd w:fill="F7FAFC"/>
          </w:tcPr>
          <w:p>
            <w:r/>
            <w:r>
              <w:rPr>
                <w:rFonts w:ascii="Aptos" w:hAnsi="Aptos"/>
                <w:b w:val="0"/>
                <w:sz w:val="16"/>
              </w:rPr>
              <w:t>CYP2C9 *6</w:t>
            </w:r>
          </w:p>
        </w:tc>
        <w:tc>
          <w:tcPr>
            <w:tcW w:type="dxa" w:w="1800"/>
            <w:vAlign w:val="center"/>
            <w:shd w:fill="F7FAFC"/>
          </w:tcPr>
          <w:p>
            <w:r/>
            <w:r>
              <w:rPr>
                <w:rFonts w:ascii="Aptos" w:hAnsi="Aptos"/>
                <w:b w:val="0"/>
                <w:sz w:val="16"/>
              </w:rPr>
              <w:t>expanded</w:t>
            </w:r>
          </w:p>
        </w:tc>
      </w:tr>
      <w:tr>
        <w:trPr>
          <w:cantSplit/>
        </w:trPr>
        <w:tc>
          <w:tcPr>
            <w:tcW w:type="dxa" w:w="1800"/>
            <w:vAlign w:val="center"/>
          </w:tcPr>
          <w:p>
            <w:r/>
            <w:r>
              <w:rPr>
                <w:rFonts w:ascii="Aptos" w:hAnsi="Aptos"/>
                <w:b w:val="0"/>
                <w:sz w:val="16"/>
              </w:rPr>
              <w:t>rs7900194</w:t>
            </w:r>
          </w:p>
        </w:tc>
        <w:tc>
          <w:tcPr>
            <w:tcW w:type="dxa" w:w="2088"/>
            <w:vAlign w:val="center"/>
          </w:tcPr>
          <w:p>
            <w:r/>
            <w:r>
              <w:rPr>
                <w:rFonts w:ascii="Aptos" w:hAnsi="Aptos"/>
                <w:b w:val="0"/>
                <w:sz w:val="16"/>
              </w:rPr>
              <w:t>CYP2C9</w:t>
            </w:r>
          </w:p>
        </w:tc>
        <w:tc>
          <w:tcPr>
            <w:tcW w:type="dxa" w:w="4032"/>
            <w:vAlign w:val="center"/>
          </w:tcPr>
          <w:p>
            <w:r/>
            <w:r>
              <w:rPr>
                <w:rFonts w:ascii="Aptos" w:hAnsi="Aptos"/>
                <w:b w:val="0"/>
                <w:sz w:val="16"/>
              </w:rPr>
              <w:t>CYP2C9 *8</w:t>
            </w:r>
          </w:p>
        </w:tc>
        <w:tc>
          <w:tcPr>
            <w:tcW w:type="dxa" w:w="1800"/>
            <w:vAlign w:val="center"/>
          </w:tcPr>
          <w:p>
            <w:r/>
            <w:r>
              <w:rPr>
                <w:rFonts w:ascii="Aptos" w:hAnsi="Aptos"/>
                <w:b w:val="0"/>
                <w:sz w:val="16"/>
              </w:rPr>
              <w:t>expanded</w:t>
            </w:r>
          </w:p>
        </w:tc>
      </w:tr>
      <w:tr>
        <w:trPr>
          <w:cantSplit/>
        </w:trPr>
        <w:tc>
          <w:tcPr>
            <w:tcW w:type="dxa" w:w="1800"/>
            <w:vAlign w:val="center"/>
            <w:shd w:fill="F7FAFC"/>
          </w:tcPr>
          <w:p>
            <w:r/>
            <w:r>
              <w:rPr>
                <w:rFonts w:ascii="Aptos" w:hAnsi="Aptos"/>
                <w:b w:val="0"/>
                <w:sz w:val="16"/>
              </w:rPr>
              <w:t>rs28371685</w:t>
            </w:r>
          </w:p>
        </w:tc>
        <w:tc>
          <w:tcPr>
            <w:tcW w:type="dxa" w:w="2088"/>
            <w:vAlign w:val="center"/>
            <w:shd w:fill="F7FAFC"/>
          </w:tcPr>
          <w:p>
            <w:r/>
            <w:r>
              <w:rPr>
                <w:rFonts w:ascii="Aptos" w:hAnsi="Aptos"/>
                <w:b w:val="0"/>
                <w:sz w:val="16"/>
              </w:rPr>
              <w:t>CYP2C9</w:t>
            </w:r>
          </w:p>
        </w:tc>
        <w:tc>
          <w:tcPr>
            <w:tcW w:type="dxa" w:w="4032"/>
            <w:vAlign w:val="center"/>
            <w:shd w:fill="F7FAFC"/>
          </w:tcPr>
          <w:p>
            <w:r/>
            <w:r>
              <w:rPr>
                <w:rFonts w:ascii="Aptos" w:hAnsi="Aptos"/>
                <w:b w:val="0"/>
                <w:sz w:val="16"/>
              </w:rPr>
              <w:t>CYP2C9 *11</w:t>
            </w:r>
          </w:p>
        </w:tc>
        <w:tc>
          <w:tcPr>
            <w:tcW w:type="dxa" w:w="1800"/>
            <w:vAlign w:val="center"/>
            <w:shd w:fill="F7FAFC"/>
          </w:tcPr>
          <w:p>
            <w:r/>
            <w:r>
              <w:rPr>
                <w:rFonts w:ascii="Aptos" w:hAnsi="Aptos"/>
                <w:b w:val="0"/>
                <w:sz w:val="16"/>
              </w:rPr>
              <w:t>expanded</w:t>
            </w:r>
          </w:p>
        </w:tc>
      </w:tr>
      <w:tr>
        <w:trPr>
          <w:cantSplit/>
        </w:trPr>
        <w:tc>
          <w:tcPr>
            <w:tcW w:type="dxa" w:w="1800"/>
            <w:vAlign w:val="center"/>
          </w:tcPr>
          <w:p>
            <w:r/>
            <w:r>
              <w:rPr>
                <w:rFonts w:ascii="Aptos" w:hAnsi="Aptos"/>
                <w:b w:val="0"/>
                <w:sz w:val="16"/>
              </w:rPr>
              <w:t>rs9923231</w:t>
            </w:r>
          </w:p>
        </w:tc>
        <w:tc>
          <w:tcPr>
            <w:tcW w:type="dxa" w:w="2088"/>
            <w:vAlign w:val="center"/>
          </w:tcPr>
          <w:p>
            <w:r/>
            <w:r>
              <w:rPr>
                <w:rFonts w:ascii="Aptos" w:hAnsi="Aptos"/>
                <w:b w:val="0"/>
                <w:sz w:val="16"/>
              </w:rPr>
              <w:t>VKORC1</w:t>
            </w:r>
          </w:p>
        </w:tc>
        <w:tc>
          <w:tcPr>
            <w:tcW w:type="dxa" w:w="4032"/>
            <w:vAlign w:val="center"/>
          </w:tcPr>
          <w:p>
            <w:r/>
            <w:r>
              <w:rPr>
                <w:rFonts w:ascii="Aptos" w:hAnsi="Aptos"/>
                <w:b w:val="0"/>
                <w:sz w:val="16"/>
              </w:rPr>
              <w:t>VKORC1 -1639G&gt;A</w:t>
            </w:r>
          </w:p>
        </w:tc>
        <w:tc>
          <w:tcPr>
            <w:tcW w:type="dxa" w:w="1800"/>
            <w:vAlign w:val="center"/>
          </w:tcPr>
          <w:p>
            <w:r/>
            <w:r>
              <w:rPr>
                <w:rFonts w:ascii="Aptos" w:hAnsi="Aptos"/>
                <w:b w:val="0"/>
                <w:sz w:val="16"/>
              </w:rPr>
              <w:t>core</w:t>
            </w:r>
          </w:p>
        </w:tc>
      </w:tr>
      <w:tr>
        <w:trPr>
          <w:cantSplit/>
        </w:trPr>
        <w:tc>
          <w:tcPr>
            <w:tcW w:type="dxa" w:w="1800"/>
            <w:vAlign w:val="center"/>
            <w:shd w:fill="F7FAFC"/>
          </w:tcPr>
          <w:p>
            <w:r/>
            <w:r>
              <w:rPr>
                <w:rFonts w:ascii="Aptos" w:hAnsi="Aptos"/>
                <w:b w:val="0"/>
                <w:sz w:val="16"/>
              </w:rPr>
              <w:t>rs2108622</w:t>
            </w:r>
          </w:p>
        </w:tc>
        <w:tc>
          <w:tcPr>
            <w:tcW w:type="dxa" w:w="2088"/>
            <w:vAlign w:val="center"/>
            <w:shd w:fill="F7FAFC"/>
          </w:tcPr>
          <w:p>
            <w:r/>
            <w:r>
              <w:rPr>
                <w:rFonts w:ascii="Aptos" w:hAnsi="Aptos"/>
                <w:b w:val="0"/>
                <w:sz w:val="16"/>
              </w:rPr>
              <w:t>CYP4F2</w:t>
            </w:r>
          </w:p>
        </w:tc>
        <w:tc>
          <w:tcPr>
            <w:tcW w:type="dxa" w:w="4032"/>
            <w:vAlign w:val="center"/>
            <w:shd w:fill="F7FAFC"/>
          </w:tcPr>
          <w:p>
            <w:r/>
            <w:r>
              <w:rPr>
                <w:rFonts w:ascii="Aptos" w:hAnsi="Aptos"/>
                <w:b w:val="0"/>
                <w:sz w:val="16"/>
              </w:rPr>
              <w:t>CYP4F2 *3</w:t>
            </w:r>
          </w:p>
        </w:tc>
        <w:tc>
          <w:tcPr>
            <w:tcW w:type="dxa" w:w="1800"/>
            <w:vAlign w:val="center"/>
            <w:shd w:fill="F7FAFC"/>
          </w:tcPr>
          <w:p>
            <w:r/>
            <w:r>
              <w:rPr>
                <w:rFonts w:ascii="Aptos" w:hAnsi="Aptos"/>
                <w:b w:val="0"/>
                <w:sz w:val="16"/>
              </w:rPr>
              <w:t>additional</w:t>
            </w:r>
          </w:p>
        </w:tc>
      </w:tr>
      <w:tr>
        <w:trPr>
          <w:cantSplit/>
        </w:trPr>
        <w:tc>
          <w:tcPr>
            <w:tcW w:type="dxa" w:w="1800"/>
            <w:vAlign w:val="center"/>
          </w:tcPr>
          <w:p>
            <w:r/>
            <w:r>
              <w:rPr>
                <w:rFonts w:ascii="Aptos" w:hAnsi="Aptos"/>
                <w:b w:val="0"/>
                <w:sz w:val="16"/>
              </w:rPr>
              <w:t>rs12777823</w:t>
            </w:r>
          </w:p>
        </w:tc>
        <w:tc>
          <w:tcPr>
            <w:tcW w:type="dxa" w:w="2088"/>
            <w:vAlign w:val="center"/>
          </w:tcPr>
          <w:p>
            <w:r/>
            <w:r>
              <w:rPr>
                <w:rFonts w:ascii="Aptos" w:hAnsi="Aptos"/>
                <w:b w:val="0"/>
                <w:sz w:val="16"/>
              </w:rPr>
              <w:t>CYP2C cluster</w:t>
            </w:r>
          </w:p>
        </w:tc>
        <w:tc>
          <w:tcPr>
            <w:tcW w:type="dxa" w:w="4032"/>
            <w:vAlign w:val="center"/>
          </w:tcPr>
          <w:p>
            <w:r/>
            <w:r>
              <w:rPr>
                <w:rFonts w:ascii="Aptos" w:hAnsi="Aptos"/>
                <w:b w:val="0"/>
                <w:sz w:val="16"/>
              </w:rPr>
              <w:t>rs12777823</w:t>
            </w:r>
          </w:p>
        </w:tc>
        <w:tc>
          <w:tcPr>
            <w:tcW w:type="dxa" w:w="1800"/>
            <w:vAlign w:val="center"/>
          </w:tcPr>
          <w:p>
            <w:r/>
            <w:r>
              <w:rPr>
                <w:rFonts w:ascii="Aptos" w:hAnsi="Aptos"/>
                <w:b w:val="0"/>
                <w:sz w:val="16"/>
              </w:rPr>
              <w:t>additional</w:t>
            </w:r>
          </w:p>
        </w:tc>
      </w:tr>
    </w:tbl>
    <w:p>
      <w:pPr>
        <w:spacing w:after="20"/>
      </w:pPr>
    </w:p>
    <w:p>
      <w:pPr>
        <w:pStyle w:val="Heading1"/>
        <w:keepNext/>
      </w:pPr>
      <w:r>
        <w:t>Appendix B. Step 2b CSV Field Reference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vAlign w:val="center"/>
            <w:shd w:fill="023D79"/>
          </w:tcPr>
          <w:p>
            <w:r/>
            <w:r>
              <w:rPr>
                <w:rFonts w:ascii="Aptos" w:hAnsi="Aptos"/>
                <w:b/>
                <w:color w:val="FFFFFF"/>
                <w:sz w:val="16"/>
              </w:rPr>
              <w:t>Field</w:t>
            </w:r>
          </w:p>
        </w:tc>
        <w:tc>
          <w:tcPr>
            <w:tcW w:type="dxa" w:w="6192"/>
            <w:vAlign w:val="center"/>
            <w:shd w:fill="023D79"/>
          </w:tcPr>
          <w:p>
            <w:r/>
            <w:r>
              <w:rPr>
                <w:rFonts w:ascii="Aptos" w:hAnsi="Aptos"/>
                <w:b/>
                <w:color w:val="FFFFFF"/>
                <w:sz w:val="16"/>
              </w:rPr>
              <w:t>Purpose</w:t>
            </w:r>
          </w:p>
        </w:tc>
      </w:tr>
      <w:tr>
        <w:trPr>
          <w:cantSplit/>
        </w:trPr>
        <w:tc>
          <w:tcPr>
            <w:tcW w:type="dxa" w:w="3600"/>
            <w:vAlign w:val="center"/>
          </w:tcPr>
          <w:p>
            <w:r/>
            <w:r>
              <w:rPr>
                <w:rFonts w:ascii="Aptos" w:hAnsi="Aptos"/>
                <w:b w:val="0"/>
                <w:sz w:val="16"/>
              </w:rPr>
              <w:t>file_type</w:t>
            </w:r>
          </w:p>
        </w:tc>
        <w:tc>
          <w:tcPr>
            <w:tcW w:type="dxa" w:w="6192"/>
            <w:vAlign w:val="center"/>
          </w:tcPr>
          <w:p>
            <w:r/>
            <w:r>
              <w:rPr>
                <w:rFonts w:ascii="Aptos" w:hAnsi="Aptos"/>
                <w:b w:val="0"/>
                <w:sz w:val="16"/>
              </w:rPr>
              <w:t>Integration identifier; XCODE_WARFARIN_PGX_INPUT.</w:t>
            </w:r>
          </w:p>
        </w:tc>
      </w:tr>
      <w:tr>
        <w:trPr>
          <w:cantSplit/>
        </w:trPr>
        <w:tc>
          <w:tcPr>
            <w:tcW w:type="dxa" w:w="3600"/>
            <w:vAlign w:val="center"/>
            <w:shd w:fill="F7FAFC"/>
          </w:tcPr>
          <w:p>
            <w:r/>
            <w:r>
              <w:rPr>
                <w:rFonts w:ascii="Aptos" w:hAnsi="Aptos"/>
                <w:b w:val="0"/>
                <w:sz w:val="16"/>
              </w:rPr>
              <w:t>schema_version</w:t>
            </w:r>
          </w:p>
        </w:tc>
        <w:tc>
          <w:tcPr>
            <w:tcW w:type="dxa" w:w="6192"/>
            <w:vAlign w:val="center"/>
            <w:shd w:fill="F7FAFC"/>
          </w:tcPr>
          <w:p>
            <w:r/>
            <w:r>
              <w:rPr>
                <w:rFonts w:ascii="Aptos" w:hAnsi="Aptos"/>
                <w:b w:val="0"/>
                <w:sz w:val="16"/>
              </w:rPr>
              <w:t>Step 2b schema version string.</w:t>
            </w:r>
          </w:p>
        </w:tc>
      </w:tr>
      <w:tr>
        <w:trPr>
          <w:cantSplit/>
        </w:trPr>
        <w:tc>
          <w:tcPr>
            <w:tcW w:type="dxa" w:w="3600"/>
            <w:vAlign w:val="center"/>
          </w:tcPr>
          <w:p>
            <w:r/>
            <w:r>
              <w:rPr>
                <w:rFonts w:ascii="Aptos" w:hAnsi="Aptos"/>
                <w:b w:val="0"/>
                <w:sz w:val="16"/>
              </w:rPr>
              <w:t>sample_id</w:t>
            </w:r>
          </w:p>
        </w:tc>
        <w:tc>
          <w:tcPr>
            <w:tcW w:type="dxa" w:w="6192"/>
            <w:vAlign w:val="center"/>
          </w:tcPr>
          <w:p>
            <w:r/>
            <w:r>
              <w:rPr>
                <w:rFonts w:ascii="Aptos" w:hAnsi="Aptos"/>
                <w:b w:val="0"/>
                <w:sz w:val="16"/>
              </w:rPr>
              <w:t>Display sample identifier.</w:t>
            </w:r>
          </w:p>
        </w:tc>
      </w:tr>
      <w:tr>
        <w:trPr>
          <w:cantSplit/>
        </w:trPr>
        <w:tc>
          <w:tcPr>
            <w:tcW w:type="dxa" w:w="3600"/>
            <w:vAlign w:val="center"/>
            <w:shd w:fill="F7FAFC"/>
          </w:tcPr>
          <w:p>
            <w:r/>
            <w:r>
              <w:rPr>
                <w:rFonts w:ascii="Aptos" w:hAnsi="Aptos"/>
                <w:b w:val="0"/>
                <w:sz w:val="16"/>
              </w:rPr>
              <w:t>pharmcat_version</w:t>
            </w:r>
          </w:p>
        </w:tc>
        <w:tc>
          <w:tcPr>
            <w:tcW w:type="dxa" w:w="6192"/>
            <w:vAlign w:val="center"/>
            <w:shd w:fill="F7FAFC"/>
          </w:tcPr>
          <w:p>
            <w:r/>
            <w:r>
              <w:rPr>
                <w:rFonts w:ascii="Aptos" w:hAnsi="Aptos"/>
                <w:b w:val="0"/>
                <w:sz w:val="16"/>
              </w:rPr>
              <w:t>PharmCAT version used upstream.</w:t>
            </w:r>
          </w:p>
        </w:tc>
      </w:tr>
      <w:tr>
        <w:trPr>
          <w:cantSplit/>
        </w:trPr>
        <w:tc>
          <w:tcPr>
            <w:tcW w:type="dxa" w:w="3600"/>
            <w:vAlign w:val="center"/>
          </w:tcPr>
          <w:p>
            <w:r/>
            <w:r>
              <w:rPr>
                <w:rFonts w:ascii="Aptos" w:hAnsi="Aptos"/>
                <w:b w:val="0"/>
                <w:sz w:val="16"/>
              </w:rPr>
              <w:t>cyp2c9_diplotype</w:t>
            </w:r>
          </w:p>
        </w:tc>
        <w:tc>
          <w:tcPr>
            <w:tcW w:type="dxa" w:w="6192"/>
            <w:vAlign w:val="center"/>
          </w:tcPr>
          <w:p>
            <w:r/>
            <w:r>
              <w:rPr>
                <w:rFonts w:ascii="Aptos" w:hAnsi="Aptos"/>
                <w:b w:val="0"/>
                <w:sz w:val="16"/>
              </w:rPr>
              <w:t>PharmCAT CYP2C9 diplotype summary.</w:t>
            </w:r>
          </w:p>
        </w:tc>
      </w:tr>
      <w:tr>
        <w:trPr>
          <w:cantSplit/>
        </w:trPr>
        <w:tc>
          <w:tcPr>
            <w:tcW w:type="dxa" w:w="3600"/>
            <w:vAlign w:val="center"/>
            <w:shd w:fill="F7FAFC"/>
          </w:tcPr>
          <w:p>
            <w:r/>
            <w:r>
              <w:rPr>
                <w:rFonts w:ascii="Aptos" w:hAnsi="Aptos"/>
                <w:b w:val="0"/>
                <w:sz w:val="16"/>
              </w:rPr>
              <w:t>cyp2c9_phenotype</w:t>
            </w:r>
          </w:p>
        </w:tc>
        <w:tc>
          <w:tcPr>
            <w:tcW w:type="dxa" w:w="6192"/>
            <w:vAlign w:val="center"/>
            <w:shd w:fill="F7FAFC"/>
          </w:tcPr>
          <w:p>
            <w:r/>
            <w:r>
              <w:rPr>
                <w:rFonts w:ascii="Aptos" w:hAnsi="Aptos"/>
                <w:b w:val="0"/>
                <w:sz w:val="16"/>
              </w:rPr>
              <w:t>PharmCAT CYP2C9 phenotype summary.</w:t>
            </w:r>
          </w:p>
        </w:tc>
      </w:tr>
      <w:tr>
        <w:trPr>
          <w:cantSplit/>
        </w:trPr>
        <w:tc>
          <w:tcPr>
            <w:tcW w:type="dxa" w:w="3600"/>
            <w:vAlign w:val="center"/>
          </w:tcPr>
          <w:p>
            <w:r/>
            <w:r>
              <w:rPr>
                <w:rFonts w:ascii="Aptos" w:hAnsi="Aptos"/>
                <w:b w:val="0"/>
                <w:sz w:val="16"/>
              </w:rPr>
              <w:t>cyp2c9_activity_score</w:t>
            </w:r>
          </w:p>
        </w:tc>
        <w:tc>
          <w:tcPr>
            <w:tcW w:type="dxa" w:w="6192"/>
            <w:vAlign w:val="center"/>
          </w:tcPr>
          <w:p>
            <w:r/>
            <w:r>
              <w:rPr>
                <w:rFonts w:ascii="Aptos" w:hAnsi="Aptos"/>
                <w:b w:val="0"/>
                <w:sz w:val="16"/>
              </w:rPr>
              <w:t>PharmCAT activity score where available.</w:t>
            </w:r>
          </w:p>
        </w:tc>
      </w:tr>
      <w:tr>
        <w:trPr>
          <w:cantSplit/>
        </w:trPr>
        <w:tc>
          <w:tcPr>
            <w:tcW w:type="dxa" w:w="3600"/>
            <w:vAlign w:val="center"/>
            <w:shd w:fill="F7FAFC"/>
          </w:tcPr>
          <w:p>
            <w:r/>
            <w:r>
              <w:rPr>
                <w:rFonts w:ascii="Aptos" w:hAnsi="Aptos"/>
                <w:b w:val="0"/>
                <w:sz w:val="16"/>
              </w:rPr>
              <w:t>cyp4f2_diplotype</w:t>
            </w:r>
          </w:p>
        </w:tc>
        <w:tc>
          <w:tcPr>
            <w:tcW w:type="dxa" w:w="6192"/>
            <w:vAlign w:val="center"/>
            <w:shd w:fill="F7FAFC"/>
          </w:tcPr>
          <w:p>
            <w:r/>
            <w:r>
              <w:rPr>
                <w:rFonts w:ascii="Aptos" w:hAnsi="Aptos"/>
                <w:b w:val="0"/>
                <w:sz w:val="16"/>
              </w:rPr>
              <w:t>PharmCAT CYP4F2 diplotype summary.</w:t>
            </w:r>
          </w:p>
        </w:tc>
      </w:tr>
      <w:tr>
        <w:trPr>
          <w:cantSplit/>
        </w:trPr>
        <w:tc>
          <w:tcPr>
            <w:tcW w:type="dxa" w:w="3600"/>
            <w:vAlign w:val="center"/>
          </w:tcPr>
          <w:p>
            <w:r/>
            <w:r>
              <w:rPr>
                <w:rFonts w:ascii="Aptos" w:hAnsi="Aptos"/>
                <w:b w:val="0"/>
                <w:sz w:val="16"/>
              </w:rPr>
              <w:t>cyp4f2_phenotype</w:t>
            </w:r>
          </w:p>
        </w:tc>
        <w:tc>
          <w:tcPr>
            <w:tcW w:type="dxa" w:w="6192"/>
            <w:vAlign w:val="center"/>
          </w:tcPr>
          <w:p>
            <w:r/>
            <w:r>
              <w:rPr>
                <w:rFonts w:ascii="Aptos" w:hAnsi="Aptos"/>
                <w:b w:val="0"/>
                <w:sz w:val="16"/>
              </w:rPr>
              <w:t>PharmCAT CYP4F2 phenotype summary.</w:t>
            </w:r>
          </w:p>
        </w:tc>
      </w:tr>
      <w:tr>
        <w:trPr>
          <w:cantSplit/>
        </w:trPr>
        <w:tc>
          <w:tcPr>
            <w:tcW w:type="dxa" w:w="3600"/>
            <w:vAlign w:val="center"/>
            <w:shd w:fill="F7FAFC"/>
          </w:tcPr>
          <w:p>
            <w:r/>
            <w:r>
              <w:rPr>
                <w:rFonts w:ascii="Aptos" w:hAnsi="Aptos"/>
                <w:b w:val="0"/>
                <w:sz w:val="16"/>
              </w:rPr>
              <w:t>vkorc1_pharmcat_diplotype</w:t>
            </w:r>
          </w:p>
        </w:tc>
        <w:tc>
          <w:tcPr>
            <w:tcW w:type="dxa" w:w="6192"/>
            <w:vAlign w:val="center"/>
            <w:shd w:fill="F7FAFC"/>
          </w:tcPr>
          <w:p>
            <w:r/>
            <w:r>
              <w:rPr>
                <w:rFonts w:ascii="Aptos" w:hAnsi="Aptos"/>
                <w:b w:val="0"/>
                <w:sz w:val="16"/>
              </w:rPr>
              <w:t>PharmCAT VKORC1 summary.</w:t>
            </w:r>
          </w:p>
        </w:tc>
      </w:tr>
      <w:tr>
        <w:trPr>
          <w:cantSplit/>
        </w:trPr>
        <w:tc>
          <w:tcPr>
            <w:tcW w:type="dxa" w:w="3600"/>
            <w:vAlign w:val="center"/>
          </w:tcPr>
          <w:p>
            <w:r/>
            <w:r>
              <w:rPr>
                <w:rFonts w:ascii="Aptos" w:hAnsi="Aptos"/>
                <w:b w:val="0"/>
                <w:sz w:val="16"/>
              </w:rPr>
              <w:t>vkorc1_clinical_1639</w:t>
            </w:r>
          </w:p>
        </w:tc>
        <w:tc>
          <w:tcPr>
            <w:tcW w:type="dxa" w:w="6192"/>
            <w:vAlign w:val="center"/>
          </w:tcPr>
          <w:p>
            <w:r/>
            <w:r>
              <w:rPr>
                <w:rFonts w:ascii="Aptos" w:hAnsi="Aptos"/>
                <w:b w:val="0"/>
                <w:sz w:val="16"/>
              </w:rPr>
              <w:t>VKORC1 converted to clinical -1639 G/A notation.</w:t>
            </w:r>
          </w:p>
        </w:tc>
      </w:tr>
      <w:tr>
        <w:trPr>
          <w:cantSplit/>
        </w:trPr>
        <w:tc>
          <w:tcPr>
            <w:tcW w:type="dxa" w:w="3600"/>
            <w:vAlign w:val="center"/>
            <w:shd w:fill="F7FAFC"/>
          </w:tcPr>
          <w:p>
            <w:r/>
            <w:r>
              <w:rPr>
                <w:rFonts w:ascii="Aptos" w:hAnsi="Aptos"/>
                <w:b w:val="0"/>
                <w:sz w:val="16"/>
              </w:rPr>
              <w:t>core_complete</w:t>
            </w:r>
          </w:p>
        </w:tc>
        <w:tc>
          <w:tcPr>
            <w:tcW w:type="dxa" w:w="6192"/>
            <w:vAlign w:val="center"/>
            <w:shd w:fill="F7FAFC"/>
          </w:tcPr>
          <w:p>
            <w:r/>
            <w:r>
              <w:rPr>
                <w:rFonts w:ascii="Aptos" w:hAnsi="Aptos"/>
                <w:b w:val="0"/>
                <w:sz w:val="16"/>
              </w:rPr>
              <w:t>TRUE/FALSE completeness flag.</w:t>
            </w:r>
          </w:p>
        </w:tc>
      </w:tr>
      <w:tr>
        <w:trPr>
          <w:cantSplit/>
        </w:trPr>
        <w:tc>
          <w:tcPr>
            <w:tcW w:type="dxa" w:w="3600"/>
            <w:vAlign w:val="center"/>
          </w:tcPr>
          <w:p>
            <w:r/>
            <w:r>
              <w:rPr>
                <w:rFonts w:ascii="Aptos" w:hAnsi="Aptos"/>
                <w:b w:val="0"/>
                <w:sz w:val="16"/>
              </w:rPr>
              <w:t>expanded_cyp2c9_complete</w:t>
            </w:r>
          </w:p>
        </w:tc>
        <w:tc>
          <w:tcPr>
            <w:tcW w:type="dxa" w:w="6192"/>
            <w:vAlign w:val="center"/>
          </w:tcPr>
          <w:p>
            <w:r/>
            <w:r>
              <w:rPr>
                <w:rFonts w:ascii="Aptos" w:hAnsi="Aptos"/>
                <w:b w:val="0"/>
                <w:sz w:val="16"/>
              </w:rPr>
              <w:t>TRUE/FALSE *5/*6/*8/*11 coverage flag.</w:t>
            </w:r>
          </w:p>
        </w:tc>
      </w:tr>
      <w:tr>
        <w:trPr>
          <w:cantSplit/>
        </w:trPr>
        <w:tc>
          <w:tcPr>
            <w:tcW w:type="dxa" w:w="3600"/>
            <w:vAlign w:val="center"/>
            <w:shd w:fill="F7FAFC"/>
          </w:tcPr>
          <w:p>
            <w:r/>
            <w:r>
              <w:rPr>
                <w:rFonts w:ascii="Aptos" w:hAnsi="Aptos"/>
                <w:b w:val="0"/>
                <w:sz w:val="16"/>
              </w:rPr>
              <w:t>additional_markers_complete</w:t>
            </w:r>
          </w:p>
        </w:tc>
        <w:tc>
          <w:tcPr>
            <w:tcW w:type="dxa" w:w="6192"/>
            <w:vAlign w:val="center"/>
            <w:shd w:fill="F7FAFC"/>
          </w:tcPr>
          <w:p>
            <w:r/>
            <w:r>
              <w:rPr>
                <w:rFonts w:ascii="Aptos" w:hAnsi="Aptos"/>
                <w:b w:val="0"/>
                <w:sz w:val="16"/>
              </w:rPr>
              <w:t>TRUE/FALSE CYP4F2 + rs12777823 coverage flag.</w:t>
            </w:r>
          </w:p>
        </w:tc>
      </w:tr>
      <w:tr>
        <w:trPr>
          <w:cantSplit/>
        </w:trPr>
        <w:tc>
          <w:tcPr>
            <w:tcW w:type="dxa" w:w="3600"/>
            <w:vAlign w:val="center"/>
          </w:tcPr>
          <w:p>
            <w:r/>
            <w:r>
              <w:rPr>
                <w:rFonts w:ascii="Aptos" w:hAnsi="Aptos"/>
                <w:b w:val="0"/>
                <w:sz w:val="16"/>
              </w:rPr>
              <w:t>marker</w:t>
            </w:r>
          </w:p>
        </w:tc>
        <w:tc>
          <w:tcPr>
            <w:tcW w:type="dxa" w:w="6192"/>
            <w:vAlign w:val="center"/>
          </w:tcPr>
          <w:p>
            <w:r/>
            <w:r>
              <w:rPr>
                <w:rFonts w:ascii="Aptos" w:hAnsi="Aptos"/>
                <w:b w:val="0"/>
                <w:sz w:val="16"/>
              </w:rPr>
              <w:t>rsID for this row.</w:t>
            </w:r>
          </w:p>
        </w:tc>
      </w:tr>
      <w:tr>
        <w:trPr>
          <w:cantSplit/>
        </w:trPr>
        <w:tc>
          <w:tcPr>
            <w:tcW w:type="dxa" w:w="3600"/>
            <w:vAlign w:val="center"/>
            <w:shd w:fill="F7FAFC"/>
          </w:tcPr>
          <w:p>
            <w:r/>
            <w:r>
              <w:rPr>
                <w:rFonts w:ascii="Aptos" w:hAnsi="Aptos"/>
                <w:b w:val="0"/>
                <w:sz w:val="16"/>
              </w:rPr>
              <w:t>gene</w:t>
            </w:r>
          </w:p>
        </w:tc>
        <w:tc>
          <w:tcPr>
            <w:tcW w:type="dxa" w:w="6192"/>
            <w:vAlign w:val="center"/>
            <w:shd w:fill="F7FAFC"/>
          </w:tcPr>
          <w:p>
            <w:r/>
            <w:r>
              <w:rPr>
                <w:rFonts w:ascii="Aptos" w:hAnsi="Aptos"/>
                <w:b w:val="0"/>
                <w:sz w:val="16"/>
              </w:rPr>
              <w:t>Gene/group label.</w:t>
            </w:r>
          </w:p>
        </w:tc>
      </w:tr>
      <w:tr>
        <w:trPr>
          <w:cantSplit/>
        </w:trPr>
        <w:tc>
          <w:tcPr>
            <w:tcW w:type="dxa" w:w="3600"/>
            <w:vAlign w:val="center"/>
          </w:tcPr>
          <w:p>
            <w:r/>
            <w:r>
              <w:rPr>
                <w:rFonts w:ascii="Aptos" w:hAnsi="Aptos"/>
                <w:b w:val="0"/>
                <w:sz w:val="16"/>
              </w:rPr>
              <w:t>meaning</w:t>
            </w:r>
          </w:p>
        </w:tc>
        <w:tc>
          <w:tcPr>
            <w:tcW w:type="dxa" w:w="6192"/>
            <w:vAlign w:val="center"/>
          </w:tcPr>
          <w:p>
            <w:r/>
            <w:r>
              <w:rPr>
                <w:rFonts w:ascii="Aptos" w:hAnsi="Aptos"/>
                <w:b w:val="0"/>
                <w:sz w:val="16"/>
              </w:rPr>
              <w:t>Human-readable marker meaning.</w:t>
            </w:r>
          </w:p>
        </w:tc>
      </w:tr>
      <w:tr>
        <w:trPr>
          <w:cantSplit/>
        </w:trPr>
        <w:tc>
          <w:tcPr>
            <w:tcW w:type="dxa" w:w="3600"/>
            <w:vAlign w:val="center"/>
            <w:shd w:fill="F7FAFC"/>
          </w:tcPr>
          <w:p>
            <w:r/>
            <w:r>
              <w:rPr>
                <w:rFonts w:ascii="Aptos" w:hAnsi="Aptos"/>
                <w:b w:val="0"/>
                <w:sz w:val="16"/>
              </w:rPr>
              <w:t>group</w:t>
            </w:r>
          </w:p>
        </w:tc>
        <w:tc>
          <w:tcPr>
            <w:tcW w:type="dxa" w:w="6192"/>
            <w:vAlign w:val="center"/>
            <w:shd w:fill="F7FAFC"/>
          </w:tcPr>
          <w:p>
            <w:r/>
            <w:r>
              <w:rPr>
                <w:rFonts w:ascii="Aptos" w:hAnsi="Aptos"/>
                <w:b w:val="0"/>
                <w:sz w:val="16"/>
              </w:rPr>
              <w:t>core / expanded / additional.</w:t>
            </w:r>
          </w:p>
        </w:tc>
      </w:tr>
      <w:tr>
        <w:trPr>
          <w:cantSplit/>
        </w:trPr>
        <w:tc>
          <w:tcPr>
            <w:tcW w:type="dxa" w:w="3600"/>
            <w:vAlign w:val="center"/>
          </w:tcPr>
          <w:p>
            <w:r/>
            <w:r>
              <w:rPr>
                <w:rFonts w:ascii="Aptos" w:hAnsi="Aptos"/>
                <w:b w:val="0"/>
                <w:sz w:val="16"/>
              </w:rPr>
              <w:t>status</w:t>
            </w:r>
          </w:p>
        </w:tc>
        <w:tc>
          <w:tcPr>
            <w:tcW w:type="dxa" w:w="6192"/>
            <w:vAlign w:val="center"/>
          </w:tcPr>
          <w:p>
            <w:r/>
            <w:r>
              <w:rPr>
                <w:rFonts w:ascii="Aptos" w:hAnsi="Aptos"/>
                <w:b w:val="0"/>
                <w:sz w:val="16"/>
              </w:rPr>
              <w:t>CALLED / UNAVAILABLE / other parser status.</w:t>
            </w:r>
          </w:p>
        </w:tc>
      </w:tr>
      <w:tr>
        <w:trPr>
          <w:cantSplit/>
        </w:trPr>
        <w:tc>
          <w:tcPr>
            <w:tcW w:type="dxa" w:w="3600"/>
            <w:vAlign w:val="center"/>
            <w:shd w:fill="F7FAFC"/>
          </w:tcPr>
          <w:p>
            <w:r/>
            <w:r>
              <w:rPr>
                <w:rFonts w:ascii="Aptos" w:hAnsi="Aptos"/>
                <w:b w:val="0"/>
                <w:sz w:val="16"/>
              </w:rPr>
              <w:t>vcf_gt</w:t>
            </w:r>
          </w:p>
        </w:tc>
        <w:tc>
          <w:tcPr>
            <w:tcW w:type="dxa" w:w="6192"/>
            <w:vAlign w:val="center"/>
            <w:shd w:fill="F7FAFC"/>
          </w:tcPr>
          <w:p>
            <w:r/>
            <w:r>
              <w:rPr>
                <w:rFonts w:ascii="Aptos" w:hAnsi="Aptos"/>
                <w:b w:val="0"/>
                <w:sz w:val="16"/>
              </w:rPr>
              <w:t>Original numeric GT from VCF.</w:t>
            </w:r>
          </w:p>
        </w:tc>
      </w:tr>
      <w:tr>
        <w:trPr>
          <w:cantSplit/>
        </w:trPr>
        <w:tc>
          <w:tcPr>
            <w:tcW w:type="dxa" w:w="3600"/>
            <w:vAlign w:val="center"/>
          </w:tcPr>
          <w:p>
            <w:r/>
            <w:r>
              <w:rPr>
                <w:rFonts w:ascii="Aptos" w:hAnsi="Aptos"/>
                <w:b w:val="0"/>
                <w:sz w:val="16"/>
              </w:rPr>
              <w:t>genotype</w:t>
            </w:r>
          </w:p>
        </w:tc>
        <w:tc>
          <w:tcPr>
            <w:tcW w:type="dxa" w:w="6192"/>
            <w:vAlign w:val="center"/>
          </w:tcPr>
          <w:p>
            <w:r/>
            <w:r>
              <w:rPr>
                <w:rFonts w:ascii="Aptos" w:hAnsi="Aptos"/>
                <w:b w:val="0"/>
                <w:sz w:val="16"/>
              </w:rPr>
              <w:t>Decoded allele genotype.</w:t>
            </w:r>
          </w:p>
        </w:tc>
      </w:tr>
      <w:tr>
        <w:trPr>
          <w:cantSplit/>
        </w:trPr>
        <w:tc>
          <w:tcPr>
            <w:tcW w:type="dxa" w:w="3600"/>
            <w:vAlign w:val="center"/>
            <w:shd w:fill="F7FAFC"/>
          </w:tcPr>
          <w:p>
            <w:r/>
            <w:r>
              <w:rPr>
                <w:rFonts w:ascii="Aptos" w:hAnsi="Aptos"/>
                <w:b w:val="0"/>
                <w:sz w:val="16"/>
              </w:rPr>
              <w:t>chrom / pos / ref / alt</w:t>
            </w:r>
          </w:p>
        </w:tc>
        <w:tc>
          <w:tcPr>
            <w:tcW w:type="dxa" w:w="6192"/>
            <w:vAlign w:val="center"/>
            <w:shd w:fill="F7FAFC"/>
          </w:tcPr>
          <w:p>
            <w:r/>
            <w:r>
              <w:rPr>
                <w:rFonts w:ascii="Aptos" w:hAnsi="Aptos"/>
                <w:b w:val="0"/>
                <w:sz w:val="16"/>
              </w:rPr>
              <w:t>VCF locus metadata.</w:t>
            </w:r>
          </w:p>
        </w:tc>
      </w:tr>
    </w:tbl>
    <w:p>
      <w:pPr>
        <w:spacing w:after="20"/>
      </w:pPr>
    </w:p>
    <w:p>
      <w:pPr>
        <w:pStyle w:val="Heading1"/>
        <w:keepNext/>
      </w:pPr>
      <w:r>
        <w:t>Appendix C. Example API Request/Response</w:t>
      </w:r>
    </w:p>
    <w:p>
      <w:r>
        <w:t>The browser normally sends multipart/form-data. An equivalent command-line request can be used for integration testing:</w:t>
      </w:r>
    </w:p>
    <w:p>
      <w:pPr>
        <w:pStyle w:val="CodeBlock"/>
        <w:keepLines/>
        <w:shd w:fill="F1F5F8"/>
      </w:pPr>
      <w:r>
        <w:rPr>
          <w:rFonts w:ascii="Consolas" w:hAnsi="Consolas"/>
          <w:sz w:val="16"/>
        </w:rPr>
        <w:t>curl -X POST http://127.0.0.1:5000/api/calculate \</w:t>
        <w:br/>
        <w:t xml:space="preserve">  -F age=64 \</w:t>
        <w:br/>
        <w:t xml:space="preserve">  -F height_cm=172 \</w:t>
        <w:br/>
        <w:t xml:space="preserve">  -F weight_kg=78 \</w:t>
        <w:br/>
        <w:t xml:space="preserve">  -F population=white_other \</w:t>
        <w:br/>
        <w:t xml:space="preserve">  -F target_inr=2.0-3.0 \</w:t>
        <w:br/>
        <w:t xml:space="preserve">  -F amiodarone=false \</w:t>
        <w:br/>
        <w:t xml:space="preserve">  -F enzyme_inducer=false \</w:t>
        <w:br/>
        <w:t xml:space="preserve">  -F genetic_file=@results/warfarin_inputs/Warfarin_Input_sample.csv</w:t>
      </w:r>
    </w:p>
    <w:p>
      <w:pPr>
        <w:pStyle w:val="CodeBlock"/>
        <w:keepLines/>
        <w:shd w:fill="F1F5F8"/>
      </w:pPr>
      <w:r>
        <w:rPr>
          <w:rFonts w:ascii="Consolas" w:hAnsi="Consolas"/>
          <w:sz w:val="16"/>
        </w:rPr>
        <w:t>Representative response shape:</w:t>
        <w:br/>
        <w:t>{</w:t>
        <w:br/>
        <w:t xml:space="preserve">  "method": "pharmacogenetic_iwpc",</w:t>
        <w:br/>
        <w:t xml:space="preserve">  "method_label": "IWPC pharmacogenetic algorithm",</w:t>
        <w:br/>
        <w:t xml:space="preserve">  "pathway_reason": "...",</w:t>
        <w:br/>
        <w:t xml:space="preserve">  "weekly_mg": 29.5,</w:t>
        <w:br/>
        <w:t xml:space="preserve">  "daily_average_mg": 4.2,</w:t>
        <w:br/>
        <w:t xml:space="preserve">  "genetic_summary": {...},</w:t>
        <w:br/>
        <w:t xml:space="preserve">  "pgx_notes": [...],</w:t>
        <w:br/>
        <w:t xml:space="preserve">  "warnings": [...],</w:t>
        <w:br/>
        <w:t xml:space="preserve">  "fda_label_reference": "... or null",</w:t>
        <w:br/>
        <w:t xml:space="preserve">  "calculator_version": "1.3.1"</w:t>
        <w:br/>
        <w:t>}</w:t>
      </w:r>
    </w:p>
    <w:p>
      <w:pPr>
        <w:pStyle w:val="Heading1"/>
        <w:keepNext/>
      </w:pPr>
      <w:r>
        <w:t>Appendix D. Scientific References Carried by the Project</w:t>
      </w:r>
    </w:p>
    <w:p>
      <w:r>
        <w:t>The uploaded calculator README identifies the following references as the scientific basis used by the project. This technical document records those project references; it does not independently re-validate or replace the source publications.</w:t>
      </w:r>
    </w:p>
    <w:p>
      <w:pPr>
        <w:pStyle w:val="ListBullet"/>
      </w:pPr>
      <w:r>
        <w:t>International Warfarin Pharmacogenetics Consortium (IWPC). Estimation of the warfarin dose with clinical and pharmacogenetic data. New England Journal of Medicine. 2009;360(8):753–764. DOI: 10.1056/NEJMoa0809329.</w:t>
      </w:r>
    </w:p>
    <w:p>
      <w:pPr>
        <w:pStyle w:val="ListBullet"/>
      </w:pPr>
      <w:r>
        <w:t>Johnson JA, Caudle KE, Gong L, et al. Clinical Pharmacogenetics Implementation Consortium (CPIC) Guideline for Pharmacogenetics-Guided Warfarin Dosing: 2017 Update. Clinical Pharmacology &amp; Therapeutics. 2017;102(3):397–404.</w:t>
      </w:r>
    </w:p>
    <w:p>
      <w:pPr>
        <w:pStyle w:val="ListBullet"/>
      </w:pPr>
      <w:r>
        <w:t>CPIC Warfarin Guideline supplementary material and evidence tables (2017).</w:t>
      </w:r>
    </w:p>
    <w:p>
      <w:pPr>
        <w:pStyle w:val="ListBullet"/>
      </w:pPr>
      <w:r>
        <w:t>U.S. National Library of Medicine / DailyMed. Warfarin Sodium Tablets Prescribing Information; genotype-related expected maintenance-dose ranges.</w:t>
      </w:r>
    </w:p>
    <w:p>
      <w:pPr>
        <w:pStyle w:val="ListBullet"/>
      </w:pPr>
      <w:r>
        <w:t>U.S. Food and Drug Administration. Direct-to-Consumer Tests: Pharmacogenetic Tests.</w:t>
      </w:r>
    </w:p>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16B"/>
        <w:sz w:val="14"/>
      </w:rPr>
      <w:t>Internal Technical Documentation  •  Warfarin Calculator + PGx Step 2b Integration</w:t>
    </w:r>
  </w:p>
  <w:p>
    <w:pPr>
      <w:jc w:val="right"/>
    </w:pPr>
    <w:r>
      <w:rPr>
        <w:color w:val="56616B"/>
        <w:sz w:val="14"/>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8A6B8"/>
        <w:sz w:val="15"/>
      </w:rPr>
      <w:t>XCODE LIFE  |  PHARMACOGENOMICS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23D79"/>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8A6B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23D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023D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173"/>
    </w:pPr>
    <w:rPr>
      <w:rFonts w:ascii="Consolas" w:hAnsi="Consolas"/>
      <w:color w:val="2434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Xcode Life Warfarin Dosing Calculator — Technical Documentation &amp; PGx Integration Guide</dc:title>
  <dc:subject>Internal engineering handover documentation for the Warfarin calculator and PGx Step 2b integration</dc:subject>
  <dc:creator>Xcode Life</dc:creator>
  <cp:keywords/>
  <dc:description>Generated from the supplied Xcode Warfarin Calculator source package and PGx Step 2b implementation.</dc:description>
  <cp:lastModifiedBy/>
  <cp:revision>1</cp:revision>
  <dcterms:created xsi:type="dcterms:W3CDTF">2013-12-23T23:15:00Z</dcterms:created>
  <dcterms:modified xsi:type="dcterms:W3CDTF">2013-12-23T23:15:00Z</dcterms:modified>
  <cp:category/>
</cp:coreProperties>
</file>