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Selection Rationale</w:t>
      </w:r>
    </w:p>
    <w:p w:rsidR="00000000" w:rsidDel="00000000" w:rsidP="00000000" w:rsidRDefault="00000000" w:rsidRPr="00000000" w14:paraId="00000002">
      <w:pPr>
        <w:spacing w:after="240" w:before="240" w:lineRule="auto"/>
        <w:rPr/>
      </w:pPr>
      <w:r w:rsidDel="00000000" w:rsidR="00000000" w:rsidRPr="00000000">
        <w:rPr>
          <w:rtl w:val="0"/>
        </w:rPr>
        <w:t xml:space="preserve">scikit-learn was selected as the primary OSS because it directly addresses the core problem of incident ticket categorization and urgency detection while remaining lightweight, flexible, and easy to integrate into the hospital’s existing platforms and services. Unlike OpenEMR and Medplum, which are designed as full electronic health record systems or comprehensive healthcare platforms, scikit-learn supports targeted, data-driven decision assistance without requiring system replacement or significant infrastructure changes. This makes it a well-suited choice for small hospitals or clinics seeking to improve operational efficiency through incremental, low-risk automation.</w:t>
      </w:r>
    </w:p>
    <w:p w:rsidR="00000000" w:rsidDel="00000000" w:rsidP="00000000" w:rsidRDefault="00000000" w:rsidRPr="00000000" w14:paraId="00000003">
      <w:pPr>
        <w:keepNext w:val="0"/>
        <w:keepLines w:val="0"/>
        <w:spacing w:after="80" w:lineRule="auto"/>
        <w:rPr>
          <w:b w:val="1"/>
          <w:bCs w:val="1"/>
        </w:rPr>
      </w:pPr>
      <w:r w:rsidDel="00000000" w:rsidR="00000000" w:rsidRPr="00000000">
        <w:rPr>
          <w:b w:val="1"/>
          <w:bCs w:val="1"/>
          <w:rtl w:val="0"/>
        </w:rPr>
        <w:t xml:space="preserve">Comparison of OSS Options and Selection Rationale</w:t>
      </w:r>
    </w:p>
    <w:tbl>
      <w:tblPr>
        <w:tblStyle w:val="Table1"/>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3090"/>
        <w:gridCol w:w="2190"/>
        <w:gridCol w:w="2595"/>
        <w:tblGridChange w:id="0">
          <w:tblGrid>
            <w:gridCol w:w="1905"/>
            <w:gridCol w:w="3090"/>
            <w:gridCol w:w="2190"/>
            <w:gridCol w:w="25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scikit-learn (Chosen 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OpenEMR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Medplum</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Primary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General-purpose machine learning library for classification, prediction, and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Full-featured EHR and practice management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API-first healthcare platform for building custom EHR applications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Relevance to 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Directly supports text classification and urgency prediction for incident tickets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Not designed for incident triage or ticket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Focused on healthcare data interoperability, not ML-based triage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Scope 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Narrow, focused, and well-scoped for internal decision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Broad, enterprise-level clinical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Platform-level infrastructure requiring significant system design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Implementation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Low to moderate; lightweight Python-based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High; requires full EHR deployment and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Moderate to high; requires backend engineering and FHIR expertise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Infrastructure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Minimal; can run on existing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Significant; database, hosting, and compliance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Moderate; requires secure API infrastructure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Flexibility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Highly flexible; can be applied to multiple classification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Limited to predefined EHR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Flexible but requires substantial customization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Explainability &amp;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Supports interpretable models suitable for regulated environments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Clinical system focus; limited ML explainability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Depends on custom implementations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Licensing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BSD (permissive open-source)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GNU GPL (strong copyleft)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Apache 2.0 (permissive)</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2"/>
        <w:tblW w:w="9360.0" w:type="dxa"/>
        <w:jc w:val="left"/>
        <w:tblBorders>
          <w:top w:color="6fa8dc" w:space="0" w:sz="8" w:val="single"/>
          <w:left w:color="6fa8dc" w:space="0" w:sz="8" w:val="single"/>
          <w:bottom w:color="6fa8dc" w:space="0" w:sz="8" w:val="single"/>
          <w:right w:color="6fa8dc" w:space="0" w:sz="8" w:val="single"/>
          <w:insideH w:color="6fa8dc" w:space="0" w:sz="8" w:val="single"/>
          <w:insideV w:color="6fa8dc" w:space="0" w:sz="8" w:val="single"/>
        </w:tblBorders>
        <w:tblLayout w:type="fixed"/>
        <w:tblLook w:val="0600"/>
      </w:tblPr>
      <w:tblGrid>
        <w:gridCol w:w="1943.4728033472802"/>
        <w:gridCol w:w="2516.234309623431"/>
        <w:gridCol w:w="2281.2552301255228"/>
        <w:gridCol w:w="2619.0376569037658"/>
        <w:tblGridChange w:id="0">
          <w:tblGrid>
            <w:gridCol w:w="1943.4728033472802"/>
            <w:gridCol w:w="2516.234309623431"/>
            <w:gridCol w:w="2281.2552301255228"/>
            <w:gridCol w:w="2619.0376569037658"/>
          </w:tblGrid>
        </w:tblGridChange>
      </w:tblGrid>
      <w:tr>
        <w:trPr>
          <w:cantSplit w:val="0"/>
          <w:trHeight w:val="770" w:hRule="atLeast"/>
          <w:tblHeader w:val="0"/>
        </w:trPr>
        <w:tc>
          <w:tcPr>
            <w:tcBorders>
              <w:top w:color="6fa8dc" w:space="0" w:sz="8" w:val="single"/>
              <w:left w:color="6fa8dc" w:space="0" w:sz="8" w:val="single"/>
              <w:bottom w:color="6fa8dc" w:space="0" w:sz="8" w:val="single"/>
              <w:right w:color="6fa8d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Criteria</w:t>
            </w:r>
            <w:r w:rsidDel="00000000" w:rsidR="00000000" w:rsidRPr="00000000">
              <w:rPr>
                <w:rtl w:val="0"/>
              </w:rPr>
            </w:r>
          </w:p>
        </w:tc>
        <w:tc>
          <w:tcPr>
            <w:tcBorders>
              <w:top w:color="6fa8dc" w:space="0" w:sz="8" w:val="single"/>
              <w:left w:color="6fa8dc" w:space="0" w:sz="8" w:val="single"/>
              <w:bottom w:color="6fa8dc" w:space="0" w:sz="8" w:val="single"/>
              <w:right w:color="6fa8d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scikit-learn (Chosen OSS)</w:t>
            </w:r>
            <w:r w:rsidDel="00000000" w:rsidR="00000000" w:rsidRPr="00000000">
              <w:rPr>
                <w:rtl w:val="0"/>
              </w:rPr>
            </w:r>
          </w:p>
        </w:tc>
        <w:tc>
          <w:tcPr>
            <w:tcBorders>
              <w:top w:color="6fa8dc" w:space="0" w:sz="8" w:val="single"/>
              <w:left w:color="6fa8dc" w:space="0" w:sz="8" w:val="single"/>
              <w:bottom w:color="6fa8dc" w:space="0" w:sz="8" w:val="single"/>
              <w:right w:color="6fa8d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OpenEMR</w:t>
            </w:r>
            <w:r w:rsidDel="00000000" w:rsidR="00000000" w:rsidRPr="00000000">
              <w:rPr>
                <w:rtl w:val="0"/>
              </w:rPr>
            </w:r>
          </w:p>
        </w:tc>
        <w:tc>
          <w:tcPr>
            <w:tcBorders>
              <w:top w:color="6fa8dc" w:space="0" w:sz="8" w:val="single"/>
              <w:left w:color="6fa8dc" w:space="0" w:sz="8" w:val="single"/>
              <w:bottom w:color="6fa8dc" w:space="0" w:sz="8" w:val="single"/>
              <w:right w:color="6fa8d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Medplum</w:t>
            </w:r>
            <w:r w:rsidDel="00000000" w:rsidR="00000000" w:rsidRPr="00000000">
              <w:rPr>
                <w:rtl w:val="0"/>
              </w:rPr>
            </w:r>
          </w:p>
        </w:tc>
      </w:tr>
      <w:tr>
        <w:trPr>
          <w:cantSplit w:val="0"/>
          <w:trHeight w:val="1850" w:hRule="atLeast"/>
          <w:tblHeader w:val="0"/>
        </w:trPr>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Primary Purpose</w:t>
            </w:r>
            <w:r w:rsidDel="00000000" w:rsidR="00000000" w:rsidRPr="00000000">
              <w:rPr>
                <w:rtl w:val="0"/>
              </w:rPr>
            </w:r>
          </w:p>
        </w:tc>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Open-source machine learning library for classification, regression, clustering, and analytics in Python. </w:t>
            </w:r>
          </w:p>
        </w:tc>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Open-source medical practice management and electronic health records (EHR) software. </w:t>
            </w:r>
          </w:p>
        </w:tc>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Open-source healthcare developer platform to build FHIR-compliant apps (headless EHR/data platform). </w:t>
            </w:r>
          </w:p>
        </w:tc>
      </w:tr>
      <w:tr>
        <w:trPr>
          <w:cantSplit w:val="0"/>
          <w:trHeight w:val="2120" w:hRule="atLeast"/>
          <w:tblHeader w:val="0"/>
        </w:trPr>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Relevance to Problem</w:t>
            </w:r>
            <w:r w:rsidDel="00000000" w:rsidR="00000000" w:rsidRPr="00000000">
              <w:rPr>
                <w:rtl w:val="0"/>
              </w:rPr>
            </w:r>
          </w:p>
        </w:tc>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Directly supports text classification, prediction, and analytics tasks, suitable for incident ticket categorization).</w:t>
            </w:r>
          </w:p>
        </w:tc>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Designed for full clinical operations scheduling, billing, records not ML-centric triage. </w:t>
            </w:r>
          </w:p>
        </w:tc>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Designed for building custom healthcare applications; not a machine-learning toolkit. </w:t>
            </w:r>
          </w:p>
        </w:tc>
      </w:tr>
      <w:tr>
        <w:trPr>
          <w:cantSplit w:val="0"/>
          <w:trHeight w:val="1580" w:hRule="atLeast"/>
          <w:tblHeader w:val="0"/>
        </w:trPr>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Scope Fit</w:t>
            </w:r>
            <w:r w:rsidDel="00000000" w:rsidR="00000000" w:rsidRPr="00000000">
              <w:rPr>
                <w:rtl w:val="0"/>
              </w:rPr>
            </w:r>
          </w:p>
        </w:tc>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Narrowly scoped to ML tasks; integrates with Python ecosystems. </w:t>
            </w:r>
          </w:p>
        </w:tc>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Broad scope covering clinical workflows and practice management. </w:t>
            </w:r>
          </w:p>
        </w:tc>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Broad SDK/API platform for healthcare apps based on FHIR standards. </w:t>
            </w:r>
          </w:p>
        </w:tc>
      </w:tr>
      <w:tr>
        <w:trPr>
          <w:cantSplit w:val="0"/>
          <w:trHeight w:val="1580" w:hRule="atLeast"/>
          <w:tblHeader w:val="0"/>
        </w:trPr>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Implementation Complexity</w:t>
            </w:r>
            <w:r w:rsidDel="00000000" w:rsidR="00000000" w:rsidRPr="00000000">
              <w:rPr>
                <w:rtl w:val="0"/>
              </w:rPr>
            </w:r>
          </w:p>
        </w:tc>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Low–moderate; simple Python integration and model training. </w:t>
            </w:r>
          </w:p>
        </w:tc>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High; full EHR stack deployable with database and web server setup. </w:t>
            </w:r>
          </w:p>
        </w:tc>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Moderate–high; requires FHIR knowledge and backend application development. </w:t>
            </w:r>
          </w:p>
        </w:tc>
      </w:tr>
      <w:tr>
        <w:trPr>
          <w:cantSplit w:val="0"/>
          <w:trHeight w:val="1850" w:hRule="atLeast"/>
          <w:tblHeader w:val="0"/>
        </w:trPr>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Infrastructure Requirements</w:t>
            </w:r>
            <w:r w:rsidDel="00000000" w:rsidR="00000000" w:rsidRPr="00000000">
              <w:rPr>
                <w:rtl w:val="0"/>
              </w:rPr>
            </w:r>
          </w:p>
        </w:tc>
        <w:tc>
          <w:tcPr>
            <w:tcBorders>
              <w:top w:color="6fa8dc" w:space="0" w:sz="8" w:val="single"/>
              <w:left w:color="6fa8dc" w:space="0" w:sz="8" w:val="single"/>
              <w:bottom w:color="6fa8dc" w:space="0" w:sz="8" w:val="single"/>
              <w:right w:color="6fa8dc"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Minimal; runs on existing Python environments. </w:t>
            </w:r>
          </w:p>
        </w:tc>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Significant; database servers, hosting, compliance infrastructure for clinical data. </w:t>
            </w:r>
          </w:p>
        </w:tc>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Moderate; developer backend, FHIR datastore, and secure APIs. </w:t>
            </w:r>
          </w:p>
        </w:tc>
      </w:tr>
      <w:tr>
        <w:trPr>
          <w:cantSplit w:val="0"/>
          <w:trHeight w:val="1310" w:hRule="atLeast"/>
          <w:tblHeader w:val="0"/>
        </w:trPr>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Flexibility</w:t>
            </w:r>
            <w:r w:rsidDel="00000000" w:rsidR="00000000" w:rsidRPr="00000000">
              <w:rPr>
                <w:rtl w:val="0"/>
              </w:rPr>
            </w:r>
          </w:p>
        </w:tc>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Highly flexible; supports many ML algorithms and workflows. </w:t>
            </w:r>
          </w:p>
        </w:tc>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Limited flexibility outside built-in EHR features. </w:t>
            </w:r>
          </w:p>
        </w:tc>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Flexible platform; customizable APIs and workflows for healthcare apps. </w:t>
            </w:r>
          </w:p>
        </w:tc>
      </w:tr>
      <w:tr>
        <w:trPr>
          <w:cantSplit w:val="0"/>
          <w:trHeight w:val="1310" w:hRule="atLeast"/>
          <w:tblHeader w:val="0"/>
        </w:trPr>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Explainability &amp; Control</w:t>
            </w:r>
            <w:r w:rsidDel="00000000" w:rsidR="00000000" w:rsidRPr="00000000">
              <w:rPr>
                <w:rtl w:val="0"/>
              </w:rPr>
            </w:r>
          </w:p>
        </w:tc>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Supports interpretable ML models and pipelines.</w:t>
            </w:r>
          </w:p>
        </w:tc>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Not focused on ML explainability; core is clinical records. </w:t>
            </w:r>
          </w:p>
        </w:tc>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Not inherently ML-focused; ML workflows must be custom built. </w:t>
            </w:r>
          </w:p>
        </w:tc>
      </w:tr>
      <w:tr>
        <w:trPr>
          <w:cantSplit w:val="0"/>
          <w:trHeight w:val="1850" w:hRule="atLeast"/>
          <w:tblHeader w:val="0"/>
        </w:trPr>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Licensing</w:t>
            </w:r>
            <w:r w:rsidDel="00000000" w:rsidR="00000000" w:rsidRPr="00000000">
              <w:rPr>
                <w:rtl w:val="0"/>
              </w:rPr>
            </w:r>
          </w:p>
        </w:tc>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BSD License (permissive). </w:t>
            </w:r>
          </w:p>
        </w:tc>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GNU GPL (strong copyleft).</w:t>
            </w:r>
          </w:p>
        </w:tc>
        <w:tc>
          <w:tcPr>
            <w:tcBorders>
              <w:top w:color="6fa8dc" w:space="0" w:sz="8" w:val="single"/>
              <w:left w:color="6fa8dc" w:space="0" w:sz="8" w:val="single"/>
              <w:bottom w:color="6fa8dc" w:space="0" w:sz="8" w:val="single"/>
              <w:right w:color="6fa8dc"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Open source (Apache-style or permissive user-facing license platform components are community accessible). </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7zgar1qdi16r" w:id="0"/>
      <w:bookmarkEnd w:id="0"/>
      <w:r w:rsidDel="00000000" w:rsidR="00000000" w:rsidRPr="00000000">
        <w:rPr>
          <w:b w:val="1"/>
          <w:bCs w:val="1"/>
          <w:color w:val="000000"/>
          <w:sz w:val="26"/>
          <w:szCs w:val="26"/>
          <w:rtl w:val="0"/>
        </w:rPr>
        <w:t xml:space="preserve">📚 Citations for Scikit-learn</w:t>
      </w:r>
    </w:p>
    <w:p w:rsidR="00000000" w:rsidDel="00000000" w:rsidP="00000000" w:rsidRDefault="00000000" w:rsidRPr="00000000" w14:paraId="00000051">
      <w:pPr>
        <w:numPr>
          <w:ilvl w:val="0"/>
          <w:numId w:val="3"/>
        </w:numPr>
        <w:spacing w:after="240" w:before="240" w:lineRule="auto"/>
        <w:ind w:left="720" w:hanging="360"/>
      </w:pPr>
      <w:r w:rsidDel="00000000" w:rsidR="00000000" w:rsidRPr="00000000">
        <w:rPr>
          <w:rtl w:val="0"/>
        </w:rPr>
        <w:t xml:space="preserve">scikit-learn is a free, open-source machine learning library for Python with classification, regression, clustering, and other ML algorithms, licensed under the BSD license.</w:t>
        <w:br w:type="textWrapping"/>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ls8uvj7o77c" w:id="1"/>
      <w:bookmarkEnd w:id="1"/>
      <w:r w:rsidDel="00000000" w:rsidR="00000000" w:rsidRPr="00000000">
        <w:rPr>
          <w:b w:val="1"/>
          <w:bCs w:val="1"/>
          <w:color w:val="000000"/>
          <w:sz w:val="26"/>
          <w:szCs w:val="26"/>
          <w:rtl w:val="0"/>
        </w:rPr>
        <w:t xml:space="preserve">📚 Citations for OpenEMR</w:t>
      </w:r>
    </w:p>
    <w:p w:rsidR="00000000" w:rsidDel="00000000" w:rsidP="00000000" w:rsidRDefault="00000000" w:rsidRPr="00000000" w14:paraId="00000053">
      <w:pPr>
        <w:numPr>
          <w:ilvl w:val="0"/>
          <w:numId w:val="1"/>
        </w:numPr>
        <w:spacing w:after="240" w:before="240" w:lineRule="auto"/>
        <w:ind w:left="720" w:hanging="360"/>
      </w:pPr>
      <w:r w:rsidDel="00000000" w:rsidR="00000000" w:rsidRPr="00000000">
        <w:rPr>
          <w:rtl w:val="0"/>
        </w:rPr>
        <w:t xml:space="preserve">OpenEMR is an open-source medical practice management and electronic medical records (EHR) system licensed under the GNU General Public License (GPL).</w:t>
        <w:br w:type="textWrapping"/>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g8fdsq2425q9" w:id="2"/>
      <w:bookmarkEnd w:id="2"/>
      <w:r w:rsidDel="00000000" w:rsidR="00000000" w:rsidRPr="00000000">
        <w:rPr>
          <w:b w:val="1"/>
          <w:bCs w:val="1"/>
          <w:color w:val="000000"/>
          <w:sz w:val="26"/>
          <w:szCs w:val="26"/>
          <w:rtl w:val="0"/>
        </w:rPr>
        <w:t xml:space="preserve">📚 Citations for Medplum</w:t>
      </w:r>
    </w:p>
    <w:p w:rsidR="00000000" w:rsidDel="00000000" w:rsidP="00000000" w:rsidRDefault="00000000" w:rsidRPr="00000000" w14:paraId="00000055">
      <w:pPr>
        <w:numPr>
          <w:ilvl w:val="0"/>
          <w:numId w:val="2"/>
        </w:numPr>
        <w:spacing w:after="0" w:afterAutospacing="0" w:before="240" w:lineRule="auto"/>
        <w:ind w:left="720" w:hanging="360"/>
      </w:pPr>
      <w:r w:rsidDel="00000000" w:rsidR="00000000" w:rsidRPr="00000000">
        <w:rPr>
          <w:rtl w:val="0"/>
        </w:rPr>
        <w:t xml:space="preserve">Medplum is an open-source healthcare developer platform for building healthcare applications.</w:t>
        <w:br w:type="textWrapping"/>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Medplum’s source code is licensed under the Apache-2.0 open-source license.</w:t>
        <w:br w:type="textWrapping"/>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rtl w:val="0"/>
        </w:rPr>
        <w:t xml:space="preserve">Medplum is based on the FHIR API and is “FHIR Native,” meaning it stores data in FHIR format. </w:t>
        <w:br w:type="textWrapping"/>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RISK ANALYSIS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3"/>
        <w:tblW w:w="11070.0" w:type="dxa"/>
        <w:jc w:val="left"/>
        <w:tblInd w:w="-9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2085"/>
        <w:gridCol w:w="1725"/>
        <w:gridCol w:w="1260"/>
        <w:gridCol w:w="915"/>
        <w:gridCol w:w="975"/>
        <w:gridCol w:w="2370"/>
        <w:tblGridChange w:id="0">
          <w:tblGrid>
            <w:gridCol w:w="1740"/>
            <w:gridCol w:w="2085"/>
            <w:gridCol w:w="1725"/>
            <w:gridCol w:w="1260"/>
            <w:gridCol w:w="915"/>
            <w:gridCol w:w="975"/>
            <w:gridCol w:w="2370"/>
          </w:tblGrid>
        </w:tblGridChange>
      </w:tblGrid>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Description of Risk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Potential Impact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Likelihood Level (1–5)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Impact Level (1–5)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Priority Level (L × 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Mitigation Strategy</w:t>
            </w:r>
            <w:r w:rsidDel="00000000" w:rsidR="00000000" w:rsidRPr="00000000">
              <w:rPr>
                <w:rtl w:val="0"/>
              </w:rPr>
            </w:r>
          </w:p>
        </w:tc>
      </w:tr>
      <w:tr>
        <w:trPr>
          <w:cantSplit w:val="0"/>
          <w:trHeight w:val="18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Strategic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Failure to scale services as hospital support demand increases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Reduced competitiveness and inability to meet client expectations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Gradual automation of workflows; invest in data-driven decision support</w:t>
            </w:r>
          </w:p>
        </w:tc>
      </w:tr>
      <w:tr>
        <w:trPr>
          <w:cantSplit w:val="0"/>
          <w:trHeight w:val="18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Operational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Manual ticket triage causing delays and SLA breaches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Increased response times and disruption to hospital operations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Implement automated ticket categorization with human oversight</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Operational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High ticket volume during peak hours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Backlogs and slower response for critical incidents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Prioritization automation; surge handling procedures</w:t>
            </w:r>
          </w:p>
        </w:tc>
      </w:tr>
      <w:tr>
        <w:trPr>
          <w:cantSplit w:val="0"/>
          <w:trHeight w:val="15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Technology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Incorrect classification of critical patient-care tickets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Delays in resolving incidents impacting patient care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Conservative thresholds; human-in-the-loop escalation</w:t>
            </w:r>
          </w:p>
        </w:tc>
      </w:tr>
      <w:tr>
        <w:trPr>
          <w:cantSplit w:val="0"/>
          <w:trHeight w:val="15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Technology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Integration issues with existing helpdesk systems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Deployment delays and workflow disruption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Modular design; phased integration and testing</w:t>
            </w:r>
          </w:p>
        </w:tc>
      </w:tr>
      <w:tr>
        <w:trPr>
          <w:cantSplit w:val="0"/>
          <w:trHeight w:val="15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Poor-quality or inconsistent historical ticket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Reduced model accuracy and unreliable predictions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Data cleaning, validation, and periodic retraining</w:t>
            </w:r>
          </w:p>
        </w:tc>
      </w:tr>
      <w:tr>
        <w:trPr>
          <w:cantSplit w:val="0"/>
          <w:trHeight w:val="15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Regulatory &amp; Compliance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Exposure or mishandling of sensitive healthcare information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Legal penalties and loss of client trust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De-identification, access control, HIPAA-aligned practices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Human Resources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Resistance from staff toward automation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Low adoption and underutilization of the 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Training, transparency, gradual rollout</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Human Resources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Skill gaps in ML or data-driven systems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Increased dependency on a few individuals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Upskilling, documentation, knowledge sharing</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Financial &amp; Continuity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Service downtime during system outages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Financial loss and reputational damage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Backup workflows and manual fallback processes</w:t>
            </w:r>
          </w:p>
        </w:tc>
      </w:tr>
      <w:tr>
        <w:trPr>
          <w:cantSplit w:val="0"/>
          <w:trHeight w:val="15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OSS Dependency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Breaking changes or issues in open-source dependencies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Unexpected maintenance effort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Version pinning; monitor OSS releases</w:t>
            </w:r>
          </w:p>
        </w:tc>
      </w:tr>
    </w:tbl>
    <w:p w:rsidR="00000000" w:rsidDel="00000000" w:rsidP="00000000" w:rsidRDefault="00000000" w:rsidRPr="00000000" w14:paraId="000000B4">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