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1.属于经济学中投资的是（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 电视机滞销，存货增加 B. 邻居为孩子购买的英语培训课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 房客向房东租的房子 D.老王在证交所购买的股票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2.沿着IS曲线，以下说法不正确的是（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A.计划支出等于实际支出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B.计划支出等于收入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C.实际货币余额供求相等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D.没有非计划存货变动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3.若三部门经济里，消费函数为C=150+0.8(y-t)，且政府税收与投资同时增加50亿元，则均衡收入水平将（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 xml:space="preserve">）。  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A.增加100亿元  B．减少50亿元  C．增加50亿元  D．保持不变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4.设一个经济中，政府采购为300，预算赤字为24，国内居民储蓄为244，消费为960，贸易赤字为18，那么，下列哪一论述正确？（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 xml:space="preserve">）  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A.可支配收入为1204  B．国民收入为1480  C．投资为238  D．以上都正确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5.假设一国居民边际消费倾向是0.8，平均税率为0.25，此时，如果中央政府决定增加该国西部高速公路建设财政资金50亿元，给定其他情况不变，那么，根据简单乘数模型，这一政策将会使该国GDP发生怎样的变化？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 </w:t>
      </w:r>
      <w:r>
        <w:rPr>
          <w:rFonts w:ascii="华文宋体" w:eastAsia="华文宋体" w:hAnsi="华文宋体" w:cs="华文宋体" w:hint="eastAsia"/>
          <w:szCs w:val="21"/>
        </w:rPr>
        <w:t xml:space="preserve">）  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A.下降50亿元  B．上升125亿元  C．下降125亿元  D．上升50亿元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6.假设三部门经济的消费函数为C=1500+0.75YD，投资=500，政府购买=550，净税收=300，则均衡国民收入为（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A.9000   B.9300  C.9500  D.9800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7.如果个人收入等于1570，而个人所得税等于90元，消费等于430元，利息支付总额为10元，个人储蓄为40元，个人可支配收入则等于（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A.1440元  B.1480元   C.1470元   D.1570元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8.若不考虑所得税，边际消费倾向为0.6，则乘数为（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A.3       B.2.5      C.5      D.10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9.如果转移支付增加80亿元，而边际储蓄倾向为0.3，则（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A.消费将增加56亿元           B.消费将减少56亿元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C.国民收入将增加80亿元   D.国民收入将减少80亿元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10.在商品市场均衡时，利率为5%，实际国民收入为3.5万亿，自发支出为1.6万亿元，引致支出为1.9万亿元。如果利率下降到4%，引致支出不变，实际国民收入为3.7万亿元，则自发支出为（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A.1.9万亿元    B.1.8万亿元   C.2.1万亿元   D.1.6万亿元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11.如果政府采取紧缩性货币政策，则会：（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A.减少货币供给量，降低利率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B.增加货币供给量，提高利率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C.减少货币供给量，提高利率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D.增加货币供给量，降低利率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12.用支出法计算国内生产总值时：（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A.将人们取得的收入加总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B.将提供物质产品与劳务的各个部门的产值加总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C.将各生产要素在生产中所得到的各种收入加总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D.把购买各种最终产品所支出的货币价值加总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13.一年内在本国领土所生产的最终产品的市场价值总和被称为（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lastRenderedPageBreak/>
        <w:t xml:space="preserve"> A.国民生产总值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B.国内生产总值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C.国内生产净值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D.实际国内生产总值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14. IS-LM模型研究的是：（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A.在利率与投资不变的情况下，总需求对均衡的国民收入的决定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B.在利率与投资变动的情况下，总需求对均衡的国民收入的决定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C.总需求与总供给对国民收入和物价水平的影响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D.在总供给不变的情况下总需求对均衡的国民收入的决定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15.引致消费取决于：（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A.自发消费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B.边际储蓄倾向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C.收入和边际消费倾向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D.收入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16.当经济中存在通货膨胀时，应该采取的财政政策工具是：（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A.增加政府支出和减少税收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B.减少政府支出和减少税收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C.减少政府支出和增加税收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D.增加政府支出和增加税收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17.劳动力总量包括：（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A.工作年龄人口中的所有就业者和失业者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B.总人口中除非工作年龄人口外的所有工作年龄人口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C.总人口数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D.所有失业的工作年龄人口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18.中央银行在公开市场上买进和卖出各种有价证券的目的是：（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A.调节债券价格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B.实现利润最大化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C.调节货币供给量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D.调节价格水平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19.属于紧缩性财政政策工具的是：（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A.减少政府支出和增加税收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B.减少政府支出和减少税收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C.增加政府支出和减少税收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D.增加政府支出和增加税收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20.总需求曲线向右下方倾斜是由于：（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A.物价水平上升时，投资会减少　　B.物价水平上升时，消费会减少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C.物价水平上升时，净出口会减少　D.以上都是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21．在IS曲线不变的情况下，货币量减少会引起：（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A.国内生产总值增加，利率下降　B.国内生产总值增加，利率上升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　　C.国内生产总值减少，利率上升　D.国内生产总值减少，利率下降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22．凯恩斯主义货币政策是要通过对（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）的调节来调节利率，再通过利率的变动影响总需求：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A.贴现率　B.准备率　C.货币供给量　D.货币需求量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23.下述哪项应该计入当年国内生产总值：（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lastRenderedPageBreak/>
        <w:t>A.当年生产的彩电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B.去年生产而在今年销售出去的彩电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C.老王去年购买而在今年转售给他人的彩电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D.企业今年计划在明年生产的彩电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24.根据简单的凯恩斯主义模型，引起国内生产总值减少的原因是：（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A.消费减少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B.储蓄减少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C.消费增加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D.总供给减少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25.在LM曲线不变的情况下，自发性消费支出减少会引起：（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A.国内生产总值增加，利率上升   B.国内生产总值增加，利率不变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C.国内生产总值增加，利率下降   D.国内生产总值减少，利率下降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26.（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）不属于转移支付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A.失业补贴     B.赈灾专款  C.贫困补贴  D.公务用车采购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27.“面粉是中间产品”这一说法（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A.一定是对的     B.一定是不对的      C.可能是对的也可能是不对的   D.以上三种说法全对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28.假定某居民每年的可支配收入为2万元，如果该居民的消费支出为1.7万元，那么（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A.边际消费倾向为0.70         B.边际消费倾向为0.15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C.平均消费倾向为0.75         D. 平均储蓄倾向为0.15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29.根据平均消费倾向、平均储蓄倾向、边际消费倾向、边际储蓄倾向之间的关系，下面（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）这种说法是正确的。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A.如果MPC增加，那么，MPS也增加    B.MPC+APC=1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C.MPC+MPS=APC+APS             D.MPC+MPS &gt;APC+APS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30.下列哪一种财政政策措施将导致国民收入增长最多（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A.政府增加购买50亿元的商品和劳务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B.政府购买增加50亿元，同时增加税收50亿元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C.税收减少50亿元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D.政府支出增加50亿元，其中30亿元由增加的税收弥补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31.利率和收入的组合点位于IS曲线上方、LM曲线下方，表明（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A．投资大于储蓄，货币需求大于货币供给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B．投资大于储蓄，货币需求小于货币供给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C．投资大于储蓄，货币需求等于货币供给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 D．投资小于储蓄，货币需求大于货币供给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32．下面哪种情况会使LM曲线左移（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A．货币供给减少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B．货币供给增加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C．货币投机需求减少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D．货币交易需求减少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33．当LM曲线呈垂直状态时，下述哪项正确（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A．处于凯恩斯区域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B．处于古典区域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C．财政政策有效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D．投机需求无限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lastRenderedPageBreak/>
        <w:t>34.已知货币需求L＝0.4Y－25r，货币供给M=3000，P＝2.5。当M增加到4000时，则（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A.LM曲线左移；移动1000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B.LM曲线右移；移动1000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C.LM曲线左移；移动1200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D.LM曲线右移；移动1200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35.总需求曲线交于短期总供给曲线向右上方倾斜的区域时称为(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)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 充分就业均衡    B. 低于充分就业均衡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 通货膨胀      D.滞胀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36.如果经济处于低于充分就业均衡水平 ,那么,总需求增加就会引起(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)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 物价水平上升和实际国民收入增加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B. 物价水平上升和实际国民收入减少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 物价水平下降和实际国民收入增加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D. 物价水平下降和实际国民收入减少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37.不考虑政府转移支付和对企业的补贴，从国民生产净值中减去（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）就得到国民收入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A.折旧；  B.原材料支出；  C.直接税；  D.间接税。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38.若MPC=0.2，则政府税收乘数值为（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 5         B. -0.25       C. -4          D. 2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39.下列哪项的增加可能会引起国民收入均衡水平的提高？（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A.进口     B.计划投资和消费     C.税率     D.私人储蓄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40.根据凯恩斯</w:t>
      </w:r>
      <w:r w:rsidR="001D1D2A">
        <w:rPr>
          <w:rFonts w:ascii="华文宋体" w:eastAsia="华文宋体" w:hAnsi="华文宋体" w:cs="华文宋体" w:hint="eastAsia"/>
          <w:szCs w:val="21"/>
        </w:rPr>
        <w:t>主义</w:t>
      </w:r>
      <w:r>
        <w:rPr>
          <w:rFonts w:ascii="华文宋体" w:eastAsia="华文宋体" w:hAnsi="华文宋体" w:cs="华文宋体" w:hint="eastAsia"/>
          <w:szCs w:val="21"/>
        </w:rPr>
        <w:t>的IS-LM模型，当经济处于流动性陷阱的时候，为刺激需求应该采取的政策是（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 </w:t>
      </w:r>
      <w:r>
        <w:rPr>
          <w:rFonts w:ascii="华文宋体" w:eastAsia="华文宋体" w:hAnsi="华文宋体" w:cs="华文宋体" w:hint="eastAsia"/>
          <w:szCs w:val="21"/>
        </w:rPr>
        <w:t>）。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A.增加财政支出    B.增加财政税收    C.增加货币供给    D.提高法定准备金率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41.商业银行的储备如低于法定储备，它们将（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 发行股票以筹措资金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B. 增加贷款以增加资产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 出售有价证券和收回贷款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D. 向中央银行申请补助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42.对于长期总供给曲线，如果（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），曲线向右平移。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A.价格水平上涨    B.税收减少   C.劳动生产率提高 D.政府支出增加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43.在经济中存在大量的过剩劳动力时，在短期内（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>）的。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A.总供给曲线是垂直的     B.总需求曲线是垂直的 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C.总供给曲线是向上倾斜    D.总供给曲线是水平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44.能够使总需求曲线右移的是（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A.实际货币供给的增加 B.价格水平的下降 </w:t>
      </w:r>
      <w:bookmarkStart w:id="0" w:name="_GoBack"/>
      <w:bookmarkEnd w:id="0"/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C.政府税收的增加   D.政府支出的减少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45.假设某经济体的边际消费倾向等于0.8，政府购买减少了100亿元，由此产生的财政盈余通过减少等额的税收抵消。则对国民收入的影响是（ 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</w:t>
      </w:r>
      <w:r>
        <w:rPr>
          <w:rFonts w:ascii="华文宋体" w:eastAsia="华文宋体" w:hAnsi="华文宋体" w:cs="华文宋体" w:hint="eastAsia"/>
          <w:szCs w:val="21"/>
        </w:rPr>
        <w:t xml:space="preserve">  ）。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A.增加500亿元    B.增加400亿元   C.减少100亿元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D.政府购买支出减少额为税收所抵消，国民收入不受影响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46.当货币需求对利率的敏感度降低时，LM曲线将（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）。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A.向左上方移动    B.向右下方移动   C.变平缓    D.变陡峭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47.疫情期间，美国有14590万就业者，有850万失业者，还有7920万非劳动力，则失业率等于（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A.5.5%   B.3.6%   C.10.7   D.5.8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lastRenderedPageBreak/>
        <w:t>48.下列哪项可以计入我国的GDP 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>）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A.国内消费者购买一台二手的格力空调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B.国内投资者购买2000股格力电器股票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C.格力电器库存空调增加一万台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D.政府向格力公司的下岗工人提供失业金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49.乘数的作用必须在以下哪个条件下才可发挥？（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 </w:t>
      </w:r>
      <w:r>
        <w:rPr>
          <w:rFonts w:ascii="华文宋体" w:eastAsia="华文宋体" w:hAnsi="华文宋体" w:cs="华文宋体" w:hint="eastAsia"/>
          <w:szCs w:val="21"/>
        </w:rPr>
        <w:t xml:space="preserve">）  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 xml:space="preserve">A.经济实现了充分就业  B.总需求大于总供给  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C．政府支出等于政府税收  D.经济中存在闲置资源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50.在四部门经济中，若投资、储蓄、政府购买、税收、出口和进口都减少，则均衡收入（</w:t>
      </w:r>
      <w:r w:rsidR="002A4161">
        <w:rPr>
          <w:rFonts w:ascii="华文宋体" w:eastAsia="华文宋体" w:hAnsi="华文宋体" w:cs="华文宋体" w:hint="eastAsia"/>
          <w:szCs w:val="21"/>
        </w:rPr>
        <w:t xml:space="preserve">  </w:t>
      </w:r>
      <w:r>
        <w:rPr>
          <w:rFonts w:ascii="华文宋体" w:eastAsia="华文宋体" w:hAnsi="华文宋体" w:cs="华文宋体" w:hint="eastAsia"/>
          <w:szCs w:val="21"/>
        </w:rPr>
        <w:t xml:space="preserve">）。  </w:t>
      </w:r>
    </w:p>
    <w:p w:rsidR="00AF5174" w:rsidRDefault="00CB3C53">
      <w:pPr>
        <w:rPr>
          <w:rFonts w:ascii="华文宋体" w:eastAsia="华文宋体" w:hAnsi="华文宋体" w:cs="华文宋体"/>
          <w:szCs w:val="21"/>
        </w:rPr>
      </w:pPr>
      <w:r>
        <w:rPr>
          <w:rFonts w:ascii="华文宋体" w:eastAsia="华文宋体" w:hAnsi="华文宋体" w:cs="华文宋体" w:hint="eastAsia"/>
          <w:szCs w:val="21"/>
        </w:rPr>
        <w:t>A．必然增加  B．不变  C．必然减少  D．不能确定</w:t>
      </w:r>
    </w:p>
    <w:sectPr w:rsidR="00AF5174" w:rsidSect="00AF51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0699" w:rsidRDefault="008D0699" w:rsidP="002A4161">
      <w:r>
        <w:separator/>
      </w:r>
    </w:p>
  </w:endnote>
  <w:endnote w:type="continuationSeparator" w:id="1">
    <w:p w:rsidR="008D0699" w:rsidRDefault="008D0699" w:rsidP="002A41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华文宋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0699" w:rsidRDefault="008D0699" w:rsidP="002A4161">
      <w:r>
        <w:separator/>
      </w:r>
    </w:p>
  </w:footnote>
  <w:footnote w:type="continuationSeparator" w:id="1">
    <w:p w:rsidR="008D0699" w:rsidRDefault="008D0699" w:rsidP="002A416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F5174"/>
    <w:rsid w:val="001D1D2A"/>
    <w:rsid w:val="002A4161"/>
    <w:rsid w:val="008D0699"/>
    <w:rsid w:val="009603D1"/>
    <w:rsid w:val="00AF5174"/>
    <w:rsid w:val="00CB3C53"/>
    <w:rsid w:val="089F17C1"/>
    <w:rsid w:val="18700972"/>
    <w:rsid w:val="1E5E33D1"/>
    <w:rsid w:val="232723C7"/>
    <w:rsid w:val="23F0425E"/>
    <w:rsid w:val="29E31703"/>
    <w:rsid w:val="30D069DF"/>
    <w:rsid w:val="3BFA1BEE"/>
    <w:rsid w:val="4AD240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F517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AF5174"/>
    <w:rPr>
      <w:rFonts w:ascii="宋体" w:hAnsi="Courier New"/>
      <w:snapToGrid w:val="0"/>
      <w:color w:val="000000"/>
      <w:szCs w:val="20"/>
    </w:rPr>
  </w:style>
  <w:style w:type="paragraph" w:styleId="a4">
    <w:name w:val="Normal (Web)"/>
    <w:basedOn w:val="a"/>
    <w:qFormat/>
    <w:rsid w:val="00AF5174"/>
    <w:pPr>
      <w:spacing w:beforeAutospacing="1" w:afterAutospacing="1"/>
      <w:jc w:val="left"/>
    </w:pPr>
    <w:rPr>
      <w:kern w:val="0"/>
      <w:sz w:val="24"/>
    </w:rPr>
  </w:style>
  <w:style w:type="paragraph" w:styleId="a5">
    <w:name w:val="header"/>
    <w:basedOn w:val="a"/>
    <w:link w:val="Char"/>
    <w:rsid w:val="002A41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2A4161"/>
    <w:rPr>
      <w:kern w:val="2"/>
      <w:sz w:val="18"/>
      <w:szCs w:val="18"/>
    </w:rPr>
  </w:style>
  <w:style w:type="paragraph" w:styleId="a6">
    <w:name w:val="footer"/>
    <w:basedOn w:val="a"/>
    <w:link w:val="Char0"/>
    <w:rsid w:val="002A41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2A416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</cp:lastModifiedBy>
  <cp:revision>3</cp:revision>
  <dcterms:created xsi:type="dcterms:W3CDTF">2014-10-29T12:08:00Z</dcterms:created>
  <dcterms:modified xsi:type="dcterms:W3CDTF">2020-06-12T00:02:00Z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