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Code of Conduct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Policies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Purpose and scope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policy applies to all employees, workers, contractors, interns, and temporary staff of Atlas HR Demo Company unless a local addendum states otherwise.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Managers are responsible for applying this policy consistently. HR is responsible for maintaining the policy, answering questions, and escalating legal or high-risk issues.</w:t>
      </w:r>
    </w:p>
    <w:p>
      <w:pPr>
        <w:pStyle w:val="Heading2"/>
        <w:spacing w:after="120" w:before="260"/>
      </w:pPr>
      <w:r>
        <w:t xml:space="preserve">Expected behaviors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Act with integrity, honesty, and accountability.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Treat colleagues, customers, candidates, vendors, and community members with respect.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Disclose conflicts of interest and gifts that could influence judgment.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Protect confidential information and company assets.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Speak up when something looks unsafe, unlawful, unethical, or inconsistent with company values.</w:t>
      </w:r>
    </w:p>
    <w:p>
      <w:pPr>
        <w:pStyle w:val="Heading2"/>
        <w:spacing w:after="120" w:before="260"/>
      </w:pPr>
      <w:r>
        <w:t xml:space="preserve">Consequences and repair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Breaches may result in coaching, training, warning, reassignment, loss of access, termination, or legal action depending on severity and context.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Code of Conduct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Conduct</dc:title>
  <dc:creator>Atlas HR</dc:creator>
  <dc:description>Code of Conduct generated by Atlas HR</dc:description>
  <cp:lastModifiedBy>Un-named</cp:lastModifiedBy>
  <cp:revision>1</cp:revision>
  <dcterms:created xsi:type="dcterms:W3CDTF">2026-05-09T20:01:58.360Z</dcterms:created>
  <dcterms:modified xsi:type="dcterms:W3CDTF">2026-05-09T20:01:58.360Z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