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Final Settlement Statement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Payroll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Employee and exit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End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2026-12-31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USD</w:t>
            </w:r>
          </w:p>
        </w:tc>
      </w:tr>
    </w:tbl>
    <w:p>
      <w:pPr>
        <w:pStyle w:val="Heading2"/>
        <w:spacing w:after="120" w:before="260"/>
      </w:pPr>
      <w:r>
        <w:t xml:space="preserve">Settlement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Amount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Final salary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Accrued leave payout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Approved expenses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Severance / redundancy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Deductions / loans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Net payment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Acknowledgment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The employee acknowledges receipt of this statement. Signing does not waive statutory rights unless a separate legally reviewed settlement agreement says so.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Final Settlement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Settlement Statement</dc:title>
  <dc:creator>Atlas HR</dc:creator>
  <dc:description>Final Settlement Statement generated by Atlas HR</dc:description>
  <cp:lastModifiedBy>Un-named</cp:lastModifiedBy>
  <cp:revision>1</cp:revision>
  <dcterms:created xsi:type="dcterms:W3CDTF">2026-05-09T20:02:01.263Z</dcterms:created>
  <dcterms:modified xsi:type="dcterms:W3CDTF">2026-05-09T20:02:01.263Z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