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Remote Work Policy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Policies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India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Purpose and scope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policy applies to all employees, workers, contractors, interns, and temporary staff of Atlas HR Demo Company unless a local addendum states otherwise.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Managers are responsible for applying this policy consistently. HR is responsible for maintaining the policy, answering questions, and escalating legal or high-risk issues.</w:t>
      </w:r>
    </w:p>
    <w:p>
      <w:pPr>
        <w:pStyle w:val="Heading2"/>
        <w:spacing w:after="120" w:before="260"/>
      </w:pPr>
      <w:r>
        <w:t xml:space="preserve">Eligibility and approval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Remote work may be fully remote, hybrid, occasional, or temporary.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Eligibility depends on role, performance, security, customer needs, team coordination, work authorization, tax, and local labor law.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not work from another country or state for an extended period without written approval from HR.</w:t>
      </w:r>
    </w:p>
    <w:p>
      <w:pPr>
        <w:pStyle w:val="Heading2"/>
        <w:spacing w:after="120" w:before="260"/>
      </w:pPr>
      <w:r>
        <w:t xml:space="preserve">Equipment, expenses, and security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Company equipment must be used securely and returned when requested.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Expense reimbursement, stipends, internet, coworking, and ergonomic equipment are handled under local policy.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Employees must protect confidential information, use approved systems, and report security incidents immediately.</w:t>
      </w:r>
    </w:p>
    <w:p>
      <w:pPr>
        <w:pStyle w:val="Heading2"/>
        <w:spacing w:after="120" w:before="260"/>
      </w:pPr>
      <w:r>
        <w:t xml:space="preserve">India variant note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Confirm state Shops and Establishments rules, appointment letter requirements, working hours, holidays, EPF, ESI, gratuity, POSH, and notice periods.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Use state annexures where the employee's work location affects leave, holidays, professional tax, or final settlement.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Remote Work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Work Policy</dc:title>
  <dc:creator>Atlas HR</dc:creator>
  <dc:description>Remote Work Policy generated by Atlas HR</dc:description>
  <cp:lastModifiedBy>Un-named</cp:lastModifiedBy>
  <cp:revision>1</cp:revision>
  <dcterms:created xsi:type="dcterms:W3CDTF">2026-05-09T20:01:58.076Z</dcterms:created>
  <dcterms:modified xsi:type="dcterms:W3CDTF">2026-05-09T20:01:58.076Z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