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Social Media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Personal and work accounts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may identify their role where accurate, but must not imply they speak for the company unless authorized.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Confidential information, trade secrets, private employee data, customer data, and unreleased company information must not be posted.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Online harassment of colleagues, candidates, customers, or vendors is treated as workplace conduct.</w:t>
      </w:r>
    </w:p>
    <w:p>
      <w:pPr>
        <w:pStyle w:val="Heading2"/>
        <w:spacing w:after="120" w:before="260"/>
      </w:pPr>
      <w:r>
        <w:t xml:space="preserve">Protected activity and advocacy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should not be applied to restrict legally protected employee communications about pay, working conditions, organizing, safety, or other protected matters.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Social Media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Policy</dc:title>
  <dc:creator>Atlas HR</dc:creator>
  <dc:description>Social Media Policy generated by Atlas HR</dc:description>
  <cp:lastModifiedBy>Un-named</cp:lastModifiedBy>
  <cp:revision>1</cp:revision>
  <dcterms:created xsi:type="dcterms:W3CDTF">2026-05-09T20:01:58.647Z</dcterms:created>
  <dcterms:modified xsi:type="dcterms:W3CDTF">2026-05-09T20:01:58.647Z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