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Termination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Offboarding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India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Decision and effective date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letter confirms that your employment with Atlas HR Demo Company as People Operations Manager will end on 2026-12-31.</w:t>
      </w:r>
    </w:p>
    <w:p>
      <w:pPr>
        <w:pStyle w:val="Heading2"/>
        <w:spacing w:after="120" w:before="260"/>
      </w:pPr>
      <w:r>
        <w:t xml:space="preserve">Final pay and benefits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Final salary through the termination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Notice or pay in lieu where applicable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Accrued leave treatment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Approved expenses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Benefits end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Return of company property</w:t>
      </w:r>
    </w:p>
    <w:p>
      <w:pPr>
        <w:pStyle w:val="Heading2"/>
        <w:spacing w:after="120" w:before="260"/>
      </w:pPr>
      <w:r>
        <w:t xml:space="preserve">Confidentiality and next steps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Your confidentiality, IP, restrictive covenant, data protection, and post-employment obligations continue as stated in your agreement and applicable law.</w:t>
      </w:r>
    </w:p>
    <w:p>
      <w:pPr>
        <w:pStyle w:val="Heading2"/>
        <w:spacing w:after="120" w:before="260"/>
      </w:pPr>
      <w:r>
        <w:t xml:space="preserve">India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state Shops and Establishments rules, appointment letter requirements, working hours, holidays, EPF, ESI, gratuity, POSH, and notice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Use state annexures where the employee's work location affects leave, holidays, professional tax, or final settlement.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Termination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Termination Letter</dc:title>
  <dc:creator>Atlas HR</dc:creator>
  <dc:description>Termination Letter generated by Atlas HR</dc:description>
  <cp:lastModifiedBy>Un-named</cp:lastModifiedBy>
  <cp:revision>1</cp:revision>
  <dcterms:created xsi:type="dcterms:W3CDTF">2026-05-09T20:02:00.866Z</dcterms:created>
  <dcterms:modified xsi:type="dcterms:W3CDTF">2026-05-09T20:02:00.866Z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