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64CE" w14:textId="77777777" w:rsidR="00E73AA4" w:rsidRPr="00E00B6C" w:rsidRDefault="00E73AA4">
      <w:pPr>
        <w:spacing w:before="1440"/>
        <w:rPr>
          <w:rFonts w:ascii="Arial" w:hAnsi="Arial" w:cs="Arial"/>
        </w:rPr>
      </w:pPr>
    </w:p>
    <w:p w14:paraId="7521100B" w14:textId="77777777" w:rsidR="00E73AA4" w:rsidRPr="00E00B6C" w:rsidRDefault="00000000">
      <w:pPr>
        <w:spacing w:after="80"/>
        <w:rPr>
          <w:rFonts w:ascii="Arial" w:hAnsi="Arial" w:cs="Arial"/>
        </w:rPr>
      </w:pPr>
      <w:r w:rsidRPr="00E00B6C">
        <w:rPr>
          <w:rFonts w:ascii="Arial" w:hAnsi="Arial" w:cs="Arial"/>
          <w:color w:val="1A1A2E"/>
          <w:sz w:val="52"/>
          <w:szCs w:val="52"/>
        </w:rPr>
        <w:t>Operational Risk</w:t>
      </w:r>
    </w:p>
    <w:p w14:paraId="107174B4" w14:textId="77777777" w:rsidR="00E73AA4" w:rsidRPr="00E00B6C" w:rsidRDefault="00000000">
      <w:pPr>
        <w:spacing w:after="80"/>
        <w:rPr>
          <w:rFonts w:ascii="Arial" w:hAnsi="Arial" w:cs="Arial"/>
        </w:rPr>
      </w:pPr>
      <w:r w:rsidRPr="00E00B6C">
        <w:rPr>
          <w:rFonts w:ascii="Arial" w:hAnsi="Arial" w:cs="Arial"/>
          <w:color w:val="1A1A2E"/>
          <w:sz w:val="52"/>
          <w:szCs w:val="52"/>
        </w:rPr>
        <w:t>Modelling Framework</w:t>
      </w:r>
    </w:p>
    <w:p w14:paraId="6B96D6DC" w14:textId="77777777" w:rsidR="00E73AA4" w:rsidRPr="00E00B6C" w:rsidRDefault="00000000">
      <w:pPr>
        <w:spacing w:after="400"/>
        <w:rPr>
          <w:rFonts w:ascii="Arial" w:hAnsi="Arial" w:cs="Arial"/>
        </w:rPr>
      </w:pPr>
      <w:r w:rsidRPr="00E00B6C">
        <w:rPr>
          <w:rFonts w:ascii="Arial" w:hAnsi="Arial" w:cs="Arial"/>
          <w:i/>
          <w:iCs/>
          <w:color w:val="555555"/>
          <w:sz w:val="26"/>
          <w:szCs w:val="26"/>
        </w:rPr>
        <w:t>An Operational Risk Architecture for Insurance, Reinsurance, Life Assurance, and Pension Funds</w:t>
      </w:r>
    </w:p>
    <w:p w14:paraId="14BD9BFA" w14:textId="77777777" w:rsidR="00E73AA4" w:rsidRPr="00E00B6C" w:rsidRDefault="00E73AA4">
      <w:pPr>
        <w:pBdr>
          <w:bottom w:val="single" w:sz="4" w:space="4" w:color="CCCCCC"/>
        </w:pBdr>
        <w:spacing w:before="200" w:after="200"/>
        <w:rPr>
          <w:rFonts w:ascii="Arial" w:hAnsi="Arial" w:cs="Arial"/>
        </w:rPr>
      </w:pPr>
    </w:p>
    <w:p w14:paraId="4915886E" w14:textId="46F89457" w:rsidR="00E73AA4" w:rsidRPr="00E00B6C" w:rsidRDefault="00000000">
      <w:pPr>
        <w:spacing w:before="60"/>
        <w:rPr>
          <w:rFonts w:ascii="Arial" w:hAnsi="Arial" w:cs="Arial"/>
        </w:rPr>
      </w:pPr>
      <w:r w:rsidRPr="00E00B6C">
        <w:rPr>
          <w:rFonts w:ascii="Arial" w:eastAsia="Arial" w:hAnsi="Arial" w:cs="Arial"/>
          <w:b/>
          <w:bCs/>
          <w:color w:val="888888"/>
          <w:sz w:val="18"/>
          <w:szCs w:val="18"/>
        </w:rPr>
        <w:t xml:space="preserve">Author: </w:t>
      </w:r>
      <w:r w:rsidRPr="00E00B6C">
        <w:rPr>
          <w:rFonts w:ascii="Arial" w:eastAsia="Arial" w:hAnsi="Arial" w:cs="Arial"/>
          <w:color w:val="333333"/>
          <w:sz w:val="18"/>
          <w:szCs w:val="18"/>
        </w:rPr>
        <w:t>Kok Pian Gew, AIA C.Act</w:t>
      </w:r>
      <w:r w:rsidRPr="00E00B6C">
        <w:rPr>
          <w:rFonts w:ascii="Arial" w:eastAsia="Arial" w:hAnsi="Arial" w:cs="Arial"/>
          <w:color w:val="333333"/>
          <w:sz w:val="18"/>
          <w:szCs w:val="18"/>
        </w:rPr>
        <w:tab/>
        <w:t xml:space="preserve"> </w:t>
      </w:r>
    </w:p>
    <w:p w14:paraId="5A1FD028" w14:textId="6434D039" w:rsidR="00E73AA4" w:rsidRPr="00E00B6C" w:rsidRDefault="00000000">
      <w:pPr>
        <w:spacing w:before="60"/>
        <w:rPr>
          <w:rFonts w:ascii="Arial" w:hAnsi="Arial" w:cs="Arial"/>
        </w:rPr>
      </w:pPr>
      <w:r w:rsidRPr="00E00B6C">
        <w:rPr>
          <w:rFonts w:ascii="Arial" w:eastAsia="Arial" w:hAnsi="Arial" w:cs="Arial"/>
          <w:b/>
          <w:bCs/>
          <w:color w:val="888888"/>
          <w:sz w:val="18"/>
          <w:szCs w:val="18"/>
        </w:rPr>
        <w:t>Version: v1.7 — Working Paper</w:t>
      </w:r>
    </w:p>
    <w:p w14:paraId="11817376" w14:textId="77777777" w:rsidR="00E73AA4" w:rsidRPr="00E00B6C" w:rsidRDefault="00000000">
      <w:pPr>
        <w:spacing w:before="60"/>
        <w:rPr>
          <w:rFonts w:ascii="Arial" w:hAnsi="Arial" w:cs="Arial"/>
        </w:rPr>
      </w:pPr>
      <w:r w:rsidRPr="00E00B6C">
        <w:rPr>
          <w:rFonts w:ascii="Arial" w:eastAsia="Arial" w:hAnsi="Arial" w:cs="Arial"/>
          <w:b/>
          <w:bCs/>
          <w:color w:val="888888"/>
          <w:sz w:val="18"/>
          <w:szCs w:val="18"/>
        </w:rPr>
        <w:t xml:space="preserve">Year: </w:t>
      </w:r>
      <w:r w:rsidRPr="00E00B6C">
        <w:rPr>
          <w:rFonts w:ascii="Arial" w:eastAsia="Arial" w:hAnsi="Arial" w:cs="Arial"/>
          <w:color w:val="333333"/>
          <w:sz w:val="18"/>
          <w:szCs w:val="18"/>
        </w:rPr>
        <w:t>2026</w:t>
      </w:r>
    </w:p>
    <w:p w14:paraId="2E37430B" w14:textId="77777777" w:rsidR="00E73AA4" w:rsidRPr="00E00B6C" w:rsidRDefault="00000000">
      <w:pPr>
        <w:spacing w:before="60"/>
        <w:rPr>
          <w:rFonts w:ascii="Arial" w:hAnsi="Arial" w:cs="Arial"/>
        </w:rPr>
      </w:pPr>
      <w:r w:rsidRPr="00E00B6C">
        <w:rPr>
          <w:rFonts w:ascii="Arial" w:eastAsia="Arial" w:hAnsi="Arial" w:cs="Arial"/>
          <w:b/>
          <w:bCs/>
          <w:color w:val="888888"/>
          <w:sz w:val="18"/>
          <w:szCs w:val="18"/>
        </w:rPr>
        <w:t xml:space="preserve">Status: </w:t>
      </w:r>
      <w:r w:rsidRPr="00E00B6C">
        <w:rPr>
          <w:rFonts w:ascii="Arial" w:eastAsia="Arial" w:hAnsi="Arial" w:cs="Arial"/>
          <w:color w:val="333333"/>
          <w:sz w:val="18"/>
          <w:szCs w:val="18"/>
        </w:rPr>
        <w:t>Draft for IFoA Submission</w:t>
      </w:r>
    </w:p>
    <w:p w14:paraId="1913DA49" w14:textId="77777777" w:rsidR="00E73AA4" w:rsidRPr="00E00B6C" w:rsidRDefault="00000000">
      <w:pPr>
        <w:spacing w:before="60"/>
        <w:rPr>
          <w:rFonts w:ascii="Arial" w:hAnsi="Arial" w:cs="Arial"/>
        </w:rPr>
      </w:pPr>
      <w:r w:rsidRPr="00E00B6C">
        <w:rPr>
          <w:rFonts w:ascii="Arial" w:eastAsia="Arial" w:hAnsi="Arial" w:cs="Arial"/>
          <w:b/>
          <w:bCs/>
          <w:color w:val="888888"/>
          <w:sz w:val="18"/>
          <w:szCs w:val="18"/>
        </w:rPr>
        <w:t xml:space="preserve">DOI: </w:t>
      </w:r>
      <w:r w:rsidRPr="00E00B6C">
        <w:rPr>
          <w:rFonts w:ascii="Arial" w:eastAsia="Arial" w:hAnsi="Arial" w:cs="Arial"/>
          <w:color w:val="333333"/>
          <w:sz w:val="18"/>
          <w:szCs w:val="18"/>
        </w:rPr>
        <w:t>https://doi.org/10.5281/zenodo.19490313</w:t>
      </w:r>
    </w:p>
    <w:p w14:paraId="29A9DB77" w14:textId="77777777" w:rsidR="00E73AA4" w:rsidRPr="00E00B6C" w:rsidRDefault="00E73AA4">
      <w:pPr>
        <w:spacing w:before="480"/>
        <w:rPr>
          <w:rFonts w:ascii="Arial" w:hAnsi="Arial" w:cs="Arial"/>
        </w:rPr>
      </w:pPr>
    </w:p>
    <w:p w14:paraId="74553FDD" w14:textId="2C8F2079" w:rsidR="00E73AA4" w:rsidRPr="00E00B6C" w:rsidRDefault="00000000">
      <w:pPr>
        <w:rPr>
          <w:rFonts w:ascii="Arial" w:hAnsi="Arial" w:cs="Arial"/>
        </w:rPr>
      </w:pPr>
      <w:r w:rsidRPr="00E00B6C">
        <w:rPr>
          <w:rFonts w:ascii="Arial" w:eastAsia="Arial" w:hAnsi="Arial" w:cs="Arial"/>
          <w:i/>
          <w:iCs/>
          <w:color w:val="AAAAAA"/>
          <w:sz w:val="18"/>
          <w:szCs w:val="18"/>
        </w:rPr>
        <w:t>Keywords: operational risk, RYSI, calibration deviation, IFRS 17, Solvency II, BMA, multi-state modelling, G&amp;A attribution, governance architecture, evidential standards, calibration governance, supervisory interface, framework principles</w:t>
      </w:r>
    </w:p>
    <w:p w14:paraId="7F700001" w14:textId="77777777" w:rsidR="00000000" w:rsidRPr="00E00B6C" w:rsidRDefault="00000000">
      <w:pPr>
        <w:spacing w:before="120" w:after="80"/>
        <w:jc w:val="both"/>
        <w:rPr>
          <w:rFonts w:ascii="Arial" w:hAnsi="Arial" w:cs="Arial"/>
        </w:rPr>
      </w:pPr>
      <w:r w:rsidRPr="00E00B6C">
        <w:rPr>
          <w:rFonts w:ascii="Arial" w:eastAsia="Arial" w:hAnsi="Arial" w:cs="Arial"/>
          <w:i/>
          <w:iCs/>
          <w:color w:val="888888"/>
          <w:sz w:val="18"/>
          <w:szCs w:val="18"/>
        </w:rPr>
        <w:t>This paper is produced in a personal capacity. It is not associated with, endorsed by, or produced on behalf of the author’s employer or any institutional affiliation. The views, frameworks, and conclusions expressed are solely those of the author.</w:t>
      </w:r>
    </w:p>
    <w:p w14:paraId="0580071C" w14:textId="77777777" w:rsidR="00E73AA4" w:rsidRPr="00E00B6C" w:rsidRDefault="00E73AA4">
      <w:pPr>
        <w:pageBreakBefore/>
        <w:rPr>
          <w:rFonts w:ascii="Arial" w:hAnsi="Arial" w:cs="Arial"/>
        </w:rPr>
      </w:pPr>
    </w:p>
    <w:p w14:paraId="1B9D8063" w14:textId="77777777" w:rsidR="00E73AA4" w:rsidRPr="00E00B6C" w:rsidRDefault="00000000" w:rsidP="008800D4">
      <w:pPr>
        <w:pStyle w:val="Heading1"/>
      </w:pPr>
      <w:r w:rsidRPr="00E00B6C">
        <w:t>Abstract</w:t>
      </w:r>
    </w:p>
    <w:p w14:paraId="045306D2" w14:textId="77777777" w:rsidR="00E73AA4" w:rsidRPr="00E00B6C" w:rsidRDefault="00000000">
      <w:pPr>
        <w:spacing w:after="160"/>
        <w:ind w:firstLine="360"/>
        <w:jc w:val="both"/>
        <w:rPr>
          <w:rFonts w:ascii="Arial" w:hAnsi="Arial" w:cs="Arial"/>
        </w:rPr>
      </w:pPr>
      <w:r w:rsidRPr="00E00B6C">
        <w:rPr>
          <w:rFonts w:ascii="Arial" w:hAnsi="Arial" w:cs="Arial"/>
          <w:color w:val="222222"/>
        </w:rPr>
        <w:t>Operational risk in financial institutions is conventionally measured as a residual — a capital loading derived from scenario assessments, loss distributions, or premium-based proxies applied uniformly across the organisation. These approaches share a common deficiency: they measure the consequence of operational failure rather than its condition, they apply without differentiation across relationships and functions, and they cannot attribute cost to the organisational processes that generate it. The result is a capital charge that satisfies regulatory requirement without informing management decision.</w:t>
      </w:r>
    </w:p>
    <w:p w14:paraId="029EA25F" w14:textId="21183240" w:rsidR="001F370D" w:rsidRPr="00E00B6C" w:rsidRDefault="00000000" w:rsidP="001F370D">
      <w:pPr>
        <w:spacing w:after="160"/>
        <w:ind w:firstLine="360"/>
        <w:jc w:val="both"/>
        <w:rPr>
          <w:rFonts w:ascii="Arial" w:hAnsi="Arial" w:cs="Arial"/>
          <w:color w:val="222222"/>
        </w:rPr>
      </w:pPr>
      <w:r w:rsidRPr="00E00B6C">
        <w:rPr>
          <w:rFonts w:ascii="Arial" w:hAnsi="Arial" w:cs="Arial"/>
          <w:color w:val="222222"/>
        </w:rPr>
        <w:t>This paper proposes a</w:t>
      </w:r>
      <w:r w:rsidR="0040653D" w:rsidRPr="00E00B6C">
        <w:rPr>
          <w:rFonts w:ascii="Arial" w:hAnsi="Arial" w:cs="Arial"/>
          <w:color w:val="222222"/>
        </w:rPr>
        <w:t>n alternative view</w:t>
      </w:r>
      <w:r w:rsidRPr="00E00B6C">
        <w:rPr>
          <w:rFonts w:ascii="Arial" w:hAnsi="Arial" w:cs="Arial"/>
          <w:color w:val="222222"/>
        </w:rPr>
        <w:t xml:space="preserve"> that reconceives operational risk as the measurable deviation of each organisational function from its optimal calibration, decomposed across four irreducible dimensions that correspond to the natural observational surfaces of any financial institution — relational, structural, institutional, and capacity. The framework applies across insurance, reinsurance, life assurance, and pension fund contexts without modification to its underlying structure, with domain-specific measurement signals constituting the only variable layer.</w:t>
      </w:r>
    </w:p>
    <w:p w14:paraId="7B3B5C00" w14:textId="60CFDABD" w:rsidR="001F370D" w:rsidRPr="00E00B6C" w:rsidRDefault="001F370D">
      <w:pPr>
        <w:spacing w:after="160"/>
        <w:ind w:firstLine="360"/>
        <w:jc w:val="both"/>
        <w:rPr>
          <w:rFonts w:ascii="Arial" w:hAnsi="Arial" w:cs="Arial"/>
          <w:color w:val="222222"/>
        </w:rPr>
      </w:pPr>
      <w:r w:rsidRPr="00E00B6C">
        <w:rPr>
          <w:rFonts w:ascii="Arial" w:hAnsi="Arial" w:cs="Arial"/>
          <w:color w:val="222222"/>
        </w:rPr>
        <w:t>The framework measures the condition that produces operational loss rather than the loss events themselves. Where conventional models begin with observed losses and work backward to infer a distribution, this framework begins with the organisational conditions under which losses become possible and works forward to their financial consequences.</w:t>
      </w:r>
    </w:p>
    <w:p w14:paraId="35ADE96D" w14:textId="77777777" w:rsidR="00E73AA4" w:rsidRPr="00E00B6C" w:rsidRDefault="00000000">
      <w:pPr>
        <w:spacing w:after="160"/>
        <w:ind w:firstLine="360"/>
        <w:jc w:val="both"/>
        <w:rPr>
          <w:rFonts w:ascii="Arial" w:hAnsi="Arial" w:cs="Arial"/>
        </w:rPr>
      </w:pPr>
      <w:r w:rsidRPr="00E00B6C">
        <w:rPr>
          <w:rFonts w:ascii="Arial" w:hAnsi="Arial" w:cs="Arial"/>
          <w:color w:val="000000" w:themeColor="text1"/>
        </w:rPr>
        <w:t xml:space="preserve">The framework </w:t>
      </w:r>
      <w:r w:rsidRPr="00E00B6C">
        <w:rPr>
          <w:rFonts w:ascii="Arial" w:hAnsi="Arial" w:cs="Arial"/>
          <w:color w:val="222222"/>
        </w:rPr>
        <w:t>establishes a two-layer decomposition separating systemic organisational deficiency from counterparty and relationship-specific deficiency, introduces directional asymmetry as a first principle — recognising that over-calibration and under-calibration both induce operational loss — and demonstrates that the four dimensions are not independent, with deterioration in one dimension propagating endogenously to others. The paper concludes with a formal statement of the framework sufficient to ground subsequent modelling and implementation specifications.</w:t>
      </w:r>
    </w:p>
    <w:p w14:paraId="6BE0BBB6" w14:textId="77777777" w:rsidR="00E73AA4" w:rsidRPr="00E00B6C" w:rsidRDefault="00E73AA4">
      <w:pPr>
        <w:pageBreakBefore/>
        <w:rPr>
          <w:rFonts w:ascii="Arial" w:hAnsi="Arial" w:cs="Arial"/>
        </w:rPr>
      </w:pPr>
    </w:p>
    <w:p w14:paraId="278E176D" w14:textId="77777777" w:rsidR="00E73AA4" w:rsidRPr="00E00B6C" w:rsidRDefault="00000000" w:rsidP="008800D4">
      <w:pPr>
        <w:pStyle w:val="Heading1"/>
      </w:pPr>
      <w:r w:rsidRPr="00E00B6C">
        <w:t>Scope and Boundary</w:t>
      </w:r>
    </w:p>
    <w:p w14:paraId="11257011" w14:textId="77777777" w:rsidR="00E73AA4" w:rsidRPr="00E00B6C" w:rsidRDefault="00000000" w:rsidP="008800D4">
      <w:pPr>
        <w:pStyle w:val="Heading2"/>
      </w:pPr>
      <w:r w:rsidRPr="00E00B6C">
        <w:t>What this paper is</w:t>
      </w:r>
    </w:p>
    <w:p w14:paraId="0613A91D" w14:textId="1D47BD38" w:rsidR="0040653D" w:rsidRPr="00E00B6C" w:rsidRDefault="00000000">
      <w:pPr>
        <w:spacing w:after="160"/>
        <w:ind w:firstLine="360"/>
        <w:jc w:val="both"/>
        <w:rPr>
          <w:rFonts w:ascii="Arial" w:hAnsi="Arial" w:cs="Arial"/>
          <w:color w:val="222222"/>
        </w:rPr>
      </w:pPr>
      <w:r w:rsidRPr="00E00B6C">
        <w:rPr>
          <w:rFonts w:ascii="Arial" w:hAnsi="Arial" w:cs="Arial"/>
          <w:color w:val="222222"/>
        </w:rPr>
        <w:t>This paper is a descriptive framework</w:t>
      </w:r>
      <w:r w:rsidR="0040653D" w:rsidRPr="00E00B6C">
        <w:rPr>
          <w:rFonts w:ascii="Arial" w:hAnsi="Arial" w:cs="Arial"/>
          <w:color w:val="222222"/>
        </w:rPr>
        <w:t xml:space="preserve"> including the abstract formalisation and the governance. The application and the realisation of this document will be covered in a separate paper</w:t>
      </w:r>
      <w:r w:rsidRPr="00E00B6C">
        <w:rPr>
          <w:rFonts w:ascii="Arial" w:hAnsi="Arial" w:cs="Arial"/>
          <w:color w:val="222222"/>
        </w:rPr>
        <w:t xml:space="preserve">. </w:t>
      </w:r>
    </w:p>
    <w:p w14:paraId="6448E9E1" w14:textId="5FDFECDF" w:rsidR="00E73AA4" w:rsidRPr="00E00B6C" w:rsidRDefault="00000000">
      <w:pPr>
        <w:spacing w:after="160"/>
        <w:ind w:firstLine="360"/>
        <w:jc w:val="both"/>
        <w:rPr>
          <w:rFonts w:ascii="Arial" w:hAnsi="Arial" w:cs="Arial"/>
        </w:rPr>
      </w:pPr>
      <w:r w:rsidRPr="00E00B6C">
        <w:rPr>
          <w:rFonts w:ascii="Arial" w:hAnsi="Arial" w:cs="Arial"/>
          <w:color w:val="222222"/>
        </w:rPr>
        <w:t>It establishes the conceptual structure, primitives,</w:t>
      </w:r>
      <w:r w:rsidR="0040653D" w:rsidRPr="00E00B6C">
        <w:rPr>
          <w:rFonts w:ascii="Arial" w:hAnsi="Arial" w:cs="Arial"/>
          <w:color w:val="222222"/>
        </w:rPr>
        <w:t xml:space="preserve"> abstract formalisation,</w:t>
      </w:r>
      <w:r w:rsidRPr="00E00B6C">
        <w:rPr>
          <w:rFonts w:ascii="Arial" w:hAnsi="Arial" w:cs="Arial"/>
          <w:color w:val="222222"/>
        </w:rPr>
        <w:t xml:space="preserve"> laws, and principles of an operational risk measurement system applicable to any financial institution. It provides the foundation from which a modelling specification, a regulatory submission, and an implementation architecture can be derived. It does not constitute any of those things.</w:t>
      </w:r>
    </w:p>
    <w:p w14:paraId="5C41554C"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framework covers operational risk arising from the miscalibration of any organisational function in any financial institution — general insurer, reinsurer, life assurer, or pension fund. It covers both the systemic layer of organisational deficiency and the relationship-specific layer of counterparty friction. It covers internal operational risk — key person dependency, model error, governance failure, fraud controls — and external operational risk arising from counterparty relationships across the full portfolio including cedants, reinsurers, brokers, regulators, rating agencies, and capital providers. It covers the connection between operational risk measurement and IFRS 17 general and administrative allocation and the SCR operational risk component under Solvency II and equivalent regulatory frameworks including the BMA regulatory regime.</w:t>
      </w:r>
    </w:p>
    <w:p w14:paraId="5172286A"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framework is structurally compatible with Solvency II and IFRS 17. It does not propose changes to regulatory capital formulas, reporting standards, or supervisory requirements. It improves the quality of the operational risk input to those frameworks, not their architecture.</w:t>
      </w:r>
    </w:p>
    <w:p w14:paraId="23854240" w14:textId="77777777" w:rsidR="00E73AA4" w:rsidRPr="00E00B6C" w:rsidRDefault="00000000" w:rsidP="008800D4">
      <w:pPr>
        <w:pStyle w:val="Heading2"/>
      </w:pPr>
      <w:r w:rsidRPr="00E00B6C">
        <w:t>What this paper is not</w:t>
      </w:r>
    </w:p>
    <w:p w14:paraId="4A4B5FA0" w14:textId="77777777" w:rsidR="00E73AA4" w:rsidRPr="00E00B6C" w:rsidRDefault="00000000">
      <w:pPr>
        <w:spacing w:after="160"/>
        <w:ind w:firstLine="360"/>
        <w:jc w:val="both"/>
        <w:rPr>
          <w:rFonts w:ascii="Arial" w:hAnsi="Arial" w:cs="Arial"/>
        </w:rPr>
      </w:pPr>
      <w:r w:rsidRPr="00E00B6C">
        <w:rPr>
          <w:rFonts w:ascii="Arial" w:hAnsi="Arial" w:cs="Arial"/>
          <w:color w:val="222222"/>
        </w:rPr>
        <w:t>This paper is not a model. It does not specify distributional assumptions, transition matrices, calibration parameters, or computational architecture. Those belong to a modelling specification that takes this framework as its foundation.</w:t>
      </w:r>
    </w:p>
    <w:p w14:paraId="48A056D0" w14:textId="77777777" w:rsidR="00E73AA4" w:rsidRPr="00E00B6C" w:rsidRDefault="00000000">
      <w:pPr>
        <w:spacing w:after="160"/>
        <w:ind w:firstLine="360"/>
        <w:jc w:val="both"/>
        <w:rPr>
          <w:rFonts w:ascii="Arial" w:hAnsi="Arial" w:cs="Arial"/>
        </w:rPr>
      </w:pPr>
      <w:r w:rsidRPr="00E00B6C">
        <w:rPr>
          <w:rFonts w:ascii="Arial" w:hAnsi="Arial" w:cs="Arial"/>
          <w:color w:val="222222"/>
        </w:rPr>
        <w:t>This paper does not measure underwriting risk, reserving risk, market risk, or credit risk. It measures the operational cost arising from the miscalibration of the functions that manage those risks. The framework does not redefine or replace the actuarial treatment of those risks. It is orthogonal to their measurement.</w:t>
      </w:r>
    </w:p>
    <w:p w14:paraId="4A2F53A9" w14:textId="77777777" w:rsidR="00E73AA4" w:rsidRPr="00E00B6C" w:rsidRDefault="00000000">
      <w:pPr>
        <w:spacing w:after="160"/>
        <w:ind w:firstLine="360"/>
        <w:jc w:val="both"/>
        <w:rPr>
          <w:rFonts w:ascii="Arial" w:hAnsi="Arial" w:cs="Arial"/>
        </w:rPr>
      </w:pPr>
      <w:r w:rsidRPr="00E00B6C">
        <w:rPr>
          <w:rFonts w:ascii="Arial" w:hAnsi="Arial" w:cs="Arial"/>
          <w:color w:val="222222"/>
        </w:rPr>
        <w:t>This paper is not a regulatory submission. It does not constitute legal, accounting, or actuarial advice on the application of IFRS 17, Solvency II, or BMA regulatory requirements. It does not specify the regulatory submission format required by any jurisdiction.</w:t>
      </w:r>
    </w:p>
    <w:p w14:paraId="14A95C07" w14:textId="77777777" w:rsidR="00E73AA4" w:rsidRPr="00E00B6C" w:rsidRDefault="00000000">
      <w:pPr>
        <w:spacing w:after="160"/>
        <w:ind w:firstLine="360"/>
        <w:jc w:val="both"/>
        <w:rPr>
          <w:rFonts w:ascii="Arial" w:hAnsi="Arial" w:cs="Arial"/>
        </w:rPr>
      </w:pPr>
      <w:r w:rsidRPr="00E00B6C">
        <w:rPr>
          <w:rFonts w:ascii="Arial" w:hAnsi="Arial" w:cs="Arial"/>
          <w:color w:val="222222"/>
        </w:rPr>
        <w:t xml:space="preserve">This paper is not a governance framework. It does not specify board structures, risk committee mandates, internal audit methodologies, or compliance programme </w:t>
      </w:r>
      <w:r w:rsidRPr="00E00B6C">
        <w:rPr>
          <w:rFonts w:ascii="Arial" w:hAnsi="Arial" w:cs="Arial"/>
          <w:color w:val="222222"/>
        </w:rPr>
        <w:lastRenderedPageBreak/>
        <w:t>designs. Where governance is referenced, it is as a mechanism that conditions the systemic operational risk state — not as a prescriptive requirement.</w:t>
      </w:r>
    </w:p>
    <w:p w14:paraId="403C4605" w14:textId="77777777" w:rsidR="00E73AA4" w:rsidRPr="00E00B6C" w:rsidRDefault="00000000">
      <w:pPr>
        <w:spacing w:after="160"/>
        <w:ind w:firstLine="360"/>
        <w:jc w:val="both"/>
        <w:rPr>
          <w:rFonts w:ascii="Arial" w:hAnsi="Arial" w:cs="Arial"/>
        </w:rPr>
      </w:pPr>
      <w:r w:rsidRPr="00E00B6C">
        <w:rPr>
          <w:rFonts w:ascii="Arial" w:hAnsi="Arial" w:cs="Arial"/>
          <w:color w:val="222222"/>
        </w:rPr>
        <w:t>This paper is not an implementation specification. The following are explicitly deferred to companion documents: exact binary signal sets per counterparty type and dimension; transition probability calibration methodology; formula for systemic RYSI derivation from the client portfolio average; horizon weighting parameters; tail dependency structure between systemic and client layers; economic scenario generator interface; and regulatory submission format per jurisdiction.</w:t>
      </w:r>
    </w:p>
    <w:p w14:paraId="6357009C" w14:textId="77777777" w:rsidR="00E73AA4" w:rsidRPr="00E00B6C" w:rsidRDefault="00000000" w:rsidP="008800D4">
      <w:pPr>
        <w:pStyle w:val="Heading2"/>
      </w:pPr>
      <w:r w:rsidRPr="00E00B6C">
        <w:t>Key Definitions</w:t>
      </w:r>
    </w:p>
    <w:p w14:paraId="1BBF55DD" w14:textId="77777777" w:rsidR="00E73AA4" w:rsidRPr="00E00B6C" w:rsidRDefault="00000000">
      <w:pPr>
        <w:spacing w:before="160" w:after="60"/>
        <w:ind w:left="360"/>
        <w:rPr>
          <w:rFonts w:ascii="Arial" w:hAnsi="Arial" w:cs="Arial"/>
        </w:rPr>
      </w:pPr>
      <w:r w:rsidRPr="00E00B6C">
        <w:rPr>
          <w:rFonts w:ascii="Arial" w:eastAsia="Arial" w:hAnsi="Arial" w:cs="Arial"/>
          <w:b/>
          <w:bCs/>
          <w:color w:val="1A1A2E"/>
        </w:rPr>
        <w:t>Calibration</w:t>
      </w:r>
    </w:p>
    <w:p w14:paraId="164DB610" w14:textId="77777777" w:rsidR="00E73AA4" w:rsidRPr="00E00B6C" w:rsidRDefault="00000000">
      <w:pPr>
        <w:spacing w:after="160"/>
        <w:ind w:left="360" w:right="360"/>
        <w:jc w:val="both"/>
        <w:rPr>
          <w:rFonts w:ascii="Arial" w:hAnsi="Arial" w:cs="Arial"/>
        </w:rPr>
      </w:pPr>
      <w:r w:rsidRPr="00E00B6C">
        <w:rPr>
          <w:rFonts w:ascii="Arial" w:hAnsi="Arial" w:cs="Arial"/>
          <w:color w:val="222222"/>
        </w:rPr>
        <w:t>The institution's reading of a relationship — whether counterparty, internal function, or regulatory interaction — relative to the underlying risk that relationship presents. Calibration is not a statistical concept. It is an interpretive judgement formed continuously through operational interaction. Optimal calibration is the reading that most accurately reflects the underlying risk. Deviation from optimal calibration in either direction induces operational loss.</w:t>
      </w:r>
    </w:p>
    <w:p w14:paraId="3E4E2ED2" w14:textId="77777777" w:rsidR="00E73AA4" w:rsidRPr="00E00B6C" w:rsidRDefault="00000000">
      <w:pPr>
        <w:spacing w:before="160" w:after="60"/>
        <w:ind w:left="360"/>
        <w:rPr>
          <w:rFonts w:ascii="Arial" w:hAnsi="Arial" w:cs="Arial"/>
        </w:rPr>
      </w:pPr>
      <w:r w:rsidRPr="00E00B6C">
        <w:rPr>
          <w:rFonts w:ascii="Arial" w:eastAsia="Arial" w:hAnsi="Arial" w:cs="Arial"/>
          <w:b/>
          <w:bCs/>
          <w:color w:val="1A1A2E"/>
        </w:rPr>
        <w:t>Systemic miscalibration</w:t>
      </w:r>
    </w:p>
    <w:p w14:paraId="5867122B" w14:textId="77777777" w:rsidR="00E73AA4" w:rsidRPr="00E00B6C" w:rsidRDefault="00000000">
      <w:pPr>
        <w:spacing w:after="160"/>
        <w:ind w:left="360" w:right="360"/>
        <w:jc w:val="both"/>
        <w:rPr>
          <w:rFonts w:ascii="Arial" w:hAnsi="Arial" w:cs="Arial"/>
        </w:rPr>
      </w:pPr>
      <w:r w:rsidRPr="00E00B6C">
        <w:rPr>
          <w:rFonts w:ascii="Arial" w:hAnsi="Arial" w:cs="Arial"/>
          <w:color w:val="222222"/>
        </w:rPr>
        <w:t>Variance in a function's output across instances — across people, across time, across decision contexts — that is not explained by corresponding variance in the underlying risk. Strong governance compresses systemic miscalibration. Weak governance allows it to expand.</w:t>
      </w:r>
    </w:p>
    <w:p w14:paraId="0530DA56" w14:textId="77777777" w:rsidR="00E73AA4" w:rsidRPr="00E00B6C" w:rsidRDefault="00000000">
      <w:pPr>
        <w:spacing w:before="160" w:after="60"/>
        <w:ind w:left="360"/>
        <w:rPr>
          <w:rFonts w:ascii="Arial" w:hAnsi="Arial" w:cs="Arial"/>
        </w:rPr>
      </w:pPr>
      <w:r w:rsidRPr="00E00B6C">
        <w:rPr>
          <w:rFonts w:ascii="Arial" w:eastAsia="Arial" w:hAnsi="Arial" w:cs="Arial"/>
          <w:b/>
          <w:bCs/>
          <w:color w:val="1A1A2E"/>
        </w:rPr>
        <w:t>Relationship-specific miscalibration</w:t>
      </w:r>
    </w:p>
    <w:p w14:paraId="3E34B922" w14:textId="77777777" w:rsidR="00E73AA4" w:rsidRPr="00E00B6C" w:rsidRDefault="00000000">
      <w:pPr>
        <w:spacing w:after="160"/>
        <w:ind w:left="360" w:right="360"/>
        <w:jc w:val="both"/>
        <w:rPr>
          <w:rFonts w:ascii="Arial" w:hAnsi="Arial" w:cs="Arial"/>
        </w:rPr>
      </w:pPr>
      <w:r w:rsidRPr="00E00B6C">
        <w:rPr>
          <w:rFonts w:ascii="Arial" w:hAnsi="Arial" w:cs="Arial"/>
          <w:color w:val="222222"/>
        </w:rPr>
        <w:t>The incremental operational cost generated by a particular counterparty relationship above and beyond the institution's systemic baseline. It reflects the specific characteristics of the relationship — submission quality, claims posture, regulatory intensity, payment discipline — rather than the institution's own functional quality.</w:t>
      </w:r>
    </w:p>
    <w:p w14:paraId="07AF276B" w14:textId="77777777" w:rsidR="00E73AA4" w:rsidRPr="00E00B6C" w:rsidRDefault="00000000">
      <w:pPr>
        <w:spacing w:before="160" w:after="60"/>
        <w:ind w:left="360"/>
        <w:rPr>
          <w:rFonts w:ascii="Arial" w:hAnsi="Arial" w:cs="Arial"/>
        </w:rPr>
      </w:pPr>
      <w:r w:rsidRPr="00E00B6C">
        <w:rPr>
          <w:rFonts w:ascii="Arial" w:eastAsia="Arial" w:hAnsi="Arial" w:cs="Arial"/>
          <w:b/>
          <w:bCs/>
          <w:color w:val="1A1A2E"/>
        </w:rPr>
        <w:t>Propagation</w:t>
      </w:r>
    </w:p>
    <w:p w14:paraId="6587F415" w14:textId="77777777" w:rsidR="00E73AA4" w:rsidRPr="00E00B6C" w:rsidRDefault="00000000">
      <w:pPr>
        <w:spacing w:after="160"/>
        <w:ind w:left="360" w:right="360"/>
        <w:jc w:val="both"/>
        <w:rPr>
          <w:rFonts w:ascii="Arial" w:hAnsi="Arial" w:cs="Arial"/>
        </w:rPr>
      </w:pPr>
      <w:r w:rsidRPr="00E00B6C">
        <w:rPr>
          <w:rFonts w:ascii="Arial" w:hAnsi="Arial" w:cs="Arial"/>
          <w:color w:val="222222"/>
        </w:rPr>
        <w:t>The endogenous process by which deterioration in one functional dimension increases the probability of deterioration in adjacent dimensions through the institution's own organisational structure. Propagation is not a correlation parameter. It is a structural property of how institutions fail.</w:t>
      </w:r>
    </w:p>
    <w:p w14:paraId="2BABBD05" w14:textId="77777777" w:rsidR="00E73AA4" w:rsidRPr="00E00B6C" w:rsidRDefault="00000000">
      <w:pPr>
        <w:spacing w:before="160" w:after="60"/>
        <w:ind w:left="360"/>
        <w:rPr>
          <w:rFonts w:ascii="Arial" w:hAnsi="Arial" w:cs="Arial"/>
        </w:rPr>
      </w:pPr>
      <w:r w:rsidRPr="00E00B6C">
        <w:rPr>
          <w:rFonts w:ascii="Arial" w:eastAsia="Arial" w:hAnsi="Arial" w:cs="Arial"/>
          <w:b/>
          <w:bCs/>
          <w:color w:val="1A1A2E"/>
        </w:rPr>
        <w:t>Equilibrium</w:t>
      </w:r>
    </w:p>
    <w:p w14:paraId="767F382A" w14:textId="77777777" w:rsidR="00E73AA4" w:rsidRPr="00E00B6C" w:rsidRDefault="00000000">
      <w:pPr>
        <w:spacing w:after="160"/>
        <w:ind w:left="360" w:right="360"/>
        <w:jc w:val="both"/>
        <w:rPr>
          <w:rFonts w:ascii="Arial" w:hAnsi="Arial" w:cs="Arial"/>
        </w:rPr>
      </w:pPr>
      <w:r w:rsidRPr="00E00B6C">
        <w:rPr>
          <w:rFonts w:ascii="Arial" w:hAnsi="Arial" w:cs="Arial"/>
          <w:color w:val="222222"/>
        </w:rPr>
        <w:t>The jointly determined state of a counterparty relationship, reflecting both the institution's calibration of the counterparty and the counterparty's assessment of the institution. Neither side determines the equilibrium unilaterally. The observable equilibrium is expressed through counterparty behaviour — pricing, terms, responsiveness, willingness to renew.</w:t>
      </w:r>
    </w:p>
    <w:p w14:paraId="099A8AD0" w14:textId="77777777" w:rsidR="00E73AA4" w:rsidRPr="00E00B6C" w:rsidRDefault="00E73AA4">
      <w:pPr>
        <w:pageBreakBefore/>
        <w:rPr>
          <w:rFonts w:ascii="Arial" w:hAnsi="Arial" w:cs="Arial"/>
        </w:rPr>
      </w:pPr>
    </w:p>
    <w:p w14:paraId="08CC0217" w14:textId="77777777" w:rsidR="00E73AA4" w:rsidRPr="00E00B6C" w:rsidRDefault="00000000">
      <w:pPr>
        <w:pStyle w:val="Heading1"/>
        <w:pBdr>
          <w:bottom w:val="single" w:sz="4" w:space="6" w:color="1A1A2E"/>
        </w:pBdr>
      </w:pPr>
      <w:r w:rsidRPr="00E00B6C">
        <w:t>Framework Map</w:t>
      </w:r>
    </w:p>
    <w:p w14:paraId="1578EC7F"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following map provides a schema of the framework's structure before the detail is introduced. Each row represents one layer of the framework. The layers are ordered from foundation to output. No layer is derivable without the one above it.</w:t>
      </w:r>
    </w:p>
    <w:p w14:paraId="5B158A31" w14:textId="77777777" w:rsidR="00E73AA4" w:rsidRPr="00E00B6C" w:rsidRDefault="00E73AA4">
      <w:pPr>
        <w:spacing w:before="160"/>
        <w:rPr>
          <w:rFonts w:ascii="Arial" w:hAnsi="Arial" w:cs="Arial"/>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E73AA4" w:rsidRPr="00E00B6C" w14:paraId="075FEBF5"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6373A2"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PRIMITIVES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657F507" w14:textId="77777777" w:rsidR="00E73AA4" w:rsidRPr="00E00B6C" w:rsidRDefault="00000000">
            <w:pPr>
              <w:jc w:val="both"/>
              <w:rPr>
                <w:rFonts w:ascii="Arial" w:hAnsi="Arial" w:cs="Arial"/>
              </w:rPr>
            </w:pPr>
            <w:r w:rsidRPr="00E00B6C">
              <w:rPr>
                <w:rFonts w:ascii="Arial" w:hAnsi="Arial" w:cs="Arial"/>
                <w:color w:val="222222"/>
                <w:sz w:val="18"/>
                <w:szCs w:val="18"/>
              </w:rPr>
              <w:t>Being (object of observation) · Structure (four dimensions) · Regime (deviation as unit) · Continuation (transition and propagation)</w:t>
            </w:r>
          </w:p>
        </w:tc>
      </w:tr>
      <w:tr w:rsidR="00E73AA4" w:rsidRPr="00E00B6C" w14:paraId="7EC66CE1"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EBC463"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LAWS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D9CE26" w14:textId="77777777" w:rsidR="00E73AA4" w:rsidRPr="00E00B6C" w:rsidRDefault="00000000">
            <w:pPr>
              <w:jc w:val="both"/>
              <w:rPr>
                <w:rFonts w:ascii="Arial" w:hAnsi="Arial" w:cs="Arial"/>
              </w:rPr>
            </w:pPr>
            <w:r w:rsidRPr="00E00B6C">
              <w:rPr>
                <w:rFonts w:ascii="Arial" w:hAnsi="Arial" w:cs="Arial"/>
                <w:color w:val="222222"/>
                <w:sz w:val="18"/>
                <w:szCs w:val="18"/>
              </w:rPr>
              <w:t>Bidirectionality · Equilibrium · Propagation · Attribution · Mean Identity</w:t>
            </w:r>
          </w:p>
        </w:tc>
      </w:tr>
      <w:tr w:rsidR="00E73AA4" w:rsidRPr="00E00B6C" w14:paraId="720C0A3C"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4BF538"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PRINCIPLES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0B1407" w14:textId="77777777" w:rsidR="00E73AA4" w:rsidRPr="00E00B6C" w:rsidRDefault="00000000">
            <w:pPr>
              <w:jc w:val="both"/>
              <w:rPr>
                <w:rFonts w:ascii="Arial" w:hAnsi="Arial" w:cs="Arial"/>
              </w:rPr>
            </w:pPr>
            <w:r w:rsidRPr="00E00B6C">
              <w:rPr>
                <w:rFonts w:ascii="Arial" w:hAnsi="Arial" w:cs="Arial"/>
                <w:color w:val="222222"/>
                <w:sz w:val="18"/>
                <w:szCs w:val="18"/>
              </w:rPr>
              <w:t>Neutrality · Non-Cancellation · External Anchoring · Horizon Subjectivity · Delayed Recognition · Instrumental Threshold · Completeness · Recursive Attributability</w:t>
            </w:r>
          </w:p>
        </w:tc>
      </w:tr>
      <w:tr w:rsidR="00E73AA4" w:rsidRPr="00E00B6C" w14:paraId="116D1867"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F19AC1"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DIMENSIONS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CABACD" w14:textId="77777777" w:rsidR="00E73AA4" w:rsidRPr="00E00B6C" w:rsidRDefault="00000000">
            <w:pPr>
              <w:jc w:val="both"/>
              <w:rPr>
                <w:rFonts w:ascii="Arial" w:hAnsi="Arial" w:cs="Arial"/>
              </w:rPr>
            </w:pPr>
            <w:r w:rsidRPr="00E00B6C">
              <w:rPr>
                <w:rFonts w:ascii="Arial" w:hAnsi="Arial" w:cs="Arial"/>
                <w:color w:val="222222"/>
                <w:sz w:val="18"/>
                <w:szCs w:val="18"/>
              </w:rPr>
              <w:t>Relational (R) · Structural (S) · Institutional (I) · Capacity (Y)</w:t>
            </w:r>
          </w:p>
        </w:tc>
      </w:tr>
      <w:tr w:rsidR="00E73AA4" w:rsidRPr="00E00B6C" w14:paraId="1337A0ED"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4DD74D"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LAYERS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2495B12" w14:textId="77777777" w:rsidR="00E73AA4" w:rsidRPr="00E00B6C" w:rsidRDefault="00000000">
            <w:pPr>
              <w:jc w:val="both"/>
              <w:rPr>
                <w:rFonts w:ascii="Arial" w:hAnsi="Arial" w:cs="Arial"/>
              </w:rPr>
            </w:pPr>
            <w:r w:rsidRPr="00E00B6C">
              <w:rPr>
                <w:rFonts w:ascii="Arial" w:hAnsi="Arial" w:cs="Arial"/>
                <w:color w:val="222222"/>
                <w:sz w:val="18"/>
                <w:szCs w:val="18"/>
              </w:rPr>
              <w:t>Systemic — baseline function variance across all business · Relationship-specific — incremental counterparty friction above systemic baseline</w:t>
            </w:r>
          </w:p>
        </w:tc>
      </w:tr>
      <w:tr w:rsidR="00E73AA4" w:rsidRPr="00E00B6C" w14:paraId="38A93B80"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8256057"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STATES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CEDC4F2" w14:textId="77777777" w:rsidR="00E73AA4" w:rsidRPr="00E00B6C" w:rsidRDefault="00000000">
            <w:pPr>
              <w:jc w:val="both"/>
              <w:rPr>
                <w:rFonts w:ascii="Arial" w:hAnsi="Arial" w:cs="Arial"/>
              </w:rPr>
            </w:pPr>
            <w:r w:rsidRPr="00E00B6C">
              <w:rPr>
                <w:rFonts w:ascii="Arial" w:hAnsi="Arial" w:cs="Arial"/>
                <w:color w:val="222222"/>
                <w:sz w:val="18"/>
                <w:szCs w:val="18"/>
              </w:rPr>
              <w:t>-- | - | 0 | + | ++   Five ordered states per dimension. Neutral is absorbing centre. Tail emerges from cascade probability, not distributional assumption.</w:t>
            </w:r>
          </w:p>
        </w:tc>
      </w:tr>
      <w:tr w:rsidR="00E73AA4" w:rsidRPr="00E00B6C" w14:paraId="53E49026"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5C7132"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PROPAGATION</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6F60E2" w14:textId="77777777" w:rsidR="00E73AA4" w:rsidRPr="00E00B6C" w:rsidRDefault="00000000">
            <w:pPr>
              <w:jc w:val="both"/>
              <w:rPr>
                <w:rFonts w:ascii="Arial" w:hAnsi="Arial" w:cs="Arial"/>
              </w:rPr>
            </w:pPr>
            <w:r w:rsidRPr="00E00B6C">
              <w:rPr>
                <w:rFonts w:ascii="Arial" w:hAnsi="Arial" w:cs="Arial"/>
                <w:color w:val="222222"/>
                <w:sz w:val="18"/>
                <w:szCs w:val="18"/>
              </w:rPr>
              <w:t>Endogenous. Deterioration in one dimension conditions transition probabilities of others through the institution's own organisational structure. Not a correlation parameter.</w:t>
            </w:r>
          </w:p>
        </w:tc>
      </w:tr>
      <w:tr w:rsidR="00E73AA4" w:rsidRPr="00E00B6C" w14:paraId="40FAE639"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7AD7AD"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ATTRIBUTION</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DB0C178" w14:textId="5C6A9AE2" w:rsidR="00E73AA4" w:rsidRPr="00E00B6C" w:rsidRDefault="00000000">
            <w:pPr>
              <w:jc w:val="both"/>
              <w:rPr>
                <w:rFonts w:ascii="Arial" w:hAnsi="Arial" w:cs="Arial"/>
              </w:rPr>
            </w:pPr>
            <w:r w:rsidRPr="00E00B6C">
              <w:rPr>
                <w:rFonts w:ascii="Arial" w:hAnsi="Arial" w:cs="Arial"/>
                <w:color w:val="222222"/>
                <w:sz w:val="18"/>
                <w:szCs w:val="18"/>
              </w:rPr>
              <w:t xml:space="preserve">Dimension → Function → Team → Person. Recursive. Established at signal collection. Every material loading </w:t>
            </w:r>
            <w:r w:rsidR="0040653D" w:rsidRPr="00E00B6C">
              <w:rPr>
                <w:rFonts w:ascii="Arial" w:hAnsi="Arial" w:cs="Arial"/>
                <w:color w:val="222222"/>
                <w:sz w:val="18"/>
                <w:szCs w:val="18"/>
              </w:rPr>
              <w:t xml:space="preserve">can be </w:t>
            </w:r>
            <w:r w:rsidRPr="00E00B6C">
              <w:rPr>
                <w:rFonts w:ascii="Arial" w:hAnsi="Arial" w:cs="Arial"/>
                <w:color w:val="222222"/>
                <w:sz w:val="18"/>
                <w:szCs w:val="18"/>
              </w:rPr>
              <w:t>attributable to a named individual.</w:t>
            </w:r>
          </w:p>
        </w:tc>
      </w:tr>
      <w:tr w:rsidR="00E73AA4" w:rsidRPr="00E00B6C" w14:paraId="52D19B3A"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45EEA14" w14:textId="77777777" w:rsidR="00E73AA4" w:rsidRPr="00E00B6C" w:rsidRDefault="00000000">
            <w:pPr>
              <w:rPr>
                <w:rFonts w:ascii="Arial" w:hAnsi="Arial" w:cs="Arial"/>
                <w:color w:val="000000" w:themeColor="text1"/>
              </w:rPr>
            </w:pPr>
            <w:r w:rsidRPr="00E00B6C">
              <w:rPr>
                <w:rFonts w:ascii="Arial" w:eastAsia="Arial" w:hAnsi="Arial" w:cs="Arial"/>
                <w:b/>
                <w:bCs/>
                <w:caps/>
                <w:color w:val="000000" w:themeColor="text1"/>
                <w:sz w:val="16"/>
                <w:szCs w:val="16"/>
              </w:rPr>
              <w:t>SCOPE</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46E524" w14:textId="77777777" w:rsidR="00E73AA4" w:rsidRPr="00E00B6C" w:rsidRDefault="00000000">
            <w:pPr>
              <w:jc w:val="both"/>
              <w:rPr>
                <w:rFonts w:ascii="Arial" w:hAnsi="Arial" w:cs="Arial"/>
              </w:rPr>
            </w:pPr>
            <w:r w:rsidRPr="00E00B6C">
              <w:rPr>
                <w:rFonts w:ascii="Arial" w:hAnsi="Arial" w:cs="Arial"/>
                <w:color w:val="222222"/>
                <w:sz w:val="18"/>
                <w:szCs w:val="18"/>
              </w:rPr>
              <w:t>Operational cost of miscalibration. Not underwriting risk itself. Not a model. Not a regulatory submission. Not an implementation specification.</w:t>
            </w:r>
          </w:p>
        </w:tc>
      </w:tr>
    </w:tbl>
    <w:p w14:paraId="4E3CD15E" w14:textId="77777777" w:rsidR="00E73AA4" w:rsidRPr="00E00B6C" w:rsidRDefault="00E73AA4">
      <w:pPr>
        <w:spacing w:before="240"/>
        <w:rPr>
          <w:rFonts w:ascii="Arial" w:hAnsi="Arial" w:cs="Arial"/>
        </w:rPr>
      </w:pPr>
    </w:p>
    <w:p w14:paraId="0E38E010"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four dimensions are not a classification imposed from outside. They are the irreducible functional surfaces of any financial institution once domain-specific detail is removed. No examined financial institution requires a fifth dimension. No function performed by a financial institution falls outside these four. The claim is empirical, not axiomatic, and the challenge remains open: identify a financial institution function that requires a fifth dimension not reducible to one of the existing four.</w:t>
      </w:r>
    </w:p>
    <w:p w14:paraId="20C8F3B8" w14:textId="626980A2" w:rsidR="001F370D" w:rsidRPr="00E00B6C" w:rsidRDefault="00000000" w:rsidP="001F370D">
      <w:pPr>
        <w:spacing w:after="160"/>
        <w:ind w:firstLine="360"/>
        <w:jc w:val="both"/>
        <w:rPr>
          <w:rFonts w:ascii="Arial" w:hAnsi="Arial" w:cs="Arial"/>
          <w:color w:val="000000" w:themeColor="text1"/>
        </w:rPr>
      </w:pPr>
      <w:r w:rsidRPr="00E00B6C">
        <w:rPr>
          <w:rFonts w:ascii="Arial" w:hAnsi="Arial" w:cs="Arial"/>
          <w:color w:val="222222"/>
        </w:rPr>
        <w:t xml:space="preserve">The four-dimensional structure was arrived at by examining what remains when every sector-specific label is set aside and only the functional structure of institutions is considered. A general insurer, a life assurer, a pension fund, and a bank all read counterparties, organise internal </w:t>
      </w:r>
      <w:r w:rsidRPr="00E00B6C">
        <w:rPr>
          <w:rFonts w:ascii="Arial" w:hAnsi="Arial" w:cs="Arial"/>
          <w:color w:val="000000" w:themeColor="text1"/>
        </w:rPr>
        <w:t>processes, maintain governance standing, and execute across their portfolios. The dimensions name what every institution does. They do not prescribe how any institution should be organised.</w:t>
      </w:r>
    </w:p>
    <w:p w14:paraId="5C1AF421" w14:textId="2C553E74" w:rsidR="001F370D" w:rsidRPr="00E00B6C" w:rsidRDefault="001F370D" w:rsidP="001F370D">
      <w:pPr>
        <w:spacing w:after="160"/>
        <w:ind w:firstLine="360"/>
        <w:jc w:val="both"/>
        <w:rPr>
          <w:rFonts w:ascii="Arial" w:hAnsi="Arial" w:cs="Arial"/>
          <w:color w:val="000000" w:themeColor="text1"/>
        </w:rPr>
      </w:pPr>
      <w:r w:rsidRPr="00E00B6C">
        <w:rPr>
          <w:rFonts w:ascii="Arial" w:hAnsi="Arial" w:cs="Arial"/>
          <w:color w:val="000000" w:themeColor="text1"/>
        </w:rPr>
        <w:t xml:space="preserve">The five-state structure warrants a brief note. Five states provide the minimum granularity required to distinguish direction, magnitude, and neutrality without imposing unnecessary parametric structure. Fewer than five states cannot simultaneously capture the sign of deviation, its severity, and the neutral baseline. More than five states introduce precision that the observable signal quality of most </w:t>
      </w:r>
      <w:r w:rsidRPr="00E00B6C">
        <w:rPr>
          <w:rFonts w:ascii="Arial" w:hAnsi="Arial" w:cs="Arial"/>
          <w:color w:val="000000" w:themeColor="text1"/>
        </w:rPr>
        <w:lastRenderedPageBreak/>
        <w:t>institutions cannot support. Five is therefore not a modelling convenience. It is the minimum sufficient structure for the measurement the framework requires.</w:t>
      </w:r>
    </w:p>
    <w:p w14:paraId="22D20780" w14:textId="5E2F0E26" w:rsidR="001F370D" w:rsidRPr="00E00B6C" w:rsidRDefault="001F370D">
      <w:pPr>
        <w:spacing w:after="160"/>
        <w:ind w:firstLine="360"/>
        <w:jc w:val="both"/>
        <w:rPr>
          <w:rFonts w:ascii="Arial" w:hAnsi="Arial" w:cs="Arial"/>
        </w:rPr>
      </w:pPr>
      <w:r w:rsidRPr="00E00B6C">
        <w:rPr>
          <w:rFonts w:ascii="Arial" w:hAnsi="Arial" w:cs="Arial"/>
          <w:color w:val="222222"/>
        </w:rPr>
        <w:t>Operational risk is the cost of misreading. When a function reads a counterparty too generously, the institution absorbs losses it should not have accepted. When it reads too harshly, it pays for friction, lost business, and adversarial relationships it need not have created. In both cases the institution is paying for the distance between its reading of the world and what the world actually required of it. Current models measure the payment. This framework measures the distance</w:t>
      </w:r>
      <w:r w:rsidRPr="00E00B6C">
        <w:rPr>
          <w:rFonts w:ascii="Arial" w:hAnsi="Arial" w:cs="Arial"/>
          <w:color w:val="FFFFFF"/>
          <w:sz w:val="27"/>
          <w:szCs w:val="27"/>
        </w:rPr>
        <w:t>.</w:t>
      </w:r>
    </w:p>
    <w:p w14:paraId="76AACE08" w14:textId="77777777" w:rsidR="00E73AA4" w:rsidRPr="00E00B6C" w:rsidRDefault="00E73AA4">
      <w:pPr>
        <w:pageBreakBefore/>
        <w:rPr>
          <w:rFonts w:ascii="Arial" w:hAnsi="Arial" w:cs="Arial"/>
        </w:rPr>
      </w:pPr>
    </w:p>
    <w:p w14:paraId="11AF0CDC" w14:textId="75FEDF75" w:rsidR="00E73AA4" w:rsidRPr="00E00B6C" w:rsidRDefault="00000000" w:rsidP="008800D4">
      <w:pPr>
        <w:pStyle w:val="Heading1"/>
        <w:numPr>
          <w:ilvl w:val="0"/>
          <w:numId w:val="2"/>
        </w:numPr>
      </w:pPr>
      <w:r w:rsidRPr="00E00B6C">
        <w:t xml:space="preserve"> </w:t>
      </w:r>
      <w:r w:rsidR="008800D4" w:rsidRPr="00E00B6C">
        <w:t xml:space="preserve">ONTOLOGY – </w:t>
      </w:r>
      <w:r w:rsidR="008800D4" w:rsidRPr="00E00B6C">
        <w:t>Descriptive Framework</w:t>
      </w:r>
    </w:p>
    <w:p w14:paraId="53A3EE43" w14:textId="098905D9" w:rsidR="00E73AA4" w:rsidRPr="00E00B6C" w:rsidRDefault="00000000" w:rsidP="008800D4">
      <w:pPr>
        <w:pStyle w:val="Heading1"/>
        <w:numPr>
          <w:ilvl w:val="1"/>
          <w:numId w:val="2"/>
        </w:numPr>
        <w:ind w:left="567"/>
      </w:pPr>
      <w:r w:rsidRPr="00E00B6C">
        <w:t>Primitives</w:t>
      </w:r>
    </w:p>
    <w:p w14:paraId="52F85D2D"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framework rests on four primitives — irreducible elements that cannot be derived from anything simpler within the framework and from which all other elements are constructed.</w:t>
      </w:r>
    </w:p>
    <w:p w14:paraId="1D1B6336"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first primitive is the object of observation: the financial institution as a calibrating system and its counterparty relationships as the units at which calibration is directly observable. The institution continuously calibrates its reading of every relationship it maintains — with counterparties, regulators, capital providers, and its own internal functions. Operational risk is an endogenous property of that calibration process, not an external event category.</w:t>
      </w:r>
    </w:p>
    <w:p w14:paraId="3EB9DC9E" w14:textId="77777777" w:rsidR="00E73AA4" w:rsidRPr="00E00B6C" w:rsidRDefault="00000000">
      <w:pPr>
        <w:spacing w:after="160"/>
        <w:ind w:firstLine="360"/>
        <w:jc w:val="both"/>
        <w:rPr>
          <w:rFonts w:ascii="Arial" w:hAnsi="Arial" w:cs="Arial"/>
          <w:color w:val="222222"/>
        </w:rPr>
      </w:pPr>
      <w:r w:rsidRPr="00E00B6C">
        <w:rPr>
          <w:rFonts w:ascii="Arial" w:hAnsi="Arial" w:cs="Arial"/>
          <w:color w:val="222222"/>
        </w:rPr>
        <w:t>The second primitive is the structure of observation: the four functional dimensions — relational, structural, institutional, and capacity — as the irreducible organisational surfaces through which calibration deviation becomes observable and attributable. Every financial institution, regardless of sector or business model, performs these four categories of function. The four dimensions are not a classification imposed from outside. They are what remains when every domain-specific detail is removed and the irreducible functional structure of any financial institution is examined directly.</w:t>
      </w:r>
    </w:p>
    <w:p w14:paraId="426A9213" w14:textId="5A287974" w:rsidR="001F370D" w:rsidRPr="00E00B6C" w:rsidRDefault="001F370D" w:rsidP="001F370D">
      <w:pPr>
        <w:spacing w:after="160"/>
        <w:ind w:firstLine="360"/>
        <w:jc w:val="both"/>
        <w:rPr>
          <w:rFonts w:ascii="Arial" w:hAnsi="Arial" w:cs="Arial"/>
          <w:color w:val="222222"/>
        </w:rPr>
      </w:pPr>
      <w:r w:rsidRPr="00E00B6C">
        <w:rPr>
          <w:rFonts w:ascii="Arial" w:hAnsi="Arial" w:cs="Arial"/>
          <w:color w:val="222222"/>
        </w:rPr>
        <w:t>The third primitive is the unit of measurement: the signed deviation of each functional dimension from its optimal calibration relative to the underlying risk being managed. The framework does not measure risk events. It does not measure loss frequencies or severities. It measures the distance between the current calibration state of each function and the optimal calibration of that function relative to the risk it is managing. Optimal calibration is cost-neutral — it generates no operational risk charge. Any deviation from optimal, in either direction, induces operational loss proportional to its magnitude. This deviation is the sole input from which all operational risk loadings and capital charges are derived.</w:t>
      </w:r>
    </w:p>
    <w:p w14:paraId="4C7097ED" w14:textId="7454A008" w:rsidR="001F370D" w:rsidRPr="00E00B6C" w:rsidRDefault="00000000" w:rsidP="008800D4">
      <w:pPr>
        <w:spacing w:after="160"/>
        <w:ind w:firstLine="426"/>
        <w:jc w:val="both"/>
        <w:rPr>
          <w:rFonts w:ascii="Arial" w:eastAsia="Georgia" w:hAnsi="Arial" w:cs="Arial"/>
          <w:sz w:val="22"/>
          <w:szCs w:val="22"/>
        </w:rPr>
      </w:pPr>
      <w:r w:rsidRPr="00E00B6C">
        <w:rPr>
          <w:rFonts w:ascii="Arial" w:hAnsi="Arial" w:cs="Arial"/>
          <w:color w:val="222222"/>
        </w:rPr>
        <w:t>The fourth primitive is the mechanism of continuation: the multi-state transition structure, the propagation between dimensions, and the equilibrium property through which the system evolves across time and produces its outputs (Haberman and Pitacco, 1999). Without this primitive, the framework produces a static snapshot rather than a living measurement instrument.</w:t>
      </w:r>
    </w:p>
    <w:p w14:paraId="0C497F88" w14:textId="77777777" w:rsidR="00E73AA4" w:rsidRPr="00E00B6C" w:rsidRDefault="00E73AA4">
      <w:pPr>
        <w:pageBreakBefore/>
        <w:rPr>
          <w:rFonts w:ascii="Arial" w:hAnsi="Arial" w:cs="Arial"/>
        </w:rPr>
      </w:pPr>
    </w:p>
    <w:p w14:paraId="7AAE4212" w14:textId="0604E37F" w:rsidR="00E73AA4" w:rsidRPr="00E00B6C" w:rsidRDefault="00000000" w:rsidP="0040653D">
      <w:pPr>
        <w:pStyle w:val="Heading1"/>
        <w:numPr>
          <w:ilvl w:val="1"/>
          <w:numId w:val="2"/>
        </w:numPr>
        <w:ind w:left="567"/>
      </w:pPr>
      <w:r w:rsidRPr="00E00B6C">
        <w:t>The Space of Operational Risk</w:t>
      </w:r>
    </w:p>
    <w:p w14:paraId="0A299930" w14:textId="77777777" w:rsidR="00E73AA4" w:rsidRPr="00E00B6C" w:rsidRDefault="00000000">
      <w:pPr>
        <w:spacing w:after="160"/>
        <w:ind w:firstLine="360"/>
        <w:jc w:val="both"/>
        <w:rPr>
          <w:rFonts w:ascii="Arial" w:hAnsi="Arial" w:cs="Arial"/>
        </w:rPr>
      </w:pPr>
      <w:r w:rsidRPr="00E00B6C">
        <w:rPr>
          <w:rFonts w:ascii="Arial" w:hAnsi="Arial" w:cs="Arial"/>
          <w:color w:val="222222"/>
        </w:rPr>
        <w:t>Financial institutions have long recognised that the risks arising from the failure of internal processes, people, and systems occupy a categorically different space from the underwriting, market, and credit risks that form the core of actuarial modelling. Yet despite this recognition, the measurement of operational risk has remained underdeveloped relative to its theoretical importance. The frameworks applied in practice — scenario-based assessments, loss distribution approaches, and premium or reserve proxies — share a common characteristic: they define operational risk by its outcomes rather than by its conditions. A loss is observed, recorded, and used to calibrate a distribution. A scenario is constructed, scored, and used to produce a capital figure. In neither case does the framework identify the organisational condition that made the loss possible, nor does it measure whether that condition is improving or deteriorating.</w:t>
      </w:r>
    </w:p>
    <w:p w14:paraId="78E68872" w14:textId="77777777" w:rsidR="00E73AA4" w:rsidRPr="00E00B6C" w:rsidRDefault="00000000">
      <w:pPr>
        <w:spacing w:after="160"/>
        <w:ind w:firstLine="360"/>
        <w:jc w:val="both"/>
        <w:rPr>
          <w:rFonts w:ascii="Arial" w:hAnsi="Arial" w:cs="Arial"/>
          <w:color w:val="222222"/>
        </w:rPr>
      </w:pPr>
      <w:r w:rsidRPr="00E00B6C">
        <w:rPr>
          <w:rFonts w:ascii="Arial" w:hAnsi="Arial" w:cs="Arial"/>
          <w:color w:val="222222"/>
        </w:rPr>
        <w:t>This is not a calibration problem. It is a conceptual one. The current generation of operational risk models was constructed to produce a number — a capital requirement — rather than to describe the phenomenon being capitalised. The Basel II definition (Basel Committee on Banking Supervision, 2004), subsequently adopted across insurance regulation including Solvency II (European Parliament and Council, 2009) and the BMA regulatory framework (Bermuda Monetary Authority, 2024), characterises operational risk as the risk of loss resulting from inadequate or failed internal processes, people, and systems, or from external events. This definition is correct as far as it goes, but it is a definition of loss events rather than a definition of the condition that produces them. It tells us what operational risk looks like after it has materialised. It says nothing about what it looks like before.</w:t>
      </w:r>
    </w:p>
    <w:p w14:paraId="6BD6125F" w14:textId="6F8071E0" w:rsidR="002B7B8D" w:rsidRPr="00E00B6C" w:rsidRDefault="00000000" w:rsidP="002B7B8D">
      <w:pPr>
        <w:spacing w:after="160"/>
        <w:ind w:firstLine="360"/>
        <w:jc w:val="both"/>
        <w:rPr>
          <w:rFonts w:ascii="Arial" w:hAnsi="Arial" w:cs="Arial"/>
          <w:color w:val="222222"/>
        </w:rPr>
      </w:pPr>
      <w:r w:rsidRPr="00E00B6C">
        <w:rPr>
          <w:rFonts w:ascii="Arial" w:hAnsi="Arial" w:cs="Arial"/>
          <w:color w:val="222222"/>
        </w:rPr>
        <w:t xml:space="preserve">The consequence is a measurement framework that is structurally retrospective. Loss distribution models require historical loss data, which in most institutions is sparse, inconsistently recorded, and dominated by low-severity high-frequency events that bear little relationship to the tail losses the model is intended to capture (Frachot, Georges and Roncalli, 2001; Dutta and Perry, 2006). Scenario assessments introduce expert judgement at precisely the point where expert judgement is most prone to anchoring, availability bias, and organisational optimism. </w:t>
      </w:r>
    </w:p>
    <w:p w14:paraId="3F0D7E97" w14:textId="55C46EA8" w:rsidR="00E73AA4" w:rsidRPr="00E00B6C" w:rsidRDefault="00000000">
      <w:pPr>
        <w:spacing w:after="160"/>
        <w:ind w:firstLine="360"/>
        <w:jc w:val="both"/>
        <w:rPr>
          <w:rFonts w:ascii="Arial" w:hAnsi="Arial" w:cs="Arial"/>
          <w:color w:val="222222"/>
        </w:rPr>
      </w:pPr>
      <w:commentRangeStart w:id="0"/>
      <w:r w:rsidRPr="00E00B6C">
        <w:rPr>
          <w:rFonts w:ascii="Arial" w:hAnsi="Arial" w:cs="Arial"/>
          <w:color w:val="222222"/>
        </w:rPr>
        <w:t>Premium and reserve proxies apply a uniform loading that carries no information about which functions are well managed and which are not, which relationships are generating incremental operational cost and which are not, and which direction — over-calibration or under-calibration — the organisation is currently misaligned.</w:t>
      </w:r>
      <w:commentRangeEnd w:id="0"/>
      <w:r w:rsidR="00FE292F" w:rsidRPr="00E00B6C">
        <w:rPr>
          <w:rStyle w:val="CommentReference"/>
          <w:rFonts w:ascii="Arial" w:hAnsi="Arial" w:cs="Arial"/>
          <w:color w:val="222222"/>
          <w:sz w:val="24"/>
          <w:szCs w:val="24"/>
        </w:rPr>
        <w:commentReference w:id="0"/>
      </w:r>
    </w:p>
    <w:p w14:paraId="03BE4665" w14:textId="77777777" w:rsidR="00E73AA4" w:rsidRPr="00E00B6C" w:rsidRDefault="00000000">
      <w:pPr>
        <w:spacing w:after="160"/>
        <w:ind w:firstLine="360"/>
        <w:jc w:val="both"/>
        <w:rPr>
          <w:rFonts w:ascii="Arial" w:hAnsi="Arial" w:cs="Arial"/>
        </w:rPr>
      </w:pPr>
      <w:r w:rsidRPr="00E00B6C">
        <w:rPr>
          <w:rFonts w:ascii="Arial" w:hAnsi="Arial" w:cs="Arial"/>
          <w:color w:val="222222"/>
        </w:rPr>
        <w:t xml:space="preserve">The problem is therefore threefold. Current models are retrospective, measuring loss after it occurs rather than the condition that produces it. They are undifferentiated, applying the same loading regardless of counterparty, relationship, or functional quality. And they are unattributable, producing a capital number that cannot be traced to the organisational processes responsible for </w:t>
      </w:r>
      <w:r w:rsidRPr="00E00B6C">
        <w:rPr>
          <w:rFonts w:ascii="Arial" w:hAnsi="Arial" w:cs="Arial"/>
          <w:color w:val="222222"/>
        </w:rPr>
        <w:lastRenderedPageBreak/>
        <w:t>generating it. A model with these three properties satisfies a regulatory requirement. It does not constitute a management tool.</w:t>
      </w:r>
    </w:p>
    <w:p w14:paraId="359F3482" w14:textId="77777777" w:rsidR="00E73AA4" w:rsidRPr="00E00B6C" w:rsidRDefault="00000000">
      <w:pPr>
        <w:spacing w:after="160"/>
        <w:ind w:firstLine="360"/>
        <w:jc w:val="both"/>
        <w:rPr>
          <w:rFonts w:ascii="Arial" w:hAnsi="Arial" w:cs="Arial"/>
          <w:color w:val="222222"/>
        </w:rPr>
      </w:pPr>
      <w:r w:rsidRPr="00E00B6C">
        <w:rPr>
          <w:rFonts w:ascii="Arial" w:hAnsi="Arial" w:cs="Arial"/>
          <w:color w:val="222222"/>
        </w:rPr>
        <w:t>What a coherent operational risk framework requires is a different starting point. Rather than beginning with loss events and working backward to infer a distribution, the framework proposed here begins with the organisational conditions under which operational losses become possible and works forward to their financial consequences. This distinction — between the condition and the consequence — is the foundational reorientation from which the remainder of the framework follows.</w:t>
      </w:r>
    </w:p>
    <w:p w14:paraId="4D00484A" w14:textId="4F12CB22" w:rsidR="001F370D" w:rsidRPr="00E00B6C" w:rsidRDefault="001F370D">
      <w:pPr>
        <w:spacing w:after="160"/>
        <w:ind w:firstLine="360"/>
        <w:jc w:val="both"/>
        <w:rPr>
          <w:rFonts w:ascii="Arial" w:hAnsi="Arial" w:cs="Arial"/>
          <w:color w:val="222222"/>
        </w:rPr>
      </w:pPr>
      <w:r w:rsidRPr="00E00B6C">
        <w:rPr>
          <w:rFonts w:ascii="Arial" w:hAnsi="Arial" w:cs="Arial"/>
          <w:color w:val="222222"/>
        </w:rPr>
        <w:t>The following example illustrates how miscalibration accumulates across all four dimensions simultaneously and why a framework grounded in condition rather than consequence is required to make that accumulation visible before it crystallises as loss.</w:t>
      </w:r>
    </w:p>
    <w:p w14:paraId="37AE3253" w14:textId="45B72AE8" w:rsidR="00E73AA4" w:rsidRPr="00E00B6C" w:rsidRDefault="00000000" w:rsidP="002B7B8D">
      <w:pPr>
        <w:pStyle w:val="Heading1"/>
        <w:numPr>
          <w:ilvl w:val="1"/>
          <w:numId w:val="2"/>
        </w:numPr>
        <w:ind w:left="567"/>
      </w:pPr>
      <w:r w:rsidRPr="00E00B6C">
        <w:t>An Illustrative Example</w:t>
      </w:r>
    </w:p>
    <w:p w14:paraId="31D7ECB6" w14:textId="7C3A7EFA" w:rsidR="002B7B8D" w:rsidRPr="00E00B6C" w:rsidRDefault="00000000">
      <w:pPr>
        <w:spacing w:after="160"/>
        <w:ind w:firstLine="360"/>
        <w:jc w:val="both"/>
        <w:rPr>
          <w:rFonts w:ascii="Arial" w:hAnsi="Arial" w:cs="Arial"/>
          <w:color w:val="222222"/>
        </w:rPr>
      </w:pPr>
      <w:bookmarkStart w:id="1" w:name="OLE_LINK1"/>
      <w:r w:rsidRPr="00E00B6C">
        <w:rPr>
          <w:rFonts w:ascii="Arial" w:hAnsi="Arial" w:cs="Arial"/>
          <w:color w:val="222222"/>
        </w:rPr>
        <w:t xml:space="preserve">Consider a reinsurer managing a cedant relationship over a renewal cycle. The cedant's submission quality has been declining — borderline risks presented without adequate supporting data, claims notifications arriving late, payment of premium deferred beyond contractual terms. </w:t>
      </w:r>
    </w:p>
    <w:p w14:paraId="32E66FF7" w14:textId="77777777" w:rsidR="002B7B8D" w:rsidRPr="00E00B6C" w:rsidRDefault="00000000" w:rsidP="002B7B8D">
      <w:pPr>
        <w:pStyle w:val="ListParagraph"/>
        <w:numPr>
          <w:ilvl w:val="0"/>
          <w:numId w:val="4"/>
        </w:numPr>
        <w:spacing w:after="160"/>
        <w:jc w:val="both"/>
        <w:rPr>
          <w:rFonts w:ascii="Arial" w:hAnsi="Arial" w:cs="Arial"/>
        </w:rPr>
      </w:pPr>
      <w:r w:rsidRPr="00E00B6C">
        <w:rPr>
          <w:rFonts w:ascii="Arial" w:hAnsi="Arial" w:cs="Arial"/>
          <w:color w:val="222222"/>
        </w:rPr>
        <w:t xml:space="preserve">In the relational dimension, the institution's calibration of this relationship is under pressure: the signals suggest the cedant is either disengaged, financially strained, or strategically repositioning. </w:t>
      </w:r>
    </w:p>
    <w:p w14:paraId="48F9F937" w14:textId="3181BB2C" w:rsidR="002B7B8D" w:rsidRPr="00E00B6C" w:rsidRDefault="00000000" w:rsidP="002B7B8D">
      <w:pPr>
        <w:pStyle w:val="ListParagraph"/>
        <w:numPr>
          <w:ilvl w:val="0"/>
          <w:numId w:val="4"/>
        </w:numPr>
        <w:spacing w:after="160"/>
        <w:jc w:val="both"/>
        <w:rPr>
          <w:rFonts w:ascii="Arial" w:hAnsi="Arial" w:cs="Arial"/>
        </w:rPr>
      </w:pPr>
      <w:r w:rsidRPr="00E00B6C">
        <w:rPr>
          <w:rFonts w:ascii="Arial" w:hAnsi="Arial" w:cs="Arial"/>
          <w:color w:val="222222"/>
        </w:rPr>
        <w:t>In the structural dimension, the institution</w:t>
      </w:r>
      <w:r w:rsidR="002B7B8D" w:rsidRPr="00E00B6C">
        <w:rPr>
          <w:rFonts w:ascii="Arial" w:hAnsi="Arial" w:cs="Arial"/>
          <w:color w:val="222222"/>
        </w:rPr>
        <w:t>’</w:t>
      </w:r>
      <w:r w:rsidRPr="00E00B6C">
        <w:rPr>
          <w:rFonts w:ascii="Arial" w:hAnsi="Arial" w:cs="Arial"/>
          <w:color w:val="222222"/>
        </w:rPr>
        <w:t xml:space="preserve">s own reserving function has been estimating this account optimistically — the loss development has consistently exceeded the initial reserve, indicating that the structural model for this cedant is miscalibrated. </w:t>
      </w:r>
    </w:p>
    <w:p w14:paraId="7CA8AA72" w14:textId="77777777" w:rsidR="002B7B8D" w:rsidRPr="00E00B6C" w:rsidRDefault="00000000" w:rsidP="002B7B8D">
      <w:pPr>
        <w:pStyle w:val="ListParagraph"/>
        <w:numPr>
          <w:ilvl w:val="0"/>
          <w:numId w:val="4"/>
        </w:numPr>
        <w:spacing w:after="160"/>
        <w:jc w:val="both"/>
        <w:rPr>
          <w:rFonts w:ascii="Arial" w:hAnsi="Arial" w:cs="Arial"/>
        </w:rPr>
      </w:pPr>
      <w:r w:rsidRPr="00E00B6C">
        <w:rPr>
          <w:rFonts w:ascii="Arial" w:hAnsi="Arial" w:cs="Arial"/>
          <w:color w:val="222222"/>
        </w:rPr>
        <w:t xml:space="preserve">In the institutional dimension, the cedant's most recent regulatory filing disclosed a governance concern that has not yet been resolved. </w:t>
      </w:r>
    </w:p>
    <w:p w14:paraId="30CD5E7D" w14:textId="58F651B0" w:rsidR="00E73AA4" w:rsidRPr="00E00B6C" w:rsidRDefault="00000000" w:rsidP="002B7B8D">
      <w:pPr>
        <w:pStyle w:val="ListParagraph"/>
        <w:numPr>
          <w:ilvl w:val="0"/>
          <w:numId w:val="4"/>
        </w:numPr>
        <w:spacing w:after="160"/>
        <w:jc w:val="both"/>
        <w:rPr>
          <w:rFonts w:ascii="Arial" w:hAnsi="Arial" w:cs="Arial"/>
        </w:rPr>
      </w:pPr>
      <w:r w:rsidRPr="00E00B6C">
        <w:rPr>
          <w:rFonts w:ascii="Arial" w:hAnsi="Arial" w:cs="Arial"/>
          <w:color w:val="222222"/>
        </w:rPr>
        <w:t>In the capacity dimension, the institution's claims team has recently lost two experienced handlers who covered this account, creating a key person dependency that has not been filled.</w:t>
      </w:r>
    </w:p>
    <w:p w14:paraId="2653AED7"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None of these observations is individually catastrophic. Each is, in isolation, manageable. Together, they describe a relationship in which all four functional dimensions are simultaneously under pressure </w:t>
      </w:r>
    </w:p>
    <w:p w14:paraId="0BBD6C47" w14:textId="77777777" w:rsidR="002B7B8D" w:rsidRPr="00E00B6C" w:rsidRDefault="00000000" w:rsidP="002B7B8D">
      <w:pPr>
        <w:pStyle w:val="ListParagraph"/>
        <w:numPr>
          <w:ilvl w:val="0"/>
          <w:numId w:val="4"/>
        </w:numPr>
        <w:spacing w:after="160"/>
        <w:jc w:val="both"/>
        <w:rPr>
          <w:rFonts w:ascii="Arial" w:hAnsi="Arial" w:cs="Arial"/>
          <w:color w:val="222222"/>
        </w:rPr>
      </w:pPr>
      <w:r w:rsidRPr="00E00B6C">
        <w:rPr>
          <w:rFonts w:ascii="Arial" w:hAnsi="Arial" w:cs="Arial"/>
          <w:color w:val="222222"/>
        </w:rPr>
        <w:t xml:space="preserve">the relational reading is deteriorating, </w:t>
      </w:r>
    </w:p>
    <w:p w14:paraId="0EE304E1" w14:textId="77777777" w:rsidR="002B7B8D" w:rsidRPr="00E00B6C" w:rsidRDefault="00000000" w:rsidP="002B7B8D">
      <w:pPr>
        <w:pStyle w:val="ListParagraph"/>
        <w:numPr>
          <w:ilvl w:val="0"/>
          <w:numId w:val="4"/>
        </w:numPr>
        <w:spacing w:after="160"/>
        <w:jc w:val="both"/>
        <w:rPr>
          <w:rFonts w:ascii="Arial" w:hAnsi="Arial" w:cs="Arial"/>
          <w:color w:val="222222"/>
        </w:rPr>
      </w:pPr>
      <w:r w:rsidRPr="00E00B6C">
        <w:rPr>
          <w:rFonts w:ascii="Arial" w:hAnsi="Arial" w:cs="Arial"/>
          <w:color w:val="222222"/>
        </w:rPr>
        <w:t xml:space="preserve">the structural model is understating the risk, </w:t>
      </w:r>
    </w:p>
    <w:p w14:paraId="24D254FB" w14:textId="77777777" w:rsidR="002B7B8D" w:rsidRPr="00E00B6C" w:rsidRDefault="00000000" w:rsidP="002B7B8D">
      <w:pPr>
        <w:pStyle w:val="ListParagraph"/>
        <w:numPr>
          <w:ilvl w:val="0"/>
          <w:numId w:val="4"/>
        </w:numPr>
        <w:spacing w:after="160"/>
        <w:jc w:val="both"/>
        <w:rPr>
          <w:rFonts w:ascii="Arial" w:hAnsi="Arial" w:cs="Arial"/>
          <w:color w:val="222222"/>
        </w:rPr>
      </w:pPr>
      <w:r w:rsidRPr="00E00B6C">
        <w:rPr>
          <w:rFonts w:ascii="Arial" w:hAnsi="Arial" w:cs="Arial"/>
          <w:color w:val="222222"/>
        </w:rPr>
        <w:t xml:space="preserve">the institutional signals are weakening, and </w:t>
      </w:r>
    </w:p>
    <w:p w14:paraId="56C1EC06" w14:textId="77777777" w:rsidR="002B7B8D" w:rsidRPr="00E00B6C" w:rsidRDefault="00000000" w:rsidP="002B7B8D">
      <w:pPr>
        <w:pStyle w:val="ListParagraph"/>
        <w:numPr>
          <w:ilvl w:val="0"/>
          <w:numId w:val="4"/>
        </w:numPr>
        <w:spacing w:after="160"/>
        <w:jc w:val="both"/>
        <w:rPr>
          <w:rFonts w:ascii="Arial" w:hAnsi="Arial" w:cs="Arial"/>
          <w:color w:val="222222"/>
        </w:rPr>
      </w:pPr>
      <w:r w:rsidRPr="00E00B6C">
        <w:rPr>
          <w:rFonts w:ascii="Arial" w:hAnsi="Arial" w:cs="Arial"/>
          <w:color w:val="222222"/>
        </w:rPr>
        <w:t xml:space="preserve">the operational capacity to manage the account has declined. </w:t>
      </w:r>
    </w:p>
    <w:p w14:paraId="19A9D80D" w14:textId="77777777" w:rsidR="002B7B8D" w:rsidRPr="00E00B6C" w:rsidRDefault="00000000" w:rsidP="002B7B8D">
      <w:pPr>
        <w:spacing w:after="160"/>
        <w:ind w:firstLine="360"/>
        <w:jc w:val="both"/>
        <w:rPr>
          <w:rFonts w:ascii="Arial" w:hAnsi="Arial" w:cs="Arial"/>
          <w:color w:val="222222"/>
        </w:rPr>
      </w:pPr>
      <w:r w:rsidRPr="00E00B6C">
        <w:rPr>
          <w:rFonts w:ascii="Arial" w:hAnsi="Arial" w:cs="Arial"/>
          <w:color w:val="222222"/>
        </w:rPr>
        <w:t xml:space="preserve">The propagation between dimensions is already underway: the capacity reduction makes the relational deterioration harder to manage, the structural miscalibration makes the institutional signals harder to interpret, and the </w:t>
      </w:r>
      <w:r w:rsidRPr="00E00B6C">
        <w:rPr>
          <w:rFonts w:ascii="Arial" w:hAnsi="Arial" w:cs="Arial"/>
          <w:color w:val="222222"/>
        </w:rPr>
        <w:lastRenderedPageBreak/>
        <w:t xml:space="preserve">combination of all four produces an operational risk profile that no single-dimension observation would reveal. </w:t>
      </w:r>
    </w:p>
    <w:p w14:paraId="51AEAE10" w14:textId="1C4B8E96" w:rsidR="00E73AA4" w:rsidRPr="00E00B6C" w:rsidRDefault="00000000" w:rsidP="002B7B8D">
      <w:pPr>
        <w:spacing w:after="160"/>
        <w:ind w:firstLine="360"/>
        <w:jc w:val="both"/>
        <w:rPr>
          <w:rFonts w:ascii="Arial" w:hAnsi="Arial" w:cs="Arial"/>
          <w:color w:val="222222"/>
        </w:rPr>
      </w:pPr>
      <w:r w:rsidRPr="00E00B6C">
        <w:rPr>
          <w:rFonts w:ascii="Arial" w:hAnsi="Arial" w:cs="Arial"/>
          <w:color w:val="222222"/>
        </w:rPr>
        <w:t>A uniform loading on premium does not capture this. An attributed RYSI state does.</w:t>
      </w:r>
    </w:p>
    <w:p w14:paraId="35586EAF" w14:textId="77777777" w:rsidR="00E73AA4" w:rsidRPr="00E00B6C" w:rsidRDefault="00000000">
      <w:pPr>
        <w:spacing w:after="160"/>
        <w:ind w:firstLine="360"/>
        <w:jc w:val="both"/>
        <w:rPr>
          <w:rFonts w:ascii="Arial" w:hAnsi="Arial" w:cs="Arial"/>
          <w:color w:val="222222"/>
        </w:rPr>
      </w:pPr>
      <w:r w:rsidRPr="00E00B6C">
        <w:rPr>
          <w:rFonts w:ascii="Arial" w:hAnsi="Arial" w:cs="Arial"/>
          <w:color w:val="222222"/>
        </w:rPr>
        <w:t>This example is not hypothetical. It describes the typical pattern of operational loss accumulation in insurance relationships: not a single failure but a convergence of miscalibrations across dimensions that individually appear within tolerance and collectively produce a material operational loss. The framework is designed to make this convergence visible before it crystallises.</w:t>
      </w:r>
    </w:p>
    <w:bookmarkEnd w:id="1"/>
    <w:p w14:paraId="2DBE4B7E" w14:textId="02AC8E31" w:rsidR="00217BDC" w:rsidRPr="00E00B6C" w:rsidRDefault="00217BDC">
      <w:pPr>
        <w:spacing w:after="160"/>
        <w:ind w:firstLine="360"/>
        <w:jc w:val="both"/>
        <w:rPr>
          <w:rFonts w:ascii="Arial" w:hAnsi="Arial" w:cs="Arial"/>
          <w:color w:val="222222"/>
        </w:rPr>
      </w:pPr>
      <w:r w:rsidRPr="00E00B6C">
        <w:rPr>
          <w:rFonts w:ascii="Arial" w:hAnsi="Arial" w:cs="Arial"/>
          <w:color w:val="222222"/>
        </w:rPr>
        <w:t>The RYSI vector is the instrument through which that visibility is achieved — assigning a specific, attributed, continuously updated calibration state to each dimension of each relationship, so that the convergence is observable in real time and the institution can intervene before the operational loss it implies becomes the financial loss it produces.</w:t>
      </w:r>
    </w:p>
    <w:p w14:paraId="1C9B055F" w14:textId="77777777" w:rsidR="00E73AA4" w:rsidRPr="00E00B6C" w:rsidRDefault="00E73AA4">
      <w:pPr>
        <w:pageBreakBefore/>
        <w:rPr>
          <w:rFonts w:ascii="Arial" w:hAnsi="Arial" w:cs="Arial"/>
        </w:rPr>
      </w:pPr>
    </w:p>
    <w:p w14:paraId="0229C02B" w14:textId="06319AAF" w:rsidR="00E73AA4" w:rsidRPr="00E00B6C" w:rsidRDefault="00000000" w:rsidP="002B7B8D">
      <w:pPr>
        <w:pStyle w:val="Heading1"/>
        <w:numPr>
          <w:ilvl w:val="1"/>
          <w:numId w:val="2"/>
        </w:numPr>
        <w:ind w:left="567"/>
      </w:pPr>
      <w:r w:rsidRPr="00E00B6C">
        <w:t>The Existence of Operational Risk in a Financial Institution</w:t>
      </w:r>
    </w:p>
    <w:p w14:paraId="224C78A7"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A financial institution in operation is not a static entity. It is a continuous process of calibration — of reading counterparties, structuring relationships, enforcing boundaries, and executing across a portfolio of obligations that extends forward in time.</w:t>
      </w:r>
    </w:p>
    <w:p w14:paraId="1D3F8B61"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At every point in that process, the institution is making judgements about the risks it faces, the resources it deploys, and the standards it applies. </w:t>
      </w:r>
    </w:p>
    <w:p w14:paraId="16BDDD02" w14:textId="004975F9" w:rsidR="00E73AA4" w:rsidRPr="00E00B6C" w:rsidRDefault="00000000">
      <w:pPr>
        <w:spacing w:after="160"/>
        <w:ind w:firstLine="360"/>
        <w:jc w:val="both"/>
        <w:rPr>
          <w:rFonts w:ascii="Arial" w:hAnsi="Arial" w:cs="Arial"/>
        </w:rPr>
      </w:pPr>
      <w:r w:rsidRPr="00E00B6C">
        <w:rPr>
          <w:rFonts w:ascii="Arial" w:hAnsi="Arial" w:cs="Arial"/>
          <w:color w:val="222222"/>
        </w:rPr>
        <w:t>Operational risk is not separate from that process. It is the cost that arises when any part of that calibration deviates from what the underlying risk requires.</w:t>
      </w:r>
    </w:p>
    <w:p w14:paraId="16D10083"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This framing has a precise implication. Operational risk is not a category of external event that happens to an institution. It is an endogenous property of the institution itself — of the quality of its judgements, the adequacy of its processes, and the calibration of its functions relative to the risks those functions are managing. </w:t>
      </w:r>
    </w:p>
    <w:p w14:paraId="0CD44FBA" w14:textId="29D2CB61" w:rsidR="00E73AA4" w:rsidRPr="00E00B6C" w:rsidRDefault="00000000">
      <w:pPr>
        <w:spacing w:after="160"/>
        <w:ind w:firstLine="360"/>
        <w:jc w:val="both"/>
        <w:rPr>
          <w:rFonts w:ascii="Arial" w:hAnsi="Arial" w:cs="Arial"/>
        </w:rPr>
      </w:pPr>
      <w:r w:rsidRPr="00E00B6C">
        <w:rPr>
          <w:rFonts w:ascii="Arial" w:hAnsi="Arial" w:cs="Arial"/>
          <w:color w:val="222222"/>
        </w:rPr>
        <w:t>An institution that reads its cedants accurately, reserves appropriately, maintains its regulatory relationships well, and executes with adequate capacity is not exposed to operational risk in any meaningful sense, regardless of the complexity of its portfolio. An institution that miscalibrates in any of these dimensions is exposed, regardless of how simple its book appears.</w:t>
      </w:r>
    </w:p>
    <w:p w14:paraId="48034D50" w14:textId="661AE33D" w:rsidR="00E73AA4" w:rsidRPr="00E00B6C" w:rsidRDefault="00000000" w:rsidP="002B7B8D">
      <w:pPr>
        <w:pStyle w:val="Heading1"/>
        <w:numPr>
          <w:ilvl w:val="1"/>
          <w:numId w:val="2"/>
        </w:numPr>
        <w:ind w:left="567"/>
      </w:pPr>
      <w:bookmarkStart w:id="2" w:name="_Ref227699098"/>
      <w:r w:rsidRPr="00E00B6C">
        <w:t>The Two-Layer Structure</w:t>
      </w:r>
      <w:bookmarkEnd w:id="2"/>
    </w:p>
    <w:p w14:paraId="41B9DF7D" w14:textId="77777777" w:rsidR="00E73AA4" w:rsidRPr="00E00B6C" w:rsidRDefault="00000000">
      <w:pPr>
        <w:spacing w:after="160"/>
        <w:ind w:firstLine="360"/>
        <w:jc w:val="both"/>
        <w:rPr>
          <w:rFonts w:ascii="Arial" w:hAnsi="Arial" w:cs="Arial"/>
        </w:rPr>
      </w:pPr>
      <w:r w:rsidRPr="00E00B6C">
        <w:rPr>
          <w:rFonts w:ascii="Arial" w:hAnsi="Arial" w:cs="Arial"/>
          <w:color w:val="222222"/>
        </w:rPr>
        <w:t>Operational risk in a financial institution exists in two distinct layers that are conceptually separate and must be measured separately, even though current practice conflates them into a single undifferentiated loading.</w:t>
      </w:r>
    </w:p>
    <w:p w14:paraId="566EF428"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The first layer is systemic. It reflects the baseline calibration of the institution's own functions</w:t>
      </w:r>
      <w:r w:rsidR="002B7B8D" w:rsidRPr="00E00B6C">
        <w:rPr>
          <w:rFonts w:ascii="Arial" w:hAnsi="Arial" w:cs="Arial"/>
          <w:color w:val="222222"/>
        </w:rPr>
        <w:t>.</w:t>
      </w:r>
    </w:p>
    <w:p w14:paraId="506D01F5" w14:textId="77777777" w:rsidR="002B7B8D" w:rsidRPr="00E00B6C" w:rsidRDefault="002B7B8D" w:rsidP="002B7B8D">
      <w:pPr>
        <w:pStyle w:val="ListParagraph"/>
        <w:numPr>
          <w:ilvl w:val="0"/>
          <w:numId w:val="7"/>
        </w:numPr>
        <w:spacing w:after="160"/>
        <w:jc w:val="both"/>
        <w:rPr>
          <w:rFonts w:ascii="Arial" w:hAnsi="Arial" w:cs="Arial"/>
        </w:rPr>
      </w:pPr>
      <w:r w:rsidRPr="00E00B6C">
        <w:rPr>
          <w:rFonts w:ascii="Arial" w:hAnsi="Arial" w:cs="Arial"/>
          <w:color w:val="222222"/>
        </w:rPr>
        <w:t>t</w:t>
      </w:r>
      <w:r w:rsidR="00000000" w:rsidRPr="00E00B6C">
        <w:rPr>
          <w:rFonts w:ascii="Arial" w:hAnsi="Arial" w:cs="Arial"/>
          <w:color w:val="222222"/>
        </w:rPr>
        <w:t xml:space="preserve">he quality of its underwriting process, </w:t>
      </w:r>
    </w:p>
    <w:p w14:paraId="34AAD71C" w14:textId="77777777" w:rsidR="002B7B8D" w:rsidRPr="00E00B6C" w:rsidRDefault="00000000" w:rsidP="002B7B8D">
      <w:pPr>
        <w:pStyle w:val="ListParagraph"/>
        <w:numPr>
          <w:ilvl w:val="0"/>
          <w:numId w:val="7"/>
        </w:numPr>
        <w:spacing w:after="160"/>
        <w:jc w:val="both"/>
        <w:rPr>
          <w:rFonts w:ascii="Arial" w:hAnsi="Arial" w:cs="Arial"/>
        </w:rPr>
      </w:pPr>
      <w:r w:rsidRPr="00E00B6C">
        <w:rPr>
          <w:rFonts w:ascii="Arial" w:hAnsi="Arial" w:cs="Arial"/>
          <w:color w:val="222222"/>
        </w:rPr>
        <w:t xml:space="preserve">the adequacy of its reserving methodology, </w:t>
      </w:r>
    </w:p>
    <w:p w14:paraId="5988D66C" w14:textId="1085C632" w:rsidR="002B7B8D" w:rsidRPr="00E00B6C" w:rsidRDefault="00000000" w:rsidP="002B7B8D">
      <w:pPr>
        <w:pStyle w:val="ListParagraph"/>
        <w:numPr>
          <w:ilvl w:val="0"/>
          <w:numId w:val="7"/>
        </w:numPr>
        <w:spacing w:after="160"/>
        <w:jc w:val="both"/>
        <w:rPr>
          <w:rFonts w:ascii="Arial" w:hAnsi="Arial" w:cs="Arial"/>
        </w:rPr>
      </w:pPr>
      <w:r w:rsidRPr="00E00B6C">
        <w:rPr>
          <w:rFonts w:ascii="Arial" w:hAnsi="Arial" w:cs="Arial"/>
          <w:color w:val="222222"/>
        </w:rPr>
        <w:t>the robustness of its compliance framework</w:t>
      </w:r>
      <w:r w:rsidR="002B7B8D" w:rsidRPr="00E00B6C">
        <w:rPr>
          <w:rFonts w:ascii="Arial" w:hAnsi="Arial" w:cs="Arial"/>
          <w:color w:val="222222"/>
        </w:rPr>
        <w:t>, and etc.</w:t>
      </w:r>
    </w:p>
    <w:p w14:paraId="12BF87B1" w14:textId="190B1748" w:rsidR="00E73AA4" w:rsidRPr="00E00B6C" w:rsidRDefault="00000000" w:rsidP="002B7B8D">
      <w:pPr>
        <w:spacing w:after="160"/>
        <w:ind w:firstLine="360"/>
        <w:jc w:val="both"/>
        <w:rPr>
          <w:rFonts w:ascii="Arial" w:hAnsi="Arial" w:cs="Arial"/>
          <w:color w:val="222222"/>
        </w:rPr>
      </w:pPr>
      <w:r w:rsidRPr="00E00B6C">
        <w:rPr>
          <w:rFonts w:ascii="Arial" w:hAnsi="Arial" w:cs="Arial"/>
          <w:color w:val="222222"/>
        </w:rPr>
        <w:t>Systemic operational risk is a property of the institution, not of any particular relationship, and it applies across all business. An institution with a structurally weak claims function carries that weakness into every claim it handles. An institution with an inadequate model governance framework carries that inadequacy into every pricing decision it makes.</w:t>
      </w:r>
    </w:p>
    <w:p w14:paraId="7A43D48C"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However, systemic operational risk is not uniform even within the institution itself. The same function produces different outputs depending on who is making </w:t>
      </w:r>
      <w:r w:rsidRPr="00E00B6C">
        <w:rPr>
          <w:rFonts w:ascii="Arial" w:hAnsi="Arial" w:cs="Arial"/>
          <w:color w:val="222222"/>
        </w:rPr>
        <w:lastRenderedPageBreak/>
        <w:t xml:space="preserve">the decision, when in the cycle the decision is made, and what governance constraint is in force at that moment. </w:t>
      </w:r>
    </w:p>
    <w:p w14:paraId="58C55D80" w14:textId="5BC82980" w:rsidR="00E73AA4" w:rsidRPr="00E00B6C" w:rsidRDefault="00000000">
      <w:pPr>
        <w:spacing w:after="160"/>
        <w:ind w:firstLine="360"/>
        <w:jc w:val="both"/>
        <w:rPr>
          <w:rFonts w:ascii="Arial" w:hAnsi="Arial" w:cs="Arial"/>
        </w:rPr>
      </w:pPr>
      <w:r w:rsidRPr="00E00B6C">
        <w:rPr>
          <w:rFonts w:ascii="Arial" w:hAnsi="Arial" w:cs="Arial"/>
          <w:color w:val="222222"/>
        </w:rPr>
        <w:t>A reserving methodology applied by a senior actuary under full management scrutiny produces a different result than the same methodology applied under time pressure with limited review</w:t>
      </w:r>
      <w:r w:rsidR="002B7B8D" w:rsidRPr="00E00B6C">
        <w:rPr>
          <w:rFonts w:ascii="Arial" w:hAnsi="Arial" w:cs="Arial"/>
          <w:color w:val="222222"/>
        </w:rPr>
        <w:t xml:space="preserve"> from junior actuarial analyst</w:t>
      </w:r>
      <w:r w:rsidRPr="00E00B6C">
        <w:rPr>
          <w:rFonts w:ascii="Arial" w:hAnsi="Arial" w:cs="Arial"/>
          <w:color w:val="222222"/>
        </w:rPr>
        <w:t>. The function is nominally identical. The output is not. In the absence of sufficiently strong governance, the systemic layer is not a stable baseline — it is itself a source of variance that expands with the distance between stated principles and actual decision-making practice.</w:t>
      </w:r>
    </w:p>
    <w:p w14:paraId="25D56335"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Systemic miscalibration is variance in a function's output across instances that is not explained by corresponding variance in the underlying risk. </w:t>
      </w:r>
    </w:p>
    <w:p w14:paraId="7B88330A" w14:textId="77777777" w:rsidR="002B7B8D" w:rsidRPr="00E00B6C" w:rsidRDefault="00000000" w:rsidP="002B7B8D">
      <w:pPr>
        <w:pStyle w:val="ListParagraph"/>
        <w:numPr>
          <w:ilvl w:val="0"/>
          <w:numId w:val="8"/>
        </w:numPr>
        <w:spacing w:after="160"/>
        <w:jc w:val="both"/>
        <w:rPr>
          <w:rFonts w:ascii="Arial" w:hAnsi="Arial" w:cs="Arial"/>
        </w:rPr>
      </w:pPr>
      <w:r w:rsidRPr="00E00B6C">
        <w:rPr>
          <w:rFonts w:ascii="Arial" w:hAnsi="Arial" w:cs="Arial"/>
          <w:color w:val="222222"/>
        </w:rPr>
        <w:t xml:space="preserve">A strong governance framework compresses this variance, making each instance approximately consistent with stated principles regardless of who executes it or when. </w:t>
      </w:r>
    </w:p>
    <w:p w14:paraId="443E6537" w14:textId="77777777" w:rsidR="002B7B8D" w:rsidRPr="00E00B6C" w:rsidRDefault="00000000" w:rsidP="002B7B8D">
      <w:pPr>
        <w:pStyle w:val="ListParagraph"/>
        <w:numPr>
          <w:ilvl w:val="0"/>
          <w:numId w:val="8"/>
        </w:numPr>
        <w:spacing w:after="160"/>
        <w:jc w:val="both"/>
        <w:rPr>
          <w:rFonts w:ascii="Arial" w:hAnsi="Arial" w:cs="Arial"/>
        </w:rPr>
      </w:pPr>
      <w:r w:rsidRPr="00E00B6C">
        <w:rPr>
          <w:rFonts w:ascii="Arial" w:hAnsi="Arial" w:cs="Arial"/>
          <w:color w:val="222222"/>
        </w:rPr>
        <w:t>A weak governance framework allows the variance to expand, making outputs path-dependent on the specific person and moment rather than on the risk being assessed.</w:t>
      </w:r>
    </w:p>
    <w:p w14:paraId="26A0ED4A" w14:textId="7CC59DA9" w:rsidR="00E73AA4" w:rsidRPr="00E00B6C" w:rsidRDefault="00000000" w:rsidP="002B7B8D">
      <w:pPr>
        <w:pStyle w:val="ListParagraph"/>
        <w:numPr>
          <w:ilvl w:val="0"/>
          <w:numId w:val="8"/>
        </w:numPr>
        <w:spacing w:after="160"/>
        <w:jc w:val="both"/>
        <w:rPr>
          <w:rFonts w:ascii="Arial" w:hAnsi="Arial" w:cs="Arial"/>
        </w:rPr>
      </w:pPr>
      <w:r w:rsidRPr="00E00B6C">
        <w:rPr>
          <w:rFonts w:ascii="Arial" w:hAnsi="Arial" w:cs="Arial"/>
          <w:color w:val="222222"/>
        </w:rPr>
        <w:t>The systemic operational risk charge reflects this variance, not a point estimate of average function quality.</w:t>
      </w:r>
    </w:p>
    <w:p w14:paraId="06BBF80B" w14:textId="77777777" w:rsidR="00E73AA4" w:rsidRPr="00E00B6C" w:rsidRDefault="00000000">
      <w:pPr>
        <w:spacing w:after="160"/>
        <w:ind w:firstLine="360"/>
        <w:jc w:val="both"/>
        <w:rPr>
          <w:rFonts w:ascii="Arial" w:hAnsi="Arial" w:cs="Arial"/>
        </w:rPr>
      </w:pPr>
      <w:r w:rsidRPr="00E00B6C">
        <w:rPr>
          <w:rFonts w:ascii="Arial" w:hAnsi="Arial" w:cs="Arial"/>
          <w:color w:val="222222"/>
        </w:rPr>
        <w:t>This explains why governance is not merely a compliance matter. It is the mechanism through which systemic operational risk is made compressible. Without it, the systemic layer cannot serve as a stable foundation beneath the relationship-specific layer — it amplifies rather than absorbs the variation that relationship-specific miscalibration introduces.</w:t>
      </w:r>
    </w:p>
    <w:p w14:paraId="11F0C76F" w14:textId="77777777" w:rsidR="002B7B8D"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 second layer is relationship-specific. It reflects the incremental operational cost generated by particular counterparty relationships above and beyond the institution's systemic baseline. </w:t>
      </w:r>
    </w:p>
    <w:p w14:paraId="43CC80EA" w14:textId="77777777" w:rsidR="002B7B8D" w:rsidRPr="00E00B6C" w:rsidRDefault="00000000" w:rsidP="002B7B8D">
      <w:pPr>
        <w:pStyle w:val="ListParagraph"/>
        <w:numPr>
          <w:ilvl w:val="0"/>
          <w:numId w:val="9"/>
        </w:numPr>
        <w:spacing w:after="160"/>
        <w:jc w:val="both"/>
        <w:rPr>
          <w:rFonts w:ascii="Arial" w:hAnsi="Arial" w:cs="Arial"/>
          <w:color w:val="222222"/>
        </w:rPr>
      </w:pPr>
      <w:r w:rsidRPr="00E00B6C">
        <w:rPr>
          <w:rFonts w:ascii="Arial" w:hAnsi="Arial" w:cs="Arial"/>
          <w:color w:val="222222"/>
        </w:rPr>
        <w:t xml:space="preserve">A cedant whose submission quality is consistently poor imposes additional underwriting cost on the institution regardless of how well the underwriting function is calibrated. </w:t>
      </w:r>
    </w:p>
    <w:p w14:paraId="4F956AAA" w14:textId="0CCB5F8A" w:rsidR="002B7B8D" w:rsidRPr="00E00B6C" w:rsidRDefault="00000000" w:rsidP="002B7B8D">
      <w:pPr>
        <w:pStyle w:val="ListParagraph"/>
        <w:numPr>
          <w:ilvl w:val="0"/>
          <w:numId w:val="9"/>
        </w:numPr>
        <w:spacing w:after="160"/>
        <w:jc w:val="both"/>
        <w:rPr>
          <w:rFonts w:ascii="Arial" w:hAnsi="Arial" w:cs="Arial"/>
          <w:color w:val="222222"/>
        </w:rPr>
      </w:pPr>
      <w:r w:rsidRPr="00E00B6C">
        <w:rPr>
          <w:rFonts w:ascii="Arial" w:hAnsi="Arial" w:cs="Arial"/>
          <w:color w:val="222222"/>
        </w:rPr>
        <w:t>A reinsurer whose claims handling is adversarial generates recovery friction regardless of the quality of the institution</w:t>
      </w:r>
      <w:r w:rsidR="002B7B8D" w:rsidRPr="00E00B6C">
        <w:rPr>
          <w:rFonts w:ascii="Arial" w:hAnsi="Arial" w:cs="Arial"/>
          <w:color w:val="222222"/>
        </w:rPr>
        <w:t>’</w:t>
      </w:r>
      <w:r w:rsidRPr="00E00B6C">
        <w:rPr>
          <w:rFonts w:ascii="Arial" w:hAnsi="Arial" w:cs="Arial"/>
          <w:color w:val="222222"/>
        </w:rPr>
        <w:t xml:space="preserve">s own claims team. </w:t>
      </w:r>
    </w:p>
    <w:p w14:paraId="7B6432E3" w14:textId="77777777" w:rsidR="002B7B8D" w:rsidRPr="00E00B6C" w:rsidRDefault="00000000" w:rsidP="002B7B8D">
      <w:pPr>
        <w:pStyle w:val="ListParagraph"/>
        <w:numPr>
          <w:ilvl w:val="0"/>
          <w:numId w:val="9"/>
        </w:numPr>
        <w:spacing w:after="160"/>
        <w:jc w:val="both"/>
        <w:rPr>
          <w:rFonts w:ascii="Arial" w:hAnsi="Arial" w:cs="Arial"/>
          <w:color w:val="222222"/>
        </w:rPr>
      </w:pPr>
      <w:r w:rsidRPr="00E00B6C">
        <w:rPr>
          <w:rFonts w:ascii="Arial" w:hAnsi="Arial" w:cs="Arial"/>
          <w:color w:val="222222"/>
        </w:rPr>
        <w:t xml:space="preserve">A regulator whose supervisory posture is intensive requires disproportionate compliance resource regardless of the institution's underlying compliance quality. </w:t>
      </w:r>
    </w:p>
    <w:p w14:paraId="74276E66" w14:textId="711CDD56" w:rsidR="00E73AA4" w:rsidRPr="00E00B6C" w:rsidRDefault="00000000" w:rsidP="002B7B8D">
      <w:pPr>
        <w:spacing w:after="160"/>
        <w:ind w:firstLine="360"/>
        <w:jc w:val="both"/>
        <w:rPr>
          <w:rFonts w:ascii="Arial" w:hAnsi="Arial" w:cs="Arial"/>
          <w:color w:val="222222"/>
        </w:rPr>
      </w:pPr>
      <w:r w:rsidRPr="00E00B6C">
        <w:rPr>
          <w:rFonts w:ascii="Arial" w:hAnsi="Arial" w:cs="Arial"/>
          <w:color w:val="222222"/>
        </w:rPr>
        <w:t>These costs are real, they are variable across the portfolio, and they are invisible to any model that applies a uniform loading.</w:t>
      </w:r>
    </w:p>
    <w:p w14:paraId="4E240651" w14:textId="1E564DF7" w:rsidR="002B7B8D" w:rsidRPr="00E00B6C" w:rsidRDefault="00217BDC" w:rsidP="002B7B8D">
      <w:pPr>
        <w:spacing w:after="160"/>
        <w:ind w:firstLine="360"/>
        <w:jc w:val="both"/>
        <w:rPr>
          <w:rFonts w:ascii="Arial" w:hAnsi="Arial" w:cs="Arial"/>
          <w:color w:val="222222"/>
        </w:rPr>
      </w:pPr>
      <w:r w:rsidRPr="00E00B6C">
        <w:rPr>
          <w:rFonts w:ascii="Arial" w:hAnsi="Arial" w:cs="Arial"/>
          <w:color w:val="222222"/>
        </w:rPr>
        <w:t>Separating the two layers is not a modelling refinement. It is a prerequisite for management utility. Only when the systemic and relationship-specific components are independently measured can the institution distinguish a function-level failure from a counterparty-level problem and direct its response accordingly.</w:t>
      </w:r>
      <w:r w:rsidR="002B7B8D" w:rsidRPr="00E00B6C">
        <w:rPr>
          <w:rFonts w:ascii="Arial" w:hAnsi="Arial" w:cs="Arial"/>
          <w:color w:val="222222"/>
        </w:rPr>
        <w:t xml:space="preserve"> </w:t>
      </w:r>
      <w:r w:rsidR="00000000" w:rsidRPr="00E00B6C">
        <w:rPr>
          <w:rFonts w:ascii="Arial" w:hAnsi="Arial" w:cs="Arial"/>
          <w:color w:val="222222"/>
        </w:rPr>
        <w:t xml:space="preserve">The conflation of these two layers produces systematic measurement error. </w:t>
      </w:r>
    </w:p>
    <w:p w14:paraId="2D926BB5" w14:textId="77777777" w:rsidR="002B7B8D" w:rsidRPr="00E00B6C" w:rsidRDefault="00000000" w:rsidP="002B7B8D">
      <w:pPr>
        <w:pStyle w:val="ListParagraph"/>
        <w:numPr>
          <w:ilvl w:val="0"/>
          <w:numId w:val="10"/>
        </w:numPr>
        <w:spacing w:after="160"/>
        <w:jc w:val="both"/>
        <w:rPr>
          <w:rFonts w:ascii="Arial" w:hAnsi="Arial" w:cs="Arial"/>
        </w:rPr>
      </w:pPr>
      <w:r w:rsidRPr="00E00B6C">
        <w:rPr>
          <w:rFonts w:ascii="Arial" w:hAnsi="Arial" w:cs="Arial"/>
          <w:color w:val="222222"/>
        </w:rPr>
        <w:lastRenderedPageBreak/>
        <w:t xml:space="preserve">When the systemic layer is strong and a particular relationship is generating high incremental cost, the undifferentiated model understates the operational risk in that relationship. </w:t>
      </w:r>
    </w:p>
    <w:p w14:paraId="1C9FD2E4" w14:textId="77777777" w:rsidR="002B7B8D" w:rsidRPr="00E00B6C" w:rsidRDefault="00000000" w:rsidP="002B7B8D">
      <w:pPr>
        <w:pStyle w:val="ListParagraph"/>
        <w:numPr>
          <w:ilvl w:val="0"/>
          <w:numId w:val="10"/>
        </w:numPr>
        <w:spacing w:after="160"/>
        <w:jc w:val="both"/>
        <w:rPr>
          <w:rFonts w:ascii="Arial" w:hAnsi="Arial" w:cs="Arial"/>
        </w:rPr>
      </w:pPr>
      <w:r w:rsidRPr="00E00B6C">
        <w:rPr>
          <w:rFonts w:ascii="Arial" w:hAnsi="Arial" w:cs="Arial"/>
          <w:color w:val="222222"/>
        </w:rPr>
        <w:t xml:space="preserve">When the systemic layer is weak and a particular relationship is well managed, the model overstates it. </w:t>
      </w:r>
    </w:p>
    <w:p w14:paraId="27C325EF" w14:textId="653AD239" w:rsidR="00E73AA4" w:rsidRPr="00E00B6C" w:rsidRDefault="00000000" w:rsidP="002B7B8D">
      <w:pPr>
        <w:spacing w:after="160"/>
        <w:ind w:firstLine="360"/>
        <w:jc w:val="both"/>
        <w:rPr>
          <w:rFonts w:ascii="Arial" w:hAnsi="Arial" w:cs="Arial"/>
          <w:color w:val="222222"/>
        </w:rPr>
      </w:pPr>
      <w:r w:rsidRPr="00E00B6C">
        <w:rPr>
          <w:rFonts w:ascii="Arial" w:hAnsi="Arial" w:cs="Arial"/>
          <w:color w:val="222222"/>
        </w:rPr>
        <w:t>The correct operational risk charge is the sum of a systemic component that reflects the institution's own baseline variance and a relationship-specific component that reflects the incremental cost of each counterparty interaction.</w:t>
      </w:r>
    </w:p>
    <w:p w14:paraId="09D051D2" w14:textId="77777777" w:rsidR="0044591B"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This decomposition is not merely a modelling refinement. It is a prerequisite for attribution. </w:t>
      </w:r>
      <w:r w:rsidR="0044591B" w:rsidRPr="00E00B6C">
        <w:rPr>
          <w:rFonts w:ascii="Arial" w:hAnsi="Arial" w:cs="Arial"/>
          <w:color w:val="222222"/>
        </w:rPr>
        <w:t>Once</w:t>
      </w:r>
      <w:r w:rsidRPr="00E00B6C">
        <w:rPr>
          <w:rFonts w:ascii="Arial" w:hAnsi="Arial" w:cs="Arial"/>
          <w:color w:val="222222"/>
        </w:rPr>
        <w:t xml:space="preserve"> </w:t>
      </w:r>
      <w:r w:rsidR="0044591B" w:rsidRPr="00E00B6C">
        <w:rPr>
          <w:rFonts w:ascii="Arial" w:hAnsi="Arial" w:cs="Arial"/>
          <w:color w:val="222222"/>
        </w:rPr>
        <w:t>these</w:t>
      </w:r>
      <w:r w:rsidRPr="00E00B6C">
        <w:rPr>
          <w:rFonts w:ascii="Arial" w:hAnsi="Arial" w:cs="Arial"/>
          <w:color w:val="222222"/>
        </w:rPr>
        <w:t xml:space="preserve"> two layers are separated</w:t>
      </w:r>
      <w:r w:rsidR="0044591B" w:rsidRPr="00E00B6C">
        <w:rPr>
          <w:rFonts w:ascii="Arial" w:hAnsi="Arial" w:cs="Arial"/>
          <w:color w:val="222222"/>
        </w:rPr>
        <w:t>,</w:t>
      </w:r>
      <w:r w:rsidRPr="00E00B6C">
        <w:rPr>
          <w:rFonts w:ascii="Arial" w:hAnsi="Arial" w:cs="Arial"/>
          <w:color w:val="222222"/>
        </w:rPr>
        <w:t xml:space="preserve"> management </w:t>
      </w:r>
      <w:r w:rsidR="0044591B" w:rsidRPr="00E00B6C">
        <w:rPr>
          <w:rFonts w:ascii="Arial" w:hAnsi="Arial" w:cs="Arial"/>
          <w:color w:val="222222"/>
        </w:rPr>
        <w:t xml:space="preserve">can </w:t>
      </w:r>
      <w:r w:rsidRPr="00E00B6C">
        <w:rPr>
          <w:rFonts w:ascii="Arial" w:hAnsi="Arial" w:cs="Arial"/>
          <w:color w:val="222222"/>
        </w:rPr>
        <w:t>identify whether a deterioration in operational performance is</w:t>
      </w:r>
      <w:r w:rsidR="0044591B" w:rsidRPr="00E00B6C">
        <w:rPr>
          <w:rFonts w:ascii="Arial" w:hAnsi="Arial" w:cs="Arial"/>
          <w:color w:val="222222"/>
        </w:rPr>
        <w:t>:</w:t>
      </w:r>
    </w:p>
    <w:p w14:paraId="1D034E55" w14:textId="435EC88A" w:rsidR="0044591B" w:rsidRPr="00E00B6C" w:rsidRDefault="00000000" w:rsidP="0044591B">
      <w:pPr>
        <w:pStyle w:val="ListParagraph"/>
        <w:numPr>
          <w:ilvl w:val="0"/>
          <w:numId w:val="11"/>
        </w:numPr>
        <w:spacing w:after="160"/>
        <w:jc w:val="both"/>
        <w:rPr>
          <w:rFonts w:ascii="Arial" w:hAnsi="Arial" w:cs="Arial"/>
        </w:rPr>
      </w:pPr>
      <w:r w:rsidRPr="00E00B6C">
        <w:rPr>
          <w:rFonts w:ascii="Arial" w:hAnsi="Arial" w:cs="Arial"/>
          <w:color w:val="222222"/>
        </w:rPr>
        <w:t>a function-level problem — requiring investment in governance, process, or capability</w:t>
      </w:r>
      <w:r w:rsidR="0044591B" w:rsidRPr="00E00B6C">
        <w:rPr>
          <w:rFonts w:ascii="Arial" w:hAnsi="Arial" w:cs="Arial"/>
          <w:color w:val="222222"/>
        </w:rPr>
        <w:t xml:space="preserve">, </w:t>
      </w:r>
      <w:r w:rsidRPr="00E00B6C">
        <w:rPr>
          <w:rFonts w:ascii="Arial" w:hAnsi="Arial" w:cs="Arial"/>
          <w:color w:val="222222"/>
        </w:rPr>
        <w:t xml:space="preserve">or </w:t>
      </w:r>
    </w:p>
    <w:p w14:paraId="07213945" w14:textId="77777777" w:rsidR="0044591B" w:rsidRPr="00E00B6C" w:rsidRDefault="0044591B" w:rsidP="0044591B">
      <w:pPr>
        <w:pStyle w:val="ListParagraph"/>
        <w:numPr>
          <w:ilvl w:val="0"/>
          <w:numId w:val="11"/>
        </w:numPr>
        <w:spacing w:after="160"/>
        <w:jc w:val="both"/>
        <w:rPr>
          <w:rFonts w:ascii="Arial" w:hAnsi="Arial" w:cs="Arial"/>
        </w:rPr>
      </w:pPr>
      <w:r w:rsidRPr="00E00B6C">
        <w:rPr>
          <w:rFonts w:ascii="Arial" w:hAnsi="Arial" w:cs="Arial"/>
          <w:color w:val="222222"/>
        </w:rPr>
        <w:t>a</w:t>
      </w:r>
      <w:r w:rsidR="00000000" w:rsidRPr="00E00B6C">
        <w:rPr>
          <w:rFonts w:ascii="Arial" w:hAnsi="Arial" w:cs="Arial"/>
          <w:color w:val="222222"/>
        </w:rPr>
        <w:t xml:space="preserve"> relationship-level problem — requiring intervention in a specific counterparty interaction. </w:t>
      </w:r>
    </w:p>
    <w:p w14:paraId="04930470" w14:textId="26402D93" w:rsidR="00E73AA4" w:rsidRPr="00E00B6C" w:rsidRDefault="00000000" w:rsidP="0044591B">
      <w:pPr>
        <w:spacing w:after="160"/>
        <w:jc w:val="both"/>
        <w:rPr>
          <w:rFonts w:ascii="Arial" w:hAnsi="Arial" w:cs="Arial"/>
        </w:rPr>
      </w:pPr>
      <w:r w:rsidRPr="00E00B6C">
        <w:rPr>
          <w:rFonts w:ascii="Arial" w:hAnsi="Arial" w:cs="Arial"/>
          <w:color w:val="222222"/>
        </w:rPr>
        <w:t>Without this separation, the capital number cannot inform either decision.</w:t>
      </w:r>
    </w:p>
    <w:p w14:paraId="171E0286" w14:textId="7CCB02CC" w:rsidR="00E73AA4" w:rsidRPr="00E00B6C" w:rsidRDefault="00000000" w:rsidP="0044591B">
      <w:pPr>
        <w:pStyle w:val="Heading1"/>
        <w:numPr>
          <w:ilvl w:val="1"/>
          <w:numId w:val="2"/>
        </w:numPr>
        <w:ind w:left="567"/>
      </w:pPr>
      <w:bookmarkStart w:id="3" w:name="_Ref227697305"/>
      <w:r w:rsidRPr="00E00B6C">
        <w:t>The Four Functional Dimensions</w:t>
      </w:r>
      <w:bookmarkEnd w:id="3"/>
    </w:p>
    <w:p w14:paraId="4935A4BB"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Within each layer, operational risk does not distribute uniformly. It concentrates in four functional dimensions that correspond to the natural organisational structure of any financial institution. </w:t>
      </w:r>
    </w:p>
    <w:p w14:paraId="78E54067"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These dimensions are not a classification imposed from outside. They emerge from the observation that every financial institution, regardless of its specific business model, must perform four categories of function in order to operate: </w:t>
      </w:r>
    </w:p>
    <w:p w14:paraId="45D7064C" w14:textId="77777777" w:rsidR="00DB2FFA" w:rsidRPr="00E00B6C" w:rsidRDefault="00000000" w:rsidP="00DB2FFA">
      <w:pPr>
        <w:pStyle w:val="ListParagraph"/>
        <w:numPr>
          <w:ilvl w:val="0"/>
          <w:numId w:val="12"/>
        </w:numPr>
        <w:spacing w:after="160"/>
        <w:jc w:val="both"/>
        <w:rPr>
          <w:rFonts w:ascii="Arial" w:hAnsi="Arial" w:cs="Arial"/>
        </w:rPr>
      </w:pPr>
      <w:r w:rsidRPr="00E00B6C">
        <w:rPr>
          <w:rFonts w:ascii="Arial" w:hAnsi="Arial" w:cs="Arial"/>
          <w:color w:val="222222"/>
        </w:rPr>
        <w:t xml:space="preserve">it must interpret the risks it faces and the counterparties it deals with, </w:t>
      </w:r>
    </w:p>
    <w:p w14:paraId="1A7B551E" w14:textId="77777777" w:rsidR="00DB2FFA" w:rsidRPr="00E00B6C" w:rsidRDefault="00000000" w:rsidP="00DB2FFA">
      <w:pPr>
        <w:pStyle w:val="ListParagraph"/>
        <w:numPr>
          <w:ilvl w:val="0"/>
          <w:numId w:val="12"/>
        </w:numPr>
        <w:spacing w:after="160"/>
        <w:jc w:val="both"/>
        <w:rPr>
          <w:rFonts w:ascii="Arial" w:hAnsi="Arial" w:cs="Arial"/>
        </w:rPr>
      </w:pPr>
      <w:r w:rsidRPr="00E00B6C">
        <w:rPr>
          <w:rFonts w:ascii="Arial" w:hAnsi="Arial" w:cs="Arial"/>
          <w:color w:val="222222"/>
        </w:rPr>
        <w:t xml:space="preserve">it must structure its processes and models to organise that interpretation, </w:t>
      </w:r>
    </w:p>
    <w:p w14:paraId="426E2F43" w14:textId="77777777" w:rsidR="00DB2FFA" w:rsidRPr="00E00B6C" w:rsidRDefault="00000000" w:rsidP="00DB2FFA">
      <w:pPr>
        <w:pStyle w:val="ListParagraph"/>
        <w:numPr>
          <w:ilvl w:val="0"/>
          <w:numId w:val="12"/>
        </w:numPr>
        <w:spacing w:after="160"/>
        <w:jc w:val="both"/>
        <w:rPr>
          <w:rFonts w:ascii="Arial" w:hAnsi="Arial" w:cs="Arial"/>
        </w:rPr>
      </w:pPr>
      <w:r w:rsidRPr="00E00B6C">
        <w:rPr>
          <w:rFonts w:ascii="Arial" w:hAnsi="Arial" w:cs="Arial"/>
          <w:color w:val="222222"/>
        </w:rPr>
        <w:t xml:space="preserve">it must maintain the institutional relationships and controls that govern its operation, and </w:t>
      </w:r>
    </w:p>
    <w:p w14:paraId="75538D3E" w14:textId="087D1A7F" w:rsidR="00E73AA4" w:rsidRPr="00E00B6C" w:rsidRDefault="00000000" w:rsidP="00DB2FFA">
      <w:pPr>
        <w:pStyle w:val="ListParagraph"/>
        <w:numPr>
          <w:ilvl w:val="0"/>
          <w:numId w:val="12"/>
        </w:numPr>
        <w:spacing w:after="160"/>
        <w:jc w:val="both"/>
        <w:rPr>
          <w:rFonts w:ascii="Arial" w:hAnsi="Arial" w:cs="Arial"/>
        </w:rPr>
      </w:pPr>
      <w:r w:rsidRPr="00E00B6C">
        <w:rPr>
          <w:rFonts w:ascii="Arial" w:hAnsi="Arial" w:cs="Arial"/>
          <w:color w:val="222222"/>
        </w:rPr>
        <w:t>it must execute — allocating capacity, deploying capital, and delivering outcomes across its portfolio.</w:t>
      </w:r>
    </w:p>
    <w:p w14:paraId="69335FBC"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These four dimensions — relational, structural, institutional, and capacity — are the natural surfaces across which miscalibration occurs. They are present in every financial institution across every sector. </w:t>
      </w:r>
    </w:p>
    <w:tbl>
      <w:tblPr>
        <w:tblStyle w:val="TableGrid"/>
        <w:tblW w:w="0" w:type="auto"/>
        <w:tblLook w:val="04A0" w:firstRow="1" w:lastRow="0" w:firstColumn="1" w:lastColumn="0" w:noHBand="0" w:noVBand="1"/>
      </w:tblPr>
      <w:tblGrid>
        <w:gridCol w:w="1688"/>
        <w:gridCol w:w="1742"/>
        <w:gridCol w:w="1742"/>
        <w:gridCol w:w="1742"/>
        <w:gridCol w:w="1742"/>
      </w:tblGrid>
      <w:tr w:rsidR="00DB2FFA" w:rsidRPr="00E00B6C" w14:paraId="18AB06C7" w14:textId="5D5CF250" w:rsidTr="00DB2FFA">
        <w:tc>
          <w:tcPr>
            <w:tcW w:w="1688" w:type="dxa"/>
          </w:tcPr>
          <w:p w14:paraId="451B5397" w14:textId="0E362D5B" w:rsidR="00DB2FFA" w:rsidRPr="00E00B6C" w:rsidRDefault="00DB2FFA">
            <w:pPr>
              <w:spacing w:after="160"/>
              <w:jc w:val="both"/>
              <w:rPr>
                <w:rFonts w:ascii="Arial" w:hAnsi="Arial" w:cs="Arial"/>
                <w:color w:val="222222"/>
              </w:rPr>
            </w:pPr>
          </w:p>
        </w:tc>
        <w:tc>
          <w:tcPr>
            <w:tcW w:w="1742" w:type="dxa"/>
          </w:tcPr>
          <w:p w14:paraId="4462AD9C" w14:textId="3C49773F" w:rsidR="00DB2FFA" w:rsidRPr="00E00B6C" w:rsidRDefault="00DB2FFA">
            <w:pPr>
              <w:spacing w:after="160"/>
              <w:jc w:val="both"/>
              <w:rPr>
                <w:rFonts w:ascii="Arial" w:hAnsi="Arial" w:cs="Arial"/>
                <w:color w:val="222222"/>
              </w:rPr>
            </w:pPr>
            <w:r w:rsidRPr="00E00B6C">
              <w:rPr>
                <w:rFonts w:ascii="Arial" w:hAnsi="Arial" w:cs="Arial"/>
                <w:color w:val="222222"/>
              </w:rPr>
              <w:t>Relational</w:t>
            </w:r>
          </w:p>
        </w:tc>
        <w:tc>
          <w:tcPr>
            <w:tcW w:w="1742" w:type="dxa"/>
          </w:tcPr>
          <w:p w14:paraId="4AABE444" w14:textId="0A7AD36A" w:rsidR="00DB2FFA" w:rsidRPr="00E00B6C" w:rsidRDefault="00DB2FFA">
            <w:pPr>
              <w:spacing w:after="160"/>
              <w:jc w:val="both"/>
              <w:rPr>
                <w:rFonts w:ascii="Arial" w:hAnsi="Arial" w:cs="Arial"/>
                <w:color w:val="222222"/>
              </w:rPr>
            </w:pPr>
            <w:r w:rsidRPr="00E00B6C">
              <w:rPr>
                <w:rFonts w:ascii="Arial" w:hAnsi="Arial" w:cs="Arial"/>
                <w:color w:val="222222"/>
              </w:rPr>
              <w:t>Structural</w:t>
            </w:r>
          </w:p>
        </w:tc>
        <w:tc>
          <w:tcPr>
            <w:tcW w:w="1742" w:type="dxa"/>
          </w:tcPr>
          <w:p w14:paraId="49BAAAE4" w14:textId="1C1D7897" w:rsidR="00DB2FFA" w:rsidRPr="00E00B6C" w:rsidRDefault="00DB2FFA">
            <w:pPr>
              <w:spacing w:after="160"/>
              <w:jc w:val="both"/>
              <w:rPr>
                <w:rFonts w:ascii="Arial" w:hAnsi="Arial" w:cs="Arial"/>
                <w:color w:val="222222"/>
              </w:rPr>
            </w:pPr>
            <w:r w:rsidRPr="00E00B6C">
              <w:rPr>
                <w:rFonts w:ascii="Arial" w:hAnsi="Arial" w:cs="Arial"/>
                <w:color w:val="222222"/>
              </w:rPr>
              <w:t>Institutional</w:t>
            </w:r>
          </w:p>
        </w:tc>
        <w:tc>
          <w:tcPr>
            <w:tcW w:w="1742" w:type="dxa"/>
          </w:tcPr>
          <w:p w14:paraId="51C8C70B" w14:textId="2E046285" w:rsidR="00DB2FFA" w:rsidRPr="00E00B6C" w:rsidRDefault="00DB2FFA">
            <w:pPr>
              <w:spacing w:after="160"/>
              <w:jc w:val="both"/>
              <w:rPr>
                <w:rFonts w:ascii="Arial" w:hAnsi="Arial" w:cs="Arial"/>
                <w:color w:val="222222"/>
              </w:rPr>
            </w:pPr>
            <w:r w:rsidRPr="00E00B6C">
              <w:rPr>
                <w:rFonts w:ascii="Arial" w:hAnsi="Arial" w:cs="Arial"/>
                <w:color w:val="222222"/>
              </w:rPr>
              <w:t>Capacity</w:t>
            </w:r>
          </w:p>
        </w:tc>
      </w:tr>
      <w:tr w:rsidR="00DB2FFA" w:rsidRPr="00E00B6C" w14:paraId="010EB2C4" w14:textId="1E88E4FD" w:rsidTr="00DB2FFA">
        <w:tc>
          <w:tcPr>
            <w:tcW w:w="1688" w:type="dxa"/>
          </w:tcPr>
          <w:p w14:paraId="742FB03F" w14:textId="09CD0962" w:rsidR="00DB2FFA" w:rsidRPr="00E00B6C" w:rsidRDefault="00DB2FFA" w:rsidP="00DB2FFA">
            <w:pPr>
              <w:spacing w:after="160"/>
              <w:jc w:val="both"/>
              <w:rPr>
                <w:rFonts w:ascii="Arial" w:hAnsi="Arial" w:cs="Arial"/>
                <w:color w:val="222222"/>
              </w:rPr>
            </w:pPr>
            <w:r w:rsidRPr="00E00B6C">
              <w:rPr>
                <w:rFonts w:ascii="Arial" w:hAnsi="Arial" w:cs="Arial"/>
                <w:color w:val="222222"/>
              </w:rPr>
              <w:t>G</w:t>
            </w:r>
            <w:r w:rsidRPr="00E00B6C">
              <w:rPr>
                <w:rFonts w:ascii="Arial" w:hAnsi="Arial" w:cs="Arial"/>
                <w:color w:val="222222"/>
              </w:rPr>
              <w:t>eneral insurer or reinsurer</w:t>
            </w:r>
          </w:p>
        </w:tc>
        <w:tc>
          <w:tcPr>
            <w:tcW w:w="1742" w:type="dxa"/>
          </w:tcPr>
          <w:p w14:paraId="64894451" w14:textId="2F5B7ED1" w:rsidR="00DB2FFA" w:rsidRPr="00E00B6C" w:rsidRDefault="00DB2FFA" w:rsidP="00DB2FFA">
            <w:pPr>
              <w:spacing w:after="160"/>
              <w:jc w:val="both"/>
              <w:rPr>
                <w:rFonts w:ascii="Arial" w:hAnsi="Arial" w:cs="Arial"/>
                <w:color w:val="222222"/>
              </w:rPr>
            </w:pPr>
            <w:r w:rsidRPr="00E00B6C">
              <w:rPr>
                <w:rFonts w:ascii="Arial" w:hAnsi="Arial" w:cs="Arial"/>
                <w:color w:val="222222"/>
              </w:rPr>
              <w:t>U</w:t>
            </w:r>
            <w:r w:rsidRPr="00E00B6C">
              <w:rPr>
                <w:rFonts w:ascii="Arial" w:hAnsi="Arial" w:cs="Arial"/>
                <w:color w:val="222222"/>
              </w:rPr>
              <w:t>nderwriting and claims handling</w:t>
            </w:r>
          </w:p>
        </w:tc>
        <w:tc>
          <w:tcPr>
            <w:tcW w:w="1742" w:type="dxa"/>
          </w:tcPr>
          <w:p w14:paraId="003563F8" w14:textId="4C056524" w:rsidR="00DB2FFA" w:rsidRPr="00E00B6C" w:rsidRDefault="00DB2FFA" w:rsidP="00DB2FFA">
            <w:pPr>
              <w:spacing w:after="160"/>
              <w:jc w:val="both"/>
              <w:rPr>
                <w:rFonts w:ascii="Arial" w:hAnsi="Arial" w:cs="Arial"/>
                <w:color w:val="222222"/>
              </w:rPr>
            </w:pPr>
            <w:r w:rsidRPr="00E00B6C">
              <w:rPr>
                <w:rFonts w:ascii="Arial" w:hAnsi="Arial" w:cs="Arial"/>
                <w:color w:val="222222"/>
              </w:rPr>
              <w:t>A</w:t>
            </w:r>
            <w:r w:rsidRPr="00E00B6C">
              <w:rPr>
                <w:rFonts w:ascii="Arial" w:hAnsi="Arial" w:cs="Arial"/>
                <w:color w:val="222222"/>
              </w:rPr>
              <w:t>ctuarial and financial modelling</w:t>
            </w:r>
          </w:p>
        </w:tc>
        <w:tc>
          <w:tcPr>
            <w:tcW w:w="1742" w:type="dxa"/>
          </w:tcPr>
          <w:p w14:paraId="004E8F81" w14:textId="0386711D" w:rsidR="00DB2FFA" w:rsidRPr="00E00B6C" w:rsidRDefault="00DB2FFA" w:rsidP="00DB2FFA">
            <w:pPr>
              <w:spacing w:after="160"/>
              <w:jc w:val="both"/>
              <w:rPr>
                <w:rFonts w:ascii="Arial" w:hAnsi="Arial" w:cs="Arial"/>
                <w:color w:val="222222"/>
              </w:rPr>
            </w:pPr>
            <w:r w:rsidRPr="00E00B6C">
              <w:rPr>
                <w:rFonts w:ascii="Arial" w:hAnsi="Arial" w:cs="Arial"/>
                <w:color w:val="222222"/>
              </w:rPr>
              <w:t>R</w:t>
            </w:r>
            <w:r w:rsidRPr="00E00B6C">
              <w:rPr>
                <w:rFonts w:ascii="Arial" w:hAnsi="Arial" w:cs="Arial"/>
                <w:color w:val="222222"/>
              </w:rPr>
              <w:t>egulatory and governance relationships</w:t>
            </w:r>
          </w:p>
        </w:tc>
        <w:tc>
          <w:tcPr>
            <w:tcW w:w="1742" w:type="dxa"/>
          </w:tcPr>
          <w:p w14:paraId="04C57849" w14:textId="4BA2364E" w:rsidR="00DB2FFA" w:rsidRPr="00E00B6C" w:rsidRDefault="00DB2FFA" w:rsidP="00DB2FFA">
            <w:pPr>
              <w:spacing w:after="160"/>
              <w:jc w:val="both"/>
              <w:rPr>
                <w:rFonts w:ascii="Arial" w:hAnsi="Arial" w:cs="Arial"/>
                <w:color w:val="222222"/>
              </w:rPr>
            </w:pPr>
            <w:r w:rsidRPr="00E00B6C">
              <w:rPr>
                <w:rFonts w:ascii="Arial" w:hAnsi="Arial" w:cs="Arial"/>
                <w:color w:val="222222"/>
              </w:rPr>
              <w:t>O</w:t>
            </w:r>
            <w:r w:rsidRPr="00E00B6C">
              <w:rPr>
                <w:rFonts w:ascii="Arial" w:hAnsi="Arial" w:cs="Arial"/>
                <w:color w:val="222222"/>
              </w:rPr>
              <w:t>perational execution and capital management</w:t>
            </w:r>
          </w:p>
        </w:tc>
      </w:tr>
      <w:tr w:rsidR="00DB2FFA" w:rsidRPr="00E00B6C" w14:paraId="62F6217C" w14:textId="26A428BE" w:rsidTr="00DB2FFA">
        <w:tc>
          <w:tcPr>
            <w:tcW w:w="1688" w:type="dxa"/>
          </w:tcPr>
          <w:p w14:paraId="2BECCCCA" w14:textId="4E21EFC1" w:rsidR="00DB2FFA" w:rsidRPr="00E00B6C" w:rsidRDefault="00DB2FFA" w:rsidP="00DB2FFA">
            <w:pPr>
              <w:spacing w:after="160"/>
              <w:jc w:val="both"/>
              <w:rPr>
                <w:rFonts w:ascii="Arial" w:hAnsi="Arial" w:cs="Arial"/>
                <w:color w:val="222222"/>
              </w:rPr>
            </w:pPr>
            <w:r w:rsidRPr="00E00B6C">
              <w:rPr>
                <w:rFonts w:ascii="Arial" w:hAnsi="Arial" w:cs="Arial"/>
                <w:color w:val="222222"/>
              </w:rPr>
              <w:lastRenderedPageBreak/>
              <w:t>L</w:t>
            </w:r>
            <w:r w:rsidRPr="00E00B6C">
              <w:rPr>
                <w:rFonts w:ascii="Arial" w:hAnsi="Arial" w:cs="Arial"/>
                <w:color w:val="222222"/>
              </w:rPr>
              <w:t>ife assurer</w:t>
            </w:r>
          </w:p>
        </w:tc>
        <w:tc>
          <w:tcPr>
            <w:tcW w:w="1742" w:type="dxa"/>
          </w:tcPr>
          <w:p w14:paraId="36793514" w14:textId="730BD2EB" w:rsidR="00DB2FFA" w:rsidRPr="00E00B6C" w:rsidRDefault="00DB2FFA" w:rsidP="00DB2FFA">
            <w:pPr>
              <w:spacing w:after="160"/>
              <w:jc w:val="both"/>
              <w:rPr>
                <w:rFonts w:ascii="Arial" w:hAnsi="Arial" w:cs="Arial"/>
                <w:color w:val="222222"/>
              </w:rPr>
            </w:pPr>
            <w:r w:rsidRPr="00E00B6C">
              <w:rPr>
                <w:rFonts w:ascii="Arial" w:hAnsi="Arial" w:cs="Arial"/>
                <w:color w:val="222222"/>
              </w:rPr>
              <w:t>P</w:t>
            </w:r>
            <w:r w:rsidRPr="00E00B6C">
              <w:rPr>
                <w:rFonts w:ascii="Arial" w:hAnsi="Arial" w:cs="Arial"/>
                <w:color w:val="222222"/>
              </w:rPr>
              <w:t>olicyholder and distributor relationships</w:t>
            </w:r>
          </w:p>
        </w:tc>
        <w:tc>
          <w:tcPr>
            <w:tcW w:w="1742" w:type="dxa"/>
          </w:tcPr>
          <w:p w14:paraId="52A58702" w14:textId="2FDC8F2D" w:rsidR="00DB2FFA" w:rsidRPr="00E00B6C" w:rsidRDefault="00DB2FFA" w:rsidP="00DB2FFA">
            <w:pPr>
              <w:spacing w:after="160"/>
              <w:jc w:val="both"/>
              <w:rPr>
                <w:rFonts w:ascii="Arial" w:hAnsi="Arial" w:cs="Arial"/>
                <w:color w:val="222222"/>
              </w:rPr>
            </w:pPr>
            <w:r w:rsidRPr="00E00B6C">
              <w:rPr>
                <w:rFonts w:ascii="Arial" w:hAnsi="Arial" w:cs="Arial"/>
                <w:color w:val="222222"/>
              </w:rPr>
              <w:t>L</w:t>
            </w:r>
            <w:r w:rsidRPr="00E00B6C">
              <w:rPr>
                <w:rFonts w:ascii="Arial" w:hAnsi="Arial" w:cs="Arial"/>
                <w:color w:val="222222"/>
              </w:rPr>
              <w:t>iability modelling and product design</w:t>
            </w:r>
          </w:p>
        </w:tc>
        <w:tc>
          <w:tcPr>
            <w:tcW w:w="1742" w:type="dxa"/>
          </w:tcPr>
          <w:p w14:paraId="22092E7E" w14:textId="461DDA85" w:rsidR="00DB2FFA" w:rsidRPr="00E00B6C" w:rsidRDefault="00DB2FFA" w:rsidP="00DB2FFA">
            <w:pPr>
              <w:spacing w:after="160"/>
              <w:jc w:val="both"/>
              <w:rPr>
                <w:rFonts w:ascii="Arial" w:hAnsi="Arial" w:cs="Arial"/>
                <w:color w:val="222222"/>
              </w:rPr>
            </w:pPr>
            <w:r w:rsidRPr="00E00B6C">
              <w:rPr>
                <w:rFonts w:ascii="Arial" w:hAnsi="Arial" w:cs="Arial"/>
                <w:color w:val="222222"/>
              </w:rPr>
              <w:t>Regulatory and with-profits governance,</w:t>
            </w:r>
          </w:p>
        </w:tc>
        <w:tc>
          <w:tcPr>
            <w:tcW w:w="1742" w:type="dxa"/>
          </w:tcPr>
          <w:p w14:paraId="02BBB88D" w14:textId="500F557A" w:rsidR="00DB2FFA" w:rsidRPr="00E00B6C" w:rsidRDefault="00DB2FFA" w:rsidP="00DB2FFA">
            <w:pPr>
              <w:spacing w:after="160"/>
              <w:jc w:val="both"/>
              <w:rPr>
                <w:rFonts w:ascii="Arial" w:hAnsi="Arial" w:cs="Arial"/>
                <w:color w:val="222222"/>
              </w:rPr>
            </w:pPr>
            <w:r w:rsidRPr="00E00B6C">
              <w:rPr>
                <w:rFonts w:ascii="Arial" w:hAnsi="Arial" w:cs="Arial"/>
                <w:color w:val="222222"/>
              </w:rPr>
              <w:t>I</w:t>
            </w:r>
            <w:r w:rsidRPr="00E00B6C">
              <w:rPr>
                <w:rFonts w:ascii="Arial" w:hAnsi="Arial" w:cs="Arial"/>
                <w:color w:val="222222"/>
              </w:rPr>
              <w:t>nvestment and operational execution</w:t>
            </w:r>
          </w:p>
        </w:tc>
      </w:tr>
      <w:tr w:rsidR="00DB2FFA" w:rsidRPr="00E00B6C" w14:paraId="0DA1E70C" w14:textId="76A39D2F" w:rsidTr="00DB2FFA">
        <w:tc>
          <w:tcPr>
            <w:tcW w:w="1688" w:type="dxa"/>
          </w:tcPr>
          <w:p w14:paraId="176F72C8" w14:textId="0308BB11" w:rsidR="00DB2FFA" w:rsidRPr="00E00B6C" w:rsidRDefault="00DB2FFA" w:rsidP="00DB2FFA">
            <w:pPr>
              <w:spacing w:after="160"/>
              <w:jc w:val="both"/>
              <w:rPr>
                <w:rFonts w:ascii="Arial" w:hAnsi="Arial" w:cs="Arial"/>
                <w:color w:val="222222"/>
              </w:rPr>
            </w:pPr>
            <w:r w:rsidRPr="00E00B6C">
              <w:rPr>
                <w:rFonts w:ascii="Arial" w:hAnsi="Arial" w:cs="Arial"/>
                <w:color w:val="222222"/>
              </w:rPr>
              <w:t>Pension Fund</w:t>
            </w:r>
          </w:p>
        </w:tc>
        <w:tc>
          <w:tcPr>
            <w:tcW w:w="1742" w:type="dxa"/>
          </w:tcPr>
          <w:p w14:paraId="2993293E" w14:textId="4DF0CE04" w:rsidR="00DB2FFA" w:rsidRPr="00E00B6C" w:rsidRDefault="00DB2FFA" w:rsidP="00DB2FFA">
            <w:pPr>
              <w:spacing w:after="160"/>
              <w:jc w:val="both"/>
              <w:rPr>
                <w:rFonts w:ascii="Arial" w:hAnsi="Arial" w:cs="Arial"/>
                <w:color w:val="222222"/>
              </w:rPr>
            </w:pPr>
            <w:r w:rsidRPr="00E00B6C">
              <w:rPr>
                <w:rFonts w:ascii="Arial" w:hAnsi="Arial" w:cs="Arial"/>
                <w:color w:val="222222"/>
              </w:rPr>
              <w:t>S</w:t>
            </w:r>
            <w:r w:rsidRPr="00E00B6C">
              <w:rPr>
                <w:rFonts w:ascii="Arial" w:hAnsi="Arial" w:cs="Arial"/>
                <w:color w:val="222222"/>
              </w:rPr>
              <w:t>ponsor and beneficiary relationships,</w:t>
            </w:r>
          </w:p>
        </w:tc>
        <w:tc>
          <w:tcPr>
            <w:tcW w:w="1742" w:type="dxa"/>
          </w:tcPr>
          <w:p w14:paraId="3399E013" w14:textId="3639E2CA" w:rsidR="00DB2FFA" w:rsidRPr="00E00B6C" w:rsidRDefault="00DB2FFA" w:rsidP="00DB2FFA">
            <w:pPr>
              <w:spacing w:after="160"/>
              <w:jc w:val="both"/>
              <w:rPr>
                <w:rFonts w:ascii="Arial" w:hAnsi="Arial" w:cs="Arial"/>
                <w:color w:val="222222"/>
              </w:rPr>
            </w:pPr>
            <w:r w:rsidRPr="00E00B6C">
              <w:rPr>
                <w:rFonts w:ascii="Arial" w:hAnsi="Arial" w:cs="Arial"/>
                <w:color w:val="222222"/>
              </w:rPr>
              <w:t>L</w:t>
            </w:r>
            <w:r w:rsidRPr="00E00B6C">
              <w:rPr>
                <w:rFonts w:ascii="Arial" w:hAnsi="Arial" w:cs="Arial"/>
                <w:color w:val="222222"/>
              </w:rPr>
              <w:t>iability matching and funding methodology</w:t>
            </w:r>
          </w:p>
        </w:tc>
        <w:tc>
          <w:tcPr>
            <w:tcW w:w="1742" w:type="dxa"/>
          </w:tcPr>
          <w:p w14:paraId="7A624AB1" w14:textId="59405832" w:rsidR="00DB2FFA" w:rsidRPr="00E00B6C" w:rsidRDefault="00DB2FFA" w:rsidP="00DB2FFA">
            <w:pPr>
              <w:spacing w:after="160"/>
              <w:jc w:val="both"/>
              <w:rPr>
                <w:rFonts w:ascii="Arial" w:hAnsi="Arial" w:cs="Arial"/>
                <w:color w:val="222222"/>
              </w:rPr>
            </w:pPr>
            <w:r w:rsidRPr="00E00B6C">
              <w:rPr>
                <w:rFonts w:ascii="Arial" w:hAnsi="Arial" w:cs="Arial"/>
                <w:color w:val="222222"/>
              </w:rPr>
              <w:t>T</w:t>
            </w:r>
            <w:r w:rsidRPr="00E00B6C">
              <w:rPr>
                <w:rFonts w:ascii="Arial" w:hAnsi="Arial" w:cs="Arial"/>
                <w:color w:val="222222"/>
              </w:rPr>
              <w:t>rustee governance and regulatory compliance</w:t>
            </w:r>
          </w:p>
        </w:tc>
        <w:tc>
          <w:tcPr>
            <w:tcW w:w="1742" w:type="dxa"/>
          </w:tcPr>
          <w:p w14:paraId="7DD21B78" w14:textId="15FC7D5D" w:rsidR="00DB2FFA" w:rsidRPr="00E00B6C" w:rsidRDefault="00DB2FFA" w:rsidP="00DB2FFA">
            <w:pPr>
              <w:spacing w:after="160"/>
              <w:jc w:val="both"/>
              <w:rPr>
                <w:rFonts w:ascii="Arial" w:hAnsi="Arial" w:cs="Arial"/>
                <w:color w:val="222222"/>
              </w:rPr>
            </w:pPr>
            <w:r w:rsidRPr="00E00B6C">
              <w:rPr>
                <w:rFonts w:ascii="Arial" w:hAnsi="Arial" w:cs="Arial"/>
                <w:color w:val="222222"/>
              </w:rPr>
              <w:t>I</w:t>
            </w:r>
            <w:r w:rsidRPr="00E00B6C">
              <w:rPr>
                <w:rFonts w:ascii="Arial" w:hAnsi="Arial" w:cs="Arial"/>
                <w:color w:val="222222"/>
              </w:rPr>
              <w:t>nvestment execution and administrative capacity</w:t>
            </w:r>
          </w:p>
        </w:tc>
      </w:tr>
    </w:tbl>
    <w:p w14:paraId="0A0244B8" w14:textId="77777777" w:rsidR="00DB2FFA" w:rsidRPr="00E00B6C" w:rsidRDefault="00DB2FFA">
      <w:pPr>
        <w:spacing w:after="160"/>
        <w:ind w:firstLine="360"/>
        <w:jc w:val="both"/>
        <w:rPr>
          <w:rFonts w:ascii="Arial" w:hAnsi="Arial" w:cs="Arial"/>
          <w:color w:val="222222"/>
        </w:rPr>
      </w:pPr>
    </w:p>
    <w:p w14:paraId="400A7E19" w14:textId="00FD21B1" w:rsidR="00E73AA4" w:rsidRPr="00E00B6C" w:rsidRDefault="00000000">
      <w:pPr>
        <w:spacing w:after="160"/>
        <w:ind w:firstLine="360"/>
        <w:jc w:val="both"/>
        <w:rPr>
          <w:rFonts w:ascii="Arial" w:hAnsi="Arial" w:cs="Arial"/>
        </w:rPr>
      </w:pPr>
      <w:r w:rsidRPr="00E00B6C">
        <w:rPr>
          <w:rFonts w:ascii="Arial" w:hAnsi="Arial" w:cs="Arial"/>
          <w:color w:val="222222"/>
        </w:rPr>
        <w:t>The relational dimension captures the quality of the institution's calibration of its counterparty relationships — how accurately it reads cedants, policyholders, reinsurers, brokers, sponsors, and beneficiaries, and how well that reading translates into appropriate underwriting, pricing, claims, and placement decisions. Miscalibration in this dimension induces selection error, pricing inadequacy, claims leakage, or unnecessary incremental cost in placement and renewal.</w:t>
      </w:r>
    </w:p>
    <w:p w14:paraId="6D946463"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structural dimension captures the quality of the institution's internal models, processes, and frameworks — how accurately its actuarial models represent the underlying risk, how well its financial reporting reflects the true position, how robustly its reserving methodology responds to emerging experience. Miscalibration in this dimension produces systematic model error, reserve inadequacy or excess, and process costs arising from frameworks that are either too simple to capture material risk or too complex to be operated with discipline.</w:t>
      </w:r>
    </w:p>
    <w:p w14:paraId="70DC2BF6"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institutional dimension captures the quality of the institution's relationships with its regulators, rating agencies, auditors, and governance structures — how well calibrated its compliance and control frameworks are relative to the regulatory and governance requirements it faces. Negative deviation from optimal in this dimension produces regulatory risk, audit findings, and governance failures. Positive deviation from optimal produces disproportionate compliance cost, operational drag, and resource consumption without proportionate risk reduction.</w:t>
      </w:r>
    </w:p>
    <w:p w14:paraId="498F8244"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capacity dimension captures the quality of the institution's operational execution — how well it allocates resource, manages key person dependencies, maintains system capability, and delivers across its portfolio of obligations. Negative deviation in this dimension produces execution failure, key person risk crystallisation, and systems inadequacy. Positive deviation produces resource misallocation and disproportionate cost relative to the operational complexity being managed.</w:t>
      </w:r>
    </w:p>
    <w:p w14:paraId="218534F6" w14:textId="4E113983" w:rsidR="00E73AA4" w:rsidRPr="00E00B6C" w:rsidRDefault="00000000" w:rsidP="00DB2FFA">
      <w:pPr>
        <w:pStyle w:val="Heading1"/>
        <w:numPr>
          <w:ilvl w:val="1"/>
          <w:numId w:val="2"/>
        </w:numPr>
        <w:ind w:left="567"/>
      </w:pPr>
      <w:r w:rsidRPr="00E00B6C">
        <w:t>Directional Asymmetry as First Principle</w:t>
      </w:r>
    </w:p>
    <w:p w14:paraId="0E4D7512" w14:textId="77777777" w:rsidR="00E73AA4" w:rsidRPr="00E00B6C" w:rsidRDefault="00000000">
      <w:pPr>
        <w:spacing w:after="160"/>
        <w:ind w:firstLine="360"/>
        <w:jc w:val="both"/>
        <w:rPr>
          <w:rFonts w:ascii="Arial" w:hAnsi="Arial" w:cs="Arial"/>
        </w:rPr>
      </w:pPr>
      <w:r w:rsidRPr="00E00B6C">
        <w:rPr>
          <w:rFonts w:ascii="Arial" w:hAnsi="Arial" w:cs="Arial"/>
          <w:color w:val="222222"/>
        </w:rPr>
        <w:t>A critical property of operational risk that current models systematically fail to capture is its directional character. Miscalibration induces operational loss in both directions. This is not a theoretical observation. It is an empirical property of how financial institutions actually fail operationally, and it has direct implications for how the framework must be structured.</w:t>
      </w:r>
    </w:p>
    <w:p w14:paraId="1A4A9112"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lastRenderedPageBreak/>
        <w:t xml:space="preserve">In the relational dimension, an institution with positive deviation from optimal in its cedant assessment accepts risks it should not, prices inadequately, and pays claims it should challenge. An institution with negative deviation imposes unnecessary submission requirements, loses business to competitors with more efficient processes, and generates adversarial relationships that increase renewal friction and legal cost. </w:t>
      </w:r>
    </w:p>
    <w:p w14:paraId="4C90F3C1" w14:textId="1D888B09" w:rsidR="00E73AA4" w:rsidRPr="00E00B6C" w:rsidRDefault="00000000">
      <w:pPr>
        <w:spacing w:after="160"/>
        <w:ind w:firstLine="360"/>
        <w:jc w:val="both"/>
        <w:rPr>
          <w:rFonts w:ascii="Arial" w:hAnsi="Arial" w:cs="Arial"/>
        </w:rPr>
      </w:pPr>
      <w:r w:rsidRPr="00E00B6C">
        <w:rPr>
          <w:rFonts w:ascii="Arial" w:hAnsi="Arial" w:cs="Arial"/>
          <w:color w:val="222222"/>
        </w:rPr>
        <w:t>Both directions produce real financial loss. The positively deviated institution suffers selection error and leakage. The negatively deviated institution suffers incremental operational cost and lost premium. The optimal calibration is the point at which the institution's assessment of the cedant accurately reflects the underlying risk.</w:t>
      </w:r>
    </w:p>
    <w:p w14:paraId="1949E33A"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 same principle applies in every dimension. </w:t>
      </w:r>
    </w:p>
    <w:p w14:paraId="65A980E3" w14:textId="77777777" w:rsidR="00DB2FFA" w:rsidRPr="00E00B6C" w:rsidRDefault="00000000" w:rsidP="00DB2FFA">
      <w:pPr>
        <w:pStyle w:val="ListParagraph"/>
        <w:numPr>
          <w:ilvl w:val="0"/>
          <w:numId w:val="14"/>
        </w:numPr>
        <w:spacing w:after="160"/>
        <w:jc w:val="both"/>
        <w:rPr>
          <w:rFonts w:ascii="Arial" w:hAnsi="Arial" w:cs="Arial"/>
          <w:color w:val="222222"/>
        </w:rPr>
      </w:pPr>
      <w:r w:rsidRPr="00E00B6C">
        <w:rPr>
          <w:rFonts w:ascii="Arial" w:hAnsi="Arial" w:cs="Arial"/>
          <w:color w:val="222222"/>
        </w:rPr>
        <w:t xml:space="preserve">A reserving model with positive deviation produces inadequate reserves and capital strain at development. A reserving model with negative deviation produces capital inefficiency and pricing distortion. </w:t>
      </w:r>
    </w:p>
    <w:p w14:paraId="203332AC" w14:textId="77777777" w:rsidR="00DB2FFA" w:rsidRPr="00E00B6C" w:rsidRDefault="00000000" w:rsidP="00DB2FFA">
      <w:pPr>
        <w:pStyle w:val="ListParagraph"/>
        <w:numPr>
          <w:ilvl w:val="0"/>
          <w:numId w:val="14"/>
        </w:numPr>
        <w:spacing w:after="160"/>
        <w:jc w:val="both"/>
        <w:rPr>
          <w:rFonts w:ascii="Arial" w:hAnsi="Arial" w:cs="Arial"/>
        </w:rPr>
      </w:pPr>
      <w:r w:rsidRPr="00E00B6C">
        <w:rPr>
          <w:rFonts w:ascii="Arial" w:hAnsi="Arial" w:cs="Arial"/>
          <w:color w:val="222222"/>
        </w:rPr>
        <w:t xml:space="preserve">A compliance framework with negative deviation produces regulatory risk and audit exposure. A compliance framework with positive deviation produces operational drag and disproportionate resource consumption. </w:t>
      </w:r>
    </w:p>
    <w:p w14:paraId="6FE40023" w14:textId="2C38F59C" w:rsidR="00E73AA4" w:rsidRPr="00E00B6C" w:rsidRDefault="00000000" w:rsidP="00DB2FFA">
      <w:pPr>
        <w:spacing w:after="160"/>
        <w:ind w:firstLine="360"/>
        <w:jc w:val="both"/>
        <w:rPr>
          <w:rFonts w:ascii="Arial" w:hAnsi="Arial" w:cs="Arial"/>
          <w:color w:val="222222"/>
        </w:rPr>
      </w:pPr>
      <w:r w:rsidRPr="00E00B6C">
        <w:rPr>
          <w:rFonts w:ascii="Arial" w:hAnsi="Arial" w:cs="Arial"/>
          <w:color w:val="222222"/>
        </w:rPr>
        <w:t>In each case, the cost of miscalibration is real regardless of its direction, and in each case the magnitude of the cost increases with the distance from optimal calibration.</w:t>
      </w:r>
    </w:p>
    <w:p w14:paraId="5B98A7B7"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This directional symmetry has a precise formal consequence. The operational risk loading for any dimension must be sensitive to deviation in both directions from the optimal calibration point. The correct structure treats optimal calibration as cost-neutral — neither penalised nor rewarded in the operational risk charge — and treats any deviation, regardless of direction, as a source of cost proportional to its magnitude. </w:t>
      </w:r>
    </w:p>
    <w:p w14:paraId="18E6346E" w14:textId="19BAF5A1" w:rsidR="00E73AA4" w:rsidRPr="00E00B6C" w:rsidRDefault="00000000">
      <w:pPr>
        <w:spacing w:after="160"/>
        <w:ind w:firstLine="360"/>
        <w:jc w:val="both"/>
        <w:rPr>
          <w:rFonts w:ascii="Arial" w:hAnsi="Arial" w:cs="Arial"/>
        </w:rPr>
      </w:pPr>
      <w:r w:rsidRPr="00E00B6C">
        <w:rPr>
          <w:rFonts w:ascii="Arial" w:hAnsi="Arial" w:cs="Arial"/>
          <w:color w:val="222222"/>
        </w:rPr>
        <w:t xml:space="preserve">This principle is the foundational design constraint from which the measurement structure in </w:t>
      </w:r>
      <w:r w:rsidR="00DB2FFA" w:rsidRPr="00E00B6C">
        <w:rPr>
          <w:rFonts w:ascii="Arial" w:hAnsi="Arial" w:cs="Arial"/>
          <w:color w:val="222222"/>
        </w:rPr>
        <w:t>Abstract formalisation below.</w:t>
      </w:r>
    </w:p>
    <w:p w14:paraId="7F500001" w14:textId="06B26DB3" w:rsidR="00000000" w:rsidRPr="00E00B6C" w:rsidRDefault="00000000" w:rsidP="00DB2FFA">
      <w:pPr>
        <w:pStyle w:val="Heading1"/>
        <w:numPr>
          <w:ilvl w:val="1"/>
          <w:numId w:val="2"/>
        </w:numPr>
        <w:ind w:left="567"/>
      </w:pPr>
      <w:r w:rsidRPr="00E00B6C">
        <w:t>Deviation as Structural Primitive</w:t>
      </w:r>
    </w:p>
    <w:p w14:paraId="7F500002" w14:textId="77777777" w:rsidR="00000000" w:rsidRPr="00E00B6C" w:rsidRDefault="00000000">
      <w:pPr>
        <w:spacing w:after="160"/>
        <w:ind w:firstLine="360"/>
        <w:jc w:val="both"/>
        <w:rPr>
          <w:rFonts w:ascii="Arial" w:hAnsi="Arial" w:cs="Arial"/>
        </w:rPr>
      </w:pPr>
      <w:r w:rsidRPr="00E00B6C">
        <w:rPr>
          <w:rFonts w:ascii="Arial" w:hAnsi="Arial" w:cs="Arial"/>
          <w:color w:val="222222"/>
        </w:rPr>
        <w:t>Before the operational risk dimensions established above can be measured, a structural primitive must be defined that is prior to and independent of any domain-specific classification. This primitive operates at the structural layer and is stated without reference to risk, reward, or any regime-layer qualification.</w:t>
      </w:r>
    </w:p>
    <w:p w14:paraId="28DEA7C8"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Deviation is defined as the difference between the realised state of a system and the state required for continuation. Deviation has direction only. </w:t>
      </w:r>
    </w:p>
    <w:p w14:paraId="07B9D8EE" w14:textId="77777777" w:rsidR="00DB2FFA" w:rsidRPr="00E00B6C" w:rsidRDefault="00000000" w:rsidP="00DB2FFA">
      <w:pPr>
        <w:pStyle w:val="ListParagraph"/>
        <w:numPr>
          <w:ilvl w:val="0"/>
          <w:numId w:val="15"/>
        </w:numPr>
        <w:spacing w:after="160"/>
        <w:jc w:val="both"/>
        <w:rPr>
          <w:rFonts w:ascii="Arial" w:hAnsi="Arial" w:cs="Arial"/>
        </w:rPr>
      </w:pPr>
      <w:r w:rsidRPr="00E00B6C">
        <w:rPr>
          <w:rFonts w:ascii="Arial" w:hAnsi="Arial" w:cs="Arial"/>
          <w:color w:val="222222"/>
        </w:rPr>
        <w:t xml:space="preserve">A positive deviation (+) occurs when the realised state exceeds the required state. </w:t>
      </w:r>
    </w:p>
    <w:p w14:paraId="7C207277" w14:textId="77777777" w:rsidR="00DB2FFA" w:rsidRPr="00E00B6C" w:rsidRDefault="00000000" w:rsidP="00DB2FFA">
      <w:pPr>
        <w:pStyle w:val="ListParagraph"/>
        <w:numPr>
          <w:ilvl w:val="0"/>
          <w:numId w:val="15"/>
        </w:numPr>
        <w:spacing w:after="160"/>
        <w:jc w:val="both"/>
        <w:rPr>
          <w:rFonts w:ascii="Arial" w:hAnsi="Arial" w:cs="Arial"/>
        </w:rPr>
      </w:pPr>
      <w:r w:rsidRPr="00E00B6C">
        <w:rPr>
          <w:rFonts w:ascii="Arial" w:hAnsi="Arial" w:cs="Arial"/>
          <w:color w:val="222222"/>
        </w:rPr>
        <w:t>A negative deviation (−) occurs when the realised state falls below the required state.</w:t>
      </w:r>
      <w:r w:rsidR="00DB2FFA" w:rsidRPr="00E00B6C">
        <w:rPr>
          <w:rFonts w:ascii="Arial" w:hAnsi="Arial" w:cs="Arial"/>
          <w:color w:val="222222"/>
        </w:rPr>
        <w:t xml:space="preserve"> </w:t>
      </w:r>
    </w:p>
    <w:p w14:paraId="7F500003" w14:textId="52860FFE" w:rsidR="00000000" w:rsidRPr="00E00B6C" w:rsidRDefault="00000000" w:rsidP="00DB2FFA">
      <w:pPr>
        <w:spacing w:after="160"/>
        <w:ind w:firstLine="360"/>
        <w:jc w:val="both"/>
        <w:rPr>
          <w:rFonts w:ascii="Arial" w:hAnsi="Arial" w:cs="Arial"/>
          <w:color w:val="222222"/>
        </w:rPr>
      </w:pPr>
      <w:r w:rsidRPr="00E00B6C">
        <w:rPr>
          <w:rFonts w:ascii="Arial" w:hAnsi="Arial" w:cs="Arial"/>
          <w:color w:val="222222"/>
        </w:rPr>
        <w:t xml:space="preserve">Neither direction carries valuation, classification, or regime-layer meaning at the structural level. The assignment of any such meaning — whether as risk, </w:t>
      </w:r>
      <w:r w:rsidRPr="00E00B6C">
        <w:rPr>
          <w:rFonts w:ascii="Arial" w:hAnsi="Arial" w:cs="Arial"/>
          <w:color w:val="222222"/>
        </w:rPr>
        <w:lastRenderedPageBreak/>
        <w:t>reward, gain, or loss — belongs to the regime layer and is applied to deviation, not embedded within it.</w:t>
      </w:r>
    </w:p>
    <w:p w14:paraId="7F500004" w14:textId="50AF90D1" w:rsidR="00000000" w:rsidRPr="00E00B6C" w:rsidRDefault="00000000" w:rsidP="00E00B6C">
      <w:pPr>
        <w:pStyle w:val="Heading1"/>
        <w:numPr>
          <w:ilvl w:val="1"/>
          <w:numId w:val="2"/>
        </w:numPr>
        <w:ind w:left="567"/>
      </w:pPr>
      <w:r w:rsidRPr="00E00B6C">
        <w:t>Continuation as Invariant</w:t>
      </w:r>
    </w:p>
    <w:p w14:paraId="7F500005" w14:textId="77777777" w:rsidR="00000000" w:rsidRPr="00E00B6C" w:rsidRDefault="00000000">
      <w:pPr>
        <w:spacing w:after="160"/>
        <w:ind w:firstLine="360"/>
        <w:jc w:val="both"/>
        <w:rPr>
          <w:rFonts w:ascii="Arial" w:hAnsi="Arial" w:cs="Arial"/>
        </w:rPr>
      </w:pPr>
      <w:r w:rsidRPr="00E00B6C">
        <w:rPr>
          <w:rFonts w:ascii="Arial" w:hAnsi="Arial" w:cs="Arial"/>
          <w:color w:val="222222"/>
        </w:rPr>
        <w:t>Continuation is the persistence of system identity through time. It is not a state of the system. It is the reference condition relative to which all states, and all deviations between states, are assessed. A system continues insofar as it maintains an admissible path forward. It ceases when no such path remains.</w:t>
      </w:r>
    </w:p>
    <w:p w14:paraId="5AFB96D4"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All deviation in this framework is measured relative to continuation. A required state is required not as an absolute standard but as the state necessary for the system to maintain its continuation. </w:t>
      </w:r>
    </w:p>
    <w:p w14:paraId="32E3FACC" w14:textId="77777777" w:rsidR="00DB2FFA"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 measurement of calibration deviation throughout this framework is therefore a measurement of the distance between the current operational state of each function and the state required for continuation of the institution. </w:t>
      </w:r>
    </w:p>
    <w:p w14:paraId="7F500006" w14:textId="00D628B3" w:rsidR="00000000" w:rsidRPr="00E00B6C" w:rsidRDefault="00000000">
      <w:pPr>
        <w:spacing w:after="160"/>
        <w:ind w:firstLine="360"/>
        <w:jc w:val="both"/>
        <w:rPr>
          <w:rFonts w:ascii="Arial" w:hAnsi="Arial" w:cs="Arial"/>
        </w:rPr>
      </w:pPr>
      <w:r w:rsidRPr="00E00B6C">
        <w:rPr>
          <w:rFonts w:ascii="Arial" w:hAnsi="Arial" w:cs="Arial"/>
          <w:color w:val="222222"/>
        </w:rPr>
        <w:t>This relationship between deviation and continuation is the structural anchor of the framework. It holds regardless of the specific domain, the specific calibration signal, or the specific operational context in which the measurement is applied.</w:t>
      </w:r>
    </w:p>
    <w:p w14:paraId="7F500007" w14:textId="3B98280A" w:rsidR="00000000" w:rsidRPr="00E00B6C" w:rsidRDefault="00000000" w:rsidP="00E00B6C">
      <w:pPr>
        <w:pStyle w:val="Heading1"/>
        <w:numPr>
          <w:ilvl w:val="1"/>
          <w:numId w:val="2"/>
        </w:numPr>
        <w:ind w:left="567"/>
      </w:pPr>
      <w:r w:rsidRPr="00E00B6C">
        <w:t>Four Structural Deviation Modes</w:t>
      </w:r>
    </w:p>
    <w:p w14:paraId="7F500008" w14:textId="5744E13F"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t xml:space="preserve">Any deviation, across any system, resolves into one of four irreducible structural modes. These modes describe how deviation occurs — its structural character — not where it occurs. They are orthogonal to the four functional dimensions established in Part </w:t>
      </w:r>
      <w:r w:rsidR="00E00B6C" w:rsidRPr="00E00B6C">
        <w:rPr>
          <w:rFonts w:ascii="Arial" w:hAnsi="Arial" w:cs="Arial"/>
          <w:color w:val="222222"/>
          <w:highlight w:val="yellow"/>
        </w:rPr>
        <w:fldChar w:fldCharType="begin"/>
      </w:r>
      <w:r w:rsidR="00E00B6C" w:rsidRPr="00E00B6C">
        <w:rPr>
          <w:rFonts w:ascii="Arial" w:hAnsi="Arial" w:cs="Arial"/>
          <w:color w:val="222222"/>
          <w:highlight w:val="yellow"/>
        </w:rPr>
        <w:instrText xml:space="preserve"> REF _Ref227697305 \r \h </w:instrText>
      </w:r>
      <w:r w:rsidR="00E00B6C" w:rsidRPr="00E00B6C">
        <w:rPr>
          <w:rFonts w:ascii="Arial" w:hAnsi="Arial" w:cs="Arial"/>
          <w:color w:val="222222"/>
          <w:highlight w:val="yellow"/>
        </w:rPr>
      </w:r>
      <w:r w:rsidR="00E00B6C" w:rsidRPr="00E00B6C">
        <w:rPr>
          <w:rFonts w:ascii="Arial" w:hAnsi="Arial" w:cs="Arial"/>
          <w:color w:val="222222"/>
          <w:highlight w:val="yellow"/>
        </w:rPr>
        <w:instrText xml:space="preserve"> \* MERGEFORMAT </w:instrText>
      </w:r>
      <w:r w:rsidR="00E00B6C" w:rsidRPr="00E00B6C">
        <w:rPr>
          <w:rFonts w:ascii="Arial" w:hAnsi="Arial" w:cs="Arial"/>
          <w:color w:val="222222"/>
          <w:highlight w:val="yellow"/>
        </w:rPr>
        <w:fldChar w:fldCharType="separate"/>
      </w:r>
      <w:r w:rsidR="00E00B6C" w:rsidRPr="00E00B6C">
        <w:rPr>
          <w:rFonts w:ascii="Arial" w:hAnsi="Arial" w:cs="Arial"/>
          <w:color w:val="222222"/>
          <w:highlight w:val="yellow"/>
        </w:rPr>
        <w:t>1.6</w:t>
      </w:r>
      <w:r w:rsidR="00E00B6C" w:rsidRPr="00E00B6C">
        <w:rPr>
          <w:rFonts w:ascii="Arial" w:hAnsi="Arial" w:cs="Arial"/>
          <w:color w:val="222222"/>
          <w:highlight w:val="yellow"/>
        </w:rPr>
        <w:fldChar w:fldCharType="end"/>
      </w:r>
      <w:r w:rsidR="00E00B6C" w:rsidRPr="00E00B6C">
        <w:rPr>
          <w:rFonts w:ascii="Arial" w:hAnsi="Arial" w:cs="Arial"/>
          <w:color w:val="222222"/>
          <w:highlight w:val="yellow"/>
        </w:rPr>
        <w:t xml:space="preserve"> </w:t>
      </w:r>
      <w:r w:rsidRPr="00E00B6C">
        <w:rPr>
          <w:rFonts w:ascii="Arial" w:hAnsi="Arial" w:cs="Arial"/>
          <w:color w:val="222222"/>
          <w:highlight w:val="yellow"/>
        </w:rPr>
        <w:t>and may manifest within any of those dimensions independently.</w:t>
      </w:r>
    </w:p>
    <w:p w14:paraId="7F500009" w14:textId="77777777"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t>The first mode is degradation: continuous internal drift within the system. The function moves away from its required calibration state gradually, without discontinuity, through accumulated variance that is not corrected at the rate at which it accumulates.</w:t>
      </w:r>
    </w:p>
    <w:p w14:paraId="7F50000A" w14:textId="77777777"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t>The second mode is shock: discontinuous transition between states. The system moves abruptly, without a continuous path through intermediate states. Shock produces a step change in the calibration position that degradation-type monitoring may not have anticipated.</w:t>
      </w:r>
    </w:p>
    <w:p w14:paraId="7F50000B" w14:textId="77777777"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t>The third mode is representation error: mismatch between the actual state of the system and the observed or recorded state. The function is in a different condition from what the institution’s measurement instruments indicate. The institution is calibrated to a measured position that does not correspond to the true position.</w:t>
      </w:r>
    </w:p>
    <w:p w14:paraId="7F50000C" w14:textId="77777777"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t>The fourth mode is expectation failure: mismatch between the states of interacting systems. What one system requires of another — whether counterparty, internal function, or institutional relationship — is not what that other system delivers. The deviation arises at the interface, not within either system independently.</w:t>
      </w:r>
    </w:p>
    <w:p w14:paraId="7F50000D" w14:textId="77777777" w:rsidR="00000000" w:rsidRPr="00E00B6C" w:rsidRDefault="00000000">
      <w:pPr>
        <w:spacing w:after="160"/>
        <w:ind w:firstLine="360"/>
        <w:jc w:val="both"/>
        <w:rPr>
          <w:rFonts w:ascii="Arial" w:hAnsi="Arial" w:cs="Arial"/>
          <w:highlight w:val="yellow"/>
        </w:rPr>
      </w:pPr>
      <w:r w:rsidRPr="00E00B6C">
        <w:rPr>
          <w:rFonts w:ascii="Arial" w:hAnsi="Arial" w:cs="Arial"/>
          <w:color w:val="222222"/>
          <w:highlight w:val="yellow"/>
        </w:rPr>
        <w:lastRenderedPageBreak/>
        <w:t>These four modes are structurally exhaustive. Every form of operational miscalibration is expressible as one of these modes, or as a combination of them operating simultaneously across one or more of the four functional dimensions. The four modes do not replace or restate the four functional dimensions. They describe the structural character of deviation within and across those dimensions.</w:t>
      </w:r>
    </w:p>
    <w:p w14:paraId="7F50000E" w14:textId="77777777" w:rsidR="00000000" w:rsidRPr="00E00B6C" w:rsidRDefault="00000000">
      <w:pPr>
        <w:spacing w:after="160"/>
        <w:ind w:firstLine="360"/>
        <w:jc w:val="both"/>
        <w:rPr>
          <w:rFonts w:ascii="Arial" w:hAnsi="Arial" w:cs="Arial"/>
        </w:rPr>
      </w:pPr>
      <w:r w:rsidRPr="00E00B6C">
        <w:rPr>
          <w:rFonts w:ascii="Arial" w:hAnsi="Arial" w:cs="Arial"/>
          <w:color w:val="222222"/>
          <w:highlight w:val="yellow"/>
        </w:rPr>
        <w:t>The following structural boundary holds throughout this framework. Deviation — its direction and magnitude, measured as departure from the calibration state required for continuation — belongs to the structural layer. Risk and reward — the classification and valuation of deviation within a specific operational context — belong to the regime layer. Operation — the transfer and execution of responses to deviation — belongs to the operational layer. Risk is not deviation. Reward is not deviation. They are regime-layer classifications applied to deviation. This separation ensures that the structural measurements of the framework remain valid across contexts in which the regime classification may differ, and that no structural measurement produces a regime-layer conclusion without an intervening interpretive act.</w:t>
      </w:r>
    </w:p>
    <w:p w14:paraId="7F50000F" w14:textId="61D1AA81" w:rsidR="00000000" w:rsidRPr="00E00B6C" w:rsidRDefault="00000000" w:rsidP="00E00B6C">
      <w:pPr>
        <w:pStyle w:val="Heading1"/>
        <w:numPr>
          <w:ilvl w:val="1"/>
          <w:numId w:val="2"/>
        </w:numPr>
        <w:ind w:left="567"/>
      </w:pPr>
      <w:r w:rsidRPr="00E00B6C">
        <w:t>Directional Exposure</w:t>
      </w:r>
    </w:p>
    <w:p w14:paraId="7F500010" w14:textId="77777777" w:rsidR="00000000" w:rsidRPr="00E00B6C" w:rsidRDefault="00000000">
      <w:pPr>
        <w:spacing w:after="160"/>
        <w:ind w:firstLine="360"/>
        <w:jc w:val="both"/>
        <w:rPr>
          <w:rFonts w:ascii="Arial" w:hAnsi="Arial" w:cs="Arial"/>
        </w:rPr>
      </w:pPr>
      <w:r w:rsidRPr="00E00B6C">
        <w:rPr>
          <w:rFonts w:ascii="Arial" w:hAnsi="Arial" w:cs="Arial"/>
          <w:color w:val="222222"/>
        </w:rPr>
        <w:t>A system may be exposed to deviation in either direction without that deviation having yet been realised. Exposure to positive deviation is the condition in which a system’s operational outcomes are sensitive to upside departures from the required calibration state. Exposure to negative deviation is the condition in which a system’s outcomes are sensitive to downside departures.</w:t>
      </w:r>
    </w:p>
    <w:p w14:paraId="7F500011" w14:textId="77777777" w:rsidR="00000000" w:rsidRPr="00E00B6C" w:rsidRDefault="00000000">
      <w:pPr>
        <w:spacing w:after="160"/>
        <w:ind w:firstLine="360"/>
        <w:jc w:val="both"/>
        <w:rPr>
          <w:rFonts w:ascii="Arial" w:hAnsi="Arial" w:cs="Arial"/>
        </w:rPr>
      </w:pPr>
      <w:r w:rsidRPr="00E00B6C">
        <w:rPr>
          <w:rFonts w:ascii="Arial" w:hAnsi="Arial" w:cs="Arial"/>
          <w:color w:val="222222"/>
        </w:rPr>
        <w:t>Exposure is distinct from deviation itself. A system may carry exposure to positive deviation — positioned such that an upside departure from required calibration would affect it — without such departure having yet occurred. Conversely, a system may be in a state of negative deviation without any party being exposed to the consequences of that deviation if the connection between deviation and consequence has not been established.</w:t>
      </w:r>
    </w:p>
    <w:p w14:paraId="7F500012" w14:textId="77777777" w:rsidR="00000000" w:rsidRPr="00E00B6C" w:rsidRDefault="00000000">
      <w:pPr>
        <w:spacing w:after="160"/>
        <w:ind w:firstLine="360"/>
        <w:jc w:val="both"/>
        <w:rPr>
          <w:rFonts w:ascii="Arial" w:hAnsi="Arial" w:cs="Arial"/>
        </w:rPr>
      </w:pPr>
      <w:r w:rsidRPr="00E00B6C">
        <w:rPr>
          <w:rFonts w:ascii="Arial" w:hAnsi="Arial" w:cs="Arial"/>
          <w:color w:val="222222"/>
        </w:rPr>
        <w:t>This distinction between exposure and realised deviation is structurally necessary for the framework to operate prospectively. The framework measures the condition that produces operational loss — the current calibration state and its trajectory — rather than the loss events themselves. The exposure structure of the institution determines which consequences become activated when deviation crosses a boundary, and understanding exposure as distinct from deviation is what makes that prospective measurement possible.</w:t>
      </w:r>
    </w:p>
    <w:p w14:paraId="00D3AC36" w14:textId="77777777" w:rsidR="00E00B6C" w:rsidRPr="00E00B6C" w:rsidRDefault="00000000">
      <w:pPr>
        <w:spacing w:after="160"/>
        <w:ind w:firstLine="360"/>
        <w:jc w:val="both"/>
        <w:rPr>
          <w:rFonts w:ascii="Arial" w:hAnsi="Arial" w:cs="Arial"/>
          <w:color w:val="222222"/>
        </w:rPr>
      </w:pPr>
      <w:r w:rsidRPr="00E00B6C">
        <w:rPr>
          <w:rFonts w:ascii="Arial" w:hAnsi="Arial" w:cs="Arial"/>
          <w:color w:val="222222"/>
        </w:rPr>
        <w:t xml:space="preserve">Operational risk, as defined in this framework, is endogenously-sourced deviation: deviation that originates within the institution’s own calibration system rather than in external markets, counterparty credit positions, or catastrophic external events. </w:t>
      </w:r>
    </w:p>
    <w:p w14:paraId="7F500013" w14:textId="08821105" w:rsidR="00000000" w:rsidRPr="00E00B6C" w:rsidRDefault="00000000">
      <w:pPr>
        <w:spacing w:after="160"/>
        <w:ind w:firstLine="360"/>
        <w:jc w:val="both"/>
        <w:rPr>
          <w:rFonts w:ascii="Arial" w:hAnsi="Arial" w:cs="Arial"/>
        </w:rPr>
      </w:pPr>
      <w:r w:rsidRPr="00E00B6C">
        <w:rPr>
          <w:rFonts w:ascii="Arial" w:hAnsi="Arial" w:cs="Arial"/>
          <w:color w:val="222222"/>
        </w:rPr>
        <w:t xml:space="preserve">This distinguishes operational risk by the locus of its origin. </w:t>
      </w:r>
      <w:r w:rsidRPr="00E00B6C">
        <w:rPr>
          <w:rFonts w:ascii="Arial" w:hAnsi="Arial" w:cs="Arial"/>
          <w:color w:val="222222"/>
          <w:highlight w:val="yellow"/>
        </w:rPr>
        <w:t>It may manifest through any of the four structural deviation modes established in Part 2.6 and may occur within any of the four functional dimensions established in Part 2.2.</w:t>
      </w:r>
      <w:r w:rsidRPr="00E00B6C">
        <w:rPr>
          <w:rFonts w:ascii="Arial" w:hAnsi="Arial" w:cs="Arial"/>
          <w:color w:val="222222"/>
        </w:rPr>
        <w:t xml:space="preserve"> The focus of this framework remains the internal system condition of the institution — the measurable departure of each operational function from its required calibration </w:t>
      </w:r>
      <w:r w:rsidRPr="00E00B6C">
        <w:rPr>
          <w:rFonts w:ascii="Arial" w:hAnsi="Arial" w:cs="Arial"/>
          <w:color w:val="222222"/>
        </w:rPr>
        <w:lastRenderedPageBreak/>
        <w:t>state — and the financial consequences that departure generates across the institution’s portfolio of obligations.</w:t>
      </w:r>
    </w:p>
    <w:p w14:paraId="7F500014" w14:textId="70194446" w:rsidR="00000000" w:rsidRPr="00E00B6C" w:rsidRDefault="00000000" w:rsidP="00E00B6C">
      <w:pPr>
        <w:pStyle w:val="Heading1"/>
        <w:numPr>
          <w:ilvl w:val="1"/>
          <w:numId w:val="2"/>
        </w:numPr>
        <w:ind w:left="567"/>
      </w:pPr>
      <w:r w:rsidRPr="00E00B6C">
        <w:t>Continuation Transfer</w:t>
      </w:r>
    </w:p>
    <w:p w14:paraId="46058B61" w14:textId="77777777" w:rsidR="00E00B6C" w:rsidRPr="00E00B6C" w:rsidRDefault="00000000">
      <w:pPr>
        <w:spacing w:after="160"/>
        <w:ind w:firstLine="360"/>
        <w:jc w:val="both"/>
        <w:rPr>
          <w:rFonts w:ascii="Arial" w:hAnsi="Arial" w:cs="Arial"/>
          <w:color w:val="222222"/>
        </w:rPr>
      </w:pPr>
      <w:r w:rsidRPr="00E00B6C">
        <w:rPr>
          <w:rFonts w:ascii="Arial" w:hAnsi="Arial" w:cs="Arial"/>
          <w:color w:val="222222"/>
        </w:rPr>
        <w:t xml:space="preserve">Where deviation cannot be fully absorbed within the originating system — where the institution’s own capital, governance, and operational resources are insufficient to contain the deviation within its admissible boundary — the deviation may be redistributed across systems. </w:t>
      </w:r>
    </w:p>
    <w:p w14:paraId="7F500015" w14:textId="53823A5B" w:rsidR="00000000" w:rsidRPr="00E00B6C" w:rsidRDefault="00000000">
      <w:pPr>
        <w:spacing w:after="160"/>
        <w:ind w:firstLine="360"/>
        <w:jc w:val="both"/>
        <w:rPr>
          <w:rFonts w:ascii="Arial" w:hAnsi="Arial" w:cs="Arial"/>
        </w:rPr>
      </w:pPr>
      <w:r w:rsidRPr="00E00B6C">
        <w:rPr>
          <w:rFonts w:ascii="Arial" w:hAnsi="Arial" w:cs="Arial"/>
          <w:color w:val="222222"/>
        </w:rPr>
        <w:t>This redistribution is defined as continuation transfer: the partial or full reallocation of deviation from one system to another, such that the originating system’s exposure to that deviation is reduced and another system assumes it in whole or in part.</w:t>
      </w:r>
    </w:p>
    <w:p w14:paraId="7F500016" w14:textId="77777777" w:rsidR="00000000" w:rsidRPr="00E00B6C" w:rsidRDefault="00000000">
      <w:pPr>
        <w:spacing w:after="160"/>
        <w:ind w:firstLine="360"/>
        <w:jc w:val="both"/>
        <w:rPr>
          <w:rFonts w:ascii="Arial" w:hAnsi="Arial" w:cs="Arial"/>
        </w:rPr>
      </w:pPr>
      <w:r w:rsidRPr="00E00B6C">
        <w:rPr>
          <w:rFonts w:ascii="Arial" w:hAnsi="Arial" w:cs="Arial"/>
          <w:color w:val="222222"/>
        </w:rPr>
        <w:t>Continuation transfer is a structural property, not a contractual or product-specific one. It describes what occurs structurally when deviation moves across a system boundary. The mechanism through which transfer is effected — whether through capital arrangement, organisational structure, or formal agreement — is a regime-layer and operational-layer question. The structural fact of redistribution is prior to any such mechanism and is independent of it.</w:t>
      </w:r>
    </w:p>
    <w:p w14:paraId="4915E8D0" w14:textId="77777777" w:rsidR="00E00B6C"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The relevance of continuation transfer to this framework is foundational. The existence of a measurable, attributed calibration deviation state is the structural precondition for any form of continuation transfer. </w:t>
      </w:r>
    </w:p>
    <w:p w14:paraId="7F500017" w14:textId="5DC0D0C4" w:rsidR="00000000" w:rsidRPr="00E00B6C" w:rsidRDefault="00000000">
      <w:pPr>
        <w:spacing w:after="160"/>
        <w:ind w:firstLine="360"/>
        <w:jc w:val="both"/>
        <w:rPr>
          <w:rFonts w:ascii="Arial" w:hAnsi="Arial" w:cs="Arial"/>
        </w:rPr>
      </w:pPr>
      <w:r w:rsidRPr="00E00B6C">
        <w:rPr>
          <w:rFonts w:ascii="Arial" w:hAnsi="Arial" w:cs="Arial"/>
          <w:color w:val="222222"/>
        </w:rPr>
        <w:t>A deviation that cannot be measured cannot be transferred in any structured way. A deviation that is measured only in aggregate, without attribution to the function and relationship that produced it, cannot be transferred with precision. The RYSI vector — by making deviation observable, attributed, and continuously updated — establishes the structural precondition for continuation transfer of operational risk.</w:t>
      </w:r>
    </w:p>
    <w:p w14:paraId="2830E727" w14:textId="77777777" w:rsidR="00E00B6C" w:rsidRPr="00E00B6C" w:rsidRDefault="00000000">
      <w:pPr>
        <w:spacing w:after="160"/>
        <w:ind w:firstLine="360"/>
        <w:jc w:val="both"/>
        <w:rPr>
          <w:rFonts w:ascii="Arial" w:hAnsi="Arial" w:cs="Arial"/>
          <w:color w:val="222222"/>
        </w:rPr>
      </w:pPr>
      <w:r w:rsidRPr="00E00B6C">
        <w:rPr>
          <w:rFonts w:ascii="Arial" w:hAnsi="Arial" w:cs="Arial"/>
          <w:color w:val="222222"/>
        </w:rPr>
        <w:t xml:space="preserve">Different categories of risk, as conventionally defined, represent different manifestations of the same underlying structural phenomenon: deviation from a required state relative to continuation. What distinguishes them is principally the locus and mode of that deviation — endogenously-sourced calibration drift for operational risk, inter-system state mismatch for credit and counterparty risk, discontinuous external shock for catastrophic risk. </w:t>
      </w:r>
    </w:p>
    <w:p w14:paraId="38459222" w14:textId="77777777" w:rsidR="00E00B6C" w:rsidRPr="00E00B6C" w:rsidRDefault="00000000">
      <w:pPr>
        <w:spacing w:after="160"/>
        <w:ind w:firstLine="360"/>
        <w:jc w:val="both"/>
        <w:rPr>
          <w:rFonts w:ascii="Arial" w:hAnsi="Arial" w:cs="Arial"/>
          <w:color w:val="222222"/>
        </w:rPr>
      </w:pPr>
      <w:r w:rsidRPr="00E00B6C">
        <w:rPr>
          <w:rFonts w:ascii="Arial" w:hAnsi="Arial" w:cs="Arial"/>
          <w:color w:val="222222"/>
        </w:rPr>
        <w:t xml:space="preserve">This framework addresses the endogenously-sourced manifestation. The structural primitives established in this Part apply, without modification, to the other manifestations. This observation is noted for positioning purposes only. </w:t>
      </w:r>
    </w:p>
    <w:p w14:paraId="7F500018" w14:textId="772096C9" w:rsidR="00000000" w:rsidRPr="00E00B6C" w:rsidRDefault="00000000">
      <w:pPr>
        <w:spacing w:after="160"/>
        <w:ind w:firstLine="360"/>
        <w:jc w:val="both"/>
        <w:rPr>
          <w:rFonts w:ascii="Arial" w:hAnsi="Arial" w:cs="Arial"/>
        </w:rPr>
      </w:pPr>
      <w:r w:rsidRPr="00E00B6C">
        <w:rPr>
          <w:rFonts w:ascii="Arial" w:hAnsi="Arial" w:cs="Arial"/>
          <w:color w:val="222222"/>
        </w:rPr>
        <w:t>The scope of this framework does not extend beyond the operational manifestation.</w:t>
      </w:r>
    </w:p>
    <w:p w14:paraId="7F600001" w14:textId="77777777" w:rsidR="00000000" w:rsidRPr="00E00B6C" w:rsidRDefault="00000000">
      <w:pPr>
        <w:pageBreakBefore/>
        <w:rPr>
          <w:rFonts w:ascii="Arial" w:hAnsi="Arial" w:cs="Arial"/>
        </w:rPr>
      </w:pPr>
    </w:p>
    <w:p w14:paraId="68A8AA0C" w14:textId="6F4B17DE" w:rsidR="00E00B6C" w:rsidRPr="00E00B6C" w:rsidRDefault="00E00B6C" w:rsidP="00E00B6C">
      <w:pPr>
        <w:pStyle w:val="Heading1"/>
        <w:numPr>
          <w:ilvl w:val="0"/>
          <w:numId w:val="2"/>
        </w:numPr>
      </w:pPr>
      <w:r w:rsidRPr="00E00B6C">
        <w:t>ABSTRACT FORMALISATION</w:t>
      </w:r>
    </w:p>
    <w:p w14:paraId="0F6C82AB" w14:textId="77777777" w:rsidR="00650EF0" w:rsidRPr="00650EF0" w:rsidRDefault="00650EF0" w:rsidP="00650EF0">
      <w:pPr>
        <w:spacing w:before="100" w:beforeAutospacing="1" w:after="100" w:afterAutospacing="1"/>
        <w:outlineLvl w:val="2"/>
        <w:rPr>
          <w:b/>
          <w:bCs/>
          <w:color w:val="000000"/>
          <w:sz w:val="27"/>
          <w:szCs w:val="27"/>
        </w:rPr>
      </w:pPr>
      <w:r w:rsidRPr="00650EF0">
        <w:rPr>
          <w:b/>
          <w:bCs/>
          <w:color w:val="000000"/>
          <w:sz w:val="27"/>
          <w:szCs w:val="27"/>
        </w:rPr>
        <w:t>1. Defining the "Metric Space" of Risk</w:t>
      </w:r>
    </w:p>
    <w:p w14:paraId="50DD9517" w14:textId="77777777" w:rsidR="00650EF0" w:rsidRPr="00650EF0" w:rsidRDefault="00650EF0" w:rsidP="00650EF0">
      <w:pPr>
        <w:spacing w:before="100" w:beforeAutospacing="1" w:after="100" w:afterAutospacing="1"/>
        <w:rPr>
          <w:color w:val="000000"/>
        </w:rPr>
      </w:pPr>
      <w:r w:rsidRPr="00650EF0">
        <w:rPr>
          <w:color w:val="000000"/>
        </w:rPr>
        <w:t>In a standard model, risk is a point on a probability curve. In your framework, risk is a </w:t>
      </w:r>
      <w:r w:rsidRPr="00650EF0">
        <w:rPr>
          <w:b/>
          <w:bCs/>
          <w:color w:val="000000"/>
        </w:rPr>
        <w:t>Vector of Displacement</w:t>
      </w:r>
      <w:r w:rsidRPr="00650EF0">
        <w:rPr>
          <w:color w:val="000000"/>
        </w:rPr>
        <w:t>.</w:t>
      </w:r>
    </w:p>
    <w:p w14:paraId="5FAD6B52" w14:textId="77777777" w:rsidR="00650EF0" w:rsidRPr="00650EF0" w:rsidRDefault="00650EF0" w:rsidP="00650EF0">
      <w:pPr>
        <w:numPr>
          <w:ilvl w:val="0"/>
          <w:numId w:val="22"/>
        </w:numPr>
        <w:spacing w:before="100" w:beforeAutospacing="1" w:after="100" w:afterAutospacing="1"/>
        <w:rPr>
          <w:color w:val="000000"/>
        </w:rPr>
      </w:pPr>
      <w:r w:rsidRPr="00650EF0">
        <w:rPr>
          <w:b/>
          <w:bCs/>
          <w:color w:val="000000"/>
        </w:rPr>
        <w:t>The Optimal Calibration ():</w:t>
      </w:r>
      <w:r w:rsidRPr="00650EF0">
        <w:rPr>
          <w:color w:val="000000"/>
        </w:rPr>
        <w:t> This is the "Origin" or the "Vacuum State." It represents a system in perfect harmony with its environment where no friction (cost) exists.</w:t>
      </w:r>
    </w:p>
    <w:p w14:paraId="1AFB0C12" w14:textId="77777777" w:rsidR="00650EF0" w:rsidRPr="00650EF0" w:rsidRDefault="00650EF0" w:rsidP="00650EF0">
      <w:pPr>
        <w:numPr>
          <w:ilvl w:val="0"/>
          <w:numId w:val="22"/>
        </w:numPr>
        <w:spacing w:before="100" w:beforeAutospacing="1" w:after="100" w:afterAutospacing="1"/>
        <w:rPr>
          <w:color w:val="000000"/>
        </w:rPr>
      </w:pPr>
      <w:r w:rsidRPr="00650EF0">
        <w:rPr>
          <w:b/>
          <w:bCs/>
          <w:color w:val="000000"/>
        </w:rPr>
        <w:t>The RYSI Dimensions:</w:t>
      </w:r>
      <w:r w:rsidRPr="00650EF0">
        <w:rPr>
          <w:color w:val="000000"/>
        </w:rPr>
        <w:t> These act as the </w:t>
      </w:r>
      <w:r w:rsidRPr="00650EF0">
        <w:rPr>
          <w:b/>
          <w:bCs/>
          <w:color w:val="000000"/>
        </w:rPr>
        <w:t>basis vectors</w:t>
      </w:r>
      <w:r w:rsidRPr="00650EF0">
        <w:rPr>
          <w:color w:val="000000"/>
        </w:rPr>
        <w:t> of your space. You argue these four are "complete" and "irreducible"—meaning any operational failure can be mapped as a coordinate .</w:t>
      </w:r>
    </w:p>
    <w:p w14:paraId="2C0ADBDE" w14:textId="77777777" w:rsidR="00650EF0" w:rsidRPr="00650EF0" w:rsidRDefault="00650EF0" w:rsidP="00650EF0">
      <w:pPr>
        <w:numPr>
          <w:ilvl w:val="0"/>
          <w:numId w:val="22"/>
        </w:numPr>
        <w:spacing w:before="100" w:beforeAutospacing="1" w:after="100" w:afterAutospacing="1"/>
        <w:rPr>
          <w:color w:val="000000"/>
        </w:rPr>
      </w:pPr>
      <w:r w:rsidRPr="00650EF0">
        <w:rPr>
          <w:b/>
          <w:bCs/>
          <w:color w:val="000000"/>
        </w:rPr>
        <w:t>Signed Deviation:</w:t>
      </w:r>
      <w:r w:rsidRPr="00650EF0">
        <w:rPr>
          <w:color w:val="000000"/>
        </w:rPr>
        <w:t> By making it "signed," you define a </w:t>
      </w:r>
      <w:r w:rsidRPr="00650EF0">
        <w:rPr>
          <w:b/>
          <w:bCs/>
          <w:color w:val="000000"/>
        </w:rPr>
        <w:t>Directional Manifold</w:t>
      </w:r>
      <w:r w:rsidRPr="00650EF0">
        <w:rPr>
          <w:color w:val="000000"/>
        </w:rPr>
        <w:t>. Unlike standard models where "more" is usually "worse," your framework recognizes that being "too good" (over-calibration) is just as expensive as being "too bad" (under-calibration).</w:t>
      </w:r>
    </w:p>
    <w:p w14:paraId="37A19882" w14:textId="77777777" w:rsidR="00650EF0" w:rsidRPr="00650EF0" w:rsidRDefault="009318F3" w:rsidP="00650EF0">
      <w:r w:rsidRPr="00650EF0">
        <w:rPr>
          <w:noProof/>
        </w:rPr>
        <w:pict w14:anchorId="22BD0B8E">
          <v:rect id="_x0000_i1028" alt="" style="width:433.25pt;height:.05pt;mso-width-percent:0;mso-height-percent:0;mso-width-percent:0;mso-height-percent:0" o:hrpct="960" o:hralign="center" o:hrstd="t" o:hr="t" fillcolor="#a0a0a0" stroked="f"/>
        </w:pict>
      </w:r>
    </w:p>
    <w:p w14:paraId="4D648A4B" w14:textId="77777777" w:rsidR="00650EF0" w:rsidRPr="00650EF0" w:rsidRDefault="00650EF0" w:rsidP="00650EF0">
      <w:pPr>
        <w:spacing w:before="100" w:beforeAutospacing="1" w:after="100" w:afterAutospacing="1"/>
        <w:outlineLvl w:val="2"/>
        <w:rPr>
          <w:b/>
          <w:bCs/>
          <w:color w:val="000000"/>
          <w:sz w:val="27"/>
          <w:szCs w:val="27"/>
        </w:rPr>
      </w:pPr>
      <w:r w:rsidRPr="00650EF0">
        <w:rPr>
          <w:b/>
          <w:bCs/>
          <w:color w:val="000000"/>
          <w:sz w:val="27"/>
          <w:szCs w:val="27"/>
        </w:rPr>
        <w:t>2. The Condition vs. Consequence Distinction</w:t>
      </w:r>
    </w:p>
    <w:p w14:paraId="251A3BA2" w14:textId="77777777" w:rsidR="00650EF0" w:rsidRPr="00650EF0" w:rsidRDefault="00650EF0" w:rsidP="00650EF0">
      <w:pPr>
        <w:spacing w:before="100" w:beforeAutospacing="1" w:after="100" w:afterAutospacing="1"/>
        <w:rPr>
          <w:color w:val="000000"/>
        </w:rPr>
      </w:pPr>
      <w:r w:rsidRPr="00650EF0">
        <w:rPr>
          <w:color w:val="000000"/>
        </w:rPr>
        <w:t>This is the most critical abstract shift.</w:t>
      </w:r>
    </w:p>
    <w:p w14:paraId="7A6E8E44" w14:textId="77777777" w:rsidR="00650EF0" w:rsidRPr="00650EF0" w:rsidRDefault="00650EF0" w:rsidP="00650EF0">
      <w:pPr>
        <w:numPr>
          <w:ilvl w:val="0"/>
          <w:numId w:val="23"/>
        </w:numPr>
        <w:spacing w:before="100" w:beforeAutospacing="1" w:after="100" w:afterAutospacing="1"/>
        <w:rPr>
          <w:color w:val="000000"/>
        </w:rPr>
      </w:pPr>
      <w:r w:rsidRPr="00650EF0">
        <w:rPr>
          <w:b/>
          <w:bCs/>
          <w:color w:val="000000"/>
        </w:rPr>
        <w:t>Consequence-based (Traditional):</w:t>
      </w:r>
      <w:r w:rsidRPr="00650EF0">
        <w:rPr>
          <w:color w:val="000000"/>
        </w:rPr>
        <w:t> . This is </w:t>
      </w:r>
      <w:r w:rsidRPr="00650EF0">
        <w:rPr>
          <w:b/>
          <w:bCs/>
          <w:color w:val="000000"/>
        </w:rPr>
        <w:t>Retrospective</w:t>
      </w:r>
      <w:r w:rsidRPr="00650EF0">
        <w:rPr>
          <w:color w:val="000000"/>
        </w:rPr>
        <w:t>.</w:t>
      </w:r>
    </w:p>
    <w:p w14:paraId="7E54AD6D" w14:textId="77777777" w:rsidR="00650EF0" w:rsidRPr="00650EF0" w:rsidRDefault="00650EF0" w:rsidP="00650EF0">
      <w:pPr>
        <w:numPr>
          <w:ilvl w:val="0"/>
          <w:numId w:val="23"/>
        </w:numPr>
        <w:spacing w:before="100" w:beforeAutospacing="1" w:after="100" w:afterAutospacing="1"/>
        <w:rPr>
          <w:color w:val="000000"/>
        </w:rPr>
      </w:pPr>
      <w:r w:rsidRPr="00650EF0">
        <w:rPr>
          <w:b/>
          <w:bCs/>
          <w:color w:val="000000"/>
        </w:rPr>
        <w:t>Condition-based (RYSI):</w:t>
      </w:r>
      <w:r w:rsidRPr="00650EF0">
        <w:rPr>
          <w:color w:val="000000"/>
        </w:rPr>
        <w:t> . This is </w:t>
      </w:r>
      <w:r w:rsidRPr="00650EF0">
        <w:rPr>
          <w:b/>
          <w:bCs/>
          <w:color w:val="000000"/>
        </w:rPr>
        <w:t>Prospective</w:t>
      </w:r>
      <w:r w:rsidRPr="00650EF0">
        <w:rPr>
          <w:color w:val="000000"/>
        </w:rPr>
        <w:t>.</w:t>
      </w:r>
    </w:p>
    <w:p w14:paraId="118E3001" w14:textId="77777777" w:rsidR="00650EF0" w:rsidRPr="00650EF0" w:rsidRDefault="00650EF0" w:rsidP="00650EF0">
      <w:pPr>
        <w:numPr>
          <w:ilvl w:val="0"/>
          <w:numId w:val="23"/>
        </w:numPr>
        <w:spacing w:before="100" w:beforeAutospacing="1" w:after="100" w:afterAutospacing="1"/>
        <w:rPr>
          <w:color w:val="000000"/>
        </w:rPr>
      </w:pPr>
      <w:r w:rsidRPr="00650EF0">
        <w:rPr>
          <w:b/>
          <w:bCs/>
          <w:color w:val="000000"/>
        </w:rPr>
        <w:t>The Abstraction:</w:t>
      </w:r>
      <w:r w:rsidRPr="00650EF0">
        <w:rPr>
          <w:color w:val="000000"/>
        </w:rPr>
        <w:t> You are treating the institution like a physical engine. You don't wait for the engine to explode to measure risk; you measure the </w:t>
      </w:r>
      <w:r w:rsidRPr="00650EF0">
        <w:rPr>
          <w:b/>
          <w:bCs/>
          <w:color w:val="000000"/>
        </w:rPr>
        <w:t>heat and vibration (deviation)</w:t>
      </w:r>
      <w:r w:rsidRPr="00650EF0">
        <w:rPr>
          <w:color w:val="000000"/>
        </w:rPr>
        <w:t> of the pistons. The "Operational Risk" is the energy lost to friction before the breakdown occurs.</w:t>
      </w:r>
    </w:p>
    <w:p w14:paraId="16D43E27" w14:textId="77777777" w:rsidR="00650EF0" w:rsidRPr="00650EF0" w:rsidRDefault="009318F3" w:rsidP="00650EF0">
      <w:r w:rsidRPr="00650EF0">
        <w:rPr>
          <w:noProof/>
        </w:rPr>
        <w:pict w14:anchorId="6769B14F">
          <v:rect id="_x0000_i1027" alt="" style="width:433.25pt;height:.05pt;mso-width-percent:0;mso-height-percent:0;mso-width-percent:0;mso-height-percent:0" o:hrpct="960" o:hralign="center" o:hrstd="t" o:hr="t" fillcolor="#a0a0a0" stroked="f"/>
        </w:pict>
      </w:r>
    </w:p>
    <w:p w14:paraId="676122F3" w14:textId="77777777" w:rsidR="00650EF0" w:rsidRPr="00650EF0" w:rsidRDefault="00650EF0" w:rsidP="00650EF0">
      <w:pPr>
        <w:spacing w:before="100" w:beforeAutospacing="1" w:after="100" w:afterAutospacing="1"/>
        <w:outlineLvl w:val="2"/>
        <w:rPr>
          <w:b/>
          <w:bCs/>
          <w:color w:val="000000"/>
          <w:sz w:val="27"/>
          <w:szCs w:val="27"/>
        </w:rPr>
      </w:pPr>
      <w:r w:rsidRPr="00650EF0">
        <w:rPr>
          <w:b/>
          <w:bCs/>
          <w:color w:val="000000"/>
          <w:sz w:val="27"/>
          <w:szCs w:val="27"/>
        </w:rPr>
        <w:t>3. Structural Modes (The "Physics" of Failure)</w:t>
      </w:r>
    </w:p>
    <w:p w14:paraId="1486BABE" w14:textId="77777777" w:rsidR="00650EF0" w:rsidRPr="00650EF0" w:rsidRDefault="00650EF0" w:rsidP="00650EF0">
      <w:pPr>
        <w:spacing w:before="100" w:beforeAutospacing="1" w:after="100" w:afterAutospacing="1"/>
        <w:rPr>
          <w:color w:val="000000"/>
        </w:rPr>
      </w:pPr>
      <w:r w:rsidRPr="00650EF0">
        <w:rPr>
          <w:color w:val="000000"/>
        </w:rPr>
        <w:t>Section 1.10 introduces the </w:t>
      </w:r>
      <w:r w:rsidRPr="00650EF0">
        <w:rPr>
          <w:b/>
          <w:bCs/>
          <w:color w:val="000000"/>
        </w:rPr>
        <w:t>mechanics of movement</w:t>
      </w:r>
      <w:r w:rsidRPr="00650EF0">
        <w:rPr>
          <w:color w:val="000000"/>
        </w:rPr>
        <w:t> within your space. If the RYSI vector is the </w:t>
      </w:r>
      <w:r w:rsidRPr="00650EF0">
        <w:rPr>
          <w:i/>
          <w:iCs/>
          <w:color w:val="000000"/>
        </w:rPr>
        <w:t>position</w:t>
      </w:r>
      <w:r w:rsidRPr="00650EF0">
        <w:rPr>
          <w:color w:val="000000"/>
        </w:rPr>
        <w:t>, these modes describe the </w:t>
      </w:r>
      <w:r w:rsidRPr="00650EF0">
        <w:rPr>
          <w:i/>
          <w:iCs/>
          <w:color w:val="000000"/>
        </w:rPr>
        <w:t>velocity and acceleration</w:t>
      </w:r>
      <w:r w:rsidRPr="00650EF0">
        <w:rPr>
          <w:color w:val="000000"/>
        </w:rPr>
        <w:t>:</w:t>
      </w:r>
    </w:p>
    <w:p w14:paraId="0FB6C52C" w14:textId="77777777" w:rsidR="00650EF0" w:rsidRPr="00650EF0" w:rsidRDefault="00650EF0" w:rsidP="00650EF0">
      <w:pPr>
        <w:numPr>
          <w:ilvl w:val="0"/>
          <w:numId w:val="24"/>
        </w:numPr>
        <w:spacing w:before="100" w:beforeAutospacing="1" w:after="100" w:afterAutospacing="1"/>
        <w:rPr>
          <w:color w:val="000000"/>
        </w:rPr>
      </w:pPr>
      <w:r w:rsidRPr="00650EF0">
        <w:rPr>
          <w:b/>
          <w:bCs/>
          <w:color w:val="000000"/>
        </w:rPr>
        <w:t>Degradation:</w:t>
      </w:r>
      <w:r w:rsidRPr="00650EF0">
        <w:rPr>
          <w:color w:val="000000"/>
        </w:rPr>
        <w:t> Continuous drift (Entropy).</w:t>
      </w:r>
    </w:p>
    <w:p w14:paraId="71B6DAA9" w14:textId="77777777" w:rsidR="00650EF0" w:rsidRPr="00650EF0" w:rsidRDefault="00650EF0" w:rsidP="00650EF0">
      <w:pPr>
        <w:numPr>
          <w:ilvl w:val="0"/>
          <w:numId w:val="24"/>
        </w:numPr>
        <w:spacing w:before="100" w:beforeAutospacing="1" w:after="100" w:afterAutospacing="1"/>
        <w:rPr>
          <w:color w:val="000000"/>
        </w:rPr>
      </w:pPr>
      <w:r w:rsidRPr="00650EF0">
        <w:rPr>
          <w:b/>
          <w:bCs/>
          <w:color w:val="000000"/>
        </w:rPr>
        <w:t>Shock:</w:t>
      </w:r>
      <w:r w:rsidRPr="00650EF0">
        <w:rPr>
          <w:color w:val="000000"/>
        </w:rPr>
        <w:t> Discontinuity (Quantum leap).</w:t>
      </w:r>
    </w:p>
    <w:p w14:paraId="0EEF6FA5" w14:textId="77777777" w:rsidR="00650EF0" w:rsidRPr="00650EF0" w:rsidRDefault="00650EF0" w:rsidP="00650EF0">
      <w:pPr>
        <w:numPr>
          <w:ilvl w:val="0"/>
          <w:numId w:val="24"/>
        </w:numPr>
        <w:spacing w:before="100" w:beforeAutospacing="1" w:after="100" w:afterAutospacing="1"/>
        <w:rPr>
          <w:color w:val="000000"/>
        </w:rPr>
      </w:pPr>
      <w:r w:rsidRPr="00650EF0">
        <w:rPr>
          <w:b/>
          <w:bCs/>
          <w:color w:val="000000"/>
        </w:rPr>
        <w:t>Representation Error:</w:t>
      </w:r>
      <w:r w:rsidRPr="00650EF0">
        <w:rPr>
          <w:color w:val="000000"/>
        </w:rPr>
        <w:t> Observation noise (Heisenberg-like uncertainty).</w:t>
      </w:r>
    </w:p>
    <w:p w14:paraId="129AD626" w14:textId="77777777" w:rsidR="00650EF0" w:rsidRPr="00650EF0" w:rsidRDefault="00650EF0" w:rsidP="00650EF0">
      <w:pPr>
        <w:numPr>
          <w:ilvl w:val="0"/>
          <w:numId w:val="24"/>
        </w:numPr>
        <w:spacing w:before="100" w:beforeAutospacing="1" w:after="100" w:afterAutospacing="1"/>
        <w:rPr>
          <w:color w:val="000000"/>
        </w:rPr>
      </w:pPr>
      <w:r w:rsidRPr="00650EF0">
        <w:rPr>
          <w:b/>
          <w:bCs/>
          <w:color w:val="000000"/>
        </w:rPr>
        <w:t>Expectation Failure:</w:t>
      </w:r>
      <w:r w:rsidRPr="00650EF0">
        <w:rPr>
          <w:color w:val="000000"/>
        </w:rPr>
        <w:t> Interface friction (Coupling error).</w:t>
      </w:r>
    </w:p>
    <w:p w14:paraId="5916350A" w14:textId="77777777" w:rsidR="00650EF0" w:rsidRPr="00650EF0" w:rsidRDefault="009318F3" w:rsidP="00650EF0">
      <w:r w:rsidRPr="00650EF0">
        <w:rPr>
          <w:noProof/>
        </w:rPr>
        <w:pict w14:anchorId="76430D4C">
          <v:rect id="_x0000_i1026" alt="" style="width:433.25pt;height:.05pt;mso-width-percent:0;mso-height-percent:0;mso-width-percent:0;mso-height-percent:0" o:hrpct="960" o:hralign="center" o:hrstd="t" o:hr="t" fillcolor="#a0a0a0" stroked="f"/>
        </w:pict>
      </w:r>
    </w:p>
    <w:p w14:paraId="43FD942E" w14:textId="77777777" w:rsidR="00650EF0" w:rsidRPr="00650EF0" w:rsidRDefault="00650EF0" w:rsidP="00650EF0">
      <w:pPr>
        <w:spacing w:before="100" w:beforeAutospacing="1" w:after="100" w:afterAutospacing="1"/>
        <w:outlineLvl w:val="2"/>
        <w:rPr>
          <w:b/>
          <w:bCs/>
          <w:color w:val="000000"/>
          <w:sz w:val="27"/>
          <w:szCs w:val="27"/>
        </w:rPr>
      </w:pPr>
      <w:r w:rsidRPr="00650EF0">
        <w:rPr>
          <w:b/>
          <w:bCs/>
          <w:color w:val="000000"/>
          <w:sz w:val="27"/>
          <w:szCs w:val="27"/>
        </w:rPr>
        <w:t>4. Systemic vs. Relationship Layers (Signal Decomposition)</w:t>
      </w:r>
    </w:p>
    <w:p w14:paraId="722A707D" w14:textId="77777777" w:rsidR="00650EF0" w:rsidRPr="00650EF0" w:rsidRDefault="00650EF0" w:rsidP="00650EF0">
      <w:pPr>
        <w:spacing w:before="100" w:beforeAutospacing="1" w:after="100" w:afterAutospacing="1"/>
        <w:rPr>
          <w:color w:val="000000"/>
        </w:rPr>
      </w:pPr>
      <w:r w:rsidRPr="00650EF0">
        <w:rPr>
          <w:color w:val="000000"/>
        </w:rPr>
        <w:lastRenderedPageBreak/>
        <w:t>You abstract the institution into a </w:t>
      </w:r>
      <w:r w:rsidRPr="00650EF0">
        <w:rPr>
          <w:b/>
          <w:bCs/>
          <w:color w:val="000000"/>
        </w:rPr>
        <w:t>Two-Layered System</w:t>
      </w:r>
      <w:r w:rsidRPr="00650EF0">
        <w:rPr>
          <w:color w:val="000000"/>
        </w:rPr>
        <w:t>:</w:t>
      </w:r>
    </w:p>
    <w:p w14:paraId="612A6C0F" w14:textId="77777777" w:rsidR="00650EF0" w:rsidRPr="00650EF0" w:rsidRDefault="00650EF0" w:rsidP="00650EF0">
      <w:pPr>
        <w:numPr>
          <w:ilvl w:val="0"/>
          <w:numId w:val="25"/>
        </w:numPr>
        <w:spacing w:before="100" w:beforeAutospacing="1" w:after="100" w:afterAutospacing="1"/>
        <w:rPr>
          <w:color w:val="000000"/>
        </w:rPr>
      </w:pPr>
      <w:r w:rsidRPr="00650EF0">
        <w:rPr>
          <w:b/>
          <w:bCs/>
          <w:color w:val="000000"/>
        </w:rPr>
        <w:t>The Systemic Layer ():</w:t>
      </w:r>
      <w:r w:rsidRPr="00650EF0">
        <w:rPr>
          <w:color w:val="000000"/>
        </w:rPr>
        <w:t> The "Broadband Noise" or "Background Radiation" of the firm. It’s the inherent variance of the machinery itself.</w:t>
      </w:r>
    </w:p>
    <w:p w14:paraId="33807702" w14:textId="77777777" w:rsidR="00650EF0" w:rsidRPr="00650EF0" w:rsidRDefault="00650EF0" w:rsidP="00650EF0">
      <w:pPr>
        <w:numPr>
          <w:ilvl w:val="0"/>
          <w:numId w:val="25"/>
        </w:numPr>
        <w:spacing w:before="100" w:beforeAutospacing="1" w:after="100" w:afterAutospacing="1"/>
        <w:rPr>
          <w:color w:val="000000"/>
        </w:rPr>
      </w:pPr>
      <w:r w:rsidRPr="00650EF0">
        <w:rPr>
          <w:b/>
          <w:bCs/>
          <w:color w:val="000000"/>
        </w:rPr>
        <w:t>The Relationship Layer ():</w:t>
      </w:r>
      <w:r w:rsidRPr="00650EF0">
        <w:rPr>
          <w:color w:val="000000"/>
        </w:rPr>
        <w:t> The "Specific Signal" or "Local Perturbation." It’s the extra work caused by a specific external entity.</w:t>
      </w:r>
    </w:p>
    <w:p w14:paraId="62624F5B" w14:textId="77777777" w:rsidR="00650EF0" w:rsidRPr="00650EF0" w:rsidRDefault="00650EF0" w:rsidP="00650EF0">
      <w:pPr>
        <w:numPr>
          <w:ilvl w:val="0"/>
          <w:numId w:val="25"/>
        </w:numPr>
        <w:spacing w:before="100" w:beforeAutospacing="1" w:after="100" w:afterAutospacing="1"/>
        <w:rPr>
          <w:color w:val="000000"/>
        </w:rPr>
      </w:pPr>
      <w:r w:rsidRPr="00650EF0">
        <w:rPr>
          <w:b/>
          <w:bCs/>
          <w:color w:val="000000"/>
        </w:rPr>
        <w:t>The Result:</w:t>
      </w:r>
      <w:r w:rsidRPr="00650EF0">
        <w:rPr>
          <w:color w:val="000000"/>
        </w:rPr>
        <w:t> Total Risk is an </w:t>
      </w:r>
      <w:r w:rsidRPr="00650EF0">
        <w:rPr>
          <w:b/>
          <w:bCs/>
          <w:color w:val="000000"/>
        </w:rPr>
        <w:t>Additive Function</w:t>
      </w:r>
      <w:r w:rsidRPr="00650EF0">
        <w:rPr>
          <w:color w:val="000000"/>
        </w:rPr>
        <w:t>: . This allows for </w:t>
      </w:r>
      <w:r w:rsidRPr="00650EF0">
        <w:rPr>
          <w:b/>
          <w:bCs/>
          <w:color w:val="000000"/>
        </w:rPr>
        <w:t>Attribution</w:t>
      </w:r>
      <w:r w:rsidRPr="00650EF0">
        <w:rPr>
          <w:color w:val="000000"/>
        </w:rPr>
        <w:t>, which is impossible in "Black Box" industry-average models.</w:t>
      </w:r>
    </w:p>
    <w:p w14:paraId="708B48C5" w14:textId="77777777" w:rsidR="00650EF0" w:rsidRPr="00650EF0" w:rsidRDefault="009318F3" w:rsidP="00650EF0">
      <w:r w:rsidRPr="00650EF0">
        <w:rPr>
          <w:noProof/>
        </w:rPr>
        <w:pict w14:anchorId="6A989B3A">
          <v:rect id="_x0000_i1025" alt="" style="width:433.25pt;height:.05pt;mso-width-percent:0;mso-height-percent:0;mso-width-percent:0;mso-height-percent:0" o:hrpct="960" o:hralign="center" o:hrstd="t" o:hr="t" fillcolor="#a0a0a0" stroked="f"/>
        </w:pict>
      </w:r>
    </w:p>
    <w:p w14:paraId="2A73B14B" w14:textId="77777777" w:rsidR="00650EF0" w:rsidRPr="00650EF0" w:rsidRDefault="00650EF0" w:rsidP="00650EF0">
      <w:pPr>
        <w:spacing w:before="100" w:beforeAutospacing="1" w:after="100" w:afterAutospacing="1"/>
        <w:outlineLvl w:val="2"/>
        <w:rPr>
          <w:b/>
          <w:bCs/>
          <w:color w:val="000000"/>
          <w:sz w:val="27"/>
          <w:szCs w:val="27"/>
        </w:rPr>
      </w:pPr>
      <w:r w:rsidRPr="00650EF0">
        <w:rPr>
          <w:b/>
          <w:bCs/>
          <w:color w:val="000000"/>
          <w:sz w:val="27"/>
          <w:szCs w:val="27"/>
        </w:rPr>
        <w:t>5. The Invariant of Continuation</w:t>
      </w:r>
    </w:p>
    <w:p w14:paraId="33654A29" w14:textId="77777777" w:rsidR="00650EF0" w:rsidRPr="00650EF0" w:rsidRDefault="00650EF0" w:rsidP="00650EF0">
      <w:pPr>
        <w:spacing w:before="100" w:beforeAutospacing="1" w:after="100" w:afterAutospacing="1"/>
        <w:rPr>
          <w:color w:val="000000"/>
        </w:rPr>
      </w:pPr>
      <w:r w:rsidRPr="00650EF0">
        <w:rPr>
          <w:color w:val="000000"/>
        </w:rPr>
        <w:t>In abstract formalization, you need a "Constant." In physics, it’s the speed of light; in your framework, it is </w:t>
      </w:r>
      <w:r w:rsidRPr="00650EF0">
        <w:rPr>
          <w:b/>
          <w:bCs/>
          <w:color w:val="000000"/>
        </w:rPr>
        <w:t>Continuation</w:t>
      </w:r>
      <w:r w:rsidRPr="00650EF0">
        <w:rPr>
          <w:color w:val="000000"/>
        </w:rPr>
        <w:t>.</w:t>
      </w:r>
    </w:p>
    <w:p w14:paraId="4FDADE69" w14:textId="77777777" w:rsidR="00650EF0" w:rsidRPr="00650EF0" w:rsidRDefault="00650EF0" w:rsidP="00650EF0">
      <w:pPr>
        <w:numPr>
          <w:ilvl w:val="0"/>
          <w:numId w:val="26"/>
        </w:numPr>
        <w:spacing w:before="100" w:beforeAutospacing="1" w:after="100" w:afterAutospacing="1"/>
        <w:rPr>
          <w:color w:val="000000"/>
        </w:rPr>
      </w:pPr>
      <w:r w:rsidRPr="00650EF0">
        <w:rPr>
          <w:b/>
          <w:bCs/>
          <w:color w:val="000000"/>
        </w:rPr>
        <w:t>The Abstract Rule:</w:t>
      </w:r>
      <w:r w:rsidRPr="00650EF0">
        <w:rPr>
          <w:color w:val="000000"/>
        </w:rPr>
        <w:t> "The system must persist."</w:t>
      </w:r>
    </w:p>
    <w:p w14:paraId="1A9341FB" w14:textId="77777777" w:rsidR="00650EF0" w:rsidRPr="00650EF0" w:rsidRDefault="00650EF0" w:rsidP="00650EF0">
      <w:pPr>
        <w:numPr>
          <w:ilvl w:val="0"/>
          <w:numId w:val="26"/>
        </w:numPr>
        <w:spacing w:before="100" w:beforeAutospacing="1" w:after="100" w:afterAutospacing="1"/>
        <w:rPr>
          <w:color w:val="000000"/>
        </w:rPr>
      </w:pPr>
      <w:r w:rsidRPr="00650EF0">
        <w:rPr>
          <w:b/>
          <w:bCs/>
          <w:color w:val="000000"/>
        </w:rPr>
        <w:t>The Formal Role:</w:t>
      </w:r>
      <w:r w:rsidRPr="00650EF0">
        <w:rPr>
          <w:color w:val="000000"/>
        </w:rPr>
        <w:t> Every measurement of  is strictly relative to this goal. If a deviation  threatens the ability of the system to "persist through time," it triggers a </w:t>
      </w:r>
      <w:r w:rsidRPr="00650EF0">
        <w:rPr>
          <w:b/>
          <w:bCs/>
          <w:color w:val="000000"/>
        </w:rPr>
        <w:t>Continuation Transfer</w:t>
      </w:r>
      <w:r w:rsidRPr="00650EF0">
        <w:rPr>
          <w:color w:val="000000"/>
        </w:rPr>
        <w:t> (Redistribution of risk/capital).</w:t>
      </w:r>
    </w:p>
    <w:p w14:paraId="54D8F65F" w14:textId="77777777" w:rsidR="00E00B6C" w:rsidRPr="00E00B6C" w:rsidRDefault="00E00B6C" w:rsidP="00E00B6C">
      <w:pPr>
        <w:pStyle w:val="Heading1"/>
        <w:ind w:firstLine="720"/>
      </w:pPr>
    </w:p>
    <w:p w14:paraId="7F600002" w14:textId="1B775A6C" w:rsidR="00000000" w:rsidRPr="00E00B6C" w:rsidRDefault="00E00B6C" w:rsidP="00E00B6C">
      <w:pPr>
        <w:pStyle w:val="Heading1"/>
        <w:numPr>
          <w:ilvl w:val="0"/>
          <w:numId w:val="2"/>
        </w:numPr>
      </w:pPr>
      <w:r w:rsidRPr="00E00B6C">
        <w:t>GOVERNANCE OF THE FRAMEWORK</w:t>
      </w:r>
    </w:p>
    <w:p w14:paraId="7F600003" w14:textId="3227D988" w:rsidR="00000000" w:rsidRPr="00E00B6C" w:rsidRDefault="00000000">
      <w:pPr>
        <w:spacing w:after="160"/>
        <w:ind w:firstLine="360"/>
        <w:jc w:val="both"/>
        <w:rPr>
          <w:rFonts w:ascii="Arial" w:hAnsi="Arial" w:cs="Arial"/>
        </w:rPr>
      </w:pPr>
      <w:r w:rsidRPr="00E00B6C">
        <w:rPr>
          <w:rFonts w:ascii="Arial" w:hAnsi="Arial" w:cs="Arial"/>
          <w:color w:val="222222"/>
        </w:rPr>
        <w:t>The descriptive framework established in Parts 1 and the abstract formalisation established in Part 2 are necessary but not sufficient for the framework to function as a measurement instrument within a financial institution. A formal statement of the conditions under which measurements are valid, evidence is admissible, compliance can be verified, and claims can be challenged is required. This Part establishes the governance architecture of the framework: the regime conditions that constrain how the framework is applied, how its outputs are used, and how its integrity is maintained across time.</w:t>
      </w:r>
    </w:p>
    <w:p w14:paraId="7F600004"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governance architecture follows directly from the laws and principles stated in Part 0. It does not introduce new structural content. It states the conditions under which the structural content established elsewhere in the framework is operationally valid.</w:t>
      </w:r>
    </w:p>
    <w:p w14:paraId="00945903" w14:textId="77777777" w:rsidR="008800D4" w:rsidRPr="00E00B6C" w:rsidRDefault="008800D4" w:rsidP="00E00B6C">
      <w:pPr>
        <w:pStyle w:val="Heading1"/>
        <w:numPr>
          <w:ilvl w:val="1"/>
          <w:numId w:val="2"/>
        </w:numPr>
        <w:ind w:left="567"/>
      </w:pPr>
      <w:r w:rsidRPr="00E00B6C">
        <w:t>Laws</w:t>
      </w:r>
    </w:p>
    <w:p w14:paraId="56276F47" w14:textId="77777777" w:rsidR="008800D4" w:rsidRPr="00E00B6C" w:rsidRDefault="008800D4" w:rsidP="008800D4">
      <w:pPr>
        <w:spacing w:after="160"/>
        <w:ind w:firstLine="360"/>
        <w:jc w:val="both"/>
        <w:rPr>
          <w:rFonts w:ascii="Arial" w:hAnsi="Arial" w:cs="Arial"/>
        </w:rPr>
      </w:pPr>
      <w:r w:rsidRPr="00E00B6C">
        <w:rPr>
          <w:rFonts w:ascii="Arial" w:hAnsi="Arial" w:cs="Arial"/>
          <w:color w:val="222222"/>
        </w:rPr>
        <w:t>The laws of the framework are necessary relationships between the primitives that hold in all cases. They cannot be violated without the framework failing to describe operational risk correctly. They are not design choices — they are logical consequences of the primitives.</w:t>
      </w:r>
    </w:p>
    <w:p w14:paraId="41E4D08F" w14:textId="77777777" w:rsidR="008800D4" w:rsidRPr="00E00B6C" w:rsidRDefault="008800D4" w:rsidP="00E00B6C">
      <w:pPr>
        <w:pStyle w:val="Heading1"/>
        <w:numPr>
          <w:ilvl w:val="2"/>
          <w:numId w:val="2"/>
        </w:numPr>
        <w:tabs>
          <w:tab w:val="left" w:pos="0"/>
        </w:tabs>
        <w:ind w:left="426" w:hanging="426"/>
        <w:rPr>
          <w:sz w:val="22"/>
          <w:szCs w:val="22"/>
        </w:rPr>
      </w:pPr>
      <w:r w:rsidRPr="00E00B6C">
        <w:rPr>
          <w:sz w:val="22"/>
          <w:szCs w:val="22"/>
        </w:rPr>
        <w:t>Law 1 — Bidirectionality</w:t>
      </w:r>
    </w:p>
    <w:p w14:paraId="0221D41F"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lastRenderedPageBreak/>
        <w:t>Miscalibration induces operational loss in both directions from optimal. Over-calibration and under-calibration are equally real sources of loss. A framework that loads only for under-calibration misses the cost of excess. A framework that rewards over-calibration produces perverse incentives.</w:t>
      </w:r>
    </w:p>
    <w:p w14:paraId="66D35864"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Structural primitive — the admissibility boundary is symmetric around optimal in both directions. This ensures the framework captures both selection error from positive deviation and incremental operational cost from negative deviation — two failure modes that current models treat as outside the scope of operational risk measurement despite being consistently present in operational loss experience.</w:t>
      </w:r>
    </w:p>
    <w:p w14:paraId="54F2D7D6" w14:textId="77777777" w:rsidR="008800D4" w:rsidRPr="00E00B6C" w:rsidRDefault="008800D4" w:rsidP="00E00B6C">
      <w:pPr>
        <w:pStyle w:val="Heading1"/>
        <w:numPr>
          <w:ilvl w:val="2"/>
          <w:numId w:val="2"/>
        </w:numPr>
        <w:tabs>
          <w:tab w:val="left" w:pos="0"/>
        </w:tabs>
        <w:ind w:left="426" w:hanging="426"/>
        <w:rPr>
          <w:sz w:val="22"/>
          <w:szCs w:val="22"/>
        </w:rPr>
      </w:pPr>
      <w:bookmarkStart w:id="4" w:name="_Ref227698007"/>
      <w:r w:rsidRPr="00E00B6C">
        <w:rPr>
          <w:sz w:val="22"/>
          <w:szCs w:val="22"/>
        </w:rPr>
        <w:t>Law 2 — Equilibrium</w:t>
      </w:r>
      <w:bookmarkEnd w:id="4"/>
    </w:p>
    <w:p w14:paraId="034EFF9E"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The operational risk state of any relationship is an equilibrium between the institution's calibration of the relationship and the counterparty's response to that calibration. Neither side determines the state unilaterally. The institution's self-assessment of its calibration is not the RYSI state. The observable equilibrium expressed through counterparty behaviour is the RYSI state.</w:t>
      </w:r>
    </w:p>
    <w:p w14:paraId="08B0FFD5"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Continuation primitive — operation is always relational and produces jointly observable effects.</w:t>
      </w:r>
    </w:p>
    <w:p w14:paraId="09534109" w14:textId="77777777" w:rsidR="008800D4" w:rsidRPr="00E00B6C" w:rsidRDefault="008800D4" w:rsidP="00E00B6C">
      <w:pPr>
        <w:pStyle w:val="Heading1"/>
        <w:numPr>
          <w:ilvl w:val="2"/>
          <w:numId w:val="2"/>
        </w:numPr>
        <w:tabs>
          <w:tab w:val="left" w:pos="0"/>
        </w:tabs>
        <w:ind w:left="426" w:hanging="426"/>
        <w:rPr>
          <w:sz w:val="22"/>
          <w:szCs w:val="22"/>
        </w:rPr>
      </w:pPr>
      <w:r w:rsidRPr="00E00B6C">
        <w:rPr>
          <w:sz w:val="22"/>
          <w:szCs w:val="22"/>
        </w:rPr>
        <w:t>Law 3 — Propagation</w:t>
      </w:r>
    </w:p>
    <w:p w14:paraId="59F2B8A5"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The four functional dimensions are observationally independent but causally connected. Deterioration in one dimension increases the probability of deterioration in adjacent dimensions through the institution's own organisational structure. The propagation is endogenous — it emerges from the structure of the institution, not from a correlation parameter imposed from outside.</w:t>
      </w:r>
    </w:p>
    <w:p w14:paraId="4FA28057" w14:textId="77777777" w:rsidR="008800D4" w:rsidRPr="00E00B6C" w:rsidRDefault="008800D4" w:rsidP="008800D4">
      <w:pPr>
        <w:spacing w:after="180"/>
        <w:ind w:left="360"/>
        <w:rPr>
          <w:rFonts w:ascii="Arial" w:eastAsia="Arial" w:hAnsi="Arial" w:cs="Arial"/>
          <w:i/>
          <w:iCs/>
          <w:color w:val="888888"/>
          <w:sz w:val="18"/>
          <w:szCs w:val="18"/>
        </w:rPr>
      </w:pPr>
      <w:r w:rsidRPr="00E00B6C">
        <w:rPr>
          <w:rFonts w:ascii="Arial" w:eastAsia="Arial" w:hAnsi="Arial" w:cs="Arial"/>
          <w:i/>
          <w:iCs/>
          <w:color w:val="888888"/>
          <w:sz w:val="18"/>
          <w:szCs w:val="18"/>
        </w:rPr>
        <w:t>Traceable to: Structural primitive — the adjacency structure connects dimensions through the institution's own organisation. This explains why operational losses rarely arise from a single dimensional failure. The empirically observed pattern is convergence — multiple dimensions deteriorating in sequence, each conditioning the next, until the combined miscalibration produces a loss that no single-dimension observation would have flagged in advance.</w:t>
      </w:r>
    </w:p>
    <w:p w14:paraId="282259DB" w14:textId="77777777" w:rsidR="008800D4" w:rsidRPr="00E00B6C" w:rsidRDefault="008800D4" w:rsidP="00E00B6C">
      <w:pPr>
        <w:pStyle w:val="Heading1"/>
        <w:numPr>
          <w:ilvl w:val="2"/>
          <w:numId w:val="2"/>
        </w:numPr>
        <w:tabs>
          <w:tab w:val="left" w:pos="0"/>
        </w:tabs>
        <w:ind w:left="426" w:hanging="426"/>
        <w:rPr>
          <w:sz w:val="22"/>
          <w:szCs w:val="22"/>
        </w:rPr>
      </w:pPr>
      <w:r w:rsidRPr="00E00B6C">
        <w:rPr>
          <w:sz w:val="22"/>
          <w:szCs w:val="22"/>
        </w:rPr>
        <w:t>Law 4 — Attribution</w:t>
      </w:r>
    </w:p>
    <w:p w14:paraId="48DDEEA4"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Every operational risk loading is attributable to a specific function in a specific dimension. Attribution does not stop at function level. It extends recursively through team to the individual whose decision or action generated the signal. A loading that cannot be attributed is not a measurement. It is a residual that the framework has not yet resolved.</w:t>
      </w:r>
    </w:p>
    <w:p w14:paraId="0518D961"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Interpretation primitive — attribution is committed at the point of interpretation, not allocated ex-post.</w:t>
      </w:r>
    </w:p>
    <w:p w14:paraId="255822E0" w14:textId="77777777" w:rsidR="008800D4" w:rsidRPr="00E00B6C" w:rsidRDefault="008800D4" w:rsidP="00E00B6C">
      <w:pPr>
        <w:pStyle w:val="Heading1"/>
        <w:numPr>
          <w:ilvl w:val="2"/>
          <w:numId w:val="2"/>
        </w:numPr>
        <w:tabs>
          <w:tab w:val="left" w:pos="0"/>
        </w:tabs>
        <w:ind w:left="426" w:hanging="426"/>
        <w:rPr>
          <w:sz w:val="22"/>
          <w:szCs w:val="22"/>
        </w:rPr>
      </w:pPr>
      <w:r w:rsidRPr="00E00B6C">
        <w:rPr>
          <w:sz w:val="22"/>
          <w:szCs w:val="22"/>
        </w:rPr>
        <w:t>Law 5 — Mean Identity</w:t>
      </w:r>
    </w:p>
    <w:p w14:paraId="413EAD89"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 xml:space="preserve">The mean of the operational risk distribution is the expected general and administrative expense. The capital charge is the tail of the distribution above that mean. These two quantities cannot be estimated independently without producing inconsistency between the institution's solvency </w:t>
      </w:r>
      <w:r w:rsidRPr="00E00B6C">
        <w:rPr>
          <w:rFonts w:ascii="Arial" w:hAnsi="Arial" w:cs="Arial"/>
          <w:color w:val="333333"/>
        </w:rPr>
        <w:lastRenderedPageBreak/>
        <w:t>framework and its financial reporting. Formally: E[OpRisk] = E[G&amp;A]. Capital charge = tail above E[G&amp;A].</w:t>
      </w:r>
    </w:p>
    <w:p w14:paraId="1C944986"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Regime primitive and continuation primitive jointly — the regime boundary separates expected cost from unexpected cost, and the operational cycle produces both.</w:t>
      </w:r>
    </w:p>
    <w:p w14:paraId="7FD54A9B" w14:textId="3F46ACF0" w:rsidR="008800D4" w:rsidRPr="00E00B6C" w:rsidRDefault="008800D4" w:rsidP="00E00B6C">
      <w:pPr>
        <w:pStyle w:val="Heading1"/>
        <w:numPr>
          <w:ilvl w:val="1"/>
          <w:numId w:val="2"/>
        </w:numPr>
        <w:ind w:left="567"/>
      </w:pPr>
      <w:r w:rsidRPr="00E00B6C">
        <w:t>Principles</w:t>
      </w:r>
    </w:p>
    <w:p w14:paraId="349C0D9A" w14:textId="77777777" w:rsidR="008800D4" w:rsidRPr="00E00B6C" w:rsidRDefault="008800D4" w:rsidP="00FE292F">
      <w:pPr>
        <w:spacing w:after="160"/>
        <w:jc w:val="both"/>
        <w:rPr>
          <w:rFonts w:ascii="Arial" w:hAnsi="Arial" w:cs="Arial"/>
        </w:rPr>
      </w:pPr>
      <w:r w:rsidRPr="00E00B6C">
        <w:rPr>
          <w:rFonts w:ascii="Arial" w:hAnsi="Arial" w:cs="Arial"/>
          <w:color w:val="222222"/>
        </w:rPr>
        <w:t>The principles of the framework are design constraints that follow from the laws and govern how the framework is applied. Unlike laws, principles can be implemented differently across institutions. They cannot be ignored.</w:t>
      </w:r>
    </w:p>
    <w:p w14:paraId="61C298FF" w14:textId="77777777" w:rsidR="008800D4" w:rsidRPr="00E00B6C" w:rsidRDefault="008800D4" w:rsidP="00E00B6C">
      <w:pPr>
        <w:pStyle w:val="Heading1"/>
        <w:numPr>
          <w:ilvl w:val="2"/>
          <w:numId w:val="2"/>
        </w:numPr>
        <w:tabs>
          <w:tab w:val="left" w:pos="0"/>
        </w:tabs>
        <w:ind w:left="426" w:hanging="426"/>
        <w:rPr>
          <w:sz w:val="22"/>
          <w:szCs w:val="22"/>
        </w:rPr>
      </w:pPr>
      <w:r w:rsidRPr="00E00B6C">
        <w:rPr>
          <w:sz w:val="22"/>
          <w:szCs w:val="22"/>
        </w:rPr>
        <w:t>Principle 1 — Neutrality of Good Calibration</w:t>
      </w:r>
    </w:p>
    <w:p w14:paraId="0174567E"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Optimal calibration is cost-neutral. It is neither penalised nor rewarded in the operational risk charge. The charge captures only the cost of deviation. This prevents the framework from creating perverse incentives toward over-calibration as a strategy for reducing apparent operational risk.</w:t>
      </w:r>
    </w:p>
    <w:p w14:paraId="6726C9CE"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Law 1 — bidirectionality implies a floor at optimal, not a reward above it.</w:t>
      </w:r>
    </w:p>
    <w:p w14:paraId="5618E038" w14:textId="77777777" w:rsidR="008800D4" w:rsidRPr="00FE292F" w:rsidRDefault="008800D4" w:rsidP="00FE292F">
      <w:pPr>
        <w:pStyle w:val="Heading1"/>
        <w:numPr>
          <w:ilvl w:val="2"/>
          <w:numId w:val="2"/>
        </w:numPr>
        <w:tabs>
          <w:tab w:val="left" w:pos="0"/>
        </w:tabs>
        <w:ind w:left="426" w:hanging="426"/>
        <w:rPr>
          <w:sz w:val="22"/>
          <w:szCs w:val="22"/>
        </w:rPr>
      </w:pPr>
      <w:r w:rsidRPr="00FE292F">
        <w:rPr>
          <w:sz w:val="22"/>
          <w:szCs w:val="22"/>
        </w:rPr>
        <w:t>Principle 2 — Non-Cancellation</w:t>
      </w:r>
    </w:p>
    <w:p w14:paraId="135E975E"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No dimension cancels another. Strong performance in one dimension does not reduce the operational risk loading arising from deterioration in another. The floor at neutral is applied per dimension independently. This prevents strong governance from masking weak underwriting, or strong capacity from concealing structural model error.</w:t>
      </w:r>
    </w:p>
    <w:p w14:paraId="2EE1AE84"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Law 3 — propagation means dimensions amplify each other in deterioration; they do not offset each other in measurement.</w:t>
      </w:r>
    </w:p>
    <w:p w14:paraId="22F0CEBA" w14:textId="77777777" w:rsidR="008800D4" w:rsidRPr="00FE292F" w:rsidRDefault="008800D4" w:rsidP="00FE292F">
      <w:pPr>
        <w:pStyle w:val="Heading1"/>
        <w:numPr>
          <w:ilvl w:val="2"/>
          <w:numId w:val="2"/>
        </w:numPr>
        <w:tabs>
          <w:tab w:val="left" w:pos="0"/>
        </w:tabs>
        <w:ind w:left="426" w:hanging="426"/>
        <w:rPr>
          <w:sz w:val="22"/>
          <w:szCs w:val="22"/>
        </w:rPr>
      </w:pPr>
      <w:bookmarkStart w:id="5" w:name="_Ref227698019"/>
      <w:r w:rsidRPr="00FE292F">
        <w:rPr>
          <w:sz w:val="22"/>
          <w:szCs w:val="22"/>
        </w:rPr>
        <w:t>Principle 3 — External Anchoring</w:t>
      </w:r>
      <w:bookmarkEnd w:id="5"/>
    </w:p>
    <w:p w14:paraId="0B378812"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No dimensional reading is self-assessed. The equilibrium state is evidenced through observable counterparty behaviour independently of internal assertion. A claim of dimensional improvement that is not accompanied by observable movement in counterparty behaviour has not moved the equilibrium state and does not support budget relief or capital charge reduction.</w:t>
      </w:r>
    </w:p>
    <w:p w14:paraId="6C6BCD7D"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Law 2 — equilibrium requires both sides of the relationship to move.</w:t>
      </w:r>
    </w:p>
    <w:p w14:paraId="7EB72207" w14:textId="77777777" w:rsidR="008800D4" w:rsidRPr="00FE292F" w:rsidRDefault="008800D4" w:rsidP="00FE292F">
      <w:pPr>
        <w:pStyle w:val="Heading1"/>
        <w:numPr>
          <w:ilvl w:val="2"/>
          <w:numId w:val="2"/>
        </w:numPr>
        <w:tabs>
          <w:tab w:val="left" w:pos="0"/>
        </w:tabs>
        <w:ind w:left="426" w:hanging="426"/>
        <w:rPr>
          <w:sz w:val="22"/>
          <w:szCs w:val="22"/>
        </w:rPr>
      </w:pPr>
      <w:r w:rsidRPr="00FE292F">
        <w:rPr>
          <w:sz w:val="22"/>
          <w:szCs w:val="22"/>
        </w:rPr>
        <w:t>Principle 4 — Horizon Subjectivity</w:t>
      </w:r>
    </w:p>
    <w:p w14:paraId="52A15CDB"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The RYSI vector operates across multiple observation horizons. Short horizons reveal current calibration state. Medium horizons reveal cyclical pattern and behavioural consistency. Long horizons reveal structural character and fundamental reliability. The horizon applied to any reading is assigned by the institution according to purpose and documented accordingly.</w:t>
      </w:r>
    </w:p>
    <w:p w14:paraId="13741035"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Interpretation primitive — the interpretive step holds multiple horizon readings open before committing to one.</w:t>
      </w:r>
    </w:p>
    <w:p w14:paraId="669E8224" w14:textId="77777777" w:rsidR="008800D4" w:rsidRPr="00FE292F" w:rsidRDefault="008800D4" w:rsidP="00FE292F">
      <w:pPr>
        <w:pStyle w:val="Heading1"/>
        <w:numPr>
          <w:ilvl w:val="2"/>
          <w:numId w:val="2"/>
        </w:numPr>
        <w:tabs>
          <w:tab w:val="left" w:pos="0"/>
        </w:tabs>
        <w:ind w:left="426" w:hanging="426"/>
        <w:rPr>
          <w:sz w:val="22"/>
          <w:szCs w:val="22"/>
        </w:rPr>
      </w:pPr>
      <w:r w:rsidRPr="00FE292F">
        <w:rPr>
          <w:sz w:val="22"/>
          <w:szCs w:val="22"/>
        </w:rPr>
        <w:lastRenderedPageBreak/>
        <w:t>Principle 5 — Delayed Recognition</w:t>
      </w:r>
    </w:p>
    <w:p w14:paraId="69F38474"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Operational deterioration may occur before the signals that reveal it become observable. When deterioration becomes observable, the RYSI state may adjust abruptly despite apparent prior stability. The framework monitors continuously to minimise the recognition lag between the event and the signal it generates.</w:t>
      </w:r>
    </w:p>
    <w:p w14:paraId="3E2D4D21"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Interpretation primitive — the boundary between noise and signal is crossed at the point of recognition, not at the point of occurrence.</w:t>
      </w:r>
    </w:p>
    <w:p w14:paraId="6AF4AF8C" w14:textId="77777777" w:rsidR="008800D4" w:rsidRPr="00FE292F" w:rsidRDefault="008800D4" w:rsidP="00FE292F">
      <w:pPr>
        <w:pStyle w:val="Heading1"/>
        <w:numPr>
          <w:ilvl w:val="2"/>
          <w:numId w:val="2"/>
        </w:numPr>
        <w:tabs>
          <w:tab w:val="left" w:pos="0"/>
        </w:tabs>
        <w:ind w:left="426" w:hanging="426"/>
        <w:rPr>
          <w:sz w:val="22"/>
          <w:szCs w:val="22"/>
        </w:rPr>
      </w:pPr>
      <w:r w:rsidRPr="00FE292F">
        <w:rPr>
          <w:sz w:val="22"/>
          <w:szCs w:val="22"/>
        </w:rPr>
        <w:t>Principle 6 — Instrumental Threshold</w:t>
      </w:r>
    </w:p>
    <w:p w14:paraId="47FF6F6A"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When capacity deterioration is severe, the relationship cannot be stabilised through strength in other dimensions. The continuation decision is required regardless of performance elsewhere. No amount of relational quality, structural soundness, or institutional standing substitutes for minimum operational viability.</w:t>
      </w:r>
    </w:p>
    <w:p w14:paraId="2D622261"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Regime primitive — the continuation test is the terminal constraint of the regime and cannot be overridden by other dimensional readings.</w:t>
      </w:r>
    </w:p>
    <w:p w14:paraId="28CDBA28" w14:textId="77777777" w:rsidR="008800D4" w:rsidRPr="00FE292F" w:rsidRDefault="008800D4" w:rsidP="00FE292F">
      <w:pPr>
        <w:pStyle w:val="Heading1"/>
        <w:numPr>
          <w:ilvl w:val="2"/>
          <w:numId w:val="2"/>
        </w:numPr>
        <w:tabs>
          <w:tab w:val="left" w:pos="0"/>
        </w:tabs>
        <w:ind w:left="426" w:hanging="426"/>
        <w:rPr>
          <w:sz w:val="22"/>
          <w:szCs w:val="22"/>
        </w:rPr>
      </w:pPr>
      <w:r w:rsidRPr="00FE292F">
        <w:rPr>
          <w:sz w:val="22"/>
          <w:szCs w:val="22"/>
        </w:rPr>
        <w:t>Principle 7 — Completeness</w:t>
      </w:r>
    </w:p>
    <w:p w14:paraId="776B5EFA"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Every counterparty relationship and every internal function is expressible across all four dimensions. No relationship is exempt from any dimension. A relationship assessed across fewer than four dimensions is incompletely measured regardless of the depth of assessment in the dimensions that are covered.</w:t>
      </w:r>
    </w:p>
    <w:p w14:paraId="6D27A3D7" w14:textId="77777777" w:rsidR="008800D4" w:rsidRPr="00E00B6C" w:rsidRDefault="008800D4" w:rsidP="008800D4">
      <w:pPr>
        <w:spacing w:after="180"/>
        <w:ind w:left="360"/>
        <w:rPr>
          <w:rFonts w:ascii="Arial" w:hAnsi="Arial" w:cs="Arial"/>
        </w:rPr>
      </w:pPr>
      <w:r w:rsidRPr="00E00B6C">
        <w:rPr>
          <w:rFonts w:ascii="Arial" w:eastAsia="Arial" w:hAnsi="Arial" w:cs="Arial"/>
          <w:i/>
          <w:iCs/>
          <w:color w:val="888888"/>
          <w:sz w:val="18"/>
          <w:szCs w:val="18"/>
        </w:rPr>
        <w:t>Traceable to: Structural primitive — the four dimensions are irreducible and jointly necessary. There are no partial systems.</w:t>
      </w:r>
    </w:p>
    <w:p w14:paraId="24C55516" w14:textId="77777777" w:rsidR="008800D4" w:rsidRPr="00FE292F" w:rsidRDefault="008800D4" w:rsidP="00FE292F">
      <w:pPr>
        <w:pStyle w:val="Heading1"/>
        <w:numPr>
          <w:ilvl w:val="2"/>
          <w:numId w:val="2"/>
        </w:numPr>
        <w:tabs>
          <w:tab w:val="left" w:pos="0"/>
        </w:tabs>
        <w:ind w:left="426" w:hanging="426"/>
        <w:rPr>
          <w:sz w:val="22"/>
          <w:szCs w:val="22"/>
        </w:rPr>
      </w:pPr>
      <w:bookmarkStart w:id="6" w:name="_Ref227698300"/>
      <w:r w:rsidRPr="00FE292F">
        <w:rPr>
          <w:sz w:val="22"/>
          <w:szCs w:val="22"/>
        </w:rPr>
        <w:t>Principle 8 — Recursive Attributability</w:t>
      </w:r>
      <w:bookmarkEnd w:id="6"/>
    </w:p>
    <w:p w14:paraId="415DE8B6" w14:textId="77777777" w:rsidR="008800D4" w:rsidRPr="00E00B6C" w:rsidRDefault="008800D4" w:rsidP="008800D4">
      <w:pPr>
        <w:spacing w:after="60"/>
        <w:ind w:left="360" w:right="360"/>
        <w:jc w:val="both"/>
        <w:rPr>
          <w:rFonts w:ascii="Arial" w:hAnsi="Arial" w:cs="Arial"/>
        </w:rPr>
      </w:pPr>
      <w:r w:rsidRPr="00E00B6C">
        <w:rPr>
          <w:rFonts w:ascii="Arial" w:hAnsi="Arial" w:cs="Arial"/>
          <w:color w:val="333333"/>
        </w:rPr>
        <w:t>Attribution follows the operational structure of the institution recursively — from dimension to function to team to person — until the carrier of the decision or action is identified. The framework is complete when every material signal is attributable to a named function. It is fully resolved when every material signal is attributable to a named individual.</w:t>
      </w:r>
    </w:p>
    <w:p w14:paraId="4AB55F0A" w14:textId="77777777" w:rsidR="008800D4" w:rsidRPr="00E00B6C" w:rsidRDefault="008800D4" w:rsidP="008800D4">
      <w:pPr>
        <w:spacing w:after="180"/>
        <w:ind w:left="360"/>
        <w:rPr>
          <w:rFonts w:ascii="Arial" w:eastAsia="Arial" w:hAnsi="Arial" w:cs="Arial"/>
          <w:i/>
          <w:iCs/>
          <w:color w:val="888888"/>
          <w:sz w:val="18"/>
          <w:szCs w:val="18"/>
        </w:rPr>
      </w:pPr>
      <w:r w:rsidRPr="00E00B6C">
        <w:rPr>
          <w:rFonts w:ascii="Arial" w:eastAsia="Arial" w:hAnsi="Arial" w:cs="Arial"/>
          <w:i/>
          <w:iCs/>
          <w:color w:val="888888"/>
          <w:sz w:val="18"/>
          <w:szCs w:val="18"/>
        </w:rPr>
        <w:t>Traceable to: Law 4 and continuation primitive — operation resolves to its executor at the terminal step of the operational path.</w:t>
      </w:r>
    </w:p>
    <w:p w14:paraId="45F78DD8" w14:textId="77777777" w:rsidR="00E00B6C" w:rsidRPr="00E00B6C" w:rsidRDefault="008800D4" w:rsidP="00E00B6C">
      <w:pPr>
        <w:pStyle w:val="font-claude-response-body"/>
        <w:rPr>
          <w:rFonts w:ascii="Arial" w:eastAsia="Georgia" w:hAnsi="Arial" w:cs="Arial"/>
          <w:color w:val="333333"/>
          <w:sz w:val="22"/>
          <w:szCs w:val="22"/>
        </w:rPr>
      </w:pPr>
      <w:r w:rsidRPr="00E00B6C">
        <w:rPr>
          <w:rFonts w:ascii="Arial" w:eastAsia="Georgia" w:hAnsi="Arial" w:cs="Arial"/>
          <w:color w:val="333333"/>
          <w:sz w:val="22"/>
          <w:szCs w:val="22"/>
        </w:rPr>
        <w:t xml:space="preserve">These eight principles ensure that the framework remains structurally consistent across institutions, sectors, and regulatory contexts while preserving implementation flexibility. They are constraints, not prescriptions. </w:t>
      </w:r>
    </w:p>
    <w:p w14:paraId="69E71B9C" w14:textId="621B2216" w:rsidR="00E00B6C" w:rsidRPr="00E00B6C" w:rsidRDefault="008800D4" w:rsidP="00E00B6C">
      <w:pPr>
        <w:pStyle w:val="font-claude-response-body"/>
        <w:rPr>
          <w:rFonts w:ascii="Arial" w:eastAsia="Georgia" w:hAnsi="Arial" w:cs="Arial"/>
          <w:color w:val="333333"/>
          <w:sz w:val="22"/>
          <w:szCs w:val="22"/>
        </w:rPr>
      </w:pPr>
      <w:r w:rsidRPr="00E00B6C">
        <w:rPr>
          <w:rFonts w:ascii="Arial" w:eastAsia="Georgia" w:hAnsi="Arial" w:cs="Arial"/>
          <w:color w:val="333333"/>
          <w:sz w:val="22"/>
          <w:szCs w:val="22"/>
        </w:rPr>
        <w:t xml:space="preserve">An institution that satisfies all eight principles will produce operational risk measurements that are observable, attributed, externally anchored, and consistent with its IFRS 17 reporting and solvency capital requirements — regardless of the specific signal sets, transition parameters, or computational architecture it employs. </w:t>
      </w:r>
    </w:p>
    <w:p w14:paraId="4B3D0FCF" w14:textId="15654A7B" w:rsidR="008800D4" w:rsidRPr="00E00B6C" w:rsidRDefault="008800D4" w:rsidP="00E00B6C">
      <w:pPr>
        <w:pStyle w:val="font-claude-response-body"/>
        <w:rPr>
          <w:rFonts w:ascii="Arial" w:eastAsia="Georgia" w:hAnsi="Arial" w:cs="Arial"/>
          <w:color w:val="333333"/>
          <w:sz w:val="22"/>
          <w:szCs w:val="22"/>
        </w:rPr>
      </w:pPr>
      <w:r w:rsidRPr="00E00B6C">
        <w:rPr>
          <w:rFonts w:ascii="Arial" w:eastAsia="Georgia" w:hAnsi="Arial" w:cs="Arial"/>
          <w:color w:val="333333"/>
          <w:sz w:val="22"/>
          <w:szCs w:val="22"/>
        </w:rPr>
        <w:t xml:space="preserve">An institution that violates any one of them will produce measurements that are either gameable, unattributable, or inconsistent with the mean identity established in Law 5. </w:t>
      </w:r>
      <w:r w:rsidRPr="00E00B6C">
        <w:rPr>
          <w:rFonts w:ascii="Arial" w:eastAsia="Georgia" w:hAnsi="Arial" w:cs="Arial"/>
          <w:color w:val="333333"/>
          <w:sz w:val="22"/>
          <w:szCs w:val="22"/>
        </w:rPr>
        <w:lastRenderedPageBreak/>
        <w:t>The principles are therefore not optional refinements. They are the minimum conditions for a valid operational risk measurement under this framework.</w:t>
      </w:r>
    </w:p>
    <w:p w14:paraId="7F600005" w14:textId="229852B9" w:rsidR="00000000" w:rsidRPr="00E00B6C" w:rsidRDefault="00000000" w:rsidP="00E00B6C">
      <w:pPr>
        <w:pStyle w:val="Heading1"/>
        <w:numPr>
          <w:ilvl w:val="1"/>
          <w:numId w:val="2"/>
        </w:numPr>
        <w:ind w:left="567"/>
      </w:pPr>
      <w:r w:rsidRPr="00E00B6C">
        <w:t>Evidential Standards</w:t>
      </w:r>
    </w:p>
    <w:p w14:paraId="2C6B397F" w14:textId="77777777" w:rsidR="00FE292F" w:rsidRDefault="00000000">
      <w:pPr>
        <w:spacing w:after="160"/>
        <w:ind w:firstLine="360"/>
        <w:jc w:val="both"/>
        <w:rPr>
          <w:rFonts w:ascii="Arial" w:hAnsi="Arial" w:cs="Arial"/>
          <w:color w:val="222222"/>
        </w:rPr>
      </w:pPr>
      <w:r w:rsidRPr="00E00B6C">
        <w:rPr>
          <w:rFonts w:ascii="Arial" w:hAnsi="Arial" w:cs="Arial"/>
          <w:color w:val="222222"/>
        </w:rPr>
        <w:t xml:space="preserve">No RYSI state is valid without external evidential grounding. The framework establishes in </w:t>
      </w:r>
      <w:r w:rsidR="00FE292F">
        <w:rPr>
          <w:rFonts w:ascii="Arial" w:hAnsi="Arial" w:cs="Arial"/>
          <w:color w:val="222222"/>
        </w:rPr>
        <w:fldChar w:fldCharType="begin"/>
      </w:r>
      <w:r w:rsidR="00FE292F">
        <w:rPr>
          <w:rFonts w:ascii="Arial" w:hAnsi="Arial" w:cs="Arial"/>
          <w:color w:val="222222"/>
        </w:rPr>
        <w:instrText xml:space="preserve"> REF _Ref227698007 \h </w:instrText>
      </w:r>
      <w:r w:rsidR="00FE292F">
        <w:rPr>
          <w:rFonts w:ascii="Arial" w:hAnsi="Arial" w:cs="Arial"/>
          <w:color w:val="222222"/>
        </w:rPr>
      </w:r>
      <w:r w:rsidR="00FE292F">
        <w:rPr>
          <w:rFonts w:ascii="Arial" w:hAnsi="Arial" w:cs="Arial"/>
          <w:color w:val="222222"/>
        </w:rPr>
        <w:fldChar w:fldCharType="separate"/>
      </w:r>
      <w:r w:rsidR="00FE292F" w:rsidRPr="00E00B6C">
        <w:rPr>
          <w:rFonts w:ascii="Arial" w:eastAsia="Arial" w:hAnsi="Arial" w:cs="Arial"/>
          <w:b/>
          <w:bCs/>
          <w:color w:val="1A1A2E"/>
          <w:sz w:val="22"/>
          <w:szCs w:val="22"/>
        </w:rPr>
        <w:t>Law 2 — Equilibrium</w:t>
      </w:r>
      <w:r w:rsidR="00FE292F">
        <w:rPr>
          <w:rFonts w:ascii="Arial" w:hAnsi="Arial" w:cs="Arial"/>
          <w:color w:val="222222"/>
        </w:rPr>
        <w:fldChar w:fldCharType="end"/>
      </w:r>
      <w:r w:rsidR="00FE292F">
        <w:rPr>
          <w:rFonts w:ascii="Arial" w:hAnsi="Arial" w:cs="Arial"/>
          <w:color w:val="222222"/>
        </w:rPr>
        <w:t xml:space="preserve"> </w:t>
      </w:r>
      <w:r w:rsidRPr="00E00B6C">
        <w:rPr>
          <w:rFonts w:ascii="Arial" w:hAnsi="Arial" w:cs="Arial"/>
          <w:color w:val="222222"/>
        </w:rPr>
        <w:t xml:space="preserve">and </w:t>
      </w:r>
      <w:r w:rsidR="00FE292F">
        <w:rPr>
          <w:rFonts w:ascii="Arial" w:hAnsi="Arial" w:cs="Arial"/>
          <w:color w:val="222222"/>
        </w:rPr>
        <w:fldChar w:fldCharType="begin"/>
      </w:r>
      <w:r w:rsidR="00FE292F">
        <w:rPr>
          <w:rFonts w:ascii="Arial" w:hAnsi="Arial" w:cs="Arial"/>
          <w:color w:val="222222"/>
        </w:rPr>
        <w:instrText xml:space="preserve"> REF _Ref227698019 \h </w:instrText>
      </w:r>
      <w:r w:rsidR="00FE292F">
        <w:rPr>
          <w:rFonts w:ascii="Arial" w:hAnsi="Arial" w:cs="Arial"/>
          <w:color w:val="222222"/>
        </w:rPr>
      </w:r>
      <w:r w:rsidR="00FE292F">
        <w:rPr>
          <w:rFonts w:ascii="Arial" w:hAnsi="Arial" w:cs="Arial"/>
          <w:color w:val="222222"/>
        </w:rPr>
        <w:fldChar w:fldCharType="separate"/>
      </w:r>
      <w:r w:rsidR="00FE292F" w:rsidRPr="00FE292F">
        <w:rPr>
          <w:rFonts w:ascii="Arial" w:eastAsia="Arial" w:hAnsi="Arial" w:cs="Arial"/>
          <w:b/>
          <w:bCs/>
          <w:color w:val="1A1A2E"/>
          <w:sz w:val="22"/>
          <w:szCs w:val="22"/>
        </w:rPr>
        <w:t>Principle 3 — External Anchoring</w:t>
      </w:r>
      <w:r w:rsidR="00FE292F">
        <w:rPr>
          <w:rFonts w:ascii="Arial" w:hAnsi="Arial" w:cs="Arial"/>
          <w:color w:val="222222"/>
        </w:rPr>
        <w:fldChar w:fldCharType="end"/>
      </w:r>
      <w:r w:rsidRPr="00E00B6C">
        <w:rPr>
          <w:rFonts w:ascii="Arial" w:hAnsi="Arial" w:cs="Arial"/>
          <w:color w:val="222222"/>
        </w:rPr>
        <w:t xml:space="preserve"> that the operational risk state of any relationship is an equilibrium between the institution’s calibration of that relationship and the counterparty’s response to that calibration. </w:t>
      </w:r>
    </w:p>
    <w:p w14:paraId="7F600006" w14:textId="093E0C51" w:rsidR="00000000" w:rsidRPr="00E00B6C" w:rsidRDefault="00000000">
      <w:pPr>
        <w:spacing w:after="160"/>
        <w:ind w:firstLine="360"/>
        <w:jc w:val="both"/>
        <w:rPr>
          <w:rFonts w:ascii="Arial" w:hAnsi="Arial" w:cs="Arial"/>
        </w:rPr>
      </w:pPr>
      <w:r w:rsidRPr="00E00B6C">
        <w:rPr>
          <w:rFonts w:ascii="Arial" w:hAnsi="Arial" w:cs="Arial"/>
          <w:color w:val="222222"/>
        </w:rPr>
        <w:t>The governance implication is precise: no dimensional reading is self-assessed. A claim of dimensional improvement that is not accompanied by observable movement in counterparty behaviour has not moved the equilibrium state and is not admissible as evidence under this framework.</w:t>
      </w:r>
    </w:p>
    <w:p w14:paraId="5EAA43F4" w14:textId="77777777" w:rsidR="00FE292F" w:rsidRDefault="00000000">
      <w:pPr>
        <w:spacing w:after="160"/>
        <w:ind w:firstLine="360"/>
        <w:jc w:val="both"/>
        <w:rPr>
          <w:rFonts w:ascii="Arial" w:hAnsi="Arial" w:cs="Arial"/>
          <w:color w:val="222222"/>
        </w:rPr>
      </w:pPr>
      <w:r w:rsidRPr="00E00B6C">
        <w:rPr>
          <w:rFonts w:ascii="Arial" w:hAnsi="Arial" w:cs="Arial"/>
          <w:color w:val="222222"/>
        </w:rPr>
        <w:t>The evidential standard for each dimension is therefore behavioural, not declarative.</w:t>
      </w:r>
    </w:p>
    <w:p w14:paraId="18A56FB9" w14:textId="77777777" w:rsidR="00FE292F" w:rsidRPr="00FE292F" w:rsidRDefault="00000000" w:rsidP="00FE292F">
      <w:pPr>
        <w:pStyle w:val="ListParagraph"/>
        <w:numPr>
          <w:ilvl w:val="0"/>
          <w:numId w:val="16"/>
        </w:numPr>
        <w:spacing w:after="160"/>
        <w:jc w:val="both"/>
        <w:rPr>
          <w:rFonts w:ascii="Arial" w:hAnsi="Arial" w:cs="Arial"/>
        </w:rPr>
      </w:pPr>
      <w:r w:rsidRPr="00FE292F">
        <w:rPr>
          <w:rFonts w:ascii="Arial" w:hAnsi="Arial" w:cs="Arial"/>
          <w:color w:val="222222"/>
        </w:rPr>
        <w:t xml:space="preserve">Relational improvement requires observable movement in counterparty submission quality, payment discipline, or renewal behaviour. </w:t>
      </w:r>
    </w:p>
    <w:p w14:paraId="477BC553" w14:textId="77777777" w:rsidR="00FE292F" w:rsidRPr="00FE292F" w:rsidRDefault="00000000" w:rsidP="00FE292F">
      <w:pPr>
        <w:pStyle w:val="ListParagraph"/>
        <w:numPr>
          <w:ilvl w:val="0"/>
          <w:numId w:val="16"/>
        </w:numPr>
        <w:spacing w:after="160"/>
        <w:jc w:val="both"/>
        <w:rPr>
          <w:rFonts w:ascii="Arial" w:hAnsi="Arial" w:cs="Arial"/>
        </w:rPr>
      </w:pPr>
      <w:r w:rsidRPr="00FE292F">
        <w:rPr>
          <w:rFonts w:ascii="Arial" w:hAnsi="Arial" w:cs="Arial"/>
          <w:color w:val="222222"/>
        </w:rPr>
        <w:t xml:space="preserve">Structural improvement requires independently observable reduction in model error, reserve development variance, or audit finding frequency. </w:t>
      </w:r>
    </w:p>
    <w:p w14:paraId="6F75421A" w14:textId="77777777" w:rsidR="00FE292F" w:rsidRPr="00FE292F" w:rsidRDefault="00000000" w:rsidP="00FE292F">
      <w:pPr>
        <w:pStyle w:val="ListParagraph"/>
        <w:numPr>
          <w:ilvl w:val="0"/>
          <w:numId w:val="16"/>
        </w:numPr>
        <w:spacing w:after="160"/>
        <w:jc w:val="both"/>
        <w:rPr>
          <w:rFonts w:ascii="Arial" w:hAnsi="Arial" w:cs="Arial"/>
        </w:rPr>
      </w:pPr>
      <w:r w:rsidRPr="00FE292F">
        <w:rPr>
          <w:rFonts w:ascii="Arial" w:hAnsi="Arial" w:cs="Arial"/>
          <w:color w:val="222222"/>
        </w:rPr>
        <w:t>Institutional improvement requires observable movement in regulatory communication, rating agency posture, or governance finding resolution.</w:t>
      </w:r>
    </w:p>
    <w:p w14:paraId="43B024E2" w14:textId="77777777" w:rsidR="00FE292F" w:rsidRPr="00FE292F" w:rsidRDefault="00000000" w:rsidP="00FE292F">
      <w:pPr>
        <w:pStyle w:val="ListParagraph"/>
        <w:numPr>
          <w:ilvl w:val="0"/>
          <w:numId w:val="16"/>
        </w:numPr>
        <w:spacing w:after="160"/>
        <w:jc w:val="both"/>
        <w:rPr>
          <w:rFonts w:ascii="Arial" w:hAnsi="Arial" w:cs="Arial"/>
        </w:rPr>
      </w:pPr>
      <w:r w:rsidRPr="00FE292F">
        <w:rPr>
          <w:rFonts w:ascii="Arial" w:hAnsi="Arial" w:cs="Arial"/>
          <w:color w:val="222222"/>
        </w:rPr>
        <w:t xml:space="preserve">Capacity improvement requires observable reduction in key person dependency, execution failure rate, or systems inadequacy. </w:t>
      </w:r>
    </w:p>
    <w:p w14:paraId="7F600007" w14:textId="0075D670" w:rsidR="00000000" w:rsidRPr="00FE292F" w:rsidRDefault="00000000" w:rsidP="00FE292F">
      <w:pPr>
        <w:spacing w:after="160"/>
        <w:ind w:firstLine="360"/>
        <w:jc w:val="both"/>
        <w:rPr>
          <w:rFonts w:ascii="Arial" w:hAnsi="Arial" w:cs="Arial"/>
          <w:color w:val="222222"/>
        </w:rPr>
      </w:pPr>
      <w:r w:rsidRPr="00FE292F">
        <w:rPr>
          <w:rFonts w:ascii="Arial" w:hAnsi="Arial" w:cs="Arial"/>
          <w:color w:val="222222"/>
        </w:rPr>
        <w:t>Internal assertions of improvement, without corresponding observable movement in these signals, do not constitute admissible evidence under the framework.</w:t>
      </w:r>
    </w:p>
    <w:p w14:paraId="7F600008" w14:textId="354C67F8" w:rsidR="00000000" w:rsidRPr="00E00B6C" w:rsidRDefault="00000000" w:rsidP="00FE292F">
      <w:pPr>
        <w:pStyle w:val="Heading1"/>
        <w:numPr>
          <w:ilvl w:val="1"/>
          <w:numId w:val="2"/>
        </w:numPr>
        <w:ind w:left="567"/>
      </w:pPr>
      <w:r w:rsidRPr="00E00B6C">
        <w:t>Admissibility Conditions</w:t>
      </w:r>
    </w:p>
    <w:p w14:paraId="7F600009" w14:textId="77777777" w:rsidR="00000000" w:rsidRPr="00E00B6C" w:rsidRDefault="00000000">
      <w:pPr>
        <w:spacing w:after="160"/>
        <w:ind w:firstLine="360"/>
        <w:jc w:val="both"/>
        <w:rPr>
          <w:rFonts w:ascii="Arial" w:hAnsi="Arial" w:cs="Arial"/>
        </w:rPr>
      </w:pPr>
      <w:r w:rsidRPr="00E00B6C">
        <w:rPr>
          <w:rFonts w:ascii="Arial" w:hAnsi="Arial" w:cs="Arial"/>
          <w:color w:val="222222"/>
        </w:rPr>
        <w:t xml:space="preserve">A measurement produced under this framework is admissible when all four completeness conditions established in </w:t>
      </w:r>
      <w:r w:rsidRPr="00FE292F">
        <w:rPr>
          <w:rFonts w:ascii="Arial" w:hAnsi="Arial" w:cs="Arial"/>
          <w:color w:val="222222"/>
          <w:highlight w:val="yellow"/>
        </w:rPr>
        <w:t>Part 5.9</w:t>
      </w:r>
      <w:r w:rsidRPr="00E00B6C">
        <w:rPr>
          <w:rFonts w:ascii="Arial" w:hAnsi="Arial" w:cs="Arial"/>
          <w:color w:val="222222"/>
        </w:rPr>
        <w:t xml:space="preserve"> are satisfied simultaneously. A measurement produced under a framework that satisfies fewer than four completeness conditions is a partial measurement. It may be useful as a proxy but it is not a complete operational risk measurement under this architecture. The admissibility standard is not a matter of degree. Either the framework is complete and the measurement is admissible, or the framework is incomplete and the measurement is a partial proxy.</w:t>
      </w:r>
    </w:p>
    <w:p w14:paraId="7F60000A"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admissibility conditions apply independently to the systemic layer and the relationship-specific layer. Admissibility of the systemic layer does not imply admissibility of the relationship-specific layer. Both layers must independently satisfy their respective completeness conditions before the total operational risk measurement is admissible.</w:t>
      </w:r>
    </w:p>
    <w:p w14:paraId="7F60000B" w14:textId="1C08E7A1" w:rsidR="00000000" w:rsidRPr="00E00B6C" w:rsidRDefault="00000000" w:rsidP="00FE292F">
      <w:pPr>
        <w:pStyle w:val="Heading1"/>
        <w:numPr>
          <w:ilvl w:val="1"/>
          <w:numId w:val="2"/>
        </w:numPr>
        <w:ind w:left="567"/>
      </w:pPr>
      <w:r w:rsidRPr="00E00B6C">
        <w:lastRenderedPageBreak/>
        <w:t>Challenge Protocol</w:t>
      </w:r>
    </w:p>
    <w:p w14:paraId="69A6A33C" w14:textId="77777777" w:rsidR="00FE292F" w:rsidRDefault="00000000">
      <w:pPr>
        <w:spacing w:after="160"/>
        <w:ind w:firstLine="360"/>
        <w:jc w:val="both"/>
        <w:rPr>
          <w:rFonts w:ascii="Arial" w:hAnsi="Arial" w:cs="Arial"/>
          <w:color w:val="222222"/>
        </w:rPr>
      </w:pPr>
      <w:r w:rsidRPr="00E00B6C">
        <w:rPr>
          <w:rFonts w:ascii="Arial" w:hAnsi="Arial" w:cs="Arial"/>
          <w:color w:val="222222"/>
        </w:rPr>
        <w:t xml:space="preserve">The framework is a constraint, not a theorem. It stands until a valid challenge is produced. The challenge condition is stated in the Summary of this document and is restated here as a governance requirement: produce a financial institution whose operational risk cannot be described within four dimensions, two layers, five states, and one equilibrium. </w:t>
      </w:r>
    </w:p>
    <w:p w14:paraId="7F60000C" w14:textId="40DFED7D" w:rsidR="00000000" w:rsidRPr="00E00B6C" w:rsidRDefault="00000000">
      <w:pPr>
        <w:spacing w:after="160"/>
        <w:ind w:firstLine="360"/>
        <w:jc w:val="both"/>
        <w:rPr>
          <w:rFonts w:ascii="Arial" w:hAnsi="Arial" w:cs="Arial"/>
        </w:rPr>
      </w:pPr>
      <w:r w:rsidRPr="00E00B6C">
        <w:rPr>
          <w:rFonts w:ascii="Arial" w:hAnsi="Arial" w:cs="Arial"/>
          <w:color w:val="222222"/>
        </w:rPr>
        <w:t>A valid challenge must identify a specific function, relationship, or failure mode in a real financial institution that falls outside the four-dimensional structure and cannot be reduced to any of the four functional dimensions.</w:t>
      </w:r>
    </w:p>
    <w:p w14:paraId="7F60000D" w14:textId="77777777" w:rsidR="00000000" w:rsidRPr="00E00B6C" w:rsidRDefault="00000000">
      <w:pPr>
        <w:spacing w:after="160"/>
        <w:ind w:firstLine="360"/>
        <w:jc w:val="both"/>
        <w:rPr>
          <w:rFonts w:ascii="Arial" w:hAnsi="Arial" w:cs="Arial"/>
        </w:rPr>
      </w:pPr>
      <w:r w:rsidRPr="00E00B6C">
        <w:rPr>
          <w:rFonts w:ascii="Arial" w:hAnsi="Arial" w:cs="Arial"/>
          <w:color w:val="222222"/>
        </w:rPr>
        <w:t>A challenge to a specific RYSI reading is distinct from a challenge to the framework itself. A challenge to a reading requires evidence that the dimensional state assigned to a specific function or relationship does not accurately reflect the observable equilibrium between the institution and its counterparty. Such challenges are resolved through the evidential standard established in Part 3.1: the challenge is valid if it produces observable counterparty behaviour that contradicts the assigned dimensional state.</w:t>
      </w:r>
    </w:p>
    <w:p w14:paraId="7F60000E" w14:textId="77777777" w:rsidR="00000000" w:rsidRPr="00E00B6C" w:rsidRDefault="00000000">
      <w:pPr>
        <w:spacing w:after="160"/>
        <w:ind w:firstLine="360"/>
        <w:jc w:val="both"/>
        <w:rPr>
          <w:rFonts w:ascii="Arial" w:hAnsi="Arial" w:cs="Arial"/>
        </w:rPr>
      </w:pPr>
      <w:r w:rsidRPr="00E00B6C">
        <w:rPr>
          <w:rFonts w:ascii="Arial" w:hAnsi="Arial" w:cs="Arial"/>
          <w:color w:val="222222"/>
        </w:rPr>
        <w:t>An institution claiming budget relief or capital charge reduction based on dimensional improvement must evidence that improvement through the challenge protocol. The burden of evidence lies with the institution making the improvement claim. The equilibrium standard established in Principle 3 is the test: if the counterparty’s behaviour has not moved in a direction consistent with the claimed improvement, the improvement claim does not satisfy the challenge protocol and the capital charge is not reduced.</w:t>
      </w:r>
    </w:p>
    <w:p w14:paraId="7F60000F" w14:textId="1D2B9105" w:rsidR="00000000" w:rsidRPr="00E00B6C" w:rsidRDefault="00000000" w:rsidP="00FE292F">
      <w:pPr>
        <w:pStyle w:val="Heading1"/>
        <w:numPr>
          <w:ilvl w:val="1"/>
          <w:numId w:val="2"/>
        </w:numPr>
        <w:ind w:left="567"/>
      </w:pPr>
      <w:r w:rsidRPr="00E00B6C">
        <w:t>Calibration Governance</w:t>
      </w:r>
    </w:p>
    <w:p w14:paraId="7F600010"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calibration of the framework — the specification of signal sets, transition probabilities, horizon weights, and propagation parameters — is an actuarial function. The actuary responsible for calibration bears the same professional obligations with respect to the RYSI measurement as with any other actuarial estimate: the estimate must be appropriate for its purpose, supported by sufficient evidence, and documented with sufficient transparency to allow an independent reviewer to assess its reasonableness.</w:t>
      </w:r>
    </w:p>
    <w:p w14:paraId="7F600011" w14:textId="77777777" w:rsidR="00000000" w:rsidRPr="00E00B6C" w:rsidRDefault="00000000">
      <w:pPr>
        <w:spacing w:after="160"/>
        <w:ind w:firstLine="360"/>
        <w:jc w:val="both"/>
        <w:rPr>
          <w:rFonts w:ascii="Arial" w:hAnsi="Arial" w:cs="Arial"/>
        </w:rPr>
      </w:pPr>
      <w:r w:rsidRPr="00E00B6C">
        <w:rPr>
          <w:rFonts w:ascii="Arial" w:hAnsi="Arial" w:cs="Arial"/>
          <w:color w:val="222222"/>
        </w:rPr>
        <w:t>Signal set definitions are the primary calibration input. The specific binary signals used to observe each dimension for each counterparty type constitute the institution’s operationalisation of the framework. Different institutions may use different signal sets for the same dimension, provided the signal sets are consistent with the framework’s definition of that dimension and satisfy the external anchoring requirement of Principle 3. Signal sets must be documented, reviewed, and updated as the institution’s counterparty portfolio and operational environment evolve.</w:t>
      </w:r>
    </w:p>
    <w:p w14:paraId="7F600012" w14:textId="77777777" w:rsidR="00000000" w:rsidRPr="00E00B6C" w:rsidRDefault="00000000">
      <w:pPr>
        <w:spacing w:after="160"/>
        <w:ind w:firstLine="360"/>
        <w:jc w:val="both"/>
        <w:rPr>
          <w:rFonts w:ascii="Arial" w:hAnsi="Arial" w:cs="Arial"/>
        </w:rPr>
      </w:pPr>
      <w:r w:rsidRPr="00E00B6C">
        <w:rPr>
          <w:rFonts w:ascii="Arial" w:hAnsi="Arial" w:cs="Arial"/>
          <w:color w:val="222222"/>
        </w:rPr>
        <w:t xml:space="preserve">Transition probability calibration is the second primary input. The probabilities governing movement between dimensional states must be calibrated from observable signal history with sufficient credibility to support the capital charge derived from them. Where credibility is insufficient for direct calibration, a </w:t>
      </w:r>
      <w:r w:rsidRPr="00E00B6C">
        <w:rPr>
          <w:rFonts w:ascii="Arial" w:hAnsi="Arial" w:cs="Arial"/>
          <w:color w:val="222222"/>
        </w:rPr>
        <w:lastRenderedPageBreak/>
        <w:t>conservative prior must be applied and documented. The calibration methodology, the data used, and any judgements applied in place of data must be disclosed in the framework documentation accompanying any capital submission.</w:t>
      </w:r>
    </w:p>
    <w:p w14:paraId="7F600013" w14:textId="6AA08928" w:rsidR="00000000" w:rsidRPr="00E00B6C" w:rsidRDefault="00000000" w:rsidP="00FE292F">
      <w:pPr>
        <w:pStyle w:val="Heading1"/>
        <w:numPr>
          <w:ilvl w:val="1"/>
          <w:numId w:val="2"/>
        </w:numPr>
        <w:ind w:left="567"/>
      </w:pPr>
      <w:r w:rsidRPr="00E00B6C">
        <w:t>Supervisory Interface</w:t>
      </w:r>
    </w:p>
    <w:p w14:paraId="7F600014"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framework is designed to be structurally compatible with the supervisory requirements of Solvency II, the BMA regulatory regime, and equivalent frameworks. It does not propose changes to regulatory capital formulas, reporting standards, or supervisory requirements. It improves the quality of the operational risk input to those frameworks, not their architecture.</w:t>
      </w:r>
    </w:p>
    <w:p w14:paraId="7F600015" w14:textId="77777777" w:rsidR="00000000" w:rsidRPr="00E00B6C" w:rsidRDefault="00000000">
      <w:pPr>
        <w:spacing w:after="160"/>
        <w:ind w:firstLine="360"/>
        <w:jc w:val="both"/>
        <w:rPr>
          <w:rFonts w:ascii="Arial" w:hAnsi="Arial" w:cs="Arial"/>
        </w:rPr>
      </w:pPr>
      <w:r w:rsidRPr="00E00B6C">
        <w:rPr>
          <w:rFonts w:ascii="Arial" w:hAnsi="Arial" w:cs="Arial"/>
          <w:color w:val="222222"/>
        </w:rPr>
        <w:t>Under Solvency II (European Parliament and Council, 2009; European Insurance and Occupational Pensions Authority, 2015), the RYSI measurement satisfies the ORSA requirement for a forward-looking assessment of the institution’s risk profile and solvency needs. The RYSI vector provides the current calibration state from which the prospective operational risk distribution is derived. The mean of that distribution is the expected general and administrative expense. The tail above the mean is the SCR operational risk component. The ORSA narrative requirement is satisfied by the dimensional state assessment and the propagation analysis across dimensions.</w:t>
      </w:r>
    </w:p>
    <w:p w14:paraId="7F600016" w14:textId="77777777" w:rsidR="00000000" w:rsidRPr="00E00B6C" w:rsidRDefault="00000000">
      <w:pPr>
        <w:spacing w:after="160"/>
        <w:ind w:firstLine="360"/>
        <w:jc w:val="both"/>
        <w:rPr>
          <w:rFonts w:ascii="Arial" w:hAnsi="Arial" w:cs="Arial"/>
        </w:rPr>
      </w:pPr>
      <w:r w:rsidRPr="00E00B6C">
        <w:rPr>
          <w:rFonts w:ascii="Arial" w:hAnsi="Arial" w:cs="Arial"/>
          <w:color w:val="222222"/>
        </w:rPr>
        <w:t>Under IFRS 17, the dimensional RYSI state conditions the general and administrative expense allocation to contract groups, satisfying the requirement for a systematic allocation methodology that reflects the operational intensity of specific relationships. The framework’s mean identity — E[OpRisk] = E[G&amp;A] — ensures consistency between the solvency framework input and the financial reporting output. Institutions applying the framework produce an operational risk measurement that is simultaneously a solvency instrument and an IFRS 17 allocation methodology, derived from a single underlying measurement.</w:t>
      </w:r>
    </w:p>
    <w:p w14:paraId="323C8B49" w14:textId="77777777" w:rsidR="00FE292F" w:rsidRDefault="00000000">
      <w:pPr>
        <w:spacing w:after="160"/>
        <w:ind w:firstLine="360"/>
        <w:jc w:val="both"/>
        <w:rPr>
          <w:rFonts w:ascii="Arial" w:hAnsi="Arial" w:cs="Arial"/>
          <w:color w:val="222222"/>
        </w:rPr>
      </w:pPr>
      <w:r w:rsidRPr="00E00B6C">
        <w:rPr>
          <w:rFonts w:ascii="Arial" w:hAnsi="Arial" w:cs="Arial"/>
          <w:color w:val="222222"/>
        </w:rPr>
        <w:t xml:space="preserve">The framework does not require supervisory approval as a condition of internal use. Institutions may apply the framework for internal capital management and IFRS 17 allocation purposes without regulatory submission. </w:t>
      </w:r>
    </w:p>
    <w:p w14:paraId="7F600017" w14:textId="2BBAA444" w:rsidR="00000000" w:rsidRPr="00E00B6C" w:rsidRDefault="00000000">
      <w:pPr>
        <w:spacing w:after="160"/>
        <w:ind w:firstLine="360"/>
        <w:jc w:val="both"/>
        <w:rPr>
          <w:rFonts w:ascii="Arial" w:hAnsi="Arial" w:cs="Arial"/>
        </w:rPr>
      </w:pPr>
      <w:r w:rsidRPr="00E00B6C">
        <w:rPr>
          <w:rFonts w:ascii="Arial" w:hAnsi="Arial" w:cs="Arial"/>
          <w:color w:val="222222"/>
        </w:rPr>
        <w:t xml:space="preserve">Where the framework output is used as the basis for a regulatory capital submission, the calibration governance requirements in </w:t>
      </w:r>
      <w:r w:rsidRPr="00FE292F">
        <w:rPr>
          <w:rFonts w:ascii="Arial" w:hAnsi="Arial" w:cs="Arial"/>
          <w:color w:val="222222"/>
          <w:highlight w:val="yellow"/>
        </w:rPr>
        <w:t>Part 3.4</w:t>
      </w:r>
      <w:r w:rsidRPr="00E00B6C">
        <w:rPr>
          <w:rFonts w:ascii="Arial" w:hAnsi="Arial" w:cs="Arial"/>
          <w:color w:val="222222"/>
        </w:rPr>
        <w:t xml:space="preserve"> apply and the completeness conditions in </w:t>
      </w:r>
      <w:r w:rsidRPr="00FE292F">
        <w:rPr>
          <w:rFonts w:ascii="Arial" w:hAnsi="Arial" w:cs="Arial"/>
          <w:color w:val="222222"/>
          <w:highlight w:val="yellow"/>
        </w:rPr>
        <w:t>Part 5.9</w:t>
      </w:r>
      <w:r w:rsidRPr="00E00B6C">
        <w:rPr>
          <w:rFonts w:ascii="Arial" w:hAnsi="Arial" w:cs="Arial"/>
          <w:color w:val="222222"/>
        </w:rPr>
        <w:t xml:space="preserve"> must be satisfied and documented.</w:t>
      </w:r>
    </w:p>
    <w:p w14:paraId="7F600018" w14:textId="690AA38D" w:rsidR="00000000" w:rsidRPr="00E00B6C" w:rsidRDefault="00000000" w:rsidP="00FE292F">
      <w:pPr>
        <w:pStyle w:val="Heading1"/>
        <w:numPr>
          <w:ilvl w:val="1"/>
          <w:numId w:val="2"/>
        </w:numPr>
        <w:ind w:left="567"/>
      </w:pPr>
      <w:r w:rsidRPr="00FE292F">
        <w:t>Attribution Governance</w:t>
      </w:r>
    </w:p>
    <w:p w14:paraId="7F600019" w14:textId="77FC0C78" w:rsidR="00000000" w:rsidRPr="00E00B6C" w:rsidRDefault="00000000">
      <w:pPr>
        <w:spacing w:after="160"/>
        <w:ind w:firstLine="360"/>
        <w:jc w:val="both"/>
        <w:rPr>
          <w:rFonts w:ascii="Arial" w:hAnsi="Arial" w:cs="Arial"/>
        </w:rPr>
      </w:pPr>
      <w:r w:rsidRPr="00E00B6C">
        <w:rPr>
          <w:rFonts w:ascii="Arial" w:hAnsi="Arial" w:cs="Arial"/>
          <w:color w:val="222222"/>
        </w:rPr>
        <w:t xml:space="preserve">The recursive attributability principle established in </w:t>
      </w:r>
      <w:r w:rsidR="00FE292F">
        <w:rPr>
          <w:rFonts w:ascii="Arial" w:hAnsi="Arial" w:cs="Arial"/>
          <w:color w:val="222222"/>
        </w:rPr>
        <w:fldChar w:fldCharType="begin"/>
      </w:r>
      <w:r w:rsidR="00FE292F">
        <w:rPr>
          <w:rFonts w:ascii="Arial" w:hAnsi="Arial" w:cs="Arial"/>
          <w:color w:val="222222"/>
        </w:rPr>
        <w:instrText xml:space="preserve"> REF _Ref227698300 \h </w:instrText>
      </w:r>
      <w:r w:rsidR="00FE292F">
        <w:rPr>
          <w:rFonts w:ascii="Arial" w:hAnsi="Arial" w:cs="Arial"/>
          <w:color w:val="222222"/>
        </w:rPr>
      </w:r>
      <w:r w:rsidR="00FE292F">
        <w:rPr>
          <w:rFonts w:ascii="Arial" w:hAnsi="Arial" w:cs="Arial"/>
          <w:color w:val="222222"/>
        </w:rPr>
        <w:fldChar w:fldCharType="separate"/>
      </w:r>
      <w:r w:rsidR="00FE292F" w:rsidRPr="00FE292F">
        <w:rPr>
          <w:rFonts w:ascii="Arial" w:eastAsia="Arial" w:hAnsi="Arial" w:cs="Arial"/>
          <w:b/>
          <w:bCs/>
          <w:color w:val="1A1A2E"/>
          <w:sz w:val="22"/>
          <w:szCs w:val="22"/>
        </w:rPr>
        <w:t>Principle 8 — Recursive Attributability</w:t>
      </w:r>
      <w:r w:rsidR="00FE292F">
        <w:rPr>
          <w:rFonts w:ascii="Arial" w:hAnsi="Arial" w:cs="Arial"/>
          <w:color w:val="222222"/>
        </w:rPr>
        <w:fldChar w:fldCharType="end"/>
      </w:r>
      <w:r w:rsidR="00FE292F">
        <w:rPr>
          <w:rFonts w:ascii="Arial" w:hAnsi="Arial" w:cs="Arial"/>
          <w:color w:val="222222"/>
        </w:rPr>
        <w:t xml:space="preserve"> </w:t>
      </w:r>
      <w:r w:rsidRPr="00E00B6C">
        <w:rPr>
          <w:rFonts w:ascii="Arial" w:hAnsi="Arial" w:cs="Arial"/>
          <w:color w:val="222222"/>
        </w:rPr>
        <w:t>has governance implications that extend beyond technical measurement. The requirement that every material signal be traceable to a named function and ultimately to a named individual means that the operational risk charge is simultaneously a management accountability instrument. A functional team or individual whose decisions generate adverse RYSI signals is accountable for the resulting capital charge through the attribution chain.</w:t>
      </w:r>
    </w:p>
    <w:p w14:paraId="7F60001A" w14:textId="77777777" w:rsidR="00000000" w:rsidRPr="00E00B6C" w:rsidRDefault="00000000">
      <w:pPr>
        <w:spacing w:after="160"/>
        <w:ind w:firstLine="360"/>
        <w:jc w:val="both"/>
        <w:rPr>
          <w:rFonts w:ascii="Arial" w:hAnsi="Arial" w:cs="Arial"/>
        </w:rPr>
      </w:pPr>
      <w:r w:rsidRPr="00E00B6C">
        <w:rPr>
          <w:rFonts w:ascii="Arial" w:hAnsi="Arial" w:cs="Arial"/>
          <w:color w:val="222222"/>
        </w:rPr>
        <w:t xml:space="preserve">This accountability structure is incentive-compatible by construction. A team that reduces apparent operational cost by reducing functional quality will show </w:t>
      </w:r>
      <w:r w:rsidRPr="00E00B6C">
        <w:rPr>
          <w:rFonts w:ascii="Arial" w:hAnsi="Arial" w:cs="Arial"/>
          <w:color w:val="222222"/>
        </w:rPr>
        <w:lastRenderedPageBreak/>
        <w:t>deterioration in its closing dimensional state, increasing the next period budget and attributed capital charge. Reducing quality to game the budget is self-defeating over the full measurement cycle. The governance implication is that the framework requires institutions to maintain the attribution chain as a live record, not as a retrospective exercise, and to make that record available to the board audit committee and external auditors as part of the normal governance process.</w:t>
      </w:r>
    </w:p>
    <w:p w14:paraId="7F60001B"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framework is complete when the attribution chain reaches a named individual for every material signal. An institution that can attribute every material operational risk signal to a named function but cannot complete the attribution to the responsible individual has a measurable gap in its governance structure. That gap is itself an institutional dimension signal: a structural failure in process design or governance discipline that belongs in the RYSI institutional state for the period in which it persists.</w:t>
      </w:r>
    </w:p>
    <w:p w14:paraId="52762139" w14:textId="77777777" w:rsidR="00E73AA4" w:rsidRPr="00E00B6C" w:rsidRDefault="00E73AA4">
      <w:pPr>
        <w:pageBreakBefore/>
        <w:rPr>
          <w:rFonts w:ascii="Arial" w:hAnsi="Arial" w:cs="Arial"/>
        </w:rPr>
      </w:pPr>
    </w:p>
    <w:p w14:paraId="18E56991" w14:textId="2D1E8299" w:rsidR="00E73AA4" w:rsidRPr="00E00B6C" w:rsidRDefault="00FE292F" w:rsidP="00FE292F">
      <w:pPr>
        <w:pStyle w:val="Heading1"/>
        <w:numPr>
          <w:ilvl w:val="0"/>
          <w:numId w:val="2"/>
        </w:numPr>
      </w:pPr>
      <w:r>
        <w:t>Application</w:t>
      </w:r>
      <w:r w:rsidR="00000000" w:rsidRPr="00E00B6C">
        <w:t>: What the Framework Must Deliver</w:t>
      </w:r>
    </w:p>
    <w:p w14:paraId="340F9BB2" w14:textId="77777777" w:rsidR="00E73AA4" w:rsidRPr="00E00B6C" w:rsidRDefault="00000000">
      <w:pPr>
        <w:spacing w:after="160"/>
        <w:ind w:firstLine="360"/>
        <w:jc w:val="both"/>
        <w:rPr>
          <w:rFonts w:ascii="Arial" w:hAnsi="Arial" w:cs="Arial"/>
        </w:rPr>
      </w:pPr>
      <w:r w:rsidRPr="00E00B6C">
        <w:rPr>
          <w:rFonts w:ascii="Arial" w:hAnsi="Arial" w:cs="Arial"/>
          <w:color w:val="222222"/>
        </w:rPr>
        <w:t>A framework for operational risk that correctly identifies the phenomenon and measures it across its natural dimensions is necessary but not sufficient. For the framework to justify its adoption it must deliver outputs that are useful to the institution across its full operational and reporting lifecycle — outputs that connect the measurement of operational risk to the decisions that determine whether the institution continues. This part establishes the measurement principle, the IFRS 17 connection, the onerous contract interaction, and the propagation structure between dimensions.</w:t>
      </w:r>
    </w:p>
    <w:p w14:paraId="55D4C218" w14:textId="4924D653" w:rsidR="00E73AA4" w:rsidRPr="00E00B6C" w:rsidRDefault="00000000" w:rsidP="00FE292F">
      <w:pPr>
        <w:pStyle w:val="Heading1"/>
        <w:numPr>
          <w:ilvl w:val="1"/>
          <w:numId w:val="2"/>
        </w:numPr>
      </w:pPr>
      <w:r w:rsidRPr="00E00B6C">
        <w:t>The Measurement Principle</w:t>
      </w:r>
    </w:p>
    <w:p w14:paraId="5E270907" w14:textId="77777777" w:rsidR="00E73AA4" w:rsidRPr="00E00B6C" w:rsidRDefault="00000000">
      <w:pPr>
        <w:spacing w:after="160"/>
        <w:ind w:firstLine="360"/>
        <w:jc w:val="both"/>
        <w:rPr>
          <w:rFonts w:ascii="Arial" w:hAnsi="Arial" w:cs="Arial"/>
        </w:rPr>
      </w:pPr>
      <w:r w:rsidRPr="00E00B6C">
        <w:rPr>
          <w:rFonts w:ascii="Arial" w:hAnsi="Arial" w:cs="Arial"/>
          <w:color w:val="222222"/>
        </w:rPr>
        <w:t xml:space="preserve">The framework measures operational risk through the observation of calibration state across the four functional dimensions established in </w:t>
      </w:r>
      <w:r w:rsidRPr="00FE292F">
        <w:rPr>
          <w:rFonts w:ascii="Arial" w:hAnsi="Arial" w:cs="Arial"/>
          <w:color w:val="222222"/>
          <w:highlight w:val="yellow"/>
        </w:rPr>
        <w:t>Part 2</w:t>
      </w:r>
      <w:r w:rsidRPr="00E00B6C">
        <w:rPr>
          <w:rFonts w:ascii="Arial" w:hAnsi="Arial" w:cs="Arial"/>
          <w:color w:val="222222"/>
        </w:rPr>
        <w:t>. The measurement instrument is the deviation of each dimension from its optimal calibration relative to the underlying risk being managed. This deviation is signed — it carries direction — and it is bounded below by zero in the operational risk charge, reflecting the principle that optimal calibration is cost-neutral and that the charge captures only the cost of miscalibration.</w:t>
      </w:r>
    </w:p>
    <w:p w14:paraId="1A924A7B"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measurement is prospective. At any observation point the framework estimates the expected operational cost over the forward period given the current calibration state of each dimension. This expected cost is not a separate loading on top of the institution's expense base. It is the expense base itself — the expected general and administrative cost of running each function at its current calibration state across its current portfolio of relationships.</w:t>
      </w:r>
    </w:p>
    <w:p w14:paraId="79400A9A"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RYSI reading generates a natural institutional response conditioned on the dimensional state. Relational deterioration triggers procedural escalation — enhanced submission requirements, increased engagement, formal relationship review. Structural deterioration triggers validation requirements — audit requests, model peer review, third-party assessment. Institutional deterioration triggers exposure management — collateral requirements, credit support, limit reduction. Capacity deterioration triggers the continuation decision — whether the relationship justifies its operational cost at its current calibration state. The response is not discretionary. It is determined by the dimensional state and documented accordingly.</w:t>
      </w:r>
    </w:p>
    <w:p w14:paraId="28E39F72" w14:textId="149FBCDA" w:rsidR="00E73AA4" w:rsidRPr="00E00B6C" w:rsidRDefault="00000000" w:rsidP="00FE292F">
      <w:pPr>
        <w:pStyle w:val="Heading1"/>
        <w:numPr>
          <w:ilvl w:val="1"/>
          <w:numId w:val="2"/>
        </w:numPr>
      </w:pPr>
      <w:r w:rsidRPr="00FE292F">
        <w:t>The Mean of the Operational Risk Distribution</w:t>
      </w:r>
    </w:p>
    <w:p w14:paraId="388AA7D0" w14:textId="77777777" w:rsidR="006B0608" w:rsidRDefault="00000000">
      <w:pPr>
        <w:spacing w:after="160"/>
        <w:ind w:firstLine="360"/>
        <w:jc w:val="both"/>
        <w:rPr>
          <w:rFonts w:ascii="Arial" w:hAnsi="Arial" w:cs="Arial"/>
          <w:color w:val="222222"/>
        </w:rPr>
      </w:pPr>
      <w:r w:rsidRPr="00E00B6C">
        <w:rPr>
          <w:rFonts w:ascii="Arial" w:hAnsi="Arial" w:cs="Arial"/>
          <w:color w:val="222222"/>
        </w:rPr>
        <w:t xml:space="preserve">The mean of the operational risk distribution is the expected general and administrative expense. This is not an accounting observation appended to the framework. </w:t>
      </w:r>
    </w:p>
    <w:p w14:paraId="3F68A8AA" w14:textId="69DC03CC" w:rsidR="00E73AA4" w:rsidRPr="00E00B6C" w:rsidRDefault="00000000">
      <w:pPr>
        <w:spacing w:after="160"/>
        <w:ind w:firstLine="360"/>
        <w:jc w:val="both"/>
        <w:rPr>
          <w:rFonts w:ascii="Arial" w:hAnsi="Arial" w:cs="Arial"/>
        </w:rPr>
      </w:pPr>
      <w:r w:rsidRPr="00E00B6C">
        <w:rPr>
          <w:rFonts w:ascii="Arial" w:hAnsi="Arial" w:cs="Arial"/>
          <w:color w:val="222222"/>
        </w:rPr>
        <w:t xml:space="preserve">It is a logical consequence of the measurement principle: if operational risk is the cost of miscalibration, and the institution always carries some calibration state, </w:t>
      </w:r>
      <w:r w:rsidRPr="00E00B6C">
        <w:rPr>
          <w:rFonts w:ascii="Arial" w:hAnsi="Arial" w:cs="Arial"/>
          <w:color w:val="222222"/>
        </w:rPr>
        <w:lastRenderedPageBreak/>
        <w:t>then the expected cost of operating at the current calibration state is precisely the expected general and administrative expense.</w:t>
      </w:r>
    </w:p>
    <w:p w14:paraId="2D1B49D7" w14:textId="77777777" w:rsidR="00E73AA4" w:rsidRPr="00E00B6C" w:rsidRDefault="00000000">
      <w:pPr>
        <w:spacing w:after="160"/>
        <w:ind w:firstLine="360"/>
        <w:jc w:val="both"/>
        <w:rPr>
          <w:rFonts w:ascii="Arial" w:hAnsi="Arial" w:cs="Arial"/>
        </w:rPr>
      </w:pPr>
      <w:r w:rsidRPr="00E00B6C">
        <w:rPr>
          <w:rFonts w:ascii="Arial" w:hAnsi="Arial" w:cs="Arial"/>
          <w:color w:val="222222"/>
        </w:rPr>
        <w:t>Formally: E[OpRisk] = E[G&amp;A]. The capital charge is the tail above E[G&amp;A]. The two cannot be estimated independently without producing inconsistency between the institution's solvency framework and its financial reporting.</w:t>
      </w:r>
    </w:p>
    <w:p w14:paraId="5EE346DF" w14:textId="77777777" w:rsidR="006B0608" w:rsidRDefault="00000000">
      <w:pPr>
        <w:spacing w:after="160"/>
        <w:ind w:firstLine="360"/>
        <w:jc w:val="both"/>
        <w:rPr>
          <w:rFonts w:ascii="Arial" w:hAnsi="Arial" w:cs="Arial"/>
          <w:color w:val="222222"/>
        </w:rPr>
      </w:pPr>
      <w:r w:rsidRPr="00E00B6C">
        <w:rPr>
          <w:rFonts w:ascii="Arial" w:hAnsi="Arial" w:cs="Arial"/>
          <w:color w:val="222222"/>
        </w:rPr>
        <w:t xml:space="preserve">The budget established at the start of each reporting period under IFRS 17 is the expected operational cost at the opening calibration state — the mean of the prospective operational risk distribution at period start. </w:t>
      </w:r>
    </w:p>
    <w:p w14:paraId="6116E5A1" w14:textId="77777777" w:rsidR="006B0608" w:rsidRDefault="00000000">
      <w:pPr>
        <w:spacing w:after="160"/>
        <w:ind w:firstLine="360"/>
        <w:jc w:val="both"/>
        <w:rPr>
          <w:rFonts w:ascii="Arial" w:hAnsi="Arial" w:cs="Arial"/>
          <w:color w:val="222222"/>
        </w:rPr>
      </w:pPr>
      <w:r w:rsidRPr="00E00B6C">
        <w:rPr>
          <w:rFonts w:ascii="Arial" w:hAnsi="Arial" w:cs="Arial"/>
          <w:color w:val="222222"/>
        </w:rPr>
        <w:t xml:space="preserve">The actual general and administrative expense reported in the insurance service result is the realised operational cost at the closing calibration state. </w:t>
      </w:r>
    </w:p>
    <w:p w14:paraId="4BF772FE" w14:textId="77777777" w:rsidR="006B0608" w:rsidRDefault="00000000">
      <w:pPr>
        <w:spacing w:after="160"/>
        <w:ind w:firstLine="360"/>
        <w:jc w:val="both"/>
        <w:rPr>
          <w:rFonts w:ascii="Arial" w:hAnsi="Arial" w:cs="Arial"/>
          <w:color w:val="222222"/>
        </w:rPr>
      </w:pPr>
      <w:r w:rsidRPr="00E00B6C">
        <w:rPr>
          <w:rFonts w:ascii="Arial" w:hAnsi="Arial" w:cs="Arial"/>
          <w:color w:val="222222"/>
        </w:rPr>
        <w:t xml:space="preserve">The variance between them decomposes into three components: </w:t>
      </w:r>
    </w:p>
    <w:p w14:paraId="63503677" w14:textId="77777777" w:rsidR="006B0608" w:rsidRPr="006B0608" w:rsidRDefault="00000000" w:rsidP="006B0608">
      <w:pPr>
        <w:pStyle w:val="ListParagraph"/>
        <w:numPr>
          <w:ilvl w:val="0"/>
          <w:numId w:val="17"/>
        </w:numPr>
        <w:spacing w:after="160"/>
        <w:jc w:val="both"/>
        <w:rPr>
          <w:rFonts w:ascii="Arial" w:hAnsi="Arial" w:cs="Arial"/>
        </w:rPr>
      </w:pPr>
      <w:r w:rsidRPr="006B0608">
        <w:rPr>
          <w:rFonts w:ascii="Arial" w:hAnsi="Arial" w:cs="Arial"/>
          <w:color w:val="222222"/>
        </w:rPr>
        <w:t>volume variance arising from changes in the number or mix of counterparties,</w:t>
      </w:r>
    </w:p>
    <w:p w14:paraId="7F6F0F8E" w14:textId="77777777" w:rsidR="006B0608" w:rsidRPr="006B0608" w:rsidRDefault="00000000" w:rsidP="006B0608">
      <w:pPr>
        <w:pStyle w:val="ListParagraph"/>
        <w:numPr>
          <w:ilvl w:val="0"/>
          <w:numId w:val="17"/>
        </w:numPr>
        <w:spacing w:after="160"/>
        <w:jc w:val="both"/>
        <w:rPr>
          <w:rFonts w:ascii="Arial" w:hAnsi="Arial" w:cs="Arial"/>
        </w:rPr>
      </w:pPr>
      <w:r w:rsidRPr="006B0608">
        <w:rPr>
          <w:rFonts w:ascii="Arial" w:hAnsi="Arial" w:cs="Arial"/>
          <w:color w:val="222222"/>
        </w:rPr>
        <w:t xml:space="preserve">calibration variance arising from movement in the dimensional states during the period, and </w:t>
      </w:r>
    </w:p>
    <w:p w14:paraId="0AEC8CE8" w14:textId="17464FC6" w:rsidR="00E73AA4" w:rsidRPr="006B0608" w:rsidRDefault="00000000" w:rsidP="006B0608">
      <w:pPr>
        <w:pStyle w:val="ListParagraph"/>
        <w:numPr>
          <w:ilvl w:val="0"/>
          <w:numId w:val="17"/>
        </w:numPr>
        <w:spacing w:after="160"/>
        <w:jc w:val="both"/>
        <w:rPr>
          <w:rFonts w:ascii="Arial" w:hAnsi="Arial" w:cs="Arial"/>
        </w:rPr>
      </w:pPr>
      <w:r w:rsidRPr="006B0608">
        <w:rPr>
          <w:rFonts w:ascii="Arial" w:hAnsi="Arial" w:cs="Arial"/>
          <w:color w:val="222222"/>
        </w:rPr>
        <w:t>efficiency variance arising from the difference between the dimensionally predicted cost and the cost actually incurred at the closing calibration state.</w:t>
      </w:r>
    </w:p>
    <w:p w14:paraId="49C510AF" w14:textId="77777777" w:rsidR="006B0608" w:rsidRDefault="00000000">
      <w:pPr>
        <w:spacing w:after="160"/>
        <w:ind w:firstLine="360"/>
        <w:jc w:val="both"/>
        <w:rPr>
          <w:rFonts w:ascii="Arial" w:hAnsi="Arial" w:cs="Arial"/>
          <w:color w:val="222222"/>
        </w:rPr>
      </w:pPr>
      <w:r w:rsidRPr="00E00B6C">
        <w:rPr>
          <w:rFonts w:ascii="Arial" w:hAnsi="Arial" w:cs="Arial"/>
          <w:color w:val="222222"/>
        </w:rPr>
        <w:t xml:space="preserve">Current operational risk capital models treat the mean as zero, modelling only unexpected loss as if operational risk floats free of the institution's expense base. </w:t>
      </w:r>
    </w:p>
    <w:p w14:paraId="2FE664EB" w14:textId="62B4B65E" w:rsidR="00E73AA4" w:rsidRPr="00E00B6C" w:rsidRDefault="00000000">
      <w:pPr>
        <w:spacing w:after="160"/>
        <w:ind w:firstLine="360"/>
        <w:jc w:val="both"/>
        <w:rPr>
          <w:rFonts w:ascii="Arial" w:hAnsi="Arial" w:cs="Arial"/>
        </w:rPr>
      </w:pPr>
      <w:r w:rsidRPr="00E00B6C">
        <w:rPr>
          <w:rFonts w:ascii="Arial" w:hAnsi="Arial" w:cs="Arial"/>
          <w:color w:val="222222"/>
        </w:rPr>
        <w:t>The framework makes explicit what those models obscure: the expected general and administrative expense is already the mean operational cost, sitting in the IFRS 17 accounts, and the capital model must be consistent with that mean rather than independent of it.</w:t>
      </w:r>
    </w:p>
    <w:p w14:paraId="34BA4D89" w14:textId="7857E42C" w:rsidR="00E73AA4" w:rsidRPr="00E00B6C" w:rsidRDefault="00000000" w:rsidP="007E05C3">
      <w:pPr>
        <w:pStyle w:val="Heading1"/>
        <w:numPr>
          <w:ilvl w:val="1"/>
          <w:numId w:val="2"/>
        </w:numPr>
      </w:pPr>
      <w:r w:rsidRPr="00E00B6C">
        <w:t>The Onerous Contract Interaction</w:t>
      </w:r>
    </w:p>
    <w:p w14:paraId="6A3D4327"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connection between operational risk calibration and onerous contract identification under IFRS 17 follows directly from the measurement principle. Under IFRS 17 (International Accounting Standards Board, 2017) a group of contracts becomes onerous when fulfilment cash flows exceed the contractual service margin. The general and administrative allocation enters the fulfilment cash flows and therefore affects the onerous test directly.</w:t>
      </w:r>
    </w:p>
    <w:p w14:paraId="4B462CD3" w14:textId="77777777" w:rsidR="00E73AA4" w:rsidRPr="00E00B6C" w:rsidRDefault="00000000">
      <w:pPr>
        <w:spacing w:after="160"/>
        <w:ind w:firstLine="360"/>
        <w:jc w:val="both"/>
        <w:rPr>
          <w:rFonts w:ascii="Arial" w:hAnsi="Arial" w:cs="Arial"/>
        </w:rPr>
      </w:pPr>
      <w:r w:rsidRPr="00E00B6C">
        <w:rPr>
          <w:rFonts w:ascii="Arial" w:hAnsi="Arial" w:cs="Arial"/>
          <w:color w:val="222222"/>
        </w:rPr>
        <w:t>Where that allocation is made on a flat basis — uniform across contract groups regardless of the operational intensity of the specific relationships within each group — the fulfilment cash flows are systematically misstated. Contract groups containing high-friction relationships carry insufficient general and administrative expense in their fulfilment cash flows and are therefore less likely to be identified as onerous than their true operational cost warrants. Contract groups containing low-friction relationships carry excess allocation and are correspondingly overstated.</w:t>
      </w:r>
    </w:p>
    <w:p w14:paraId="5E326594" w14:textId="77777777" w:rsidR="00E73AA4" w:rsidRPr="00E00B6C" w:rsidRDefault="00000000">
      <w:pPr>
        <w:spacing w:after="160"/>
        <w:ind w:firstLine="360"/>
        <w:jc w:val="both"/>
        <w:rPr>
          <w:rFonts w:ascii="Arial" w:hAnsi="Arial" w:cs="Arial"/>
        </w:rPr>
      </w:pPr>
      <w:r w:rsidRPr="00E00B6C">
        <w:rPr>
          <w:rFonts w:ascii="Arial" w:hAnsi="Arial" w:cs="Arial"/>
          <w:color w:val="222222"/>
        </w:rPr>
        <w:t xml:space="preserve">The framework resolves this through the relationship-specific layer. The expected general and administrative expense for each contract group is conditioned on the calibration state of the specific relationships within that group. A contract group whose relationships carry high dimensional loading carries higher </w:t>
      </w:r>
      <w:r w:rsidRPr="00E00B6C">
        <w:rPr>
          <w:rFonts w:ascii="Arial" w:hAnsi="Arial" w:cs="Arial"/>
          <w:color w:val="222222"/>
        </w:rPr>
        <w:lastRenderedPageBreak/>
        <w:t>expected general and administrative expense into its fulfilment cash flows and is therefore identified as onerous earlier and more accurately than under a flat allocation.</w:t>
      </w:r>
    </w:p>
    <w:p w14:paraId="62F04EBD"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The loss component recognised for onerous contracts reduces own funds directly. Operational risk that is not captured in the dimensionally adjusted general and administrative expectation creates a compounding exposure — the contract group is inadequately reserved for its true operational cost, and the capital model is simultaneously understating the tail above that inadequate mean. </w:t>
      </w:r>
    </w:p>
    <w:p w14:paraId="4E6FD12E" w14:textId="20F7F149" w:rsidR="00E73AA4" w:rsidRPr="00E00B6C" w:rsidRDefault="00000000">
      <w:pPr>
        <w:spacing w:after="160"/>
        <w:ind w:firstLine="360"/>
        <w:jc w:val="both"/>
        <w:rPr>
          <w:rFonts w:ascii="Arial" w:hAnsi="Arial" w:cs="Arial"/>
        </w:rPr>
      </w:pPr>
      <w:r w:rsidRPr="00E00B6C">
        <w:rPr>
          <w:rFonts w:ascii="Arial" w:hAnsi="Arial" w:cs="Arial"/>
          <w:color w:val="222222"/>
        </w:rPr>
        <w:t>The framework eliminates this compounding by grounding both the IFRS 17 allocation and the capital charge in the same calibration measurement.</w:t>
      </w:r>
    </w:p>
    <w:p w14:paraId="32B8B990" w14:textId="07597646" w:rsidR="00E73AA4" w:rsidRPr="00E00B6C" w:rsidRDefault="00000000" w:rsidP="007E05C3">
      <w:pPr>
        <w:pStyle w:val="Heading1"/>
        <w:numPr>
          <w:ilvl w:val="1"/>
          <w:numId w:val="2"/>
        </w:numPr>
      </w:pPr>
      <w:r w:rsidRPr="00E00B6C">
        <w:t>Propagation Between Dimensions</w:t>
      </w:r>
    </w:p>
    <w:p w14:paraId="73B399B5"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four functional dimensions are observationally independent — measured through different functions, different signals, and different processes. They are not causally independent. Deterioration in one dimension increases the probability of deterioration in adjacent dimensions through the institution's own organisational structure. This propagation is endogenous: it is not a correlation parameter imposed from outside but a structural property of how institutions fail.</w:t>
      </w:r>
    </w:p>
    <w:p w14:paraId="3D48E0C6" w14:textId="77777777" w:rsidR="007E05C3" w:rsidRPr="007E05C3" w:rsidRDefault="00000000" w:rsidP="007E05C3">
      <w:pPr>
        <w:pStyle w:val="ListParagraph"/>
        <w:numPr>
          <w:ilvl w:val="0"/>
          <w:numId w:val="18"/>
        </w:numPr>
        <w:spacing w:after="160"/>
        <w:jc w:val="both"/>
        <w:rPr>
          <w:rFonts w:ascii="Arial" w:hAnsi="Arial" w:cs="Arial"/>
          <w:color w:val="222222"/>
        </w:rPr>
      </w:pPr>
      <w:r w:rsidRPr="007E05C3">
        <w:rPr>
          <w:rFonts w:ascii="Arial" w:hAnsi="Arial" w:cs="Arial"/>
          <w:color w:val="222222"/>
        </w:rPr>
        <w:t xml:space="preserve">Capacity failures — insufficient resource, key person loss, systems inadequacy — create relationship stress as counterparties experience service deterioration and respond with increased incremental cost. </w:t>
      </w:r>
    </w:p>
    <w:p w14:paraId="5693557C" w14:textId="77777777" w:rsidR="007E05C3" w:rsidRPr="007E05C3" w:rsidRDefault="00000000" w:rsidP="007E05C3">
      <w:pPr>
        <w:pStyle w:val="ListParagraph"/>
        <w:numPr>
          <w:ilvl w:val="0"/>
          <w:numId w:val="18"/>
        </w:numPr>
        <w:spacing w:after="160"/>
        <w:jc w:val="both"/>
        <w:rPr>
          <w:rFonts w:ascii="Arial" w:hAnsi="Arial" w:cs="Arial"/>
          <w:color w:val="222222"/>
        </w:rPr>
      </w:pPr>
      <w:r w:rsidRPr="007E05C3">
        <w:rPr>
          <w:rFonts w:ascii="Arial" w:hAnsi="Arial" w:cs="Arial"/>
          <w:color w:val="222222"/>
        </w:rPr>
        <w:t xml:space="preserve">Relationship deterioration — adversarial cedants, difficult reinsurer interactions, intensive regulatory supervision — consumes disproportionate institutional resource and undermines the governance frameworks that compress systemic variance. </w:t>
      </w:r>
    </w:p>
    <w:p w14:paraId="4CBB0DD9" w14:textId="77777777" w:rsidR="007E05C3" w:rsidRPr="007E05C3" w:rsidRDefault="00000000" w:rsidP="007E05C3">
      <w:pPr>
        <w:pStyle w:val="ListParagraph"/>
        <w:numPr>
          <w:ilvl w:val="0"/>
          <w:numId w:val="18"/>
        </w:numPr>
        <w:spacing w:after="160"/>
        <w:jc w:val="both"/>
        <w:rPr>
          <w:rFonts w:ascii="Arial" w:hAnsi="Arial" w:cs="Arial"/>
          <w:color w:val="222222"/>
        </w:rPr>
      </w:pPr>
      <w:r w:rsidRPr="007E05C3">
        <w:rPr>
          <w:rFonts w:ascii="Arial" w:hAnsi="Arial" w:cs="Arial"/>
          <w:color w:val="222222"/>
        </w:rPr>
        <w:t xml:space="preserve">Structural failures — model error, reserving inadequacy, process breakdown — amplify miscalibration in both the relational and institutional dimensions by removing the analytical foundation on which relationship and governance judgements depend. </w:t>
      </w:r>
    </w:p>
    <w:p w14:paraId="4C1CB122" w14:textId="6D435FB1" w:rsidR="00E73AA4" w:rsidRPr="007E05C3" w:rsidRDefault="00000000" w:rsidP="007E05C3">
      <w:pPr>
        <w:pStyle w:val="ListParagraph"/>
        <w:numPr>
          <w:ilvl w:val="0"/>
          <w:numId w:val="18"/>
        </w:numPr>
        <w:spacing w:after="160"/>
        <w:jc w:val="both"/>
        <w:rPr>
          <w:rFonts w:ascii="Arial" w:hAnsi="Arial" w:cs="Arial"/>
        </w:rPr>
      </w:pPr>
      <w:r w:rsidRPr="007E05C3">
        <w:rPr>
          <w:rFonts w:ascii="Arial" w:hAnsi="Arial" w:cs="Arial"/>
          <w:color w:val="222222"/>
        </w:rPr>
        <w:t>Institutional deterioration — regulatory findings, audit failures, governance breakdown — accelerates miscalibration across all remaining dimensions by removing the constraints that would otherwise bound it.</w:t>
      </w:r>
    </w:p>
    <w:p w14:paraId="03C45346"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tail of the operational risk distribution is produced by cascades — by sequences in which one dimension's deterioration conditions the next — rather than by independent draws from four separate distributions. Once a single dimension reaches a severe deterioration state, the conditional probability of adjacent dimensions moving from neutral to mild deterioration increases materially. The tail is self-amplifying once triggered. This cascade structure is what produces the realistic operational risk tail without requiring an externally imposed fat-tail assumption.</w:t>
      </w:r>
    </w:p>
    <w:p w14:paraId="03AE9ED3"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The transition propensities across all dimensions are additionally conditioned on the external environment. Macroeconomic conditions, industry loss experience, catastrophe frequency, regulatory cycle, and credit conditions all shift the baseline propensities simultaneously across the full counterparty portfolio. </w:t>
      </w:r>
    </w:p>
    <w:p w14:paraId="1DBB69D1" w14:textId="5820F6F3" w:rsidR="00E73AA4" w:rsidRPr="00E00B6C" w:rsidRDefault="00000000">
      <w:pPr>
        <w:spacing w:after="160"/>
        <w:ind w:firstLine="360"/>
        <w:jc w:val="both"/>
        <w:rPr>
          <w:rFonts w:ascii="Arial" w:hAnsi="Arial" w:cs="Arial"/>
        </w:rPr>
      </w:pPr>
      <w:r w:rsidRPr="00E00B6C">
        <w:rPr>
          <w:rFonts w:ascii="Arial" w:hAnsi="Arial" w:cs="Arial"/>
          <w:color w:val="222222"/>
        </w:rPr>
        <w:lastRenderedPageBreak/>
        <w:t>This external conditioning is the intended interface between the RYSI measurement engine and an economic scenario generator, ensuring consistent macroeconomic assumptions across the institution's operational risk and investment frameworks without requiring separate reconciliation.</w:t>
      </w:r>
    </w:p>
    <w:p w14:paraId="39D7320B" w14:textId="77777777" w:rsidR="00E73AA4" w:rsidRPr="00E00B6C" w:rsidRDefault="00E73AA4">
      <w:pPr>
        <w:pageBreakBefore/>
        <w:rPr>
          <w:rFonts w:ascii="Arial" w:hAnsi="Arial" w:cs="Arial"/>
        </w:rPr>
      </w:pPr>
    </w:p>
    <w:p w14:paraId="7F50001A" w14:textId="0C4F256C" w:rsidR="00000000" w:rsidRPr="00E00B6C" w:rsidRDefault="00000000" w:rsidP="007E05C3">
      <w:pPr>
        <w:pStyle w:val="Heading1"/>
        <w:numPr>
          <w:ilvl w:val="0"/>
          <w:numId w:val="2"/>
        </w:numPr>
      </w:pPr>
      <w:r w:rsidRPr="00E00B6C">
        <w:t>Transferability: Operational Risk as an Insurable Condition</w:t>
      </w:r>
    </w:p>
    <w:p w14:paraId="7F50001B" w14:textId="77777777" w:rsidR="00000000" w:rsidRPr="00E00B6C" w:rsidRDefault="00000000">
      <w:pPr>
        <w:spacing w:after="160"/>
        <w:ind w:firstLine="360"/>
        <w:jc w:val="both"/>
        <w:rPr>
          <w:rFonts w:ascii="Arial" w:hAnsi="Arial" w:cs="Arial"/>
        </w:rPr>
      </w:pPr>
      <w:r w:rsidRPr="00E00B6C">
        <w:rPr>
          <w:rFonts w:ascii="Arial" w:hAnsi="Arial" w:cs="Arial"/>
          <w:color w:val="222222"/>
        </w:rPr>
        <w:t>The framework established in the preceding parts defines operational risk as a measurable, attributed, continuous calibration state. This Part draws a logical consequence that follows directly from that definition: a risk that is measurable, attributable, and expressible as a forward-looking state satisfies the structural conditions for transfer. This Part establishes those conditions, identifies the structural form of operational risk transfer, and positions the framework as the foundational instrument through which such transfer becomes possible.</w:t>
      </w:r>
    </w:p>
    <w:p w14:paraId="7F50001C" w14:textId="4AFE4CA9" w:rsidR="00000000" w:rsidRPr="00E00B6C" w:rsidRDefault="00000000" w:rsidP="007E05C3">
      <w:pPr>
        <w:pStyle w:val="Heading1"/>
        <w:numPr>
          <w:ilvl w:val="1"/>
          <w:numId w:val="2"/>
        </w:numPr>
      </w:pPr>
      <w:r w:rsidRPr="00E00B6C">
        <w:t>The Structural Conditions for Insurability</w:t>
      </w:r>
    </w:p>
    <w:p w14:paraId="76B850D8"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A risk is transferable under insurance or reinsurance structures when five conditions are simultaneously satisfied. </w:t>
      </w:r>
    </w:p>
    <w:p w14:paraId="1CBCD151" w14:textId="77777777" w:rsidR="007E05C3" w:rsidRPr="007E05C3" w:rsidRDefault="00000000" w:rsidP="007E05C3">
      <w:pPr>
        <w:pStyle w:val="ListParagraph"/>
        <w:numPr>
          <w:ilvl w:val="0"/>
          <w:numId w:val="19"/>
        </w:numPr>
        <w:spacing w:after="160"/>
        <w:jc w:val="both"/>
        <w:rPr>
          <w:rFonts w:ascii="Arial" w:hAnsi="Arial" w:cs="Arial"/>
        </w:rPr>
      </w:pPr>
      <w:r w:rsidRPr="007E05C3">
        <w:rPr>
          <w:rFonts w:ascii="Arial" w:hAnsi="Arial" w:cs="Arial"/>
          <w:color w:val="222222"/>
        </w:rPr>
        <w:t xml:space="preserve">First, the exposure must be measurable — the magnitude and direction of the potential deviation must be observable and expressible in a form that both parties to a transfer can reference. </w:t>
      </w:r>
    </w:p>
    <w:p w14:paraId="08162BA3" w14:textId="77777777" w:rsidR="007E05C3" w:rsidRPr="007E05C3" w:rsidRDefault="00000000" w:rsidP="007E05C3">
      <w:pPr>
        <w:pStyle w:val="ListParagraph"/>
        <w:numPr>
          <w:ilvl w:val="0"/>
          <w:numId w:val="19"/>
        </w:numPr>
        <w:spacing w:after="160"/>
        <w:jc w:val="both"/>
        <w:rPr>
          <w:rFonts w:ascii="Arial" w:hAnsi="Arial" w:cs="Arial"/>
        </w:rPr>
      </w:pPr>
      <w:r w:rsidRPr="007E05C3">
        <w:rPr>
          <w:rFonts w:ascii="Arial" w:hAnsi="Arial" w:cs="Arial"/>
          <w:color w:val="222222"/>
        </w:rPr>
        <w:t xml:space="preserve">Second, the outcome must be uncertain — the actual realised deviation must not be fully determinable at the point the transfer is established. </w:t>
      </w:r>
    </w:p>
    <w:p w14:paraId="47904F34" w14:textId="77777777" w:rsidR="007E05C3" w:rsidRPr="007E05C3" w:rsidRDefault="00000000" w:rsidP="007E05C3">
      <w:pPr>
        <w:pStyle w:val="ListParagraph"/>
        <w:numPr>
          <w:ilvl w:val="0"/>
          <w:numId w:val="19"/>
        </w:numPr>
        <w:spacing w:after="160"/>
        <w:jc w:val="both"/>
        <w:rPr>
          <w:rFonts w:ascii="Arial" w:hAnsi="Arial" w:cs="Arial"/>
        </w:rPr>
      </w:pPr>
      <w:r w:rsidRPr="007E05C3">
        <w:rPr>
          <w:rFonts w:ascii="Arial" w:hAnsi="Arial" w:cs="Arial"/>
          <w:color w:val="222222"/>
        </w:rPr>
        <w:t xml:space="preserve">Third, the financial impact must be quantifiable — the deviation must connect to a financial consequence expressible in the currency of the transfer. </w:t>
      </w:r>
    </w:p>
    <w:p w14:paraId="2EDAC483" w14:textId="77777777" w:rsidR="007E05C3" w:rsidRPr="007E05C3" w:rsidRDefault="00000000" w:rsidP="007E05C3">
      <w:pPr>
        <w:pStyle w:val="ListParagraph"/>
        <w:numPr>
          <w:ilvl w:val="0"/>
          <w:numId w:val="19"/>
        </w:numPr>
        <w:spacing w:after="160"/>
        <w:jc w:val="both"/>
        <w:rPr>
          <w:rFonts w:ascii="Arial" w:hAnsi="Arial" w:cs="Arial"/>
        </w:rPr>
      </w:pPr>
      <w:r w:rsidRPr="007E05C3">
        <w:rPr>
          <w:rFonts w:ascii="Arial" w:hAnsi="Arial" w:cs="Arial"/>
          <w:color w:val="222222"/>
        </w:rPr>
        <w:t xml:space="preserve">Fourth, pooling must be possible — multiple instances of the exposure must be combinable such that the aggregate behaves more predictably than any individual instance. </w:t>
      </w:r>
    </w:p>
    <w:p w14:paraId="7F50001D" w14:textId="063B5FE7" w:rsidR="00000000" w:rsidRPr="007E05C3" w:rsidRDefault="00000000" w:rsidP="007E05C3">
      <w:pPr>
        <w:pStyle w:val="ListParagraph"/>
        <w:numPr>
          <w:ilvl w:val="0"/>
          <w:numId w:val="19"/>
        </w:numPr>
        <w:spacing w:after="160"/>
        <w:jc w:val="both"/>
        <w:rPr>
          <w:rFonts w:ascii="Arial" w:hAnsi="Arial" w:cs="Arial"/>
        </w:rPr>
      </w:pPr>
      <w:r w:rsidRPr="007E05C3">
        <w:rPr>
          <w:rFonts w:ascii="Arial" w:hAnsi="Arial" w:cs="Arial"/>
          <w:color w:val="222222"/>
        </w:rPr>
        <w:t>Fifth, partial independence must exist — the exposures, when pooled, must not move in perfect correlation, providing the diversification that makes pooling economically viable.</w:t>
      </w:r>
    </w:p>
    <w:p w14:paraId="455FDEFF"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Under the RYSI-based calibration framework, all five conditions are satisfied. </w:t>
      </w:r>
    </w:p>
    <w:p w14:paraId="2E6C32C3" w14:textId="77777777" w:rsidR="007E05C3" w:rsidRPr="007E05C3" w:rsidRDefault="00000000" w:rsidP="007E05C3">
      <w:pPr>
        <w:pStyle w:val="ListParagraph"/>
        <w:numPr>
          <w:ilvl w:val="0"/>
          <w:numId w:val="20"/>
        </w:numPr>
        <w:spacing w:after="160"/>
        <w:jc w:val="both"/>
        <w:rPr>
          <w:rFonts w:ascii="Arial" w:hAnsi="Arial" w:cs="Arial"/>
        </w:rPr>
      </w:pPr>
      <w:r w:rsidRPr="007E05C3">
        <w:rPr>
          <w:rFonts w:ascii="Arial" w:hAnsi="Arial" w:cs="Arial"/>
          <w:color w:val="222222"/>
        </w:rPr>
        <w:t xml:space="preserve">Exposure is measurable through the RYSI vector — a four-dimensional, attributed, continuously updated calibration state that expresses both direction and magnitude of deviation from the required calibration state for each functional dimension. </w:t>
      </w:r>
    </w:p>
    <w:p w14:paraId="55FC3ECB" w14:textId="77777777" w:rsidR="007E05C3" w:rsidRPr="007E05C3" w:rsidRDefault="00000000" w:rsidP="007E05C3">
      <w:pPr>
        <w:pStyle w:val="ListParagraph"/>
        <w:numPr>
          <w:ilvl w:val="0"/>
          <w:numId w:val="20"/>
        </w:numPr>
        <w:spacing w:after="160"/>
        <w:jc w:val="both"/>
        <w:rPr>
          <w:rFonts w:ascii="Arial" w:hAnsi="Arial" w:cs="Arial"/>
        </w:rPr>
      </w:pPr>
      <w:r w:rsidRPr="007E05C3">
        <w:rPr>
          <w:rFonts w:ascii="Arial" w:hAnsi="Arial" w:cs="Arial"/>
          <w:color w:val="222222"/>
        </w:rPr>
        <w:t xml:space="preserve">Outcome uncertainty arises naturally from the multi-state transition structure — the future path of each dimension is governed by transition propensities, not deterministic rules. </w:t>
      </w:r>
    </w:p>
    <w:p w14:paraId="65A12304" w14:textId="77777777" w:rsidR="007E05C3" w:rsidRPr="007E05C3" w:rsidRDefault="00000000" w:rsidP="007E05C3">
      <w:pPr>
        <w:pStyle w:val="ListParagraph"/>
        <w:numPr>
          <w:ilvl w:val="0"/>
          <w:numId w:val="20"/>
        </w:numPr>
        <w:spacing w:after="160"/>
        <w:jc w:val="both"/>
        <w:rPr>
          <w:rFonts w:ascii="Arial" w:hAnsi="Arial" w:cs="Arial"/>
        </w:rPr>
      </w:pPr>
      <w:r w:rsidRPr="007E05C3">
        <w:rPr>
          <w:rFonts w:ascii="Arial" w:hAnsi="Arial" w:cs="Arial"/>
          <w:color w:val="222222"/>
        </w:rPr>
        <w:t xml:space="preserve">Financial impact is directly observable through the connection to the expected general and administrative expense and the tail above that mean established </w:t>
      </w:r>
      <w:r w:rsidRPr="007E05C3">
        <w:rPr>
          <w:rFonts w:ascii="Arial" w:hAnsi="Arial" w:cs="Arial"/>
          <w:color w:val="222222"/>
          <w:highlight w:val="yellow"/>
        </w:rPr>
        <w:t>in Law 5 and Part 4.2.</w:t>
      </w:r>
      <w:r w:rsidRPr="007E05C3">
        <w:rPr>
          <w:rFonts w:ascii="Arial" w:hAnsi="Arial" w:cs="Arial"/>
          <w:color w:val="222222"/>
        </w:rPr>
        <w:t xml:space="preserve"> </w:t>
      </w:r>
    </w:p>
    <w:p w14:paraId="4EAD224E" w14:textId="77777777" w:rsidR="007E05C3" w:rsidRPr="007E05C3" w:rsidRDefault="00000000" w:rsidP="007E05C3">
      <w:pPr>
        <w:pStyle w:val="ListParagraph"/>
        <w:numPr>
          <w:ilvl w:val="0"/>
          <w:numId w:val="20"/>
        </w:numPr>
        <w:spacing w:after="160"/>
        <w:jc w:val="both"/>
        <w:rPr>
          <w:rFonts w:ascii="Arial" w:hAnsi="Arial" w:cs="Arial"/>
        </w:rPr>
      </w:pPr>
      <w:r w:rsidRPr="007E05C3">
        <w:rPr>
          <w:rFonts w:ascii="Arial" w:hAnsi="Arial" w:cs="Arial"/>
          <w:color w:val="222222"/>
        </w:rPr>
        <w:t xml:space="preserve">Pooling is achievable across institutions whose calibration states differ across functions, geographies, and business models. </w:t>
      </w:r>
    </w:p>
    <w:p w14:paraId="7F50001E" w14:textId="71C932C2" w:rsidR="00000000" w:rsidRPr="007E05C3" w:rsidRDefault="00000000" w:rsidP="007E05C3">
      <w:pPr>
        <w:pStyle w:val="ListParagraph"/>
        <w:numPr>
          <w:ilvl w:val="0"/>
          <w:numId w:val="20"/>
        </w:numPr>
        <w:spacing w:after="160"/>
        <w:jc w:val="both"/>
        <w:rPr>
          <w:rFonts w:ascii="Arial" w:hAnsi="Arial" w:cs="Arial"/>
        </w:rPr>
      </w:pPr>
      <w:r w:rsidRPr="007E05C3">
        <w:rPr>
          <w:rFonts w:ascii="Arial" w:hAnsi="Arial" w:cs="Arial"/>
          <w:color w:val="222222"/>
        </w:rPr>
        <w:lastRenderedPageBreak/>
        <w:t>Partial independence exists by construction — the RYSI states of different institutions across different dimensions are not subject to a single common shock that moves all states simultaneously in the way that catastrophic events move correlated physical exposures.</w:t>
      </w:r>
    </w:p>
    <w:p w14:paraId="0CA8EDDA"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Operational risk therefore satisfies the structural conditions for insurability under a state-based measurement framework. It has historically been treated as non-insurable because the condition that produces operational loss — miscalibration — was not measurable. </w:t>
      </w:r>
    </w:p>
    <w:p w14:paraId="7F50001F" w14:textId="6309DE7B" w:rsidR="00000000" w:rsidRPr="00E00B6C" w:rsidRDefault="00000000">
      <w:pPr>
        <w:spacing w:after="160"/>
        <w:ind w:firstLine="360"/>
        <w:jc w:val="both"/>
        <w:rPr>
          <w:rFonts w:ascii="Arial" w:hAnsi="Arial" w:cs="Arial"/>
        </w:rPr>
      </w:pPr>
      <w:r w:rsidRPr="00E00B6C">
        <w:rPr>
          <w:rFonts w:ascii="Arial" w:hAnsi="Arial" w:cs="Arial"/>
          <w:color w:val="222222"/>
        </w:rPr>
        <w:t>The loss events that resulted from miscalibration were observable, but they were both retrospective and undifferentiated. A loss event after the fact does not distinguish between an institution that was well-calibrated and suffered an unavoidable shock and one that was poorly calibrated and experienced the predictable consequence of that miscalibration. The RYSI framework resolves this by measuring the calibration state prospectively. Once the condition is measurable, the exposure is transferable.</w:t>
      </w:r>
    </w:p>
    <w:p w14:paraId="7F500020" w14:textId="077CAF40" w:rsidR="00000000" w:rsidRPr="00E00B6C" w:rsidRDefault="00000000" w:rsidP="007E05C3">
      <w:pPr>
        <w:pStyle w:val="Heading1"/>
        <w:numPr>
          <w:ilvl w:val="1"/>
          <w:numId w:val="2"/>
        </w:numPr>
      </w:pPr>
      <w:r w:rsidRPr="00E00B6C">
        <w:t>The State-Based Inversion</w:t>
      </w:r>
    </w:p>
    <w:p w14:paraId="7F500021" w14:textId="77777777" w:rsidR="00000000" w:rsidRPr="00E00B6C" w:rsidRDefault="00000000">
      <w:pPr>
        <w:spacing w:after="160"/>
        <w:ind w:firstLine="360"/>
        <w:jc w:val="both"/>
        <w:rPr>
          <w:rFonts w:ascii="Arial" w:hAnsi="Arial" w:cs="Arial"/>
        </w:rPr>
      </w:pPr>
      <w:r w:rsidRPr="00E00B6C">
        <w:rPr>
          <w:rFonts w:ascii="Arial" w:hAnsi="Arial" w:cs="Arial"/>
          <w:color w:val="222222"/>
        </w:rPr>
        <w:t>Conventional insurance structures are event-based. They define a triggering event — a loss occurrence, an index threshold, an external reference — and provide a payment conditioned on that event. The insured object is the event. The payment is conditioned on whether the event occurred and, in indemnity structures, on the magnitude of the loss it produced.</w:t>
      </w:r>
    </w:p>
    <w:p w14:paraId="7F500022" w14:textId="77777777" w:rsidR="00000000" w:rsidRPr="00E00B6C" w:rsidRDefault="00000000">
      <w:pPr>
        <w:spacing w:after="160"/>
        <w:ind w:firstLine="360"/>
        <w:jc w:val="both"/>
        <w:rPr>
          <w:rFonts w:ascii="Arial" w:hAnsi="Arial" w:cs="Arial"/>
        </w:rPr>
      </w:pPr>
      <w:r w:rsidRPr="00E00B6C">
        <w:rPr>
          <w:rFonts w:ascii="Arial" w:hAnsi="Arial" w:cs="Arial"/>
          <w:color w:val="222222"/>
        </w:rPr>
        <w:t>Operational risk, defined as calibration deviation, inverts this structure. The insured object is not the event. It is the condition that produces the event. A calibration-state transfer structure attaches to the RYSI state — to the current and evolving position of the institution’s functional dimensions relative to their required calibration — and responds to movement in that state rather than to the crystallisation of a loss event that the state may eventually produce.</w:t>
      </w:r>
    </w:p>
    <w:p w14:paraId="7C3E667C"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This inversion is not merely a structural refinement. It is a categorical shift in what insurance does. </w:t>
      </w:r>
    </w:p>
    <w:p w14:paraId="40A9567E" w14:textId="0B028F41" w:rsidR="007E05C3" w:rsidRPr="007E05C3" w:rsidRDefault="00000000" w:rsidP="007E05C3">
      <w:pPr>
        <w:pStyle w:val="ListParagraph"/>
        <w:numPr>
          <w:ilvl w:val="0"/>
          <w:numId w:val="21"/>
        </w:numPr>
        <w:spacing w:after="160"/>
        <w:jc w:val="both"/>
        <w:rPr>
          <w:rFonts w:ascii="Arial" w:hAnsi="Arial" w:cs="Arial"/>
          <w:color w:val="222222"/>
        </w:rPr>
      </w:pPr>
      <w:r w:rsidRPr="007E05C3">
        <w:rPr>
          <w:rFonts w:ascii="Arial" w:hAnsi="Arial" w:cs="Arial"/>
          <w:color w:val="222222"/>
        </w:rPr>
        <w:t xml:space="preserve">Event-based structures are necessarily retrospective — they measure what has happened and compensate for it. </w:t>
      </w:r>
    </w:p>
    <w:p w14:paraId="1E24F61E" w14:textId="77777777" w:rsidR="007E05C3" w:rsidRPr="007E05C3" w:rsidRDefault="00000000" w:rsidP="007E05C3">
      <w:pPr>
        <w:pStyle w:val="ListParagraph"/>
        <w:numPr>
          <w:ilvl w:val="0"/>
          <w:numId w:val="21"/>
        </w:numPr>
        <w:spacing w:after="160"/>
        <w:jc w:val="both"/>
        <w:rPr>
          <w:rFonts w:ascii="Arial" w:hAnsi="Arial" w:cs="Arial"/>
          <w:color w:val="222222"/>
        </w:rPr>
      </w:pPr>
      <w:r w:rsidRPr="007E05C3">
        <w:rPr>
          <w:rFonts w:ascii="Arial" w:hAnsi="Arial" w:cs="Arial"/>
          <w:color w:val="222222"/>
        </w:rPr>
        <w:t xml:space="preserve">State-based structures are prospectively oriented — they measure what is developing and transfer the risk of that development before it crystallises. </w:t>
      </w:r>
    </w:p>
    <w:p w14:paraId="2FA96723" w14:textId="77777777" w:rsidR="007E05C3" w:rsidRDefault="00000000">
      <w:pPr>
        <w:spacing w:after="160"/>
        <w:ind w:firstLine="360"/>
        <w:jc w:val="both"/>
        <w:rPr>
          <w:rFonts w:ascii="Arial" w:hAnsi="Arial" w:cs="Arial"/>
          <w:color w:val="222222"/>
        </w:rPr>
      </w:pPr>
      <w:r w:rsidRPr="00E00B6C">
        <w:rPr>
          <w:rFonts w:ascii="Arial" w:hAnsi="Arial" w:cs="Arial"/>
          <w:color w:val="222222"/>
        </w:rPr>
        <w:t xml:space="preserve">For operational risk, where the condition is measurable and the event is the lagged consequence of that condition, a state-based structure is more precise, more timely, and more aligned with the management function of the institution than any event-based structure can be. </w:t>
      </w:r>
    </w:p>
    <w:p w14:paraId="7F500023" w14:textId="2DD06B19" w:rsidR="00000000" w:rsidRPr="00E00B6C" w:rsidRDefault="00000000">
      <w:pPr>
        <w:spacing w:after="160"/>
        <w:ind w:firstLine="360"/>
        <w:jc w:val="both"/>
        <w:rPr>
          <w:rFonts w:ascii="Arial" w:hAnsi="Arial" w:cs="Arial"/>
        </w:rPr>
      </w:pPr>
      <w:r w:rsidRPr="00E00B6C">
        <w:rPr>
          <w:rFonts w:ascii="Arial" w:hAnsi="Arial" w:cs="Arial"/>
          <w:color w:val="222222"/>
        </w:rPr>
        <w:t>This distinction — between insuring the condition rather than the event — is the foundational reorientation that makes operational risk a structurally insurable domain.</w:t>
      </w:r>
    </w:p>
    <w:p w14:paraId="7F500024" w14:textId="7FB2B7B6" w:rsidR="00000000" w:rsidRPr="00E00B6C" w:rsidRDefault="00000000" w:rsidP="007E05C3">
      <w:pPr>
        <w:pStyle w:val="Heading1"/>
        <w:numPr>
          <w:ilvl w:val="1"/>
          <w:numId w:val="2"/>
        </w:numPr>
      </w:pPr>
      <w:r w:rsidRPr="00E00B6C">
        <w:t>The Two-Layer Transfer Architecture</w:t>
      </w:r>
    </w:p>
    <w:p w14:paraId="7F500025" w14:textId="6A9A5C79" w:rsidR="00000000" w:rsidRPr="00E00B6C" w:rsidRDefault="00000000">
      <w:pPr>
        <w:spacing w:after="160"/>
        <w:ind w:firstLine="360"/>
        <w:jc w:val="both"/>
        <w:rPr>
          <w:rFonts w:ascii="Arial" w:hAnsi="Arial" w:cs="Arial"/>
        </w:rPr>
      </w:pPr>
      <w:r w:rsidRPr="00E00B6C">
        <w:rPr>
          <w:rFonts w:ascii="Arial" w:hAnsi="Arial" w:cs="Arial"/>
          <w:color w:val="222222"/>
        </w:rPr>
        <w:lastRenderedPageBreak/>
        <w:t>The two-layer decomposition established in</w:t>
      </w:r>
      <w:r w:rsidR="008A658E">
        <w:rPr>
          <w:rFonts w:ascii="Arial" w:hAnsi="Arial" w:cs="Arial"/>
          <w:color w:val="222222"/>
        </w:rPr>
        <w:t xml:space="preserve"> </w:t>
      </w:r>
      <w:r w:rsidR="008A658E">
        <w:rPr>
          <w:rFonts w:ascii="Arial" w:hAnsi="Arial" w:cs="Arial"/>
          <w:color w:val="222222"/>
        </w:rPr>
        <w:fldChar w:fldCharType="begin"/>
      </w:r>
      <w:r w:rsidR="008A658E">
        <w:rPr>
          <w:rFonts w:ascii="Arial" w:hAnsi="Arial" w:cs="Arial"/>
          <w:color w:val="222222"/>
        </w:rPr>
        <w:instrText xml:space="preserve"> REF _Ref227699098 \w \h </w:instrText>
      </w:r>
      <w:r w:rsidR="008A658E">
        <w:rPr>
          <w:rFonts w:ascii="Arial" w:hAnsi="Arial" w:cs="Arial"/>
          <w:color w:val="222222"/>
        </w:rPr>
      </w:r>
      <w:r w:rsidR="008A658E">
        <w:rPr>
          <w:rFonts w:ascii="Arial" w:hAnsi="Arial" w:cs="Arial"/>
          <w:color w:val="222222"/>
        </w:rPr>
        <w:fldChar w:fldCharType="separate"/>
      </w:r>
      <w:r w:rsidR="008A658E">
        <w:rPr>
          <w:rFonts w:ascii="Arial" w:hAnsi="Arial" w:cs="Arial"/>
          <w:color w:val="222222"/>
        </w:rPr>
        <w:t>1.5</w:t>
      </w:r>
      <w:r w:rsidR="008A658E">
        <w:rPr>
          <w:rFonts w:ascii="Arial" w:hAnsi="Arial" w:cs="Arial"/>
          <w:color w:val="222222"/>
        </w:rPr>
        <w:fldChar w:fldCharType="end"/>
      </w:r>
      <w:r w:rsidRPr="00E00B6C">
        <w:rPr>
          <w:rFonts w:ascii="Arial" w:hAnsi="Arial" w:cs="Arial"/>
          <w:color w:val="222222"/>
        </w:rPr>
        <w:t xml:space="preserve"> </w:t>
      </w:r>
      <w:r w:rsidR="007E05C3">
        <w:rPr>
          <w:rFonts w:ascii="Arial" w:hAnsi="Arial" w:cs="Arial"/>
          <w:color w:val="222222"/>
        </w:rPr>
        <w:fldChar w:fldCharType="begin"/>
      </w:r>
      <w:r w:rsidR="007E05C3">
        <w:rPr>
          <w:rFonts w:ascii="Arial" w:hAnsi="Arial" w:cs="Arial"/>
          <w:color w:val="222222"/>
        </w:rPr>
        <w:instrText xml:space="preserve"> REF _Ref227699098 \h </w:instrText>
      </w:r>
      <w:r w:rsidR="007E05C3">
        <w:rPr>
          <w:rFonts w:ascii="Arial" w:hAnsi="Arial" w:cs="Arial"/>
          <w:color w:val="222222"/>
        </w:rPr>
      </w:r>
      <w:r w:rsidR="007E05C3">
        <w:rPr>
          <w:rFonts w:ascii="Arial" w:hAnsi="Arial" w:cs="Arial"/>
          <w:color w:val="222222"/>
        </w:rPr>
        <w:fldChar w:fldCharType="separate"/>
      </w:r>
      <w:r w:rsidR="007E05C3" w:rsidRPr="00E00B6C">
        <w:rPr>
          <w:rFonts w:ascii="Arial" w:hAnsi="Arial" w:cs="Arial"/>
        </w:rPr>
        <w:t>The Two-Layer Structure</w:t>
      </w:r>
      <w:r w:rsidR="007E05C3">
        <w:rPr>
          <w:rFonts w:ascii="Arial" w:hAnsi="Arial" w:cs="Arial"/>
          <w:color w:val="222222"/>
        </w:rPr>
        <w:fldChar w:fldCharType="end"/>
      </w:r>
      <w:r w:rsidRPr="00E00B6C">
        <w:rPr>
          <w:rFonts w:ascii="Arial" w:hAnsi="Arial" w:cs="Arial"/>
          <w:color w:val="222222"/>
        </w:rPr>
        <w:t>—systemic operational risk and relationship-specific operational risk — creates a natural architecture for continuation transfer that mirrors the structure of the risk itself.</w:t>
      </w:r>
    </w:p>
    <w:p w14:paraId="2DE17ED4"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At the systemic layer, the institution’s own baseline calibration variance — the structural quality of its governance, models, and processes — produces a portfolio-wide operational risk state that is independent of any specific counterparty relationship. </w:t>
      </w:r>
    </w:p>
    <w:p w14:paraId="171AAE96"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Transfer at this layer attaches to the institution’s aggregate calibration position across all dimensions, addressing the operational consequence of institutional-level miscalibration. </w:t>
      </w:r>
    </w:p>
    <w:p w14:paraId="7F500026" w14:textId="3ECB44C9" w:rsidR="00000000" w:rsidRPr="00E00B6C" w:rsidRDefault="00000000">
      <w:pPr>
        <w:spacing w:after="160"/>
        <w:ind w:firstLine="360"/>
        <w:jc w:val="both"/>
        <w:rPr>
          <w:rFonts w:ascii="Arial" w:hAnsi="Arial" w:cs="Arial"/>
        </w:rPr>
      </w:pPr>
      <w:r w:rsidRPr="00E00B6C">
        <w:rPr>
          <w:rFonts w:ascii="Arial" w:hAnsi="Arial" w:cs="Arial"/>
          <w:color w:val="222222"/>
        </w:rPr>
        <w:t>This corresponds structurally to an aggregate or stop-loss form: the transfer responds when the institutional calibration state, measured across the full portfolio and all four dimensions, deteriorates beyond a defined boundary.</w:t>
      </w:r>
    </w:p>
    <w:p w14:paraId="57DC3518"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At the relationship-specific layer, the incremental operational cost generated by particular counterparty relationships above and beyond the systemic baseline is directly observable and attributed through the RYSI-client vector. </w:t>
      </w:r>
    </w:p>
    <w:p w14:paraId="7F500027" w14:textId="75A8629E" w:rsidR="00000000" w:rsidRPr="00E00B6C" w:rsidRDefault="00000000">
      <w:pPr>
        <w:spacing w:after="160"/>
        <w:ind w:firstLine="360"/>
        <w:jc w:val="both"/>
        <w:rPr>
          <w:rFonts w:ascii="Arial" w:hAnsi="Arial" w:cs="Arial"/>
        </w:rPr>
      </w:pPr>
      <w:r w:rsidRPr="00E00B6C">
        <w:rPr>
          <w:rFonts w:ascii="Arial" w:hAnsi="Arial" w:cs="Arial"/>
          <w:color w:val="222222"/>
        </w:rPr>
        <w:t>Transfer at this layer attaches to the calibration state of specific relationships, addressing the operational consequence of counterparty-specific miscalibration. This corresponds structurally to a per-risk or counterparty-excess form: the transfer responds when a specific relationship’s RYSI state deteriorates beyond a boundary defined for that relationship type and tier.</w:t>
      </w:r>
    </w:p>
    <w:p w14:paraId="7A9B4BCA"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The two layers are separable in the transfer architecture because they are separable in the measurement. Only a framework that distinguishes systemic from relationship-specific deviation can support precision in the transfer structure. </w:t>
      </w:r>
    </w:p>
    <w:p w14:paraId="7F500028" w14:textId="35EDB090" w:rsidR="00000000" w:rsidRPr="00E00B6C" w:rsidRDefault="00000000">
      <w:pPr>
        <w:spacing w:after="160"/>
        <w:ind w:firstLine="360"/>
        <w:jc w:val="both"/>
        <w:rPr>
          <w:rFonts w:ascii="Arial" w:hAnsi="Arial" w:cs="Arial"/>
        </w:rPr>
      </w:pPr>
      <w:r w:rsidRPr="00E00B6C">
        <w:rPr>
          <w:rFonts w:ascii="Arial" w:hAnsi="Arial" w:cs="Arial"/>
          <w:color w:val="222222"/>
        </w:rPr>
        <w:t>An undifferentiated loading — a uniform capital charge applied across all business — cannot be transferred with precision because the boundaries of the transferred exposure cannot be defined. The RYSI decomposition resolves this by making the layers distinct and independently measurable, and therefore independently transferable.</w:t>
      </w:r>
    </w:p>
    <w:p w14:paraId="7F500029" w14:textId="77777777" w:rsidR="00000000" w:rsidRPr="00E00B6C" w:rsidRDefault="00000000">
      <w:pPr>
        <w:pStyle w:val="Heading2"/>
      </w:pPr>
      <w:r w:rsidRPr="00E00B6C">
        <w:t>6.4 Forward Position</w:t>
      </w:r>
    </w:p>
    <w:p w14:paraId="7F50002A" w14:textId="77777777" w:rsidR="00000000" w:rsidRPr="00E00B6C" w:rsidRDefault="00000000">
      <w:pPr>
        <w:spacing w:after="160"/>
        <w:ind w:firstLine="360"/>
        <w:jc w:val="both"/>
        <w:rPr>
          <w:rFonts w:ascii="Arial" w:hAnsi="Arial" w:cs="Arial"/>
        </w:rPr>
      </w:pPr>
      <w:r w:rsidRPr="00E00B6C">
        <w:rPr>
          <w:rFonts w:ascii="Arial" w:hAnsi="Arial" w:cs="Arial"/>
          <w:color w:val="222222"/>
        </w:rPr>
        <w:t>This framework does not assert that operational risk transfer products currently exist in the form described here. It establishes that the structural conditions for such transfer are satisfied once calibration deviation becomes measurable under this framework, and that the framework provides the measurement infrastructure those conditions require.</w:t>
      </w:r>
    </w:p>
    <w:p w14:paraId="4709ED5B"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The natural evolution follows the logic of the measurement itself. In the first instance, the framework enables more precise internal capital attribution and budget setting, grounding the capital charge in the same measurement as the expense base it is intended to protect. </w:t>
      </w:r>
    </w:p>
    <w:p w14:paraId="52C62A06"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In the second instance, the attributed calibration state enables structured reinsurance arrangements — aggregate or excess-of-loss — that attach to </w:t>
      </w:r>
      <w:r w:rsidRPr="00E00B6C">
        <w:rPr>
          <w:rFonts w:ascii="Arial" w:hAnsi="Arial" w:cs="Arial"/>
          <w:color w:val="222222"/>
        </w:rPr>
        <w:lastRenderedPageBreak/>
        <w:t xml:space="preserve">observable operational cost outcomes conditioned on the dimensional RYSI states. </w:t>
      </w:r>
    </w:p>
    <w:p w14:paraId="7F50002B" w14:textId="62E3A88E" w:rsidR="00000000" w:rsidRPr="00E00B6C" w:rsidRDefault="00000000">
      <w:pPr>
        <w:spacing w:after="160"/>
        <w:ind w:firstLine="360"/>
        <w:jc w:val="both"/>
        <w:rPr>
          <w:rFonts w:ascii="Arial" w:hAnsi="Arial" w:cs="Arial"/>
        </w:rPr>
      </w:pPr>
      <w:r w:rsidRPr="00E00B6C">
        <w:rPr>
          <w:rFonts w:ascii="Arial" w:hAnsi="Arial" w:cs="Arial"/>
          <w:color w:val="222222"/>
        </w:rPr>
        <w:t>In the third instance, as calibration signal data accumulates across institutions and counterparty types, the development of parametric or hybrid calibration-state trigger structures becomes feasible.</w:t>
      </w:r>
    </w:p>
    <w:p w14:paraId="1B86DB95"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Whether this evolution occurs, and at what pace, depends on the development of data infrastructure for signal capture, the accumulation of calibration credibility across institutions, regulatory acceptance of state-based operational risk transfer, and market standardisation of the measurement framework. </w:t>
      </w:r>
    </w:p>
    <w:p w14:paraId="7F50002C" w14:textId="17470B3D" w:rsidR="00000000" w:rsidRPr="00E00B6C" w:rsidRDefault="00000000">
      <w:pPr>
        <w:spacing w:after="160"/>
        <w:ind w:firstLine="360"/>
        <w:jc w:val="both"/>
        <w:rPr>
          <w:rFonts w:ascii="Arial" w:hAnsi="Arial" w:cs="Arial"/>
        </w:rPr>
      </w:pPr>
      <w:r w:rsidRPr="00E00B6C">
        <w:rPr>
          <w:rFonts w:ascii="Arial" w:hAnsi="Arial" w:cs="Arial"/>
          <w:color w:val="222222"/>
        </w:rPr>
        <w:t>The framework does not determine that outcome. It establishes the structural foundation without which the outcome is structurally impossible.</w:t>
      </w:r>
    </w:p>
    <w:p w14:paraId="51DE812A" w14:textId="77777777" w:rsidR="00E73AA4" w:rsidRPr="00E00B6C" w:rsidRDefault="00000000">
      <w:pPr>
        <w:pStyle w:val="Heading1"/>
        <w:pBdr>
          <w:bottom w:val="single" w:sz="4" w:space="6" w:color="1A1A2E"/>
        </w:pBdr>
      </w:pPr>
      <w:r w:rsidRPr="00E00B6C">
        <w:t>Summary</w:t>
      </w:r>
    </w:p>
    <w:p w14:paraId="3FEDB6A3"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Operational risk arises when the calibration of any organisational function deviates from what the underlying risk requires. It exists in two layers — systemic and relationship-specific — that must be measured separately before either can be attributed or capitalised correctly. </w:t>
      </w:r>
    </w:p>
    <w:p w14:paraId="600E12CE" w14:textId="1FA2B45A" w:rsidR="00E73AA4" w:rsidRPr="00E00B6C" w:rsidRDefault="00000000">
      <w:pPr>
        <w:spacing w:after="160"/>
        <w:ind w:firstLine="360"/>
        <w:jc w:val="both"/>
        <w:rPr>
          <w:rFonts w:ascii="Arial" w:hAnsi="Arial" w:cs="Arial"/>
        </w:rPr>
      </w:pPr>
      <w:r w:rsidRPr="00E00B6C">
        <w:rPr>
          <w:rFonts w:ascii="Arial" w:hAnsi="Arial" w:cs="Arial"/>
          <w:color w:val="222222"/>
        </w:rPr>
        <w:t>It manifests across four functional dimensions — relational, structural, institutional, and capacity — that are observationally independent but causally connected through the institution's own organisational structure. It is directional: positive and negative deviation from optimal calibration both induce operational loss. And it is an equilibrium: the state of any relationship is jointly determined by the institution's calibration and the counterparty's response to it. Neither side determines it alone.</w:t>
      </w:r>
    </w:p>
    <w:p w14:paraId="16F44DEB" w14:textId="77777777" w:rsidR="00E73AA4" w:rsidRPr="00E00B6C" w:rsidRDefault="00000000">
      <w:pPr>
        <w:spacing w:after="160"/>
        <w:ind w:firstLine="360"/>
        <w:jc w:val="both"/>
        <w:rPr>
          <w:rFonts w:ascii="Arial" w:hAnsi="Arial" w:cs="Arial"/>
        </w:rPr>
      </w:pPr>
      <w:r w:rsidRPr="00E00B6C">
        <w:rPr>
          <w:rFonts w:ascii="Arial" w:hAnsi="Arial" w:cs="Arial"/>
          <w:color w:val="222222"/>
        </w:rPr>
        <w:t>The mean of the operational risk distribution is the expected general and administrative expense. The capital charge is the tail above that mean. The IFRS 17 general and administrative allocation and the SCR operational risk component are two readings of the same measurement at different aggregation levels. The actual versus expected variance decomposes into volume, calibration, and efficiency components that are attributable to specific functions and specific individuals through the same signal record that produces the capital charge.</w:t>
      </w:r>
    </w:p>
    <w:p w14:paraId="355DE51F" w14:textId="77777777" w:rsidR="00E73AA4" w:rsidRPr="00E00B6C" w:rsidRDefault="00000000">
      <w:pPr>
        <w:spacing w:after="160"/>
        <w:ind w:firstLine="360"/>
        <w:jc w:val="both"/>
        <w:rPr>
          <w:rFonts w:ascii="Arial" w:hAnsi="Arial" w:cs="Arial"/>
          <w:color w:val="222222"/>
        </w:rPr>
      </w:pPr>
      <w:r w:rsidRPr="00E00B6C">
        <w:rPr>
          <w:rFonts w:ascii="Arial" w:hAnsi="Arial" w:cs="Arial"/>
          <w:color w:val="222222"/>
        </w:rPr>
        <w:t>The framework is stated at the level of principle. Its modelling specification — distributional assumptions, transition calibration, scenario generator architecture, and computational implementation — is defined separately and takes this framework as its foundation. What this paper establishes is the conceptual structure within which any compliant model must operate: four dimensions, two layers, five states, one equilibrium, and a capital charge that is grounded in the same measurement as the expense base it is intended to protect.</w:t>
      </w:r>
    </w:p>
    <w:p w14:paraId="7D1CA51F" w14:textId="77777777" w:rsidR="008A658E" w:rsidRDefault="00217BDC" w:rsidP="00217BDC">
      <w:pPr>
        <w:spacing w:after="160"/>
        <w:ind w:firstLine="360"/>
        <w:jc w:val="both"/>
        <w:rPr>
          <w:rFonts w:ascii="Arial" w:hAnsi="Arial" w:cs="Arial"/>
          <w:color w:val="222222"/>
        </w:rPr>
      </w:pPr>
      <w:r w:rsidRPr="00E00B6C">
        <w:rPr>
          <w:rFonts w:ascii="Arial" w:hAnsi="Arial" w:cs="Arial"/>
          <w:color w:val="222222"/>
        </w:rPr>
        <w:t xml:space="preserve">This framework is the first of two documents. A companion modelling specification will define the signal sets, transition matrices, calibration methodology, horizon weighting parameters, and computational architecture required for implementation. </w:t>
      </w:r>
    </w:p>
    <w:p w14:paraId="0C6AF85C" w14:textId="77777777" w:rsidR="008A658E" w:rsidRDefault="00217BDC" w:rsidP="00217BDC">
      <w:pPr>
        <w:spacing w:after="160"/>
        <w:ind w:firstLine="360"/>
        <w:jc w:val="both"/>
        <w:rPr>
          <w:rFonts w:ascii="Arial" w:hAnsi="Arial" w:cs="Arial"/>
          <w:color w:val="222222"/>
        </w:rPr>
      </w:pPr>
      <w:r w:rsidRPr="00E00B6C">
        <w:rPr>
          <w:rFonts w:ascii="Arial" w:hAnsi="Arial" w:cs="Arial"/>
          <w:color w:val="222222"/>
        </w:rPr>
        <w:lastRenderedPageBreak/>
        <w:t xml:space="preserve">Together the framework and its modelling specification form a complete operational risk measurement system — grounded in calibration deviation rather than loss events, attributed to the functions and individuals responsible for each dimensional state, structurally connected to the institution's IFRS 17 general and administrative reporting, and consistent with the solvency capital requirements of Solvency II and equivalent regulatory frameworks including the BMA regime. </w:t>
      </w:r>
    </w:p>
    <w:p w14:paraId="1C57AF66" w14:textId="4EF79DBB" w:rsidR="00E73AA4" w:rsidRPr="00E00B6C" w:rsidRDefault="00217BDC" w:rsidP="00217BDC">
      <w:pPr>
        <w:spacing w:after="160"/>
        <w:ind w:firstLine="360"/>
        <w:jc w:val="both"/>
        <w:rPr>
          <w:rFonts w:ascii="Arial" w:hAnsi="Arial" w:cs="Arial"/>
          <w:color w:val="222222"/>
        </w:rPr>
      </w:pPr>
      <w:r w:rsidRPr="00E00B6C">
        <w:rPr>
          <w:rFonts w:ascii="Arial" w:hAnsi="Arial" w:cs="Arial"/>
          <w:color w:val="222222"/>
        </w:rPr>
        <w:t>The challenge the framework poses to the profession is straightforward: produce an institution whose operational risk cannot be described within four dimensions, two layers, five states, and one equilibrium. Until that challenge is met, the framework stands as a complete and sufficient description of the condition that operational risk capital is intended to protect against.</w:t>
      </w:r>
    </w:p>
    <w:p w14:paraId="268F8798" w14:textId="77777777" w:rsidR="008A658E" w:rsidRDefault="00000000">
      <w:pPr>
        <w:spacing w:after="160"/>
        <w:ind w:firstLine="360"/>
        <w:jc w:val="both"/>
        <w:rPr>
          <w:rFonts w:ascii="Arial" w:hAnsi="Arial" w:cs="Arial"/>
          <w:color w:val="222222"/>
        </w:rPr>
      </w:pPr>
      <w:r w:rsidRPr="00E00B6C">
        <w:rPr>
          <w:rFonts w:ascii="Arial" w:hAnsi="Arial" w:cs="Arial"/>
          <w:color w:val="222222"/>
        </w:rPr>
        <w:t xml:space="preserve">Operational risk is defined in this framework as endogenously-sourced calibration deviation — the measurable departure of each institutional function from the calibration state required for continuation, assessed across four irreducible dimensions, decomposed into systemic and relationship-specific layers, and connected to the institution’s financial reporting and solvency capital requirements through a single measurement instrument. </w:t>
      </w:r>
    </w:p>
    <w:p w14:paraId="7F50002D" w14:textId="7EC6AAB3" w:rsidR="00000000" w:rsidRPr="00E00B6C" w:rsidRDefault="00000000">
      <w:pPr>
        <w:spacing w:after="160"/>
        <w:ind w:firstLine="360"/>
        <w:jc w:val="both"/>
        <w:rPr>
          <w:rFonts w:ascii="Arial" w:hAnsi="Arial" w:cs="Arial"/>
        </w:rPr>
      </w:pPr>
      <w:r w:rsidRPr="00E00B6C">
        <w:rPr>
          <w:rFonts w:ascii="Arial" w:hAnsi="Arial" w:cs="Arial"/>
          <w:color w:val="222222"/>
        </w:rPr>
        <w:t>This framework is stated at the level of foundational principle. All measurement specifications, signal sets, transition architectures, regulatory submission formats, and transfer structures that apply this framework are derived from it, not embedded within it.</w:t>
      </w:r>
    </w:p>
    <w:p w14:paraId="7BF09A51" w14:textId="77777777" w:rsidR="00E73AA4" w:rsidRPr="00E00B6C" w:rsidRDefault="00000000">
      <w:pPr>
        <w:pStyle w:val="Heading1"/>
      </w:pPr>
      <w:r w:rsidRPr="00E00B6C">
        <w:t>References</w:t>
      </w:r>
    </w:p>
    <w:p w14:paraId="7BF09A52" w14:textId="77777777" w:rsidR="00E73AA4" w:rsidRPr="00E00B6C" w:rsidRDefault="00000000">
      <w:pPr>
        <w:pStyle w:val="Heading2"/>
      </w:pPr>
      <w:r w:rsidRPr="00E00B6C">
        <w:t>Regulatory and Legislative References</w:t>
      </w:r>
    </w:p>
    <w:p w14:paraId="7BF09A53" w14:textId="77777777" w:rsidR="00E73AA4" w:rsidRPr="00E00B6C" w:rsidRDefault="00000000">
      <w:pPr>
        <w:spacing w:before="80" w:after="120"/>
        <w:jc w:val="both"/>
        <w:rPr>
          <w:rFonts w:ascii="Arial" w:hAnsi="Arial" w:cs="Arial"/>
        </w:rPr>
      </w:pPr>
      <w:r w:rsidRPr="00E00B6C">
        <w:rPr>
          <w:rFonts w:ascii="Arial" w:hAnsi="Arial" w:cs="Arial"/>
        </w:rPr>
        <w:t xml:space="preserve">Basel Committee on Banking Supervision (2004). </w:t>
      </w:r>
      <w:r w:rsidRPr="00E00B6C">
        <w:rPr>
          <w:rFonts w:ascii="Arial" w:hAnsi="Arial" w:cs="Arial"/>
          <w:i/>
        </w:rPr>
        <w:t>International Convergence of Capital Measurement and Capital Standards: A Revised Framework</w:t>
      </w:r>
      <w:r w:rsidRPr="00E00B6C">
        <w:rPr>
          <w:rFonts w:ascii="Arial" w:hAnsi="Arial" w:cs="Arial"/>
        </w:rPr>
        <w:t>. Bank for International Settlements, Basel. Available at: https://www.bis.org/publ/bcbs128.htm</w:t>
      </w:r>
    </w:p>
    <w:p w14:paraId="7BF09A54" w14:textId="77777777" w:rsidR="00E73AA4" w:rsidRPr="00E00B6C" w:rsidRDefault="00000000">
      <w:pPr>
        <w:spacing w:before="80" w:after="120"/>
        <w:jc w:val="both"/>
        <w:rPr>
          <w:rFonts w:ascii="Arial" w:hAnsi="Arial" w:cs="Arial"/>
        </w:rPr>
      </w:pPr>
      <w:r w:rsidRPr="00E00B6C">
        <w:rPr>
          <w:rFonts w:ascii="Arial" w:hAnsi="Arial" w:cs="Arial"/>
        </w:rPr>
        <w:t xml:space="preserve">Basel Committee on Banking Supervision (2011). </w:t>
      </w:r>
      <w:r w:rsidRPr="00E00B6C">
        <w:rPr>
          <w:rFonts w:ascii="Arial" w:hAnsi="Arial" w:cs="Arial"/>
          <w:i/>
        </w:rPr>
        <w:t>Operational Risk — Supervisory Guidelines for the Advanced Measurement Approaches</w:t>
      </w:r>
      <w:r w:rsidRPr="00E00B6C">
        <w:rPr>
          <w:rFonts w:ascii="Arial" w:hAnsi="Arial" w:cs="Arial"/>
        </w:rPr>
        <w:t>. Bank for International Settlements, Basel. Available at: https://www.bis.org/publ/bcbs196.htm</w:t>
      </w:r>
    </w:p>
    <w:p w14:paraId="7BF09A55" w14:textId="77777777" w:rsidR="00E73AA4" w:rsidRPr="00E00B6C" w:rsidRDefault="00000000">
      <w:pPr>
        <w:spacing w:before="80" w:after="120"/>
        <w:jc w:val="both"/>
        <w:rPr>
          <w:rFonts w:ascii="Arial" w:hAnsi="Arial" w:cs="Arial"/>
        </w:rPr>
      </w:pPr>
      <w:r w:rsidRPr="00E00B6C">
        <w:rPr>
          <w:rFonts w:ascii="Arial" w:hAnsi="Arial" w:cs="Arial"/>
        </w:rPr>
        <w:t xml:space="preserve">Basel Committee on Banking Supervision (2016). </w:t>
      </w:r>
      <w:r w:rsidRPr="00E00B6C">
        <w:rPr>
          <w:rFonts w:ascii="Arial" w:hAnsi="Arial" w:cs="Arial"/>
          <w:i/>
        </w:rPr>
        <w:t>Standardised Measurement Approach for Operational Risk: Consultative Document</w:t>
      </w:r>
      <w:r w:rsidRPr="00E00B6C">
        <w:rPr>
          <w:rFonts w:ascii="Arial" w:hAnsi="Arial" w:cs="Arial"/>
        </w:rPr>
        <w:t>. Bank for International Settlements, Basel. Available at: https://www.bis.org/bcbs/publ/d355.htm</w:t>
      </w:r>
    </w:p>
    <w:p w14:paraId="7BF09A56" w14:textId="77777777" w:rsidR="00E73AA4" w:rsidRPr="00E00B6C" w:rsidRDefault="00000000">
      <w:pPr>
        <w:spacing w:before="80" w:after="120"/>
        <w:jc w:val="both"/>
        <w:rPr>
          <w:rFonts w:ascii="Arial" w:hAnsi="Arial" w:cs="Arial"/>
        </w:rPr>
      </w:pPr>
      <w:r w:rsidRPr="00E00B6C">
        <w:rPr>
          <w:rFonts w:ascii="Arial" w:hAnsi="Arial" w:cs="Arial"/>
        </w:rPr>
        <w:t xml:space="preserve">Bermuda Monetary Authority (2024). </w:t>
      </w:r>
      <w:r w:rsidRPr="00E00B6C">
        <w:rPr>
          <w:rFonts w:ascii="Arial" w:hAnsi="Arial" w:cs="Arial"/>
          <w:i/>
        </w:rPr>
        <w:t>Bermuda Solvency Capital Requirement</w:t>
      </w:r>
      <w:r w:rsidRPr="00E00B6C">
        <w:rPr>
          <w:rFonts w:ascii="Arial" w:hAnsi="Arial" w:cs="Arial"/>
        </w:rPr>
        <w:t>. Bermuda Monetary Authority, Hamilton. Available at: https://www.bma.bm</w:t>
      </w:r>
    </w:p>
    <w:p w14:paraId="7BF09A57" w14:textId="77777777" w:rsidR="00E73AA4" w:rsidRPr="00E00B6C" w:rsidRDefault="00000000">
      <w:pPr>
        <w:spacing w:before="80" w:after="120"/>
        <w:jc w:val="both"/>
        <w:rPr>
          <w:rFonts w:ascii="Arial" w:hAnsi="Arial" w:cs="Arial"/>
        </w:rPr>
      </w:pPr>
      <w:r w:rsidRPr="00E00B6C">
        <w:rPr>
          <w:rFonts w:ascii="Arial" w:hAnsi="Arial" w:cs="Arial"/>
        </w:rPr>
        <w:t xml:space="preserve">European Insurance and Occupational Pensions Authority (2015). </w:t>
      </w:r>
      <w:r w:rsidRPr="00E00B6C">
        <w:rPr>
          <w:rFonts w:ascii="Arial" w:hAnsi="Arial" w:cs="Arial"/>
          <w:i/>
        </w:rPr>
        <w:t>Guidelines on the System of Governance</w:t>
      </w:r>
      <w:r w:rsidRPr="00E00B6C">
        <w:rPr>
          <w:rFonts w:ascii="Arial" w:hAnsi="Arial" w:cs="Arial"/>
        </w:rPr>
        <w:t>. EIOPA-BoS-14/253 EN. EIOPA, Frankfurt. Available at: https://www.eiopa.europa.eu</w:t>
      </w:r>
    </w:p>
    <w:p w14:paraId="7BF09A58" w14:textId="77777777" w:rsidR="00E73AA4" w:rsidRPr="00E00B6C" w:rsidRDefault="00000000">
      <w:pPr>
        <w:spacing w:before="80" w:after="120"/>
        <w:jc w:val="both"/>
        <w:rPr>
          <w:rFonts w:ascii="Arial" w:hAnsi="Arial" w:cs="Arial"/>
        </w:rPr>
      </w:pPr>
      <w:r w:rsidRPr="00E00B6C">
        <w:rPr>
          <w:rFonts w:ascii="Arial" w:hAnsi="Arial" w:cs="Arial"/>
        </w:rPr>
        <w:t xml:space="preserve">European Parliament and Council (2009). </w:t>
      </w:r>
      <w:r w:rsidRPr="00E00B6C">
        <w:rPr>
          <w:rFonts w:ascii="Arial" w:hAnsi="Arial" w:cs="Arial"/>
          <w:i/>
        </w:rPr>
        <w:t>Directive 2009/138/EC of the European Parliament and of the Council on the Taking-up and Pursuit of the Business of Insurance and Reinsurance (Solvency II)</w:t>
      </w:r>
      <w:r w:rsidRPr="00E00B6C">
        <w:rPr>
          <w:rFonts w:ascii="Arial" w:hAnsi="Arial" w:cs="Arial"/>
        </w:rPr>
        <w:t>. Official Journal of the European Union, Brussels.</w:t>
      </w:r>
    </w:p>
    <w:p w14:paraId="7BF09A59" w14:textId="77777777" w:rsidR="00E73AA4" w:rsidRPr="00E00B6C" w:rsidRDefault="00000000">
      <w:pPr>
        <w:spacing w:before="80" w:after="120"/>
        <w:jc w:val="both"/>
        <w:rPr>
          <w:rFonts w:ascii="Arial" w:hAnsi="Arial" w:cs="Arial"/>
        </w:rPr>
      </w:pPr>
      <w:r w:rsidRPr="00E00B6C">
        <w:rPr>
          <w:rFonts w:ascii="Arial" w:hAnsi="Arial" w:cs="Arial"/>
        </w:rPr>
        <w:lastRenderedPageBreak/>
        <w:t xml:space="preserve">Financial Services Authority (2004). </w:t>
      </w:r>
      <w:r w:rsidRPr="00E00B6C">
        <w:rPr>
          <w:rFonts w:ascii="Arial" w:hAnsi="Arial" w:cs="Arial"/>
          <w:i/>
        </w:rPr>
        <w:t>Enhanced Capital Requirements and Individual Capital Assessments for Life Insurers</w:t>
      </w:r>
      <w:r w:rsidRPr="00E00B6C">
        <w:rPr>
          <w:rFonts w:ascii="Arial" w:hAnsi="Arial" w:cs="Arial"/>
        </w:rPr>
        <w:t>. Policy Statement PS04/16. FSA, London.</w:t>
      </w:r>
    </w:p>
    <w:p w14:paraId="7BF09A5A" w14:textId="77777777" w:rsidR="00E73AA4" w:rsidRPr="00E00B6C" w:rsidRDefault="00000000">
      <w:pPr>
        <w:spacing w:before="80" w:after="120"/>
        <w:jc w:val="both"/>
        <w:rPr>
          <w:rFonts w:ascii="Arial" w:hAnsi="Arial" w:cs="Arial"/>
        </w:rPr>
      </w:pPr>
      <w:r w:rsidRPr="00E00B6C">
        <w:rPr>
          <w:rFonts w:ascii="Arial" w:hAnsi="Arial" w:cs="Arial"/>
        </w:rPr>
        <w:t xml:space="preserve">International Accounting Standards Board (2017). </w:t>
      </w:r>
      <w:r w:rsidRPr="00E00B6C">
        <w:rPr>
          <w:rFonts w:ascii="Arial" w:hAnsi="Arial" w:cs="Arial"/>
          <w:i/>
        </w:rPr>
        <w:t>IFRS 17 Insurance Contracts</w:t>
      </w:r>
      <w:r w:rsidRPr="00E00B6C">
        <w:rPr>
          <w:rFonts w:ascii="Arial" w:hAnsi="Arial" w:cs="Arial"/>
        </w:rPr>
        <w:t>. IFRS Foundation, London. Available at: https://www.ifrs.org/issued-standards/list-of-standards/ifrs-17-insurance-contracts/</w:t>
      </w:r>
    </w:p>
    <w:p w14:paraId="7BF09A5B" w14:textId="77777777" w:rsidR="00E73AA4" w:rsidRPr="00E00B6C" w:rsidRDefault="00000000">
      <w:pPr>
        <w:pStyle w:val="Heading2"/>
      </w:pPr>
      <w:r w:rsidRPr="00E00B6C">
        <w:t>Academic References</w:t>
      </w:r>
    </w:p>
    <w:p w14:paraId="7BF09A5C" w14:textId="77777777" w:rsidR="00E73AA4" w:rsidRPr="00E00B6C" w:rsidRDefault="00000000">
      <w:pPr>
        <w:spacing w:before="80" w:after="120"/>
        <w:jc w:val="both"/>
        <w:rPr>
          <w:rFonts w:ascii="Arial" w:hAnsi="Arial" w:cs="Arial"/>
        </w:rPr>
      </w:pPr>
      <w:r w:rsidRPr="00E00B6C">
        <w:rPr>
          <w:rFonts w:ascii="Arial" w:hAnsi="Arial" w:cs="Arial"/>
        </w:rPr>
        <w:t xml:space="preserve">Cruz, M.G. (2002). </w:t>
      </w:r>
      <w:r w:rsidRPr="00E00B6C">
        <w:rPr>
          <w:rFonts w:ascii="Arial" w:hAnsi="Arial" w:cs="Arial"/>
          <w:i/>
        </w:rPr>
        <w:t>Modeling, Measuring and Hedging Operational Risk</w:t>
      </w:r>
      <w:r w:rsidRPr="00E00B6C">
        <w:rPr>
          <w:rFonts w:ascii="Arial" w:hAnsi="Arial" w:cs="Arial"/>
        </w:rPr>
        <w:t>. John Wiley &amp; Sons, Chichester.</w:t>
      </w:r>
    </w:p>
    <w:p w14:paraId="7BF09A5D" w14:textId="77777777" w:rsidR="00E73AA4" w:rsidRPr="00E00B6C" w:rsidRDefault="00000000">
      <w:pPr>
        <w:spacing w:before="80" w:after="120"/>
        <w:jc w:val="both"/>
        <w:rPr>
          <w:rFonts w:ascii="Arial" w:hAnsi="Arial" w:cs="Arial"/>
        </w:rPr>
      </w:pPr>
      <w:r w:rsidRPr="00E00B6C">
        <w:rPr>
          <w:rFonts w:ascii="Arial" w:hAnsi="Arial" w:cs="Arial"/>
        </w:rPr>
        <w:t xml:space="preserve">Dutta, K. and Perry, J. (2006). A tale of tails: an empirical analysis of loss distribution models for estimating operational risk capital. </w:t>
      </w:r>
      <w:r w:rsidRPr="00E00B6C">
        <w:rPr>
          <w:rFonts w:ascii="Arial" w:hAnsi="Arial" w:cs="Arial"/>
          <w:i/>
        </w:rPr>
        <w:t>Federal Reserve Bank of Boston Working Paper</w:t>
      </w:r>
      <w:r w:rsidRPr="00E00B6C">
        <w:rPr>
          <w:rFonts w:ascii="Arial" w:hAnsi="Arial" w:cs="Arial"/>
        </w:rPr>
        <w:t>, 06-13.</w:t>
      </w:r>
    </w:p>
    <w:p w14:paraId="7BF09A5E" w14:textId="77777777" w:rsidR="00E73AA4" w:rsidRPr="00E00B6C" w:rsidRDefault="00000000">
      <w:pPr>
        <w:spacing w:before="80" w:after="120"/>
        <w:jc w:val="both"/>
        <w:rPr>
          <w:rFonts w:ascii="Arial" w:hAnsi="Arial" w:cs="Arial"/>
        </w:rPr>
      </w:pPr>
      <w:r w:rsidRPr="00E00B6C">
        <w:rPr>
          <w:rFonts w:ascii="Arial" w:hAnsi="Arial" w:cs="Arial"/>
        </w:rPr>
        <w:t xml:space="preserve">Frachot, A., Georges, P. and Roncalli, T. (2001). Loss distribution approach for operational risk. </w:t>
      </w:r>
      <w:r w:rsidRPr="00E00B6C">
        <w:rPr>
          <w:rFonts w:ascii="Arial" w:hAnsi="Arial" w:cs="Arial"/>
          <w:i/>
        </w:rPr>
        <w:t>Working Paper, Groupe de Recherche Opérationnelle</w:t>
      </w:r>
      <w:r w:rsidRPr="00E00B6C">
        <w:rPr>
          <w:rFonts w:ascii="Arial" w:hAnsi="Arial" w:cs="Arial"/>
        </w:rPr>
        <w:t>, Crédit Lyonnais, Paris.</w:t>
      </w:r>
    </w:p>
    <w:p w14:paraId="7BF09A5F" w14:textId="77777777" w:rsidR="00E73AA4" w:rsidRPr="00E00B6C" w:rsidRDefault="00000000">
      <w:pPr>
        <w:spacing w:before="80" w:after="120"/>
        <w:jc w:val="both"/>
        <w:rPr>
          <w:rFonts w:ascii="Arial" w:hAnsi="Arial" w:cs="Arial"/>
        </w:rPr>
      </w:pPr>
      <w:r w:rsidRPr="00E00B6C">
        <w:rPr>
          <w:rFonts w:ascii="Arial" w:hAnsi="Arial" w:cs="Arial"/>
        </w:rPr>
        <w:t xml:space="preserve">Haberman, S. and Pitacco, E. (1999). </w:t>
      </w:r>
      <w:r w:rsidRPr="00E00B6C">
        <w:rPr>
          <w:rFonts w:ascii="Arial" w:hAnsi="Arial" w:cs="Arial"/>
          <w:i/>
        </w:rPr>
        <w:t>Actuarial Models for Disability Insurance</w:t>
      </w:r>
      <w:r w:rsidRPr="00E00B6C">
        <w:rPr>
          <w:rFonts w:ascii="Arial" w:hAnsi="Arial" w:cs="Arial"/>
        </w:rPr>
        <w:t>. Chapman &amp; Hall/CRC, Boca Raton.</w:t>
      </w:r>
    </w:p>
    <w:p w14:paraId="7BF09A60" w14:textId="77777777" w:rsidR="00E73AA4" w:rsidRPr="00E00B6C" w:rsidRDefault="00000000">
      <w:pPr>
        <w:spacing w:before="80" w:after="120"/>
        <w:jc w:val="both"/>
        <w:rPr>
          <w:rFonts w:ascii="Arial" w:hAnsi="Arial" w:cs="Arial"/>
        </w:rPr>
      </w:pPr>
      <w:r w:rsidRPr="00E00B6C">
        <w:rPr>
          <w:rFonts w:ascii="Arial" w:hAnsi="Arial" w:cs="Arial"/>
        </w:rPr>
        <w:t xml:space="preserve">King, J.L. (2001). </w:t>
      </w:r>
      <w:r w:rsidRPr="00E00B6C">
        <w:rPr>
          <w:rFonts w:ascii="Arial" w:hAnsi="Arial" w:cs="Arial"/>
          <w:i/>
        </w:rPr>
        <w:t>Operational Risk: Measurement and Modelling</w:t>
      </w:r>
      <w:r w:rsidRPr="00E00B6C">
        <w:rPr>
          <w:rFonts w:ascii="Arial" w:hAnsi="Arial" w:cs="Arial"/>
        </w:rPr>
        <w:t>. John Wiley &amp; Sons, Chichester.</w:t>
      </w:r>
    </w:p>
    <w:p w14:paraId="7BF09A61" w14:textId="77777777" w:rsidR="00E73AA4" w:rsidRPr="00E00B6C" w:rsidRDefault="00000000">
      <w:pPr>
        <w:spacing w:before="80" w:after="120"/>
        <w:jc w:val="both"/>
        <w:rPr>
          <w:rFonts w:ascii="Arial" w:hAnsi="Arial" w:cs="Arial"/>
        </w:rPr>
      </w:pPr>
      <w:r w:rsidRPr="00E00B6C">
        <w:rPr>
          <w:rFonts w:ascii="Arial" w:hAnsi="Arial" w:cs="Arial"/>
        </w:rPr>
        <w:t xml:space="preserve">Shevchenko, P.V. (2011). </w:t>
      </w:r>
      <w:r w:rsidRPr="00E00B6C">
        <w:rPr>
          <w:rFonts w:ascii="Arial" w:hAnsi="Arial" w:cs="Arial"/>
          <w:i/>
        </w:rPr>
        <w:t>Modelling Operational Risk Using Bayesian Inference</w:t>
      </w:r>
      <w:r w:rsidRPr="00E00B6C">
        <w:rPr>
          <w:rFonts w:ascii="Arial" w:hAnsi="Arial" w:cs="Arial"/>
        </w:rPr>
        <w:t>. Springer, Berlin.</w:t>
      </w:r>
    </w:p>
    <w:p w14:paraId="6AF08A48" w14:textId="77777777" w:rsidR="00E73AA4" w:rsidRPr="00E00B6C" w:rsidRDefault="00000000">
      <w:pPr>
        <w:pStyle w:val="Heading2"/>
      </w:pPr>
      <w:r w:rsidRPr="00E00B6C">
        <w:t>Citation and Version</w:t>
      </w:r>
    </w:p>
    <w:p w14:paraId="28F5EF22" w14:textId="77777777" w:rsidR="00E73AA4" w:rsidRPr="00E00B6C" w:rsidRDefault="00000000">
      <w:pPr>
        <w:spacing w:before="120" w:after="160"/>
        <w:jc w:val="both"/>
        <w:rPr>
          <w:rFonts w:ascii="Arial" w:hAnsi="Arial" w:cs="Arial"/>
        </w:rPr>
      </w:pPr>
      <w:r w:rsidRPr="00E00B6C">
        <w:rPr>
          <w:rFonts w:ascii="Arial" w:hAnsi="Arial" w:cs="Arial"/>
          <w:i/>
          <w:iCs/>
          <w:color w:val="444444"/>
          <w:sz w:val="18"/>
          <w:szCs w:val="18"/>
        </w:rPr>
        <w:t>Gew, Kok Pian. 2026. Operational Risk Modelling Framework: An Operational Risk Architecture for Insurance, Reinsurance, Life Assurance, and Pension Funds. Working Paper v1.7. DOI: https://doi.org/10.5281/zenodo.19490313</w:t>
      </w:r>
    </w:p>
    <w:p w14:paraId="7DE3B24E" w14:textId="77777777" w:rsidR="00E73AA4" w:rsidRPr="00E00B6C" w:rsidRDefault="00000000">
      <w:pPr>
        <w:spacing w:after="160"/>
        <w:rPr>
          <w:rFonts w:ascii="Arial" w:hAnsi="Arial" w:cs="Arial"/>
        </w:rPr>
      </w:pPr>
      <w:r w:rsidRPr="00E00B6C">
        <w:rPr>
          <w:rFonts w:ascii="Arial" w:eastAsia="Arial" w:hAnsi="Arial" w:cs="Arial"/>
          <w:color w:val="888888"/>
          <w:sz w:val="18"/>
          <w:szCs w:val="18"/>
        </w:rPr>
        <w:t>This working paper is made available under Creative Commons Attribution-NonCommercial 4.0 International (CC BY-NC 4.0). Commercial use requires explicit written permission from the author.</w:t>
      </w:r>
    </w:p>
    <w:p w14:paraId="233C5B11" w14:textId="77777777" w:rsidR="00E73AA4" w:rsidRPr="00E00B6C" w:rsidRDefault="00000000">
      <w:pPr>
        <w:rPr>
          <w:rFonts w:ascii="Arial" w:hAnsi="Arial" w:cs="Arial"/>
        </w:rPr>
      </w:pPr>
      <w:r w:rsidRPr="00E00B6C">
        <w:rPr>
          <w:rFonts w:ascii="Arial" w:eastAsia="Arial" w:hAnsi="Arial" w:cs="Arial"/>
          <w:color w:val="888888"/>
          <w:sz w:val="18"/>
          <w:szCs w:val="18"/>
        </w:rPr>
        <w:t>Version history: v1.0 — initial draft. v1.1 — added Framework Map, Key Definitions, Scope and Boundary, illustrative example, lineage statement, and revised primitives section. v1.2 through v1.4 — progressive structural refinement of abstract formalisation and regulatory linkage. v1.5 — structural extension: deviation and continuation as formal primitives; four deviation modes; directional exposure; continuation transfer; positioning of operational risk within the deviation framework; risk spectrum bridge; Part 5 Transferability establishing the structural conditions for insurability of operational risk. v1.6 (Draft) — architectural restructuring: subtitle revised to Operational Risk Architecture; Governance established as Part 3 covering evidential standards, admissibility conditions, challenge protocol, calibration governance, supervisory interface, and attribution governance; existing Parts renumbered 4–6 accordingly; personal disclaimer added to front matter. v1.7 — Formalisation updated: Section 5.10 added (aggregate operational risk expression, additive loading structure, two-layer simulation, correlated VaR capital charge, ECM +/- treatment). Version archival introduced.</w:t>
      </w:r>
    </w:p>
    <w:sectPr w:rsidR="00E73AA4" w:rsidRPr="00E00B6C">
      <w:headerReference w:type="default" r:id="rId12"/>
      <w:footerReference w:type="default" r:id="rId13"/>
      <w:pgSz w:w="11906" w:h="16838"/>
      <w:pgMar w:top="1440" w:right="144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 Pian Gew" w:date="2026-04-17T11:14:00Z" w:initials="KPG">
    <w:p w14:paraId="1BE0EE1C" w14:textId="77777777" w:rsidR="009D73F1" w:rsidRDefault="00000000">
      <w:r>
        <w:annotationRef/>
      </w:r>
      <w:r>
        <w:rPr>
          <w:color w:val="000000"/>
          <w:sz w:val="20"/>
          <w:szCs w:val="20"/>
        </w:rPr>
        <w:t>Extension note (author): This limitation extends to certain regulatory capital regimes that use industry-average assumptions to infer an offsetting premium or diversification benefit against a risk charge. Where the average is used as a proxy to derive an implied offset, the mechanism may reward institutions whose portfolios perform worse than average -- because a higher expected loss at the same tail exposure implies, under the average assumption, that proportionally more premium is being collected. The RYSI framework calibration state distinguishes between a well-calibrated book producing high expected loss by design and a miscalibrated book producing the same result through underwriting deficiency. An average-based proxy cannot make this distinction. This is one mechanism through which rule-based capital regimes that rely on industry averages may systematically misprice the operational risk of institutions whose underwriting behaviour deviates materially from the sector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0EE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1A649" w16cex:dateUtc="2026-04-17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0EE1C" w16cid:durableId="0971A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37C0" w14:textId="77777777" w:rsidR="009318F3" w:rsidRDefault="009318F3">
      <w:r>
        <w:separator/>
      </w:r>
    </w:p>
  </w:endnote>
  <w:endnote w:type="continuationSeparator" w:id="0">
    <w:p w14:paraId="084783A0" w14:textId="77777777" w:rsidR="009318F3" w:rsidRDefault="0093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2E02" w14:textId="77777777" w:rsidR="00E73AA4" w:rsidRDefault="00000000">
    <w:pPr>
      <w:pBdr>
        <w:top w:val="single" w:sz="2" w:space="4" w:color="DDDDDD"/>
      </w:pBdr>
      <w:jc w:val="right"/>
    </w:pPr>
    <w:r>
      <w:rPr>
        <w:rFonts w:ascii="Arial" w:eastAsia="Arial" w:hAnsi="Arial" w:cs="Arial"/>
        <w:color w:val="AAAAAA"/>
        <w:sz w:val="18"/>
        <w:szCs w:val="18"/>
      </w:rPr>
      <w:t xml:space="preserve">Working Paper · IFoA Submission Draft ·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1F370D">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5F6EF" w14:textId="77777777" w:rsidR="009318F3" w:rsidRDefault="009318F3">
      <w:r>
        <w:separator/>
      </w:r>
    </w:p>
  </w:footnote>
  <w:footnote w:type="continuationSeparator" w:id="0">
    <w:p w14:paraId="15AAC8B3" w14:textId="77777777" w:rsidR="009318F3" w:rsidRDefault="00931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DA7C" w14:textId="03675D85" w:rsidR="00E73AA4" w:rsidRDefault="00000000">
    <w:pPr>
      <w:pBdr>
        <w:bottom w:val="single" w:sz="2" w:space="4" w:color="DDDDDD"/>
      </w:pBdr>
      <w:tabs>
        <w:tab w:val="right" w:pos="7800"/>
      </w:tabs>
    </w:pPr>
    <w:r>
      <w:rPr>
        <w:rFonts w:ascii="Arial" w:eastAsia="Arial" w:hAnsi="Arial" w:cs="Arial"/>
        <w:color w:val="888888"/>
        <w:sz w:val="18"/>
        <w:szCs w:val="18"/>
      </w:rPr>
      <w:t>Operational Risk Modelling Framework  ·  v1.</w:t>
    </w:r>
    <w:r w:rsidR="009B7A7C">
      <w:rPr>
        <w:rFonts w:ascii="Arial" w:eastAsia="Arial" w:hAnsi="Arial" w:cs="Arial"/>
        <w:color w:val="888888"/>
        <w:sz w:val="18"/>
        <w:szCs w:val="18"/>
      </w:rPr>
      <w:t>4</w:t>
    </w:r>
    <w:r>
      <w:rPr>
        <w:rFonts w:ascii="Arial" w:eastAsia="Arial" w:hAnsi="Arial" w:cs="Arial"/>
        <w:sz w:val="18"/>
        <w:szCs w:val="18"/>
      </w:rPr>
      <w:tab/>
    </w:r>
    <w:r>
      <w:rPr>
        <w:rFonts w:ascii="Arial" w:eastAsia="Arial" w:hAnsi="Arial" w:cs="Arial"/>
        <w:color w:val="AAAAAA"/>
        <w:sz w:val="18"/>
        <w:szCs w:val="18"/>
      </w:rPr>
      <w:t>Kok Pian Gew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3EE7"/>
    <w:multiLevelType w:val="hybridMultilevel"/>
    <w:tmpl w:val="D21898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CDD1E54"/>
    <w:multiLevelType w:val="hybridMultilevel"/>
    <w:tmpl w:val="596277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2EA565A"/>
    <w:multiLevelType w:val="hybridMultilevel"/>
    <w:tmpl w:val="14F07A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57D05EF"/>
    <w:multiLevelType w:val="hybridMultilevel"/>
    <w:tmpl w:val="A2BEF7A0"/>
    <w:lvl w:ilvl="0" w:tplc="72CA2A64">
      <w:start w:val="1"/>
      <w:numFmt w:val="bullet"/>
      <w:lvlText w:val="●"/>
      <w:lvlJc w:val="left"/>
      <w:pPr>
        <w:ind w:left="720" w:hanging="360"/>
      </w:pPr>
    </w:lvl>
    <w:lvl w:ilvl="1" w:tplc="8514BCCC">
      <w:start w:val="1"/>
      <w:numFmt w:val="bullet"/>
      <w:lvlText w:val="○"/>
      <w:lvlJc w:val="left"/>
      <w:pPr>
        <w:ind w:left="1440" w:hanging="360"/>
      </w:pPr>
    </w:lvl>
    <w:lvl w:ilvl="2" w:tplc="941ED70E">
      <w:start w:val="1"/>
      <w:numFmt w:val="bullet"/>
      <w:lvlText w:val="■"/>
      <w:lvlJc w:val="left"/>
      <w:pPr>
        <w:ind w:left="2160" w:hanging="360"/>
      </w:pPr>
    </w:lvl>
    <w:lvl w:ilvl="3" w:tplc="E6F87824">
      <w:start w:val="1"/>
      <w:numFmt w:val="bullet"/>
      <w:lvlText w:val="●"/>
      <w:lvlJc w:val="left"/>
      <w:pPr>
        <w:ind w:left="2880" w:hanging="360"/>
      </w:pPr>
    </w:lvl>
    <w:lvl w:ilvl="4" w:tplc="6F966B88">
      <w:start w:val="1"/>
      <w:numFmt w:val="bullet"/>
      <w:lvlText w:val="○"/>
      <w:lvlJc w:val="left"/>
      <w:pPr>
        <w:ind w:left="3600" w:hanging="360"/>
      </w:pPr>
    </w:lvl>
    <w:lvl w:ilvl="5" w:tplc="E048E3F2">
      <w:start w:val="1"/>
      <w:numFmt w:val="bullet"/>
      <w:lvlText w:val="■"/>
      <w:lvlJc w:val="left"/>
      <w:pPr>
        <w:ind w:left="4320" w:hanging="360"/>
      </w:pPr>
    </w:lvl>
    <w:lvl w:ilvl="6" w:tplc="6F9417D0">
      <w:start w:val="1"/>
      <w:numFmt w:val="bullet"/>
      <w:lvlText w:val="●"/>
      <w:lvlJc w:val="left"/>
      <w:pPr>
        <w:ind w:left="5040" w:hanging="360"/>
      </w:pPr>
    </w:lvl>
    <w:lvl w:ilvl="7" w:tplc="D44C2088">
      <w:start w:val="1"/>
      <w:numFmt w:val="bullet"/>
      <w:lvlText w:val="●"/>
      <w:lvlJc w:val="left"/>
      <w:pPr>
        <w:ind w:left="5760" w:hanging="360"/>
      </w:pPr>
    </w:lvl>
    <w:lvl w:ilvl="8" w:tplc="6A12B246">
      <w:start w:val="1"/>
      <w:numFmt w:val="bullet"/>
      <w:lvlText w:val="●"/>
      <w:lvlJc w:val="left"/>
      <w:pPr>
        <w:ind w:left="6480" w:hanging="360"/>
      </w:pPr>
    </w:lvl>
  </w:abstractNum>
  <w:abstractNum w:abstractNumId="4" w15:restartNumberingAfterBreak="0">
    <w:nsid w:val="1BF37034"/>
    <w:multiLevelType w:val="hybridMultilevel"/>
    <w:tmpl w:val="7F402C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FA47BC2"/>
    <w:multiLevelType w:val="hybridMultilevel"/>
    <w:tmpl w:val="2A02F0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63A2983"/>
    <w:multiLevelType w:val="multilevel"/>
    <w:tmpl w:val="626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81CD7"/>
    <w:multiLevelType w:val="hybridMultilevel"/>
    <w:tmpl w:val="54665C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9F6ED6"/>
    <w:multiLevelType w:val="multilevel"/>
    <w:tmpl w:val="AC20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278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E22F49"/>
    <w:multiLevelType w:val="multilevel"/>
    <w:tmpl w:val="D890C0D8"/>
    <w:lvl w:ilvl="0">
      <w:start w:val="1"/>
      <w:numFmt w:val="decimal"/>
      <w:lvlText w:val="PART %1: "/>
      <w:lvlJc w:val="left"/>
      <w:pPr>
        <w:ind w:left="360" w:hanging="360"/>
      </w:pPr>
      <w:rPr>
        <w:rFonts w:hint="default"/>
      </w:rPr>
    </w:lvl>
    <w:lvl w:ilvl="1">
      <w:start w:val="1"/>
      <w:numFmt w:val="decimal"/>
      <w:lvlText w:val="%1.%2."/>
      <w:lvlJc w:val="left"/>
      <w:pPr>
        <w:ind w:left="792" w:hanging="432"/>
      </w:pPr>
      <w:rPr>
        <w:rFonts w:hint="default"/>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73059A1"/>
    <w:multiLevelType w:val="hybridMultilevel"/>
    <w:tmpl w:val="63FC3A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CE71B86"/>
    <w:multiLevelType w:val="multilevel"/>
    <w:tmpl w:val="413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F2B04"/>
    <w:multiLevelType w:val="hybridMultilevel"/>
    <w:tmpl w:val="C1D205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F0401A5"/>
    <w:multiLevelType w:val="hybridMultilevel"/>
    <w:tmpl w:val="7FB608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2A54B65"/>
    <w:multiLevelType w:val="multilevel"/>
    <w:tmpl w:val="640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B24E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F4283F"/>
    <w:multiLevelType w:val="hybridMultilevel"/>
    <w:tmpl w:val="ADE0F69E"/>
    <w:lvl w:ilvl="0" w:tplc="A44EAD16">
      <w:numFmt w:val="bullet"/>
      <w:lvlText w:val="—"/>
      <w:lvlJc w:val="left"/>
      <w:pPr>
        <w:ind w:left="720" w:hanging="360"/>
      </w:pPr>
      <w:rPr>
        <w:rFonts w:ascii="Georgia" w:eastAsia="Georgia" w:hAnsi="Georgia" w:cs="Georgia" w:hint="default"/>
        <w:color w:val="22222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1B0527"/>
    <w:multiLevelType w:val="hybridMultilevel"/>
    <w:tmpl w:val="BA6691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18877E4"/>
    <w:multiLevelType w:val="hybridMultilevel"/>
    <w:tmpl w:val="523653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6440EDC"/>
    <w:multiLevelType w:val="hybridMultilevel"/>
    <w:tmpl w:val="833AE5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77415D8"/>
    <w:multiLevelType w:val="multilevel"/>
    <w:tmpl w:val="7BDE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C1680"/>
    <w:multiLevelType w:val="hybridMultilevel"/>
    <w:tmpl w:val="AD88B9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D3A1D3E"/>
    <w:multiLevelType w:val="hybridMultilevel"/>
    <w:tmpl w:val="3404F9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20F71A4"/>
    <w:multiLevelType w:val="hybridMultilevel"/>
    <w:tmpl w:val="D3CCB6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3F14458"/>
    <w:multiLevelType w:val="hybridMultilevel"/>
    <w:tmpl w:val="29309F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82455823">
    <w:abstractNumId w:val="3"/>
    <w:lvlOverride w:ilvl="0">
      <w:startOverride w:val="1"/>
    </w:lvlOverride>
  </w:num>
  <w:num w:numId="2" w16cid:durableId="1179388782">
    <w:abstractNumId w:val="10"/>
  </w:num>
  <w:num w:numId="3" w16cid:durableId="187135408">
    <w:abstractNumId w:val="9"/>
  </w:num>
  <w:num w:numId="4" w16cid:durableId="2065253156">
    <w:abstractNumId w:val="23"/>
  </w:num>
  <w:num w:numId="5" w16cid:durableId="1087264651">
    <w:abstractNumId w:val="11"/>
  </w:num>
  <w:num w:numId="6" w16cid:durableId="876702458">
    <w:abstractNumId w:val="17"/>
  </w:num>
  <w:num w:numId="7" w16cid:durableId="1497915167">
    <w:abstractNumId w:val="20"/>
  </w:num>
  <w:num w:numId="8" w16cid:durableId="814876305">
    <w:abstractNumId w:val="4"/>
  </w:num>
  <w:num w:numId="9" w16cid:durableId="1816292982">
    <w:abstractNumId w:val="24"/>
  </w:num>
  <w:num w:numId="10" w16cid:durableId="529995213">
    <w:abstractNumId w:val="0"/>
  </w:num>
  <w:num w:numId="11" w16cid:durableId="1505827708">
    <w:abstractNumId w:val="1"/>
  </w:num>
  <w:num w:numId="12" w16cid:durableId="10692018">
    <w:abstractNumId w:val="19"/>
  </w:num>
  <w:num w:numId="13" w16cid:durableId="938172717">
    <w:abstractNumId w:val="16"/>
  </w:num>
  <w:num w:numId="14" w16cid:durableId="115029949">
    <w:abstractNumId w:val="2"/>
  </w:num>
  <w:num w:numId="15" w16cid:durableId="432474794">
    <w:abstractNumId w:val="18"/>
  </w:num>
  <w:num w:numId="16" w16cid:durableId="550118327">
    <w:abstractNumId w:val="14"/>
  </w:num>
  <w:num w:numId="17" w16cid:durableId="1870098423">
    <w:abstractNumId w:val="5"/>
  </w:num>
  <w:num w:numId="18" w16cid:durableId="1284581127">
    <w:abstractNumId w:val="22"/>
  </w:num>
  <w:num w:numId="19" w16cid:durableId="1557207374">
    <w:abstractNumId w:val="25"/>
  </w:num>
  <w:num w:numId="20" w16cid:durableId="504519424">
    <w:abstractNumId w:val="13"/>
  </w:num>
  <w:num w:numId="21" w16cid:durableId="1390878886">
    <w:abstractNumId w:val="7"/>
  </w:num>
  <w:num w:numId="22" w16cid:durableId="1223367076">
    <w:abstractNumId w:val="12"/>
  </w:num>
  <w:num w:numId="23" w16cid:durableId="1606812532">
    <w:abstractNumId w:val="15"/>
  </w:num>
  <w:num w:numId="24" w16cid:durableId="791553417">
    <w:abstractNumId w:val="8"/>
  </w:num>
  <w:num w:numId="25" w16cid:durableId="1890875922">
    <w:abstractNumId w:val="6"/>
  </w:num>
  <w:num w:numId="26" w16cid:durableId="250578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A4"/>
    <w:rsid w:val="000144BD"/>
    <w:rsid w:val="001548F4"/>
    <w:rsid w:val="001F370D"/>
    <w:rsid w:val="00217BDC"/>
    <w:rsid w:val="002B7B8D"/>
    <w:rsid w:val="0040653D"/>
    <w:rsid w:val="0044591B"/>
    <w:rsid w:val="00650EF0"/>
    <w:rsid w:val="006628D4"/>
    <w:rsid w:val="006B0608"/>
    <w:rsid w:val="007E05C3"/>
    <w:rsid w:val="008761E2"/>
    <w:rsid w:val="008800D4"/>
    <w:rsid w:val="008A658E"/>
    <w:rsid w:val="009318F3"/>
    <w:rsid w:val="009B7A7C"/>
    <w:rsid w:val="009D73F1"/>
    <w:rsid w:val="00DB2FFA"/>
    <w:rsid w:val="00E00B6C"/>
    <w:rsid w:val="00E73AA4"/>
    <w:rsid w:val="00F85D8F"/>
    <w:rsid w:val="00FE29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B394"/>
  <w15:docId w15:val="{20EAD746-3728-AA4D-ACFB-4727F856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F0"/>
    <w:rPr>
      <w:rFonts w:ascii="Times New Roman" w:eastAsia="Times New Roman" w:hAnsi="Times New Roman" w:cs="Times New Roman"/>
      <w:sz w:val="24"/>
      <w:szCs w:val="24"/>
    </w:rPr>
  </w:style>
  <w:style w:type="paragraph" w:styleId="Heading1">
    <w:name w:val="heading 1"/>
    <w:uiPriority w:val="9"/>
    <w:qFormat/>
    <w:pPr>
      <w:spacing w:before="480" w:after="200"/>
      <w:outlineLvl w:val="0"/>
    </w:pPr>
    <w:rPr>
      <w:rFonts w:ascii="Arial" w:eastAsia="Arial" w:hAnsi="Arial" w:cs="Arial"/>
      <w:b/>
      <w:bCs/>
      <w:color w:val="1A1A2E"/>
      <w:sz w:val="32"/>
      <w:szCs w:val="32"/>
    </w:rPr>
  </w:style>
  <w:style w:type="paragraph" w:styleId="Heading2">
    <w:name w:val="heading 2"/>
    <w:uiPriority w:val="9"/>
    <w:unhideWhenUsed/>
    <w:qFormat/>
    <w:pPr>
      <w:spacing w:before="360" w:after="160"/>
      <w:outlineLvl w:val="1"/>
    </w:pPr>
    <w:rPr>
      <w:rFonts w:ascii="Arial" w:eastAsia="Arial" w:hAnsi="Arial" w:cs="Arial"/>
      <w:b/>
      <w:bCs/>
      <w:color w:val="2C3E6E"/>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F370D"/>
    <w:pPr>
      <w:spacing w:before="100" w:beforeAutospacing="1" w:after="100" w:afterAutospacing="1"/>
    </w:pPr>
  </w:style>
  <w:style w:type="paragraph" w:styleId="Header">
    <w:name w:val="header"/>
    <w:basedOn w:val="Normal"/>
    <w:link w:val="HeaderChar"/>
    <w:uiPriority w:val="99"/>
    <w:unhideWhenUsed/>
    <w:rsid w:val="009B7A7C"/>
    <w:pPr>
      <w:tabs>
        <w:tab w:val="center" w:pos="4513"/>
        <w:tab w:val="right" w:pos="9026"/>
      </w:tabs>
    </w:pPr>
  </w:style>
  <w:style w:type="character" w:customStyle="1" w:styleId="HeaderChar">
    <w:name w:val="Header Char"/>
    <w:basedOn w:val="DefaultParagraphFont"/>
    <w:link w:val="Header"/>
    <w:uiPriority w:val="99"/>
    <w:rsid w:val="009B7A7C"/>
  </w:style>
  <w:style w:type="paragraph" w:styleId="Footer">
    <w:name w:val="footer"/>
    <w:basedOn w:val="Normal"/>
    <w:link w:val="FooterChar"/>
    <w:uiPriority w:val="99"/>
    <w:unhideWhenUsed/>
    <w:rsid w:val="009B7A7C"/>
    <w:pPr>
      <w:tabs>
        <w:tab w:val="center" w:pos="4513"/>
        <w:tab w:val="right" w:pos="9026"/>
      </w:tabs>
    </w:pPr>
  </w:style>
  <w:style w:type="character" w:customStyle="1" w:styleId="FooterChar">
    <w:name w:val="Footer Char"/>
    <w:basedOn w:val="DefaultParagraphFont"/>
    <w:link w:val="Footer"/>
    <w:uiPriority w:val="99"/>
    <w:rsid w:val="009B7A7C"/>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DB2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50EF0"/>
    <w:rPr>
      <w:color w:val="1F4D78"/>
      <w:sz w:val="24"/>
      <w:szCs w:val="24"/>
    </w:rPr>
  </w:style>
  <w:style w:type="paragraph" w:styleId="NormalWeb">
    <w:name w:val="Normal (Web)"/>
    <w:basedOn w:val="Normal"/>
    <w:uiPriority w:val="99"/>
    <w:semiHidden/>
    <w:unhideWhenUsed/>
    <w:rsid w:val="00650EF0"/>
    <w:pPr>
      <w:spacing w:before="100" w:beforeAutospacing="1" w:after="100" w:afterAutospacing="1"/>
    </w:pPr>
  </w:style>
  <w:style w:type="character" w:customStyle="1" w:styleId="apple-converted-space">
    <w:name w:val="apple-converted-space"/>
    <w:basedOn w:val="DefaultParagraphFont"/>
    <w:rsid w:val="00650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D094-3F42-0147-B10A-56F566BCC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37</Pages>
  <Words>12243</Words>
  <Characters>77015</Characters>
  <Application>Microsoft Office Word</Application>
  <DocSecurity>0</DocSecurity>
  <Lines>1203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 Gew</cp:lastModifiedBy>
  <cp:revision>6</cp:revision>
  <dcterms:created xsi:type="dcterms:W3CDTF">2026-04-21T22:52:00Z</dcterms:created>
  <dcterms:modified xsi:type="dcterms:W3CDTF">2026-04-22T00:36:00Z</dcterms:modified>
</cp:coreProperties>
</file>