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FECD4" w14:textId="77777777" w:rsidR="0031068B" w:rsidRDefault="0031068B" w:rsidP="00BC1C52">
      <w:pPr>
        <w:ind w:hanging="1134"/>
      </w:pPr>
    </w:p>
    <w:p w14:paraId="4CBD32D8" w14:textId="77777777" w:rsidR="0053192A" w:rsidRDefault="0053192A"/>
    <w:p w14:paraId="11545A4B" w14:textId="77777777" w:rsidR="0053192A" w:rsidRDefault="0053192A"/>
    <w:p w14:paraId="6C18B035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ABD12" wp14:editId="43D4443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CB0EC" w14:textId="30CC1CEB" w:rsidR="00BA4481" w:rsidRPr="00E455C4" w:rsidRDefault="007069BD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7069BD">
                              <w:rPr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>
                              <w:rPr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ABD1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261CB0EC" w14:textId="30CC1CEB" w:rsidR="00BA4481" w:rsidRPr="00E455C4" w:rsidRDefault="007069BD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7069BD">
                        <w:rPr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>
                        <w:rPr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CCD9B" w14:textId="77777777" w:rsidR="0053192A" w:rsidRDefault="0053192A"/>
    <w:p w14:paraId="73D85998" w14:textId="77777777" w:rsidR="0053192A" w:rsidRDefault="0053192A"/>
    <w:p w14:paraId="4DF21574" w14:textId="77777777" w:rsidR="0053192A" w:rsidRDefault="0053192A"/>
    <w:p w14:paraId="5B2DD915" w14:textId="77777777" w:rsidR="0053192A" w:rsidRDefault="0053192A"/>
    <w:p w14:paraId="08EDE196" w14:textId="77777777" w:rsidR="0053192A" w:rsidRDefault="0053192A"/>
    <w:p w14:paraId="28F3DAA3" w14:textId="77777777" w:rsidR="0053192A" w:rsidRDefault="0053192A"/>
    <w:p w14:paraId="2E1759F6" w14:textId="77777777" w:rsidR="0067231D" w:rsidRDefault="0067231D"/>
    <w:p w14:paraId="50E2F56D" w14:textId="77777777" w:rsidR="0067231D" w:rsidRDefault="0067231D"/>
    <w:p w14:paraId="2DEE463E" w14:textId="77777777" w:rsidR="00BA4481" w:rsidRDefault="00BA4481"/>
    <w:p w14:paraId="290984BA" w14:textId="77777777" w:rsidR="00BA4481" w:rsidRDefault="00BA4481"/>
    <w:p w14:paraId="6D35A2FE" w14:textId="77777777" w:rsidR="00BA4481" w:rsidRDefault="00BA4481"/>
    <w:p w14:paraId="3DBAD8CB" w14:textId="77777777" w:rsidR="00BA4481" w:rsidRDefault="00BA4481"/>
    <w:p w14:paraId="441BBA97" w14:textId="77777777" w:rsidR="00BA4481" w:rsidRDefault="00BA4481"/>
    <w:p w14:paraId="76D1FA56" w14:textId="77777777" w:rsidR="00BA4481" w:rsidRDefault="00BA4481"/>
    <w:p w14:paraId="707D9A05" w14:textId="77777777" w:rsidR="0067231D" w:rsidRDefault="0067231D"/>
    <w:p w14:paraId="1D8A977F" w14:textId="15B379A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FA7FDD" w:rsidRPr="00FA7FDD">
        <w:rPr>
          <w:sz w:val="56"/>
          <w:szCs w:val="56"/>
        </w:rPr>
        <w:t xml:space="preserve"> Integration of endpoint protection with network-wide security monitoring</w:t>
      </w:r>
      <w:r w:rsidRPr="0067231D">
        <w:rPr>
          <w:sz w:val="56"/>
          <w:szCs w:val="56"/>
        </w:rPr>
        <w:t>"</w:t>
      </w:r>
    </w:p>
    <w:p w14:paraId="68E2A958" w14:textId="77777777" w:rsidR="0053192A" w:rsidRDefault="0053192A"/>
    <w:p w14:paraId="5A877660" w14:textId="77777777" w:rsidR="0053192A" w:rsidRDefault="0053192A"/>
    <w:p w14:paraId="19D51FD0" w14:textId="77777777" w:rsidR="0053192A" w:rsidRDefault="0053192A"/>
    <w:p w14:paraId="2032275C" w14:textId="77777777" w:rsidR="0053192A" w:rsidRDefault="0053192A"/>
    <w:p w14:paraId="3F1CC21F" w14:textId="77777777" w:rsidR="0053192A" w:rsidRDefault="0053192A"/>
    <w:p w14:paraId="4D5006F6" w14:textId="77777777" w:rsidR="0053192A" w:rsidRDefault="0053192A"/>
    <w:p w14:paraId="1227F432" w14:textId="77777777" w:rsidR="0053192A" w:rsidRDefault="0053192A"/>
    <w:p w14:paraId="21CFDA10" w14:textId="77777777" w:rsidR="0053192A" w:rsidRDefault="0053192A"/>
    <w:p w14:paraId="3DED5E9F" w14:textId="77777777" w:rsidR="0053192A" w:rsidRDefault="0053192A"/>
    <w:p w14:paraId="5653C630" w14:textId="77777777" w:rsidR="0053192A" w:rsidRDefault="0053192A"/>
    <w:p w14:paraId="66E703C4" w14:textId="77777777" w:rsidR="0053192A" w:rsidRDefault="0053192A"/>
    <w:p w14:paraId="4788585C" w14:textId="77777777" w:rsidR="0053192A" w:rsidRDefault="0053192A"/>
    <w:p w14:paraId="54B29950" w14:textId="77777777" w:rsidR="0053192A" w:rsidRDefault="0053192A"/>
    <w:p w14:paraId="62B06E5F" w14:textId="77777777" w:rsidR="00BA4481" w:rsidRDefault="00BA4481"/>
    <w:p w14:paraId="25872A53" w14:textId="77777777" w:rsidR="00BA4481" w:rsidRDefault="00BA4481"/>
    <w:p w14:paraId="4D6F76A3" w14:textId="77777777" w:rsidR="00BA4481" w:rsidRDefault="00BA4481"/>
    <w:p w14:paraId="482725CE" w14:textId="77777777" w:rsidR="00BA4481" w:rsidRDefault="00BA4481"/>
    <w:p w14:paraId="20E21A77" w14:textId="77777777" w:rsidR="00BA4481" w:rsidRDefault="00BA4481"/>
    <w:p w14:paraId="1D1E1DC6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7A522807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76906E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033A9AD2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60DE548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6882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D3261CB" w14:textId="64F6043D" w:rsidR="00F85381" w:rsidRPr="000D1E55" w:rsidRDefault="007069BD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7069BD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4DD84BD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C5CB5B3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1BB36FE4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1CBC09FB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DE1E13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5D8A4669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69833FD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4D7A1DF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0F69D0FD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6B3420D2" w14:textId="77777777" w:rsidR="00BA4481" w:rsidRDefault="00BA4481"/>
    <w:p w14:paraId="49DC07B5" w14:textId="77777777" w:rsidR="00BA4481" w:rsidRDefault="00BA4481"/>
    <w:p w14:paraId="1920887E" w14:textId="77777777" w:rsidR="0053192A" w:rsidRDefault="0053192A"/>
    <w:p w14:paraId="1021062B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DF66288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02EDD1D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0E575FB" w14:textId="77777777" w:rsidR="0053192A" w:rsidRDefault="0053192A" w:rsidP="0053192A"/>
    <w:p w14:paraId="6DEBECDB" w14:textId="77777777" w:rsidR="0053192A" w:rsidRDefault="0053192A" w:rsidP="0053192A">
      <w:r>
        <w:br w:type="page"/>
      </w:r>
    </w:p>
    <w:p w14:paraId="0EEA832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55B515F3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121BD01" w14:textId="77777777" w:rsidTr="00E455C4">
        <w:tc>
          <w:tcPr>
            <w:tcW w:w="1097" w:type="dxa"/>
          </w:tcPr>
          <w:p w14:paraId="1F17F5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752D458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64D059B3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280E2157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4519B7AB" w14:textId="77777777" w:rsidTr="00E455C4">
        <w:tc>
          <w:tcPr>
            <w:tcW w:w="1097" w:type="dxa"/>
          </w:tcPr>
          <w:p w14:paraId="465CA44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6B164A1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1257DE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65C7C4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A7CBBB8" w14:textId="77777777" w:rsidTr="00E455C4">
        <w:tc>
          <w:tcPr>
            <w:tcW w:w="1097" w:type="dxa"/>
          </w:tcPr>
          <w:p w14:paraId="06A7F43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45094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2575D1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7C9C127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E3A31B8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99262A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FE019A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3450C3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2AF246B7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406F4A3" w14:textId="77777777" w:rsidTr="00E455C4">
        <w:tc>
          <w:tcPr>
            <w:tcW w:w="2534" w:type="dxa"/>
          </w:tcPr>
          <w:p w14:paraId="2B8F9ED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3FCC849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70E91AC4" w14:textId="77777777" w:rsidTr="00E455C4">
        <w:tc>
          <w:tcPr>
            <w:tcW w:w="2534" w:type="dxa"/>
          </w:tcPr>
          <w:p w14:paraId="39E3E70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772210B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503605C7" w14:textId="77777777" w:rsidTr="00E455C4">
        <w:tc>
          <w:tcPr>
            <w:tcW w:w="2534" w:type="dxa"/>
          </w:tcPr>
          <w:p w14:paraId="39B4D8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9CF492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A02096C" w14:textId="77777777" w:rsidTr="00E455C4">
        <w:tc>
          <w:tcPr>
            <w:tcW w:w="2534" w:type="dxa"/>
          </w:tcPr>
          <w:p w14:paraId="43888E5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8CA754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B304BE6" w14:textId="77777777" w:rsidR="0053192A" w:rsidRPr="00302F91" w:rsidRDefault="0053192A" w:rsidP="0053192A">
      <w:pPr>
        <w:rPr>
          <w:sz w:val="24"/>
          <w:szCs w:val="24"/>
        </w:rPr>
      </w:pPr>
    </w:p>
    <w:p w14:paraId="06DCA454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998E20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92463F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641BB56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24A3F16" w14:textId="77777777" w:rsidTr="00E455C4">
        <w:tc>
          <w:tcPr>
            <w:tcW w:w="1674" w:type="dxa"/>
          </w:tcPr>
          <w:p w14:paraId="160AEC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3C202AF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391E1E1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3759E6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A7BB9EF" w14:textId="77777777" w:rsidTr="00E455C4">
        <w:tc>
          <w:tcPr>
            <w:tcW w:w="1674" w:type="dxa"/>
          </w:tcPr>
          <w:p w14:paraId="55632A4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858AB5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CB3385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2858A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38136E2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5C761E7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3798E595" w14:textId="77777777" w:rsidR="0053192A" w:rsidRDefault="0053192A"/>
    <w:p w14:paraId="7FAC6436" w14:textId="77777777" w:rsidR="0067231D" w:rsidRDefault="0067231D"/>
    <w:p w14:paraId="138D58B7" w14:textId="77777777" w:rsidR="0067231D" w:rsidRDefault="0067231D"/>
    <w:p w14:paraId="309129F1" w14:textId="77777777" w:rsidR="0067231D" w:rsidRDefault="0067231D"/>
    <w:p w14:paraId="4C02C4A3" w14:textId="77777777" w:rsidR="0067231D" w:rsidRDefault="0067231D"/>
    <w:p w14:paraId="213E8300" w14:textId="77777777" w:rsidR="0067231D" w:rsidRDefault="0067231D"/>
    <w:p w14:paraId="76344C0C" w14:textId="77777777" w:rsidR="0067231D" w:rsidRDefault="0067231D"/>
    <w:p w14:paraId="4F565947" w14:textId="77777777" w:rsidR="0067231D" w:rsidRDefault="0067231D"/>
    <w:p w14:paraId="3EABC871" w14:textId="77777777" w:rsidR="0067231D" w:rsidRDefault="0067231D"/>
    <w:p w14:paraId="5F35741C" w14:textId="77777777" w:rsidR="0067231D" w:rsidRDefault="0067231D"/>
    <w:p w14:paraId="20B446F1" w14:textId="77777777" w:rsidR="0067231D" w:rsidRDefault="0067231D"/>
    <w:p w14:paraId="3F124D30" w14:textId="77777777" w:rsidR="0067231D" w:rsidRDefault="0067231D"/>
    <w:p w14:paraId="3C2808C6" w14:textId="77777777" w:rsidR="0067231D" w:rsidRDefault="0067231D"/>
    <w:p w14:paraId="66E561B4" w14:textId="77777777" w:rsidR="0067231D" w:rsidRDefault="0067231D"/>
    <w:p w14:paraId="08E22510" w14:textId="77777777" w:rsidR="0067231D" w:rsidRDefault="0067231D"/>
    <w:p w14:paraId="66B49527" w14:textId="77777777" w:rsidR="0067231D" w:rsidRDefault="0067231D"/>
    <w:p w14:paraId="38CAD7CE" w14:textId="77777777" w:rsidR="0067231D" w:rsidRDefault="0067231D"/>
    <w:p w14:paraId="58C5BD1F" w14:textId="77777777" w:rsidR="0067231D" w:rsidRDefault="0067231D"/>
    <w:p w14:paraId="34F52C73" w14:textId="77777777" w:rsidR="0067231D" w:rsidRDefault="0067231D"/>
    <w:p w14:paraId="3CB6F79E" w14:textId="77777777" w:rsidR="0067231D" w:rsidRDefault="0067231D"/>
    <w:p w14:paraId="524638F2" w14:textId="77777777" w:rsidR="0067231D" w:rsidRDefault="0067231D"/>
    <w:p w14:paraId="6B037FDE" w14:textId="77777777" w:rsidR="0067231D" w:rsidRDefault="0067231D"/>
    <w:p w14:paraId="6523E21C" w14:textId="77777777" w:rsidR="00FA7FDD" w:rsidRDefault="00FA7FDD"/>
    <w:p w14:paraId="4E551EC5" w14:textId="77777777" w:rsidR="00FA7FDD" w:rsidRDefault="00FA7FDD"/>
    <w:p w14:paraId="7E6FEE9F" w14:textId="77777777" w:rsidR="00FA7FDD" w:rsidRDefault="00FA7FDD"/>
    <w:p w14:paraId="6879A61D" w14:textId="77777777" w:rsidR="00FA7FDD" w:rsidRDefault="00FA7FDD"/>
    <w:p w14:paraId="33A8DD11" w14:textId="77777777" w:rsidR="00FA7FDD" w:rsidRDefault="00FA7FDD"/>
    <w:p w14:paraId="55FB2476" w14:textId="77777777" w:rsidR="00FA7FDD" w:rsidRDefault="00FA7FDD"/>
    <w:p w14:paraId="004D4D55" w14:textId="77777777" w:rsidR="0067231D" w:rsidRDefault="0067231D"/>
    <w:p w14:paraId="309C55BA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475796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FE7DA7" w14:textId="48693C26" w:rsidR="00FA7FDD" w:rsidRDefault="00FA7FDD">
          <w:pPr>
            <w:pStyle w:val="TOCHeading"/>
          </w:pPr>
          <w:r>
            <w:t>Table of Contents</w:t>
          </w:r>
        </w:p>
        <w:p w14:paraId="7299B2F0" w14:textId="65C0AE8B" w:rsidR="004E0D2D" w:rsidRDefault="00FA7FD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4757" w:history="1">
            <w:r w:rsidR="004E0D2D" w:rsidRPr="00B74693">
              <w:rPr>
                <w:rStyle w:val="Hyperlink"/>
                <w:noProof/>
              </w:rPr>
              <w:t>1.</w:t>
            </w:r>
            <w:r w:rsidR="004E0D2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4E0D2D" w:rsidRPr="00B74693">
              <w:rPr>
                <w:rStyle w:val="Hyperlink"/>
                <w:noProof/>
              </w:rPr>
              <w:t>Introduction</w:t>
            </w:r>
            <w:r w:rsidR="004E0D2D">
              <w:rPr>
                <w:noProof/>
                <w:webHidden/>
              </w:rPr>
              <w:tab/>
            </w:r>
            <w:r w:rsidR="004E0D2D">
              <w:rPr>
                <w:noProof/>
                <w:webHidden/>
              </w:rPr>
              <w:fldChar w:fldCharType="begin"/>
            </w:r>
            <w:r w:rsidR="004E0D2D">
              <w:rPr>
                <w:noProof/>
                <w:webHidden/>
              </w:rPr>
              <w:instrText xml:space="preserve"> PAGEREF _Toc190894757 \h </w:instrText>
            </w:r>
            <w:r w:rsidR="004E0D2D">
              <w:rPr>
                <w:noProof/>
                <w:webHidden/>
              </w:rPr>
            </w:r>
            <w:r w:rsidR="004E0D2D">
              <w:rPr>
                <w:noProof/>
                <w:webHidden/>
              </w:rPr>
              <w:fldChar w:fldCharType="separate"/>
            </w:r>
            <w:r w:rsidR="004E0D2D">
              <w:rPr>
                <w:noProof/>
                <w:webHidden/>
              </w:rPr>
              <w:t>4</w:t>
            </w:r>
            <w:r w:rsidR="004E0D2D">
              <w:rPr>
                <w:noProof/>
                <w:webHidden/>
              </w:rPr>
              <w:fldChar w:fldCharType="end"/>
            </w:r>
          </w:hyperlink>
        </w:p>
        <w:p w14:paraId="0D72963B" w14:textId="55144592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58" w:history="1">
            <w:r w:rsidRPr="00B7469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FE6A" w14:textId="6EC2605B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59" w:history="1">
            <w:r w:rsidRPr="00B7469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366C" w14:textId="6B89CC7E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0" w:history="1">
            <w:r w:rsidRPr="00B7469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A846" w14:textId="0697BBD9" w:rsidR="004E0D2D" w:rsidRDefault="004E0D2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1" w:history="1">
            <w:r w:rsidRPr="00B7469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Centralised Management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5382" w14:textId="63714AEC" w:rsidR="004E0D2D" w:rsidRDefault="004E0D2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2" w:history="1">
            <w:r w:rsidRPr="00B7469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Real-time Threat Intelligence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600B" w14:textId="54F42968" w:rsidR="004E0D2D" w:rsidRDefault="004E0D2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3" w:history="1">
            <w:r w:rsidRPr="00B74693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Correlation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B5A38" w14:textId="4335813A" w:rsidR="004E0D2D" w:rsidRDefault="004E0D2D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4" w:history="1">
            <w:r w:rsidRPr="00B74693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Automated Response and Remediation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D01D" w14:textId="02ED5556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5" w:history="1">
            <w:r w:rsidRPr="00B7469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CC419" w14:textId="6AC11166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6" w:history="1">
            <w:r w:rsidRPr="00B7469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CB92" w14:textId="1308551C" w:rsidR="004E0D2D" w:rsidRDefault="004E0D2D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4767" w:history="1">
            <w:r w:rsidRPr="00B74693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B74693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4025" w14:textId="0C2D8DBD" w:rsidR="00FA7FDD" w:rsidRDefault="00FA7FDD">
          <w:r>
            <w:rPr>
              <w:b/>
              <w:bCs/>
              <w:noProof/>
            </w:rPr>
            <w:fldChar w:fldCharType="end"/>
          </w:r>
        </w:p>
      </w:sdtContent>
    </w:sdt>
    <w:p w14:paraId="78917B9D" w14:textId="77777777" w:rsidR="0067231D" w:rsidRDefault="0067231D"/>
    <w:p w14:paraId="0040235C" w14:textId="77777777" w:rsidR="0067231D" w:rsidRDefault="0067231D"/>
    <w:p w14:paraId="3799347F" w14:textId="77777777" w:rsidR="0067231D" w:rsidRDefault="0067231D"/>
    <w:p w14:paraId="0B7FCF32" w14:textId="77777777" w:rsidR="0067231D" w:rsidRDefault="0067231D"/>
    <w:p w14:paraId="413C77F9" w14:textId="77777777" w:rsidR="0067231D" w:rsidRDefault="0067231D"/>
    <w:p w14:paraId="47D357E2" w14:textId="77777777" w:rsidR="0067231D" w:rsidRDefault="00193766" w:rsidP="00193766">
      <w:pPr>
        <w:tabs>
          <w:tab w:val="left" w:pos="4055"/>
        </w:tabs>
      </w:pPr>
      <w:r>
        <w:tab/>
      </w:r>
    </w:p>
    <w:p w14:paraId="11DF5D6F" w14:textId="77777777" w:rsidR="0067231D" w:rsidRDefault="0067231D"/>
    <w:p w14:paraId="46A84C9D" w14:textId="77777777" w:rsidR="00FA7FDD" w:rsidRDefault="00FA7FDD"/>
    <w:p w14:paraId="4C076D7F" w14:textId="77777777" w:rsidR="00FA7FDD" w:rsidRDefault="00FA7FDD"/>
    <w:p w14:paraId="35B1BC20" w14:textId="77777777" w:rsidR="00FA7FDD" w:rsidRDefault="00FA7FDD"/>
    <w:p w14:paraId="0B5E0080" w14:textId="77777777" w:rsidR="00FA7FDD" w:rsidRDefault="00FA7FDD"/>
    <w:p w14:paraId="5A2E392B" w14:textId="77777777" w:rsidR="00FA7FDD" w:rsidRDefault="00FA7FDD"/>
    <w:p w14:paraId="3D83E839" w14:textId="77777777" w:rsidR="00FA7FDD" w:rsidRDefault="00FA7FDD"/>
    <w:p w14:paraId="75A02716" w14:textId="77777777" w:rsidR="00FA7FDD" w:rsidRDefault="00FA7FDD"/>
    <w:p w14:paraId="22AA9583" w14:textId="77777777" w:rsidR="00FA7FDD" w:rsidRDefault="00FA7FDD"/>
    <w:p w14:paraId="73498313" w14:textId="77777777" w:rsidR="00FA7FDD" w:rsidRDefault="00FA7FDD"/>
    <w:p w14:paraId="47648052" w14:textId="77777777" w:rsidR="00FA7FDD" w:rsidRDefault="00FA7FDD"/>
    <w:p w14:paraId="57E3C4C0" w14:textId="77777777" w:rsidR="00FA7FDD" w:rsidRDefault="00FA7FDD"/>
    <w:p w14:paraId="45C42039" w14:textId="77777777" w:rsidR="00FA7FDD" w:rsidRDefault="00FA7FDD"/>
    <w:p w14:paraId="780CFC41" w14:textId="77777777" w:rsidR="00FA7FDD" w:rsidRDefault="00FA7FDD"/>
    <w:p w14:paraId="373BC131" w14:textId="77777777" w:rsidR="00FA7FDD" w:rsidRDefault="00FA7FDD"/>
    <w:p w14:paraId="5BC03015" w14:textId="77777777" w:rsidR="00FA7FDD" w:rsidRDefault="00FA7FDD"/>
    <w:p w14:paraId="2A6E56CF" w14:textId="77777777" w:rsidR="00FA7FDD" w:rsidRDefault="00FA7FDD"/>
    <w:p w14:paraId="0EB7F755" w14:textId="77777777" w:rsidR="00FA7FDD" w:rsidRDefault="00FA7FDD"/>
    <w:p w14:paraId="59C2E7CB" w14:textId="77777777" w:rsidR="00FA7FDD" w:rsidRDefault="00FA7FDD"/>
    <w:p w14:paraId="6FEB2F41" w14:textId="77777777" w:rsidR="00FA7FDD" w:rsidRDefault="00FA7FDD"/>
    <w:p w14:paraId="28D6036B" w14:textId="77777777" w:rsidR="00FA7FDD" w:rsidRDefault="00FA7FDD"/>
    <w:p w14:paraId="43159E22" w14:textId="77777777" w:rsidR="00FA7FDD" w:rsidRDefault="00FA7FDD"/>
    <w:p w14:paraId="4864DC15" w14:textId="77777777" w:rsidR="00FA7FDD" w:rsidRDefault="00FA7FDD"/>
    <w:p w14:paraId="33E00146" w14:textId="77777777" w:rsidR="00FA7FDD" w:rsidRDefault="00FA7FDD"/>
    <w:p w14:paraId="3E28DC91" w14:textId="77777777" w:rsidR="00FA7FDD" w:rsidRDefault="00FA7FDD"/>
    <w:p w14:paraId="6EC04D7F" w14:textId="77777777" w:rsidR="00FA7FDD" w:rsidRDefault="00FA7FDD"/>
    <w:p w14:paraId="0CB48778" w14:textId="77777777" w:rsidR="00FA7FDD" w:rsidRDefault="00FA7FDD"/>
    <w:p w14:paraId="4D1AE417" w14:textId="77777777" w:rsidR="00FA7FDD" w:rsidRDefault="00FA7FDD"/>
    <w:p w14:paraId="40D0A0D5" w14:textId="77777777" w:rsidR="00FA7FDD" w:rsidRDefault="00FA7FDD"/>
    <w:p w14:paraId="7BB5A866" w14:textId="77777777" w:rsidR="00FA7FDD" w:rsidRDefault="00FA7FDD"/>
    <w:p w14:paraId="227B346C" w14:textId="77777777" w:rsidR="00FA7FDD" w:rsidRDefault="00FA7FDD"/>
    <w:p w14:paraId="700F1E73" w14:textId="77777777" w:rsidR="00FA7FDD" w:rsidRDefault="00FA7FDD"/>
    <w:p w14:paraId="6B6EC67F" w14:textId="77777777" w:rsidR="00FA7FDD" w:rsidRDefault="00FA7FDD"/>
    <w:p w14:paraId="6E504C98" w14:textId="1F2996C4" w:rsidR="00FA7FDD" w:rsidRPr="00FA7FDD" w:rsidRDefault="00FA7FDD" w:rsidP="00FA7FDD">
      <w:pPr>
        <w:pStyle w:val="Heading1"/>
      </w:pPr>
      <w:bookmarkStart w:id="0" w:name="_Toc190894757"/>
      <w:r w:rsidRPr="00FA7FDD">
        <w:lastRenderedPageBreak/>
        <w:t>Introduction</w:t>
      </w:r>
      <w:bookmarkEnd w:id="0"/>
    </w:p>
    <w:p w14:paraId="199742D4" w14:textId="77BC98AA" w:rsidR="00FA7FDD" w:rsidRPr="00FA7FDD" w:rsidRDefault="00FA7FDD" w:rsidP="00FA7FDD">
      <w:r w:rsidRPr="00FA7FDD">
        <w:t>In today's interconnected digital landscape, the security of endpoints, including IoT devices, is paramount. Endpoint protection solutions play a crucial role in safeguarding these devices from malware, unauthorized access, and other threats. However, the effectiveness of endpoint protection can be significantly enhanced by integrating it with network-wide security monitoring. This synergy allows for a more comprehensive and proactive approach to threat detection and response, enabling the organi</w:t>
      </w:r>
      <w:r w:rsidR="004E0D2D">
        <w:t>s</w:t>
      </w:r>
      <w:r w:rsidRPr="00FA7FDD">
        <w:t>ation to identify and mitigate risks more effectively.</w:t>
      </w:r>
      <w:r>
        <w:br/>
      </w:r>
    </w:p>
    <w:p w14:paraId="5AEB9029" w14:textId="34431E9D" w:rsidR="00FA7FDD" w:rsidRPr="00FA7FDD" w:rsidRDefault="00FA7FDD" w:rsidP="00FA7FDD">
      <w:pPr>
        <w:pStyle w:val="Heading1"/>
      </w:pPr>
      <w:bookmarkStart w:id="1" w:name="_Toc190894758"/>
      <w:r w:rsidRPr="00FA7FDD">
        <w:t>Purpose</w:t>
      </w:r>
      <w:bookmarkEnd w:id="1"/>
    </w:p>
    <w:p w14:paraId="1A066A3C" w14:textId="77777777" w:rsidR="00FA7FDD" w:rsidRPr="00FA7FDD" w:rsidRDefault="00FA7FDD" w:rsidP="00FA7FDD">
      <w:r w:rsidRPr="00FA7FDD">
        <w:t>The purpose of this policy is to establish guidelines and procedures for integrating endpoint protection mechanisms with network-wide security monitoring systems. This integration aims to:</w:t>
      </w:r>
    </w:p>
    <w:p w14:paraId="03264483" w14:textId="77777777" w:rsidR="00FA7FDD" w:rsidRPr="00FA7FDD" w:rsidRDefault="00FA7FDD" w:rsidP="00FA7FDD">
      <w:pPr>
        <w:numPr>
          <w:ilvl w:val="0"/>
          <w:numId w:val="4"/>
        </w:numPr>
      </w:pPr>
      <w:r w:rsidRPr="00FA7FDD">
        <w:t>Provide a holistic view of security events across the network and endpoints.</w:t>
      </w:r>
    </w:p>
    <w:p w14:paraId="6E1EF85B" w14:textId="77777777" w:rsidR="00FA7FDD" w:rsidRPr="00FA7FDD" w:rsidRDefault="00FA7FDD" w:rsidP="00FA7FDD">
      <w:pPr>
        <w:numPr>
          <w:ilvl w:val="0"/>
          <w:numId w:val="4"/>
        </w:numPr>
      </w:pPr>
      <w:r w:rsidRPr="00FA7FDD">
        <w:t>Enable correlation of endpoint and network events to identify sophisticated attacks.</w:t>
      </w:r>
    </w:p>
    <w:p w14:paraId="352A9FB1" w14:textId="77777777" w:rsidR="00FA7FDD" w:rsidRPr="00FA7FDD" w:rsidRDefault="00FA7FDD" w:rsidP="00FA7FDD">
      <w:pPr>
        <w:numPr>
          <w:ilvl w:val="0"/>
          <w:numId w:val="4"/>
        </w:numPr>
      </w:pPr>
      <w:r w:rsidRPr="00FA7FDD">
        <w:t>Facilitate automated response and remediation actions to contain and mitigate threats.</w:t>
      </w:r>
    </w:p>
    <w:p w14:paraId="3F3D119B" w14:textId="51B2A70D" w:rsidR="00FA7FDD" w:rsidRPr="00FA7FDD" w:rsidRDefault="00FA7FDD" w:rsidP="00FA7FDD">
      <w:pPr>
        <w:numPr>
          <w:ilvl w:val="0"/>
          <w:numId w:val="4"/>
        </w:numPr>
      </w:pPr>
      <w:r w:rsidRPr="00FA7FDD">
        <w:t>Enhance the overall security posture of the organi</w:t>
      </w:r>
      <w:r w:rsidR="004E0D2D">
        <w:t>s</w:t>
      </w:r>
      <w:r w:rsidRPr="00FA7FDD">
        <w:t>ation's IT infrastructure.</w:t>
      </w:r>
      <w:r>
        <w:br/>
      </w:r>
    </w:p>
    <w:p w14:paraId="24D94C04" w14:textId="31E210F6" w:rsidR="00FA7FDD" w:rsidRPr="00FA7FDD" w:rsidRDefault="00FA7FDD" w:rsidP="00FA7FDD">
      <w:pPr>
        <w:pStyle w:val="Heading1"/>
      </w:pPr>
      <w:bookmarkStart w:id="2" w:name="_Toc190894759"/>
      <w:r w:rsidRPr="00FA7FDD">
        <w:t>Scope</w:t>
      </w:r>
      <w:bookmarkEnd w:id="2"/>
    </w:p>
    <w:p w14:paraId="3F45EDBA" w14:textId="44664BFA" w:rsidR="00FA7FDD" w:rsidRPr="00FA7FDD" w:rsidRDefault="00FA7FDD" w:rsidP="00FA7FDD">
      <w:r w:rsidRPr="00FA7FDD">
        <w:t>This policy applies to all endpoint protection solutions and network-wide security monitoring systems deployed within the organi</w:t>
      </w:r>
      <w:r w:rsidR="004E0D2D">
        <w:t>s</w:t>
      </w:r>
      <w:r w:rsidRPr="00FA7FDD">
        <w:t>ation. This includes, but is not limited to:</w:t>
      </w:r>
    </w:p>
    <w:p w14:paraId="78BDBBDA" w14:textId="77777777" w:rsidR="00FA7FDD" w:rsidRPr="00FA7FDD" w:rsidRDefault="00FA7FDD" w:rsidP="00FA7FDD">
      <w:pPr>
        <w:numPr>
          <w:ilvl w:val="0"/>
          <w:numId w:val="5"/>
        </w:numPr>
      </w:pPr>
      <w:r w:rsidRPr="00FA7FDD">
        <w:t>Anti-malware and antivirus software</w:t>
      </w:r>
    </w:p>
    <w:p w14:paraId="21DC9EBF" w14:textId="77777777" w:rsidR="00FA7FDD" w:rsidRPr="00FA7FDD" w:rsidRDefault="00FA7FDD" w:rsidP="00FA7FDD">
      <w:pPr>
        <w:numPr>
          <w:ilvl w:val="0"/>
          <w:numId w:val="5"/>
        </w:numPr>
      </w:pPr>
      <w:r w:rsidRPr="00FA7FDD">
        <w:t>Endpoint detection and response (EDR) solutions</w:t>
      </w:r>
    </w:p>
    <w:p w14:paraId="27C2C54D" w14:textId="77777777" w:rsidR="00FA7FDD" w:rsidRPr="00FA7FDD" w:rsidRDefault="00FA7FDD" w:rsidP="00FA7FDD">
      <w:pPr>
        <w:numPr>
          <w:ilvl w:val="0"/>
          <w:numId w:val="5"/>
        </w:numPr>
      </w:pPr>
      <w:r w:rsidRPr="00FA7FDD">
        <w:t>Intrusion detection and prevention systems (IDPS)</w:t>
      </w:r>
    </w:p>
    <w:p w14:paraId="7617F27C" w14:textId="77777777" w:rsidR="00FA7FDD" w:rsidRPr="00FA7FDD" w:rsidRDefault="00FA7FDD" w:rsidP="00FA7FDD">
      <w:pPr>
        <w:numPr>
          <w:ilvl w:val="0"/>
          <w:numId w:val="5"/>
        </w:numPr>
      </w:pPr>
      <w:r w:rsidRPr="00FA7FDD">
        <w:t>Security information and event management (SIEM) systems</w:t>
      </w:r>
    </w:p>
    <w:p w14:paraId="0FBE853F" w14:textId="48B187A8" w:rsidR="00FA7FDD" w:rsidRPr="00FA7FDD" w:rsidRDefault="00FA7FDD" w:rsidP="00FA7FDD">
      <w:pPr>
        <w:numPr>
          <w:ilvl w:val="0"/>
          <w:numId w:val="5"/>
        </w:numPr>
      </w:pPr>
      <w:r w:rsidRPr="00FA7FDD">
        <w:t>Network traffic analysis (NTA) tools</w:t>
      </w:r>
      <w:r>
        <w:br/>
      </w:r>
    </w:p>
    <w:p w14:paraId="1B0A81A7" w14:textId="7CBBB2AB" w:rsidR="00FA7FDD" w:rsidRPr="00FA7FDD" w:rsidRDefault="00FA7FDD" w:rsidP="00FA7FDD">
      <w:pPr>
        <w:pStyle w:val="Heading1"/>
      </w:pPr>
      <w:bookmarkStart w:id="3" w:name="_Toc190894760"/>
      <w:r w:rsidRPr="00FA7FDD">
        <w:t>Policy Statement</w:t>
      </w:r>
      <w:bookmarkEnd w:id="3"/>
    </w:p>
    <w:p w14:paraId="7D1CAD3F" w14:textId="23AC702E" w:rsidR="00FA7FDD" w:rsidRPr="00FA7FDD" w:rsidRDefault="00FA7FDD" w:rsidP="00FA7FDD">
      <w:pPr>
        <w:pStyle w:val="Heading2"/>
      </w:pPr>
      <w:bookmarkStart w:id="4" w:name="_Toc190894761"/>
      <w:r w:rsidRPr="00FA7FDD">
        <w:t>Centrali</w:t>
      </w:r>
      <w:r w:rsidR="004E0D2D">
        <w:t>s</w:t>
      </w:r>
      <w:r w:rsidRPr="00FA7FDD">
        <w:t>ed Management and Monitoring</w:t>
      </w:r>
      <w:bookmarkEnd w:id="4"/>
    </w:p>
    <w:p w14:paraId="502F31F6" w14:textId="3D572E45" w:rsidR="00FA7FDD" w:rsidRPr="00FA7FDD" w:rsidRDefault="00FA7FDD" w:rsidP="00FA7FDD">
      <w:pPr>
        <w:numPr>
          <w:ilvl w:val="0"/>
          <w:numId w:val="6"/>
        </w:numPr>
      </w:pPr>
      <w:r w:rsidRPr="00FA7FDD">
        <w:rPr>
          <w:b/>
          <w:bCs/>
        </w:rPr>
        <w:t>Integration Platform:</w:t>
      </w:r>
      <w:r w:rsidRPr="00FA7FDD">
        <w:t xml:space="preserve"> A centrali</w:t>
      </w:r>
      <w:r w:rsidR="004E0D2D">
        <w:t>s</w:t>
      </w:r>
      <w:r w:rsidRPr="00FA7FDD">
        <w:t>ed platform or solution shall be implemented to integrate endpoint protection and network-wide security monitoring systems, enabling unified management and visibility.</w:t>
      </w:r>
    </w:p>
    <w:p w14:paraId="3D9C8FBF" w14:textId="3C5601C1" w:rsidR="00FA7FDD" w:rsidRPr="00FA7FDD" w:rsidRDefault="00FA7FDD" w:rsidP="00FA7FDD">
      <w:pPr>
        <w:numPr>
          <w:ilvl w:val="0"/>
          <w:numId w:val="6"/>
        </w:numPr>
      </w:pPr>
      <w:r w:rsidRPr="00FA7FDD">
        <w:rPr>
          <w:b/>
          <w:bCs/>
        </w:rPr>
        <w:t>Real-time Data Collection:</w:t>
      </w:r>
      <w:r w:rsidRPr="00FA7FDD">
        <w:t xml:space="preserve"> Endpoint security events and network logs shall be collected in real-time and forwarded to the centrali</w:t>
      </w:r>
      <w:r w:rsidR="004E0D2D">
        <w:t>s</w:t>
      </w:r>
      <w:r w:rsidRPr="00FA7FDD">
        <w:t>ed platform for analysis.</w:t>
      </w:r>
    </w:p>
    <w:p w14:paraId="3A436303" w14:textId="4ACE5194" w:rsidR="00FA7FDD" w:rsidRPr="00FA7FDD" w:rsidRDefault="00FA7FDD" w:rsidP="00FA7FDD">
      <w:pPr>
        <w:numPr>
          <w:ilvl w:val="0"/>
          <w:numId w:val="6"/>
        </w:numPr>
      </w:pPr>
      <w:r w:rsidRPr="00FA7FDD">
        <w:rPr>
          <w:b/>
          <w:bCs/>
        </w:rPr>
        <w:t>Dashboard and Reporting:</w:t>
      </w:r>
      <w:r w:rsidRPr="00FA7FDD">
        <w:t xml:space="preserve"> A comprehensive dashboard and reporting capabilities shall be provided to visuali</w:t>
      </w:r>
      <w:r w:rsidR="004E0D2D">
        <w:t>s</w:t>
      </w:r>
      <w:r w:rsidRPr="00FA7FDD">
        <w:t>e and analyse security events across endpoints and the network.</w:t>
      </w:r>
      <w:r>
        <w:br/>
      </w:r>
    </w:p>
    <w:p w14:paraId="463A2EA6" w14:textId="761E8B15" w:rsidR="00FA7FDD" w:rsidRPr="00FA7FDD" w:rsidRDefault="00FA7FDD" w:rsidP="00FA7FDD">
      <w:pPr>
        <w:pStyle w:val="Heading2"/>
      </w:pPr>
      <w:bookmarkStart w:id="5" w:name="_Toc190894762"/>
      <w:r w:rsidRPr="00FA7FDD">
        <w:t>Real-time Threat Intelligence Sharing</w:t>
      </w:r>
      <w:bookmarkEnd w:id="5"/>
    </w:p>
    <w:p w14:paraId="411C77DD" w14:textId="739D3221" w:rsidR="00FA7FDD" w:rsidRPr="00FA7FDD" w:rsidRDefault="00FA7FDD" w:rsidP="00FA7FDD">
      <w:pPr>
        <w:numPr>
          <w:ilvl w:val="0"/>
          <w:numId w:val="7"/>
        </w:numPr>
      </w:pPr>
      <w:r w:rsidRPr="00FA7FDD">
        <w:rPr>
          <w:b/>
          <w:bCs/>
        </w:rPr>
        <w:t>Threat Intelligence Feeds:</w:t>
      </w:r>
      <w:r w:rsidRPr="00FA7FDD">
        <w:t xml:space="preserve"> Threat intelligence feeds from reputable sources shall be integrated into the centrali</w:t>
      </w:r>
      <w:r w:rsidR="004E0D2D">
        <w:t>s</w:t>
      </w:r>
      <w:r w:rsidRPr="00FA7FDD">
        <w:t>ed platform to provide up-to-date information on emerging threats and vulnerabilities.</w:t>
      </w:r>
    </w:p>
    <w:p w14:paraId="7C2F1FCA" w14:textId="7EEDE67B" w:rsidR="00FA7FDD" w:rsidRPr="00FA7FDD" w:rsidRDefault="00FA7FDD" w:rsidP="00FA7FDD">
      <w:pPr>
        <w:numPr>
          <w:ilvl w:val="0"/>
          <w:numId w:val="7"/>
        </w:numPr>
      </w:pPr>
      <w:r w:rsidRPr="00FA7FDD">
        <w:rPr>
          <w:b/>
          <w:bCs/>
        </w:rPr>
        <w:t>Endpoint and Network Correlation:</w:t>
      </w:r>
      <w:r w:rsidRPr="00FA7FDD">
        <w:t xml:space="preserve"> Threat intelligence shall be correlated with endpoint and network events to identify potential attacks and indicators of compromise.</w:t>
      </w:r>
      <w:r>
        <w:br/>
      </w:r>
    </w:p>
    <w:p w14:paraId="36E385AA" w14:textId="53119844" w:rsidR="00FA7FDD" w:rsidRPr="00FA7FDD" w:rsidRDefault="00FA7FDD" w:rsidP="00FA7FDD">
      <w:pPr>
        <w:pStyle w:val="Heading2"/>
      </w:pPr>
      <w:bookmarkStart w:id="6" w:name="_Toc190894763"/>
      <w:r w:rsidRPr="00FA7FDD">
        <w:t>Correlation and Analysis</w:t>
      </w:r>
      <w:bookmarkEnd w:id="6"/>
    </w:p>
    <w:p w14:paraId="518B9935" w14:textId="77777777" w:rsidR="00FA7FDD" w:rsidRPr="00FA7FDD" w:rsidRDefault="00FA7FDD" w:rsidP="00FA7FDD">
      <w:pPr>
        <w:numPr>
          <w:ilvl w:val="0"/>
          <w:numId w:val="8"/>
        </w:numPr>
      </w:pPr>
      <w:r w:rsidRPr="00FA7FDD">
        <w:rPr>
          <w:b/>
          <w:bCs/>
        </w:rPr>
        <w:lastRenderedPageBreak/>
        <w:t>Event Correlation:</w:t>
      </w:r>
      <w:r w:rsidRPr="00FA7FDD">
        <w:t xml:space="preserve"> Events from endpoint protection and network security monitoring systems shall be correlated to identify patterns, anomalies, and potential threats.</w:t>
      </w:r>
    </w:p>
    <w:p w14:paraId="738166E9" w14:textId="57DF212C" w:rsidR="00FA7FDD" w:rsidRPr="00FA7FDD" w:rsidRDefault="00FA7FDD" w:rsidP="00FA7FDD">
      <w:pPr>
        <w:numPr>
          <w:ilvl w:val="0"/>
          <w:numId w:val="8"/>
        </w:numPr>
      </w:pPr>
      <w:r w:rsidRPr="00FA7FDD">
        <w:rPr>
          <w:b/>
          <w:bCs/>
        </w:rPr>
        <w:t>Behavioural Analytics:</w:t>
      </w:r>
      <w:r w:rsidRPr="00FA7FDD">
        <w:t xml:space="preserve"> User and entity </w:t>
      </w:r>
      <w:r w:rsidR="004E0D2D" w:rsidRPr="00FA7FDD">
        <w:t>behaviour</w:t>
      </w:r>
      <w:r w:rsidRPr="00FA7FDD">
        <w:t xml:space="preserve"> analytics (UEBA) shall be employed to detect deviations from normal activity that may indicate malicious intent.</w:t>
      </w:r>
    </w:p>
    <w:p w14:paraId="4655DE9F" w14:textId="2CE98251" w:rsidR="00FA7FDD" w:rsidRPr="00FA7FDD" w:rsidRDefault="00FA7FDD" w:rsidP="00FA7FDD">
      <w:pPr>
        <w:numPr>
          <w:ilvl w:val="0"/>
          <w:numId w:val="8"/>
        </w:numPr>
      </w:pPr>
      <w:r w:rsidRPr="00FA7FDD">
        <w:rPr>
          <w:b/>
          <w:bCs/>
        </w:rPr>
        <w:t>Machine Learning:</w:t>
      </w:r>
      <w:r w:rsidRPr="00FA7FDD">
        <w:t xml:space="preserve"> Machine learning algorithms may be utili</w:t>
      </w:r>
      <w:r w:rsidR="004E0D2D">
        <w:t>s</w:t>
      </w:r>
      <w:r w:rsidRPr="00FA7FDD">
        <w:t>ed to enhance threat detection and reduce false positives.</w:t>
      </w:r>
      <w:r>
        <w:br/>
      </w:r>
    </w:p>
    <w:p w14:paraId="674A5BD7" w14:textId="17F7991D" w:rsidR="00FA7FDD" w:rsidRPr="00FA7FDD" w:rsidRDefault="00FA7FDD" w:rsidP="00FA7FDD">
      <w:pPr>
        <w:pStyle w:val="Heading2"/>
      </w:pPr>
      <w:bookmarkStart w:id="7" w:name="_Toc190894764"/>
      <w:r w:rsidRPr="00FA7FDD">
        <w:t>Automated Response and Remediation</w:t>
      </w:r>
      <w:bookmarkEnd w:id="7"/>
    </w:p>
    <w:p w14:paraId="2AB23E65" w14:textId="77777777" w:rsidR="00FA7FDD" w:rsidRPr="00FA7FDD" w:rsidRDefault="00FA7FDD" w:rsidP="00FA7FDD">
      <w:pPr>
        <w:numPr>
          <w:ilvl w:val="0"/>
          <w:numId w:val="9"/>
        </w:numPr>
      </w:pPr>
      <w:r w:rsidRPr="00FA7FDD">
        <w:rPr>
          <w:b/>
          <w:bCs/>
        </w:rPr>
        <w:t>Automated Actions:</w:t>
      </w:r>
      <w:r w:rsidRPr="00FA7FDD">
        <w:t xml:space="preserve"> Predefined automated actions shall be triggered in response to specific security events or threat indicators, such as: </w:t>
      </w:r>
    </w:p>
    <w:p w14:paraId="131062C4" w14:textId="77777777" w:rsidR="00FA7FDD" w:rsidRPr="00FA7FDD" w:rsidRDefault="00FA7FDD" w:rsidP="00FA7FDD">
      <w:pPr>
        <w:numPr>
          <w:ilvl w:val="1"/>
          <w:numId w:val="9"/>
        </w:numPr>
      </w:pPr>
      <w:r w:rsidRPr="00FA7FDD">
        <w:t>Isolating infected endpoints</w:t>
      </w:r>
    </w:p>
    <w:p w14:paraId="76A9A3E9" w14:textId="77777777" w:rsidR="00FA7FDD" w:rsidRPr="00FA7FDD" w:rsidRDefault="00FA7FDD" w:rsidP="00FA7FDD">
      <w:pPr>
        <w:numPr>
          <w:ilvl w:val="1"/>
          <w:numId w:val="9"/>
        </w:numPr>
      </w:pPr>
      <w:r w:rsidRPr="00FA7FDD">
        <w:t>Blocking malicious traffic</w:t>
      </w:r>
    </w:p>
    <w:p w14:paraId="65021003" w14:textId="77777777" w:rsidR="00FA7FDD" w:rsidRPr="00FA7FDD" w:rsidRDefault="00FA7FDD" w:rsidP="00FA7FDD">
      <w:pPr>
        <w:numPr>
          <w:ilvl w:val="1"/>
          <w:numId w:val="9"/>
        </w:numPr>
      </w:pPr>
      <w:r w:rsidRPr="00FA7FDD">
        <w:t>Quarantining suspicious files</w:t>
      </w:r>
    </w:p>
    <w:p w14:paraId="1B2D325C" w14:textId="4D12F402" w:rsidR="00FA7FDD" w:rsidRPr="00FA7FDD" w:rsidRDefault="00FA7FDD" w:rsidP="00FA7FDD">
      <w:pPr>
        <w:numPr>
          <w:ilvl w:val="0"/>
          <w:numId w:val="9"/>
        </w:numPr>
      </w:pPr>
      <w:r w:rsidRPr="00FA7FDD">
        <w:rPr>
          <w:b/>
          <w:bCs/>
        </w:rPr>
        <w:t>Incident Response Integration:</w:t>
      </w:r>
      <w:r w:rsidRPr="00FA7FDD">
        <w:t xml:space="preserve"> The centrali</w:t>
      </w:r>
      <w:r w:rsidR="004E0D2D">
        <w:t>s</w:t>
      </w:r>
      <w:r w:rsidRPr="00FA7FDD">
        <w:t>ed platform shall be integrated with incident response workflows to facilitate efficient and coordinated response to security incidents.</w:t>
      </w:r>
      <w:r>
        <w:br/>
      </w:r>
    </w:p>
    <w:p w14:paraId="2FF1C326" w14:textId="1C208ABC" w:rsidR="00FA7FDD" w:rsidRPr="00FA7FDD" w:rsidRDefault="00FA7FDD" w:rsidP="00FA7FDD">
      <w:pPr>
        <w:pStyle w:val="Heading1"/>
      </w:pPr>
      <w:bookmarkStart w:id="8" w:name="_Toc190894765"/>
      <w:r w:rsidRPr="00FA7FDD">
        <w:t>Responsibilities</w:t>
      </w:r>
      <w:bookmarkEnd w:id="8"/>
    </w:p>
    <w:p w14:paraId="68D84678" w14:textId="77777777" w:rsidR="00FA7FDD" w:rsidRPr="00FA7FDD" w:rsidRDefault="00FA7FDD" w:rsidP="00FA7FDD">
      <w:pPr>
        <w:numPr>
          <w:ilvl w:val="0"/>
          <w:numId w:val="10"/>
        </w:numPr>
      </w:pPr>
      <w:r w:rsidRPr="00FA7FDD">
        <w:rPr>
          <w:b/>
          <w:bCs/>
        </w:rPr>
        <w:t>Information Security Officer:</w:t>
      </w:r>
      <w:r w:rsidRPr="00FA7FDD">
        <w:t xml:space="preserve"> Responsible for overseeing the implementation and enforcement of this policy.</w:t>
      </w:r>
    </w:p>
    <w:p w14:paraId="4C14563D" w14:textId="6F599C71" w:rsidR="00FA7FDD" w:rsidRPr="00FA7FDD" w:rsidRDefault="00FA7FDD" w:rsidP="00FA7FDD">
      <w:pPr>
        <w:numPr>
          <w:ilvl w:val="0"/>
          <w:numId w:val="10"/>
        </w:numPr>
      </w:pPr>
      <w:r w:rsidRPr="00FA7FDD">
        <w:rPr>
          <w:b/>
          <w:bCs/>
        </w:rPr>
        <w:t>IT Department:</w:t>
      </w:r>
      <w:r w:rsidRPr="00FA7FDD">
        <w:t xml:space="preserve"> Responsible for integrating endpoint protection and network-wide security monitoring systems, configuring automated response actions, and managing the centrali</w:t>
      </w:r>
      <w:r w:rsidR="004E0D2D">
        <w:t>s</w:t>
      </w:r>
      <w:r w:rsidRPr="00FA7FDD">
        <w:t>ed platform.</w:t>
      </w:r>
    </w:p>
    <w:p w14:paraId="433D4A89" w14:textId="1D5947FE" w:rsidR="00FA7FDD" w:rsidRPr="00FA7FDD" w:rsidRDefault="00FA7FDD" w:rsidP="00FA7FDD">
      <w:pPr>
        <w:numPr>
          <w:ilvl w:val="0"/>
          <w:numId w:val="10"/>
        </w:numPr>
      </w:pPr>
      <w:r w:rsidRPr="00FA7FDD">
        <w:rPr>
          <w:b/>
          <w:bCs/>
        </w:rPr>
        <w:t>Security Operations Centre (SOC):</w:t>
      </w:r>
      <w:r w:rsidRPr="00FA7FDD">
        <w:t xml:space="preserve"> Responsible for monitoring security events, analysing threats, and responding to incidents.</w:t>
      </w:r>
      <w:r>
        <w:br/>
      </w:r>
    </w:p>
    <w:p w14:paraId="21614496" w14:textId="50E5DCED" w:rsidR="00FA7FDD" w:rsidRPr="00FA7FDD" w:rsidRDefault="00FA7FDD" w:rsidP="00FA7FDD">
      <w:pPr>
        <w:pStyle w:val="Heading1"/>
      </w:pPr>
      <w:bookmarkStart w:id="9" w:name="_Toc190894766"/>
      <w:r w:rsidRPr="00FA7FDD">
        <w:t>Breaches of Policy</w:t>
      </w:r>
      <w:bookmarkEnd w:id="9"/>
    </w:p>
    <w:p w14:paraId="2B90E7AA" w14:textId="77777777" w:rsidR="00FA7FDD" w:rsidRPr="00FA7FDD" w:rsidRDefault="00FA7FDD" w:rsidP="00FA7FDD">
      <w:r w:rsidRPr="00FA7FDD">
        <w:t xml:space="preserve">Non-compliance with this policy may result in disciplinary action, up to and including termination of employment or contractual relationships.   </w:t>
      </w:r>
    </w:p>
    <w:p w14:paraId="4110271E" w14:textId="77777777" w:rsidR="0067231D" w:rsidRDefault="0067231D"/>
    <w:p w14:paraId="5EEAF9B5" w14:textId="77777777" w:rsidR="00193766" w:rsidRPr="00E3781C" w:rsidRDefault="00193766" w:rsidP="00FA7FDD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4767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777A877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32ABE3F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754EE1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03DE7A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1EBE314" w14:textId="214CF407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79764F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1735D12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11C6371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C3CF02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8D6173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8451CA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E6908A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E7F0F7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B82409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EF4EFAB" w14:textId="77777777" w:rsidR="00193766" w:rsidRDefault="00193766" w:rsidP="00193766"/>
    <w:p w14:paraId="259B550E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8F925" w14:textId="77777777" w:rsidR="002C42C5" w:rsidRDefault="002C42C5" w:rsidP="00F27AE8">
      <w:r>
        <w:separator/>
      </w:r>
    </w:p>
  </w:endnote>
  <w:endnote w:type="continuationSeparator" w:id="0">
    <w:p w14:paraId="46F503BE" w14:textId="77777777" w:rsidR="002C42C5" w:rsidRDefault="002C42C5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07DB507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16365B69" wp14:editId="3E5D8DF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C71E28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6365B69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2C71E28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DE606" w14:textId="77777777" w:rsidR="002C42C5" w:rsidRDefault="002C42C5" w:rsidP="00F27AE8">
      <w:r>
        <w:separator/>
      </w:r>
    </w:p>
  </w:footnote>
  <w:footnote w:type="continuationSeparator" w:id="0">
    <w:p w14:paraId="0CA4893B" w14:textId="77777777" w:rsidR="002C42C5" w:rsidRDefault="002C42C5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3ED9E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3F40199B" wp14:editId="19231E10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7344FB9D" wp14:editId="3875B1E4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63605" w14:textId="77777777" w:rsidR="00BC1C52" w:rsidRDefault="00BC1C52" w:rsidP="00BC1C52">
    <w:pPr>
      <w:pStyle w:val="Header"/>
      <w:ind w:hanging="1276"/>
    </w:pPr>
  </w:p>
  <w:p w14:paraId="39B326DF" w14:textId="77777777" w:rsidR="00BC1C52" w:rsidRDefault="00BC1C52">
    <w:pPr>
      <w:pStyle w:val="Header"/>
    </w:pPr>
  </w:p>
  <w:p w14:paraId="28E716AC" w14:textId="77777777" w:rsidR="00BC1C52" w:rsidRDefault="00BC1C52">
    <w:pPr>
      <w:pStyle w:val="Header"/>
    </w:pPr>
  </w:p>
  <w:p w14:paraId="445DA046" w14:textId="77777777" w:rsidR="00BC1C52" w:rsidRDefault="00BC1C52">
    <w:pPr>
      <w:pStyle w:val="Header"/>
    </w:pPr>
  </w:p>
  <w:p w14:paraId="56DA6476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94769" w14:textId="77777777" w:rsidR="00140B26" w:rsidRDefault="00140B26" w:rsidP="00F85381">
    <w:pPr>
      <w:pStyle w:val="Header"/>
    </w:pPr>
  </w:p>
  <w:p w14:paraId="4ED5725E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F15F2D"/>
    <w:multiLevelType w:val="multilevel"/>
    <w:tmpl w:val="1900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45EBD"/>
    <w:multiLevelType w:val="multilevel"/>
    <w:tmpl w:val="9BB8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2BC5"/>
    <w:multiLevelType w:val="multilevel"/>
    <w:tmpl w:val="DB48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F57E2"/>
    <w:multiLevelType w:val="multilevel"/>
    <w:tmpl w:val="9CB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B1D95"/>
    <w:multiLevelType w:val="multilevel"/>
    <w:tmpl w:val="3C8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A420FF"/>
    <w:multiLevelType w:val="multilevel"/>
    <w:tmpl w:val="15FE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5127B"/>
    <w:multiLevelType w:val="multilevel"/>
    <w:tmpl w:val="51A2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C44F4F"/>
    <w:multiLevelType w:val="multilevel"/>
    <w:tmpl w:val="B6E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323EE"/>
    <w:multiLevelType w:val="multilevel"/>
    <w:tmpl w:val="30D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925A3"/>
    <w:multiLevelType w:val="multilevel"/>
    <w:tmpl w:val="2710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3"/>
  </w:num>
  <w:num w:numId="3" w16cid:durableId="546143824">
    <w:abstractNumId w:val="1"/>
  </w:num>
  <w:num w:numId="4" w16cid:durableId="748379985">
    <w:abstractNumId w:val="8"/>
  </w:num>
  <w:num w:numId="5" w16cid:durableId="2035883574">
    <w:abstractNumId w:val="10"/>
  </w:num>
  <w:num w:numId="6" w16cid:durableId="464397890">
    <w:abstractNumId w:val="4"/>
  </w:num>
  <w:num w:numId="7" w16cid:durableId="1939874810">
    <w:abstractNumId w:val="11"/>
  </w:num>
  <w:num w:numId="8" w16cid:durableId="1051658308">
    <w:abstractNumId w:val="9"/>
  </w:num>
  <w:num w:numId="9" w16cid:durableId="733435647">
    <w:abstractNumId w:val="6"/>
  </w:num>
  <w:num w:numId="10" w16cid:durableId="1704361189">
    <w:abstractNumId w:val="5"/>
  </w:num>
  <w:num w:numId="11" w16cid:durableId="285963557">
    <w:abstractNumId w:val="2"/>
  </w:num>
  <w:num w:numId="12" w16cid:durableId="19851590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DD"/>
    <w:rsid w:val="000D1E55"/>
    <w:rsid w:val="000E777D"/>
    <w:rsid w:val="000F36F9"/>
    <w:rsid w:val="00140B26"/>
    <w:rsid w:val="001812D8"/>
    <w:rsid w:val="00191C40"/>
    <w:rsid w:val="00193766"/>
    <w:rsid w:val="00194CB7"/>
    <w:rsid w:val="002256DD"/>
    <w:rsid w:val="00251FC0"/>
    <w:rsid w:val="002577AC"/>
    <w:rsid w:val="00264A09"/>
    <w:rsid w:val="002C42C5"/>
    <w:rsid w:val="002D4124"/>
    <w:rsid w:val="002E2049"/>
    <w:rsid w:val="00307784"/>
    <w:rsid w:val="003103A4"/>
    <w:rsid w:val="0031068B"/>
    <w:rsid w:val="003122F7"/>
    <w:rsid w:val="0034583A"/>
    <w:rsid w:val="00354C4F"/>
    <w:rsid w:val="004324BC"/>
    <w:rsid w:val="004E0D2D"/>
    <w:rsid w:val="0053192A"/>
    <w:rsid w:val="00591B19"/>
    <w:rsid w:val="005D5120"/>
    <w:rsid w:val="00654027"/>
    <w:rsid w:val="0067231D"/>
    <w:rsid w:val="006B43C6"/>
    <w:rsid w:val="007069BD"/>
    <w:rsid w:val="00716E59"/>
    <w:rsid w:val="00752D75"/>
    <w:rsid w:val="007718D8"/>
    <w:rsid w:val="007805A7"/>
    <w:rsid w:val="0079764F"/>
    <w:rsid w:val="007B65FE"/>
    <w:rsid w:val="007F5985"/>
    <w:rsid w:val="008004DC"/>
    <w:rsid w:val="00810261"/>
    <w:rsid w:val="00881992"/>
    <w:rsid w:val="008E4D5F"/>
    <w:rsid w:val="00926696"/>
    <w:rsid w:val="009A16F7"/>
    <w:rsid w:val="009B57D2"/>
    <w:rsid w:val="009D22A0"/>
    <w:rsid w:val="00A55CF3"/>
    <w:rsid w:val="00B31625"/>
    <w:rsid w:val="00B33CF5"/>
    <w:rsid w:val="00BA4481"/>
    <w:rsid w:val="00BC1C52"/>
    <w:rsid w:val="00D52311"/>
    <w:rsid w:val="00DB40A2"/>
    <w:rsid w:val="00E455C4"/>
    <w:rsid w:val="00E959EB"/>
    <w:rsid w:val="00ED4C35"/>
    <w:rsid w:val="00F27AE8"/>
    <w:rsid w:val="00F72D1A"/>
    <w:rsid w:val="00F85381"/>
    <w:rsid w:val="00F85875"/>
    <w:rsid w:val="00FA7FDD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B0B45"/>
  <w15:docId w15:val="{D1268739-B896-4E8C-892C-B400C227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FA7FDD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7F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A7F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2024-09-02T06:53:00Z</dcterms:created>
  <dcterms:modified xsi:type="dcterms:W3CDTF">2025-05-29T12:06:00Z</dcterms:modified>
</cp:coreProperties>
</file>