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0.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7.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8.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Metadata/LabelInfo.xml" ContentType="application/vnd.ms-office.classificationlabels+xml"/>
  <Override PartName="/word/fontTable.xml" ContentType="application/vnd.openxmlformats-officedocument.wordprocessingml.fontTable+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F0B90" w14:textId="77777777" w:rsidR="00993D40" w:rsidRPr="007E3533" w:rsidRDefault="00993D40" w:rsidP="00993D40">
      <w:pPr>
        <w:pStyle w:val="ProductList-Body"/>
        <w:shd w:val="clear" w:color="auto" w:fill="00188F"/>
        <w:ind w:right="8640"/>
        <w:rPr>
          <w:sz w:val="6"/>
          <w:szCs w:val="6"/>
          <w:lang w:val="en-US"/>
        </w:rPr>
      </w:pPr>
      <w:bookmarkStart w:id="0" w:name="CoverPage"/>
      <w:bookmarkStart w:id="1" w:name="TableofContents"/>
    </w:p>
    <w:p w14:paraId="000B698F" w14:textId="77777777" w:rsidR="00993D40" w:rsidRPr="00E31463" w:rsidRDefault="00993D40" w:rsidP="00993D40">
      <w:pPr>
        <w:pStyle w:val="ProductList-Body"/>
        <w:shd w:val="clear" w:color="auto" w:fill="00188F"/>
        <w:ind w:right="8640"/>
        <w:rPr>
          <w:sz w:val="6"/>
          <w:szCs w:val="6"/>
        </w:rPr>
      </w:pPr>
      <w:r w:rsidRPr="00E31463">
        <w:rPr>
          <w:rFonts w:asciiTheme="majorHAnsi" w:hAnsiTheme="majorHAnsi"/>
          <w:color w:val="FFFFFF" w:themeColor="background1"/>
          <w:sz w:val="6"/>
          <w:szCs w:val="6"/>
        </w:rPr>
        <w:t xml:space="preserve"> </w:t>
      </w:r>
    </w:p>
    <w:p w14:paraId="544830BE" w14:textId="6EB0A6CD" w:rsidR="00993D40" w:rsidRPr="00097CE0" w:rsidRDefault="00993D40" w:rsidP="00975091">
      <w:pPr>
        <w:pStyle w:val="ProductList-Body"/>
        <w:shd w:val="clear" w:color="auto" w:fill="00188F"/>
        <w:spacing w:after="900"/>
        <w:ind w:left="158" w:right="8640" w:hanging="158"/>
      </w:pPr>
      <w:r>
        <w:rPr>
          <w:rFonts w:asciiTheme="majorHAnsi" w:hAnsiTheme="majorHAnsi"/>
          <w:color w:val="FFFFFF" w:themeColor="background1"/>
          <w:sz w:val="32"/>
          <w:szCs w:val="32"/>
        </w:rPr>
        <w:tab/>
        <w:t>Корпоративно</w:t>
      </w:r>
      <w:bookmarkEnd w:id="0"/>
      <w:r>
        <w:rPr>
          <w:rFonts w:asciiTheme="majorHAnsi" w:hAnsiTheme="majorHAnsi"/>
          <w:color w:val="FFFFFF" w:themeColor="background1"/>
          <w:sz w:val="32"/>
          <w:szCs w:val="32"/>
        </w:rPr>
        <w:t xml:space="preserve"> лицензиране</w:t>
      </w:r>
    </w:p>
    <w:p w14:paraId="7082D943" w14:textId="77777777" w:rsidR="00993D40" w:rsidRPr="00097CE0" w:rsidRDefault="00993D40" w:rsidP="00993D40">
      <w:pPr>
        <w:pStyle w:val="ProductList-Body"/>
        <w:shd w:val="clear" w:color="auto" w:fill="00188F"/>
        <w:ind w:right="8640"/>
      </w:pPr>
    </w:p>
    <w:p w14:paraId="66D5E349" w14:textId="77777777" w:rsidR="00993D40" w:rsidRPr="00E31463" w:rsidRDefault="00993D40" w:rsidP="00993D40">
      <w:pPr>
        <w:pStyle w:val="ProductList-Body"/>
        <w:shd w:val="clear" w:color="auto" w:fill="0072C6"/>
        <w:ind w:right="1800"/>
        <w:rPr>
          <w:rFonts w:asciiTheme="majorHAnsi" w:hAnsiTheme="majorHAnsi"/>
          <w:color w:val="FFFFFF" w:themeColor="background1"/>
          <w:sz w:val="72"/>
          <w:szCs w:val="72"/>
          <w:lang w:val="en-US" w:eastAsia="en-US" w:bidi="ar-SA"/>
        </w:rPr>
      </w:pPr>
    </w:p>
    <w:p w14:paraId="367D62C7" w14:textId="77777777" w:rsidR="00993D40" w:rsidRPr="00E31463" w:rsidRDefault="00993D40" w:rsidP="00993D40">
      <w:pPr>
        <w:pStyle w:val="ProductList-Body"/>
        <w:shd w:val="clear" w:color="auto" w:fill="0072C6"/>
        <w:tabs>
          <w:tab w:val="clear" w:pos="158"/>
          <w:tab w:val="left" w:pos="180"/>
        </w:tabs>
        <w:ind w:right="1800"/>
        <w:rPr>
          <w:rFonts w:asciiTheme="majorHAnsi" w:hAnsiTheme="majorHAnsi"/>
          <w:color w:val="FFFFFF" w:themeColor="background1"/>
          <w:sz w:val="72"/>
          <w:szCs w:val="72"/>
          <w:lang w:val="en-US" w:eastAsia="en-US" w:bidi="ar-SA"/>
        </w:rPr>
      </w:pPr>
    </w:p>
    <w:p w14:paraId="3C2D109F" w14:textId="77777777" w:rsidR="008A71B7" w:rsidRDefault="008A71B7" w:rsidP="008A71B7">
      <w:pPr>
        <w:pStyle w:val="ProductList-Body"/>
        <w:shd w:val="clear" w:color="auto" w:fill="0072C6"/>
        <w:tabs>
          <w:tab w:val="clear" w:pos="158"/>
          <w:tab w:val="left" w:pos="360"/>
        </w:tabs>
        <w:ind w:right="1800"/>
        <w:rPr>
          <w:rFonts w:asciiTheme="majorHAnsi" w:hAnsiTheme="majorHAnsi"/>
          <w:color w:val="FFFFFF" w:themeColor="background1"/>
          <w:sz w:val="72"/>
          <w:szCs w:val="72"/>
        </w:rPr>
      </w:pPr>
      <w:r>
        <w:rPr>
          <w:rFonts w:asciiTheme="majorHAnsi" w:hAnsiTheme="majorHAnsi"/>
          <w:color w:val="FFFFFF" w:themeColor="background1"/>
          <w:sz w:val="72"/>
          <w:szCs w:val="72"/>
        </w:rPr>
        <w:tab/>
        <w:t xml:space="preserve">Онлайн услуги на Microsoft </w:t>
      </w:r>
      <w:r>
        <w:rPr>
          <w:rFonts w:asciiTheme="majorHAnsi" w:hAnsiTheme="majorHAnsi"/>
          <w:color w:val="FFFFFF" w:themeColor="background1"/>
          <w:sz w:val="72"/>
          <w:szCs w:val="72"/>
        </w:rPr>
        <w:tab/>
        <w:t xml:space="preserve">Допълнение относно </w:t>
      </w:r>
      <w:r>
        <w:rPr>
          <w:rFonts w:asciiTheme="majorHAnsi" w:hAnsiTheme="majorHAnsi"/>
          <w:color w:val="FFFFFF" w:themeColor="background1"/>
          <w:sz w:val="72"/>
          <w:szCs w:val="72"/>
        </w:rPr>
        <w:tab/>
        <w:t>защитата на данните</w:t>
      </w:r>
    </w:p>
    <w:p w14:paraId="27E3682C" w14:textId="7BF650E9" w:rsidR="008A71B7" w:rsidRPr="00D7294A" w:rsidRDefault="008A71B7" w:rsidP="00D7294A">
      <w:pPr>
        <w:pStyle w:val="ProductList-Body"/>
        <w:shd w:val="clear" w:color="auto" w:fill="0072C6"/>
        <w:tabs>
          <w:tab w:val="clear" w:pos="158"/>
          <w:tab w:val="left" w:pos="360"/>
        </w:tabs>
        <w:ind w:left="360" w:right="1800" w:hanging="360"/>
        <w:rPr>
          <w:rFonts w:asciiTheme="majorHAnsi" w:hAnsiTheme="majorHAnsi"/>
          <w:color w:val="FFFFFF" w:themeColor="background1"/>
          <w:sz w:val="72"/>
          <w:szCs w:val="72"/>
        </w:rPr>
      </w:pPr>
      <w:r w:rsidRPr="00D7294A">
        <w:rPr>
          <w:rFonts w:asciiTheme="majorHAnsi" w:hAnsiTheme="majorHAnsi"/>
          <w:color w:val="FFFFFF" w:themeColor="background1"/>
          <w:sz w:val="72"/>
          <w:szCs w:val="72"/>
        </w:rPr>
        <w:tab/>
      </w:r>
      <w:r w:rsidR="00D7294A" w:rsidRPr="00D7294A">
        <w:rPr>
          <w:rFonts w:asciiTheme="majorHAnsi" w:hAnsiTheme="majorHAnsi"/>
          <w:color w:val="FFFFFF" w:themeColor="background1"/>
          <w:sz w:val="72"/>
          <w:szCs w:val="72"/>
        </w:rPr>
        <w:t xml:space="preserve">Последно актуализиране: </w:t>
      </w:r>
      <w:r w:rsidR="00D7294A" w:rsidRPr="00D7294A">
        <w:rPr>
          <w:rFonts w:ascii="Calibri Light" w:eastAsia="Calibri" w:hAnsi="Calibri Light" w:cs="Arial"/>
          <w:color w:val="FFFFFF" w:themeColor="background1"/>
          <w:sz w:val="72"/>
          <w:szCs w:val="72"/>
        </w:rPr>
        <w:t>9 декември</w:t>
      </w:r>
      <w:r w:rsidR="00D7294A" w:rsidRPr="00D7294A">
        <w:rPr>
          <w:rFonts w:asciiTheme="majorHAnsi" w:hAnsiTheme="majorHAnsi"/>
          <w:color w:val="FFFFFF" w:themeColor="background1"/>
          <w:sz w:val="72"/>
          <w:szCs w:val="72"/>
        </w:rPr>
        <w:t xml:space="preserve"> 2020 г.</w:t>
      </w:r>
    </w:p>
    <w:p w14:paraId="5A20339A" w14:textId="77777777" w:rsidR="008A71B7" w:rsidRDefault="008A71B7" w:rsidP="008A71B7">
      <w:pPr>
        <w:pStyle w:val="ProductList-Body"/>
        <w:shd w:val="clear" w:color="auto" w:fill="0072C6"/>
        <w:tabs>
          <w:tab w:val="clear" w:pos="158"/>
          <w:tab w:val="left" w:pos="360"/>
        </w:tabs>
        <w:ind w:right="1800"/>
        <w:rPr>
          <w:rStyle w:val="normaltextrun"/>
          <w:rFonts w:ascii="Calibri Light" w:hAnsi="Calibri Light" w:cs="Calibri Light"/>
          <w:color w:val="FFFFFF" w:themeColor="background1"/>
          <w:u w:val="single"/>
        </w:rPr>
      </w:pPr>
    </w:p>
    <w:p w14:paraId="2068900F" w14:textId="0EBEF039" w:rsidR="008A71B7" w:rsidRPr="006E3143" w:rsidRDefault="00D7294A" w:rsidP="008A71B7">
      <w:pPr>
        <w:pStyle w:val="ProductList-Body"/>
        <w:shd w:val="clear" w:color="auto" w:fill="0072C6"/>
        <w:tabs>
          <w:tab w:val="clear" w:pos="158"/>
          <w:tab w:val="left" w:pos="360"/>
        </w:tabs>
        <w:ind w:right="1800"/>
        <w:rPr>
          <w:rFonts w:asciiTheme="majorHAnsi" w:hAnsiTheme="majorHAnsi"/>
          <w:color w:val="FFFFFF" w:themeColor="background1"/>
          <w:sz w:val="48"/>
          <w:szCs w:val="48"/>
        </w:rPr>
      </w:pPr>
      <w:r w:rsidRPr="00D2574C">
        <w:rPr>
          <w:rStyle w:val="normaltextrun"/>
          <w:rFonts w:ascii="Calibri Light" w:hAnsi="Calibri Light" w:cs="Calibri Light"/>
          <w:color w:val="FFFFFF" w:themeColor="background1"/>
          <w:szCs w:val="18"/>
          <w:u w:val="single"/>
        </w:rPr>
        <w:t>Публикувано на английски език на 9 декември 2020 г. Преводите ще бъдат публикувани от Microsoft, когато бъдат налични. Ангажиментите в настоящото са обвързващи за Microsoft от 9 декември 2020 г.</w:t>
      </w:r>
    </w:p>
    <w:p w14:paraId="0799FC63" w14:textId="77777777" w:rsidR="00993D40" w:rsidRPr="00E31463" w:rsidRDefault="00993D40" w:rsidP="00E31463">
      <w:pPr>
        <w:pStyle w:val="ProductList-Body"/>
        <w:shd w:val="clear" w:color="auto" w:fill="0072C6"/>
        <w:ind w:right="1800"/>
        <w:rPr>
          <w:rFonts w:asciiTheme="majorHAnsi" w:hAnsiTheme="majorHAnsi"/>
          <w:color w:val="FFFFFF" w:themeColor="background1"/>
          <w:sz w:val="48"/>
          <w:szCs w:val="48"/>
          <w:lang w:val="en-US" w:eastAsia="en-US" w:bidi="ar-SA"/>
        </w:rPr>
      </w:pPr>
    </w:p>
    <w:p w14:paraId="39740FBF" w14:textId="77777777" w:rsidR="00993D40" w:rsidRPr="00097CE0" w:rsidRDefault="00993D40" w:rsidP="00993D40">
      <w:pPr>
        <w:pStyle w:val="ProductList-Body"/>
      </w:pPr>
    </w:p>
    <w:p w14:paraId="348CEB8D" w14:textId="77777777" w:rsidR="00993D40" w:rsidRDefault="00993D40" w:rsidP="00993D40">
      <w:pPr>
        <w:pStyle w:val="ProductList-Body"/>
        <w:sectPr w:rsidR="00993D40" w:rsidSect="00A61B2A">
          <w:footerReference w:type="default" r:id="rId8"/>
          <w:headerReference w:type="first" r:id="rId9"/>
          <w:footerReference w:type="first" r:id="rId10"/>
          <w:type w:val="continuous"/>
          <w:pgSz w:w="12240" w:h="15840"/>
          <w:pgMar w:top="720" w:right="720" w:bottom="1440" w:left="720" w:header="720" w:footer="720" w:gutter="0"/>
          <w:cols w:space="720"/>
          <w:titlePg/>
          <w:docGrid w:linePitch="360"/>
        </w:sectPr>
      </w:pPr>
    </w:p>
    <w:p w14:paraId="56513069" w14:textId="40973858" w:rsidR="004D27A6" w:rsidRDefault="004D27A6" w:rsidP="007829B6">
      <w:pPr>
        <w:pStyle w:val="ProductList-Body"/>
        <w:spacing w:after="120"/>
        <w:outlineLvl w:val="0"/>
        <w:rPr>
          <w:rFonts w:asciiTheme="majorHAnsi" w:hAnsiTheme="majorHAnsi"/>
          <w:b/>
          <w:sz w:val="40"/>
          <w:szCs w:val="40"/>
        </w:rPr>
        <w:sectPr w:rsidR="004D27A6" w:rsidSect="00017A1A">
          <w:headerReference w:type="default" r:id="rId11"/>
          <w:footerReference w:type="default" r:id="rId12"/>
          <w:headerReference w:type="first" r:id="rId13"/>
          <w:footerReference w:type="first" r:id="rId14"/>
          <w:pgSz w:w="12240" w:h="15840"/>
          <w:pgMar w:top="1440" w:right="720" w:bottom="1440" w:left="720" w:header="720" w:footer="720" w:gutter="0"/>
          <w:cols w:space="720"/>
          <w:docGrid w:linePitch="360"/>
        </w:sectPr>
      </w:pPr>
      <w:bookmarkStart w:id="2" w:name="Съдържание"/>
      <w:r>
        <w:rPr>
          <w:rFonts w:asciiTheme="majorHAnsi" w:hAnsiTheme="majorHAnsi"/>
          <w:b/>
          <w:sz w:val="40"/>
          <w:szCs w:val="40"/>
        </w:rPr>
        <w:lastRenderedPageBreak/>
        <w:t>Съдържание</w:t>
      </w:r>
      <w:bookmarkEnd w:id="1"/>
      <w:bookmarkEnd w:id="2"/>
    </w:p>
    <w:p w14:paraId="48FD8D5D" w14:textId="3E3F1AFD" w:rsidR="0000570F" w:rsidRDefault="00A430D3">
      <w:pPr>
        <w:pStyle w:val="TOC1"/>
        <w:tabs>
          <w:tab w:val="right" w:leader="dot" w:pos="5030"/>
        </w:tabs>
        <w:rPr>
          <w:rFonts w:eastAsiaTheme="minorEastAsia"/>
          <w:b w:val="0"/>
          <w:caps w:val="0"/>
          <w:noProof/>
          <w:sz w:val="22"/>
          <w:lang w:val="en-US" w:eastAsia="en-US" w:bidi="ar-SA"/>
        </w:rPr>
      </w:pPr>
      <w:r>
        <w:fldChar w:fldCharType="begin"/>
      </w:r>
      <w:r>
        <w:instrText xml:space="preserve"> TOC \o "1-3" \h \z \t "Product List - Section Heading,1,Product List - Offering Group Heading,2,Product List - Offering 1,5,Product List - Offering 1 Heading,3,Product List - Offering 2 Heading,4,Product List - Offering 2,6,Product List - SubSubSection Heading,5" </w:instrText>
      </w:r>
      <w:r>
        <w:fldChar w:fldCharType="separate"/>
      </w:r>
      <w:hyperlink w:anchor="_Toc61437059" w:history="1">
        <w:r w:rsidR="0000570F" w:rsidRPr="00442A47">
          <w:rPr>
            <w:rStyle w:val="Hyperlink"/>
            <w:noProof/>
          </w:rPr>
          <w:t>Въведение</w:t>
        </w:r>
        <w:r w:rsidR="0000570F">
          <w:rPr>
            <w:noProof/>
            <w:webHidden/>
          </w:rPr>
          <w:tab/>
        </w:r>
        <w:r w:rsidR="0000570F">
          <w:rPr>
            <w:noProof/>
            <w:webHidden/>
          </w:rPr>
          <w:fldChar w:fldCharType="begin"/>
        </w:r>
        <w:r w:rsidR="0000570F">
          <w:rPr>
            <w:noProof/>
            <w:webHidden/>
          </w:rPr>
          <w:instrText xml:space="preserve"> PAGEREF _Toc61437059 \h </w:instrText>
        </w:r>
        <w:r w:rsidR="0000570F">
          <w:rPr>
            <w:noProof/>
            <w:webHidden/>
          </w:rPr>
        </w:r>
        <w:r w:rsidR="0000570F">
          <w:rPr>
            <w:noProof/>
            <w:webHidden/>
          </w:rPr>
          <w:fldChar w:fldCharType="separate"/>
        </w:r>
        <w:r w:rsidR="0000570F">
          <w:rPr>
            <w:noProof/>
            <w:webHidden/>
          </w:rPr>
          <w:t>3</w:t>
        </w:r>
        <w:r w:rsidR="0000570F">
          <w:rPr>
            <w:noProof/>
            <w:webHidden/>
          </w:rPr>
          <w:fldChar w:fldCharType="end"/>
        </w:r>
      </w:hyperlink>
    </w:p>
    <w:p w14:paraId="4225107C" w14:textId="71309498" w:rsidR="0000570F" w:rsidRDefault="0000570F">
      <w:pPr>
        <w:pStyle w:val="TOC5"/>
        <w:tabs>
          <w:tab w:val="right" w:leader="dot" w:pos="5030"/>
        </w:tabs>
        <w:rPr>
          <w:rFonts w:eastAsiaTheme="minorEastAsia"/>
          <w:noProof/>
          <w:sz w:val="22"/>
          <w:lang w:val="en-US" w:eastAsia="en-US" w:bidi="ar-SA"/>
        </w:rPr>
      </w:pPr>
      <w:hyperlink w:anchor="_Toc61437060" w:history="1">
        <w:r w:rsidRPr="00442A47">
          <w:rPr>
            <w:rStyle w:val="Hyperlink"/>
            <w:noProof/>
          </w:rPr>
          <w:t>Приложими Условия на DPA и актуализации</w:t>
        </w:r>
        <w:r>
          <w:rPr>
            <w:noProof/>
            <w:webHidden/>
          </w:rPr>
          <w:tab/>
        </w:r>
        <w:r>
          <w:rPr>
            <w:noProof/>
            <w:webHidden/>
          </w:rPr>
          <w:fldChar w:fldCharType="begin"/>
        </w:r>
        <w:r>
          <w:rPr>
            <w:noProof/>
            <w:webHidden/>
          </w:rPr>
          <w:instrText xml:space="preserve"> PAGEREF _Toc61437060 \h </w:instrText>
        </w:r>
        <w:r>
          <w:rPr>
            <w:noProof/>
            <w:webHidden/>
          </w:rPr>
        </w:r>
        <w:r>
          <w:rPr>
            <w:noProof/>
            <w:webHidden/>
          </w:rPr>
          <w:fldChar w:fldCharType="separate"/>
        </w:r>
        <w:r>
          <w:rPr>
            <w:noProof/>
            <w:webHidden/>
          </w:rPr>
          <w:t>3</w:t>
        </w:r>
        <w:r>
          <w:rPr>
            <w:noProof/>
            <w:webHidden/>
          </w:rPr>
          <w:fldChar w:fldCharType="end"/>
        </w:r>
      </w:hyperlink>
    </w:p>
    <w:p w14:paraId="22F64DE0" w14:textId="486DC16A" w:rsidR="0000570F" w:rsidRDefault="0000570F">
      <w:pPr>
        <w:pStyle w:val="TOC5"/>
        <w:tabs>
          <w:tab w:val="right" w:leader="dot" w:pos="5030"/>
        </w:tabs>
        <w:rPr>
          <w:rFonts w:eastAsiaTheme="minorEastAsia"/>
          <w:noProof/>
          <w:sz w:val="22"/>
          <w:lang w:val="en-US" w:eastAsia="en-US" w:bidi="ar-SA"/>
        </w:rPr>
      </w:pPr>
      <w:hyperlink w:anchor="_Toc61437061" w:history="1">
        <w:r w:rsidRPr="00442A47">
          <w:rPr>
            <w:rStyle w:val="Hyperlink"/>
            <w:noProof/>
          </w:rPr>
          <w:t>Електронни известия</w:t>
        </w:r>
        <w:r>
          <w:rPr>
            <w:noProof/>
            <w:webHidden/>
          </w:rPr>
          <w:tab/>
        </w:r>
        <w:r>
          <w:rPr>
            <w:noProof/>
            <w:webHidden/>
          </w:rPr>
          <w:fldChar w:fldCharType="begin"/>
        </w:r>
        <w:r>
          <w:rPr>
            <w:noProof/>
            <w:webHidden/>
          </w:rPr>
          <w:instrText xml:space="preserve"> PAGEREF _Toc61437061 \h </w:instrText>
        </w:r>
        <w:r>
          <w:rPr>
            <w:noProof/>
            <w:webHidden/>
          </w:rPr>
        </w:r>
        <w:r>
          <w:rPr>
            <w:noProof/>
            <w:webHidden/>
          </w:rPr>
          <w:fldChar w:fldCharType="separate"/>
        </w:r>
        <w:r>
          <w:rPr>
            <w:noProof/>
            <w:webHidden/>
          </w:rPr>
          <w:t>3</w:t>
        </w:r>
        <w:r>
          <w:rPr>
            <w:noProof/>
            <w:webHidden/>
          </w:rPr>
          <w:fldChar w:fldCharType="end"/>
        </w:r>
      </w:hyperlink>
    </w:p>
    <w:p w14:paraId="5E164245" w14:textId="6D0115B6" w:rsidR="0000570F" w:rsidRDefault="0000570F">
      <w:pPr>
        <w:pStyle w:val="TOC5"/>
        <w:tabs>
          <w:tab w:val="right" w:leader="dot" w:pos="5030"/>
        </w:tabs>
        <w:rPr>
          <w:rFonts w:eastAsiaTheme="minorEastAsia"/>
          <w:noProof/>
          <w:sz w:val="22"/>
          <w:lang w:val="en-US" w:eastAsia="en-US" w:bidi="ar-SA"/>
        </w:rPr>
      </w:pPr>
      <w:hyperlink w:anchor="_Toc61437062" w:history="1">
        <w:r w:rsidRPr="00442A47">
          <w:rPr>
            <w:rStyle w:val="Hyperlink"/>
            <w:noProof/>
          </w:rPr>
          <w:t>Предишни версии</w:t>
        </w:r>
        <w:r>
          <w:rPr>
            <w:noProof/>
            <w:webHidden/>
          </w:rPr>
          <w:tab/>
        </w:r>
        <w:r>
          <w:rPr>
            <w:noProof/>
            <w:webHidden/>
          </w:rPr>
          <w:fldChar w:fldCharType="begin"/>
        </w:r>
        <w:r>
          <w:rPr>
            <w:noProof/>
            <w:webHidden/>
          </w:rPr>
          <w:instrText xml:space="preserve"> PAGEREF _Toc61437062 \h </w:instrText>
        </w:r>
        <w:r>
          <w:rPr>
            <w:noProof/>
            <w:webHidden/>
          </w:rPr>
        </w:r>
        <w:r>
          <w:rPr>
            <w:noProof/>
            <w:webHidden/>
          </w:rPr>
          <w:fldChar w:fldCharType="separate"/>
        </w:r>
        <w:r>
          <w:rPr>
            <w:noProof/>
            <w:webHidden/>
          </w:rPr>
          <w:t>3</w:t>
        </w:r>
        <w:r>
          <w:rPr>
            <w:noProof/>
            <w:webHidden/>
          </w:rPr>
          <w:fldChar w:fldCharType="end"/>
        </w:r>
      </w:hyperlink>
    </w:p>
    <w:p w14:paraId="16F93E3D" w14:textId="6A5D2C14" w:rsidR="0000570F" w:rsidRDefault="0000570F">
      <w:pPr>
        <w:pStyle w:val="TOC1"/>
        <w:tabs>
          <w:tab w:val="right" w:leader="dot" w:pos="5030"/>
        </w:tabs>
        <w:rPr>
          <w:rFonts w:eastAsiaTheme="minorEastAsia"/>
          <w:b w:val="0"/>
          <w:caps w:val="0"/>
          <w:noProof/>
          <w:sz w:val="22"/>
          <w:lang w:val="en-US" w:eastAsia="en-US" w:bidi="ar-SA"/>
        </w:rPr>
      </w:pPr>
      <w:hyperlink w:anchor="_Toc61437063" w:history="1">
        <w:r w:rsidRPr="00442A47">
          <w:rPr>
            <w:rStyle w:val="Hyperlink"/>
            <w:noProof/>
          </w:rPr>
          <w:t>Определения</w:t>
        </w:r>
        <w:r>
          <w:rPr>
            <w:noProof/>
            <w:webHidden/>
          </w:rPr>
          <w:tab/>
        </w:r>
        <w:r>
          <w:rPr>
            <w:noProof/>
            <w:webHidden/>
          </w:rPr>
          <w:fldChar w:fldCharType="begin"/>
        </w:r>
        <w:r>
          <w:rPr>
            <w:noProof/>
            <w:webHidden/>
          </w:rPr>
          <w:instrText xml:space="preserve"> PAGEREF _Toc61437063 \h </w:instrText>
        </w:r>
        <w:r>
          <w:rPr>
            <w:noProof/>
            <w:webHidden/>
          </w:rPr>
        </w:r>
        <w:r>
          <w:rPr>
            <w:noProof/>
            <w:webHidden/>
          </w:rPr>
          <w:fldChar w:fldCharType="separate"/>
        </w:r>
        <w:r>
          <w:rPr>
            <w:noProof/>
            <w:webHidden/>
          </w:rPr>
          <w:t>4</w:t>
        </w:r>
        <w:r>
          <w:rPr>
            <w:noProof/>
            <w:webHidden/>
          </w:rPr>
          <w:fldChar w:fldCharType="end"/>
        </w:r>
      </w:hyperlink>
    </w:p>
    <w:p w14:paraId="72D57696" w14:textId="2EDB1091" w:rsidR="0000570F" w:rsidRDefault="0000570F">
      <w:pPr>
        <w:pStyle w:val="TOC1"/>
        <w:tabs>
          <w:tab w:val="right" w:leader="dot" w:pos="5030"/>
        </w:tabs>
        <w:rPr>
          <w:rFonts w:eastAsiaTheme="minorEastAsia"/>
          <w:b w:val="0"/>
          <w:caps w:val="0"/>
          <w:noProof/>
          <w:sz w:val="22"/>
          <w:lang w:val="en-US" w:eastAsia="en-US" w:bidi="ar-SA"/>
        </w:rPr>
      </w:pPr>
      <w:hyperlink w:anchor="_Toc61437064" w:history="1">
        <w:r w:rsidRPr="00442A47">
          <w:rPr>
            <w:rStyle w:val="Hyperlink"/>
            <w:noProof/>
          </w:rPr>
          <w:t>Общи условия</w:t>
        </w:r>
        <w:r>
          <w:rPr>
            <w:noProof/>
            <w:webHidden/>
          </w:rPr>
          <w:tab/>
        </w:r>
        <w:r>
          <w:rPr>
            <w:noProof/>
            <w:webHidden/>
          </w:rPr>
          <w:fldChar w:fldCharType="begin"/>
        </w:r>
        <w:r>
          <w:rPr>
            <w:noProof/>
            <w:webHidden/>
          </w:rPr>
          <w:instrText xml:space="preserve"> PAGEREF _Toc61437064 \h </w:instrText>
        </w:r>
        <w:r>
          <w:rPr>
            <w:noProof/>
            <w:webHidden/>
          </w:rPr>
        </w:r>
        <w:r>
          <w:rPr>
            <w:noProof/>
            <w:webHidden/>
          </w:rPr>
          <w:fldChar w:fldCharType="separate"/>
        </w:r>
        <w:r>
          <w:rPr>
            <w:noProof/>
            <w:webHidden/>
          </w:rPr>
          <w:t>6</w:t>
        </w:r>
        <w:r>
          <w:rPr>
            <w:noProof/>
            <w:webHidden/>
          </w:rPr>
          <w:fldChar w:fldCharType="end"/>
        </w:r>
      </w:hyperlink>
    </w:p>
    <w:p w14:paraId="02333CD3" w14:textId="6B56608E" w:rsidR="0000570F" w:rsidRDefault="0000570F">
      <w:pPr>
        <w:pStyle w:val="TOC5"/>
        <w:tabs>
          <w:tab w:val="right" w:leader="dot" w:pos="5030"/>
        </w:tabs>
        <w:rPr>
          <w:rFonts w:eastAsiaTheme="minorEastAsia"/>
          <w:noProof/>
          <w:sz w:val="22"/>
          <w:lang w:val="en-US" w:eastAsia="en-US" w:bidi="ar-SA"/>
        </w:rPr>
      </w:pPr>
      <w:hyperlink w:anchor="_Toc61437065" w:history="1">
        <w:r w:rsidRPr="00442A47">
          <w:rPr>
            <w:rStyle w:val="Hyperlink"/>
            <w:noProof/>
          </w:rPr>
          <w:t>Съответствие със законите</w:t>
        </w:r>
        <w:r>
          <w:rPr>
            <w:noProof/>
            <w:webHidden/>
          </w:rPr>
          <w:tab/>
        </w:r>
        <w:r>
          <w:rPr>
            <w:noProof/>
            <w:webHidden/>
          </w:rPr>
          <w:fldChar w:fldCharType="begin"/>
        </w:r>
        <w:r>
          <w:rPr>
            <w:noProof/>
            <w:webHidden/>
          </w:rPr>
          <w:instrText xml:space="preserve"> PAGEREF _Toc61437065 \h </w:instrText>
        </w:r>
        <w:r>
          <w:rPr>
            <w:noProof/>
            <w:webHidden/>
          </w:rPr>
        </w:r>
        <w:r>
          <w:rPr>
            <w:noProof/>
            <w:webHidden/>
          </w:rPr>
          <w:fldChar w:fldCharType="separate"/>
        </w:r>
        <w:r>
          <w:rPr>
            <w:noProof/>
            <w:webHidden/>
          </w:rPr>
          <w:t>6</w:t>
        </w:r>
        <w:r>
          <w:rPr>
            <w:noProof/>
            <w:webHidden/>
          </w:rPr>
          <w:fldChar w:fldCharType="end"/>
        </w:r>
      </w:hyperlink>
    </w:p>
    <w:p w14:paraId="02B12686" w14:textId="1451B19D" w:rsidR="0000570F" w:rsidRDefault="0000570F">
      <w:pPr>
        <w:pStyle w:val="TOC1"/>
        <w:tabs>
          <w:tab w:val="right" w:leader="dot" w:pos="5030"/>
        </w:tabs>
        <w:rPr>
          <w:rFonts w:eastAsiaTheme="minorEastAsia"/>
          <w:b w:val="0"/>
          <w:caps w:val="0"/>
          <w:noProof/>
          <w:sz w:val="22"/>
          <w:lang w:val="en-US" w:eastAsia="en-US" w:bidi="ar-SA"/>
        </w:rPr>
      </w:pPr>
      <w:hyperlink w:anchor="_Toc61437066" w:history="1">
        <w:r w:rsidRPr="00442A47">
          <w:rPr>
            <w:rStyle w:val="Hyperlink"/>
            <w:noProof/>
          </w:rPr>
          <w:t>Условия за защита на данните</w:t>
        </w:r>
        <w:r>
          <w:rPr>
            <w:noProof/>
            <w:webHidden/>
          </w:rPr>
          <w:tab/>
        </w:r>
        <w:r>
          <w:rPr>
            <w:noProof/>
            <w:webHidden/>
          </w:rPr>
          <w:fldChar w:fldCharType="begin"/>
        </w:r>
        <w:r>
          <w:rPr>
            <w:noProof/>
            <w:webHidden/>
          </w:rPr>
          <w:instrText xml:space="preserve"> PAGEREF _Toc61437066 \h </w:instrText>
        </w:r>
        <w:r>
          <w:rPr>
            <w:noProof/>
            <w:webHidden/>
          </w:rPr>
        </w:r>
        <w:r>
          <w:rPr>
            <w:noProof/>
            <w:webHidden/>
          </w:rPr>
          <w:fldChar w:fldCharType="separate"/>
        </w:r>
        <w:r>
          <w:rPr>
            <w:noProof/>
            <w:webHidden/>
          </w:rPr>
          <w:t>6</w:t>
        </w:r>
        <w:r>
          <w:rPr>
            <w:noProof/>
            <w:webHidden/>
          </w:rPr>
          <w:fldChar w:fldCharType="end"/>
        </w:r>
      </w:hyperlink>
    </w:p>
    <w:p w14:paraId="611F9B2D" w14:textId="429DF2EC" w:rsidR="0000570F" w:rsidRDefault="0000570F">
      <w:pPr>
        <w:pStyle w:val="TOC5"/>
        <w:tabs>
          <w:tab w:val="right" w:leader="dot" w:pos="5030"/>
        </w:tabs>
        <w:rPr>
          <w:rFonts w:eastAsiaTheme="minorEastAsia"/>
          <w:noProof/>
          <w:sz w:val="22"/>
          <w:lang w:val="en-US" w:eastAsia="en-US" w:bidi="ar-SA"/>
        </w:rPr>
      </w:pPr>
      <w:hyperlink w:anchor="_Toc61437067" w:history="1">
        <w:r w:rsidRPr="00442A47">
          <w:rPr>
            <w:rStyle w:val="Hyperlink"/>
            <w:noProof/>
          </w:rPr>
          <w:t>Обсег</w:t>
        </w:r>
        <w:r>
          <w:rPr>
            <w:noProof/>
            <w:webHidden/>
          </w:rPr>
          <w:tab/>
        </w:r>
        <w:r>
          <w:rPr>
            <w:noProof/>
            <w:webHidden/>
          </w:rPr>
          <w:fldChar w:fldCharType="begin"/>
        </w:r>
        <w:r>
          <w:rPr>
            <w:noProof/>
            <w:webHidden/>
          </w:rPr>
          <w:instrText xml:space="preserve"> PAGEREF _Toc61437067 \h </w:instrText>
        </w:r>
        <w:r>
          <w:rPr>
            <w:noProof/>
            <w:webHidden/>
          </w:rPr>
        </w:r>
        <w:r>
          <w:rPr>
            <w:noProof/>
            <w:webHidden/>
          </w:rPr>
          <w:fldChar w:fldCharType="separate"/>
        </w:r>
        <w:r>
          <w:rPr>
            <w:noProof/>
            <w:webHidden/>
          </w:rPr>
          <w:t>6</w:t>
        </w:r>
        <w:r>
          <w:rPr>
            <w:noProof/>
            <w:webHidden/>
          </w:rPr>
          <w:fldChar w:fldCharType="end"/>
        </w:r>
      </w:hyperlink>
    </w:p>
    <w:p w14:paraId="1490FC8A" w14:textId="5C8ADBB9" w:rsidR="0000570F" w:rsidRDefault="0000570F">
      <w:pPr>
        <w:pStyle w:val="TOC5"/>
        <w:tabs>
          <w:tab w:val="right" w:leader="dot" w:pos="5030"/>
        </w:tabs>
        <w:rPr>
          <w:rFonts w:eastAsiaTheme="minorEastAsia"/>
          <w:noProof/>
          <w:sz w:val="22"/>
          <w:lang w:val="en-US" w:eastAsia="en-US" w:bidi="ar-SA"/>
        </w:rPr>
      </w:pPr>
      <w:hyperlink w:anchor="_Toc61437068" w:history="1">
        <w:r w:rsidRPr="00442A47">
          <w:rPr>
            <w:rStyle w:val="Hyperlink"/>
            <w:noProof/>
          </w:rPr>
          <w:t>Естество на обработването на данни; Собственост</w:t>
        </w:r>
        <w:r>
          <w:rPr>
            <w:noProof/>
            <w:webHidden/>
          </w:rPr>
          <w:tab/>
        </w:r>
        <w:r>
          <w:rPr>
            <w:noProof/>
            <w:webHidden/>
          </w:rPr>
          <w:fldChar w:fldCharType="begin"/>
        </w:r>
        <w:r>
          <w:rPr>
            <w:noProof/>
            <w:webHidden/>
          </w:rPr>
          <w:instrText xml:space="preserve"> PAGEREF _Toc61437068 \h </w:instrText>
        </w:r>
        <w:r>
          <w:rPr>
            <w:noProof/>
            <w:webHidden/>
          </w:rPr>
        </w:r>
        <w:r>
          <w:rPr>
            <w:noProof/>
            <w:webHidden/>
          </w:rPr>
          <w:fldChar w:fldCharType="separate"/>
        </w:r>
        <w:r>
          <w:rPr>
            <w:noProof/>
            <w:webHidden/>
          </w:rPr>
          <w:t>6</w:t>
        </w:r>
        <w:r>
          <w:rPr>
            <w:noProof/>
            <w:webHidden/>
          </w:rPr>
          <w:fldChar w:fldCharType="end"/>
        </w:r>
      </w:hyperlink>
    </w:p>
    <w:p w14:paraId="1934FB40" w14:textId="055AB9A7" w:rsidR="0000570F" w:rsidRDefault="0000570F">
      <w:pPr>
        <w:pStyle w:val="TOC5"/>
        <w:tabs>
          <w:tab w:val="right" w:leader="dot" w:pos="5030"/>
        </w:tabs>
        <w:rPr>
          <w:rFonts w:eastAsiaTheme="minorEastAsia"/>
          <w:noProof/>
          <w:sz w:val="22"/>
          <w:lang w:val="en-US" w:eastAsia="en-US" w:bidi="ar-SA"/>
        </w:rPr>
      </w:pPr>
      <w:hyperlink w:anchor="_Toc61437069" w:history="1">
        <w:r w:rsidRPr="00442A47">
          <w:rPr>
            <w:rStyle w:val="Hyperlink"/>
            <w:noProof/>
          </w:rPr>
          <w:t>Разкриване на обработвани данни</w:t>
        </w:r>
        <w:r>
          <w:rPr>
            <w:noProof/>
            <w:webHidden/>
          </w:rPr>
          <w:tab/>
        </w:r>
        <w:r>
          <w:rPr>
            <w:noProof/>
            <w:webHidden/>
          </w:rPr>
          <w:fldChar w:fldCharType="begin"/>
        </w:r>
        <w:r>
          <w:rPr>
            <w:noProof/>
            <w:webHidden/>
          </w:rPr>
          <w:instrText xml:space="preserve"> PAGEREF _Toc61437069 \h </w:instrText>
        </w:r>
        <w:r>
          <w:rPr>
            <w:noProof/>
            <w:webHidden/>
          </w:rPr>
        </w:r>
        <w:r>
          <w:rPr>
            <w:noProof/>
            <w:webHidden/>
          </w:rPr>
          <w:fldChar w:fldCharType="separate"/>
        </w:r>
        <w:r>
          <w:rPr>
            <w:noProof/>
            <w:webHidden/>
          </w:rPr>
          <w:t>7</w:t>
        </w:r>
        <w:r>
          <w:rPr>
            <w:noProof/>
            <w:webHidden/>
          </w:rPr>
          <w:fldChar w:fldCharType="end"/>
        </w:r>
      </w:hyperlink>
    </w:p>
    <w:p w14:paraId="209773CF" w14:textId="664B1628" w:rsidR="0000570F" w:rsidRDefault="0000570F">
      <w:pPr>
        <w:pStyle w:val="TOC5"/>
        <w:tabs>
          <w:tab w:val="right" w:leader="dot" w:pos="5030"/>
        </w:tabs>
        <w:rPr>
          <w:rFonts w:eastAsiaTheme="minorEastAsia"/>
          <w:noProof/>
          <w:sz w:val="22"/>
          <w:lang w:val="en-US" w:eastAsia="en-US" w:bidi="ar-SA"/>
        </w:rPr>
      </w:pPr>
      <w:hyperlink w:anchor="_Toc61437070" w:history="1">
        <w:r w:rsidRPr="00442A47">
          <w:rPr>
            <w:rStyle w:val="Hyperlink"/>
            <w:noProof/>
          </w:rPr>
          <w:t>Обработване на Лични данни; ОРЗД</w:t>
        </w:r>
        <w:r>
          <w:rPr>
            <w:noProof/>
            <w:webHidden/>
          </w:rPr>
          <w:tab/>
        </w:r>
        <w:r>
          <w:rPr>
            <w:noProof/>
            <w:webHidden/>
          </w:rPr>
          <w:fldChar w:fldCharType="begin"/>
        </w:r>
        <w:r>
          <w:rPr>
            <w:noProof/>
            <w:webHidden/>
          </w:rPr>
          <w:instrText xml:space="preserve"> PAGEREF _Toc61437070 \h </w:instrText>
        </w:r>
        <w:r>
          <w:rPr>
            <w:noProof/>
            <w:webHidden/>
          </w:rPr>
        </w:r>
        <w:r>
          <w:rPr>
            <w:noProof/>
            <w:webHidden/>
          </w:rPr>
          <w:fldChar w:fldCharType="separate"/>
        </w:r>
        <w:r>
          <w:rPr>
            <w:noProof/>
            <w:webHidden/>
          </w:rPr>
          <w:t>7</w:t>
        </w:r>
        <w:r>
          <w:rPr>
            <w:noProof/>
            <w:webHidden/>
          </w:rPr>
          <w:fldChar w:fldCharType="end"/>
        </w:r>
      </w:hyperlink>
    </w:p>
    <w:p w14:paraId="6D429075" w14:textId="16BEA8AA" w:rsidR="0000570F" w:rsidRDefault="0000570F">
      <w:pPr>
        <w:pStyle w:val="TOC5"/>
        <w:tabs>
          <w:tab w:val="right" w:leader="dot" w:pos="5030"/>
        </w:tabs>
        <w:rPr>
          <w:rFonts w:eastAsiaTheme="minorEastAsia"/>
          <w:noProof/>
          <w:sz w:val="22"/>
          <w:lang w:val="en-US" w:eastAsia="en-US" w:bidi="ar-SA"/>
        </w:rPr>
      </w:pPr>
      <w:hyperlink w:anchor="_Toc61437071" w:history="1">
        <w:r w:rsidRPr="00442A47">
          <w:rPr>
            <w:rStyle w:val="Hyperlink"/>
            <w:noProof/>
          </w:rPr>
          <w:t>Защита на данните</w:t>
        </w:r>
        <w:r>
          <w:rPr>
            <w:noProof/>
            <w:webHidden/>
          </w:rPr>
          <w:tab/>
        </w:r>
        <w:r>
          <w:rPr>
            <w:noProof/>
            <w:webHidden/>
          </w:rPr>
          <w:fldChar w:fldCharType="begin"/>
        </w:r>
        <w:r>
          <w:rPr>
            <w:noProof/>
            <w:webHidden/>
          </w:rPr>
          <w:instrText xml:space="preserve"> PAGEREF _Toc61437071 \h </w:instrText>
        </w:r>
        <w:r>
          <w:rPr>
            <w:noProof/>
            <w:webHidden/>
          </w:rPr>
        </w:r>
        <w:r>
          <w:rPr>
            <w:noProof/>
            <w:webHidden/>
          </w:rPr>
          <w:fldChar w:fldCharType="separate"/>
        </w:r>
        <w:r>
          <w:rPr>
            <w:noProof/>
            <w:webHidden/>
          </w:rPr>
          <w:t>9</w:t>
        </w:r>
        <w:r>
          <w:rPr>
            <w:noProof/>
            <w:webHidden/>
          </w:rPr>
          <w:fldChar w:fldCharType="end"/>
        </w:r>
      </w:hyperlink>
    </w:p>
    <w:p w14:paraId="2DACC48D" w14:textId="61AC47DC" w:rsidR="0000570F" w:rsidRDefault="0000570F">
      <w:pPr>
        <w:pStyle w:val="TOC5"/>
        <w:tabs>
          <w:tab w:val="right" w:leader="dot" w:pos="5030"/>
        </w:tabs>
        <w:rPr>
          <w:rFonts w:eastAsiaTheme="minorEastAsia"/>
          <w:noProof/>
          <w:sz w:val="22"/>
          <w:lang w:val="en-US" w:eastAsia="en-US" w:bidi="ar-SA"/>
        </w:rPr>
      </w:pPr>
      <w:hyperlink w:anchor="_Toc61437072" w:history="1">
        <w:r w:rsidRPr="00442A47">
          <w:rPr>
            <w:rStyle w:val="Hyperlink"/>
            <w:noProof/>
          </w:rPr>
          <w:t>Уведомяване за пробив в защитата</w:t>
        </w:r>
        <w:r>
          <w:rPr>
            <w:noProof/>
            <w:webHidden/>
          </w:rPr>
          <w:tab/>
        </w:r>
        <w:r>
          <w:rPr>
            <w:noProof/>
            <w:webHidden/>
          </w:rPr>
          <w:fldChar w:fldCharType="begin"/>
        </w:r>
        <w:r>
          <w:rPr>
            <w:noProof/>
            <w:webHidden/>
          </w:rPr>
          <w:instrText xml:space="preserve"> PAGEREF _Toc61437072 \h </w:instrText>
        </w:r>
        <w:r>
          <w:rPr>
            <w:noProof/>
            <w:webHidden/>
          </w:rPr>
        </w:r>
        <w:r>
          <w:rPr>
            <w:noProof/>
            <w:webHidden/>
          </w:rPr>
          <w:fldChar w:fldCharType="separate"/>
        </w:r>
        <w:r>
          <w:rPr>
            <w:noProof/>
            <w:webHidden/>
          </w:rPr>
          <w:t>10</w:t>
        </w:r>
        <w:r>
          <w:rPr>
            <w:noProof/>
            <w:webHidden/>
          </w:rPr>
          <w:fldChar w:fldCharType="end"/>
        </w:r>
      </w:hyperlink>
    </w:p>
    <w:p w14:paraId="57FD2C5D" w14:textId="3F45F539" w:rsidR="0000570F" w:rsidRDefault="0000570F">
      <w:pPr>
        <w:pStyle w:val="TOC5"/>
        <w:tabs>
          <w:tab w:val="right" w:leader="dot" w:pos="5030"/>
        </w:tabs>
        <w:rPr>
          <w:rFonts w:eastAsiaTheme="minorEastAsia"/>
          <w:noProof/>
          <w:sz w:val="22"/>
          <w:lang w:val="en-US" w:eastAsia="en-US" w:bidi="ar-SA"/>
        </w:rPr>
      </w:pPr>
      <w:hyperlink w:anchor="_Toc61437073" w:history="1">
        <w:r w:rsidRPr="00442A47">
          <w:rPr>
            <w:rStyle w:val="Hyperlink"/>
            <w:noProof/>
          </w:rPr>
          <w:t>Прехвърляне и местоположение на данните</w:t>
        </w:r>
        <w:r>
          <w:rPr>
            <w:noProof/>
            <w:webHidden/>
          </w:rPr>
          <w:tab/>
        </w:r>
        <w:r>
          <w:rPr>
            <w:noProof/>
            <w:webHidden/>
          </w:rPr>
          <w:fldChar w:fldCharType="begin"/>
        </w:r>
        <w:r>
          <w:rPr>
            <w:noProof/>
            <w:webHidden/>
          </w:rPr>
          <w:instrText xml:space="preserve"> PAGEREF _Toc61437073 \h </w:instrText>
        </w:r>
        <w:r>
          <w:rPr>
            <w:noProof/>
            <w:webHidden/>
          </w:rPr>
        </w:r>
        <w:r>
          <w:rPr>
            <w:noProof/>
            <w:webHidden/>
          </w:rPr>
          <w:fldChar w:fldCharType="separate"/>
        </w:r>
        <w:r>
          <w:rPr>
            <w:noProof/>
            <w:webHidden/>
          </w:rPr>
          <w:t>10</w:t>
        </w:r>
        <w:r>
          <w:rPr>
            <w:noProof/>
            <w:webHidden/>
          </w:rPr>
          <w:fldChar w:fldCharType="end"/>
        </w:r>
      </w:hyperlink>
    </w:p>
    <w:p w14:paraId="269BCF24" w14:textId="4D8F91F9" w:rsidR="0000570F" w:rsidRDefault="0000570F">
      <w:pPr>
        <w:pStyle w:val="TOC5"/>
        <w:tabs>
          <w:tab w:val="right" w:leader="dot" w:pos="5030"/>
        </w:tabs>
        <w:rPr>
          <w:rFonts w:eastAsiaTheme="minorEastAsia"/>
          <w:noProof/>
          <w:sz w:val="22"/>
          <w:lang w:val="en-US" w:eastAsia="en-US" w:bidi="ar-SA"/>
        </w:rPr>
      </w:pPr>
      <w:hyperlink w:anchor="_Toc61437074" w:history="1">
        <w:r w:rsidRPr="00442A47">
          <w:rPr>
            <w:rStyle w:val="Hyperlink"/>
            <w:noProof/>
          </w:rPr>
          <w:t>Съхранение и изтриване на данните</w:t>
        </w:r>
        <w:r>
          <w:rPr>
            <w:noProof/>
            <w:webHidden/>
          </w:rPr>
          <w:tab/>
        </w:r>
        <w:r>
          <w:rPr>
            <w:noProof/>
            <w:webHidden/>
          </w:rPr>
          <w:fldChar w:fldCharType="begin"/>
        </w:r>
        <w:r>
          <w:rPr>
            <w:noProof/>
            <w:webHidden/>
          </w:rPr>
          <w:instrText xml:space="preserve"> PAGEREF _Toc61437074 \h </w:instrText>
        </w:r>
        <w:r>
          <w:rPr>
            <w:noProof/>
            <w:webHidden/>
          </w:rPr>
        </w:r>
        <w:r>
          <w:rPr>
            <w:noProof/>
            <w:webHidden/>
          </w:rPr>
          <w:fldChar w:fldCharType="separate"/>
        </w:r>
        <w:r>
          <w:rPr>
            <w:noProof/>
            <w:webHidden/>
          </w:rPr>
          <w:t>11</w:t>
        </w:r>
        <w:r>
          <w:rPr>
            <w:noProof/>
            <w:webHidden/>
          </w:rPr>
          <w:fldChar w:fldCharType="end"/>
        </w:r>
      </w:hyperlink>
    </w:p>
    <w:p w14:paraId="42666C5F" w14:textId="098892D8" w:rsidR="0000570F" w:rsidRDefault="0000570F">
      <w:pPr>
        <w:pStyle w:val="TOC5"/>
        <w:tabs>
          <w:tab w:val="right" w:leader="dot" w:pos="5030"/>
        </w:tabs>
        <w:rPr>
          <w:rFonts w:eastAsiaTheme="minorEastAsia"/>
          <w:noProof/>
          <w:sz w:val="22"/>
          <w:lang w:val="en-US" w:eastAsia="en-US" w:bidi="ar-SA"/>
        </w:rPr>
      </w:pPr>
      <w:hyperlink w:anchor="_Toc61437075" w:history="1">
        <w:r w:rsidRPr="00442A47">
          <w:rPr>
            <w:rStyle w:val="Hyperlink"/>
            <w:noProof/>
          </w:rPr>
          <w:t>Ангажимент за поверителност на лицето, обработващо данните</w:t>
        </w:r>
        <w:r>
          <w:rPr>
            <w:noProof/>
            <w:webHidden/>
          </w:rPr>
          <w:tab/>
        </w:r>
        <w:r>
          <w:rPr>
            <w:noProof/>
            <w:webHidden/>
          </w:rPr>
          <w:fldChar w:fldCharType="begin"/>
        </w:r>
        <w:r>
          <w:rPr>
            <w:noProof/>
            <w:webHidden/>
          </w:rPr>
          <w:instrText xml:space="preserve"> PAGEREF _Toc61437075 \h </w:instrText>
        </w:r>
        <w:r>
          <w:rPr>
            <w:noProof/>
            <w:webHidden/>
          </w:rPr>
        </w:r>
        <w:r>
          <w:rPr>
            <w:noProof/>
            <w:webHidden/>
          </w:rPr>
          <w:fldChar w:fldCharType="separate"/>
        </w:r>
        <w:r>
          <w:rPr>
            <w:noProof/>
            <w:webHidden/>
          </w:rPr>
          <w:t>11</w:t>
        </w:r>
        <w:r>
          <w:rPr>
            <w:noProof/>
            <w:webHidden/>
          </w:rPr>
          <w:fldChar w:fldCharType="end"/>
        </w:r>
      </w:hyperlink>
    </w:p>
    <w:p w14:paraId="6E585F9C" w14:textId="284AAC3B" w:rsidR="0000570F" w:rsidRDefault="0000570F">
      <w:pPr>
        <w:pStyle w:val="TOC5"/>
        <w:tabs>
          <w:tab w:val="right" w:leader="dot" w:pos="5030"/>
        </w:tabs>
        <w:rPr>
          <w:rFonts w:eastAsiaTheme="minorEastAsia"/>
          <w:noProof/>
          <w:sz w:val="22"/>
          <w:lang w:val="en-US" w:eastAsia="en-US" w:bidi="ar-SA"/>
        </w:rPr>
      </w:pPr>
      <w:hyperlink w:anchor="_Toc61437076" w:history="1">
        <w:r w:rsidRPr="00442A47">
          <w:rPr>
            <w:rStyle w:val="Hyperlink"/>
            <w:noProof/>
          </w:rPr>
          <w:t>Уведомления и мерки за контрол при използването на Подизпълнители</w:t>
        </w:r>
        <w:r>
          <w:rPr>
            <w:noProof/>
            <w:webHidden/>
          </w:rPr>
          <w:tab/>
        </w:r>
        <w:r>
          <w:rPr>
            <w:noProof/>
            <w:webHidden/>
          </w:rPr>
          <w:fldChar w:fldCharType="begin"/>
        </w:r>
        <w:r>
          <w:rPr>
            <w:noProof/>
            <w:webHidden/>
          </w:rPr>
          <w:instrText xml:space="preserve"> PAGEREF _Toc61437076 \h </w:instrText>
        </w:r>
        <w:r>
          <w:rPr>
            <w:noProof/>
            <w:webHidden/>
          </w:rPr>
        </w:r>
        <w:r>
          <w:rPr>
            <w:noProof/>
            <w:webHidden/>
          </w:rPr>
          <w:fldChar w:fldCharType="separate"/>
        </w:r>
        <w:r>
          <w:rPr>
            <w:noProof/>
            <w:webHidden/>
          </w:rPr>
          <w:t>11</w:t>
        </w:r>
        <w:r>
          <w:rPr>
            <w:noProof/>
            <w:webHidden/>
          </w:rPr>
          <w:fldChar w:fldCharType="end"/>
        </w:r>
      </w:hyperlink>
    </w:p>
    <w:p w14:paraId="4F58E17A" w14:textId="31C7C3DA" w:rsidR="0000570F" w:rsidRDefault="0000570F">
      <w:pPr>
        <w:pStyle w:val="TOC5"/>
        <w:tabs>
          <w:tab w:val="right" w:leader="dot" w:pos="5030"/>
        </w:tabs>
        <w:rPr>
          <w:rFonts w:eastAsiaTheme="minorEastAsia"/>
          <w:noProof/>
          <w:sz w:val="22"/>
          <w:lang w:val="en-US" w:eastAsia="en-US" w:bidi="ar-SA"/>
        </w:rPr>
      </w:pPr>
      <w:hyperlink w:anchor="_Toc61437077" w:history="1">
        <w:r w:rsidRPr="00442A47">
          <w:rPr>
            <w:rStyle w:val="Hyperlink"/>
            <w:noProof/>
          </w:rPr>
          <w:t>Образователни институции</w:t>
        </w:r>
        <w:r>
          <w:rPr>
            <w:noProof/>
            <w:webHidden/>
          </w:rPr>
          <w:tab/>
        </w:r>
        <w:r>
          <w:rPr>
            <w:noProof/>
            <w:webHidden/>
          </w:rPr>
          <w:fldChar w:fldCharType="begin"/>
        </w:r>
        <w:r>
          <w:rPr>
            <w:noProof/>
            <w:webHidden/>
          </w:rPr>
          <w:instrText xml:space="preserve"> PAGEREF _Toc61437077 \h </w:instrText>
        </w:r>
        <w:r>
          <w:rPr>
            <w:noProof/>
            <w:webHidden/>
          </w:rPr>
        </w:r>
        <w:r>
          <w:rPr>
            <w:noProof/>
            <w:webHidden/>
          </w:rPr>
          <w:fldChar w:fldCharType="separate"/>
        </w:r>
        <w:r>
          <w:rPr>
            <w:noProof/>
            <w:webHidden/>
          </w:rPr>
          <w:t>12</w:t>
        </w:r>
        <w:r>
          <w:rPr>
            <w:noProof/>
            <w:webHidden/>
          </w:rPr>
          <w:fldChar w:fldCharType="end"/>
        </w:r>
      </w:hyperlink>
    </w:p>
    <w:p w14:paraId="1FCEDE43" w14:textId="353EE7EC" w:rsidR="0000570F" w:rsidRDefault="0000570F">
      <w:pPr>
        <w:pStyle w:val="TOC5"/>
        <w:tabs>
          <w:tab w:val="right" w:leader="dot" w:pos="5030"/>
        </w:tabs>
        <w:rPr>
          <w:rFonts w:eastAsiaTheme="minorEastAsia"/>
          <w:noProof/>
          <w:sz w:val="22"/>
          <w:lang w:val="en-US" w:eastAsia="en-US" w:bidi="ar-SA"/>
        </w:rPr>
      </w:pPr>
      <w:hyperlink w:anchor="_Toc61437078" w:history="1">
        <w:r w:rsidRPr="00442A47">
          <w:rPr>
            <w:rStyle w:val="Hyperlink"/>
            <w:noProof/>
          </w:rPr>
          <w:t>Споразумение с Клиента за CJIS</w:t>
        </w:r>
        <w:r>
          <w:rPr>
            <w:noProof/>
            <w:webHidden/>
          </w:rPr>
          <w:tab/>
        </w:r>
        <w:r>
          <w:rPr>
            <w:noProof/>
            <w:webHidden/>
          </w:rPr>
          <w:fldChar w:fldCharType="begin"/>
        </w:r>
        <w:r>
          <w:rPr>
            <w:noProof/>
            <w:webHidden/>
          </w:rPr>
          <w:instrText xml:space="preserve"> PAGEREF _Toc61437078 \h </w:instrText>
        </w:r>
        <w:r>
          <w:rPr>
            <w:noProof/>
            <w:webHidden/>
          </w:rPr>
        </w:r>
        <w:r>
          <w:rPr>
            <w:noProof/>
            <w:webHidden/>
          </w:rPr>
          <w:fldChar w:fldCharType="separate"/>
        </w:r>
        <w:r>
          <w:rPr>
            <w:noProof/>
            <w:webHidden/>
          </w:rPr>
          <w:t>12</w:t>
        </w:r>
        <w:r>
          <w:rPr>
            <w:noProof/>
            <w:webHidden/>
          </w:rPr>
          <w:fldChar w:fldCharType="end"/>
        </w:r>
      </w:hyperlink>
    </w:p>
    <w:p w14:paraId="5E317B1E" w14:textId="482DC5A5" w:rsidR="0000570F" w:rsidRDefault="0000570F">
      <w:pPr>
        <w:pStyle w:val="TOC5"/>
        <w:tabs>
          <w:tab w:val="right" w:leader="dot" w:pos="5030"/>
        </w:tabs>
        <w:rPr>
          <w:rFonts w:eastAsiaTheme="minorEastAsia"/>
          <w:noProof/>
          <w:sz w:val="22"/>
          <w:lang w:val="en-US" w:eastAsia="en-US" w:bidi="ar-SA"/>
        </w:rPr>
      </w:pPr>
      <w:hyperlink w:anchor="_Toc61437079" w:history="1">
        <w:r w:rsidRPr="00442A47">
          <w:rPr>
            <w:rStyle w:val="Hyperlink"/>
            <w:noProof/>
          </w:rPr>
          <w:t>Бизнес сътрудник по HIPAA</w:t>
        </w:r>
        <w:r>
          <w:rPr>
            <w:noProof/>
            <w:webHidden/>
          </w:rPr>
          <w:tab/>
        </w:r>
        <w:r>
          <w:rPr>
            <w:noProof/>
            <w:webHidden/>
          </w:rPr>
          <w:fldChar w:fldCharType="begin"/>
        </w:r>
        <w:r>
          <w:rPr>
            <w:noProof/>
            <w:webHidden/>
          </w:rPr>
          <w:instrText xml:space="preserve"> PAGEREF _Toc61437079 \h </w:instrText>
        </w:r>
        <w:r>
          <w:rPr>
            <w:noProof/>
            <w:webHidden/>
          </w:rPr>
        </w:r>
        <w:r>
          <w:rPr>
            <w:noProof/>
            <w:webHidden/>
          </w:rPr>
          <w:fldChar w:fldCharType="separate"/>
        </w:r>
        <w:r>
          <w:rPr>
            <w:noProof/>
            <w:webHidden/>
          </w:rPr>
          <w:t>12</w:t>
        </w:r>
        <w:r>
          <w:rPr>
            <w:noProof/>
            <w:webHidden/>
          </w:rPr>
          <w:fldChar w:fldCharType="end"/>
        </w:r>
      </w:hyperlink>
    </w:p>
    <w:p w14:paraId="2B4D1261" w14:textId="250E277F" w:rsidR="0000570F" w:rsidRDefault="0000570F">
      <w:pPr>
        <w:pStyle w:val="TOC5"/>
        <w:tabs>
          <w:tab w:val="right" w:leader="dot" w:pos="5030"/>
        </w:tabs>
        <w:rPr>
          <w:rFonts w:eastAsiaTheme="minorEastAsia"/>
          <w:noProof/>
          <w:sz w:val="22"/>
          <w:lang w:val="en-US" w:eastAsia="en-US" w:bidi="ar-SA"/>
        </w:rPr>
      </w:pPr>
      <w:hyperlink w:anchor="_Toc61437080" w:history="1">
        <w:r w:rsidRPr="00442A47">
          <w:rPr>
            <w:rStyle w:val="Hyperlink"/>
            <w:noProof/>
          </w:rPr>
          <w:t>Закон за поверителност на потребителите в Калифорния (CCPA)</w:t>
        </w:r>
        <w:r>
          <w:rPr>
            <w:noProof/>
            <w:webHidden/>
          </w:rPr>
          <w:tab/>
        </w:r>
        <w:r>
          <w:rPr>
            <w:noProof/>
            <w:webHidden/>
          </w:rPr>
          <w:fldChar w:fldCharType="begin"/>
        </w:r>
        <w:r>
          <w:rPr>
            <w:noProof/>
            <w:webHidden/>
          </w:rPr>
          <w:instrText xml:space="preserve"> PAGEREF _Toc61437080 \h </w:instrText>
        </w:r>
        <w:r>
          <w:rPr>
            <w:noProof/>
            <w:webHidden/>
          </w:rPr>
        </w:r>
        <w:r>
          <w:rPr>
            <w:noProof/>
            <w:webHidden/>
          </w:rPr>
          <w:fldChar w:fldCharType="separate"/>
        </w:r>
        <w:r>
          <w:rPr>
            <w:noProof/>
            <w:webHidden/>
          </w:rPr>
          <w:t>12</w:t>
        </w:r>
        <w:r>
          <w:rPr>
            <w:noProof/>
            <w:webHidden/>
          </w:rPr>
          <w:fldChar w:fldCharType="end"/>
        </w:r>
      </w:hyperlink>
    </w:p>
    <w:p w14:paraId="46C6DCF8" w14:textId="37FD131C" w:rsidR="0000570F" w:rsidRDefault="0000570F">
      <w:pPr>
        <w:pStyle w:val="TOC5"/>
        <w:tabs>
          <w:tab w:val="right" w:leader="dot" w:pos="5030"/>
        </w:tabs>
        <w:rPr>
          <w:rFonts w:eastAsiaTheme="minorEastAsia"/>
          <w:noProof/>
          <w:sz w:val="22"/>
          <w:lang w:val="en-US" w:eastAsia="en-US" w:bidi="ar-SA"/>
        </w:rPr>
      </w:pPr>
      <w:hyperlink w:anchor="_Toc61437081" w:history="1">
        <w:r w:rsidRPr="00442A47">
          <w:rPr>
            <w:rStyle w:val="Hyperlink"/>
            <w:noProof/>
          </w:rPr>
          <w:t>Биометрични данни</w:t>
        </w:r>
        <w:r>
          <w:rPr>
            <w:noProof/>
            <w:webHidden/>
          </w:rPr>
          <w:tab/>
        </w:r>
        <w:r>
          <w:rPr>
            <w:noProof/>
            <w:webHidden/>
          </w:rPr>
          <w:fldChar w:fldCharType="begin"/>
        </w:r>
        <w:r>
          <w:rPr>
            <w:noProof/>
            <w:webHidden/>
          </w:rPr>
          <w:instrText xml:space="preserve"> PAGEREF _Toc61437081 \h </w:instrText>
        </w:r>
        <w:r>
          <w:rPr>
            <w:noProof/>
            <w:webHidden/>
          </w:rPr>
        </w:r>
        <w:r>
          <w:rPr>
            <w:noProof/>
            <w:webHidden/>
          </w:rPr>
          <w:fldChar w:fldCharType="separate"/>
        </w:r>
        <w:r>
          <w:rPr>
            <w:noProof/>
            <w:webHidden/>
          </w:rPr>
          <w:t>12</w:t>
        </w:r>
        <w:r>
          <w:rPr>
            <w:noProof/>
            <w:webHidden/>
          </w:rPr>
          <w:fldChar w:fldCharType="end"/>
        </w:r>
      </w:hyperlink>
    </w:p>
    <w:p w14:paraId="5617E5BE" w14:textId="236A6DA9" w:rsidR="0000570F" w:rsidRDefault="0000570F">
      <w:pPr>
        <w:pStyle w:val="TOC5"/>
        <w:tabs>
          <w:tab w:val="right" w:leader="dot" w:pos="5030"/>
        </w:tabs>
        <w:rPr>
          <w:rFonts w:eastAsiaTheme="minorEastAsia"/>
          <w:noProof/>
          <w:sz w:val="22"/>
          <w:lang w:val="en-US" w:eastAsia="en-US" w:bidi="ar-SA"/>
        </w:rPr>
      </w:pPr>
      <w:hyperlink w:anchor="_Toc61437082" w:history="1">
        <w:r w:rsidRPr="00442A47">
          <w:rPr>
            <w:rStyle w:val="Hyperlink"/>
            <w:noProof/>
          </w:rPr>
          <w:t>Начини за връзка с Microsoft</w:t>
        </w:r>
        <w:r>
          <w:rPr>
            <w:noProof/>
            <w:webHidden/>
          </w:rPr>
          <w:tab/>
        </w:r>
        <w:r>
          <w:rPr>
            <w:noProof/>
            <w:webHidden/>
          </w:rPr>
          <w:fldChar w:fldCharType="begin"/>
        </w:r>
        <w:r>
          <w:rPr>
            <w:noProof/>
            <w:webHidden/>
          </w:rPr>
          <w:instrText xml:space="preserve"> PAGEREF _Toc61437082 \h </w:instrText>
        </w:r>
        <w:r>
          <w:rPr>
            <w:noProof/>
            <w:webHidden/>
          </w:rPr>
        </w:r>
        <w:r>
          <w:rPr>
            <w:noProof/>
            <w:webHidden/>
          </w:rPr>
          <w:fldChar w:fldCharType="separate"/>
        </w:r>
        <w:r>
          <w:rPr>
            <w:noProof/>
            <w:webHidden/>
          </w:rPr>
          <w:t>13</w:t>
        </w:r>
        <w:r>
          <w:rPr>
            <w:noProof/>
            <w:webHidden/>
          </w:rPr>
          <w:fldChar w:fldCharType="end"/>
        </w:r>
      </w:hyperlink>
    </w:p>
    <w:p w14:paraId="6DD58715" w14:textId="1ED2FF6A" w:rsidR="0000570F" w:rsidRDefault="0000570F">
      <w:pPr>
        <w:pStyle w:val="TOC1"/>
        <w:tabs>
          <w:tab w:val="right" w:leader="dot" w:pos="5030"/>
        </w:tabs>
        <w:rPr>
          <w:rFonts w:eastAsiaTheme="minorEastAsia"/>
          <w:b w:val="0"/>
          <w:caps w:val="0"/>
          <w:noProof/>
          <w:sz w:val="22"/>
          <w:lang w:val="en-US" w:eastAsia="en-US" w:bidi="ar-SA"/>
        </w:rPr>
      </w:pPr>
      <w:hyperlink w:anchor="_Toc61437083" w:history="1">
        <w:r w:rsidRPr="00442A47">
          <w:rPr>
            <w:rStyle w:val="Hyperlink"/>
            <w:noProof/>
          </w:rPr>
          <w:t>Приложение А – Мерки за защита</w:t>
        </w:r>
        <w:r>
          <w:rPr>
            <w:noProof/>
            <w:webHidden/>
          </w:rPr>
          <w:tab/>
        </w:r>
        <w:r>
          <w:rPr>
            <w:noProof/>
            <w:webHidden/>
          </w:rPr>
          <w:fldChar w:fldCharType="begin"/>
        </w:r>
        <w:r>
          <w:rPr>
            <w:noProof/>
            <w:webHidden/>
          </w:rPr>
          <w:instrText xml:space="preserve"> PAGEREF _Toc61437083 \h </w:instrText>
        </w:r>
        <w:r>
          <w:rPr>
            <w:noProof/>
            <w:webHidden/>
          </w:rPr>
        </w:r>
        <w:r>
          <w:rPr>
            <w:noProof/>
            <w:webHidden/>
          </w:rPr>
          <w:fldChar w:fldCharType="separate"/>
        </w:r>
        <w:r>
          <w:rPr>
            <w:noProof/>
            <w:webHidden/>
          </w:rPr>
          <w:t>14</w:t>
        </w:r>
        <w:r>
          <w:rPr>
            <w:noProof/>
            <w:webHidden/>
          </w:rPr>
          <w:fldChar w:fldCharType="end"/>
        </w:r>
      </w:hyperlink>
    </w:p>
    <w:p w14:paraId="33AC2166" w14:textId="48AD6E4B" w:rsidR="0000570F" w:rsidRDefault="0000570F">
      <w:pPr>
        <w:pStyle w:val="TOC1"/>
        <w:tabs>
          <w:tab w:val="right" w:leader="dot" w:pos="5030"/>
        </w:tabs>
        <w:rPr>
          <w:rFonts w:eastAsiaTheme="minorEastAsia"/>
          <w:b w:val="0"/>
          <w:caps w:val="0"/>
          <w:noProof/>
          <w:sz w:val="22"/>
          <w:lang w:val="en-US" w:eastAsia="en-US" w:bidi="ar-SA"/>
        </w:rPr>
      </w:pPr>
      <w:hyperlink w:anchor="_Toc61437084" w:history="1">
        <w:r w:rsidRPr="00442A47">
          <w:rPr>
            <w:rStyle w:val="Hyperlink"/>
            <w:noProof/>
          </w:rPr>
          <w:t>Приложение 1 – Бележки</w:t>
        </w:r>
        <w:r>
          <w:rPr>
            <w:noProof/>
            <w:webHidden/>
          </w:rPr>
          <w:tab/>
        </w:r>
        <w:r>
          <w:rPr>
            <w:noProof/>
            <w:webHidden/>
          </w:rPr>
          <w:fldChar w:fldCharType="begin"/>
        </w:r>
        <w:r>
          <w:rPr>
            <w:noProof/>
            <w:webHidden/>
          </w:rPr>
          <w:instrText xml:space="preserve"> PAGEREF _Toc61437084 \h </w:instrText>
        </w:r>
        <w:r>
          <w:rPr>
            <w:noProof/>
            <w:webHidden/>
          </w:rPr>
        </w:r>
        <w:r>
          <w:rPr>
            <w:noProof/>
            <w:webHidden/>
          </w:rPr>
          <w:fldChar w:fldCharType="separate"/>
        </w:r>
        <w:r>
          <w:rPr>
            <w:noProof/>
            <w:webHidden/>
          </w:rPr>
          <w:t>17</w:t>
        </w:r>
        <w:r>
          <w:rPr>
            <w:noProof/>
            <w:webHidden/>
          </w:rPr>
          <w:fldChar w:fldCharType="end"/>
        </w:r>
      </w:hyperlink>
    </w:p>
    <w:p w14:paraId="6D8A07C4" w14:textId="46DFB7BF" w:rsidR="0000570F" w:rsidRDefault="0000570F">
      <w:pPr>
        <w:pStyle w:val="TOC3"/>
        <w:rPr>
          <w:rFonts w:eastAsiaTheme="minorEastAsia"/>
          <w:b w:val="0"/>
          <w:smallCaps w:val="0"/>
          <w:sz w:val="22"/>
          <w:lang w:val="en-US" w:eastAsia="en-US" w:bidi="ar-SA"/>
        </w:rPr>
      </w:pPr>
      <w:hyperlink w:anchor="_Toc61437085" w:history="1">
        <w:r w:rsidRPr="00442A47">
          <w:rPr>
            <w:rStyle w:val="Hyperlink"/>
          </w:rPr>
          <w:t>Професионални услуги</w:t>
        </w:r>
        <w:r>
          <w:rPr>
            <w:webHidden/>
          </w:rPr>
          <w:tab/>
        </w:r>
        <w:r>
          <w:rPr>
            <w:webHidden/>
          </w:rPr>
          <w:fldChar w:fldCharType="begin"/>
        </w:r>
        <w:r>
          <w:rPr>
            <w:webHidden/>
          </w:rPr>
          <w:instrText xml:space="preserve"> PAGEREF _Toc61437085 \h </w:instrText>
        </w:r>
        <w:r>
          <w:rPr>
            <w:webHidden/>
          </w:rPr>
        </w:r>
        <w:r>
          <w:rPr>
            <w:webHidden/>
          </w:rPr>
          <w:fldChar w:fldCharType="separate"/>
        </w:r>
        <w:r>
          <w:rPr>
            <w:webHidden/>
          </w:rPr>
          <w:t>17</w:t>
        </w:r>
        <w:r>
          <w:rPr>
            <w:webHidden/>
          </w:rPr>
          <w:fldChar w:fldCharType="end"/>
        </w:r>
      </w:hyperlink>
    </w:p>
    <w:p w14:paraId="6358CF81" w14:textId="741630C1" w:rsidR="0000570F" w:rsidRDefault="0000570F">
      <w:pPr>
        <w:pStyle w:val="TOC5"/>
        <w:tabs>
          <w:tab w:val="right" w:leader="dot" w:pos="5030"/>
        </w:tabs>
        <w:rPr>
          <w:rFonts w:eastAsiaTheme="minorEastAsia"/>
          <w:noProof/>
          <w:sz w:val="22"/>
          <w:lang w:val="en-US" w:eastAsia="en-US" w:bidi="ar-SA"/>
        </w:rPr>
      </w:pPr>
      <w:hyperlink w:anchor="_Toc61437086" w:history="1">
        <w:r w:rsidRPr="00442A47">
          <w:rPr>
            <w:rStyle w:val="Hyperlink"/>
            <w:noProof/>
          </w:rPr>
          <w:t>Закон за поверителност на потребителите в Калифорния (CCPA)</w:t>
        </w:r>
        <w:r>
          <w:rPr>
            <w:noProof/>
            <w:webHidden/>
          </w:rPr>
          <w:tab/>
        </w:r>
        <w:r>
          <w:rPr>
            <w:noProof/>
            <w:webHidden/>
          </w:rPr>
          <w:fldChar w:fldCharType="begin"/>
        </w:r>
        <w:r>
          <w:rPr>
            <w:noProof/>
            <w:webHidden/>
          </w:rPr>
          <w:instrText xml:space="preserve"> PAGEREF _Toc61437086 \h </w:instrText>
        </w:r>
        <w:r>
          <w:rPr>
            <w:noProof/>
            <w:webHidden/>
          </w:rPr>
        </w:r>
        <w:r>
          <w:rPr>
            <w:noProof/>
            <w:webHidden/>
          </w:rPr>
          <w:fldChar w:fldCharType="separate"/>
        </w:r>
        <w:r>
          <w:rPr>
            <w:noProof/>
            <w:webHidden/>
          </w:rPr>
          <w:t>20</w:t>
        </w:r>
        <w:r>
          <w:rPr>
            <w:noProof/>
            <w:webHidden/>
          </w:rPr>
          <w:fldChar w:fldCharType="end"/>
        </w:r>
      </w:hyperlink>
    </w:p>
    <w:p w14:paraId="611D77E1" w14:textId="5BF11BE8" w:rsidR="0000570F" w:rsidRDefault="0000570F">
      <w:pPr>
        <w:pStyle w:val="TOC5"/>
        <w:tabs>
          <w:tab w:val="right" w:leader="dot" w:pos="5030"/>
        </w:tabs>
        <w:rPr>
          <w:rFonts w:eastAsiaTheme="minorEastAsia"/>
          <w:noProof/>
          <w:sz w:val="22"/>
          <w:lang w:val="en-US" w:eastAsia="en-US" w:bidi="ar-SA"/>
        </w:rPr>
      </w:pPr>
      <w:hyperlink w:anchor="_Toc61437087" w:history="1">
        <w:r w:rsidRPr="00442A47">
          <w:rPr>
            <w:rStyle w:val="Hyperlink"/>
            <w:noProof/>
          </w:rPr>
          <w:t>Биометрични данни</w:t>
        </w:r>
        <w:r>
          <w:rPr>
            <w:noProof/>
            <w:webHidden/>
          </w:rPr>
          <w:tab/>
        </w:r>
        <w:r>
          <w:rPr>
            <w:noProof/>
            <w:webHidden/>
          </w:rPr>
          <w:fldChar w:fldCharType="begin"/>
        </w:r>
        <w:r>
          <w:rPr>
            <w:noProof/>
            <w:webHidden/>
          </w:rPr>
          <w:instrText xml:space="preserve"> PAGEREF _Toc61437087 \h </w:instrText>
        </w:r>
        <w:r>
          <w:rPr>
            <w:noProof/>
            <w:webHidden/>
          </w:rPr>
        </w:r>
        <w:r>
          <w:rPr>
            <w:noProof/>
            <w:webHidden/>
          </w:rPr>
          <w:fldChar w:fldCharType="separate"/>
        </w:r>
        <w:r>
          <w:rPr>
            <w:noProof/>
            <w:webHidden/>
          </w:rPr>
          <w:t>20</w:t>
        </w:r>
        <w:r>
          <w:rPr>
            <w:noProof/>
            <w:webHidden/>
          </w:rPr>
          <w:fldChar w:fldCharType="end"/>
        </w:r>
      </w:hyperlink>
    </w:p>
    <w:p w14:paraId="428CE1C8" w14:textId="5371C651" w:rsidR="0000570F" w:rsidRDefault="0000570F">
      <w:pPr>
        <w:pStyle w:val="TOC1"/>
        <w:tabs>
          <w:tab w:val="right" w:leader="dot" w:pos="5030"/>
        </w:tabs>
        <w:rPr>
          <w:rFonts w:eastAsiaTheme="minorEastAsia"/>
          <w:b w:val="0"/>
          <w:caps w:val="0"/>
          <w:noProof/>
          <w:sz w:val="22"/>
          <w:lang w:val="en-US" w:eastAsia="en-US" w:bidi="ar-SA"/>
        </w:rPr>
      </w:pPr>
      <w:hyperlink w:anchor="_Toc61437088" w:history="1">
        <w:r w:rsidRPr="00442A47">
          <w:rPr>
            <w:rStyle w:val="Hyperlink"/>
            <w:noProof/>
          </w:rPr>
          <w:t>Приложение 2 – Стандартни договорни клаузи (Лица, обработващи данни)</w:t>
        </w:r>
        <w:r>
          <w:rPr>
            <w:noProof/>
            <w:webHidden/>
          </w:rPr>
          <w:tab/>
        </w:r>
        <w:r>
          <w:rPr>
            <w:noProof/>
            <w:webHidden/>
          </w:rPr>
          <w:fldChar w:fldCharType="begin"/>
        </w:r>
        <w:r>
          <w:rPr>
            <w:noProof/>
            <w:webHidden/>
          </w:rPr>
          <w:instrText xml:space="preserve"> PAGEREF _Toc61437088 \h </w:instrText>
        </w:r>
        <w:r>
          <w:rPr>
            <w:noProof/>
            <w:webHidden/>
          </w:rPr>
        </w:r>
        <w:r>
          <w:rPr>
            <w:noProof/>
            <w:webHidden/>
          </w:rPr>
          <w:fldChar w:fldCharType="separate"/>
        </w:r>
        <w:r>
          <w:rPr>
            <w:noProof/>
            <w:webHidden/>
          </w:rPr>
          <w:t>21</w:t>
        </w:r>
        <w:r>
          <w:rPr>
            <w:noProof/>
            <w:webHidden/>
          </w:rPr>
          <w:fldChar w:fldCharType="end"/>
        </w:r>
      </w:hyperlink>
    </w:p>
    <w:p w14:paraId="31BE96D7" w14:textId="695364F5" w:rsidR="0000570F" w:rsidRDefault="0000570F">
      <w:pPr>
        <w:pStyle w:val="TOC1"/>
        <w:tabs>
          <w:tab w:val="right" w:leader="dot" w:pos="5030"/>
        </w:tabs>
        <w:rPr>
          <w:rFonts w:eastAsiaTheme="minorEastAsia"/>
          <w:b w:val="0"/>
          <w:caps w:val="0"/>
          <w:noProof/>
          <w:sz w:val="22"/>
          <w:lang w:val="en-US" w:eastAsia="en-US" w:bidi="ar-SA"/>
        </w:rPr>
      </w:pPr>
      <w:hyperlink w:anchor="_Toc61437089" w:history="1">
        <w:r w:rsidRPr="00442A47">
          <w:rPr>
            <w:rStyle w:val="Hyperlink"/>
            <w:noProof/>
          </w:rPr>
          <w:t>Приложение 3 – Условия на Общия регламент на Европейския съюз относно защитата на данните</w:t>
        </w:r>
        <w:r>
          <w:rPr>
            <w:noProof/>
            <w:webHidden/>
          </w:rPr>
          <w:tab/>
        </w:r>
        <w:r>
          <w:rPr>
            <w:noProof/>
            <w:webHidden/>
          </w:rPr>
          <w:fldChar w:fldCharType="begin"/>
        </w:r>
        <w:r>
          <w:rPr>
            <w:noProof/>
            <w:webHidden/>
          </w:rPr>
          <w:instrText xml:space="preserve"> PAGEREF _Toc61437089 \h </w:instrText>
        </w:r>
        <w:r>
          <w:rPr>
            <w:noProof/>
            <w:webHidden/>
          </w:rPr>
        </w:r>
        <w:r>
          <w:rPr>
            <w:noProof/>
            <w:webHidden/>
          </w:rPr>
          <w:fldChar w:fldCharType="separate"/>
        </w:r>
        <w:r>
          <w:rPr>
            <w:noProof/>
            <w:webHidden/>
          </w:rPr>
          <w:t>29</w:t>
        </w:r>
        <w:r>
          <w:rPr>
            <w:noProof/>
            <w:webHidden/>
          </w:rPr>
          <w:fldChar w:fldCharType="end"/>
        </w:r>
      </w:hyperlink>
    </w:p>
    <w:p w14:paraId="078B3149" w14:textId="77AD8022" w:rsidR="00D70DF3" w:rsidRDefault="00A430D3" w:rsidP="007829B6">
      <w:pPr>
        <w:pStyle w:val="TOC1"/>
        <w:tabs>
          <w:tab w:val="right" w:leader="dot" w:pos="5030"/>
        </w:tabs>
        <w:sectPr w:rsidR="00D70DF3" w:rsidSect="002931C3">
          <w:type w:val="continuous"/>
          <w:pgSz w:w="12240" w:h="15840"/>
          <w:pgMar w:top="1440" w:right="720" w:bottom="1440" w:left="720" w:header="720" w:footer="720" w:gutter="0"/>
          <w:cols w:num="2" w:space="720"/>
          <w:docGrid w:linePitch="360"/>
        </w:sectPr>
      </w:pPr>
      <w:r>
        <w:fldChar w:fldCharType="end"/>
      </w:r>
    </w:p>
    <w:p w14:paraId="1F9D504A" w14:textId="77777777" w:rsidR="008D5114" w:rsidRPr="00097CE0" w:rsidRDefault="008D5114" w:rsidP="007829B6">
      <w:pPr>
        <w:spacing w:after="120"/>
      </w:pPr>
      <w:bookmarkStart w:id="3" w:name="_Toc507768531"/>
      <w:bookmarkStart w:id="4" w:name="_Toc6563780"/>
      <w:bookmarkStart w:id="5" w:name="_Toc26883653"/>
      <w:bookmarkStart w:id="6" w:name="Introduction"/>
      <w:r>
        <w:br w:type="page"/>
      </w:r>
    </w:p>
    <w:p w14:paraId="4E4BAF0B" w14:textId="37F3D0C8" w:rsidR="009776B9" w:rsidRPr="00097CE0" w:rsidRDefault="009776B9" w:rsidP="007829B6">
      <w:pPr>
        <w:pStyle w:val="ProductList-SectionHeading"/>
        <w:spacing w:after="120"/>
        <w:outlineLvl w:val="0"/>
      </w:pPr>
      <w:bookmarkStart w:id="7" w:name="Въведение"/>
      <w:bookmarkStart w:id="8" w:name="_Toc61437059"/>
      <w:r>
        <w:lastRenderedPageBreak/>
        <w:t>Въведение</w:t>
      </w:r>
      <w:bookmarkEnd w:id="3"/>
      <w:bookmarkEnd w:id="4"/>
      <w:bookmarkEnd w:id="5"/>
      <w:bookmarkEnd w:id="7"/>
      <w:bookmarkEnd w:id="8"/>
    </w:p>
    <w:p w14:paraId="652559A7" w14:textId="77777777" w:rsidR="00372C95" w:rsidRPr="00737488" w:rsidRDefault="00372C95" w:rsidP="00372C95">
      <w:pPr>
        <w:pStyle w:val="ProductList-Body"/>
        <w:spacing w:after="120"/>
      </w:pPr>
      <w:bookmarkStart w:id="9" w:name="_Toc507768532"/>
      <w:bookmarkStart w:id="10" w:name="_Toc6563781"/>
      <w:bookmarkStart w:id="11" w:name="_Toc26883654"/>
      <w:bookmarkStart w:id="12" w:name="_Toc507768534"/>
      <w:bookmarkStart w:id="13" w:name="_Toc6563783"/>
      <w:bookmarkStart w:id="14" w:name="_Toc26883656"/>
      <w:bookmarkEnd w:id="6"/>
      <w:r>
        <w:t>Страните се съгласяват, че настоящото Допълнение относно защитата на данните за Онлайн услуги на Microsoft („DPA“) определя задълженията им по отношение на обработването и защитата на Клиентските данни и Личните данни във връзка с Онлайн услугите.</w:t>
      </w:r>
      <w:r>
        <w:rPr>
          <w:sz w:val="22"/>
        </w:rPr>
        <w:t xml:space="preserve"> </w:t>
      </w:r>
      <w:r>
        <w:t>Настоящото DPA е включено чрез позоваване в Условията за Онлайн услуги (или приемното местоположение в Правата за използване).</w:t>
      </w:r>
      <w:r>
        <w:rPr>
          <w:sz w:val="22"/>
        </w:rPr>
        <w:t xml:space="preserve"> </w:t>
      </w:r>
      <w:r>
        <w:t xml:space="preserve">Страните също така се съгласяват, че освен при наличието на отделно споразумение за Професионални услуги, настоящото DPA урежда обработването и защитата на Данните за Професионални услуги. </w:t>
      </w:r>
      <w:bookmarkStart w:id="15" w:name="_Hlk24368805"/>
      <w:r>
        <w:t>Отделни условия, включително различни условия за поверителност и</w:t>
      </w:r>
      <w:r w:rsidRPr="00D96637">
        <w:t xml:space="preserve"> </w:t>
      </w:r>
      <w:r>
        <w:t>защита, уреждат използването от страна на Клиента на Продукти, които не са на Microsoft.</w:t>
      </w:r>
      <w:bookmarkEnd w:id="15"/>
    </w:p>
    <w:p w14:paraId="64ED55F3" w14:textId="77777777" w:rsidR="00372C95" w:rsidRPr="00B73D8A" w:rsidRDefault="00372C95" w:rsidP="00372C95">
      <w:pPr>
        <w:pStyle w:val="CommentText"/>
        <w:spacing w:after="120"/>
        <w:rPr>
          <w:sz w:val="18"/>
          <w:szCs w:val="18"/>
        </w:rPr>
      </w:pPr>
      <w:r w:rsidRPr="00072C54">
        <w:rPr>
          <w:spacing w:val="-2"/>
          <w:sz w:val="18"/>
          <w:szCs w:val="18"/>
        </w:rPr>
        <w:t xml:space="preserve">В случай на конфликт или несъответствие между Условията на DPA и други условия в споразумението за корпоративно лицензиране на Клиента, приоритет имат Условията на DPA. Клаузите на Условията на DPA заместват всички противоречащи клаузи на Декларацията за поверителност на Microsoft, които иначе може да се прилагат към обработването на Клиентските данни, Личните данни или Данните за Професионални услуги, както са дефинирани тук. С цел яснота, в съответствие с Клауза 10 от Стандартните договорни клаузи в </w:t>
      </w:r>
      <w:r w:rsidR="00843131">
        <w:fldChar w:fldCharType="begin"/>
      </w:r>
      <w:r w:rsidR="00843131">
        <w:instrText xml:space="preserve"> HYPERLINK \l "Приложение2" </w:instrText>
      </w:r>
      <w:r w:rsidR="00843131">
        <w:fldChar w:fldCharType="separate"/>
      </w:r>
      <w:r w:rsidRPr="00072C54">
        <w:rPr>
          <w:rStyle w:val="Hyperlink"/>
          <w:spacing w:val="-2"/>
          <w:sz w:val="18"/>
          <w:szCs w:val="18"/>
        </w:rPr>
        <w:t>Приложение 2</w:t>
      </w:r>
      <w:r w:rsidR="00843131">
        <w:rPr>
          <w:rStyle w:val="Hyperlink"/>
          <w:spacing w:val="-2"/>
          <w:sz w:val="18"/>
          <w:szCs w:val="18"/>
        </w:rPr>
        <w:fldChar w:fldCharType="end"/>
      </w:r>
      <w:r w:rsidRPr="00072C54">
        <w:rPr>
          <w:spacing w:val="-2"/>
          <w:sz w:val="18"/>
          <w:szCs w:val="18"/>
        </w:rPr>
        <w:t>, Стандартните договорни клаузи има превес над всяко друго условие в Условията на DPA</w:t>
      </w:r>
      <w:r>
        <w:rPr>
          <w:sz w:val="18"/>
          <w:szCs w:val="18"/>
        </w:rPr>
        <w:t>.</w:t>
      </w:r>
    </w:p>
    <w:p w14:paraId="000735E8" w14:textId="77777777" w:rsidR="00372C95" w:rsidRDefault="00372C95" w:rsidP="00372C95">
      <w:pPr>
        <w:pStyle w:val="ProductList-Body"/>
        <w:spacing w:after="120"/>
      </w:pPr>
      <w:r>
        <w:t>Microsoft поема ангажиментите в настоящото DPA към всички клиенти със споразумения за корпоративно лицензиране. Тези ангажименти са обвързващи за Microsoft по отношение на Клиента, независимо от (1) Правата за използване, които в противен случай са приложими за всеки абонамент за Онлайн услуги, или (2) всяко друго споразумение, което съдържа препратка към OST.</w:t>
      </w:r>
    </w:p>
    <w:p w14:paraId="2FABA49A" w14:textId="77777777" w:rsidR="00372C95" w:rsidRDefault="00372C95" w:rsidP="00372C95">
      <w:pPr>
        <w:pStyle w:val="ProductList-SubSubSectionHeading"/>
        <w:spacing w:after="120"/>
        <w:outlineLvl w:val="1"/>
      </w:pPr>
      <w:bookmarkStart w:id="16" w:name="_Toc42764827"/>
      <w:bookmarkStart w:id="17" w:name="_Toc61437060"/>
      <w:bookmarkEnd w:id="9"/>
      <w:bookmarkEnd w:id="10"/>
      <w:bookmarkEnd w:id="11"/>
      <w:r>
        <w:t>Приложими Условия на DPA и актуализации</w:t>
      </w:r>
      <w:bookmarkEnd w:id="16"/>
      <w:bookmarkEnd w:id="17"/>
    </w:p>
    <w:p w14:paraId="66D67EF0" w14:textId="77777777" w:rsidR="00372C95" w:rsidRPr="0066689D" w:rsidRDefault="00372C95" w:rsidP="00372C95">
      <w:pPr>
        <w:pStyle w:val="ProductList-Body"/>
        <w:spacing w:after="120"/>
        <w:ind w:left="187"/>
        <w:outlineLvl w:val="2"/>
        <w:rPr>
          <w:b/>
          <w:color w:val="0072C6"/>
        </w:rPr>
      </w:pPr>
      <w:r>
        <w:rPr>
          <w:b/>
          <w:color w:val="0072C6"/>
        </w:rPr>
        <w:t>Ограничения на актуализациите</w:t>
      </w:r>
    </w:p>
    <w:p w14:paraId="4DD0A03E" w14:textId="77777777" w:rsidR="00372C95" w:rsidRDefault="00372C95" w:rsidP="00372C95">
      <w:pPr>
        <w:pStyle w:val="ProductList-Body"/>
        <w:spacing w:after="120"/>
        <w:ind w:left="158"/>
      </w:pPr>
      <w:r>
        <w:t>Когато Клиентът подновява или закупува нов абонамент за Онлайн услуга, ще се прилагат текущите към момента Условия на DPA, които няма да се променят за периода на абонамента на Клиента за съответната Онлайн услуга.</w:t>
      </w:r>
    </w:p>
    <w:p w14:paraId="57A0494E" w14:textId="77777777" w:rsidR="00372C95" w:rsidRPr="00EC4F44" w:rsidRDefault="00372C95" w:rsidP="00372C95">
      <w:pPr>
        <w:pStyle w:val="ProductList-Body"/>
        <w:spacing w:after="120"/>
        <w:ind w:left="187"/>
        <w:outlineLvl w:val="2"/>
        <w:rPr>
          <w:b/>
          <w:color w:val="0072C6"/>
        </w:rPr>
      </w:pPr>
      <w:bookmarkStart w:id="18" w:name="_Hlk40343587"/>
      <w:r>
        <w:rPr>
          <w:b/>
          <w:color w:val="0072C6"/>
        </w:rPr>
        <w:t>Нови функции, допълнения или сроден софтуер</w:t>
      </w:r>
      <w:bookmarkEnd w:id="18"/>
    </w:p>
    <w:p w14:paraId="3B292CEC" w14:textId="77777777" w:rsidR="00372C95" w:rsidRDefault="00372C95" w:rsidP="00372C95">
      <w:pPr>
        <w:pStyle w:val="ProductList-Body"/>
        <w:spacing w:after="120"/>
        <w:ind w:left="158"/>
      </w:pPr>
      <w:r>
        <w:t>Независимо от гореизложените ограничения върху актуализациите, когато Microsoft въвежда функции, допълнения или сроден софтуер (т.е. такива, които до момента не са се включвали в абонамента), Microsoft може да поставя условия или да извършва актуализации в</w:t>
      </w:r>
      <w:r>
        <w:rPr>
          <w:lang w:val="en-US"/>
        </w:rPr>
        <w:t> </w:t>
      </w:r>
      <w:r>
        <w:t>DPA, приложими за използването на новите функции, допълнения или сроден софтуер от страна на Клиента. Ако настоящите условия включват съществени неблагоприятни промени в Условията на DPA, Microsoft ще предостави на Клиента възможност за избор дали да използва новите функции, допълнения или сроден софтуер без загуба на съществуващи функции на общодостъпна Онлайн услуга. Ако Клиентът не използва новите функции, допълнения или сроден софтуер, съответните нови условия няма да се прилагат.</w:t>
      </w:r>
    </w:p>
    <w:p w14:paraId="35AD2FAE" w14:textId="77777777" w:rsidR="00372C95" w:rsidRPr="00417241" w:rsidRDefault="00372C95" w:rsidP="00372C95">
      <w:pPr>
        <w:pStyle w:val="ProductList-Body"/>
        <w:spacing w:after="120"/>
        <w:ind w:left="187"/>
        <w:outlineLvl w:val="2"/>
        <w:rPr>
          <w:b/>
          <w:color w:val="0072C6"/>
        </w:rPr>
      </w:pPr>
      <w:r>
        <w:rPr>
          <w:b/>
          <w:color w:val="0072C6"/>
        </w:rPr>
        <w:t>Държавни наредби и изисквания</w:t>
      </w:r>
    </w:p>
    <w:p w14:paraId="500AE6CC" w14:textId="77777777" w:rsidR="00372C95" w:rsidRPr="00E47CD3" w:rsidRDefault="00372C95" w:rsidP="00372C95">
      <w:pPr>
        <w:pStyle w:val="ProductList-Body"/>
        <w:spacing w:after="120"/>
        <w:ind w:left="158"/>
      </w:pPr>
      <w:r>
        <w:t>Независимо от гореизложените ограничения върху актуализациите Microsoft може да изменя или прекратява дадена Онлайн услуга във всяка държава или юрисдикция, където към момента съществуват или предстои да се приемат държавни изисквания или задължения, които (1) задължават Microsoft да спазва определени наредби или изисквания, които принципно не се прилагат за фирми, упражняващи дейност там; (2) предизвикват затруднение за Microsoft да продължи да осъществява Онлайн услугата, без да я измени; и/или (3) са причина Microsoft да приеме, че Условията на DPA или Онлайн услугата може да противоречат на подобни изисквания или задължения.</w:t>
      </w:r>
    </w:p>
    <w:p w14:paraId="533F1F74" w14:textId="77777777" w:rsidR="009776B9" w:rsidRPr="00097CE0" w:rsidRDefault="009776B9" w:rsidP="007829B6">
      <w:pPr>
        <w:pStyle w:val="ProductList-SubSubSectionHeading"/>
        <w:spacing w:after="120"/>
        <w:outlineLvl w:val="1"/>
      </w:pPr>
      <w:bookmarkStart w:id="19" w:name="_Toc61437061"/>
      <w:r>
        <w:t>Електронни известия</w:t>
      </w:r>
      <w:bookmarkEnd w:id="12"/>
      <w:bookmarkEnd w:id="13"/>
      <w:bookmarkEnd w:id="14"/>
      <w:bookmarkEnd w:id="19"/>
    </w:p>
    <w:p w14:paraId="37A67D7B" w14:textId="77777777" w:rsidR="009776B9" w:rsidRPr="00097CE0" w:rsidRDefault="009776B9" w:rsidP="007829B6">
      <w:pPr>
        <w:pStyle w:val="ProductList-Body"/>
        <w:spacing w:after="120"/>
      </w:pPr>
      <w:r>
        <w:t xml:space="preserve">Microsoft може да предоставя на Клиента информация и известия относно Онлайн услугите по електронен път, включително по имейл, чрез портала за Онлайн услугата или чрез уеб сайт, указан от Microsoft. Известията се предоставят от датата на предоставяне в наличност от страна на Microsoft. </w:t>
      </w:r>
    </w:p>
    <w:p w14:paraId="7A124922" w14:textId="77777777" w:rsidR="009776B9" w:rsidRPr="00097CE0" w:rsidRDefault="009776B9" w:rsidP="007829B6">
      <w:pPr>
        <w:pStyle w:val="ProductList-SubSubSectionHeading"/>
        <w:spacing w:after="120"/>
        <w:outlineLvl w:val="1"/>
      </w:pPr>
      <w:bookmarkStart w:id="20" w:name="_Toc507768535"/>
      <w:bookmarkStart w:id="21" w:name="_Toc6563784"/>
      <w:bookmarkStart w:id="22" w:name="_Toc26883657"/>
      <w:bookmarkStart w:id="23" w:name="_Toc61437062"/>
      <w:r>
        <w:t>Предишни версии</w:t>
      </w:r>
      <w:bookmarkEnd w:id="20"/>
      <w:bookmarkEnd w:id="21"/>
      <w:bookmarkEnd w:id="22"/>
      <w:bookmarkEnd w:id="23"/>
    </w:p>
    <w:p w14:paraId="70B10EF7" w14:textId="29F497A2" w:rsidR="00D11AA3" w:rsidRPr="00097CE0" w:rsidRDefault="00372C95" w:rsidP="007829B6">
      <w:pPr>
        <w:pStyle w:val="ProductList-Body"/>
        <w:spacing w:after="120"/>
      </w:pPr>
      <w:r>
        <w:t xml:space="preserve">Условията на DPA предоставят условия за Онлайн услугите, които се предлагат в момента. За по-стари версии на Условията на DPA Клиентът може да посети </w:t>
      </w:r>
      <w:bookmarkStart w:id="24" w:name="_Hlk27046654"/>
      <w:r>
        <w:fldChar w:fldCharType="begin"/>
      </w:r>
      <w:r>
        <w:instrText>HYPERLINK "https://aka.ms/licensingdocs"</w:instrText>
      </w:r>
      <w:r>
        <w:fldChar w:fldCharType="separate"/>
      </w:r>
      <w:r>
        <w:rPr>
          <w:rStyle w:val="Hyperlink"/>
        </w:rPr>
        <w:t>https://aka.ms/licensingdocs</w:t>
      </w:r>
      <w:r>
        <w:fldChar w:fldCharType="end"/>
      </w:r>
      <w:bookmarkEnd w:id="24"/>
      <w:r>
        <w:t xml:space="preserve"> или да се свърже със съответния риселър или Мениджър на клиенти на Microsoft</w:t>
      </w:r>
      <w:r w:rsidR="001C276F">
        <w:t>.</w:t>
      </w:r>
      <w:bookmarkStart w:id="25" w:name="_Hlk494736247"/>
      <w:bookmarkStart w:id="26" w:name="_Hlk494736381"/>
    </w:p>
    <w:p w14:paraId="5CA89841" w14:textId="2CB3592D" w:rsidR="0074788A" w:rsidRPr="00097CE0" w:rsidRDefault="00D7294A" w:rsidP="0074788A">
      <w:pPr>
        <w:pStyle w:val="ProductList-Body"/>
        <w:shd w:val="clear" w:color="auto" w:fill="A6A6A6" w:themeFill="background1" w:themeFillShade="A6"/>
        <w:spacing w:after="120"/>
        <w:jc w:val="right"/>
      </w:pPr>
      <w:hyperlink w:anchor="Съдържание" w:tooltip="Съдържание" w:history="1">
        <w:r w:rsidR="00CE74B9">
          <w:rPr>
            <w:rStyle w:val="Hyperlink"/>
            <w:sz w:val="16"/>
            <w:szCs w:val="16"/>
          </w:rPr>
          <w:t>Съдържание</w:t>
        </w:r>
      </w:hyperlink>
      <w:r w:rsidR="00CE74B9">
        <w:rPr>
          <w:sz w:val="16"/>
          <w:szCs w:val="16"/>
        </w:rPr>
        <w:t>/</w:t>
      </w:r>
      <w:hyperlink w:anchor="GeneralTerms" w:tooltip="Общи условия" w:history="1">
        <w:r w:rsidR="00CE74B9">
          <w:rPr>
            <w:rStyle w:val="Hyperlink"/>
            <w:sz w:val="16"/>
            <w:szCs w:val="16"/>
          </w:rPr>
          <w:t>Общи условия</w:t>
        </w:r>
      </w:hyperlink>
    </w:p>
    <w:p w14:paraId="40E64317" w14:textId="77777777" w:rsidR="0074788A" w:rsidRPr="00097CE0" w:rsidRDefault="0074788A" w:rsidP="007829B6">
      <w:pPr>
        <w:pStyle w:val="ProductList-Body"/>
        <w:spacing w:after="120"/>
      </w:pPr>
    </w:p>
    <w:p w14:paraId="6B34AF1C" w14:textId="0C0681DF" w:rsidR="00D11AA3" w:rsidRDefault="00D11AA3" w:rsidP="007829B6">
      <w:pPr>
        <w:pStyle w:val="ProductList-Body"/>
        <w:spacing w:after="120"/>
        <w:sectPr w:rsidR="00D11AA3" w:rsidSect="009776B9">
          <w:footerReference w:type="default" r:id="rId15"/>
          <w:footerReference w:type="first" r:id="rId16"/>
          <w:type w:val="continuous"/>
          <w:pgSz w:w="12240" w:h="15840"/>
          <w:pgMar w:top="1440" w:right="720" w:bottom="1440" w:left="720" w:header="720" w:footer="720" w:gutter="0"/>
          <w:cols w:space="720"/>
          <w:titlePg/>
          <w:docGrid w:linePitch="360"/>
        </w:sectPr>
      </w:pPr>
    </w:p>
    <w:p w14:paraId="671361CB" w14:textId="77777777" w:rsidR="009776B9" w:rsidRPr="00097CE0" w:rsidRDefault="009776B9" w:rsidP="007829B6">
      <w:pPr>
        <w:pStyle w:val="ProductList-SectionHeading"/>
        <w:spacing w:after="120"/>
        <w:outlineLvl w:val="0"/>
      </w:pPr>
      <w:bookmarkStart w:id="27" w:name="_Toc507768537"/>
      <w:bookmarkStart w:id="28" w:name="_Toc6563786"/>
      <w:bookmarkStart w:id="29" w:name="_Toc26883659"/>
      <w:bookmarkStart w:id="30" w:name="Definitions"/>
      <w:bookmarkStart w:id="31" w:name="_Toc61437063"/>
      <w:bookmarkEnd w:id="25"/>
      <w:bookmarkEnd w:id="26"/>
      <w:r>
        <w:lastRenderedPageBreak/>
        <w:t>Определения</w:t>
      </w:r>
      <w:bookmarkEnd w:id="27"/>
      <w:bookmarkEnd w:id="28"/>
      <w:bookmarkEnd w:id="29"/>
      <w:bookmarkEnd w:id="31"/>
    </w:p>
    <w:bookmarkEnd w:id="30"/>
    <w:p w14:paraId="32C99E92" w14:textId="77777777" w:rsidR="00253BA3" w:rsidRPr="00097CE0" w:rsidRDefault="00253BA3" w:rsidP="007829B6">
      <w:pPr>
        <w:pStyle w:val="ProductList-Body"/>
        <w:spacing w:after="120"/>
      </w:pPr>
      <w:r>
        <w:t>Изписаните с главна буква термини, които се използват в настоящото DPA, но не са дефинирани тук, следва да се разбират според значението, зададено им в споразумението за корпоративно лицензиране. В настоящото DPA са използвани следните термини:</w:t>
      </w:r>
    </w:p>
    <w:p w14:paraId="7BD5029B" w14:textId="77777777" w:rsidR="00253BA3" w:rsidRPr="00097CE0" w:rsidRDefault="00253BA3" w:rsidP="007829B6">
      <w:pPr>
        <w:pStyle w:val="ProductList-Body"/>
        <w:spacing w:after="120"/>
      </w:pPr>
      <w:r>
        <w:t>„Клиентски данни“ означава всички данни, включително всички текстове, звуци, видеоклипове или файлове с изображения, както и софтуер, които са предоставени на Microsoft от или от името на Клиента чрез използването на Онлайн услугата. Клиентските данни не включват Данни за Професионални услуги.</w:t>
      </w:r>
    </w:p>
    <w:p w14:paraId="7A56D463" w14:textId="77777777" w:rsidR="00372C95" w:rsidRPr="00097CE0" w:rsidRDefault="00372C95" w:rsidP="00372C95">
      <w:pPr>
        <w:pStyle w:val="ProductList-Body"/>
        <w:spacing w:after="120"/>
      </w:pPr>
      <w:r>
        <w:t>„Изисквания за защита на данните“ означава ОРЗД, Местното законодателство за защита на данните в ЕС/ЕИП, както и всички приложими закони, наредби и други законови изисквания във връзка с a) поверителността и защитата на данните; и б) използването, събирането, запазването, съхранението, защитата, разкриването, прехвърлянето, унищожаването, както и друго обработване на Лични данни.</w:t>
      </w:r>
    </w:p>
    <w:p w14:paraId="35D1DDA9" w14:textId="77777777" w:rsidR="00253BA3" w:rsidRPr="00097CE0" w:rsidRDefault="00253BA3" w:rsidP="007829B6">
      <w:pPr>
        <w:pStyle w:val="ProductList-Body"/>
        <w:spacing w:after="120"/>
      </w:pPr>
      <w:r>
        <w:t>„Диагностични данни“ означава данни, събрани или получени от Microsoft от софтуер, който е инсталиран локално от Клиент във връзка с Онлайн услугите. Диагностичните данни може също да се наричат „телеметрия“. Диагностичните данни не включват Клиентските данни, Данните, генерирани от услуги, или Данните за Професионални услуги.</w:t>
      </w:r>
    </w:p>
    <w:p w14:paraId="672F1D33" w14:textId="77777777" w:rsidR="00372C95" w:rsidRDefault="00372C95" w:rsidP="00372C95">
      <w:pPr>
        <w:pStyle w:val="ProductList-Body"/>
        <w:spacing w:after="120"/>
      </w:pPr>
      <w:r>
        <w:t>„Условия на DPA</w:t>
      </w:r>
      <w:r w:rsidRPr="00897464">
        <w:t>“</w:t>
      </w:r>
      <w:r>
        <w:t xml:space="preserve"> означава условията в DPA и всички Специфични условия за Онлайн услуги в Правата за използване, които конкретно допълват или изменят условията за поверителност и сигурност в DPA за конкретна Онлайн услуга (или функция на Онлайн услуга). В случай на конфликт или несъответствие между DPA и подобни специфични условия за Онлайн услуги, приоритет имат специфичните условия за Онлайн услуги що се отнася до приложимата Онлайн услуга (или функция на Онлайн услуга). </w:t>
      </w:r>
    </w:p>
    <w:p w14:paraId="3410D5D2" w14:textId="2BABF197" w:rsidR="00253BA3" w:rsidRPr="00097CE0" w:rsidRDefault="00253BA3" w:rsidP="00090CCF">
      <w:pPr>
        <w:pStyle w:val="ProductList-Body"/>
        <w:spacing w:after="120"/>
      </w:pPr>
      <w:r>
        <w:t>„ОРЗД</w:t>
      </w:r>
      <w:r w:rsidR="00090CCF">
        <w:t>“</w:t>
      </w:r>
      <w:r>
        <w:t xml:space="preserve"> означава Регламент (ЕС) 2016/679 на Европейския парламент и на Съвета от 27 април 2016 година относно защитата на физическите лица във връзка с обработването на лични данни и относно свободното движение на такива данни и за отмяна на Директива 95/46/EО (Общ регламент относно защитата на данните).</w:t>
      </w:r>
    </w:p>
    <w:p w14:paraId="04E7A01A" w14:textId="4367BC9B" w:rsidR="00253BA3" w:rsidRPr="00097CE0" w:rsidRDefault="00253BA3" w:rsidP="00090CCF">
      <w:pPr>
        <w:pStyle w:val="ProductList-Body"/>
        <w:spacing w:after="120"/>
      </w:pPr>
      <w:r>
        <w:t>„Местно законодателство за защита на данните в ЕС/ЕИП</w:t>
      </w:r>
      <w:r w:rsidR="00090CCF">
        <w:t>“</w:t>
      </w:r>
      <w:r>
        <w:t xml:space="preserve"> означава всяко вторично законодателство и наредби за прилагане на ОРЗД. </w:t>
      </w:r>
    </w:p>
    <w:p w14:paraId="44F5AB82" w14:textId="185EA3BD" w:rsidR="00253BA3" w:rsidRPr="00097CE0" w:rsidRDefault="00253BA3" w:rsidP="00090CCF">
      <w:pPr>
        <w:pStyle w:val="ProductList-Body"/>
        <w:spacing w:after="120"/>
      </w:pPr>
      <w:r>
        <w:t>„Условия на ОРЗД</w:t>
      </w:r>
      <w:r w:rsidR="00090CCF">
        <w:t>“</w:t>
      </w:r>
      <w:r>
        <w:t xml:space="preserve"> означава условията в </w:t>
      </w:r>
      <w:r w:rsidR="00843131">
        <w:fldChar w:fldCharType="begin"/>
      </w:r>
      <w:r w:rsidR="00843131">
        <w:instrText xml:space="preserve"> HYPERLINK \l "Attachment3" </w:instrText>
      </w:r>
      <w:r w:rsidR="00843131">
        <w:fldChar w:fldCharType="separate"/>
      </w:r>
      <w:r>
        <w:rPr>
          <w:rStyle w:val="Hyperlink"/>
        </w:rPr>
        <w:t>Приложение 3</w:t>
      </w:r>
      <w:r w:rsidR="00843131">
        <w:rPr>
          <w:rStyle w:val="Hyperlink"/>
        </w:rPr>
        <w:fldChar w:fldCharType="end"/>
      </w:r>
      <w:r>
        <w:t>, съгласно което Microsoft поема обвързващи ангажименти относно обработването на Лични данни от нейна страна, както се изисква от чл. 28 на ОРЗД.</w:t>
      </w:r>
    </w:p>
    <w:p w14:paraId="1FC17E8F" w14:textId="2EAD2BF0" w:rsidR="00253BA3" w:rsidRPr="00097CE0" w:rsidRDefault="00253BA3" w:rsidP="00090CCF">
      <w:pPr>
        <w:pStyle w:val="ProductList-Body"/>
        <w:spacing w:after="120"/>
      </w:pPr>
      <w:r>
        <w:t>„Лични данни</w:t>
      </w:r>
      <w:r w:rsidR="00090CCF">
        <w:t>“</w:t>
      </w:r>
      <w:r>
        <w:t xml:space="preserve"> означава всяка информация, свързана с идентифицирано физическо лице или физическо лице, което може да бъде идентифицирано. Физическо лице, което може да бъде идентифицирано, е лице, което може да бъде идентифицирано, пряко или непряко, по-специално чрез идентификатор като име, идентификационен номер, данни за местонахождение, онлайн идентификатор или по един или повече признаци, специфични за физическата, физиологичната, генетичната, умствената, икономическата, културната или социална идентичност на това физическо лице. </w:t>
      </w:r>
    </w:p>
    <w:p w14:paraId="5D20EFBE" w14:textId="4D777160" w:rsidR="00253BA3" w:rsidRPr="00097CE0" w:rsidRDefault="00253BA3" w:rsidP="00090CCF">
      <w:pPr>
        <w:pStyle w:val="ProductList-Body"/>
        <w:spacing w:after="120"/>
      </w:pPr>
      <w:r>
        <w:t>„Данни за Професионални услуги</w:t>
      </w:r>
      <w:r w:rsidR="00090CCF">
        <w:t>“</w:t>
      </w:r>
      <w:r>
        <w:t xml:space="preserve"> означава всички данни, включително всички текстови, звукови, видео или графични файлове или софтуер, които са предоставени на Microsoft от или от името на Клиента (или които Клиентът упълномощи Microsoft да получи от дадена Онлайн услуга) или по друг начин получени или обработени от или от името на Microsoft посредством ангажимент с Microsoft за получаване на Професионални услуги. </w:t>
      </w:r>
      <w:r>
        <w:rPr>
          <w:szCs w:val="18"/>
        </w:rPr>
        <w:t>Данните</w:t>
      </w:r>
      <w:r>
        <w:t xml:space="preserve"> за Професионални услуги </w:t>
      </w:r>
      <w:r>
        <w:rPr>
          <w:szCs w:val="18"/>
        </w:rPr>
        <w:t>включват</w:t>
      </w:r>
      <w:r>
        <w:t xml:space="preserve"> Данните за поддръжка.</w:t>
      </w:r>
    </w:p>
    <w:p w14:paraId="539A23EA" w14:textId="4E4C6D1C" w:rsidR="00253BA3" w:rsidRPr="00097CE0" w:rsidRDefault="00253BA3" w:rsidP="00090CCF">
      <w:pPr>
        <w:pStyle w:val="ProductList-Body"/>
        <w:spacing w:after="120"/>
      </w:pPr>
      <w:r>
        <w:t>„Данни, генерирани от услуги</w:t>
      </w:r>
      <w:r w:rsidR="00090CCF">
        <w:t>“</w:t>
      </w:r>
      <w:r>
        <w:t xml:space="preserve"> означава данни, генерирани или извлечени от Microsoft чрез функционирането на Онлайн услуга. Данните, генерирани от услуги, не включват Клиентските данни, Диагностичните данни или Данните за Професионални услуги.</w:t>
      </w:r>
    </w:p>
    <w:p w14:paraId="5B60A451" w14:textId="3302646F" w:rsidR="00253BA3" w:rsidRPr="00097CE0" w:rsidRDefault="00253BA3" w:rsidP="00090CCF">
      <w:pPr>
        <w:pStyle w:val="ProductList-Body"/>
        <w:spacing w:after="120"/>
      </w:pPr>
      <w:r>
        <w:t>„Стандартни договорни клаузи</w:t>
      </w:r>
      <w:r w:rsidR="00090CCF">
        <w:t>“</w:t>
      </w:r>
      <w:r>
        <w:t xml:space="preserve"> означава стандартните клаузи за защита на данните при прехвърляне на лични данни към лица, обработващи лични данни, установени в трети държави, които не осигуряват адекватно ниво на защита на данните, както е описано в чл. 46 от ОРЗД и одобрено от Решение на Европейската комисия 2010/87/ЕО от 5 февруари 2010 година. Стандартните договорни клаузи се намират в </w:t>
      </w:r>
      <w:r w:rsidR="00843131">
        <w:fldChar w:fldCharType="begin"/>
      </w:r>
      <w:r w:rsidR="00843131">
        <w:instrText xml:space="preserve"> HYPERLINK \l "Attachment2" </w:instrText>
      </w:r>
      <w:r w:rsidR="00843131">
        <w:fldChar w:fldCharType="separate"/>
      </w:r>
      <w:r>
        <w:rPr>
          <w:rStyle w:val="Hyperlink"/>
        </w:rPr>
        <w:t>Приложение 2</w:t>
      </w:r>
      <w:r w:rsidR="00843131">
        <w:rPr>
          <w:rStyle w:val="Hyperlink"/>
        </w:rPr>
        <w:fldChar w:fldCharType="end"/>
      </w:r>
      <w:r>
        <w:t>.</w:t>
      </w:r>
      <w:r>
        <w:rPr>
          <w:rFonts w:ascii="Calibri" w:eastAsia="Calibri" w:hAnsi="Calibri" w:cs="Times New Roman"/>
        </w:rPr>
        <w:t xml:space="preserve"> </w:t>
      </w:r>
    </w:p>
    <w:p w14:paraId="258CAF3D" w14:textId="508B6A32" w:rsidR="00253BA3" w:rsidRPr="00097CE0" w:rsidRDefault="007962C7" w:rsidP="00090CCF">
      <w:pPr>
        <w:pStyle w:val="ProductList-Body"/>
        <w:spacing w:after="120"/>
      </w:pPr>
      <w:bookmarkStart w:id="32" w:name="_Hlk44503302"/>
      <w:r>
        <w:t>„Подизпълнител</w:t>
      </w:r>
      <w:r w:rsidRPr="00414B2D">
        <w:t>“</w:t>
      </w:r>
      <w:r>
        <w:t xml:space="preserve"> означава други лица, обработващи лични данни, използвани от Microsoft за обработването на Клиентски данни и Лични данни, както е описано в Член 28 на ОРЗД</w:t>
      </w:r>
      <w:bookmarkEnd w:id="32"/>
      <w:r w:rsidR="00253BA3">
        <w:t xml:space="preserve">. </w:t>
      </w:r>
    </w:p>
    <w:p w14:paraId="212B7BA6" w14:textId="228DF23F" w:rsidR="00253BA3" w:rsidRPr="00097CE0" w:rsidRDefault="00253BA3" w:rsidP="00090CCF">
      <w:pPr>
        <w:pStyle w:val="ProductList-Body"/>
        <w:spacing w:after="120"/>
      </w:pPr>
      <w:r>
        <w:t>„Данни за поддръжка</w:t>
      </w:r>
      <w:r w:rsidR="00090CCF">
        <w:t>“</w:t>
      </w:r>
      <w:r>
        <w:t xml:space="preserve"> означава всички данни, включително всички текстови, звукови, видео или графични файлове, или софтуер, които са предоставени на Microsoft от или от името на Клиента (или които Клиентът упълномощи Microsoft да получи от дадена Онлайн услуга) посредством ангажимент с Microsoft за получаване на техническа поддръжка за Онлайн услугите, обхванати от настоящото споразумение. </w:t>
      </w:r>
      <w:r>
        <w:rPr>
          <w:szCs w:val="18"/>
        </w:rPr>
        <w:t>Данните за поддръжка включват Данни за Професионални услуги.</w:t>
      </w:r>
    </w:p>
    <w:p w14:paraId="1C334388" w14:textId="0B3687DD" w:rsidR="00253BA3" w:rsidRDefault="00253BA3" w:rsidP="00090CCF">
      <w:pPr>
        <w:pStyle w:val="ProductList-Body"/>
        <w:spacing w:after="120"/>
      </w:pPr>
      <w:r>
        <w:t>Термините с малки букви, които са използвани, но не са определени в настоящото DPA, като например „нарушение на сигурността на лични данни</w:t>
      </w:r>
      <w:r w:rsidR="00090CCF">
        <w:t>“</w:t>
      </w:r>
      <w:r>
        <w:t>, „обработване</w:t>
      </w:r>
      <w:r w:rsidR="00090CCF">
        <w:t>“</w:t>
      </w:r>
      <w:r>
        <w:t>, „администратор</w:t>
      </w:r>
      <w:r w:rsidR="00090CCF">
        <w:t>“</w:t>
      </w:r>
      <w:r>
        <w:t>, „обработващ лични данни</w:t>
      </w:r>
      <w:r w:rsidR="00090CCF">
        <w:t>“</w:t>
      </w:r>
      <w:r>
        <w:t>, „профилиране</w:t>
      </w:r>
      <w:r w:rsidR="00090CCF">
        <w:t>“</w:t>
      </w:r>
      <w:r>
        <w:t>, „лични данни</w:t>
      </w:r>
      <w:r w:rsidR="00090CCF">
        <w:t>“</w:t>
      </w:r>
      <w:r>
        <w:t xml:space="preserve"> и „субект на данни</w:t>
      </w:r>
      <w:r w:rsidR="00090CCF">
        <w:t>“</w:t>
      </w:r>
      <w:r>
        <w:t xml:space="preserve"> ще имат значението, посочено в чл. 4 от ОРЗД, независимо дали се прилага ОРЗД. Термините „вносител на данни</w:t>
      </w:r>
      <w:r w:rsidR="00090CCF">
        <w:t>“</w:t>
      </w:r>
      <w:r>
        <w:t xml:space="preserve"> и „износител на данни</w:t>
      </w:r>
      <w:r w:rsidR="00090CCF">
        <w:t>“</w:t>
      </w:r>
      <w:r>
        <w:t xml:space="preserve"> следва да се разбират според значенията, дадени им в Стандартните договорни клаузи. </w:t>
      </w:r>
    </w:p>
    <w:p w14:paraId="637FC708" w14:textId="77777777" w:rsidR="007962C7" w:rsidRDefault="007962C7" w:rsidP="007962C7">
      <w:pPr>
        <w:pStyle w:val="ProductList-Body"/>
        <w:spacing w:after="120"/>
      </w:pPr>
      <w:r>
        <w:t>С цел яснота и както е описано подробно по-горе, данните, определени като Клиентски данни, Диагностични данни, Данни, генерирани от услуги, и Данни за Професионални услуги може да съдържат Лични данни. С илюстративна цел, моля, разгледайте таблицата по-долу:</w:t>
      </w:r>
    </w:p>
    <w:tbl>
      <w:tblPr>
        <w:tblStyle w:val="TableGrid"/>
        <w:tblW w:w="0" w:type="auto"/>
        <w:jc w:val="center"/>
        <w:tblLook w:val="04A0" w:firstRow="1" w:lastRow="0" w:firstColumn="1" w:lastColumn="0" w:noHBand="0" w:noVBand="1"/>
      </w:tblPr>
      <w:tblGrid>
        <w:gridCol w:w="9350"/>
      </w:tblGrid>
      <w:tr w:rsidR="007962C7" w:rsidRPr="0053240B" w14:paraId="3560A925" w14:textId="77777777" w:rsidTr="00D7294A">
        <w:trPr>
          <w:trHeight w:val="576"/>
          <w:jc w:val="center"/>
        </w:trPr>
        <w:tc>
          <w:tcPr>
            <w:tcW w:w="9350" w:type="dxa"/>
          </w:tcPr>
          <w:p w14:paraId="3803695B" w14:textId="77777777" w:rsidR="007962C7" w:rsidRPr="0053240B" w:rsidRDefault="007962C7" w:rsidP="00D7294A">
            <w:pPr>
              <w:keepNext/>
              <w:tabs>
                <w:tab w:val="left" w:pos="158"/>
              </w:tabs>
              <w:rPr>
                <w:rFonts w:ascii="Calibri" w:eastAsia="Calibri" w:hAnsi="Calibri" w:cs="Arial"/>
                <w:b/>
                <w:bCs/>
                <w:sz w:val="18"/>
              </w:rPr>
            </w:pPr>
            <w:r>
              <w:rPr>
                <w:rFonts w:ascii="Calibri" w:eastAsia="Calibri" w:hAnsi="Calibri" w:cs="Arial"/>
                <w:b/>
                <w:bCs/>
                <w:noProof/>
                <w:sz w:val="18"/>
                <w:lang w:val="en-US" w:eastAsia="zh-CN" w:bidi="ar-SA"/>
              </w:rPr>
              <w:lastRenderedPageBreak/>
              <mc:AlternateContent>
                <mc:Choice Requires="wps">
                  <w:drawing>
                    <wp:anchor distT="45720" distB="45720" distL="114300" distR="114300" simplePos="0" relativeHeight="251660800" behindDoc="0" locked="0" layoutInCell="1" allowOverlap="1" wp14:anchorId="4984869F" wp14:editId="1C72E0B8">
                      <wp:simplePos x="0" y="0"/>
                      <wp:positionH relativeFrom="column">
                        <wp:posOffset>3550219</wp:posOffset>
                      </wp:positionH>
                      <wp:positionV relativeFrom="paragraph">
                        <wp:posOffset>145158</wp:posOffset>
                      </wp:positionV>
                      <wp:extent cx="1962150" cy="1282123"/>
                      <wp:effectExtent l="0" t="0" r="19050" b="133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1282123"/>
                              </a:xfrm>
                              <a:prstGeom prst="rect">
                                <a:avLst/>
                              </a:prstGeom>
                              <a:solidFill>
                                <a:srgbClr val="0072C6"/>
                              </a:solidFill>
                              <a:ln w="9525">
                                <a:solidFill>
                                  <a:srgbClr val="000000"/>
                                </a:solidFill>
                                <a:miter lim="800000"/>
                                <a:headEnd/>
                                <a:tailEnd/>
                              </a:ln>
                            </wps:spPr>
                            <wps:txbx>
                              <w:txbxContent>
                                <w:p w14:paraId="3126BF55" w14:textId="77777777" w:rsidR="00D7294A" w:rsidRPr="00E41F5B" w:rsidRDefault="00D7294A" w:rsidP="007962C7">
                                  <w:pPr>
                                    <w:tabs>
                                      <w:tab w:val="left" w:pos="158"/>
                                    </w:tabs>
                                    <w:spacing w:after="120" w:line="228" w:lineRule="auto"/>
                                    <w:jc w:val="center"/>
                                    <w:rPr>
                                      <w:rFonts w:ascii="Calibri" w:eastAsia="Calibri" w:hAnsi="Calibri" w:cs="Arial"/>
                                      <w:b/>
                                      <w:bCs/>
                                      <w:color w:val="FFFFFF" w:themeColor="background1"/>
                                      <w:sz w:val="18"/>
                                      <w:szCs w:val="21"/>
                                    </w:rPr>
                                  </w:pPr>
                                </w:p>
                                <w:p w14:paraId="3686EB8F" w14:textId="77777777" w:rsidR="00D7294A" w:rsidRDefault="00D7294A" w:rsidP="007962C7">
                                  <w:pPr>
                                    <w:tabs>
                                      <w:tab w:val="left" w:pos="158"/>
                                    </w:tabs>
                                    <w:spacing w:after="120" w:line="228" w:lineRule="auto"/>
                                    <w:jc w:val="center"/>
                                    <w:rPr>
                                      <w:rFonts w:ascii="Calibri" w:eastAsia="Calibri" w:hAnsi="Calibri" w:cs="Arial"/>
                                      <w:b/>
                                      <w:bCs/>
                                      <w:color w:val="FFFFFF" w:themeColor="background1"/>
                                      <w:sz w:val="18"/>
                                    </w:rPr>
                                  </w:pPr>
                                  <w:r>
                                    <w:rPr>
                                      <w:rFonts w:ascii="Calibri" w:eastAsia="Calibri" w:hAnsi="Calibri" w:cs="Arial"/>
                                      <w:b/>
                                      <w:bCs/>
                                      <w:color w:val="FFFFFF" w:themeColor="background1"/>
                                      <w:sz w:val="18"/>
                                    </w:rPr>
                                    <w:t>Лични данни</w:t>
                                  </w:r>
                                </w:p>
                                <w:p w14:paraId="710791F5" w14:textId="77777777" w:rsidR="00D7294A" w:rsidRPr="00ED30EE" w:rsidRDefault="00D7294A" w:rsidP="007962C7">
                                  <w:pPr>
                                    <w:tabs>
                                      <w:tab w:val="left" w:pos="158"/>
                                    </w:tabs>
                                    <w:spacing w:after="120" w:line="228" w:lineRule="auto"/>
                                    <w:jc w:val="center"/>
                                    <w:rPr>
                                      <w:rFonts w:ascii="Calibri" w:eastAsia="Calibri" w:hAnsi="Calibri" w:cs="Arial"/>
                                      <w:b/>
                                      <w:bCs/>
                                      <w:color w:val="FFFFFF" w:themeColor="background1"/>
                                      <w:sz w:val="10"/>
                                      <w:szCs w:val="14"/>
                                    </w:rPr>
                                  </w:pPr>
                                </w:p>
                                <w:p w14:paraId="4A774902" w14:textId="77777777" w:rsidR="00D7294A" w:rsidRPr="0053240B" w:rsidRDefault="00D7294A" w:rsidP="007962C7">
                                  <w:pPr>
                                    <w:tabs>
                                      <w:tab w:val="left" w:pos="158"/>
                                    </w:tabs>
                                    <w:spacing w:after="60" w:line="228" w:lineRule="auto"/>
                                    <w:ind w:right="-57"/>
                                    <w:jc w:val="center"/>
                                    <w:rPr>
                                      <w:rFonts w:ascii="Calibri" w:eastAsia="Calibri" w:hAnsi="Calibri" w:cs="Arial"/>
                                      <w:color w:val="FFFFFF" w:themeColor="background1"/>
                                      <w:sz w:val="18"/>
                                    </w:rPr>
                                  </w:pPr>
                                  <w:r>
                                    <w:rPr>
                                      <w:rFonts w:ascii="Calibri" w:eastAsia="Calibri" w:hAnsi="Calibri" w:cs="Arial"/>
                                      <w:color w:val="FFFFFF" w:themeColor="background1"/>
                                      <w:sz w:val="18"/>
                                    </w:rPr>
                                    <w:t>(„информация, свързана с</w:t>
                                  </w:r>
                                  <w:r>
                                    <w:rPr>
                                      <w:rFonts w:ascii="Calibri" w:eastAsia="Calibri" w:hAnsi="Calibri" w:cs="Arial"/>
                                      <w:color w:val="FFFFFF" w:themeColor="background1"/>
                                      <w:sz w:val="18"/>
                                      <w:lang w:val="en-US"/>
                                    </w:rPr>
                                    <w:t> </w:t>
                                  </w:r>
                                  <w:r>
                                    <w:rPr>
                                      <w:rFonts w:ascii="Calibri" w:eastAsia="Calibri" w:hAnsi="Calibri" w:cs="Arial"/>
                                      <w:color w:val="FFFFFF" w:themeColor="background1"/>
                                      <w:sz w:val="18"/>
                                    </w:rPr>
                                    <w:t>идентифицирано физическо лице или физическо лице, което може да бъде идентифицирано“)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84869F" id="_x0000_t202" coordsize="21600,21600" o:spt="202" path="m,l,21600r21600,l21600,xe">
                      <v:stroke joinstyle="miter"/>
                      <v:path gradientshapeok="t" o:connecttype="rect"/>
                    </v:shapetype>
                    <v:shape id="Text Box 2" o:spid="_x0000_s1026" type="#_x0000_t202" style="position:absolute;margin-left:279.55pt;margin-top:11.45pt;width:154.5pt;height:100.9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" fillcolor="#0072c6">
                      <v:textbox>
                        <w:txbxContent>
                          <w:p w14:paraId="3126BF55" w14:textId="77777777" w:rsidR="00D7294A" w:rsidRPr="00E41F5B" w:rsidRDefault="00D7294A" w:rsidP="007962C7">
                            <w:pPr>
                              <w:tabs>
                                <w:tab w:val="left" w:pos="158"/>
                              </w:tabs>
                              <w:spacing w:after="120" w:line="228" w:lineRule="auto"/>
                              <w:jc w:val="center"/>
                              <w:rPr>
                                <w:rFonts w:ascii="Calibri" w:eastAsia="Calibri" w:hAnsi="Calibri" w:cs="Arial"/>
                                <w:b/>
                                <w:bCs/>
                                <w:color w:val="FFFFFF" w:themeColor="background1"/>
                                <w:sz w:val="18"/>
                                <w:szCs w:val="21"/>
                              </w:rPr>
                            </w:pPr>
                          </w:p>
                          <w:p w14:paraId="3686EB8F" w14:textId="77777777" w:rsidR="00D7294A" w:rsidRDefault="00D7294A" w:rsidP="007962C7">
                            <w:pPr>
                              <w:tabs>
                                <w:tab w:val="left" w:pos="158"/>
                              </w:tabs>
                              <w:spacing w:after="120" w:line="228" w:lineRule="auto"/>
                              <w:jc w:val="center"/>
                              <w:rPr>
                                <w:rFonts w:ascii="Calibri" w:eastAsia="Calibri" w:hAnsi="Calibri" w:cs="Arial"/>
                                <w:b/>
                                <w:bCs/>
                                <w:color w:val="FFFFFF" w:themeColor="background1"/>
                                <w:sz w:val="18"/>
                              </w:rPr>
                            </w:pPr>
                            <w:r>
                              <w:rPr>
                                <w:rFonts w:ascii="Calibri" w:eastAsia="Calibri" w:hAnsi="Calibri" w:cs="Arial"/>
                                <w:b/>
                                <w:bCs/>
                                <w:color w:val="FFFFFF" w:themeColor="background1"/>
                                <w:sz w:val="18"/>
                              </w:rPr>
                              <w:t>Лични данни</w:t>
                            </w:r>
                          </w:p>
                          <w:p w14:paraId="710791F5" w14:textId="77777777" w:rsidR="00D7294A" w:rsidRPr="00ED30EE" w:rsidRDefault="00D7294A" w:rsidP="007962C7">
                            <w:pPr>
                              <w:tabs>
                                <w:tab w:val="left" w:pos="158"/>
                              </w:tabs>
                              <w:spacing w:after="120" w:line="228" w:lineRule="auto"/>
                              <w:jc w:val="center"/>
                              <w:rPr>
                                <w:rFonts w:ascii="Calibri" w:eastAsia="Calibri" w:hAnsi="Calibri" w:cs="Arial"/>
                                <w:b/>
                                <w:bCs/>
                                <w:color w:val="FFFFFF" w:themeColor="background1"/>
                                <w:sz w:val="10"/>
                                <w:szCs w:val="14"/>
                              </w:rPr>
                            </w:pPr>
                          </w:p>
                          <w:p w14:paraId="4A774902" w14:textId="77777777" w:rsidR="00D7294A" w:rsidRPr="0053240B" w:rsidRDefault="00D7294A" w:rsidP="007962C7">
                            <w:pPr>
                              <w:tabs>
                                <w:tab w:val="left" w:pos="158"/>
                              </w:tabs>
                              <w:spacing w:after="60" w:line="228" w:lineRule="auto"/>
                              <w:ind w:right="-57"/>
                              <w:jc w:val="center"/>
                              <w:rPr>
                                <w:rFonts w:ascii="Calibri" w:eastAsia="Calibri" w:hAnsi="Calibri" w:cs="Arial"/>
                                <w:color w:val="FFFFFF" w:themeColor="background1"/>
                                <w:sz w:val="18"/>
                              </w:rPr>
                            </w:pPr>
                            <w:r>
                              <w:rPr>
                                <w:rFonts w:ascii="Calibri" w:eastAsia="Calibri" w:hAnsi="Calibri" w:cs="Arial"/>
                                <w:color w:val="FFFFFF" w:themeColor="background1"/>
                                <w:sz w:val="18"/>
                              </w:rPr>
                              <w:t>(„информация, свързана с</w:t>
                            </w:r>
                            <w:r>
                              <w:rPr>
                                <w:rFonts w:ascii="Calibri" w:eastAsia="Calibri" w:hAnsi="Calibri" w:cs="Arial"/>
                                <w:color w:val="FFFFFF" w:themeColor="background1"/>
                                <w:sz w:val="18"/>
                                <w:lang w:val="en-US"/>
                              </w:rPr>
                              <w:t> </w:t>
                            </w:r>
                            <w:r>
                              <w:rPr>
                                <w:rFonts w:ascii="Calibri" w:eastAsia="Calibri" w:hAnsi="Calibri" w:cs="Arial"/>
                                <w:color w:val="FFFFFF" w:themeColor="background1"/>
                                <w:sz w:val="18"/>
                              </w:rPr>
                              <w:t>идентифицирано физическо лице или физическо лице, което може да бъде идентифицирано“)</w:t>
                            </w:r>
                          </w:p>
                        </w:txbxContent>
                      </v:textbox>
                    </v:shape>
                  </w:pict>
                </mc:Fallback>
              </mc:AlternateContent>
            </w:r>
            <w:r>
              <w:rPr>
                <w:rFonts w:ascii="Calibri" w:eastAsia="Calibri" w:hAnsi="Calibri" w:cs="Arial"/>
                <w:b/>
                <w:bCs/>
                <w:sz w:val="18"/>
              </w:rPr>
              <w:t>Клиентски данни</w:t>
            </w:r>
          </w:p>
          <w:p w14:paraId="75ED8DAA" w14:textId="77777777" w:rsidR="007962C7" w:rsidRPr="0053240B" w:rsidRDefault="007962C7" w:rsidP="00D7294A">
            <w:pPr>
              <w:keepNext/>
              <w:tabs>
                <w:tab w:val="left" w:pos="158"/>
              </w:tabs>
              <w:rPr>
                <w:rFonts w:ascii="Calibri" w:eastAsia="Calibri" w:hAnsi="Calibri" w:cs="Arial"/>
                <w:sz w:val="18"/>
              </w:rPr>
            </w:pPr>
            <w:r>
              <w:rPr>
                <w:rFonts w:ascii="Calibri" w:eastAsia="Calibri" w:hAnsi="Calibri" w:cs="Arial"/>
                <w:sz w:val="18"/>
              </w:rPr>
              <w:t>(„предоставени“ от Клиента)</w:t>
            </w:r>
          </w:p>
        </w:tc>
      </w:tr>
      <w:tr w:rsidR="007962C7" w:rsidRPr="0053240B" w14:paraId="4595DFD8" w14:textId="77777777" w:rsidTr="00D7294A">
        <w:trPr>
          <w:trHeight w:val="576"/>
          <w:jc w:val="center"/>
        </w:trPr>
        <w:tc>
          <w:tcPr>
            <w:tcW w:w="9350" w:type="dxa"/>
          </w:tcPr>
          <w:p w14:paraId="5845C9FB" w14:textId="77777777" w:rsidR="007962C7" w:rsidRPr="0053240B" w:rsidRDefault="007962C7" w:rsidP="00D7294A">
            <w:pPr>
              <w:keepNext/>
              <w:tabs>
                <w:tab w:val="left" w:pos="158"/>
              </w:tabs>
              <w:rPr>
                <w:rFonts w:ascii="Calibri" w:eastAsia="Calibri" w:hAnsi="Calibri" w:cs="Arial"/>
                <w:b/>
                <w:bCs/>
                <w:sz w:val="18"/>
              </w:rPr>
            </w:pPr>
            <w:r>
              <w:rPr>
                <w:rFonts w:ascii="Calibri" w:eastAsia="Calibri" w:hAnsi="Calibri" w:cs="Arial"/>
                <w:b/>
                <w:bCs/>
                <w:sz w:val="18"/>
              </w:rPr>
              <w:t>Диагностични данни</w:t>
            </w:r>
          </w:p>
          <w:p w14:paraId="08627E59" w14:textId="77777777" w:rsidR="007962C7" w:rsidRPr="0053240B" w:rsidRDefault="007962C7" w:rsidP="00D7294A">
            <w:pPr>
              <w:keepNext/>
              <w:tabs>
                <w:tab w:val="left" w:pos="158"/>
              </w:tabs>
              <w:rPr>
                <w:rFonts w:ascii="Calibri" w:eastAsia="Calibri" w:hAnsi="Calibri" w:cs="Arial"/>
                <w:sz w:val="18"/>
              </w:rPr>
            </w:pPr>
            <w:r>
              <w:rPr>
                <w:rFonts w:ascii="Calibri" w:eastAsia="Calibri" w:hAnsi="Calibri" w:cs="Arial"/>
                <w:sz w:val="18"/>
              </w:rPr>
              <w:t>(„събрани“ или „получени“ от софтуер, инсталиран локално от Клиента)</w:t>
            </w:r>
          </w:p>
        </w:tc>
      </w:tr>
      <w:tr w:rsidR="007962C7" w:rsidRPr="0053240B" w14:paraId="79DC0E08" w14:textId="77777777" w:rsidTr="00D7294A">
        <w:trPr>
          <w:trHeight w:val="576"/>
          <w:jc w:val="center"/>
        </w:trPr>
        <w:tc>
          <w:tcPr>
            <w:tcW w:w="9350" w:type="dxa"/>
          </w:tcPr>
          <w:p w14:paraId="21B92E33" w14:textId="77777777" w:rsidR="007962C7" w:rsidRPr="0053240B" w:rsidRDefault="007962C7" w:rsidP="00D7294A">
            <w:pPr>
              <w:keepNext/>
              <w:tabs>
                <w:tab w:val="left" w:pos="158"/>
              </w:tabs>
              <w:rPr>
                <w:rFonts w:ascii="Calibri" w:eastAsia="Calibri" w:hAnsi="Calibri" w:cs="Arial"/>
                <w:b/>
                <w:bCs/>
                <w:sz w:val="18"/>
              </w:rPr>
            </w:pPr>
            <w:r>
              <w:rPr>
                <w:rFonts w:ascii="Calibri" w:eastAsia="Calibri" w:hAnsi="Calibri" w:cs="Arial"/>
                <w:b/>
                <w:bCs/>
                <w:sz w:val="18"/>
              </w:rPr>
              <w:t>Данни, генерирани от услуги</w:t>
            </w:r>
          </w:p>
          <w:p w14:paraId="582E0E00" w14:textId="77777777" w:rsidR="007962C7" w:rsidRPr="0053240B" w:rsidRDefault="007962C7" w:rsidP="00D7294A">
            <w:pPr>
              <w:keepNext/>
              <w:tabs>
                <w:tab w:val="left" w:pos="158"/>
              </w:tabs>
              <w:rPr>
                <w:rFonts w:ascii="Calibri" w:eastAsia="Calibri" w:hAnsi="Calibri" w:cs="Arial"/>
                <w:sz w:val="18"/>
              </w:rPr>
            </w:pPr>
            <w:r>
              <w:rPr>
                <w:rFonts w:ascii="Calibri" w:eastAsia="Calibri" w:hAnsi="Calibri" w:cs="Arial"/>
                <w:sz w:val="18"/>
              </w:rPr>
              <w:t>(„генерирани“ или „извлечени“ от Microsoft)</w:t>
            </w:r>
          </w:p>
        </w:tc>
      </w:tr>
      <w:tr w:rsidR="007962C7" w:rsidRPr="0053240B" w14:paraId="7E330462" w14:textId="77777777" w:rsidTr="00F402FE">
        <w:trPr>
          <w:trHeight w:val="1214"/>
          <w:jc w:val="center"/>
        </w:trPr>
        <w:tc>
          <w:tcPr>
            <w:tcW w:w="9350" w:type="dxa"/>
          </w:tcPr>
          <w:p w14:paraId="0A1348AA" w14:textId="20C72549" w:rsidR="007962C7" w:rsidRPr="0053240B" w:rsidRDefault="00F402FE" w:rsidP="00D7294A">
            <w:pPr>
              <w:keepNext/>
              <w:tabs>
                <w:tab w:val="left" w:pos="158"/>
              </w:tabs>
              <w:rPr>
                <w:rFonts w:ascii="Calibri" w:eastAsia="Calibri" w:hAnsi="Calibri" w:cs="Arial"/>
                <w:b/>
                <w:bCs/>
                <w:sz w:val="18"/>
              </w:rPr>
            </w:pPr>
            <w:r>
              <w:rPr>
                <w:rFonts w:ascii="Calibri" w:eastAsia="Calibri" w:hAnsi="Calibri" w:cs="Arial"/>
                <w:b/>
                <w:bCs/>
                <w:noProof/>
                <w:sz w:val="18"/>
                <w:lang w:val="en-US" w:eastAsia="zh-CN" w:bidi="ar-SA"/>
              </w:rPr>
              <mc:AlternateContent>
                <mc:Choice Requires="wps">
                  <w:drawing>
                    <wp:anchor distT="45720" distB="45720" distL="114300" distR="114300" simplePos="0" relativeHeight="251655680" behindDoc="0" locked="0" layoutInCell="1" allowOverlap="1" wp14:anchorId="72D817D9" wp14:editId="238AD7B0">
                      <wp:simplePos x="0" y="0"/>
                      <wp:positionH relativeFrom="column">
                        <wp:posOffset>2018030</wp:posOffset>
                      </wp:positionH>
                      <wp:positionV relativeFrom="paragraph">
                        <wp:posOffset>144780</wp:posOffset>
                      </wp:positionV>
                      <wp:extent cx="3646805" cy="525780"/>
                      <wp:effectExtent l="0" t="0" r="1079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6805" cy="525780"/>
                              </a:xfrm>
                              <a:prstGeom prst="rect">
                                <a:avLst/>
                              </a:prstGeom>
                              <a:solidFill>
                                <a:srgbClr val="FFFFFF"/>
                              </a:solidFill>
                              <a:ln w="9525">
                                <a:solidFill>
                                  <a:srgbClr val="000000"/>
                                </a:solidFill>
                                <a:miter lim="800000"/>
                                <a:headEnd/>
                                <a:tailEnd/>
                              </a:ln>
                            </wps:spPr>
                            <wps:txbx>
                              <w:txbxContent>
                                <w:p w14:paraId="6140352D" w14:textId="77777777" w:rsidR="00D7294A" w:rsidRPr="0053240B" w:rsidRDefault="00D7294A" w:rsidP="007962C7">
                                  <w:pPr>
                                    <w:tabs>
                                      <w:tab w:val="left" w:pos="158"/>
                                    </w:tabs>
                                    <w:spacing w:after="0" w:line="240" w:lineRule="auto"/>
                                    <w:rPr>
                                      <w:rFonts w:ascii="Calibri" w:eastAsia="Calibri" w:hAnsi="Calibri" w:cs="Arial"/>
                                      <w:b/>
                                      <w:bCs/>
                                      <w:sz w:val="18"/>
                                    </w:rPr>
                                  </w:pPr>
                                  <w:r>
                                    <w:rPr>
                                      <w:rFonts w:ascii="Calibri" w:eastAsia="Calibri" w:hAnsi="Calibri" w:cs="Arial"/>
                                      <w:b/>
                                      <w:bCs/>
                                      <w:sz w:val="18"/>
                                    </w:rPr>
                                    <w:t>Данни за поддръжка</w:t>
                                  </w:r>
                                </w:p>
                                <w:p w14:paraId="7744DF07" w14:textId="77777777" w:rsidR="00D7294A" w:rsidRPr="0053240B" w:rsidRDefault="00D7294A" w:rsidP="007962C7">
                                  <w:pPr>
                                    <w:tabs>
                                      <w:tab w:val="left" w:pos="158"/>
                                    </w:tabs>
                                    <w:spacing w:after="0" w:line="240" w:lineRule="auto"/>
                                    <w:rPr>
                                      <w:rFonts w:ascii="Calibri" w:eastAsia="Calibri" w:hAnsi="Calibri" w:cs="Arial"/>
                                      <w:sz w:val="18"/>
                                    </w:rPr>
                                  </w:pPr>
                                  <w:r>
                                    <w:rPr>
                                      <w:rFonts w:ascii="Calibri" w:eastAsia="Calibri" w:hAnsi="Calibri" w:cs="Arial"/>
                                      <w:sz w:val="18"/>
                                    </w:rPr>
                                    <w:t>(„предоставени“ от Клиента във връзка с техническа поддръжка)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D817D9" id="_x0000_s1027" type="#_x0000_t202" style="position:absolute;margin-left:158.9pt;margin-top:11.4pt;width:287.15pt;height:41.4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">
                      <v:textbox>
                        <w:txbxContent>
                          <w:p w14:paraId="6140352D" w14:textId="77777777" w:rsidR="00D7294A" w:rsidRPr="0053240B" w:rsidRDefault="00D7294A" w:rsidP="007962C7">
                            <w:pPr>
                              <w:tabs>
                                <w:tab w:val="left" w:pos="158"/>
                              </w:tabs>
                              <w:spacing w:after="0" w:line="240" w:lineRule="auto"/>
                              <w:rPr>
                                <w:rFonts w:ascii="Calibri" w:eastAsia="Calibri" w:hAnsi="Calibri" w:cs="Arial"/>
                                <w:b/>
                                <w:bCs/>
                                <w:sz w:val="18"/>
                              </w:rPr>
                            </w:pPr>
                            <w:r>
                              <w:rPr>
                                <w:rFonts w:ascii="Calibri" w:eastAsia="Calibri" w:hAnsi="Calibri" w:cs="Arial"/>
                                <w:b/>
                                <w:bCs/>
                                <w:sz w:val="18"/>
                              </w:rPr>
                              <w:t>Данни за поддръжка</w:t>
                            </w:r>
                          </w:p>
                          <w:p w14:paraId="7744DF07" w14:textId="77777777" w:rsidR="00D7294A" w:rsidRPr="0053240B" w:rsidRDefault="00D7294A" w:rsidP="007962C7">
                            <w:pPr>
                              <w:tabs>
                                <w:tab w:val="left" w:pos="158"/>
                              </w:tabs>
                              <w:spacing w:after="0" w:line="240" w:lineRule="auto"/>
                              <w:rPr>
                                <w:rFonts w:ascii="Calibri" w:eastAsia="Calibri" w:hAnsi="Calibri" w:cs="Arial"/>
                                <w:sz w:val="18"/>
                              </w:rPr>
                            </w:pPr>
                            <w:r>
                              <w:rPr>
                                <w:rFonts w:ascii="Calibri" w:eastAsia="Calibri" w:hAnsi="Calibri" w:cs="Arial"/>
                                <w:sz w:val="18"/>
                              </w:rPr>
                              <w:t>(„предоставени“ от Клиента във връзка с техническа поддръжка)</w:t>
                            </w:r>
                          </w:p>
                        </w:txbxContent>
                      </v:textbox>
                      <w10:wrap type="square"/>
                    </v:shape>
                  </w:pict>
                </mc:Fallback>
              </mc:AlternateContent>
            </w:r>
            <w:r w:rsidR="007962C7">
              <w:rPr>
                <w:rFonts w:ascii="Calibri" w:eastAsia="Calibri" w:hAnsi="Calibri" w:cs="Arial"/>
                <w:b/>
                <w:bCs/>
                <w:sz w:val="18"/>
              </w:rPr>
              <w:t>Данни за Професионални услуги</w:t>
            </w:r>
          </w:p>
          <w:p w14:paraId="20D749B2" w14:textId="5896805C" w:rsidR="007962C7" w:rsidRPr="0053240B" w:rsidRDefault="007962C7" w:rsidP="00D7294A">
            <w:pPr>
              <w:keepNext/>
              <w:tabs>
                <w:tab w:val="left" w:pos="158"/>
              </w:tabs>
              <w:rPr>
                <w:rFonts w:ascii="Calibri" w:eastAsia="Calibri" w:hAnsi="Calibri" w:cs="Arial"/>
                <w:sz w:val="18"/>
              </w:rPr>
            </w:pPr>
            <w:r>
              <w:rPr>
                <w:rFonts w:ascii="Calibri" w:eastAsia="Calibri" w:hAnsi="Calibri" w:cs="Arial"/>
                <w:sz w:val="18"/>
              </w:rPr>
              <w:t>(„предоставени“ от Клиента във връзка с</w:t>
            </w:r>
            <w:r>
              <w:rPr>
                <w:rFonts w:ascii="Calibri" w:eastAsia="Calibri" w:hAnsi="Calibri" w:cs="Arial"/>
                <w:sz w:val="18"/>
                <w:lang w:val="en-US"/>
              </w:rPr>
              <w:t> </w:t>
            </w:r>
            <w:r>
              <w:rPr>
                <w:rFonts w:ascii="Calibri" w:eastAsia="Calibri" w:hAnsi="Calibri" w:cs="Arial"/>
                <w:sz w:val="18"/>
              </w:rPr>
              <w:t>Професионални услуги)</w:t>
            </w:r>
          </w:p>
        </w:tc>
      </w:tr>
    </w:tbl>
    <w:p w14:paraId="4606EB99" w14:textId="2CCDE278" w:rsidR="007962C7" w:rsidRPr="00097CE0" w:rsidRDefault="007962C7" w:rsidP="007962C7">
      <w:pPr>
        <w:pStyle w:val="ProductList-Body"/>
        <w:spacing w:before="120" w:after="120"/>
      </w:pPr>
      <w:r>
        <w:t>По-горе са представени визуално типовете данни, дефинирани в DPA. Всички Лични данни се обработват като част от един или друг тип данни (като всички те включват и нелични данни). Данните за поддръжка са поднабор от Данните за Професионални услуги. Условията на</w:t>
      </w:r>
      <w:r w:rsidRPr="00D96637">
        <w:t xml:space="preserve"> </w:t>
      </w:r>
      <w:r>
        <w:t>DPA са насочени към Клиентските данни и Личните данни (с Данните за Професионални услуги, включващи Данните за поддръжка и</w:t>
      </w:r>
      <w:r w:rsidRPr="00D96637">
        <w:t xml:space="preserve"> </w:t>
      </w:r>
      <w:r>
        <w:t>Личните данни в Данните за Професионални услуги и Данните за поддръжка, обхванати в Приложение 1).</w:t>
      </w:r>
    </w:p>
    <w:p w14:paraId="510359B2" w14:textId="27A0D7D7" w:rsidR="0074788A" w:rsidRPr="00097CE0" w:rsidRDefault="00D7294A" w:rsidP="0074788A">
      <w:pPr>
        <w:pStyle w:val="ProductList-Body"/>
        <w:shd w:val="clear" w:color="auto" w:fill="A6A6A6" w:themeFill="background1" w:themeFillShade="A6"/>
        <w:spacing w:after="120"/>
        <w:jc w:val="right"/>
      </w:pPr>
      <w:hyperlink w:anchor="Съдържание" w:tooltip="Съдържание" w:history="1">
        <w:r w:rsidR="00CE74B9">
          <w:rPr>
            <w:rStyle w:val="Hyperlink"/>
            <w:sz w:val="16"/>
            <w:szCs w:val="16"/>
          </w:rPr>
          <w:t>Съдържание</w:t>
        </w:r>
      </w:hyperlink>
      <w:r w:rsidR="00CE74B9">
        <w:rPr>
          <w:sz w:val="16"/>
          <w:szCs w:val="16"/>
        </w:rPr>
        <w:t>/</w:t>
      </w:r>
      <w:hyperlink w:anchor="GeneralTerms" w:tooltip="Общи условия" w:history="1">
        <w:r w:rsidR="00CE74B9">
          <w:rPr>
            <w:rStyle w:val="Hyperlink"/>
            <w:sz w:val="16"/>
            <w:szCs w:val="16"/>
          </w:rPr>
          <w:t>Общи условия</w:t>
        </w:r>
      </w:hyperlink>
    </w:p>
    <w:p w14:paraId="77C9E5E9" w14:textId="77777777" w:rsidR="00253BA3" w:rsidRPr="00097CE0" w:rsidRDefault="00253BA3" w:rsidP="007829B6">
      <w:pPr>
        <w:spacing w:after="120"/>
      </w:pPr>
      <w:r>
        <w:br w:type="page"/>
      </w:r>
    </w:p>
    <w:p w14:paraId="67553494" w14:textId="77777777" w:rsidR="009776B9" w:rsidRPr="00097CE0" w:rsidRDefault="009776B9" w:rsidP="007829B6">
      <w:pPr>
        <w:pStyle w:val="ProductList-SectionHeading"/>
        <w:keepNext/>
        <w:spacing w:after="120"/>
        <w:outlineLvl w:val="0"/>
      </w:pPr>
      <w:bookmarkStart w:id="33" w:name="_Toc507768538"/>
      <w:bookmarkStart w:id="34" w:name="_Toc6563787"/>
      <w:bookmarkStart w:id="35" w:name="_Toc26883660"/>
      <w:bookmarkStart w:id="36" w:name="GeneralTerms"/>
      <w:bookmarkStart w:id="37" w:name="_Toc61437064"/>
      <w:r>
        <w:lastRenderedPageBreak/>
        <w:t>Общи условия</w:t>
      </w:r>
      <w:bookmarkEnd w:id="33"/>
      <w:bookmarkEnd w:id="34"/>
      <w:bookmarkEnd w:id="35"/>
      <w:bookmarkEnd w:id="37"/>
    </w:p>
    <w:p w14:paraId="4ACEFAAA" w14:textId="0B495828" w:rsidR="009776B9" w:rsidRPr="00097CE0" w:rsidRDefault="008D5114" w:rsidP="007829B6">
      <w:pPr>
        <w:pStyle w:val="ProductList-SubSubSectionHeading"/>
        <w:spacing w:after="120"/>
        <w:outlineLvl w:val="1"/>
      </w:pPr>
      <w:bookmarkStart w:id="38" w:name="_Toc61437065"/>
      <w:bookmarkEnd w:id="36"/>
      <w:r>
        <w:t>Съответствие със законите</w:t>
      </w:r>
      <w:bookmarkEnd w:id="38"/>
    </w:p>
    <w:p w14:paraId="509F82CC" w14:textId="77777777" w:rsidR="00BA0FD4" w:rsidRPr="00097CE0" w:rsidRDefault="00BA0FD4" w:rsidP="007829B6">
      <w:pPr>
        <w:pStyle w:val="ProductList-Body"/>
        <w:spacing w:after="120"/>
      </w:pPr>
      <w:r>
        <w:t>Microsoft ще спазва всички закони и наредби, приложими за предоставянето на Онлайн услугите, включително приложимото законодателство за уведомяване за нарушения в сигурността и изискванията за защита на данните. Въпреки това Microsoft не носи отговорност за спазването на каквито и да е закони или разпоредби, приложими за Клиента или неговия отрасъл, които не са общоприложими за доставчиците на услуги за информационни технологии. Microsoft не определя дали Данните на клиента включват информация, която да е обект на определен закон или наредба. Всички Пробиви в защитата са обект на условията на Уведомяване за пробив в защитата по-долу.</w:t>
      </w:r>
    </w:p>
    <w:p w14:paraId="7D4647F5" w14:textId="77777777" w:rsidR="00BA0FD4" w:rsidRPr="00097CE0" w:rsidRDefault="00BA0FD4" w:rsidP="007829B6">
      <w:pPr>
        <w:pStyle w:val="ProductList-Body"/>
        <w:spacing w:after="120"/>
      </w:pPr>
      <w:r>
        <w:t>Клиентът трябва да спазва всички приложими закони и наредби относно използването на Онлайн услуги от негова страна, включително законите във връзка с биометричните данни, поверителността на комуникациите и изискванията за защита на данните. Клиентът носи отговорност за определяне дали Онлайн услугите са подходящи за съхранение и обработване на информация, обект на даден закон или наредба, както и за използването на Онлайн услугите по начин, който съответства на правните и законови задължения на Клиента. Клиентът носи отговорност за отговаряне на заявки от трети лица, свързани с използването на дадена Онлайн услуга от страна на Клиента, като например заявка за сваляне на съдържание съгласно Закона за авторското право в цифровата епоха на САЩ (U.S. Digital Millennium Copyright Act) или друго приложимо право.</w:t>
      </w:r>
    </w:p>
    <w:p w14:paraId="03F42A6D" w14:textId="77777777" w:rsidR="007962C7" w:rsidRDefault="007962C7" w:rsidP="007962C7">
      <w:pPr>
        <w:pStyle w:val="ProductList-SectionHeading"/>
        <w:spacing w:after="120"/>
        <w:outlineLvl w:val="0"/>
      </w:pPr>
      <w:bookmarkStart w:id="39" w:name="OnlineServiceSpecificTerms"/>
      <w:bookmarkStart w:id="40" w:name="_Toc6563813"/>
      <w:bookmarkStart w:id="41" w:name="_Toc26883688"/>
      <w:bookmarkStart w:id="42" w:name="_Toc42764834"/>
      <w:bookmarkStart w:id="43" w:name="DatProtectionTerms"/>
      <w:bookmarkStart w:id="44" w:name="_Toc61437066"/>
      <w:r>
        <w:t>Условия за защита на данните</w:t>
      </w:r>
      <w:bookmarkEnd w:id="39"/>
      <w:bookmarkEnd w:id="40"/>
      <w:bookmarkEnd w:id="41"/>
      <w:bookmarkEnd w:id="42"/>
      <w:bookmarkEnd w:id="44"/>
    </w:p>
    <w:bookmarkEnd w:id="43"/>
    <w:p w14:paraId="490C49F3" w14:textId="77777777" w:rsidR="007962C7" w:rsidRPr="001C2724" w:rsidRDefault="007962C7" w:rsidP="007962C7">
      <w:pPr>
        <w:pStyle w:val="ProductList-Body"/>
        <w:spacing w:after="120"/>
      </w:pPr>
      <w:r>
        <w:t>Настоящият раздел от DPA включва следните подраздели:</w:t>
      </w:r>
    </w:p>
    <w:p w14:paraId="777DCB83" w14:textId="77777777" w:rsidR="007962C7" w:rsidRPr="001C2724" w:rsidRDefault="007962C7" w:rsidP="007962C7">
      <w:pPr>
        <w:pStyle w:val="ProductList-Body"/>
        <w:numPr>
          <w:ilvl w:val="0"/>
          <w:numId w:val="5"/>
        </w:numPr>
        <w:spacing w:after="120"/>
        <w:sectPr w:rsidR="007962C7" w:rsidRPr="001C2724" w:rsidSect="007962C7">
          <w:footerReference w:type="default" r:id="rId17"/>
          <w:footerReference w:type="first" r:id="rId18"/>
          <w:pgSz w:w="12240" w:h="15840"/>
          <w:pgMar w:top="720" w:right="720" w:bottom="720" w:left="720" w:header="720" w:footer="720" w:gutter="0"/>
          <w:cols w:space="720"/>
          <w:titlePg/>
          <w:docGrid w:linePitch="360"/>
        </w:sectPr>
      </w:pPr>
    </w:p>
    <w:p w14:paraId="2FF5516F" w14:textId="77777777" w:rsidR="007962C7" w:rsidRPr="001C2724" w:rsidRDefault="007962C7" w:rsidP="007962C7">
      <w:pPr>
        <w:pStyle w:val="ProductList-Body"/>
        <w:numPr>
          <w:ilvl w:val="0"/>
          <w:numId w:val="5"/>
        </w:numPr>
      </w:pPr>
      <w:r>
        <w:t>Обсег</w:t>
      </w:r>
    </w:p>
    <w:p w14:paraId="7141D814" w14:textId="77777777" w:rsidR="007962C7" w:rsidRPr="001C2724" w:rsidRDefault="007962C7" w:rsidP="007962C7">
      <w:pPr>
        <w:pStyle w:val="ProductList-Body"/>
        <w:numPr>
          <w:ilvl w:val="0"/>
          <w:numId w:val="5"/>
        </w:numPr>
      </w:pPr>
      <w:r>
        <w:t>Естество на обработването на данни; Собственост</w:t>
      </w:r>
    </w:p>
    <w:p w14:paraId="060B5F6B" w14:textId="77777777" w:rsidR="007962C7" w:rsidRPr="001C2724" w:rsidRDefault="007962C7" w:rsidP="007962C7">
      <w:pPr>
        <w:pStyle w:val="ProductList-Body"/>
        <w:numPr>
          <w:ilvl w:val="0"/>
          <w:numId w:val="5"/>
        </w:numPr>
      </w:pPr>
      <w:r>
        <w:t>Разкриване на обработвани данни</w:t>
      </w:r>
    </w:p>
    <w:p w14:paraId="7D5851ED" w14:textId="77777777" w:rsidR="007962C7" w:rsidRPr="001C2724" w:rsidRDefault="007962C7" w:rsidP="007962C7">
      <w:pPr>
        <w:pStyle w:val="ProductList-Body"/>
        <w:numPr>
          <w:ilvl w:val="0"/>
          <w:numId w:val="5"/>
        </w:numPr>
      </w:pPr>
      <w:r>
        <w:t>Обработване на Лични данни; ОРЗД</w:t>
      </w:r>
    </w:p>
    <w:p w14:paraId="404BEAEE" w14:textId="77777777" w:rsidR="007962C7" w:rsidRPr="001C2724" w:rsidRDefault="007962C7" w:rsidP="007962C7">
      <w:pPr>
        <w:pStyle w:val="ProductList-Body"/>
        <w:numPr>
          <w:ilvl w:val="0"/>
          <w:numId w:val="5"/>
        </w:numPr>
      </w:pPr>
      <w:r>
        <w:t>Защита на данните</w:t>
      </w:r>
    </w:p>
    <w:p w14:paraId="3B8093CA" w14:textId="77777777" w:rsidR="007962C7" w:rsidRPr="001C2724" w:rsidRDefault="007962C7" w:rsidP="007962C7">
      <w:pPr>
        <w:pStyle w:val="ProductList-Body"/>
        <w:numPr>
          <w:ilvl w:val="0"/>
          <w:numId w:val="5"/>
        </w:numPr>
      </w:pPr>
      <w:r>
        <w:t>Уведомяване за пробив в защитата</w:t>
      </w:r>
    </w:p>
    <w:p w14:paraId="4EB2725E" w14:textId="77777777" w:rsidR="007962C7" w:rsidRPr="001C2724" w:rsidRDefault="007962C7" w:rsidP="007962C7">
      <w:pPr>
        <w:pStyle w:val="ProductList-Body"/>
        <w:numPr>
          <w:ilvl w:val="0"/>
          <w:numId w:val="5"/>
        </w:numPr>
      </w:pPr>
      <w:r>
        <w:t>Прехвърляне и местоположение на данните</w:t>
      </w:r>
    </w:p>
    <w:p w14:paraId="2EDA4CA7" w14:textId="77777777" w:rsidR="007962C7" w:rsidRPr="001C2724" w:rsidRDefault="007962C7" w:rsidP="007962C7">
      <w:pPr>
        <w:pStyle w:val="ProductList-Body"/>
        <w:numPr>
          <w:ilvl w:val="0"/>
          <w:numId w:val="5"/>
        </w:numPr>
      </w:pPr>
      <w:r>
        <w:t>Съхранение и изтриване на данните</w:t>
      </w:r>
    </w:p>
    <w:p w14:paraId="07BB679B" w14:textId="77777777" w:rsidR="007962C7" w:rsidRPr="001C2724" w:rsidRDefault="007962C7" w:rsidP="007962C7">
      <w:pPr>
        <w:pStyle w:val="ProductList-Body"/>
        <w:numPr>
          <w:ilvl w:val="0"/>
          <w:numId w:val="5"/>
        </w:numPr>
      </w:pPr>
      <w:r>
        <w:t>Ангажимент за поверителност на лицето, обработващо данните</w:t>
      </w:r>
    </w:p>
    <w:p w14:paraId="3B825CFB" w14:textId="77777777" w:rsidR="007962C7" w:rsidRPr="001C2724" w:rsidRDefault="007962C7" w:rsidP="007962C7">
      <w:pPr>
        <w:pStyle w:val="ProductList-Body"/>
        <w:numPr>
          <w:ilvl w:val="0"/>
          <w:numId w:val="5"/>
        </w:numPr>
      </w:pPr>
      <w:r>
        <w:t>Уведомления и мерки за контрол при използването на</w:t>
      </w:r>
      <w:r>
        <w:rPr>
          <w:lang w:val="en-US"/>
        </w:rPr>
        <w:t> </w:t>
      </w:r>
      <w:r>
        <w:t>Подизпълнители</w:t>
      </w:r>
    </w:p>
    <w:p w14:paraId="1335E174" w14:textId="77777777" w:rsidR="007962C7" w:rsidRPr="001C2724" w:rsidRDefault="007962C7" w:rsidP="007962C7">
      <w:pPr>
        <w:pStyle w:val="ProductList-Body"/>
        <w:numPr>
          <w:ilvl w:val="0"/>
          <w:numId w:val="5"/>
        </w:numPr>
      </w:pPr>
      <w:r>
        <w:t>Образователни институции</w:t>
      </w:r>
    </w:p>
    <w:p w14:paraId="1516D192" w14:textId="77777777" w:rsidR="007962C7" w:rsidRPr="001C2724" w:rsidRDefault="007962C7" w:rsidP="007962C7">
      <w:pPr>
        <w:pStyle w:val="ProductList-Body"/>
        <w:numPr>
          <w:ilvl w:val="0"/>
          <w:numId w:val="5"/>
        </w:numPr>
      </w:pPr>
      <w:r>
        <w:t>Споразумение с Клиента за CJIS</w:t>
      </w:r>
    </w:p>
    <w:p w14:paraId="27728AE2" w14:textId="77777777" w:rsidR="007962C7" w:rsidRDefault="007962C7" w:rsidP="007962C7">
      <w:pPr>
        <w:pStyle w:val="ProductList-Body"/>
        <w:numPr>
          <w:ilvl w:val="0"/>
          <w:numId w:val="5"/>
        </w:numPr>
      </w:pPr>
      <w:r>
        <w:t>Бизнес сътрудник по HIPAA</w:t>
      </w:r>
    </w:p>
    <w:p w14:paraId="7046C675" w14:textId="77777777" w:rsidR="007962C7" w:rsidRDefault="007962C7" w:rsidP="007962C7">
      <w:pPr>
        <w:pStyle w:val="ProductList-Body"/>
        <w:numPr>
          <w:ilvl w:val="0"/>
          <w:numId w:val="5"/>
        </w:numPr>
      </w:pPr>
      <w:r>
        <w:t>Условия на закона за поверителност на потребителите в Калифорния (CCPA)</w:t>
      </w:r>
    </w:p>
    <w:p w14:paraId="663865D8" w14:textId="77777777" w:rsidR="007962C7" w:rsidRPr="001C2724" w:rsidRDefault="007962C7" w:rsidP="007962C7">
      <w:pPr>
        <w:pStyle w:val="ProductList-Body"/>
        <w:numPr>
          <w:ilvl w:val="0"/>
          <w:numId w:val="5"/>
        </w:numPr>
      </w:pPr>
      <w:r>
        <w:t>Биометрични данни</w:t>
      </w:r>
    </w:p>
    <w:p w14:paraId="1CA80CAD" w14:textId="77777777" w:rsidR="007962C7" w:rsidRPr="001C2724" w:rsidRDefault="007962C7" w:rsidP="007962C7">
      <w:pPr>
        <w:pStyle w:val="ProductList-Body"/>
        <w:numPr>
          <w:ilvl w:val="0"/>
          <w:numId w:val="5"/>
        </w:numPr>
      </w:pPr>
      <w:r>
        <w:t>Начини за връзка с Microsoft</w:t>
      </w:r>
    </w:p>
    <w:p w14:paraId="75FB1054" w14:textId="77777777" w:rsidR="007962C7" w:rsidRPr="001C2724" w:rsidRDefault="007962C7" w:rsidP="007962C7">
      <w:pPr>
        <w:pStyle w:val="ProductList-Body"/>
        <w:numPr>
          <w:ilvl w:val="0"/>
          <w:numId w:val="5"/>
        </w:numPr>
        <w:sectPr w:rsidR="007962C7" w:rsidRPr="001C2724" w:rsidSect="009776B9">
          <w:footerReference w:type="default" r:id="rId19"/>
          <w:footerReference w:type="first" r:id="rId20"/>
          <w:type w:val="continuous"/>
          <w:pgSz w:w="12240" w:h="15840"/>
          <w:pgMar w:top="1440" w:right="720" w:bottom="1440" w:left="720" w:header="720" w:footer="720" w:gutter="0"/>
          <w:cols w:num="2" w:space="720"/>
          <w:titlePg/>
          <w:docGrid w:linePitch="360"/>
        </w:sectPr>
      </w:pPr>
      <w:r>
        <w:t>Приложение А – Мерки за защита</w:t>
      </w:r>
    </w:p>
    <w:p w14:paraId="3BAE4B4B" w14:textId="77777777" w:rsidR="007962C7" w:rsidRPr="001C2724" w:rsidRDefault="007962C7" w:rsidP="007962C7">
      <w:pPr>
        <w:pStyle w:val="ProductList-Body"/>
        <w:ind w:left="720"/>
      </w:pPr>
    </w:p>
    <w:p w14:paraId="288B61ED" w14:textId="77777777" w:rsidR="007962C7" w:rsidRPr="006366A8" w:rsidRDefault="007962C7" w:rsidP="007962C7">
      <w:pPr>
        <w:pStyle w:val="ProductList-SubSubSectionHeading"/>
        <w:spacing w:after="120"/>
        <w:outlineLvl w:val="1"/>
      </w:pPr>
      <w:bookmarkStart w:id="45" w:name="_Toc507768549"/>
      <w:bookmarkStart w:id="46" w:name="_Toc8395009"/>
      <w:bookmarkStart w:id="47" w:name="_Toc6563798"/>
      <w:bookmarkStart w:id="48" w:name="_Toc21617016"/>
      <w:bookmarkStart w:id="49" w:name="_Toc26972836"/>
      <w:bookmarkStart w:id="50" w:name="_Toc42764835"/>
      <w:bookmarkStart w:id="51" w:name="_Toc61437067"/>
      <w:r>
        <w:t>Обсег</w:t>
      </w:r>
      <w:bookmarkEnd w:id="45"/>
      <w:bookmarkEnd w:id="46"/>
      <w:bookmarkEnd w:id="47"/>
      <w:bookmarkEnd w:id="48"/>
      <w:bookmarkEnd w:id="49"/>
      <w:bookmarkEnd w:id="50"/>
      <w:bookmarkEnd w:id="51"/>
    </w:p>
    <w:p w14:paraId="556EA9DB" w14:textId="0638873C" w:rsidR="00C85435" w:rsidRPr="00097CE0" w:rsidRDefault="007962C7" w:rsidP="007962C7">
      <w:pPr>
        <w:pStyle w:val="ProductList-Body"/>
        <w:spacing w:after="120"/>
      </w:pPr>
      <w:r>
        <w:t>Условията на DPA се прилагат за всички Онлайн услуги, с изключение на Онлайн услугите, конкретно посочени като изключени в</w:t>
      </w:r>
      <w:r w:rsidRPr="00D96637">
        <w:t xml:space="preserve"> </w:t>
      </w:r>
      <w:r>
        <w:t>Приложение 1 към OST (или приемното местоположение в Правата за използване), които се уреждат от условията за поверителност и</w:t>
      </w:r>
      <w:r w:rsidRPr="00D96637">
        <w:t xml:space="preserve"> </w:t>
      </w:r>
      <w:r>
        <w:t>защита в приложимите Специфични условия за Онлайн услуги</w:t>
      </w:r>
      <w:r w:rsidR="00C85435">
        <w:t>.</w:t>
      </w:r>
    </w:p>
    <w:p w14:paraId="2077C253" w14:textId="77777777" w:rsidR="00C85435" w:rsidRPr="00097CE0" w:rsidRDefault="00C85435" w:rsidP="007829B6">
      <w:pPr>
        <w:pStyle w:val="ProductList-Body"/>
        <w:spacing w:after="120"/>
      </w:pPr>
      <w:r>
        <w:t>Предварителните издания може да използват по-малко или различни мерки за безопасност и поверителност от обичайно наличните в Онлайн услугите. Освен ако не е отбелязано друго, Клиентът не бива да използва Предварителните издания за обработване на лични или други данни, които са предмет на правни или регулаторни изисквания за съответствие. Следните условия в настоящото DPA не се прилагат за Предварителни издания: Обработване на Лични данни; ОРЗД, Защита на данните и Бизнес сътрудник по HIPAA.</w:t>
      </w:r>
    </w:p>
    <w:p w14:paraId="54C29AC5" w14:textId="5486784C" w:rsidR="00C85435" w:rsidRPr="00097CE0" w:rsidRDefault="00D7294A" w:rsidP="007829B6">
      <w:pPr>
        <w:pStyle w:val="ProductList-Body"/>
        <w:spacing w:after="120"/>
      </w:pPr>
      <w:hyperlink w:anchor="Attachment1" w:history="1">
        <w:r w:rsidR="002400E8">
          <w:rPr>
            <w:rStyle w:val="Hyperlink"/>
          </w:rPr>
          <w:t>Приложение 1</w:t>
        </w:r>
      </w:hyperlink>
      <w:r w:rsidR="002400E8">
        <w:t xml:space="preserve"> към DPA включва условията за поверителност и защита за Данните за Професионални услуги, в това число Личните данни в тях, свързани с предоставянето на тези услуги. Поради това, освен ако не са изрично посочени като приложими в </w:t>
      </w:r>
      <w:r w:rsidR="00843131">
        <w:fldChar w:fldCharType="begin"/>
      </w:r>
      <w:r w:rsidR="00843131">
        <w:instrText xml:space="preserve"> HYPERLINK \l "Attachment1" </w:instrText>
      </w:r>
      <w:r w:rsidR="00843131">
        <w:fldChar w:fldCharType="separate"/>
      </w:r>
      <w:r w:rsidR="00A24026">
        <w:rPr>
          <w:rStyle w:val="Hyperlink"/>
        </w:rPr>
        <w:t>Приложение 1</w:t>
      </w:r>
      <w:r w:rsidR="00843131">
        <w:rPr>
          <w:rStyle w:val="Hyperlink"/>
        </w:rPr>
        <w:fldChar w:fldCharType="end"/>
      </w:r>
      <w:r w:rsidR="002400E8">
        <w:t>, условията в настоящото DPA не се отнасят за предоставянето на Професионални услуги.</w:t>
      </w:r>
    </w:p>
    <w:p w14:paraId="4C2529C8" w14:textId="77777777" w:rsidR="007962C7" w:rsidRPr="00B753C4" w:rsidRDefault="007962C7" w:rsidP="00B91639">
      <w:pPr>
        <w:pStyle w:val="ProductList-SubSubSectionHeading"/>
        <w:spacing w:after="120"/>
        <w:outlineLvl w:val="1"/>
      </w:pPr>
      <w:bookmarkStart w:id="52" w:name="_Toc26972837"/>
      <w:bookmarkStart w:id="53" w:name="_Toc42764836"/>
      <w:bookmarkStart w:id="54" w:name="_Toc507768552"/>
      <w:bookmarkStart w:id="55" w:name="_Toc8395012"/>
      <w:bookmarkStart w:id="56" w:name="_Toc61437068"/>
      <w:r>
        <w:t xml:space="preserve">Естество на обработването на данни; </w:t>
      </w:r>
      <w:bookmarkStart w:id="57" w:name="_Toc6563799"/>
      <w:bookmarkStart w:id="58" w:name="_Toc21617017"/>
      <w:r>
        <w:t>Собственост</w:t>
      </w:r>
      <w:bookmarkEnd w:id="52"/>
      <w:bookmarkEnd w:id="53"/>
      <w:bookmarkEnd w:id="56"/>
      <w:bookmarkEnd w:id="57"/>
      <w:bookmarkEnd w:id="58"/>
    </w:p>
    <w:p w14:paraId="2B094C3F" w14:textId="76AA4DA5" w:rsidR="00C85435" w:rsidRPr="00097CE0" w:rsidRDefault="00A40C41" w:rsidP="00B91639">
      <w:pPr>
        <w:pStyle w:val="ProductList-Body"/>
        <w:spacing w:after="120"/>
      </w:pPr>
      <w:r>
        <w:t>Microsoft ще използва и като цяло ще обработва Клиентските данни и Личните данни само в съответствие с документираните инструкции на Клиента, както е описано и при спазване на ограниченията, представени по-долу, а) за да предоставя на Клиента Онлайн услугите, и б) за законните си бизнес дейности, свързани с предоставянето на Онлайн услугите на Клиента. В отношенията между страните Клиентът запазва всички права, права на собственост и интереси към и върху Клиентските данни. Microsoft не придобива каквито и да е права върху Клиентските данни, освен правата, които Клиентът предоставя на Microsoft в настоящия раздел. Настоящият параграф не засяга правата на Microsoft върху софтуера или услугите, които Microsoft лицензира за Клиента.</w:t>
      </w:r>
    </w:p>
    <w:p w14:paraId="1CCE7D6F" w14:textId="77777777" w:rsidR="00C85435" w:rsidRPr="00097CE0" w:rsidRDefault="00C85435" w:rsidP="00B91639">
      <w:pPr>
        <w:pStyle w:val="ProductList-Body"/>
        <w:spacing w:after="120"/>
        <w:ind w:left="187"/>
        <w:outlineLvl w:val="2"/>
      </w:pPr>
      <w:bookmarkStart w:id="59" w:name="_Toc6563800"/>
      <w:bookmarkStart w:id="60" w:name="_Toc26972838"/>
      <w:bookmarkStart w:id="61" w:name="_Toc13858350"/>
      <w:bookmarkStart w:id="62" w:name="_Toc21617018"/>
      <w:r>
        <w:rPr>
          <w:b/>
          <w:color w:val="0072C6"/>
        </w:rPr>
        <w:t xml:space="preserve">Обработване с цел предоставяне на Клиента </w:t>
      </w:r>
      <w:bookmarkEnd w:id="59"/>
      <w:r>
        <w:rPr>
          <w:b/>
          <w:color w:val="0072C6"/>
        </w:rPr>
        <w:t>на Онлайн услугите</w:t>
      </w:r>
      <w:bookmarkEnd w:id="60"/>
    </w:p>
    <w:p w14:paraId="38AED162" w14:textId="41CC01BF" w:rsidR="00C85435" w:rsidRPr="00097CE0" w:rsidRDefault="00C85435" w:rsidP="00B91639">
      <w:pPr>
        <w:pStyle w:val="ProductList-Body"/>
        <w:spacing w:after="120"/>
        <w:ind w:left="158"/>
      </w:pPr>
      <w:r>
        <w:rPr>
          <w:rFonts w:ascii="Calibri" w:eastAsia="Calibri" w:hAnsi="Calibri" w:cs="Arial"/>
        </w:rPr>
        <w:t>За целите на настоящото DPA „предоставянето</w:t>
      </w:r>
      <w:r w:rsidR="00090CCF">
        <w:t>“</w:t>
      </w:r>
      <w:r>
        <w:rPr>
          <w:rFonts w:ascii="Calibri" w:eastAsia="Calibri" w:hAnsi="Calibri" w:cs="Arial"/>
        </w:rPr>
        <w:t xml:space="preserve"> на Онлайн услуга се състои от:</w:t>
      </w:r>
      <w:r w:rsidR="007E3533">
        <w:rPr>
          <w:rFonts w:ascii="Calibri" w:eastAsia="Calibri" w:hAnsi="Calibri" w:cs="Arial"/>
        </w:rPr>
        <w:t xml:space="preserve"> </w:t>
      </w:r>
    </w:p>
    <w:p w14:paraId="25A37013" w14:textId="5A969CA8" w:rsidR="00C85435" w:rsidRPr="00097CE0" w:rsidRDefault="00C85435" w:rsidP="00B91639">
      <w:pPr>
        <w:pStyle w:val="ProductList-Body"/>
        <w:numPr>
          <w:ilvl w:val="0"/>
          <w:numId w:val="7"/>
        </w:numPr>
      </w:pPr>
      <w:r>
        <w:rPr>
          <w:rFonts w:ascii="Calibri" w:eastAsia="Calibri" w:hAnsi="Calibri" w:cs="Arial"/>
        </w:rPr>
        <w:t>предоставяне на функционални възможност, както са лицензирани, конфигурирани</w:t>
      </w:r>
      <w:r>
        <w:rPr>
          <w:rFonts w:ascii="Calibri" w:hAnsi="Calibri"/>
        </w:rPr>
        <w:t xml:space="preserve"> и </w:t>
      </w:r>
      <w:bookmarkEnd w:id="61"/>
      <w:bookmarkEnd w:id="62"/>
      <w:r>
        <w:rPr>
          <w:rFonts w:ascii="Calibri" w:eastAsia="Calibri" w:hAnsi="Calibri" w:cs="Arial"/>
        </w:rPr>
        <w:t xml:space="preserve">използвани от Клиента и потребителите му, включително предоставянето на персонализирана потребителска работа; </w:t>
      </w:r>
    </w:p>
    <w:p w14:paraId="0A0F49B8" w14:textId="5F04D0B1" w:rsidR="00C85435" w:rsidRPr="00097CE0" w:rsidRDefault="00C85435" w:rsidP="00B91639">
      <w:pPr>
        <w:pStyle w:val="ProductList-Body"/>
        <w:numPr>
          <w:ilvl w:val="0"/>
          <w:numId w:val="7"/>
        </w:numPr>
      </w:pPr>
      <w:r>
        <w:rPr>
          <w:rFonts w:ascii="Calibri" w:eastAsia="Calibri" w:hAnsi="Calibri" w:cs="Arial"/>
        </w:rPr>
        <w:lastRenderedPageBreak/>
        <w:t xml:space="preserve">Отстраняване на неизправности (предотвратяване, откриване и коригиране на проблеми); и </w:t>
      </w:r>
    </w:p>
    <w:p w14:paraId="078BCFE5" w14:textId="56C6F336" w:rsidR="00C85435" w:rsidRPr="00097CE0" w:rsidRDefault="00C85435" w:rsidP="00B91639">
      <w:pPr>
        <w:pStyle w:val="ProductList-Body"/>
        <w:numPr>
          <w:ilvl w:val="0"/>
          <w:numId w:val="7"/>
        </w:numPr>
        <w:spacing w:after="120"/>
      </w:pPr>
      <w:r>
        <w:rPr>
          <w:rFonts w:ascii="Calibri" w:eastAsia="Calibri" w:hAnsi="Calibri" w:cs="Arial"/>
        </w:rPr>
        <w:t xml:space="preserve">постоянни подобрения (инсталиране на последните актуализации и подобряване на </w:t>
      </w:r>
      <w:r>
        <w:t>производителността на потребителите,</w:t>
      </w:r>
      <w:r>
        <w:rPr>
          <w:rFonts w:ascii="Calibri" w:eastAsia="Calibri" w:hAnsi="Calibri" w:cs="Arial"/>
        </w:rPr>
        <w:t xml:space="preserve"> надеждността, ефикасността и сигурността).</w:t>
      </w:r>
    </w:p>
    <w:p w14:paraId="0AA7F597" w14:textId="77777777" w:rsidR="00C85435" w:rsidRPr="00097CE0" w:rsidRDefault="00C85435" w:rsidP="00B91639">
      <w:pPr>
        <w:pStyle w:val="ProductList-Body"/>
        <w:spacing w:after="120"/>
        <w:ind w:left="158"/>
      </w:pPr>
      <w:r>
        <w:t>Когато предоставя Онлайн услуги, Microsoft няма да използва или обработва по друг начин Клиентски данни или Лични данни за: a) профилиране на потребители, б) рекламиране или подобни търговски цели, или в) пазарни проучвания с цел създаване на нови функции, услуги или продукти или с друга цел, освен ако това използване или обработване не е в съответствие с документирани инструкции от Клиента.</w:t>
      </w:r>
    </w:p>
    <w:p w14:paraId="5FD69C26" w14:textId="77777777" w:rsidR="00C85435" w:rsidRPr="00097CE0" w:rsidRDefault="00C85435" w:rsidP="00B91639">
      <w:pPr>
        <w:pStyle w:val="ProductList-Body"/>
        <w:spacing w:after="120"/>
        <w:ind w:left="187"/>
        <w:outlineLvl w:val="2"/>
      </w:pPr>
      <w:bookmarkStart w:id="63" w:name="_Toc26972839"/>
      <w:r>
        <w:rPr>
          <w:b/>
          <w:color w:val="0072C6"/>
        </w:rPr>
        <w:t>Обработване за законни бизнес дейности на Microsoft</w:t>
      </w:r>
      <w:bookmarkEnd w:id="63"/>
    </w:p>
    <w:p w14:paraId="23AEFDAA" w14:textId="77777777" w:rsidR="007962C7" w:rsidRPr="006366A8" w:rsidRDefault="007962C7" w:rsidP="00B91639">
      <w:pPr>
        <w:pStyle w:val="ProductList-Body"/>
        <w:spacing w:after="120"/>
        <w:ind w:left="158"/>
      </w:pPr>
      <w:r>
        <w:t>За целите на настоящото DPA „законните бизнес дейности на Microsoft“ се състоят от следните дейности, като всяка е свързана с</w:t>
      </w:r>
      <w:r w:rsidRPr="00D96637">
        <w:t xml:space="preserve"> </w:t>
      </w:r>
      <w:r>
        <w:t>предоставянето на Онлайн услугите на Клиента: (1) управление на плащания и сметки; (2) възнаграждения (напр. изчисляване на комисиони на служители и стимули за партньори); (3) вътрешно отчитане и бизнес моделиране (напр. прогнозиране, приходи, планиране на капацитета, продуктова стратегия); (4) борба с измамите, киберпрестъпността или кибератаки, които може да засегнат Microsoft или Продукти на Microsoft; (5) подобряване на основните функции на достъпност, поверителност или енергийна ефективност; и</w:t>
      </w:r>
      <w:r w:rsidRPr="00D96637">
        <w:t xml:space="preserve"> </w:t>
      </w:r>
      <w:r>
        <w:t>(6)</w:t>
      </w:r>
      <w:r w:rsidRPr="00D96637">
        <w:t xml:space="preserve"> </w:t>
      </w:r>
      <w:r>
        <w:t>финансова отчетност и спазване на правните задължения (в зависимост от ограниченията за изнасяне на информация за Обработваните данни, посочени по-долу).</w:t>
      </w:r>
    </w:p>
    <w:p w14:paraId="0B4632A3" w14:textId="77777777" w:rsidR="007962C7" w:rsidRPr="006366A8" w:rsidRDefault="007962C7" w:rsidP="00B91639">
      <w:pPr>
        <w:pStyle w:val="ProductList-Body"/>
        <w:spacing w:after="120"/>
        <w:ind w:left="158"/>
      </w:pPr>
      <w:r>
        <w:t xml:space="preserve">Когато обработва данни за свои законни бизнес дейности, Microsoft няма да използва или обработва по друг начин Клиентски данни или Лични данни за: </w:t>
      </w:r>
      <w:r w:rsidRPr="00D86FDD">
        <w:t>(</w:t>
      </w:r>
      <w:r>
        <w:t xml:space="preserve">a) профилиране на потребители, </w:t>
      </w:r>
      <w:r w:rsidRPr="00D86FDD">
        <w:t>(</w:t>
      </w:r>
      <w:r>
        <w:t xml:space="preserve">б) рекламиране или подобни търговски цели или в) други цели, различни от </w:t>
      </w:r>
      <w:bookmarkStart w:id="64" w:name="_Hlk24466161"/>
      <w:r>
        <w:t xml:space="preserve">посочените в този раздел. </w:t>
      </w:r>
      <w:bookmarkEnd w:id="64"/>
    </w:p>
    <w:p w14:paraId="1F113C75" w14:textId="77777777" w:rsidR="007962C7" w:rsidRPr="006366A8" w:rsidRDefault="007962C7" w:rsidP="00B91639">
      <w:pPr>
        <w:pStyle w:val="ProductList-SubSubSectionHeading"/>
        <w:spacing w:after="120"/>
        <w:outlineLvl w:val="1"/>
      </w:pPr>
      <w:bookmarkStart w:id="65" w:name="_Toc507768551"/>
      <w:bookmarkStart w:id="66" w:name="_Toc8395011"/>
      <w:bookmarkStart w:id="67" w:name="_Toc26972840"/>
      <w:bookmarkStart w:id="68" w:name="_Toc42764837"/>
      <w:bookmarkStart w:id="69" w:name="_Toc61437069"/>
      <w:r>
        <w:t>Разкриване на обработвани данни</w:t>
      </w:r>
      <w:bookmarkEnd w:id="65"/>
      <w:bookmarkEnd w:id="66"/>
      <w:bookmarkEnd w:id="67"/>
      <w:bookmarkEnd w:id="68"/>
      <w:bookmarkEnd w:id="69"/>
    </w:p>
    <w:p w14:paraId="7349128B" w14:textId="77777777" w:rsidR="007962C7" w:rsidRPr="006366A8" w:rsidRDefault="007962C7" w:rsidP="00B91639">
      <w:pPr>
        <w:pStyle w:val="ProductList-Body"/>
        <w:spacing w:after="120"/>
      </w:pPr>
      <w:r>
        <w:t>Microsoft няма да разкрива информация или предоставя достъп до Обработвани данни, с изключение на следните случаи: (1) както е</w:t>
      </w:r>
      <w:r w:rsidRPr="00D96637">
        <w:t xml:space="preserve"> </w:t>
      </w:r>
      <w:r>
        <w:t xml:space="preserve">указано от Клиента; (2) както е описано в настоящото DPA; или (3) когато това се изисква по закон. За целите на настоящия раздел „Обработвани данни“ означава: </w:t>
      </w:r>
      <w:r w:rsidRPr="00D96637">
        <w:t>(</w:t>
      </w:r>
      <w:r>
        <w:t xml:space="preserve">а) Клиентски данни; </w:t>
      </w:r>
      <w:r w:rsidRPr="00D96637">
        <w:t>(</w:t>
      </w:r>
      <w:r>
        <w:t xml:space="preserve">б) Лични данни и </w:t>
      </w:r>
      <w:r w:rsidRPr="00D86FDD">
        <w:t>(</w:t>
      </w:r>
      <w:r>
        <w:t>в) други данни, обработвани от Microsoft във връзка с Онлайн услугата, които представляват поверителна информация на Клиента съгласно Споразумението за корпоративно лицензиране. Всяко обработване на Обработвани данни е предмет на задължението на Microsoft за поверителност съгласно споразумението за корпоративно лицензиране.</w:t>
      </w:r>
    </w:p>
    <w:p w14:paraId="5559479F" w14:textId="77777777" w:rsidR="007962C7" w:rsidRPr="00244FC8" w:rsidRDefault="007962C7" w:rsidP="00B91639">
      <w:pPr>
        <w:spacing w:after="120" w:line="240" w:lineRule="auto"/>
        <w:rPr>
          <w:sz w:val="18"/>
          <w:szCs w:val="18"/>
        </w:rPr>
      </w:pPr>
      <w:r>
        <w:rPr>
          <w:sz w:val="18"/>
          <w:szCs w:val="18"/>
        </w:rPr>
        <w:t>Microsoft няма да разкрива или предоставя достъп до Обработвани данни на правоприлагащи органи, освен ако това не се изисква по закон. Ако правоприлагащ орган се свърже с Microsoft с искане за Обработвани данни, Microsoft ще се опита да го пренасочи да изиска тези данни директно от Клиента. Ако Microsoft бъде задължен да разкрие или предостави достъп до Данните за Професионални услуги на</w:t>
      </w:r>
      <w:r>
        <w:rPr>
          <w:sz w:val="18"/>
          <w:szCs w:val="18"/>
          <w:lang w:val="en-US"/>
        </w:rPr>
        <w:t> </w:t>
      </w:r>
      <w:r>
        <w:rPr>
          <w:sz w:val="18"/>
          <w:szCs w:val="18"/>
        </w:rPr>
        <w:t>правоприлагащ орган, Microsoft ще уведоми незабавно Клиента и ще предостави копие на искането, освен ако това не му е забранено по закон.</w:t>
      </w:r>
    </w:p>
    <w:p w14:paraId="7C14467D" w14:textId="77777777" w:rsidR="00C85435" w:rsidRPr="00097CE0" w:rsidRDefault="00C85435" w:rsidP="00B91639">
      <w:pPr>
        <w:pStyle w:val="ProductList-Body"/>
        <w:spacing w:after="120"/>
      </w:pPr>
      <w:r>
        <w:t>При получаване на искане от трето лице за Обработвани данни, Microsoft ще уведоми незабавно Клиента, освен ако това не е забранено по закон. Microsoft ще отхвърли искането, освен ако не е задължен да го изпълни по закон. Ако искането е валидно, Microsoft ще се опита да пренасочи третото лице да изиска данните директно от Клиента.</w:t>
      </w:r>
    </w:p>
    <w:p w14:paraId="30E1209F" w14:textId="6F30EA96" w:rsidR="00C85435" w:rsidRPr="00097CE0" w:rsidRDefault="00C85435" w:rsidP="00B91639">
      <w:pPr>
        <w:pStyle w:val="ProductList-Body"/>
        <w:spacing w:after="120"/>
      </w:pPr>
      <w:r>
        <w:t>Microsoft няма да предоставя на трети лица: (a) пряк, непряк, общ или неограничен достъп до Обработваните данни, (</w:t>
      </w:r>
      <w:r w:rsidR="00FF1275">
        <w:t>б)</w:t>
      </w:r>
      <w:r>
        <w:t xml:space="preserve"> шифроващи ключове за платформи, използвани за защита на Обработваните данни, или възможността за разбиване на съответното шифроване или (c) достъп до Обработваните данни, ако Microsoft е наясно, че тези данни ще се използват за различни цели от посочените в искането на съответното трето лице. </w:t>
      </w:r>
    </w:p>
    <w:p w14:paraId="47AD4D4D" w14:textId="77777777" w:rsidR="00C85435" w:rsidRPr="00097CE0" w:rsidRDefault="00C85435" w:rsidP="00B91639">
      <w:pPr>
        <w:pStyle w:val="ProductList-Body"/>
        <w:spacing w:after="120"/>
      </w:pPr>
      <w:r>
        <w:t xml:space="preserve">В подкрепа на гореизложеното Microsoft може да предостави на третото лице основната информация за контакт с Клиента. </w:t>
      </w:r>
    </w:p>
    <w:p w14:paraId="3DFD853A" w14:textId="77777777" w:rsidR="00C85435" w:rsidRPr="00097CE0" w:rsidRDefault="00C85435" w:rsidP="00B91639">
      <w:pPr>
        <w:pStyle w:val="ProductList-SubSubSectionHeading"/>
        <w:spacing w:after="120"/>
        <w:outlineLvl w:val="1"/>
      </w:pPr>
      <w:bookmarkStart w:id="70" w:name="_Toc6563801"/>
      <w:bookmarkStart w:id="71" w:name="_Toc21617019"/>
      <w:bookmarkStart w:id="72" w:name="_Toc26972841"/>
      <w:bookmarkStart w:id="73" w:name="_Toc61437070"/>
      <w:r>
        <w:t>Обработване на Лични данни; ОРЗД</w:t>
      </w:r>
      <w:bookmarkEnd w:id="54"/>
      <w:bookmarkEnd w:id="55"/>
      <w:bookmarkEnd w:id="70"/>
      <w:bookmarkEnd w:id="71"/>
      <w:bookmarkEnd w:id="72"/>
      <w:bookmarkEnd w:id="73"/>
    </w:p>
    <w:p w14:paraId="41ECCECC" w14:textId="77777777" w:rsidR="00C85435" w:rsidRPr="00097CE0" w:rsidRDefault="00C85435" w:rsidP="00B91639">
      <w:pPr>
        <w:pStyle w:val="ProductList-Body"/>
        <w:spacing w:after="120"/>
      </w:pPr>
      <w:bookmarkStart w:id="74" w:name="_Toc489605577"/>
      <w:r>
        <w:t xml:space="preserve">Всички Лични данни, обработвани от Microsoft във връзка с Онлайн услугите, се получават като Клиентски данни, Диагностични данни или Данни, генерирани от услуги. Лични данни, които са предоставени на Microsoft от или от името на Клиента при използването на Онлайн услугите, също представляват Клиентски данни. В Диагностичните данни или Данните, генерирани от услуги, може са бъдат включени псевдонимизирани идентификатори, които също представляват Лични данни. Лични данни, които са псевдонимизирани или деидентифицирани, но не са анонимизирани, или Лични данни, извлечени от Лични данни, също са Лични данни. </w:t>
      </w:r>
    </w:p>
    <w:p w14:paraId="34DCD8F3" w14:textId="7B6D31AF" w:rsidR="00C85435" w:rsidRPr="00097CE0" w:rsidRDefault="00C85435" w:rsidP="00B91639">
      <w:pPr>
        <w:pStyle w:val="ProductList-Body"/>
        <w:spacing w:after="120"/>
      </w:pPr>
      <w:r>
        <w:t xml:space="preserve">До степента, в която Microsoft е лице, обработващо данни, или подизпълнител във връзка с Лични данни, обект на ОРЗД, Условията на ОРЗД в </w:t>
      </w:r>
      <w:r w:rsidR="00843131">
        <w:fldChar w:fldCharType="begin"/>
      </w:r>
      <w:r w:rsidR="00843131">
        <w:instrText xml:space="preserve"> HYPERLINK \l "Attachment3" </w:instrText>
      </w:r>
      <w:r w:rsidR="00843131">
        <w:fldChar w:fldCharType="separate"/>
      </w:r>
      <w:r>
        <w:rPr>
          <w:rStyle w:val="Hyperlink"/>
        </w:rPr>
        <w:t>Приложение 3</w:t>
      </w:r>
      <w:r w:rsidR="00843131">
        <w:rPr>
          <w:rStyle w:val="Hyperlink"/>
        </w:rPr>
        <w:fldChar w:fldCharType="end"/>
      </w:r>
      <w:r>
        <w:t xml:space="preserve"> уреждат това обработване на данни, като страните също така се съгласяват със следните условия в настоящия подраздел („Обработване на Лични данни; ОРЗД</w:t>
      </w:r>
      <w:r w:rsidR="00090CCF">
        <w:t>“</w:t>
      </w:r>
      <w:r>
        <w:t>):</w:t>
      </w:r>
    </w:p>
    <w:p w14:paraId="6E77A475" w14:textId="77777777" w:rsidR="007962C7" w:rsidRPr="006366A8" w:rsidRDefault="007962C7" w:rsidP="00B91639">
      <w:pPr>
        <w:pStyle w:val="ProductList-Body"/>
        <w:spacing w:after="120"/>
        <w:ind w:left="187" w:hanging="25"/>
        <w:outlineLvl w:val="2"/>
        <w:rPr>
          <w:b/>
          <w:color w:val="0072C6"/>
        </w:rPr>
      </w:pPr>
      <w:bookmarkStart w:id="75" w:name="_Toc26972842"/>
      <w:bookmarkStart w:id="76" w:name="_Toc26972844"/>
      <w:r>
        <w:rPr>
          <w:b/>
          <w:bCs/>
          <w:color w:val="0072C6"/>
        </w:rPr>
        <w:t>Роли и отговорности на лицето, обработващо данни, и на администратора на данни</w:t>
      </w:r>
      <w:bookmarkEnd w:id="75"/>
    </w:p>
    <w:p w14:paraId="7EED0A6C" w14:textId="77777777" w:rsidR="007962C7" w:rsidRPr="006366A8" w:rsidRDefault="007962C7" w:rsidP="00B91639">
      <w:pPr>
        <w:pStyle w:val="ProductList-Body"/>
        <w:spacing w:after="120"/>
        <w:ind w:left="158"/>
      </w:pPr>
      <w:bookmarkStart w:id="77" w:name="_Toc26972843"/>
      <w:r>
        <w:t xml:space="preserve">Клиентът и Microsoft се съгласяват, че Клиентът е администраторът на Личните данни, а Microsoft е обработващият тези данни, освен когато </w:t>
      </w:r>
      <w:r w:rsidRPr="006A4B98">
        <w:t>(</w:t>
      </w:r>
      <w:r>
        <w:t xml:space="preserve">а) Клиентът действа като обработващ Лични данни, в който случай Microsoft е подизпълнител, или </w:t>
      </w:r>
      <w:r w:rsidRPr="006A4B98">
        <w:t>(</w:t>
      </w:r>
      <w:r>
        <w:t xml:space="preserve">б) в Специфичните условия за </w:t>
      </w:r>
      <w:r>
        <w:lastRenderedPageBreak/>
        <w:t>Онлайн услуги или настоящото DPA е посочено друго. Когато Microsoft действа като обработващ Лични данни или подизпълнител при обработване на Лични данни, той обработва Лични данни само съгласно документирани инструкции от Клиента. Клиентът се съгласява, че неговото споразумение за корпоративно лицензиране (включително Условията на DPA и всички приложими актуализации), заедно с</w:t>
      </w:r>
      <w:r>
        <w:rPr>
          <w:lang w:val="en-US"/>
        </w:rPr>
        <w:t> </w:t>
      </w:r>
      <w:r>
        <w:t xml:space="preserve">документацията на продукта и използването и конфигурирането на функциите в Онлайн услугите от страна на Клиента, представляват пълните и окончателни документирани инструкции към Microsoft от страна на Клиента за обработването на Лични данни. Информацията за използването и конфигурирането на Онлайн услугите може да се намери на адрес </w:t>
      </w:r>
      <w:bookmarkStart w:id="78" w:name="_Hlk24482203"/>
      <w:r>
        <w:t xml:space="preserve">https://docs.microsoft.com/en-us/ </w:t>
      </w:r>
      <w:bookmarkEnd w:id="78"/>
      <w:r>
        <w:t>или приемно местоположение. Всички допълнителни или алтернативни инструкции трябва да се договарят в съответствие с процеса за изменяне на споразумението за корпоративно лицензиране на Клиента. Във всеки случай, когато се прилага ОРЗД и Клиентът е лице, обработващо лични данни, Клиентът гарантира на Microsoft, че инструкциите на Клиента, включително назначаването на Microsoft като лице, обработващо лични данни, или подизпълнител, са разрешени от съответния администратор.</w:t>
      </w:r>
      <w:bookmarkEnd w:id="77"/>
    </w:p>
    <w:bookmarkEnd w:id="76"/>
    <w:p w14:paraId="5003F484" w14:textId="37037900" w:rsidR="00C85435" w:rsidRPr="00097CE0" w:rsidRDefault="00A40C41" w:rsidP="00B91639">
      <w:pPr>
        <w:pStyle w:val="ProductList-Body"/>
        <w:spacing w:after="120"/>
        <w:ind w:left="180"/>
        <w:outlineLvl w:val="2"/>
      </w:pPr>
      <w:r>
        <w:t>До степента, в която Microsoft използва или обработва по друг начин Лични данни, обект на ОРЗД, във връзка със законните си бизнес дейности, свързани с предоставянето на Онлайн услугите на Клиента, Microsoft ще спазва задълженията на независим администратор на данни съгласно ОРЗД за това използване. Microsoft приема добавените отговорности на „администратор“ на данни съгласно ОРЗД за обработването във връзка със законните си бизнес дейности, за да: а) действа в съответствие с регулаторните изисквания до степента, изисквана от ОРЗД; и б) предостави по-голяма прозрачност на Клиентите и потвърди отговорността на Microsoft за подобно обработване. Microsoft използва защитни мерки за опазване на Клиентските данни и Личните данни при обработването, включително посочените в настоящото DPA и предвидените в член 6, параграф 4 от ОРЗД. По отношение на обработването на Лични данни съгласно този параграф Microsoft поема ангажиментите, посочени в Приложение 3 към Приложение 2 – Стандартните договорни клаузи (Лица, обработващи лични данни) на DPA; за тези цели (i) всяко изнасяне на информация за Лични данни от Microsoft, както е описано в Приложение 3, които са прехвърлени във връзка със законни бизнес дейности на Microsoft, се счита за „Основателно изнасяне на информация“ и (ii) ангажиментите в посоченото Приложение 3 са приложими за такива Лични данни.</w:t>
      </w:r>
    </w:p>
    <w:p w14:paraId="1735F96A" w14:textId="77777777" w:rsidR="00C85435" w:rsidRPr="00097CE0" w:rsidRDefault="00C85435" w:rsidP="00B91639">
      <w:pPr>
        <w:pStyle w:val="ProductList-Body"/>
        <w:spacing w:after="120"/>
        <w:ind w:left="187"/>
        <w:outlineLvl w:val="2"/>
      </w:pPr>
      <w:bookmarkStart w:id="79" w:name="_Toc26972845"/>
      <w:r>
        <w:rPr>
          <w:b/>
          <w:color w:val="0072C6"/>
        </w:rPr>
        <w:t>Данни за обработване</w:t>
      </w:r>
      <w:bookmarkEnd w:id="79"/>
    </w:p>
    <w:p w14:paraId="0CAE0F8F" w14:textId="77777777" w:rsidR="00C85435" w:rsidRPr="00097CE0" w:rsidRDefault="00C85435" w:rsidP="00B91639">
      <w:pPr>
        <w:pStyle w:val="ProductList-Body"/>
        <w:spacing w:after="120"/>
        <w:ind w:left="180"/>
        <w:outlineLvl w:val="2"/>
      </w:pPr>
      <w:bookmarkStart w:id="80" w:name="_Toc26972846"/>
      <w:bookmarkStart w:id="81" w:name="_Hlk22881260"/>
      <w:r>
        <w:t>Страните потвърждават и се съгласяват, че:</w:t>
      </w:r>
      <w:bookmarkEnd w:id="80"/>
    </w:p>
    <w:p w14:paraId="0C978F55" w14:textId="61A8DC5E" w:rsidR="00C85435" w:rsidRPr="00097CE0" w:rsidRDefault="00C85435" w:rsidP="00B91639">
      <w:pPr>
        <w:pStyle w:val="ProductList-Body"/>
        <w:numPr>
          <w:ilvl w:val="0"/>
          <w:numId w:val="7"/>
        </w:numPr>
        <w:ind w:left="540"/>
      </w:pPr>
      <w:r>
        <w:rPr>
          <w:rFonts w:ascii="Calibri" w:eastAsia="Calibri" w:hAnsi="Calibri" w:cs="Arial"/>
          <w:b/>
          <w:bCs/>
        </w:rPr>
        <w:t>Предмет.</w:t>
      </w:r>
      <w:r>
        <w:rPr>
          <w:rFonts w:ascii="Calibri" w:eastAsia="Calibri" w:hAnsi="Calibri" w:cs="Arial"/>
        </w:rPr>
        <w:t xml:space="preserve"> </w:t>
      </w:r>
      <w:r>
        <w:rPr>
          <w:rFonts w:ascii="Calibri" w:hAnsi="Calibri"/>
        </w:rPr>
        <w:t xml:space="preserve">Предметът на обработването е ограничен до Лични данни в рамките на обхвата на </w:t>
      </w:r>
      <w:r>
        <w:rPr>
          <w:rFonts w:ascii="Calibri" w:eastAsia="Calibri" w:hAnsi="Calibri" w:cs="Arial"/>
        </w:rPr>
        <w:t>раздела от настоящото DPA, озаглавен „Естество на обработването: Собственост</w:t>
      </w:r>
      <w:r w:rsidR="00090CCF">
        <w:t>“</w:t>
      </w:r>
      <w:r>
        <w:rPr>
          <w:rFonts w:ascii="Calibri" w:eastAsia="Calibri" w:hAnsi="Calibri" w:cs="Arial"/>
        </w:rPr>
        <w:t xml:space="preserve"> по-горе и </w:t>
      </w:r>
      <w:r>
        <w:rPr>
          <w:rFonts w:ascii="Calibri" w:hAnsi="Calibri"/>
        </w:rPr>
        <w:t>ОРЗД</w:t>
      </w:r>
      <w:r>
        <w:rPr>
          <w:rFonts w:ascii="Calibri" w:eastAsia="Calibri" w:hAnsi="Calibri" w:cs="Arial"/>
        </w:rPr>
        <w:t>.</w:t>
      </w:r>
    </w:p>
    <w:p w14:paraId="2D627411" w14:textId="77777777" w:rsidR="00C85435" w:rsidRPr="00097CE0" w:rsidRDefault="00C85435" w:rsidP="00B91639">
      <w:pPr>
        <w:pStyle w:val="ProductList-Body"/>
        <w:numPr>
          <w:ilvl w:val="0"/>
          <w:numId w:val="7"/>
        </w:numPr>
        <w:ind w:left="540"/>
      </w:pPr>
      <w:r>
        <w:rPr>
          <w:rFonts w:ascii="Calibri" w:eastAsia="Calibri" w:hAnsi="Calibri" w:cs="Arial"/>
          <w:b/>
          <w:bCs/>
        </w:rPr>
        <w:t>Времетраене на обработването.</w:t>
      </w:r>
      <w:r>
        <w:rPr>
          <w:rFonts w:ascii="Calibri" w:eastAsia="Calibri" w:hAnsi="Calibri" w:cs="Arial"/>
        </w:rPr>
        <w:t xml:space="preserve"> </w:t>
      </w:r>
      <w:r>
        <w:rPr>
          <w:rFonts w:ascii="Calibri" w:hAnsi="Calibri"/>
        </w:rPr>
        <w:t>Времетраенето на обработването трябва да бъде в съответствие с инструкциите на Клиента и условията на DPA</w:t>
      </w:r>
      <w:r>
        <w:rPr>
          <w:rFonts w:ascii="Calibri" w:eastAsia="Calibri" w:hAnsi="Calibri" w:cs="Arial"/>
        </w:rPr>
        <w:t>.</w:t>
      </w:r>
    </w:p>
    <w:p w14:paraId="7B892252" w14:textId="77777777" w:rsidR="007962C7" w:rsidRPr="006366A8" w:rsidRDefault="007962C7" w:rsidP="00B91639">
      <w:pPr>
        <w:pStyle w:val="ProductList-Body"/>
        <w:numPr>
          <w:ilvl w:val="0"/>
          <w:numId w:val="7"/>
        </w:numPr>
        <w:ind w:left="540"/>
        <w:rPr>
          <w:rFonts w:ascii="Calibri" w:hAnsi="Calibri"/>
        </w:rPr>
      </w:pPr>
      <w:r>
        <w:rPr>
          <w:rFonts w:ascii="Calibri" w:eastAsia="Calibri" w:hAnsi="Calibri" w:cs="Arial"/>
          <w:b/>
          <w:bCs/>
        </w:rPr>
        <w:t>Естество и цел на обработването.</w:t>
      </w:r>
      <w:r>
        <w:rPr>
          <w:rFonts w:ascii="Calibri" w:eastAsia="Calibri" w:hAnsi="Calibri" w:cs="Arial"/>
        </w:rPr>
        <w:t xml:space="preserve"> </w:t>
      </w:r>
      <w:r>
        <w:rPr>
          <w:rFonts w:ascii="Calibri" w:hAnsi="Calibri"/>
        </w:rPr>
        <w:t>Естеството и целта на обработването е да се предостави Онлайн услугата съгласно споразумението за корпоративно лицензиране на Клиента</w:t>
      </w:r>
      <w:r>
        <w:rPr>
          <w:rFonts w:ascii="Calibri" w:eastAsia="Calibri" w:hAnsi="Calibri" w:cs="Arial"/>
        </w:rPr>
        <w:t xml:space="preserve"> и за законните бизнес дейности на Microsoft, свързани с предоставянето на Онлайн услугите (както е описано по-долу в раздела от настоящото DPA, озаглавен „Естество на обработването на данни: Собственост“ по-горе).</w:t>
      </w:r>
    </w:p>
    <w:p w14:paraId="12A9FBF2" w14:textId="57E38184" w:rsidR="00C85435" w:rsidRPr="00097CE0" w:rsidRDefault="007962C7" w:rsidP="00B91639">
      <w:pPr>
        <w:pStyle w:val="ProductList-Body"/>
        <w:numPr>
          <w:ilvl w:val="0"/>
          <w:numId w:val="7"/>
        </w:numPr>
        <w:ind w:left="540"/>
      </w:pPr>
      <w:r>
        <w:rPr>
          <w:rFonts w:ascii="Calibri" w:eastAsia="Calibri" w:hAnsi="Calibri" w:cs="Arial"/>
          <w:b/>
          <w:bCs/>
        </w:rPr>
        <w:t>Категории данни.</w:t>
      </w:r>
      <w:r>
        <w:rPr>
          <w:rFonts w:ascii="Calibri" w:eastAsia="Calibri" w:hAnsi="Calibri" w:cs="Arial"/>
        </w:rPr>
        <w:t xml:space="preserve"> </w:t>
      </w:r>
      <w:r w:rsidR="008A71B7" w:rsidRPr="00111ABC">
        <w:rPr>
          <w:rFonts w:ascii="Calibri" w:hAnsi="Calibri"/>
          <w:spacing w:val="-2"/>
        </w:rPr>
        <w:t>Типовете Лични данни, обработвани от Microsoft при предоставяне на Онлайн услугата, включват</w:t>
      </w:r>
      <w:r w:rsidR="008A71B7" w:rsidRPr="00111ABC">
        <w:rPr>
          <w:rFonts w:ascii="Calibri" w:eastAsia="Calibri" w:hAnsi="Calibri" w:cs="Arial"/>
          <w:spacing w:val="-2"/>
        </w:rPr>
        <w:t>: (i) Лични данни, които Клиентът избира за включване в Клиентските данни; и (ii)</w:t>
      </w:r>
      <w:r w:rsidR="008A71B7" w:rsidRPr="00111ABC">
        <w:rPr>
          <w:rFonts w:ascii="Calibri" w:hAnsi="Calibri"/>
          <w:spacing w:val="-2"/>
        </w:rPr>
        <w:t xml:space="preserve"> изрично посочените в чл. 4 на ОРЗД,</w:t>
      </w:r>
      <w:r w:rsidR="008A71B7" w:rsidRPr="00111ABC">
        <w:rPr>
          <w:rFonts w:ascii="Calibri" w:eastAsia="Calibri" w:hAnsi="Calibri" w:cs="Arial"/>
          <w:spacing w:val="-2"/>
        </w:rPr>
        <w:t xml:space="preserve"> които може да се съдържат в Диагностичните данни, или Данните, генерирани от услуги. Типовете Лични данни, които Клиентът избира за включване в Клиентските данни може да са от произволни категории Лични данни, идентифицирани в регистрите, поддържани от Клиента, действащ като администратор съгласно чл. 30 от ОРЗД, включително категориите Лични данни, посочени в </w:t>
      </w:r>
      <w:r w:rsidR="008A71B7">
        <w:fldChar w:fldCharType="begin"/>
      </w:r>
      <w:r w:rsidR="008A71B7">
        <w:instrText xml:space="preserve"> HYPERLINK \l "Appendix1toAttachment2" </w:instrText>
      </w:r>
      <w:r w:rsidR="008A71B7">
        <w:fldChar w:fldCharType="separate"/>
      </w:r>
      <w:r w:rsidR="008A71B7" w:rsidRPr="00111ABC">
        <w:rPr>
          <w:rStyle w:val="Hyperlink"/>
          <w:rFonts w:ascii="Calibri" w:eastAsia="Calibri" w:hAnsi="Calibri" w:cs="Arial"/>
          <w:spacing w:val="-2"/>
        </w:rPr>
        <w:t>Приложение 1 към Приложение 2</w:t>
      </w:r>
      <w:r w:rsidR="008A71B7">
        <w:rPr>
          <w:rStyle w:val="Hyperlink"/>
          <w:rFonts w:ascii="Calibri" w:eastAsia="Calibri" w:hAnsi="Calibri" w:cs="Arial"/>
          <w:spacing w:val="-2"/>
        </w:rPr>
        <w:fldChar w:fldCharType="end"/>
      </w:r>
      <w:r w:rsidR="008A71B7" w:rsidRPr="00111ABC">
        <w:rPr>
          <w:rFonts w:ascii="Calibri" w:eastAsia="Calibri" w:hAnsi="Calibri" w:cs="Arial"/>
          <w:spacing w:val="-2"/>
        </w:rPr>
        <w:t xml:space="preserve"> – Стандартните договорни клаузи (Лица, обработващи лични данни) от DPA</w:t>
      </w:r>
      <w:r w:rsidR="00C85435">
        <w:rPr>
          <w:rFonts w:ascii="Calibri" w:eastAsia="Calibri" w:hAnsi="Calibri" w:cs="Arial"/>
        </w:rPr>
        <w:t xml:space="preserve">. </w:t>
      </w:r>
    </w:p>
    <w:p w14:paraId="1E332199" w14:textId="60B47759" w:rsidR="00C85435" w:rsidRPr="00097CE0" w:rsidRDefault="00C85435" w:rsidP="00B91639">
      <w:pPr>
        <w:pStyle w:val="ProductList-Body"/>
        <w:numPr>
          <w:ilvl w:val="0"/>
          <w:numId w:val="7"/>
        </w:numPr>
        <w:spacing w:after="120"/>
        <w:ind w:left="540"/>
      </w:pPr>
      <w:r>
        <w:rPr>
          <w:rFonts w:ascii="Calibri" w:eastAsia="Calibri" w:hAnsi="Calibri" w:cs="Arial"/>
          <w:b/>
          <w:bCs/>
        </w:rPr>
        <w:t>Субекти на данни.</w:t>
      </w:r>
      <w:r>
        <w:rPr>
          <w:rFonts w:ascii="Calibri" w:eastAsia="Calibri" w:hAnsi="Calibri" w:cs="Arial"/>
        </w:rPr>
        <w:t xml:space="preserve"> </w:t>
      </w:r>
      <w:r>
        <w:rPr>
          <w:rFonts w:ascii="Calibri" w:hAnsi="Calibri"/>
        </w:rPr>
        <w:t>Категориите субекти на данни са представителите и крайните потребители на Клиента, като например служители, контрагенти, сътрудници и клиенти</w:t>
      </w:r>
      <w:r>
        <w:rPr>
          <w:rFonts w:ascii="Calibri" w:eastAsia="Calibri" w:hAnsi="Calibri" w:cs="Arial"/>
        </w:rPr>
        <w:t xml:space="preserve"> и може да включват всички други категории субекти на данни, идентифицирани в регистрите, поддържани от Клиента, действащ като администратор съгласно чл. 30 от ОРЗД, включително категориите субекти на данни, посочени в </w:t>
      </w:r>
      <w:r w:rsidR="00843131">
        <w:fldChar w:fldCharType="begin"/>
      </w:r>
      <w:r w:rsidR="00843131">
        <w:instrText xml:space="preserve"> HYPERLINK \l "Appendix1toAttachment2" </w:instrText>
      </w:r>
      <w:r w:rsidR="00843131">
        <w:fldChar w:fldCharType="separate"/>
      </w:r>
      <w:r>
        <w:rPr>
          <w:rStyle w:val="Hyperlink"/>
          <w:rFonts w:ascii="Calibri" w:eastAsia="Calibri" w:hAnsi="Calibri" w:cs="Arial"/>
        </w:rPr>
        <w:t>Приложение 1 към Приложение 2</w:t>
      </w:r>
      <w:r w:rsidR="00843131">
        <w:rPr>
          <w:rStyle w:val="Hyperlink"/>
          <w:rFonts w:ascii="Calibri" w:eastAsia="Calibri" w:hAnsi="Calibri" w:cs="Arial"/>
        </w:rPr>
        <w:fldChar w:fldCharType="end"/>
      </w:r>
      <w:r>
        <w:rPr>
          <w:rFonts w:ascii="Calibri" w:eastAsia="Calibri" w:hAnsi="Calibri" w:cs="Arial"/>
        </w:rPr>
        <w:t xml:space="preserve"> – Стандартните договорни клаузи (Лица, обработващи лични данни) от DPA.</w:t>
      </w:r>
    </w:p>
    <w:p w14:paraId="56570C63" w14:textId="77777777" w:rsidR="00C85435" w:rsidRPr="00097CE0" w:rsidRDefault="00C85435" w:rsidP="00B91639">
      <w:pPr>
        <w:pStyle w:val="ProductList-Body"/>
        <w:spacing w:after="120"/>
        <w:ind w:left="180"/>
        <w:outlineLvl w:val="2"/>
      </w:pPr>
      <w:bookmarkStart w:id="82" w:name="_Toc26972847"/>
      <w:bookmarkEnd w:id="81"/>
      <w:r>
        <w:rPr>
          <w:b/>
          <w:color w:val="0072C6"/>
        </w:rPr>
        <w:t>Права на субектите на данни; помощ във връзка с искания</w:t>
      </w:r>
      <w:bookmarkEnd w:id="82"/>
    </w:p>
    <w:p w14:paraId="64830E93" w14:textId="77777777" w:rsidR="00C85435" w:rsidRPr="00097CE0" w:rsidRDefault="00C85435" w:rsidP="00B91639">
      <w:pPr>
        <w:pStyle w:val="ProductList-Body"/>
        <w:spacing w:after="120"/>
        <w:ind w:left="180"/>
      </w:pPr>
      <w:r>
        <w:t>Microsoft ще предостави на Клиента Лични данни на субектите на данни по начин, който съответства на функционалността на Онлайн услугата и ролята на Microsoft като обработващ лични данни на субекти на данни, възможността да се изпълняват исканията на субектите на данни за упражняване на техните права по ОРЗД. Ако Microsoft получи искане от субект на данни на Клиента за упражняване на едно или повече от неговите права по ОРЗД във връзка с Онлайн услуга, за която Microsoft е обработваща лични данни или подизпълнител, Microsoft ще препрати субекта на данни да отправи искането си директно към Клиента. Клиентът е длъжен да отговори на всяко такова искане, включително, когато е необходимо, като използва функционалността на Онлайн услугата. Microsoft изпълнява обосновани искания от страна на Клиента за съдействие при отговора на искане от страна на такъв субект на данни.</w:t>
      </w:r>
    </w:p>
    <w:p w14:paraId="454F3592" w14:textId="77777777" w:rsidR="00C85435" w:rsidRPr="00097CE0" w:rsidRDefault="00C85435" w:rsidP="00B91639">
      <w:pPr>
        <w:pStyle w:val="ProductList-Body"/>
        <w:spacing w:after="120"/>
        <w:ind w:left="187"/>
        <w:outlineLvl w:val="2"/>
      </w:pPr>
      <w:bookmarkStart w:id="83" w:name="_Toc26972848"/>
      <w:r>
        <w:rPr>
          <w:b/>
          <w:color w:val="0072C6"/>
        </w:rPr>
        <w:t>Регистри на дейностите по обработване</w:t>
      </w:r>
      <w:bookmarkEnd w:id="83"/>
    </w:p>
    <w:p w14:paraId="0AC6FE21" w14:textId="77777777" w:rsidR="00C85435" w:rsidRPr="00097CE0" w:rsidRDefault="00C85435" w:rsidP="00B91639">
      <w:pPr>
        <w:pStyle w:val="ProductList-Body"/>
        <w:spacing w:after="120"/>
        <w:ind w:left="158"/>
      </w:pPr>
      <w:r>
        <w:t>До степента, в която ОРЗД изисква Microsoft да събира и поддържа регистри с определена информация, свързана с Клиента, Клиентът предоставя (когато е необходимо) тази информация на Microsoft и я поддържа точна и актуална. Microsoft може да предоставя тази информация на надзорния орган, ако това се изисква от ОРЗД.</w:t>
      </w:r>
    </w:p>
    <w:p w14:paraId="7224D640" w14:textId="77777777" w:rsidR="00C85435" w:rsidRPr="00097CE0" w:rsidRDefault="00C85435" w:rsidP="00B91639">
      <w:pPr>
        <w:pStyle w:val="ProductList-SubSubSectionHeading"/>
        <w:keepNext/>
        <w:spacing w:after="120"/>
        <w:outlineLvl w:val="1"/>
      </w:pPr>
      <w:bookmarkStart w:id="84" w:name="_Toc507768553"/>
      <w:bookmarkStart w:id="85" w:name="_Toc8395013"/>
      <w:bookmarkStart w:id="86" w:name="_Toc6563802"/>
      <w:bookmarkStart w:id="87" w:name="_Toc21617020"/>
      <w:bookmarkStart w:id="88" w:name="_Toc26972849"/>
      <w:bookmarkStart w:id="89" w:name="_Toc61437071"/>
      <w:bookmarkEnd w:id="74"/>
      <w:r>
        <w:lastRenderedPageBreak/>
        <w:t>Защита на данните</w:t>
      </w:r>
      <w:bookmarkEnd w:id="84"/>
      <w:bookmarkEnd w:id="85"/>
      <w:bookmarkEnd w:id="86"/>
      <w:bookmarkEnd w:id="87"/>
      <w:bookmarkEnd w:id="88"/>
      <w:bookmarkEnd w:id="89"/>
    </w:p>
    <w:p w14:paraId="4798B59C" w14:textId="77777777" w:rsidR="00C85435" w:rsidRPr="00097CE0" w:rsidRDefault="00C85435" w:rsidP="00B91639">
      <w:pPr>
        <w:pStyle w:val="ProductList-Body"/>
        <w:keepNext/>
        <w:spacing w:after="120"/>
        <w:ind w:left="180"/>
        <w:outlineLvl w:val="2"/>
      </w:pPr>
      <w:bookmarkStart w:id="90" w:name="_Toc26972850"/>
      <w:r>
        <w:rPr>
          <w:b/>
          <w:color w:val="0072C6"/>
        </w:rPr>
        <w:t>Практики и правила за защита</w:t>
      </w:r>
      <w:bookmarkEnd w:id="90"/>
    </w:p>
    <w:p w14:paraId="487BF73D" w14:textId="3886BA4B" w:rsidR="00C85435" w:rsidRPr="00097CE0" w:rsidRDefault="00C85435" w:rsidP="00B91639">
      <w:pPr>
        <w:pStyle w:val="ProductList-Body"/>
        <w:spacing w:after="120"/>
        <w:ind w:left="158"/>
      </w:pPr>
      <w:bookmarkStart w:id="91" w:name="_Hlk504328104"/>
      <w:r>
        <w:t xml:space="preserve">Microsoft внедрява и поддържа подходящи технически и организационни мерки с цел защита на Клиентските данни и Личните данни срещу случайно или неправомерно унищожаване, загуба, изменение, неразрешено изнасяне на информация или достъп до прехвърлени, съхранявани или обработвани по друг начин Лични данни. Тези мерки са предвидени в Правилата на Microsoft за защита. Microsoft ще осигури на Клиента достъп до тези правила, както и описания на съществуващите мерки за защита за Онлайн услугата и разумно изискваната от Клиента друга информация по отношение на правилата и практиките на Microsoft за защита. </w:t>
      </w:r>
    </w:p>
    <w:p w14:paraId="4616971C" w14:textId="77777777" w:rsidR="007962C7" w:rsidRPr="003330DF" w:rsidRDefault="007962C7" w:rsidP="00B91639">
      <w:pPr>
        <w:pStyle w:val="ProductList-Body"/>
        <w:spacing w:after="120"/>
        <w:ind w:left="158"/>
        <w:rPr>
          <w:spacing w:val="-2"/>
        </w:rPr>
      </w:pPr>
      <w:bookmarkStart w:id="92" w:name="_Toc26972852"/>
      <w:bookmarkEnd w:id="91"/>
      <w:r w:rsidRPr="003330DF">
        <w:rPr>
          <w:spacing w:val="-2"/>
        </w:rPr>
        <w:t>В допълнение тези мерки ще бъдат в съответствие с изискванията, предвидени в ISO 27001, ISO 27002 и ISO 27018. Всяка Основна онлайн услуга съответства и на стандартите и рамките за контрол, показани в таблицата в Приложение 1 към OST (или приемното местоположение в Правата за използване), и прилага и поддържа мерките за защита, предвидени в Приложение A за защитата на Клиентски данни.</w:t>
      </w:r>
    </w:p>
    <w:p w14:paraId="6BAFE8CF" w14:textId="77777777" w:rsidR="007962C7" w:rsidRDefault="007962C7" w:rsidP="00B91639">
      <w:pPr>
        <w:pStyle w:val="ProductList-Body"/>
        <w:spacing w:after="120"/>
        <w:ind w:left="158"/>
      </w:pPr>
      <w:bookmarkStart w:id="93" w:name="_Toc26972851"/>
      <w:r>
        <w:t>Microsoft има право да добавя отраслови или държавни стандарти по всяко време. Microsoft няма да премахва ISO 27001, ISO 27002, ISO</w:t>
      </w:r>
      <w:r w:rsidRPr="00D96637">
        <w:t xml:space="preserve"> </w:t>
      </w:r>
      <w:r>
        <w:t>27018 или стандартите или рамките, включени в таблицата в Приложение 1 към OST (или приемното местоположение в Правата за използване), освен ако използването им в отрасъла не бъде преустановено и не бъдат заменени от приемник (ако има такъв).</w:t>
      </w:r>
      <w:bookmarkEnd w:id="93"/>
    </w:p>
    <w:p w14:paraId="56832CA8" w14:textId="77777777" w:rsidR="007962C7" w:rsidRPr="00D47C72" w:rsidRDefault="007962C7" w:rsidP="00B91639">
      <w:pPr>
        <w:pStyle w:val="ProductList-Body"/>
        <w:spacing w:after="120"/>
        <w:ind w:left="187"/>
        <w:outlineLvl w:val="2"/>
        <w:rPr>
          <w:b/>
          <w:color w:val="0072C6"/>
        </w:rPr>
      </w:pPr>
      <w:bookmarkStart w:id="94" w:name="_Hlk40371496"/>
      <w:r>
        <w:rPr>
          <w:b/>
          <w:color w:val="0072C6"/>
        </w:rPr>
        <w:t xml:space="preserve">Шифроване на данните </w:t>
      </w:r>
    </w:p>
    <w:p w14:paraId="015512C2" w14:textId="77777777" w:rsidR="007962C7" w:rsidRDefault="007962C7" w:rsidP="00B91639">
      <w:pPr>
        <w:pStyle w:val="ProductList-Body"/>
        <w:spacing w:after="120"/>
        <w:ind w:left="158"/>
      </w:pPr>
      <w:r>
        <w:t>При пренос през публични мрежи между Клиента и Microsoft или между центровете за данни на Microsoft, Клиентските данни (включително Личните данни в тях) са шифровани по подразбиране.</w:t>
      </w:r>
    </w:p>
    <w:p w14:paraId="37BD5B44" w14:textId="77777777" w:rsidR="007962C7" w:rsidRDefault="007962C7" w:rsidP="00B91639">
      <w:pPr>
        <w:pStyle w:val="ProductList-Body"/>
        <w:spacing w:after="120"/>
        <w:ind w:left="158"/>
      </w:pPr>
      <w:r>
        <w:t>Microsoft шифрова също така Клиентските данни, които се съхраняват в покой в Онлайн услугите. В случай на Онлайн услуги, въз основа на които Клиентът или трето лице, действащо от името на Клиента, може да изгражда приложения (напр. определени Услуги на Azure), шифроването на съхраняваните в тези приложения данни може да се използва по преценка на Клиента, с помощта на възможностите, предоставяни от Microsoft или получени от Клиента от трети лица.</w:t>
      </w:r>
    </w:p>
    <w:p w14:paraId="766321C8" w14:textId="77777777" w:rsidR="007962C7" w:rsidRPr="00D47C72" w:rsidRDefault="007962C7" w:rsidP="00B91639">
      <w:pPr>
        <w:pStyle w:val="ProductList-Body"/>
        <w:spacing w:after="120"/>
        <w:ind w:left="187"/>
        <w:outlineLvl w:val="2"/>
        <w:rPr>
          <w:b/>
          <w:color w:val="0072C6"/>
        </w:rPr>
      </w:pPr>
      <w:r>
        <w:rPr>
          <w:b/>
          <w:color w:val="0072C6"/>
        </w:rPr>
        <w:t xml:space="preserve">Достъп до данните </w:t>
      </w:r>
    </w:p>
    <w:p w14:paraId="5413F868" w14:textId="77777777" w:rsidR="007962C7" w:rsidRPr="00B328B0" w:rsidRDefault="007962C7" w:rsidP="00B91639">
      <w:pPr>
        <w:pStyle w:val="ProductList-Body"/>
        <w:spacing w:after="120"/>
        <w:ind w:left="158"/>
      </w:pPr>
      <w:r>
        <w:t>Microsoft използва методи на достъп с минимални привилегии за осъществяване на контрол на достъпа до Клиентските данни (в това число Личните данни в тях). За Основните онлайн услуги Microsoft поддържа методите за контрол на достъпа, описани в таблицата, озаглавена „Мерки за защита“, в Приложение 1 – Бележки. Персоналът на Microsoft не разполага с постоянен достъп до Клиентските данни. Използват се мерки за контрол въз основа на изпълняваните роли, за да се гарантира, че достъпът до Клиентските данни, необходим за функционирането на услуга, е с подходяща цел, за ограничено време и одобрен под надзора на ръководните лица.</w:t>
      </w:r>
    </w:p>
    <w:bookmarkEnd w:id="94"/>
    <w:p w14:paraId="11FFA921" w14:textId="77777777" w:rsidR="00C85435" w:rsidRPr="00097CE0" w:rsidRDefault="00C85435" w:rsidP="00B91639">
      <w:pPr>
        <w:pStyle w:val="ProductList-Body"/>
        <w:spacing w:after="120"/>
        <w:ind w:left="180"/>
        <w:outlineLvl w:val="2"/>
      </w:pPr>
      <w:r>
        <w:rPr>
          <w:b/>
          <w:color w:val="0072C6"/>
        </w:rPr>
        <w:t>Отговорности на Клиента</w:t>
      </w:r>
      <w:bookmarkEnd w:id="92"/>
    </w:p>
    <w:p w14:paraId="18080BBE" w14:textId="77777777" w:rsidR="00C85435" w:rsidRPr="00097CE0" w:rsidRDefault="00C85435" w:rsidP="00B91639">
      <w:pPr>
        <w:pStyle w:val="ProductList-Body"/>
        <w:spacing w:after="120"/>
        <w:ind w:left="158"/>
      </w:pPr>
      <w:r>
        <w:t>Клиентът е единствено отговорен за това да взема независимо окончателно решение дали техническите и организационни мерки за дадена Онлайн услуга отговарят на изискванията на Клиента, включително задълженията му за защита съгласно приложимите Изисквания за защитата на данните. Клиентът потвърждава и приема, че (като се имат предвид достиженията на техническия прогрес, разходите за прилагане и естеството, обхватът, контекстът и целите на обработването на неговите Лични данни, както и рисковете за физическите лица) прилаганите от Microsoft практики и правила за защита осигуряват ниво на защита, което съответства на риска по отношение на неговите Лични данни. Клиентът носи отговорност за прилагането и поддържането на мерките за защита на поверителността за компонентите, предоставяни или управлявани от Клиента (като например записаните устройства в Microsoft Intune или в рамките на виртуална машина или приложение на клиент на Microsoft Azure).</w:t>
      </w:r>
    </w:p>
    <w:p w14:paraId="1854A774" w14:textId="77777777" w:rsidR="00C85435" w:rsidRPr="00097CE0" w:rsidDel="00BA1419" w:rsidRDefault="00C85435" w:rsidP="00B91639">
      <w:pPr>
        <w:pStyle w:val="ProductList-Body"/>
        <w:spacing w:after="120"/>
        <w:ind w:left="187"/>
        <w:outlineLvl w:val="2"/>
      </w:pPr>
      <w:bookmarkStart w:id="95" w:name="_Toc26972853"/>
      <w:r>
        <w:rPr>
          <w:b/>
          <w:color w:val="0072C6"/>
        </w:rPr>
        <w:t>Проверка на съответствието</w:t>
      </w:r>
      <w:bookmarkEnd w:id="95"/>
    </w:p>
    <w:p w14:paraId="02A8BB60" w14:textId="77777777" w:rsidR="00C85435" w:rsidRPr="00097CE0" w:rsidDel="00BA1419" w:rsidRDefault="00C85435" w:rsidP="00B91639">
      <w:pPr>
        <w:pStyle w:val="ProductList-Body"/>
        <w:spacing w:after="120"/>
        <w:ind w:left="158"/>
      </w:pPr>
      <w:r>
        <w:t>За всяка Онлайн услуга Microsoft ще извършва проверки на защитата на компютрите, компютърната среда и физическите центрове за данни, които се използват при обработването на Клиентски данни и Лични данни, по следния начин:</w:t>
      </w:r>
    </w:p>
    <w:p w14:paraId="1E290820" w14:textId="77777777" w:rsidR="00C85435" w:rsidRPr="00097CE0" w:rsidDel="00BA1419" w:rsidRDefault="00C85435" w:rsidP="00B91639">
      <w:pPr>
        <w:pStyle w:val="ProductList-Body"/>
        <w:numPr>
          <w:ilvl w:val="0"/>
          <w:numId w:val="2"/>
        </w:numPr>
        <w:ind w:left="605" w:hanging="274"/>
      </w:pPr>
      <w:r>
        <w:t>Когато извършването на проверки се постановява от стандарт или рамка, проверка на стандарта или рамката за контрол трябва да се извършва поне веднъж годишно.</w:t>
      </w:r>
    </w:p>
    <w:p w14:paraId="27297A96" w14:textId="77777777" w:rsidR="00C85435" w:rsidRPr="00097CE0" w:rsidDel="00BA1419" w:rsidRDefault="00C85435" w:rsidP="00B91639">
      <w:pPr>
        <w:pStyle w:val="ProductList-Body"/>
        <w:numPr>
          <w:ilvl w:val="0"/>
          <w:numId w:val="2"/>
        </w:numPr>
        <w:ind w:left="605" w:hanging="274"/>
      </w:pPr>
      <w:r>
        <w:t>Всяка проверка трябва да се извършва в съответствие със стандартите и правилата на регулаторния или акредитиращия орган за всеки приложим стандарт или рамка за контрол.</w:t>
      </w:r>
    </w:p>
    <w:p w14:paraId="7D50977E" w14:textId="77777777" w:rsidR="00C85435" w:rsidRPr="00097CE0" w:rsidDel="00BA1419" w:rsidRDefault="00C85435" w:rsidP="00B91639">
      <w:pPr>
        <w:pStyle w:val="ProductList-Body"/>
        <w:numPr>
          <w:ilvl w:val="0"/>
          <w:numId w:val="2"/>
        </w:numPr>
        <w:spacing w:after="120"/>
        <w:ind w:left="608" w:hanging="270"/>
      </w:pPr>
      <w:r>
        <w:t>Всяка проверка трябва да се извършва от квалифицирани, независими трети лица – одитори по защитата – по избор и за сметка на Microsoft.</w:t>
      </w:r>
    </w:p>
    <w:p w14:paraId="3CE90043" w14:textId="108C049D" w:rsidR="00C85435" w:rsidRPr="00097CE0" w:rsidRDefault="00C85435" w:rsidP="00B91639">
      <w:pPr>
        <w:pStyle w:val="ProductList-Body"/>
        <w:spacing w:after="120"/>
        <w:ind w:left="180"/>
      </w:pPr>
      <w:r>
        <w:t>Всяка проверка трябва да завърши с изготвянето на отчет за проверка („Отчет за проверка на Microsoft</w:t>
      </w:r>
      <w:r w:rsidR="00090CCF">
        <w:t>“</w:t>
      </w:r>
      <w:r>
        <w:t xml:space="preserve">), който Microsoft ще предоставя на адрес: </w:t>
      </w:r>
      <w:r w:rsidR="00843131">
        <w:fldChar w:fldCharType="begin"/>
      </w:r>
      <w:r w:rsidR="00843131">
        <w:instrText xml:space="preserve"> HYPERLINK "https://servicetrust.microsoft.com/" </w:instrText>
      </w:r>
      <w:r w:rsidR="00843131">
        <w:fldChar w:fldCharType="separate"/>
      </w:r>
      <w:r>
        <w:rPr>
          <w:rStyle w:val="Hyperlink"/>
          <w:color w:val="0070C0"/>
        </w:rPr>
        <w:t>https://servicetrust.microsoft.com/</w:t>
      </w:r>
      <w:r w:rsidR="00843131">
        <w:rPr>
          <w:rStyle w:val="Hyperlink"/>
          <w:color w:val="0070C0"/>
        </w:rPr>
        <w:fldChar w:fldCharType="end"/>
      </w:r>
      <w:r>
        <w:t xml:space="preserve"> или на друго, определено от Microsoft местоположение. Отчет за проверка на Microsoft ще представлява Поверителна информация на Microsoft и ще разкрива ясно всички съществени констатации на одитора. Microsoft трябва незабавно да отстрани проблемите, описани във всеки Отчет за проверка на Microsoft, по начин, удовлетворяващ одитора. При поискване от Клиента Microsoft ще му предостави всеки Отчет за проверка на Microsoft. Отчетът за проверка на Microsoft подлежи на забрана за изнасяне на информация и ограничения на разпространението за Microsoft и одитора.</w:t>
      </w:r>
    </w:p>
    <w:p w14:paraId="2ED1BA08" w14:textId="77777777" w:rsidR="00C85435" w:rsidRPr="00097CE0" w:rsidRDefault="00C85435" w:rsidP="00B91639">
      <w:pPr>
        <w:pStyle w:val="ProductList-Body"/>
        <w:spacing w:after="120"/>
        <w:ind w:left="158"/>
      </w:pPr>
      <w:r>
        <w:lastRenderedPageBreak/>
        <w:t>До степента, в която изискванията на Клиента за проверка съгласно Стандартните договорни клаузи или Изискванията за защита на данните не могат да бъдат достатъчно удовлетворени с отчети за проверка, документация или информация за съответствие, предоставяни от Microsoft на клиентите, Microsoft отговаря незабавно на допълнителните инструкции за проверка от страна на Клиента. Преди започване на проверката Клиентът и Microsoft определят по взаимно съгласие обхвата, времето, продължителността, контрола и изискванията за доказателства, както и хонорарите за проверката, при условие че това изискване за съгласие няма да позволи на Microsoft да отлага без основателна причина извършването на проверката. До степента, необходима за извършването на проверката, Microsoft ще предостави на разположение обработващите системи, оборудване и подкрепяща документация, свързани с обработването на Клиентски данни и Лични данни от Microsoft, свързаните с нея лица и подизпълнители за обработване на данни. Такава проверка се извършва от независима, акредитирана одитна фирма трето лице през нормално работно време, с достатъчно предизвестие за Microsoft и ще подлежи на разумни процедури за поверителност. Нито Клиентът, нито одиторът ще имат достъп до данни от други Клиенти на Microsoft или до системи или оборудване на Microsoft, които не са свързани с Онлайн услугите. Клиентът носи отговорност за всички разходи и такси, свързани с тази проверка включително всички обосновани разходи и такси за всяко време, което Microsoft отделя за такава проверка в допълнение към таксите за услуги, извършени от Microsoft. Ако отчетът, изготвен в резултат от поисканата от Клиента проверка, установи съществено несъответствие, Клиентът споделя този отчет за проверката с Microsoft и Microsoft коригира съответното съществено несъответствие.</w:t>
      </w:r>
    </w:p>
    <w:p w14:paraId="63F4B7F6" w14:textId="77777777" w:rsidR="00C85435" w:rsidRPr="00097CE0" w:rsidRDefault="00C85435" w:rsidP="00B91639">
      <w:pPr>
        <w:pStyle w:val="ProductList-Body"/>
        <w:spacing w:after="120"/>
        <w:ind w:left="158"/>
      </w:pPr>
      <w:r>
        <w:t>Ако са приложими Стандартните договорни клаузи, настоящият раздел представлява допълнение към Клауза 5, параграф f и Клауза 12, параграф 2 от Стандартните договорни клаузи. Никаква част от настоящия раздел на DPA не променя Стандартните договорни клаузи или Условията на ОРЗД и не засяга правата на който и да е надзорен орган или субект на данни според Стандартните договорни клаузи или Изискванията за защита на данните. Microsoft Corporation е предвиденият бенефициент трето лице на настоящия раздел.</w:t>
      </w:r>
    </w:p>
    <w:p w14:paraId="10CE5BEA" w14:textId="77777777" w:rsidR="00C85435" w:rsidRPr="00097CE0" w:rsidRDefault="00C85435" w:rsidP="00B91639">
      <w:pPr>
        <w:pStyle w:val="ProductList-SubSubSectionHeading"/>
        <w:spacing w:after="120"/>
        <w:outlineLvl w:val="1"/>
      </w:pPr>
      <w:bookmarkStart w:id="96" w:name="_Toc507768554"/>
      <w:bookmarkStart w:id="97" w:name="_Toc8395014"/>
      <w:bookmarkStart w:id="98" w:name="_Toc6563803"/>
      <w:bookmarkStart w:id="99" w:name="_Toc21617021"/>
      <w:bookmarkStart w:id="100" w:name="_Toc26972854"/>
      <w:bookmarkStart w:id="101" w:name="_Toc61437072"/>
      <w:r>
        <w:t>Уведомяване за пробив в защитата</w:t>
      </w:r>
      <w:bookmarkEnd w:id="96"/>
      <w:bookmarkEnd w:id="97"/>
      <w:bookmarkEnd w:id="98"/>
      <w:bookmarkEnd w:id="99"/>
      <w:bookmarkEnd w:id="100"/>
      <w:bookmarkEnd w:id="101"/>
    </w:p>
    <w:p w14:paraId="57A8DE0C" w14:textId="1434DEDB" w:rsidR="00C85435" w:rsidRPr="00097CE0" w:rsidRDefault="00C85435" w:rsidP="008A71B7">
      <w:pPr>
        <w:pStyle w:val="ProductList-Body"/>
        <w:spacing w:after="120"/>
      </w:pPr>
      <w:bookmarkStart w:id="102" w:name="_Hlk504328309"/>
      <w:r>
        <w:t>Ако Microsoft установи нарушение на защитата, водещо до случайно или неправомерно унищожаване, загуба или промяна; неправомерно разкриване или осъществяване на достъп до Клиентски данни или Лични данни по време на обработването им от Microsoft (всяко от които съставлява „Пробив в защитата</w:t>
      </w:r>
      <w:r w:rsidR="00090CCF">
        <w:t>“</w:t>
      </w:r>
      <w:r>
        <w:t>),</w:t>
      </w:r>
      <w:bookmarkEnd w:id="102"/>
      <w:r>
        <w:t>, Microsoft своевременно и без ненужно забавяне: (1) ще уведоми Клиента за Пробива в защитата; (2) ще разследва Пробива в защитата и ще предостави на Клиента подробна информация за Пробива в защитата; (3) ще предприеме разумни стъпки за смекчаване на ефектите и свеждане до минимум на вредите в резултат на Пробива в защитата.</w:t>
      </w:r>
    </w:p>
    <w:p w14:paraId="3FD177D1" w14:textId="77777777" w:rsidR="00C85435" w:rsidRPr="00097CE0" w:rsidRDefault="00C85435" w:rsidP="00B91639">
      <w:pPr>
        <w:pStyle w:val="ProductList-Body"/>
        <w:spacing w:after="120"/>
      </w:pPr>
      <w:r>
        <w:t>Уведомяванията за Пробиви в защитата ще се доставят на един или няколко от администраторите на Клиента по начин, избран от Microsoft, включително по имейл. Единствено Клиентът носи отговорност да гарантира, че администраторите на Клиента ще поддържат информацията за контакт във всеки приложим портал на Онлайн услугите точна. Клиентът е единствено отговорен за спазването на своите задължения съгласно законите относно уведомяването за инциденти, приложими за Клиента, и за изпълнението на задълженията за уведомяване на трети лица във връзка с Пробиви в защитата.</w:t>
      </w:r>
    </w:p>
    <w:p w14:paraId="125679F7" w14:textId="77777777" w:rsidR="00C85435" w:rsidRPr="00097CE0" w:rsidRDefault="00C85435" w:rsidP="00B91639">
      <w:pPr>
        <w:pStyle w:val="ProductList-Body"/>
        <w:spacing w:after="120"/>
      </w:pPr>
      <w:r>
        <w:t>Microsoft полага разумни усилия да подпомага Клиента в изпълнението на задължението му по чл. 33 на ОРЗД или друг приложим закон или разпоредба за уведомяване на съответния надзорен орган и субектите на данни за подобен Пробив в защитата.</w:t>
      </w:r>
    </w:p>
    <w:p w14:paraId="60FE4522" w14:textId="77777777" w:rsidR="00C85435" w:rsidRPr="00097CE0" w:rsidRDefault="00C85435" w:rsidP="00B91639">
      <w:pPr>
        <w:pStyle w:val="ProductList-Body"/>
        <w:spacing w:after="120"/>
      </w:pPr>
      <w:r>
        <w:t>Уведомяването от страна на Microsoft за Пробиви в защитата или реагирането при наличието на такива според настоящия раздел не представляват потвърждение от страна на Microsoft за вина или отговорност по отношение на Пробива в защитата.</w:t>
      </w:r>
    </w:p>
    <w:p w14:paraId="76EEF6E6" w14:textId="77777777" w:rsidR="00C85435" w:rsidRPr="00097CE0" w:rsidRDefault="00C85435" w:rsidP="00B91639">
      <w:pPr>
        <w:pStyle w:val="ProductList-Body"/>
        <w:spacing w:after="120"/>
      </w:pPr>
      <w:r>
        <w:t>Клиентът трябва да уведомява Microsoft незабавно за възможните злоупотреби с акаунтите или идентификационните данни за удостоверяване, както и за пробивите в защитата, свързани с дадена Онлайн услуга.</w:t>
      </w:r>
    </w:p>
    <w:p w14:paraId="5E88C2A3" w14:textId="77777777" w:rsidR="00C85435" w:rsidRPr="00097CE0" w:rsidRDefault="00C85435" w:rsidP="00B91639">
      <w:pPr>
        <w:pStyle w:val="ProductList-SubSubSectionHeading"/>
        <w:spacing w:after="120"/>
        <w:outlineLvl w:val="1"/>
      </w:pPr>
      <w:bookmarkStart w:id="103" w:name="_Toc507768555"/>
      <w:bookmarkStart w:id="104" w:name="_Toc8395015"/>
      <w:bookmarkStart w:id="105" w:name="_Toc6563804"/>
      <w:bookmarkStart w:id="106" w:name="_Toc21617022"/>
      <w:bookmarkStart w:id="107" w:name="_Toc26972855"/>
      <w:bookmarkStart w:id="108" w:name="DataTransfersandLocation"/>
      <w:bookmarkStart w:id="109" w:name="_Toc61437073"/>
      <w:r>
        <w:t xml:space="preserve">Прехвърляне и </w:t>
      </w:r>
      <w:bookmarkStart w:id="110" w:name="LocationofDataProcessing"/>
      <w:bookmarkStart w:id="111" w:name="_Toc489605583"/>
      <w:r>
        <w:t>местоположение на данните</w:t>
      </w:r>
      <w:bookmarkEnd w:id="103"/>
      <w:bookmarkEnd w:id="104"/>
      <w:bookmarkEnd w:id="105"/>
      <w:bookmarkEnd w:id="106"/>
      <w:bookmarkEnd w:id="107"/>
      <w:bookmarkEnd w:id="109"/>
      <w:bookmarkEnd w:id="110"/>
      <w:bookmarkEnd w:id="111"/>
    </w:p>
    <w:p w14:paraId="6EDDA655" w14:textId="77777777" w:rsidR="00C85435" w:rsidRPr="00097CE0" w:rsidRDefault="00C85435" w:rsidP="00B91639">
      <w:pPr>
        <w:pStyle w:val="ProductList-Body"/>
        <w:spacing w:after="120"/>
        <w:ind w:left="180"/>
        <w:outlineLvl w:val="2"/>
      </w:pPr>
      <w:bookmarkStart w:id="112" w:name="_Toc26972856"/>
      <w:bookmarkEnd w:id="108"/>
      <w:r>
        <w:rPr>
          <w:b/>
          <w:bCs/>
          <w:color w:val="0072C6"/>
        </w:rPr>
        <w:t>Прехвърляне на данни</w:t>
      </w:r>
      <w:bookmarkEnd w:id="112"/>
    </w:p>
    <w:p w14:paraId="440A50EB" w14:textId="77777777" w:rsidR="00B91639" w:rsidRPr="006366A8" w:rsidRDefault="00B91639" w:rsidP="00610E4E">
      <w:pPr>
        <w:pStyle w:val="ProductList-Body"/>
        <w:tabs>
          <w:tab w:val="clear" w:pos="158"/>
          <w:tab w:val="left" w:pos="360"/>
        </w:tabs>
        <w:spacing w:after="120"/>
        <w:ind w:left="180"/>
      </w:pPr>
      <w:r>
        <w:t>Клиентските данни и Личните данни, които Microsoft обработва от името на Клиента, не може да се прехвърлят или съхраняват и</w:t>
      </w:r>
      <w:r w:rsidRPr="00D96637">
        <w:t xml:space="preserve"> </w:t>
      </w:r>
      <w:r>
        <w:t>обработват в дадено географско местоположение, освен ако не е в съответствие с Условията на DPA и защитните мерки, предвидени по-долу в този раздел. С оглед на тези защитни мерки Клиентът назначава Microsoft да прехвърля Клиентските данни и Личните данни в</w:t>
      </w:r>
      <w:r w:rsidRPr="00D96637">
        <w:t xml:space="preserve"> </w:t>
      </w:r>
      <w:r>
        <w:t>САЩ или която и да е друга държава, в която фирмата Microsoft или нейните Подизпълнители извършват дейност, и да съхранява и</w:t>
      </w:r>
      <w:r w:rsidRPr="00D96637">
        <w:t xml:space="preserve"> </w:t>
      </w:r>
      <w:r>
        <w:t>обработва Клиентските данни и Личните данни за предоставянето на Онлайн услугите, с изключение на описаното на други места в</w:t>
      </w:r>
      <w:r w:rsidRPr="00D96637">
        <w:t xml:space="preserve"> </w:t>
      </w:r>
      <w:r>
        <w:t xml:space="preserve">Условията на DPA. </w:t>
      </w:r>
    </w:p>
    <w:p w14:paraId="3C52B769" w14:textId="77777777" w:rsidR="008A71B7" w:rsidRPr="003866D1" w:rsidRDefault="008A71B7" w:rsidP="008A71B7">
      <w:pPr>
        <w:spacing w:after="120" w:line="240" w:lineRule="auto"/>
        <w:ind w:left="180"/>
        <w:rPr>
          <w:sz w:val="18"/>
          <w:szCs w:val="18"/>
        </w:rPr>
      </w:pPr>
      <w:r>
        <w:rPr>
          <w:sz w:val="18"/>
          <w:szCs w:val="18"/>
        </w:rPr>
        <w:t xml:space="preserve">Всички прехвърляния на Клиентски данни и Лични данни извън Европейския съюз, Европейското икономическо пространство, Обединеното кралство и Швейцария с цел предоставяне на Основните онлайн услуги се уреждат от Стандартните договорни клаузи </w:t>
      </w:r>
      <w:r w:rsidRPr="008A71B7">
        <w:rPr>
          <w:sz w:val="18"/>
          <w:szCs w:val="18"/>
        </w:rPr>
        <w:t>в</w:t>
      </w:r>
      <w:r w:rsidRPr="008A71B7">
        <w:rPr>
          <w:sz w:val="18"/>
          <w:szCs w:val="18"/>
          <w:lang w:val="en-US"/>
        </w:rPr>
        <w:t> </w:t>
      </w:r>
      <w:hyperlink w:anchor="Attachment2" w:history="1">
        <w:r w:rsidRPr="008A71B7">
          <w:rPr>
            <w:rStyle w:val="Hyperlink"/>
            <w:sz w:val="18"/>
            <w:szCs w:val="18"/>
          </w:rPr>
          <w:t>Приложение 2</w:t>
        </w:r>
      </w:hyperlink>
      <w:r>
        <w:rPr>
          <w:sz w:val="18"/>
          <w:szCs w:val="18"/>
        </w:rPr>
        <w:t>.</w:t>
      </w:r>
    </w:p>
    <w:p w14:paraId="4C52F975" w14:textId="77777777" w:rsidR="008A71B7" w:rsidRPr="00111ABC" w:rsidRDefault="008A71B7" w:rsidP="008A71B7">
      <w:pPr>
        <w:spacing w:after="120" w:line="240" w:lineRule="auto"/>
        <w:ind w:left="180"/>
        <w:rPr>
          <w:spacing w:val="-2"/>
          <w:sz w:val="18"/>
          <w:szCs w:val="18"/>
        </w:rPr>
      </w:pPr>
      <w:r w:rsidRPr="00111ABC">
        <w:rPr>
          <w:spacing w:val="-2"/>
          <w:sz w:val="18"/>
          <w:szCs w:val="18"/>
        </w:rPr>
        <w:t>Microsoft ще спазва изискванията на законодателството за защита на данните на Европейското икономическо пространство и Швейцария по отношение на събирането, използването, прехвърлянето, съхранението и друго обработване на Лични данни от Европейското икономическо пространство, Обединеното кралство и Швейцария. Всички прехвърляния на Лични данни на трета държава или международна организация ще се извършват при вземане на съответните предпазни мерки, както е описано в чл. 46 от ОРЗД, и подобни прехвърляния и предпазни мерки ще бъдат документирани съгласно чл. 30, параграф 2 от ОРЗД.</w:t>
      </w:r>
    </w:p>
    <w:p w14:paraId="1842DE15" w14:textId="2638CDD4" w:rsidR="00C85435" w:rsidRPr="00097CE0" w:rsidRDefault="008A71B7" w:rsidP="008A71B7">
      <w:pPr>
        <w:pStyle w:val="ProductList-Body"/>
        <w:spacing w:after="120"/>
        <w:ind w:left="180"/>
      </w:pPr>
      <w:r w:rsidRPr="00111ABC">
        <w:rPr>
          <w:spacing w:val="-2"/>
          <w:szCs w:val="18"/>
        </w:rPr>
        <w:lastRenderedPageBreak/>
        <w:t>В допълнение Microsoft има сертифициране по Рамките за защита на неприкосновеността на личния живот в отношенията между ЕС и САЩ и</w:t>
      </w:r>
      <w:r>
        <w:rPr>
          <w:spacing w:val="-2"/>
          <w:szCs w:val="18"/>
          <w:lang w:val="en-US"/>
        </w:rPr>
        <w:t> </w:t>
      </w:r>
      <w:r w:rsidRPr="00111ABC">
        <w:rPr>
          <w:spacing w:val="-2"/>
          <w:szCs w:val="18"/>
        </w:rPr>
        <w:t>Швейцария и САЩ и свързаните с тях ангажименти, въпреки че Microsoft не разчита на Рамката за защита на неприкосновеността на личния живот в отношенията между ЕС и САЩ като правна основа за прехвърляне на Лични данни с оглед на решението на Съда на ЕС по дело C-311/18. Microsoft се съгласява да уведоми Клиента, ако прецени, че повече не може да изпълнява задължението си да осигурява същото ниво на защита, което се изисква от принципите, залегнали в Рамката за защита на неприкосновеността на личния живот</w:t>
      </w:r>
      <w:r w:rsidR="00C85435">
        <w:t>.</w:t>
      </w:r>
    </w:p>
    <w:p w14:paraId="59350089" w14:textId="77777777" w:rsidR="00C85435" w:rsidRPr="00097CE0" w:rsidRDefault="00C85435" w:rsidP="00B91639">
      <w:pPr>
        <w:pStyle w:val="ProductList-Body"/>
        <w:spacing w:after="120"/>
        <w:ind w:left="180"/>
        <w:outlineLvl w:val="2"/>
      </w:pPr>
      <w:bookmarkStart w:id="113" w:name="_Toc26972857"/>
      <w:bookmarkStart w:id="114" w:name="LocationofCustomerDataatRest"/>
      <w:r>
        <w:rPr>
          <w:b/>
          <w:color w:val="0072C6"/>
        </w:rPr>
        <w:t>Местоположение на Клиентски данни в покой</w:t>
      </w:r>
      <w:bookmarkEnd w:id="113"/>
    </w:p>
    <w:bookmarkEnd w:id="114"/>
    <w:p w14:paraId="52CE5249" w14:textId="77777777" w:rsidR="00B91639" w:rsidRPr="006366A8" w:rsidRDefault="00B91639" w:rsidP="00B91639">
      <w:pPr>
        <w:pStyle w:val="ProductList-Body"/>
        <w:tabs>
          <w:tab w:val="clear" w:pos="158"/>
          <w:tab w:val="left" w:pos="360"/>
        </w:tabs>
        <w:spacing w:after="120"/>
        <w:ind w:left="180"/>
      </w:pPr>
      <w:r>
        <w:t>За Основните онлайн услуги Microsoft ще съхранява Клиентските данни в покой в рамките на определени големи географски области (всяка от тях с названието „Географска област“), както е посочено в Приложение 1 към OST (или приемното местоположение в Правата за използване).</w:t>
      </w:r>
    </w:p>
    <w:p w14:paraId="2B9DBCE2" w14:textId="5B10F793" w:rsidR="00C85435" w:rsidRPr="00097CE0" w:rsidRDefault="00C85435" w:rsidP="00B91639">
      <w:pPr>
        <w:pStyle w:val="ProductList-Body"/>
        <w:tabs>
          <w:tab w:val="clear" w:pos="158"/>
          <w:tab w:val="left" w:pos="360"/>
        </w:tabs>
        <w:spacing w:after="120"/>
        <w:ind w:left="180"/>
      </w:pPr>
      <w:r>
        <w:t>Microsoft не управлява и не ограничава регионите, от които Клиентът или Крайните потребители на Клиента може да прехвърлят или да осъществяват достъп до Клиентските данни.</w:t>
      </w:r>
    </w:p>
    <w:p w14:paraId="60CFC808" w14:textId="77777777" w:rsidR="00C85435" w:rsidRPr="00097CE0" w:rsidRDefault="00C85435" w:rsidP="00B91639">
      <w:pPr>
        <w:pStyle w:val="ProductList-SubSubSectionHeading"/>
        <w:spacing w:after="120"/>
        <w:outlineLvl w:val="1"/>
      </w:pPr>
      <w:bookmarkStart w:id="115" w:name="_Toc507768556"/>
      <w:bookmarkStart w:id="116" w:name="_Toc8395016"/>
      <w:bookmarkStart w:id="117" w:name="_Toc6563805"/>
      <w:bookmarkStart w:id="118" w:name="_Toc21617023"/>
      <w:bookmarkStart w:id="119" w:name="_Toc26972858"/>
      <w:bookmarkStart w:id="120" w:name="_Toc61437074"/>
      <w:r>
        <w:t>Съхранение и изтриване на данните</w:t>
      </w:r>
      <w:bookmarkEnd w:id="115"/>
      <w:bookmarkEnd w:id="116"/>
      <w:bookmarkEnd w:id="117"/>
      <w:bookmarkEnd w:id="118"/>
      <w:bookmarkEnd w:id="119"/>
      <w:bookmarkEnd w:id="120"/>
    </w:p>
    <w:p w14:paraId="1E39C7A1" w14:textId="77777777" w:rsidR="00C85435" w:rsidRPr="00097CE0" w:rsidRDefault="00C85435" w:rsidP="00B91639">
      <w:pPr>
        <w:pStyle w:val="ProductList-Body"/>
        <w:spacing w:after="120"/>
      </w:pPr>
      <w:r>
        <w:t>Във всеки момент по време на срока на абонамента на Клиента, той ще има възможност да осъществява достъп до, да извлича и изтрива Клиентските данни, съхранявани във всяка Онлайн услуга.</w:t>
      </w:r>
    </w:p>
    <w:p w14:paraId="4E65B649" w14:textId="77777777" w:rsidR="00C85435" w:rsidRPr="00097CE0" w:rsidRDefault="00C85435" w:rsidP="00B91639">
      <w:pPr>
        <w:pStyle w:val="ProductList-Body"/>
        <w:spacing w:after="120"/>
      </w:pPr>
      <w:r>
        <w:t>Освен за безплатните пробни версии и услугите на LinkedIn Microsoft ще запази Клиентските данни, които се съхраняват в Онлайн услугите, в акаунт с ограничени функции в продължение на 90 дни след изтичане на срока или прекратяване на абонамента на Клиента, така че Клиентът да може да извлече данните. След изтичане на 90-дневния период на запазване Microsoft ще деактивира профила на Клиента и ще изтрие Клиентските данни и Личните данни в рамките на допълнителни 90 дни, освен ако Microsoft няма разрешението или задължението съгласно приложимото законодателство или има разрешението съгласно настоящото DPA да запазва такива данни.</w:t>
      </w:r>
    </w:p>
    <w:p w14:paraId="6ADDB89E" w14:textId="77777777" w:rsidR="00C85435" w:rsidRPr="00097CE0" w:rsidRDefault="00C85435" w:rsidP="00B91639">
      <w:pPr>
        <w:pStyle w:val="ProductList-Body"/>
        <w:spacing w:after="120"/>
      </w:pPr>
      <w:r>
        <w:t>Онлайн услугата може да не поддържа съхраняване или извличане на софтуер, предоставен от Клиента. Microsoft не носи отговорност за изтриването на Клиентски данни или Лични данни, както е описано в настоящия раздел.</w:t>
      </w:r>
    </w:p>
    <w:p w14:paraId="45F905F9" w14:textId="77777777" w:rsidR="00C85435" w:rsidRPr="00097CE0" w:rsidRDefault="00C85435" w:rsidP="00B91639">
      <w:pPr>
        <w:pStyle w:val="ProductList-SubSubSectionHeading"/>
        <w:spacing w:after="120"/>
        <w:outlineLvl w:val="1"/>
      </w:pPr>
      <w:bookmarkStart w:id="121" w:name="_Toc507768557"/>
      <w:bookmarkStart w:id="122" w:name="_Toc8395017"/>
      <w:bookmarkStart w:id="123" w:name="_Toc6563806"/>
      <w:bookmarkStart w:id="124" w:name="_Toc21617024"/>
      <w:bookmarkStart w:id="125" w:name="_Toc26972859"/>
      <w:bookmarkStart w:id="126" w:name="_Toc61437075"/>
      <w:r>
        <w:t>Ангажимент за поверителност на лицето, обработващо данните</w:t>
      </w:r>
      <w:bookmarkEnd w:id="121"/>
      <w:bookmarkEnd w:id="122"/>
      <w:bookmarkEnd w:id="123"/>
      <w:bookmarkEnd w:id="124"/>
      <w:bookmarkEnd w:id="125"/>
      <w:bookmarkEnd w:id="126"/>
    </w:p>
    <w:p w14:paraId="7D66EA6F" w14:textId="188A7B43" w:rsidR="00C85435" w:rsidRPr="00097CE0" w:rsidRDefault="00C85435" w:rsidP="00B91639">
      <w:pPr>
        <w:pStyle w:val="ProductList-Body"/>
        <w:spacing w:after="120"/>
      </w:pPr>
      <w:r>
        <w:t>Microsoft ще гарантира, че персоналът, който се занимава с обработването на Клиентски данни и Лични данни (i) ще обработва такива данни само съгласно инструкциите на Клиента или както е посочено в настоящото DPA и (ii) е длъжен да спазва поверителността и да осигури защитата на такива данни дори след приключването на ангажимента.</w:t>
      </w:r>
      <w:r>
        <w:rPr>
          <w:rFonts w:cstheme="minorHAnsi"/>
        </w:rPr>
        <w:t xml:space="preserve"> За служителите, които имат достъп до Клиентски данни и Лични данни, Microsoft </w:t>
      </w:r>
      <w:r>
        <w:rPr>
          <w:rFonts w:cstheme="minorHAnsi"/>
          <w:color w:val="000000"/>
        </w:rPr>
        <w:t xml:space="preserve">ще осигурява периодично и задължително обучение в сферата на поверителността и сигурността на личните данни </w:t>
      </w:r>
      <w:r>
        <w:rPr>
          <w:rFonts w:cstheme="minorHAnsi"/>
        </w:rPr>
        <w:t>в съответствие с приложимите Изисквания за защита на данните и отрасловите стандарти.</w:t>
      </w:r>
    </w:p>
    <w:p w14:paraId="0958161F" w14:textId="77777777" w:rsidR="00B91639" w:rsidRPr="006366A8" w:rsidRDefault="00B91639" w:rsidP="00B91639">
      <w:pPr>
        <w:pStyle w:val="ProductList-SubSubSectionHeading"/>
        <w:spacing w:after="120"/>
        <w:outlineLvl w:val="1"/>
      </w:pPr>
      <w:bookmarkStart w:id="127" w:name="_Toc507768558"/>
      <w:bookmarkStart w:id="128" w:name="_Toc8395018"/>
      <w:bookmarkStart w:id="129" w:name="_Toc6563807"/>
      <w:bookmarkStart w:id="130" w:name="_Toc21617025"/>
      <w:bookmarkStart w:id="131" w:name="_Toc26972860"/>
      <w:bookmarkStart w:id="132" w:name="_Toc42764844"/>
      <w:bookmarkStart w:id="133" w:name="_Toc61437076"/>
      <w:r>
        <w:t>Уведомления и мерки за контрол при използването на Подизпълнители</w:t>
      </w:r>
      <w:bookmarkEnd w:id="127"/>
      <w:bookmarkEnd w:id="128"/>
      <w:bookmarkEnd w:id="129"/>
      <w:bookmarkEnd w:id="130"/>
      <w:bookmarkEnd w:id="131"/>
      <w:bookmarkEnd w:id="132"/>
      <w:bookmarkEnd w:id="133"/>
    </w:p>
    <w:p w14:paraId="135568B9" w14:textId="77777777" w:rsidR="00B91639" w:rsidRPr="006366A8" w:rsidRDefault="00B91639" w:rsidP="00B91639">
      <w:pPr>
        <w:pStyle w:val="ProductList-Body"/>
        <w:spacing w:after="120"/>
      </w:pPr>
      <w:r>
        <w:t>Microsoft има право да наема Подизпълнители за предоставяне на определени ограничени или спомагателни услуги от името на фирмата.</w:t>
      </w:r>
      <w:r w:rsidRPr="00D86FDD">
        <w:t xml:space="preserve"> </w:t>
      </w:r>
      <w:r>
        <w:t>Клиентът се съгласява с това ангажиране, както и със Свързаните лица на Microsoft като Подизпълнители. Горните разрешения ще представляват предварително писмено съгласие на Клиента за възлагане на подизпълнители на обработката на Клиентски данни и</w:t>
      </w:r>
      <w:r w:rsidRPr="00D86FDD">
        <w:t xml:space="preserve"> </w:t>
      </w:r>
      <w:r>
        <w:t>Лични данни от страна на Microsoft, ако такова съгласие се изисква съгласно Стандартните договорни клаузи или Условията на ОРЗД.</w:t>
      </w:r>
    </w:p>
    <w:p w14:paraId="4E9F434B" w14:textId="77777777" w:rsidR="00B91639" w:rsidRPr="006366A8" w:rsidRDefault="00B91639" w:rsidP="00B91639">
      <w:pPr>
        <w:pStyle w:val="ProductList-Body"/>
        <w:spacing w:after="120"/>
      </w:pPr>
      <w:r>
        <w:t>Microsoft носи отговорност за спазването на посочените в настоящото DPA задължения на Microsoft от страна на нейните Подизпълнители. Microsoft предоставя информация за Подизпълнителите на своя уеб сайт. При ангажирането на Подизпълнител Microsoft ще гарантира посредством писмен договор, че Подизпълнителят може да осъществява достъп до Клиентски данни и Лични данни, и да ги използва единствено с цел доставка на услугите, за чието предоставяне е бил нает от Microsoft, като му е забранено да използва Клиентските данни или Личните данни за други цели. Microsoft ще гарантира, че Подизпълнителите са обвързани с писмени споразумения, които изискват от тях да осигурят поне нивото на защита на данните, което се изисква от Microsoft съгласно DPA, включително ограниченията за разкриване на Обработваните данни. Microsoft се съгласява да осъществява надзор върху Подизпълнителите, за да осигури изпълнението на тези договорни задължения.</w:t>
      </w:r>
    </w:p>
    <w:p w14:paraId="132F5D5F" w14:textId="4EE57607" w:rsidR="00C85435" w:rsidRPr="00097CE0" w:rsidRDefault="00B91639" w:rsidP="00B91639">
      <w:pPr>
        <w:pStyle w:val="ProductList-Body"/>
        <w:spacing w:after="120"/>
      </w:pPr>
      <w:r w:rsidRPr="00913328">
        <w:rPr>
          <w:spacing w:val="-2"/>
        </w:rPr>
        <w:t>Microsoft има право периодично да ангажира нови Подизпълнители. Microsoft ще уведомява Клиента (като актуализира уебсайта и осигури на Клиента механизъм за получаване на уведомление за актуализацията) за всеки нов Подизпълнител най-малко 6 месеца, преди да предостави на Подизпълнителя достъп до Клиентските данни. В допълнение, Microsoft ще уведомява Клиента (като актуализира уебсайта и осигури на Клиента механизъм за получаване на уведомление за актуализацията) за всеки нов Подизпълнител най-малко 30 дни, преди да предостави на Подизпълнителя достъп до Лични данни, различни от тези, които се съдържат в Клиентските данни. Ако ангажира нов Подизпълнител за нова Онлайн услуга, Microsoft ще предупреди Клиента преди тази Онлайн услуга да стане налична</w:t>
      </w:r>
      <w:r w:rsidR="00C85435">
        <w:t>.</w:t>
      </w:r>
    </w:p>
    <w:p w14:paraId="5E62B2AD" w14:textId="77777777" w:rsidR="00C85435" w:rsidRPr="00097CE0" w:rsidRDefault="00C85435" w:rsidP="00B91639">
      <w:pPr>
        <w:pStyle w:val="ProductList-Body"/>
        <w:spacing w:after="120"/>
      </w:pPr>
      <w:r>
        <w:t xml:space="preserve">Ако Клиентът не одобрява новия Подизпълнител, Клиентът може да прекрати абонамента за засегнатата Онлайн услуга без санкции, като предостави писмено известие за прекратяването преди изтичането на периода за известяване. Клиентът има право да включи и обяснение на основанието за неодобрение заедно с известието за прекратяване, за да може Microsoft да оцени повторно съответния нов Подизпълнител въз основа на приложимите опасения. Ако засегнатата Онлайн услуга е част от пакет (или подобна единична покупка на </w:t>
      </w:r>
      <w:r>
        <w:lastRenderedPageBreak/>
        <w:t>услуги), всяко прекратяване ще се прилага за целия пакет. След прекратяването Microsoft ще премахне платежните задължения за абонаментите за прекратените Онлайн услуги от следващите фактури на Клиента или неговия риселър.</w:t>
      </w:r>
    </w:p>
    <w:p w14:paraId="01E4B1F7" w14:textId="77777777" w:rsidR="00C85435" w:rsidRPr="00097CE0" w:rsidRDefault="00C85435" w:rsidP="00B91639">
      <w:pPr>
        <w:pStyle w:val="ProductList-SubSubSectionHeading"/>
        <w:spacing w:after="120"/>
        <w:outlineLvl w:val="1"/>
      </w:pPr>
      <w:bookmarkStart w:id="134" w:name="_Toc507768559"/>
      <w:bookmarkStart w:id="135" w:name="_Toc8395019"/>
      <w:bookmarkStart w:id="136" w:name="_Toc6563808"/>
      <w:bookmarkStart w:id="137" w:name="_Toc21617026"/>
      <w:bookmarkStart w:id="138" w:name="_Toc26972861"/>
      <w:bookmarkStart w:id="139" w:name="_Toc489605586"/>
      <w:bookmarkStart w:id="140" w:name="_Toc61437077"/>
      <w:r>
        <w:t>Образователни институции</w:t>
      </w:r>
      <w:bookmarkEnd w:id="134"/>
      <w:bookmarkEnd w:id="135"/>
      <w:bookmarkEnd w:id="136"/>
      <w:bookmarkEnd w:id="137"/>
      <w:bookmarkEnd w:id="138"/>
      <w:bookmarkEnd w:id="140"/>
    </w:p>
    <w:p w14:paraId="3D8C03D5" w14:textId="3A039682" w:rsidR="00C85435" w:rsidRPr="00097CE0" w:rsidRDefault="00C85435" w:rsidP="00B91639">
      <w:pPr>
        <w:pStyle w:val="ProductList-Body"/>
        <w:spacing w:after="120"/>
      </w:pPr>
      <w:r>
        <w:t>Ако даден Клиент представлява образователна агенция или институция, за която се прилагат разпоредбите в 20 U.S.C. § 1232g от FERPA (Family Educational Rights and Privacy Act; Закон за семейни права и поверителност в образованието), Microsoft потвърждава, че за целите на DPA Microsoft представлява „служител в сферата на образованието</w:t>
      </w:r>
      <w:r w:rsidR="00090CCF">
        <w:t>“</w:t>
      </w:r>
      <w:r>
        <w:t xml:space="preserve"> с „легитимен образователен интерес</w:t>
      </w:r>
      <w:r w:rsidR="00090CCF">
        <w:t>“</w:t>
      </w:r>
      <w:r>
        <w:t xml:space="preserve"> към Клиентските данни съгласно дефинициите на тези термини според FERPA и съответните разпоредби за прилагане, като Microsoft приема да съблюдава ограниченията и изискванията, наложени за служителите в сферата на образованието според 34 CFR 99.33(a).</w:t>
      </w:r>
    </w:p>
    <w:p w14:paraId="3F7BD793" w14:textId="77777777" w:rsidR="00C85435" w:rsidRPr="00097CE0" w:rsidRDefault="00C85435" w:rsidP="00B91639">
      <w:pPr>
        <w:pStyle w:val="ProductList-Body"/>
        <w:spacing w:after="120"/>
      </w:pPr>
      <w:r>
        <w:t>Клиентът разбира, че е възможно Microsoft да не притежава или да притежава ограничена информация за контакт с учащите и родителите на учащите в институцията на Клиента. Следователно Клиентът носи отговорност за получаването на всички родителски съгласия за използването на Онлайн услугата от страна на краен потребител, които може да се изискват според приложимото право, както и за предоставянето на известие от името на Microsoft на учащите (или на родител на учащия, в случай че известието касае учащ на възраст под 18 години, който не посещава институция за следгимназиално образование) по отношение на всички съдебни заповеди или законно издадени призовки, изискващи изнасяне на информация за Клиентски данни, с които Microsoft разполага, както може да се изисква според приложимото право.</w:t>
      </w:r>
    </w:p>
    <w:p w14:paraId="53D69FEB" w14:textId="77777777" w:rsidR="00C85435" w:rsidRPr="00097CE0" w:rsidRDefault="00C85435" w:rsidP="00B91639">
      <w:pPr>
        <w:pStyle w:val="ProductList-SubSubSectionHeading"/>
        <w:spacing w:after="120"/>
      </w:pPr>
      <w:bookmarkStart w:id="141" w:name="_Toc16510372"/>
      <w:bookmarkStart w:id="142" w:name="_Toc21617027"/>
      <w:bookmarkStart w:id="143" w:name="CJISCustomerAgreement"/>
      <w:bookmarkStart w:id="144" w:name="_Toc61437078"/>
      <w:r>
        <w:t>Споразумение с Клиента за CJIS</w:t>
      </w:r>
      <w:bookmarkEnd w:id="141"/>
      <w:bookmarkEnd w:id="142"/>
      <w:bookmarkEnd w:id="144"/>
    </w:p>
    <w:bookmarkEnd w:id="143"/>
    <w:p w14:paraId="6BC1D88E" w14:textId="11213B31" w:rsidR="00C85435" w:rsidRPr="00097CE0" w:rsidRDefault="00C85435" w:rsidP="00B91639">
      <w:pPr>
        <w:pStyle w:val="ProductList-Body"/>
        <w:spacing w:after="120"/>
      </w:pPr>
      <w:r>
        <w:t>Microsoft предоставя определени услуги в облак за правителствени организации („Обхванати услуги</w:t>
      </w:r>
      <w:r w:rsidR="00090CCF">
        <w:t>“</w:t>
      </w:r>
      <w:r>
        <w:t>) в съответствие с Политиката за сигурност за Информационните услуги на ФБР за наказателно правосъдие („Политика за CJIS</w:t>
      </w:r>
      <w:r>
        <w:rPr>
          <w:rFonts w:cs="Times New Roman"/>
          <w:szCs w:val="18"/>
          <w:rtl/>
          <w:lang w:bidi="he-IL"/>
        </w:rPr>
        <w:t>ׅ</w:t>
      </w:r>
      <w:r w:rsidR="00090CCF">
        <w:t>“</w:t>
      </w:r>
      <w:r>
        <w:t>). С Политиката за CJIS се урежда използването и предаването на информация, свързана с наказателно правосъдие. Всички Обхванати услуги на Microsoft във връзка със CJIS се уреждат от общите условия на Споразумението с Клиента за CJIS, което се намира на адрес</w:t>
      </w:r>
      <w:r w:rsidR="007E3533">
        <w:t xml:space="preserve"> </w:t>
      </w:r>
      <w:hyperlink r:id="rId21" w:history="1">
        <w:r>
          <w:rPr>
            <w:rStyle w:val="Hyperlink"/>
          </w:rPr>
          <w:t>http://aka.ms/CJISCustomerAgreement</w:t>
        </w:r>
      </w:hyperlink>
      <w:r>
        <w:t>.</w:t>
      </w:r>
    </w:p>
    <w:p w14:paraId="68EE06EE" w14:textId="77777777" w:rsidR="00C85435" w:rsidRPr="00097CE0" w:rsidRDefault="00C85435" w:rsidP="00B91639">
      <w:pPr>
        <w:pStyle w:val="ProductList-SubSubSectionHeading"/>
        <w:spacing w:after="120"/>
        <w:outlineLvl w:val="2"/>
      </w:pPr>
      <w:bookmarkStart w:id="145" w:name="_Toc8395020"/>
      <w:bookmarkStart w:id="146" w:name="_Toc6563809"/>
      <w:bookmarkStart w:id="147" w:name="_Toc21617028"/>
      <w:bookmarkStart w:id="148" w:name="_Toc26972862"/>
      <w:bookmarkStart w:id="149" w:name="HIPPA"/>
      <w:bookmarkStart w:id="150" w:name="_Toc61437079"/>
      <w:r>
        <w:t>Бизнес сътрудник по HIPAA</w:t>
      </w:r>
      <w:bookmarkEnd w:id="145"/>
      <w:bookmarkEnd w:id="146"/>
      <w:bookmarkEnd w:id="147"/>
      <w:bookmarkEnd w:id="148"/>
      <w:bookmarkEnd w:id="150"/>
    </w:p>
    <w:bookmarkEnd w:id="149"/>
    <w:p w14:paraId="0E8CBC6B" w14:textId="76EB545C" w:rsidR="00C85435" w:rsidRPr="00097CE0" w:rsidRDefault="00C85435" w:rsidP="00B91639">
      <w:pPr>
        <w:pStyle w:val="ProductList-Body"/>
        <w:spacing w:after="120"/>
      </w:pPr>
      <w:r>
        <w:t>Ако Клиентът е „покрито лице</w:t>
      </w:r>
      <w:r w:rsidR="00090CCF">
        <w:t>“</w:t>
      </w:r>
      <w:r>
        <w:t xml:space="preserve"> или „бизнес сътрудник</w:t>
      </w:r>
      <w:r w:rsidR="00090CCF">
        <w:t>“</w:t>
      </w:r>
      <w:r>
        <w:t xml:space="preserve"> и включва „защитена здравна информация</w:t>
      </w:r>
      <w:r w:rsidR="00090CCF">
        <w:t>“</w:t>
      </w:r>
      <w:r>
        <w:t xml:space="preserve"> в Клиентски данни, както тези термини са дефинирани в 45 CFR § 160.103, изпълнението на споразумението за корпоративно лицензиране на Клиента включва изпълнението на Споразумението за бизнес сътрудник („BAA</w:t>
      </w:r>
      <w:r w:rsidR="00090CCF">
        <w:t>“</w:t>
      </w:r>
      <w:r>
        <w:t xml:space="preserve">) по HIPAA, чийто пълен текст определя Онлайн услугите, за които се отнася, и е наличен на адрес: </w:t>
      </w:r>
      <w:r w:rsidR="00843131">
        <w:fldChar w:fldCharType="begin"/>
      </w:r>
      <w:r w:rsidR="00843131">
        <w:instrText xml:space="preserve"> HYPERLINK "http://aka.ms/BAA" </w:instrText>
      </w:r>
      <w:r w:rsidR="00843131">
        <w:fldChar w:fldCharType="separate"/>
      </w:r>
      <w:r>
        <w:rPr>
          <w:rStyle w:val="Hyperlink"/>
        </w:rPr>
        <w:t>http://aka.ms/BAA</w:t>
      </w:r>
      <w:r w:rsidR="00843131">
        <w:rPr>
          <w:rStyle w:val="Hyperlink"/>
        </w:rPr>
        <w:fldChar w:fldCharType="end"/>
      </w:r>
      <w:r>
        <w:t>. Клиентът може да се откаже от BAA, като изпрати следната информация до Microsoft в писмено известие (съгласно условията на споразумението за корпоративно лицензиране на Клиента):</w:t>
      </w:r>
    </w:p>
    <w:p w14:paraId="4825142F" w14:textId="77777777" w:rsidR="00C85435" w:rsidRPr="00097CE0" w:rsidRDefault="00C85435" w:rsidP="00B91639">
      <w:pPr>
        <w:pStyle w:val="ProductList-Body"/>
        <w:numPr>
          <w:ilvl w:val="0"/>
          <w:numId w:val="4"/>
        </w:numPr>
        <w:ind w:left="270"/>
      </w:pPr>
      <w:r>
        <w:t>пълното юридическо наименование на Клиента и на всяко Свързано лице, което се отписва; и</w:t>
      </w:r>
    </w:p>
    <w:bookmarkEnd w:id="139"/>
    <w:p w14:paraId="51843B92" w14:textId="77777777" w:rsidR="00C85435" w:rsidRPr="00097CE0" w:rsidRDefault="00C85435" w:rsidP="00B91639">
      <w:pPr>
        <w:pStyle w:val="ProductList-Body"/>
        <w:numPr>
          <w:ilvl w:val="0"/>
          <w:numId w:val="4"/>
        </w:numPr>
        <w:spacing w:after="120"/>
        <w:ind w:left="270"/>
      </w:pPr>
      <w:r>
        <w:t>ако Клиентът разполага с няколко споразумения за корпоративно лицензиране – съответното споразумение за корпоративно лицензиране, за което се прилага отписването.</w:t>
      </w:r>
    </w:p>
    <w:p w14:paraId="43E06D60" w14:textId="2EBF7227" w:rsidR="00C85435" w:rsidRPr="00097CE0" w:rsidRDefault="00C85435" w:rsidP="00B91639">
      <w:pPr>
        <w:pStyle w:val="ProductList-SubSubSectionHeading"/>
        <w:spacing w:after="120"/>
        <w:outlineLvl w:val="2"/>
      </w:pPr>
      <w:bookmarkStart w:id="151" w:name="_Toc26972863"/>
      <w:bookmarkStart w:id="152" w:name="_Hlk24722007"/>
      <w:bookmarkStart w:id="153" w:name="_Toc8395021"/>
      <w:bookmarkStart w:id="154" w:name="_Toc6563810"/>
      <w:bookmarkStart w:id="155" w:name="_Toc21617029"/>
      <w:bookmarkStart w:id="156" w:name="_Toc61437080"/>
      <w:r>
        <w:t>Закон за поверителност на потребителите в Калифорния (CCPA)</w:t>
      </w:r>
      <w:bookmarkEnd w:id="151"/>
      <w:bookmarkEnd w:id="156"/>
    </w:p>
    <w:p w14:paraId="13D0DAAA" w14:textId="1DD98F98" w:rsidR="00C85435" w:rsidRDefault="00B91639" w:rsidP="00B91639">
      <w:pPr>
        <w:pStyle w:val="ProductList-Body"/>
        <w:spacing w:after="120"/>
      </w:pPr>
      <w:r w:rsidRPr="002E59A4">
        <w:rPr>
          <w:spacing w:val="-2"/>
        </w:rPr>
        <w:t>Ако Microsoft обработва Лични данни в рамките на обхвата на CCPA, Microsoft поема следните допълнителни ангажименти към Клиента. Microsoft ще обработва Клиентските данни и Личните данни от името на Клиента и няма да запазва, използва или разкрива тези данни за каквато и да е цел, различна от целите, посочени в Условията на DPA и разрешени съгласно CCPA, включително по силата на освобождаване във връзка с „продажба“. При никакви обстоятелства Microsoft няма да продава такива данни. Тези Условия на CCPA не ограничават или намаляват ангажиментите, поети от Microsoft към Клиента за защита на данните в Условията на DPA, Правата за използване или в друго споразумение между Microsoft и Клиента</w:t>
      </w:r>
      <w:r w:rsidR="00C85435">
        <w:t>.</w:t>
      </w:r>
    </w:p>
    <w:p w14:paraId="123E2F55" w14:textId="77777777" w:rsidR="00B91639" w:rsidRPr="002367D9" w:rsidRDefault="00B91639" w:rsidP="00B91639">
      <w:pPr>
        <w:pStyle w:val="ProductList-SubSubSectionHeading"/>
        <w:spacing w:after="120"/>
        <w:outlineLvl w:val="2"/>
      </w:pPr>
      <w:bookmarkStart w:id="157" w:name="_Toc42764855"/>
      <w:bookmarkStart w:id="158" w:name="_Toc61437081"/>
      <w:r>
        <w:t>Биометрични данни</w:t>
      </w:r>
      <w:bookmarkEnd w:id="157"/>
      <w:bookmarkEnd w:id="158"/>
    </w:p>
    <w:p w14:paraId="3E668213" w14:textId="0388074A" w:rsidR="00B91639" w:rsidRPr="00B91639" w:rsidRDefault="005E311C" w:rsidP="00B91639">
      <w:pPr>
        <w:spacing w:after="120" w:line="240" w:lineRule="auto"/>
        <w:rPr>
          <w:sz w:val="18"/>
        </w:rPr>
      </w:pPr>
      <w:proofErr w:type="spellStart"/>
      <w:r w:rsidRPr="005E311C">
        <w:rPr>
          <w:sz w:val="18"/>
          <w:lang w:val="en-US"/>
        </w:rPr>
        <w:t>Ако</w:t>
      </w:r>
      <w:proofErr w:type="spellEnd"/>
      <w:r w:rsidRPr="005E311C">
        <w:rPr>
          <w:sz w:val="18"/>
          <w:lang w:val="en-US"/>
        </w:rPr>
        <w:t xml:space="preserve"> </w:t>
      </w:r>
      <w:proofErr w:type="spellStart"/>
      <w:r w:rsidRPr="005E311C">
        <w:rPr>
          <w:sz w:val="18"/>
          <w:lang w:val="en-US"/>
        </w:rPr>
        <w:t>Клиентът</w:t>
      </w:r>
      <w:proofErr w:type="spellEnd"/>
      <w:r w:rsidRPr="005E311C">
        <w:rPr>
          <w:sz w:val="18"/>
          <w:lang w:val="en-US"/>
        </w:rPr>
        <w:t xml:space="preserve"> </w:t>
      </w:r>
      <w:proofErr w:type="spellStart"/>
      <w:r w:rsidRPr="005E311C">
        <w:rPr>
          <w:sz w:val="18"/>
          <w:lang w:val="en-US"/>
        </w:rPr>
        <w:t>използва</w:t>
      </w:r>
      <w:proofErr w:type="spellEnd"/>
      <w:r w:rsidRPr="005E311C">
        <w:rPr>
          <w:sz w:val="18"/>
          <w:lang w:val="en-US"/>
        </w:rPr>
        <w:t xml:space="preserve"> </w:t>
      </w:r>
      <w:proofErr w:type="spellStart"/>
      <w:r w:rsidRPr="005E311C">
        <w:rPr>
          <w:sz w:val="18"/>
          <w:lang w:val="en-US"/>
        </w:rPr>
        <w:t>Онлайн</w:t>
      </w:r>
      <w:proofErr w:type="spellEnd"/>
      <w:r w:rsidRPr="005E311C">
        <w:rPr>
          <w:sz w:val="18"/>
          <w:lang w:val="en-US"/>
        </w:rPr>
        <w:t xml:space="preserve"> </w:t>
      </w:r>
      <w:proofErr w:type="spellStart"/>
      <w:r w:rsidRPr="005E311C">
        <w:rPr>
          <w:sz w:val="18"/>
          <w:lang w:val="en-US"/>
        </w:rPr>
        <w:t>услуга</w:t>
      </w:r>
      <w:proofErr w:type="spellEnd"/>
      <w:r w:rsidRPr="005E311C">
        <w:rPr>
          <w:sz w:val="18"/>
          <w:lang w:val="en-US"/>
        </w:rPr>
        <w:t xml:space="preserve"> </w:t>
      </w:r>
      <w:proofErr w:type="spellStart"/>
      <w:r w:rsidRPr="005E311C">
        <w:rPr>
          <w:sz w:val="18"/>
          <w:lang w:val="en-US"/>
        </w:rPr>
        <w:t>за</w:t>
      </w:r>
      <w:proofErr w:type="spellEnd"/>
      <w:r w:rsidRPr="005E311C">
        <w:rPr>
          <w:sz w:val="18"/>
          <w:lang w:val="en-US"/>
        </w:rPr>
        <w:t xml:space="preserve"> </w:t>
      </w:r>
      <w:proofErr w:type="spellStart"/>
      <w:r w:rsidRPr="005E311C">
        <w:rPr>
          <w:sz w:val="18"/>
          <w:lang w:val="en-US"/>
        </w:rPr>
        <w:t>обработка</w:t>
      </w:r>
      <w:proofErr w:type="spellEnd"/>
      <w:r w:rsidRPr="005E311C">
        <w:rPr>
          <w:sz w:val="18"/>
          <w:lang w:val="en-US"/>
        </w:rPr>
        <w:t xml:space="preserve"> </w:t>
      </w:r>
      <w:proofErr w:type="spellStart"/>
      <w:r w:rsidRPr="005E311C">
        <w:rPr>
          <w:sz w:val="18"/>
          <w:lang w:val="en-US"/>
        </w:rPr>
        <w:t>на</w:t>
      </w:r>
      <w:proofErr w:type="spellEnd"/>
      <w:r w:rsidRPr="005E311C">
        <w:rPr>
          <w:sz w:val="18"/>
          <w:lang w:val="en-US"/>
        </w:rPr>
        <w:t xml:space="preserve"> </w:t>
      </w:r>
      <w:proofErr w:type="spellStart"/>
      <w:r w:rsidRPr="005E311C">
        <w:rPr>
          <w:sz w:val="18"/>
          <w:lang w:val="en-US"/>
        </w:rPr>
        <w:t>Биометрични</w:t>
      </w:r>
      <w:proofErr w:type="spellEnd"/>
      <w:r w:rsidRPr="005E311C">
        <w:rPr>
          <w:sz w:val="18"/>
          <w:lang w:val="en-US"/>
        </w:rPr>
        <w:t xml:space="preserve"> </w:t>
      </w:r>
      <w:proofErr w:type="spellStart"/>
      <w:r w:rsidRPr="005E311C">
        <w:rPr>
          <w:sz w:val="18"/>
          <w:lang w:val="en-US"/>
        </w:rPr>
        <w:t>данни</w:t>
      </w:r>
      <w:proofErr w:type="spellEnd"/>
      <w:r w:rsidRPr="005E311C">
        <w:rPr>
          <w:sz w:val="18"/>
          <w:lang w:val="en-US"/>
        </w:rPr>
        <w:t xml:space="preserve">, </w:t>
      </w:r>
      <w:proofErr w:type="spellStart"/>
      <w:r w:rsidRPr="005E311C">
        <w:rPr>
          <w:sz w:val="18"/>
          <w:lang w:val="en-US"/>
        </w:rPr>
        <w:t>Клиентът</w:t>
      </w:r>
      <w:proofErr w:type="spellEnd"/>
      <w:r w:rsidRPr="005E311C">
        <w:rPr>
          <w:sz w:val="18"/>
          <w:lang w:val="en-US"/>
        </w:rPr>
        <w:t xml:space="preserve"> </w:t>
      </w:r>
      <w:proofErr w:type="spellStart"/>
      <w:r w:rsidRPr="005E311C">
        <w:rPr>
          <w:sz w:val="18"/>
          <w:lang w:val="en-US"/>
        </w:rPr>
        <w:t>носи</w:t>
      </w:r>
      <w:proofErr w:type="spellEnd"/>
      <w:r w:rsidRPr="005E311C">
        <w:rPr>
          <w:sz w:val="18"/>
          <w:lang w:val="en-US"/>
        </w:rPr>
        <w:t xml:space="preserve"> </w:t>
      </w:r>
      <w:proofErr w:type="spellStart"/>
      <w:r w:rsidRPr="005E311C">
        <w:rPr>
          <w:sz w:val="18"/>
          <w:lang w:val="en-US"/>
        </w:rPr>
        <w:t>отговорност</w:t>
      </w:r>
      <w:proofErr w:type="spellEnd"/>
      <w:r w:rsidRPr="005E311C">
        <w:rPr>
          <w:sz w:val="18"/>
          <w:lang w:val="en-US"/>
        </w:rPr>
        <w:t xml:space="preserve"> </w:t>
      </w:r>
      <w:proofErr w:type="spellStart"/>
      <w:r w:rsidRPr="005E311C">
        <w:rPr>
          <w:sz w:val="18"/>
          <w:lang w:val="en-US"/>
        </w:rPr>
        <w:t>за</w:t>
      </w:r>
      <w:proofErr w:type="spellEnd"/>
      <w:r w:rsidR="00B91639">
        <w:rPr>
          <w:sz w:val="18"/>
        </w:rPr>
        <w:t xml:space="preserve">: (i) уведомяването на субектите на данни, включително по отношение на периодите на запазване и унищожаване; (ii) получаването на съгласие от субектите на данни; и (iii) изтриването на Биометричните данни, както е подходящо и необходимо по силата на приложимите Изисквания за защита на данните. Microsoft ще обработва тези Биометрични данни в съответствие с писмените инструкции от Клиента (както е описано в раздела „Роли и отговорности на лицето, обработващо данни, и на администратора на данни“ по-горе) и ще ги защитава в съответствие с условията за сигурност и защита на данните съгласно настоящото DPA. За целите на настоящия раздел „Биометрични данни“ има значението, посочено в чл. 4 на ОРЗД и, ако е приложимо, в еквивалентни условия в други Изисквания за защита на данните. </w:t>
      </w:r>
    </w:p>
    <w:p w14:paraId="73BA0D8E" w14:textId="77777777" w:rsidR="00C85435" w:rsidRPr="00097CE0" w:rsidRDefault="00C85435" w:rsidP="008A71B7">
      <w:pPr>
        <w:pStyle w:val="ProductList-SubSubSectionHeading"/>
        <w:pageBreakBefore/>
        <w:spacing w:after="120"/>
        <w:outlineLvl w:val="2"/>
      </w:pPr>
      <w:bookmarkStart w:id="159" w:name="_Toc26972864"/>
      <w:bookmarkStart w:id="160" w:name="_Toc61437082"/>
      <w:bookmarkEnd w:id="152"/>
      <w:r>
        <w:lastRenderedPageBreak/>
        <w:t>Начини за връзка с Microsoft</w:t>
      </w:r>
      <w:bookmarkEnd w:id="153"/>
      <w:bookmarkEnd w:id="154"/>
      <w:bookmarkEnd w:id="155"/>
      <w:bookmarkEnd w:id="159"/>
      <w:bookmarkEnd w:id="160"/>
    </w:p>
    <w:p w14:paraId="43A6F074" w14:textId="77777777" w:rsidR="00C85435" w:rsidRPr="00097CE0" w:rsidRDefault="00C85435" w:rsidP="00B91639">
      <w:pPr>
        <w:pStyle w:val="ProductList-Body"/>
        <w:spacing w:after="120"/>
      </w:pPr>
      <w:r>
        <w:t xml:space="preserve">Ако Клиентът смята, че Microsoft не спазва ангажиментите си по отношение на поверителността или защитата, Клиентът може да се свърже с екипа за поддръжка на клиенти или да използва Уеб формуляра за поверителност на Microsoft, който се намира на адрес </w:t>
      </w:r>
      <w:hyperlink r:id="rId22" w:history="1">
        <w:r>
          <w:rPr>
            <w:rStyle w:val="Hyperlink"/>
          </w:rPr>
          <w:t>http://go.microsoft.com/?linkid=9846224</w:t>
        </w:r>
      </w:hyperlink>
      <w:r>
        <w:t xml:space="preserve">. Пощенският адрес на Microsoft е: </w:t>
      </w:r>
    </w:p>
    <w:p w14:paraId="76637352" w14:textId="77777777" w:rsidR="00C85435" w:rsidRPr="00097CE0" w:rsidRDefault="00C85435" w:rsidP="008A71B7">
      <w:pPr>
        <w:pStyle w:val="ProductList-Body"/>
        <w:ind w:left="187"/>
      </w:pPr>
      <w:r>
        <w:rPr>
          <w:b/>
        </w:rPr>
        <w:t>Microsoft Enterprise Service Privacy</w:t>
      </w:r>
    </w:p>
    <w:p w14:paraId="604C012E" w14:textId="77777777" w:rsidR="00C85435" w:rsidRPr="00097CE0" w:rsidRDefault="00C85435" w:rsidP="008A71B7">
      <w:pPr>
        <w:pStyle w:val="ProductList-Body"/>
        <w:ind w:left="180"/>
      </w:pPr>
      <w:r>
        <w:t>Microsoft Corporation</w:t>
      </w:r>
    </w:p>
    <w:p w14:paraId="5ED62D3B" w14:textId="77777777" w:rsidR="00C85435" w:rsidRPr="00097CE0" w:rsidRDefault="00C85435" w:rsidP="008A71B7">
      <w:pPr>
        <w:pStyle w:val="ProductList-Body"/>
        <w:ind w:left="180"/>
      </w:pPr>
      <w:r>
        <w:t>One Microsoft Way</w:t>
      </w:r>
    </w:p>
    <w:p w14:paraId="5992235F" w14:textId="77777777" w:rsidR="00C85435" w:rsidRPr="00097CE0" w:rsidRDefault="00C85435" w:rsidP="002D3CCD">
      <w:pPr>
        <w:pStyle w:val="ProductList-Body"/>
        <w:spacing w:after="120"/>
        <w:ind w:left="180"/>
      </w:pPr>
      <w:r>
        <w:t>Redmond, Washington 98052 САЩ</w:t>
      </w:r>
    </w:p>
    <w:p w14:paraId="5172DD35" w14:textId="77777777" w:rsidR="00C85435" w:rsidRPr="00097CE0" w:rsidRDefault="00C85435" w:rsidP="002D3CCD">
      <w:pPr>
        <w:pStyle w:val="ProductList-Body"/>
        <w:spacing w:after="120"/>
      </w:pPr>
      <w:r>
        <w:t>Microsoft Ireland Operations Limited е представителят на Microsoft за защита на данните за Европейската икономическа зона и Швейцария. Може да се свържете с представителя за поверителност от Microsoft Ireland Operations Limited на следния адрес:</w:t>
      </w:r>
    </w:p>
    <w:p w14:paraId="3E9D12E5" w14:textId="77777777" w:rsidR="00C85435" w:rsidRPr="00097CE0" w:rsidRDefault="00C85435" w:rsidP="002D3CCD">
      <w:pPr>
        <w:pStyle w:val="ProductList-Body"/>
        <w:ind w:left="187"/>
      </w:pPr>
      <w:r>
        <w:rPr>
          <w:b/>
        </w:rPr>
        <w:t>Microsoft Ireland Operations, Ltd.</w:t>
      </w:r>
    </w:p>
    <w:p w14:paraId="2AEAB076" w14:textId="77777777" w:rsidR="00C85435" w:rsidRPr="00097CE0" w:rsidRDefault="00C85435" w:rsidP="002D3CCD">
      <w:pPr>
        <w:pStyle w:val="ProductList-Body"/>
        <w:ind w:left="180"/>
      </w:pPr>
      <w:r>
        <w:t>На вниманието на: Data Protection</w:t>
      </w:r>
    </w:p>
    <w:p w14:paraId="08806D78" w14:textId="77777777" w:rsidR="00C85435" w:rsidRPr="00097CE0" w:rsidRDefault="00C85435" w:rsidP="002D3CCD">
      <w:pPr>
        <w:pStyle w:val="ProductList-Body"/>
        <w:ind w:left="180"/>
      </w:pPr>
      <w:r>
        <w:t>One Microsoft Place</w:t>
      </w:r>
    </w:p>
    <w:p w14:paraId="41F45CD3" w14:textId="77777777" w:rsidR="00C85435" w:rsidRPr="00097CE0" w:rsidRDefault="00C85435" w:rsidP="002D3CCD">
      <w:pPr>
        <w:pStyle w:val="ProductList-Body"/>
        <w:ind w:left="180"/>
      </w:pPr>
      <w:r>
        <w:t>South County Business Park</w:t>
      </w:r>
    </w:p>
    <w:p w14:paraId="5699E863" w14:textId="77777777" w:rsidR="00C85435" w:rsidRPr="00097CE0" w:rsidRDefault="00C85435" w:rsidP="002D3CCD">
      <w:pPr>
        <w:pStyle w:val="ProductList-Body"/>
        <w:ind w:left="180"/>
      </w:pPr>
      <w:r>
        <w:t>Leopardstown</w:t>
      </w:r>
    </w:p>
    <w:p w14:paraId="697500B8" w14:textId="77777777" w:rsidR="00C85435" w:rsidRPr="00097CE0" w:rsidRDefault="00C85435" w:rsidP="002D3CCD">
      <w:pPr>
        <w:pStyle w:val="ProductList-Body"/>
        <w:spacing w:after="120"/>
        <w:ind w:left="180"/>
      </w:pPr>
      <w:r>
        <w:t>Dublin 18, D18 P521, Ирландия</w:t>
      </w:r>
      <w:bookmarkStart w:id="161" w:name="_Hlk495669384"/>
      <w:bookmarkStart w:id="162" w:name="_Toc431459514"/>
      <w:bookmarkStart w:id="163" w:name="DataProcessingTerms"/>
      <w:bookmarkStart w:id="164" w:name="_Toc489605587"/>
    </w:p>
    <w:bookmarkEnd w:id="161"/>
    <w:bookmarkEnd w:id="162"/>
    <w:bookmarkEnd w:id="163"/>
    <w:bookmarkEnd w:id="164"/>
    <w:p w14:paraId="62F63AB2" w14:textId="3E517D2A" w:rsidR="0074788A" w:rsidRPr="00097CE0" w:rsidRDefault="00CE74B9" w:rsidP="0074788A">
      <w:pPr>
        <w:pStyle w:val="ProductList-Body"/>
        <w:shd w:val="clear" w:color="auto" w:fill="A6A6A6" w:themeFill="background1" w:themeFillShade="A6"/>
        <w:spacing w:after="120"/>
        <w:jc w:val="right"/>
      </w:pPr>
      <w:r>
        <w:fldChar w:fldCharType="begin"/>
      </w:r>
      <w:r w:rsidR="003E48DE">
        <w:instrText>HYPERLINK  \l "Съдържание" \o "Съдържание"</w:instrText>
      </w:r>
      <w:r>
        <w:fldChar w:fldCharType="separate"/>
      </w:r>
      <w:r>
        <w:rPr>
          <w:rStyle w:val="Hyperlink"/>
          <w:sz w:val="16"/>
          <w:szCs w:val="16"/>
        </w:rPr>
        <w:t>Съдържание</w:t>
      </w:r>
      <w:r>
        <w:rPr>
          <w:rStyle w:val="Hyperlink"/>
          <w:sz w:val="16"/>
          <w:szCs w:val="16"/>
        </w:rPr>
        <w:fldChar w:fldCharType="end"/>
      </w:r>
      <w:r>
        <w:rPr>
          <w:sz w:val="16"/>
          <w:szCs w:val="16"/>
        </w:rPr>
        <w:t>/</w:t>
      </w:r>
      <w:hyperlink w:anchor="GeneralTerms" w:tooltip="Общи условия" w:history="1">
        <w:r>
          <w:rPr>
            <w:rStyle w:val="Hyperlink"/>
            <w:sz w:val="16"/>
            <w:szCs w:val="16"/>
          </w:rPr>
          <w:t>Общи условия</w:t>
        </w:r>
      </w:hyperlink>
    </w:p>
    <w:p w14:paraId="0B83B18F" w14:textId="77777777" w:rsidR="001867D2" w:rsidRPr="00097CE0" w:rsidRDefault="001867D2" w:rsidP="007829B6">
      <w:pPr>
        <w:pStyle w:val="ProductList-Body"/>
        <w:spacing w:after="120"/>
      </w:pPr>
    </w:p>
    <w:p w14:paraId="10EF88D6" w14:textId="6F903D11" w:rsidR="001867D2" w:rsidRDefault="001867D2" w:rsidP="007829B6">
      <w:pPr>
        <w:pStyle w:val="ProductList-Body"/>
        <w:spacing w:after="120"/>
        <w:sectPr w:rsidR="001867D2" w:rsidSect="00E275D6">
          <w:footerReference w:type="default" r:id="rId23"/>
          <w:footerReference w:type="first" r:id="rId24"/>
          <w:type w:val="continuous"/>
          <w:pgSz w:w="12240" w:h="15840"/>
          <w:pgMar w:top="1440" w:right="720" w:bottom="1440" w:left="720" w:header="720" w:footer="720" w:gutter="0"/>
          <w:cols w:space="720"/>
          <w:titlePg/>
          <w:docGrid w:linePitch="360"/>
        </w:sectPr>
      </w:pPr>
    </w:p>
    <w:p w14:paraId="47EE7675" w14:textId="0B1A0366" w:rsidR="000E6ED8" w:rsidRPr="00097CE0" w:rsidRDefault="00301AD6" w:rsidP="007829B6">
      <w:pPr>
        <w:pStyle w:val="ProductList-SectionHeading"/>
        <w:spacing w:after="120"/>
        <w:outlineLvl w:val="0"/>
      </w:pPr>
      <w:bookmarkStart w:id="165" w:name="_Toc61437083"/>
      <w:r>
        <w:lastRenderedPageBreak/>
        <w:t>Приложение А – Мерки за защита</w:t>
      </w:r>
      <w:bookmarkEnd w:id="165"/>
    </w:p>
    <w:p w14:paraId="142FF82A" w14:textId="77777777" w:rsidR="006A13BF" w:rsidRPr="00097CE0" w:rsidRDefault="006A13BF" w:rsidP="00FF1275">
      <w:pPr>
        <w:pStyle w:val="ProductList-Body"/>
        <w:tabs>
          <w:tab w:val="clear" w:pos="158"/>
        </w:tabs>
        <w:spacing w:after="120"/>
      </w:pPr>
      <w:r>
        <w:t>Фирмата Microsoft е приложила и ще поддържа за Клиентските данни в Основните онлайн услуги посочените по-долу мерки за защита, които в съчетание с ангажиментите за защита в настоящото DPA (включително Условията на ОРЗД) представляват единствената отговорност на Microsoft по отношение на защитата на тези данни.</w:t>
      </w:r>
    </w:p>
    <w:tbl>
      <w:tblPr>
        <w:tblStyle w:val="TableGrid"/>
        <w:tblW w:w="10800" w:type="dxa"/>
        <w:tblInd w:w="-5" w:type="dxa"/>
        <w:tblCellMar>
          <w:top w:w="29" w:type="dxa"/>
          <w:left w:w="115" w:type="dxa"/>
          <w:bottom w:w="29" w:type="dxa"/>
          <w:right w:w="115" w:type="dxa"/>
        </w:tblCellMar>
        <w:tblLook w:val="04A0" w:firstRow="1" w:lastRow="0" w:firstColumn="1" w:lastColumn="0" w:noHBand="0" w:noVBand="1"/>
      </w:tblPr>
      <w:tblGrid>
        <w:gridCol w:w="2610"/>
        <w:gridCol w:w="8190"/>
      </w:tblGrid>
      <w:tr w:rsidR="006A13BF" w14:paraId="7F53108D" w14:textId="77777777" w:rsidTr="003452D9">
        <w:trPr>
          <w:tblHeader/>
        </w:trPr>
        <w:tc>
          <w:tcPr>
            <w:tcW w:w="2610" w:type="dxa"/>
            <w:shd w:val="clear" w:color="auto" w:fill="0072C6"/>
          </w:tcPr>
          <w:p w14:paraId="10792578" w14:textId="77777777" w:rsidR="006A13BF" w:rsidRPr="00231971" w:rsidRDefault="006A13BF" w:rsidP="003452D9">
            <w:pPr>
              <w:pStyle w:val="ProductList-Body"/>
              <w:spacing w:after="120"/>
              <w:rPr>
                <w:color w:val="FFFFFF" w:themeColor="background1"/>
                <w:sz w:val="16"/>
                <w:szCs w:val="16"/>
              </w:rPr>
            </w:pPr>
            <w:r>
              <w:rPr>
                <w:color w:val="FFFFFF" w:themeColor="background1"/>
                <w:sz w:val="16"/>
                <w:szCs w:val="16"/>
              </w:rPr>
              <w:t>Домейн</w:t>
            </w:r>
          </w:p>
        </w:tc>
        <w:tc>
          <w:tcPr>
            <w:tcW w:w="8190" w:type="dxa"/>
            <w:shd w:val="clear" w:color="auto" w:fill="0072C6"/>
          </w:tcPr>
          <w:p w14:paraId="129F2B76" w14:textId="77777777" w:rsidR="006A13BF" w:rsidRPr="00231971" w:rsidRDefault="006A13BF" w:rsidP="003452D9">
            <w:pPr>
              <w:pStyle w:val="ProductList-Body"/>
              <w:spacing w:after="120"/>
              <w:rPr>
                <w:color w:val="FFFFFF" w:themeColor="background1"/>
                <w:sz w:val="16"/>
                <w:szCs w:val="16"/>
              </w:rPr>
            </w:pPr>
            <w:r>
              <w:rPr>
                <w:color w:val="FFFFFF" w:themeColor="background1"/>
                <w:sz w:val="16"/>
                <w:szCs w:val="16"/>
              </w:rPr>
              <w:t>Практики</w:t>
            </w:r>
          </w:p>
        </w:tc>
      </w:tr>
      <w:tr w:rsidR="006A13BF" w14:paraId="7ED2E08F" w14:textId="77777777" w:rsidTr="003452D9">
        <w:tc>
          <w:tcPr>
            <w:tcW w:w="2610" w:type="dxa"/>
            <w:vAlign w:val="center"/>
          </w:tcPr>
          <w:p w14:paraId="30AEE464" w14:textId="77777777" w:rsidR="006A13BF" w:rsidRPr="00231971" w:rsidRDefault="006A13BF" w:rsidP="003452D9">
            <w:pPr>
              <w:pStyle w:val="ProductList-Body"/>
              <w:spacing w:after="120"/>
              <w:rPr>
                <w:sz w:val="16"/>
                <w:szCs w:val="16"/>
              </w:rPr>
            </w:pPr>
            <w:r>
              <w:rPr>
                <w:sz w:val="16"/>
                <w:szCs w:val="16"/>
              </w:rPr>
              <w:t>Организация на защитата на информация</w:t>
            </w:r>
          </w:p>
        </w:tc>
        <w:tc>
          <w:tcPr>
            <w:tcW w:w="8190" w:type="dxa"/>
          </w:tcPr>
          <w:p w14:paraId="407C8AD9" w14:textId="77777777" w:rsidR="006A13BF" w:rsidRPr="00097CE0" w:rsidRDefault="006A13BF" w:rsidP="003452D9">
            <w:pPr>
              <w:pStyle w:val="ProductList-Body"/>
              <w:spacing w:after="120"/>
            </w:pPr>
            <w:r>
              <w:rPr>
                <w:b/>
                <w:sz w:val="16"/>
                <w:szCs w:val="16"/>
              </w:rPr>
              <w:t>Собственост върху защитата</w:t>
            </w:r>
            <w:r w:rsidRPr="00FF1275">
              <w:rPr>
                <w:b/>
                <w:bCs/>
                <w:sz w:val="16"/>
              </w:rPr>
              <w:t>.</w:t>
            </w:r>
            <w:r>
              <w:rPr>
                <w:sz w:val="16"/>
              </w:rPr>
              <w:t xml:space="preserve"> </w:t>
            </w:r>
            <w:r>
              <w:rPr>
                <w:sz w:val="16"/>
                <w:szCs w:val="16"/>
              </w:rPr>
              <w:t>Фирмата Microsoft е назначила един или няколко служители по защитата, носещи отговорност за координирането и следенето на правилата и процедурите за защита.</w:t>
            </w:r>
          </w:p>
          <w:p w14:paraId="04E77B5B" w14:textId="77777777" w:rsidR="006A13BF" w:rsidRPr="00097CE0" w:rsidRDefault="006A13BF" w:rsidP="003452D9">
            <w:pPr>
              <w:pStyle w:val="ProductList-Body"/>
              <w:spacing w:after="120"/>
            </w:pPr>
            <w:r>
              <w:rPr>
                <w:b/>
                <w:sz w:val="16"/>
                <w:szCs w:val="16"/>
              </w:rPr>
              <w:t>Роли и отговорности по защитата</w:t>
            </w:r>
            <w:r w:rsidRPr="00FF1275">
              <w:rPr>
                <w:b/>
                <w:bCs/>
                <w:sz w:val="16"/>
              </w:rPr>
              <w:t>.</w:t>
            </w:r>
            <w:r>
              <w:rPr>
                <w:sz w:val="16"/>
              </w:rPr>
              <w:t xml:space="preserve"> </w:t>
            </w:r>
            <w:r>
              <w:rPr>
                <w:sz w:val="16"/>
                <w:szCs w:val="16"/>
              </w:rPr>
              <w:t>Персоналът на Microsoft, разполагащ с достъп до Клиентските данни, се подчинява на задължения за поверителност.</w:t>
            </w:r>
          </w:p>
          <w:p w14:paraId="3F740157" w14:textId="77777777" w:rsidR="006A13BF" w:rsidRPr="00097CE0" w:rsidRDefault="006A13BF" w:rsidP="003452D9">
            <w:pPr>
              <w:pStyle w:val="ProductList-Body"/>
              <w:spacing w:after="120"/>
            </w:pPr>
            <w:r>
              <w:rPr>
                <w:b/>
                <w:sz w:val="16"/>
                <w:szCs w:val="16"/>
              </w:rPr>
              <w:t>Програма за управление на риска</w:t>
            </w:r>
            <w:r w:rsidRPr="00FF1275">
              <w:rPr>
                <w:b/>
                <w:bCs/>
                <w:sz w:val="16"/>
              </w:rPr>
              <w:t>.</w:t>
            </w:r>
            <w:r>
              <w:rPr>
                <w:sz w:val="16"/>
              </w:rPr>
              <w:t xml:space="preserve"> </w:t>
            </w:r>
            <w:r>
              <w:rPr>
                <w:sz w:val="16"/>
                <w:szCs w:val="16"/>
              </w:rPr>
              <w:t>Фирмата Microsoft е извършила оценка на риска преди обработване на Клиентските данни или стартиране на Онлайн услугите.</w:t>
            </w:r>
          </w:p>
          <w:p w14:paraId="606431AF" w14:textId="77777777" w:rsidR="006A13BF" w:rsidRPr="00231971" w:rsidRDefault="006A13BF" w:rsidP="003452D9">
            <w:pPr>
              <w:pStyle w:val="ProductList-Body"/>
              <w:spacing w:after="120"/>
              <w:rPr>
                <w:sz w:val="16"/>
                <w:szCs w:val="16"/>
              </w:rPr>
            </w:pPr>
            <w:r>
              <w:rPr>
                <w:sz w:val="16"/>
                <w:szCs w:val="16"/>
              </w:rPr>
              <w:t>Microsoft си запазва документите за защита съгласно изискванията за съхранение след изтичане на срока на действие на документите.</w:t>
            </w:r>
          </w:p>
        </w:tc>
      </w:tr>
      <w:tr w:rsidR="006A13BF" w14:paraId="2389CD85" w14:textId="77777777" w:rsidTr="003452D9">
        <w:tc>
          <w:tcPr>
            <w:tcW w:w="2610" w:type="dxa"/>
            <w:vAlign w:val="center"/>
          </w:tcPr>
          <w:p w14:paraId="7AFDD3EB" w14:textId="77777777" w:rsidR="006A13BF" w:rsidRPr="00231971" w:rsidRDefault="006A13BF" w:rsidP="003452D9">
            <w:pPr>
              <w:pStyle w:val="ProductList-Body"/>
              <w:spacing w:after="120"/>
              <w:rPr>
                <w:sz w:val="16"/>
                <w:szCs w:val="16"/>
              </w:rPr>
            </w:pPr>
            <w:r>
              <w:rPr>
                <w:sz w:val="16"/>
                <w:szCs w:val="16"/>
              </w:rPr>
              <w:t>Управление на активи</w:t>
            </w:r>
          </w:p>
        </w:tc>
        <w:tc>
          <w:tcPr>
            <w:tcW w:w="8190" w:type="dxa"/>
          </w:tcPr>
          <w:p w14:paraId="76B7D5E1" w14:textId="77777777" w:rsidR="006A13BF" w:rsidRPr="00097CE0" w:rsidRDefault="006A13BF" w:rsidP="003452D9">
            <w:pPr>
              <w:pStyle w:val="ProductList-Body"/>
              <w:spacing w:after="120"/>
            </w:pPr>
            <w:r>
              <w:rPr>
                <w:b/>
                <w:sz w:val="16"/>
                <w:szCs w:val="16"/>
              </w:rPr>
              <w:t>Инвентар на активите</w:t>
            </w:r>
            <w:r w:rsidRPr="00FF1275">
              <w:rPr>
                <w:b/>
                <w:bCs/>
                <w:sz w:val="16"/>
              </w:rPr>
              <w:t>.</w:t>
            </w:r>
            <w:r>
              <w:rPr>
                <w:sz w:val="16"/>
              </w:rPr>
              <w:t xml:space="preserve"> </w:t>
            </w:r>
            <w:r>
              <w:rPr>
                <w:sz w:val="16"/>
                <w:szCs w:val="16"/>
              </w:rPr>
              <w:t>Microsoft поддържа инвентар с всички носители, на които се съхраняват Клиентски данни. Достъпът до инвентарите с тези носители е ограничен в писмен вид, така че само персонал на Microsoft да може да осъществява достъп до тях.</w:t>
            </w:r>
          </w:p>
          <w:p w14:paraId="05950E28" w14:textId="77777777" w:rsidR="006A13BF" w:rsidRPr="00097CE0" w:rsidRDefault="006A13BF" w:rsidP="003452D9">
            <w:pPr>
              <w:pStyle w:val="ProductList-Body"/>
              <w:keepNext/>
              <w:spacing w:after="120"/>
            </w:pPr>
            <w:r>
              <w:rPr>
                <w:b/>
                <w:sz w:val="16"/>
                <w:szCs w:val="16"/>
              </w:rPr>
              <w:t>Опериране с активите</w:t>
            </w:r>
          </w:p>
          <w:p w14:paraId="424CB9EC" w14:textId="77777777" w:rsidR="006A13BF" w:rsidRPr="00097CE0" w:rsidRDefault="006A13BF" w:rsidP="003452D9">
            <w:pPr>
              <w:pStyle w:val="ProductList-Body"/>
              <w:spacing w:after="120"/>
              <w:ind w:left="162" w:hanging="162"/>
            </w:pPr>
            <w:r>
              <w:rPr>
                <w:sz w:val="16"/>
                <w:szCs w:val="16"/>
              </w:rPr>
              <w:t>-</w:t>
            </w:r>
            <w:r>
              <w:rPr>
                <w:sz w:val="16"/>
                <w:szCs w:val="16"/>
              </w:rPr>
              <w:tab/>
              <w:t>Microsoft класифицира Клиентските данни, за да подобри идентифицирането на данните и да създаде възможност достъпът до тях да се ограничи по подходящ начин.</w:t>
            </w:r>
          </w:p>
          <w:p w14:paraId="14855EB7" w14:textId="77777777" w:rsidR="006A13BF" w:rsidRPr="00097CE0" w:rsidRDefault="006A13BF" w:rsidP="003452D9">
            <w:pPr>
              <w:pStyle w:val="ProductList-Body"/>
              <w:spacing w:after="120"/>
              <w:ind w:left="162" w:hanging="162"/>
            </w:pPr>
            <w:r>
              <w:rPr>
                <w:sz w:val="16"/>
                <w:szCs w:val="16"/>
              </w:rPr>
              <w:t>-</w:t>
            </w:r>
            <w:r>
              <w:rPr>
                <w:sz w:val="16"/>
                <w:szCs w:val="16"/>
              </w:rPr>
              <w:tab/>
              <w:t>Microsoft налага ограничения върху отпечатването на Клиентските данни и спазва определени процедури за изхвърляне на печатните материали, съдържащи Клиентски данни.</w:t>
            </w:r>
          </w:p>
          <w:p w14:paraId="5B8F4D00" w14:textId="77777777" w:rsidR="006A13BF" w:rsidRPr="00231971" w:rsidRDefault="006A13BF" w:rsidP="00F1097D">
            <w:pPr>
              <w:pStyle w:val="ProductList-Body"/>
              <w:numPr>
                <w:ilvl w:val="0"/>
                <w:numId w:val="3"/>
              </w:numPr>
              <w:spacing w:after="120"/>
              <w:ind w:left="162" w:hanging="180"/>
              <w:rPr>
                <w:sz w:val="16"/>
                <w:szCs w:val="16"/>
              </w:rPr>
            </w:pPr>
            <w:r>
              <w:rPr>
                <w:sz w:val="16"/>
                <w:szCs w:val="16"/>
              </w:rPr>
              <w:t>Персоналът на Microsoft трябва да се упълномощава от Microsoft преди съхраняването на Клиентски данни на преносими устройства, отдалеченото осъществяване на достъп до Клиентски данни или обработването на Клиентски данни извън учрежденията на Microsoft.</w:t>
            </w:r>
          </w:p>
        </w:tc>
      </w:tr>
      <w:tr w:rsidR="006A13BF" w14:paraId="25A1138E" w14:textId="77777777" w:rsidTr="003452D9">
        <w:tc>
          <w:tcPr>
            <w:tcW w:w="2610" w:type="dxa"/>
            <w:vAlign w:val="center"/>
          </w:tcPr>
          <w:p w14:paraId="789E3CF5" w14:textId="77777777" w:rsidR="006A13BF" w:rsidRPr="00231971" w:rsidRDefault="006A13BF" w:rsidP="003452D9">
            <w:pPr>
              <w:pStyle w:val="ProductList-Body"/>
              <w:spacing w:after="120"/>
              <w:rPr>
                <w:sz w:val="16"/>
                <w:szCs w:val="16"/>
              </w:rPr>
            </w:pPr>
            <w:r>
              <w:rPr>
                <w:sz w:val="16"/>
                <w:szCs w:val="16"/>
              </w:rPr>
              <w:t>Защита на човешките ресурси</w:t>
            </w:r>
          </w:p>
        </w:tc>
        <w:tc>
          <w:tcPr>
            <w:tcW w:w="8190" w:type="dxa"/>
          </w:tcPr>
          <w:p w14:paraId="69957471" w14:textId="77777777" w:rsidR="006A13BF" w:rsidRPr="00231971" w:rsidRDefault="006A13BF" w:rsidP="003452D9">
            <w:pPr>
              <w:pStyle w:val="ProductList-Body"/>
              <w:spacing w:after="120"/>
              <w:rPr>
                <w:sz w:val="16"/>
                <w:szCs w:val="16"/>
              </w:rPr>
            </w:pPr>
            <w:r>
              <w:rPr>
                <w:b/>
                <w:sz w:val="16"/>
                <w:szCs w:val="16"/>
              </w:rPr>
              <w:t>Обучение за защита</w:t>
            </w:r>
            <w:r w:rsidRPr="00FF1275">
              <w:rPr>
                <w:b/>
                <w:bCs/>
                <w:sz w:val="16"/>
                <w:szCs w:val="16"/>
              </w:rPr>
              <w:t>.</w:t>
            </w:r>
            <w:r>
              <w:rPr>
                <w:sz w:val="16"/>
                <w:szCs w:val="16"/>
              </w:rPr>
              <w:t xml:space="preserve"> Microsoft информира персонала си относно съответните процедури за защита и техните роли. Освен това Microsoft информира персонала си относно възможните последици от нарушаването на правилата и процедурите за защита. Microsoft ще използва само анонимни данни при обучението.</w:t>
            </w:r>
          </w:p>
        </w:tc>
      </w:tr>
      <w:tr w:rsidR="006A13BF" w14:paraId="714ABA35" w14:textId="77777777" w:rsidTr="003452D9">
        <w:tc>
          <w:tcPr>
            <w:tcW w:w="2610" w:type="dxa"/>
            <w:vAlign w:val="center"/>
          </w:tcPr>
          <w:p w14:paraId="2F77F5C5" w14:textId="77777777" w:rsidR="006A13BF" w:rsidRPr="00231971" w:rsidRDefault="006A13BF" w:rsidP="003452D9">
            <w:pPr>
              <w:pStyle w:val="ProductList-Body"/>
              <w:spacing w:after="120"/>
              <w:rPr>
                <w:sz w:val="16"/>
                <w:szCs w:val="16"/>
              </w:rPr>
            </w:pPr>
            <w:r>
              <w:rPr>
                <w:sz w:val="16"/>
                <w:szCs w:val="16"/>
              </w:rPr>
              <w:t>Физическа защита и защита на средата</w:t>
            </w:r>
          </w:p>
        </w:tc>
        <w:tc>
          <w:tcPr>
            <w:tcW w:w="8190" w:type="dxa"/>
          </w:tcPr>
          <w:p w14:paraId="281C4F79" w14:textId="77777777" w:rsidR="006A13BF" w:rsidRPr="00097CE0" w:rsidRDefault="006A13BF" w:rsidP="003452D9">
            <w:pPr>
              <w:pStyle w:val="ProductList-Body"/>
              <w:spacing w:after="120"/>
            </w:pPr>
            <w:r>
              <w:rPr>
                <w:b/>
                <w:sz w:val="16"/>
                <w:szCs w:val="16"/>
              </w:rPr>
              <w:t>Физически достъп до учрежденията</w:t>
            </w:r>
            <w:r w:rsidRPr="00FF1275">
              <w:rPr>
                <w:b/>
                <w:bCs/>
                <w:sz w:val="16"/>
              </w:rPr>
              <w:t>.</w:t>
            </w:r>
            <w:r>
              <w:rPr>
                <w:sz w:val="16"/>
              </w:rPr>
              <w:t xml:space="preserve"> </w:t>
            </w:r>
            <w:r>
              <w:rPr>
                <w:sz w:val="16"/>
                <w:szCs w:val="16"/>
              </w:rPr>
              <w:t>Microsoft ограничава достъпа до учрежденията, където са разположени информационните системи, обработващи Клиентски данни, така че само идентифицирани упълномощени лица да могат да осъществяват достъп до тях.</w:t>
            </w:r>
          </w:p>
          <w:p w14:paraId="6121A4AE" w14:textId="77777777" w:rsidR="006A13BF" w:rsidRPr="00097CE0" w:rsidRDefault="006A13BF" w:rsidP="003452D9">
            <w:pPr>
              <w:pStyle w:val="ProductList-Body"/>
              <w:spacing w:after="120"/>
            </w:pPr>
            <w:r>
              <w:rPr>
                <w:b/>
                <w:sz w:val="16"/>
                <w:szCs w:val="16"/>
              </w:rPr>
              <w:t>Физически достъп до компонентите</w:t>
            </w:r>
            <w:r w:rsidRPr="00FF1275">
              <w:rPr>
                <w:b/>
                <w:bCs/>
                <w:sz w:val="16"/>
              </w:rPr>
              <w:t>.</w:t>
            </w:r>
            <w:r>
              <w:rPr>
                <w:sz w:val="16"/>
              </w:rPr>
              <w:t xml:space="preserve"> </w:t>
            </w:r>
            <w:r>
              <w:rPr>
                <w:sz w:val="16"/>
                <w:szCs w:val="16"/>
              </w:rPr>
              <w:t>Microsoft поддържа записи за входящите и изходящите носители, съдържащи Клиентски данни, включително за вида на носителите, за упълномощените податели/получатели, за датата и часа, за броя на носителите, както и за видовете Клиентски данни, които се съдържат на тях.</w:t>
            </w:r>
          </w:p>
          <w:p w14:paraId="62B78B3D" w14:textId="77777777" w:rsidR="006A13BF" w:rsidRPr="00097CE0" w:rsidRDefault="006A13BF" w:rsidP="003452D9">
            <w:pPr>
              <w:pStyle w:val="ProductList-Body"/>
              <w:spacing w:after="120"/>
            </w:pPr>
            <w:r>
              <w:rPr>
                <w:b/>
                <w:sz w:val="16"/>
                <w:szCs w:val="16"/>
              </w:rPr>
              <w:t>Защита от прекъсвания</w:t>
            </w:r>
            <w:r w:rsidRPr="00FF1275">
              <w:rPr>
                <w:b/>
                <w:bCs/>
                <w:sz w:val="16"/>
              </w:rPr>
              <w:t>.</w:t>
            </w:r>
            <w:r>
              <w:rPr>
                <w:sz w:val="16"/>
              </w:rPr>
              <w:t xml:space="preserve"> </w:t>
            </w:r>
            <w:r>
              <w:rPr>
                <w:sz w:val="16"/>
                <w:szCs w:val="16"/>
              </w:rPr>
              <w:t>Microsoft използва разнообразни стандартни за индустрията системи за защита срещу загуба на данни поради прекъсвания на захранването или смущения във връзката.</w:t>
            </w:r>
          </w:p>
          <w:p w14:paraId="36658FCF" w14:textId="77777777" w:rsidR="006A13BF" w:rsidRPr="00231971" w:rsidRDefault="006A13BF" w:rsidP="003452D9">
            <w:pPr>
              <w:pStyle w:val="ProductList-Body"/>
              <w:spacing w:after="120"/>
              <w:rPr>
                <w:sz w:val="16"/>
                <w:szCs w:val="16"/>
              </w:rPr>
            </w:pPr>
            <w:r>
              <w:rPr>
                <w:b/>
                <w:sz w:val="16"/>
                <w:szCs w:val="16"/>
              </w:rPr>
              <w:t>Изхвърляне на компоненти</w:t>
            </w:r>
            <w:r w:rsidRPr="00FF1275">
              <w:rPr>
                <w:b/>
                <w:bCs/>
                <w:sz w:val="16"/>
              </w:rPr>
              <w:t>.</w:t>
            </w:r>
            <w:r>
              <w:rPr>
                <w:sz w:val="16"/>
              </w:rPr>
              <w:t xml:space="preserve"> </w:t>
            </w:r>
            <w:r>
              <w:rPr>
                <w:sz w:val="16"/>
                <w:szCs w:val="16"/>
              </w:rPr>
              <w:t>Microsoft използва стандартни за индустрията процеси за изтриване на Клиентските данни, когато те вече не са необходими.</w:t>
            </w:r>
          </w:p>
        </w:tc>
      </w:tr>
      <w:tr w:rsidR="006A13BF" w14:paraId="180324AA" w14:textId="77777777" w:rsidTr="003452D9">
        <w:tc>
          <w:tcPr>
            <w:tcW w:w="2610" w:type="dxa"/>
            <w:tcBorders>
              <w:bottom w:val="single" w:sz="4" w:space="0" w:color="auto"/>
            </w:tcBorders>
            <w:vAlign w:val="center"/>
          </w:tcPr>
          <w:p w14:paraId="5AD6846E" w14:textId="77777777" w:rsidR="006A13BF" w:rsidRPr="00231971" w:rsidRDefault="006A13BF" w:rsidP="003452D9">
            <w:pPr>
              <w:pStyle w:val="ProductList-Body"/>
              <w:spacing w:after="120"/>
              <w:rPr>
                <w:sz w:val="16"/>
                <w:szCs w:val="16"/>
              </w:rPr>
            </w:pPr>
            <w:r>
              <w:rPr>
                <w:sz w:val="16"/>
                <w:szCs w:val="16"/>
              </w:rPr>
              <w:t>Управление на комуникациите и операциите</w:t>
            </w:r>
          </w:p>
        </w:tc>
        <w:tc>
          <w:tcPr>
            <w:tcW w:w="8190" w:type="dxa"/>
            <w:tcBorders>
              <w:bottom w:val="single" w:sz="4" w:space="0" w:color="auto"/>
            </w:tcBorders>
          </w:tcPr>
          <w:p w14:paraId="72A34F7E" w14:textId="77777777" w:rsidR="006A13BF" w:rsidRPr="00097CE0" w:rsidRDefault="006A13BF" w:rsidP="003452D9">
            <w:pPr>
              <w:pStyle w:val="ProductList-Body"/>
              <w:spacing w:after="120"/>
            </w:pPr>
            <w:r>
              <w:rPr>
                <w:b/>
                <w:sz w:val="16"/>
                <w:szCs w:val="16"/>
              </w:rPr>
              <w:t>Работни правила</w:t>
            </w:r>
            <w:r w:rsidRPr="00FF1275">
              <w:rPr>
                <w:b/>
                <w:bCs/>
                <w:sz w:val="16"/>
                <w:szCs w:val="16"/>
              </w:rPr>
              <w:t>.</w:t>
            </w:r>
            <w:r>
              <w:rPr>
                <w:sz w:val="16"/>
                <w:szCs w:val="16"/>
              </w:rPr>
              <w:t xml:space="preserve"> Microsoft поддържа документация за защитата, където са описани предприетите мерки за защита и съответните процедури и отговорности на персонала, разполагащ с достъп до Клиентските данни.</w:t>
            </w:r>
          </w:p>
          <w:p w14:paraId="7E2D8550" w14:textId="77777777" w:rsidR="006A13BF" w:rsidRPr="00097CE0" w:rsidRDefault="006A13BF" w:rsidP="003452D9">
            <w:pPr>
              <w:pStyle w:val="ProductList-Body"/>
              <w:spacing w:after="120"/>
            </w:pPr>
            <w:r>
              <w:rPr>
                <w:b/>
                <w:sz w:val="16"/>
                <w:szCs w:val="16"/>
              </w:rPr>
              <w:t>Процедури за възстановяване на данни</w:t>
            </w:r>
          </w:p>
          <w:p w14:paraId="336047AC" w14:textId="77777777" w:rsidR="006A13BF" w:rsidRPr="00097CE0" w:rsidRDefault="006A13BF" w:rsidP="003452D9">
            <w:pPr>
              <w:pStyle w:val="ProductList-Body"/>
              <w:spacing w:after="120"/>
              <w:ind w:left="162" w:hanging="162"/>
            </w:pPr>
            <w:r>
              <w:rPr>
                <w:sz w:val="16"/>
                <w:szCs w:val="16"/>
              </w:rPr>
              <w:t>-</w:t>
            </w:r>
            <w:r>
              <w:rPr>
                <w:sz w:val="16"/>
                <w:szCs w:val="16"/>
              </w:rPr>
              <w:tab/>
              <w:t>Под формата на текуща дейност, извършвана не по-рядко от веднъж седмично (освен ако по време на съответния период няма актуализирани Клиентски данни), Microsoft поддържа няколко копия на Клиентските данни, от които Клиентските данни може да се възстановят.</w:t>
            </w:r>
          </w:p>
          <w:p w14:paraId="0FAA63D5" w14:textId="77777777" w:rsidR="006A13BF" w:rsidRPr="00097CE0" w:rsidRDefault="006A13BF" w:rsidP="003452D9">
            <w:pPr>
              <w:pStyle w:val="ProductList-Body"/>
              <w:spacing w:after="120"/>
              <w:ind w:left="162" w:hanging="162"/>
            </w:pPr>
            <w:r>
              <w:rPr>
                <w:sz w:val="16"/>
                <w:szCs w:val="16"/>
              </w:rPr>
              <w:t>-</w:t>
            </w:r>
            <w:r>
              <w:rPr>
                <w:sz w:val="16"/>
                <w:szCs w:val="16"/>
              </w:rPr>
              <w:tab/>
              <w:t>Microsoft съхранява копията на Клиентските данни и процедурите за възстановяване на данни на различно място от местоположението на основното компютърно оборудване за обработване на Клиентските данни.</w:t>
            </w:r>
          </w:p>
          <w:p w14:paraId="16C4ADC2" w14:textId="77777777" w:rsidR="006A13BF" w:rsidRPr="00097CE0" w:rsidRDefault="006A13BF" w:rsidP="003452D9">
            <w:pPr>
              <w:pStyle w:val="ProductList-Body"/>
              <w:spacing w:after="120"/>
              <w:ind w:left="162" w:hanging="162"/>
            </w:pPr>
            <w:r>
              <w:rPr>
                <w:sz w:val="16"/>
                <w:szCs w:val="16"/>
              </w:rPr>
              <w:t>-</w:t>
            </w:r>
            <w:r>
              <w:rPr>
                <w:sz w:val="16"/>
                <w:szCs w:val="16"/>
              </w:rPr>
              <w:tab/>
              <w:t>Фирмата Microsoft е установила конкретни процедури на място, според които се управлява достъпът до копия на Клиентските данни.</w:t>
            </w:r>
          </w:p>
          <w:p w14:paraId="124ABAFB" w14:textId="77777777" w:rsidR="006A13BF" w:rsidRPr="00097CE0" w:rsidRDefault="006A13BF" w:rsidP="003452D9">
            <w:pPr>
              <w:pStyle w:val="ProductList-Body"/>
              <w:spacing w:after="120"/>
              <w:ind w:left="162" w:hanging="162"/>
            </w:pPr>
            <w:r>
              <w:rPr>
                <w:sz w:val="16"/>
                <w:szCs w:val="16"/>
              </w:rPr>
              <w:t>-</w:t>
            </w:r>
            <w:r>
              <w:rPr>
                <w:sz w:val="16"/>
                <w:szCs w:val="16"/>
              </w:rPr>
              <w:tab/>
              <w:t xml:space="preserve">Microsoft преразглежда процедурите за възстановяване на данни най-малко веднъж на всеки шест месеца, с </w:t>
            </w:r>
            <w:r>
              <w:rPr>
                <w:sz w:val="16"/>
                <w:szCs w:val="16"/>
              </w:rPr>
              <w:lastRenderedPageBreak/>
              <w:t>изключение на процедурите за възстановяване на данни в Услугите на Azure за Правителствени организации, които се преразглеждат на всеки дванадесет месеца.</w:t>
            </w:r>
          </w:p>
          <w:p w14:paraId="57F3D7F2" w14:textId="77777777" w:rsidR="006A13BF" w:rsidRPr="00097CE0" w:rsidRDefault="006A13BF" w:rsidP="003452D9">
            <w:pPr>
              <w:pStyle w:val="ProductList-Body"/>
              <w:spacing w:after="120"/>
              <w:ind w:left="162" w:hanging="162"/>
            </w:pPr>
            <w:r>
              <w:rPr>
                <w:sz w:val="16"/>
                <w:szCs w:val="16"/>
              </w:rPr>
              <w:t>-</w:t>
            </w:r>
            <w:r>
              <w:rPr>
                <w:sz w:val="16"/>
                <w:szCs w:val="16"/>
              </w:rPr>
              <w:tab/>
              <w:t>Microsoft регистрира възстановяванията на данни, включително отговорното лице, описанието на възстановените данни, както и, когато е приложимо, отговорното лице и данните (ако са налични такива), за които се е наложило ръчно въвеждане в процеса на възстановяване на данни.</w:t>
            </w:r>
          </w:p>
          <w:p w14:paraId="40B0318F" w14:textId="77777777" w:rsidR="006A13BF" w:rsidRPr="00097CE0" w:rsidRDefault="006A13BF" w:rsidP="003452D9">
            <w:pPr>
              <w:pStyle w:val="ProductList-Body"/>
              <w:spacing w:after="120"/>
            </w:pPr>
            <w:r>
              <w:rPr>
                <w:b/>
                <w:sz w:val="16"/>
                <w:szCs w:val="16"/>
              </w:rPr>
              <w:t>Злонамерен софтуер</w:t>
            </w:r>
            <w:r w:rsidRPr="00FF1275">
              <w:rPr>
                <w:b/>
                <w:bCs/>
                <w:sz w:val="16"/>
                <w:szCs w:val="16"/>
              </w:rPr>
              <w:t>.</w:t>
            </w:r>
            <w:r>
              <w:rPr>
                <w:sz w:val="16"/>
                <w:szCs w:val="16"/>
              </w:rPr>
              <w:t xml:space="preserve"> Microsoft разполага с контроли против злонамерен софтуер, за да се избегне осъществяването на неупълномощен достъп до Клиентските данни от страна на злонамерен софтуер, включително от страна на злонамерен софтуер от публични мрежи.</w:t>
            </w:r>
          </w:p>
          <w:p w14:paraId="426A2233" w14:textId="77777777" w:rsidR="006A13BF" w:rsidRPr="00097CE0" w:rsidRDefault="006A13BF" w:rsidP="003452D9">
            <w:pPr>
              <w:pStyle w:val="ProductList-Body"/>
              <w:spacing w:after="120"/>
            </w:pPr>
            <w:r>
              <w:rPr>
                <w:b/>
                <w:sz w:val="16"/>
                <w:szCs w:val="16"/>
              </w:rPr>
              <w:t>Данни отвъд границите</w:t>
            </w:r>
          </w:p>
          <w:p w14:paraId="7CAEE3E7" w14:textId="77777777" w:rsidR="006A13BF" w:rsidRPr="00097CE0" w:rsidRDefault="006A13BF" w:rsidP="003452D9">
            <w:pPr>
              <w:pStyle w:val="ProductList-Body"/>
              <w:spacing w:after="120"/>
              <w:ind w:left="162" w:hanging="162"/>
            </w:pPr>
            <w:r>
              <w:rPr>
                <w:sz w:val="16"/>
                <w:szCs w:val="16"/>
              </w:rPr>
              <w:t>-</w:t>
            </w:r>
            <w:r>
              <w:rPr>
                <w:sz w:val="16"/>
                <w:szCs w:val="16"/>
              </w:rPr>
              <w:tab/>
              <w:t>Microsoft шифрова или предоставя възможност на Клиента да шифрова предаваните Клиентски данни през публични мрежи.</w:t>
            </w:r>
          </w:p>
          <w:p w14:paraId="5C6A0BE7" w14:textId="77777777" w:rsidR="006A13BF" w:rsidRPr="00097CE0" w:rsidRDefault="006A13BF" w:rsidP="003452D9">
            <w:pPr>
              <w:pStyle w:val="ProductList-Body"/>
              <w:spacing w:after="120"/>
              <w:ind w:left="162" w:hanging="162"/>
            </w:pPr>
            <w:r>
              <w:rPr>
                <w:sz w:val="16"/>
                <w:szCs w:val="16"/>
              </w:rPr>
              <w:t>-</w:t>
            </w:r>
            <w:r>
              <w:rPr>
                <w:sz w:val="16"/>
                <w:szCs w:val="16"/>
              </w:rPr>
              <w:tab/>
              <w:t>Microsoft ограничава достъпа до Клиентските данни върху носителите, които напускат учрежденията на фирмата.</w:t>
            </w:r>
          </w:p>
          <w:p w14:paraId="6B5787D7" w14:textId="77777777" w:rsidR="006A13BF" w:rsidRPr="00231971" w:rsidRDefault="006A13BF" w:rsidP="003452D9">
            <w:pPr>
              <w:pStyle w:val="ProductList-Body"/>
              <w:spacing w:after="120"/>
              <w:rPr>
                <w:sz w:val="16"/>
                <w:szCs w:val="16"/>
              </w:rPr>
            </w:pPr>
            <w:r>
              <w:rPr>
                <w:b/>
                <w:sz w:val="16"/>
                <w:szCs w:val="16"/>
              </w:rPr>
              <w:t>Регистриране на събития</w:t>
            </w:r>
            <w:r w:rsidRPr="00FF1275">
              <w:rPr>
                <w:b/>
                <w:bCs/>
                <w:sz w:val="16"/>
                <w:szCs w:val="16"/>
              </w:rPr>
              <w:t>.</w:t>
            </w:r>
            <w:r>
              <w:rPr>
                <w:sz w:val="16"/>
                <w:szCs w:val="16"/>
              </w:rPr>
              <w:t xml:space="preserve"> Microsoft регистрира или предоставя възможност на Клиента да регистрира и да осъществява достъп до информационните системи, съдържащи Клиентски данни, както и да ги използва, като регистрира ИД за достъп, часа, предоставеното или отказаното упълномощаване, както и съответната дейност.</w:t>
            </w:r>
          </w:p>
        </w:tc>
      </w:tr>
      <w:tr w:rsidR="006A13BF" w14:paraId="01731A2F" w14:textId="77777777" w:rsidTr="003452D9">
        <w:tc>
          <w:tcPr>
            <w:tcW w:w="2610" w:type="dxa"/>
            <w:tcBorders>
              <w:top w:val="single" w:sz="4" w:space="0" w:color="auto"/>
              <w:left w:val="single" w:sz="4" w:space="0" w:color="auto"/>
              <w:bottom w:val="single" w:sz="4" w:space="0" w:color="auto"/>
              <w:right w:val="single" w:sz="4" w:space="0" w:color="auto"/>
            </w:tcBorders>
            <w:vAlign w:val="center"/>
          </w:tcPr>
          <w:p w14:paraId="4BA2546A" w14:textId="77777777" w:rsidR="006A13BF" w:rsidRPr="00231971" w:rsidRDefault="006A13BF" w:rsidP="003452D9">
            <w:pPr>
              <w:pStyle w:val="ProductList-Body"/>
              <w:spacing w:after="120"/>
              <w:rPr>
                <w:sz w:val="16"/>
                <w:szCs w:val="16"/>
              </w:rPr>
            </w:pPr>
            <w:r>
              <w:rPr>
                <w:sz w:val="16"/>
                <w:szCs w:val="16"/>
              </w:rPr>
              <w:lastRenderedPageBreak/>
              <w:t>Контрол на достъпа</w:t>
            </w:r>
          </w:p>
        </w:tc>
        <w:tc>
          <w:tcPr>
            <w:tcW w:w="8190" w:type="dxa"/>
            <w:tcBorders>
              <w:top w:val="single" w:sz="4" w:space="0" w:color="auto"/>
              <w:left w:val="single" w:sz="4" w:space="0" w:color="auto"/>
              <w:bottom w:val="single" w:sz="4" w:space="0" w:color="auto"/>
              <w:right w:val="single" w:sz="4" w:space="0" w:color="auto"/>
            </w:tcBorders>
          </w:tcPr>
          <w:p w14:paraId="2D8D4B5D" w14:textId="77777777" w:rsidR="006A13BF" w:rsidRPr="00097CE0" w:rsidRDefault="006A13BF" w:rsidP="003452D9">
            <w:pPr>
              <w:pStyle w:val="ProductList-Body"/>
              <w:spacing w:after="120"/>
            </w:pPr>
            <w:r>
              <w:rPr>
                <w:b/>
                <w:sz w:val="16"/>
                <w:szCs w:val="16"/>
              </w:rPr>
              <w:t>Правила за достъп</w:t>
            </w:r>
            <w:r w:rsidRPr="00FF1275">
              <w:rPr>
                <w:b/>
                <w:bCs/>
                <w:sz w:val="16"/>
                <w:szCs w:val="16"/>
              </w:rPr>
              <w:t>.</w:t>
            </w:r>
            <w:r>
              <w:rPr>
                <w:sz w:val="16"/>
                <w:szCs w:val="16"/>
              </w:rPr>
              <w:t xml:space="preserve"> Microsoft поддържа запис за привилегиите за защита на лицата, разполагащи с достъп до Клиентските данни.</w:t>
            </w:r>
          </w:p>
          <w:p w14:paraId="2090F4FF" w14:textId="77777777" w:rsidR="006A13BF" w:rsidRPr="00097CE0" w:rsidRDefault="006A13BF" w:rsidP="003452D9">
            <w:pPr>
              <w:pStyle w:val="ProductList-Body"/>
              <w:spacing w:after="120"/>
            </w:pPr>
            <w:r>
              <w:rPr>
                <w:b/>
                <w:sz w:val="16"/>
                <w:szCs w:val="16"/>
              </w:rPr>
              <w:t>Упълномощаване на достъпа</w:t>
            </w:r>
          </w:p>
          <w:p w14:paraId="741395AD" w14:textId="77777777" w:rsidR="006A13BF" w:rsidRPr="00097CE0" w:rsidRDefault="006A13BF" w:rsidP="003452D9">
            <w:pPr>
              <w:pStyle w:val="ProductList-Body"/>
              <w:spacing w:after="120"/>
              <w:ind w:left="162" w:hanging="162"/>
            </w:pPr>
            <w:r>
              <w:rPr>
                <w:sz w:val="16"/>
                <w:szCs w:val="16"/>
              </w:rPr>
              <w:t>-</w:t>
            </w:r>
            <w:r>
              <w:rPr>
                <w:sz w:val="16"/>
                <w:szCs w:val="16"/>
              </w:rPr>
              <w:tab/>
              <w:t>Microsoft поддържа и актуализира запис за упълномощения персонал, разполагащ с достъп до системите на Microsoft, в които се съдържат Клиентски данни.</w:t>
            </w:r>
          </w:p>
          <w:p w14:paraId="2E621326" w14:textId="77777777" w:rsidR="006A13BF" w:rsidRPr="00097CE0" w:rsidRDefault="006A13BF" w:rsidP="003452D9">
            <w:pPr>
              <w:pStyle w:val="ProductList-Body"/>
              <w:spacing w:after="120"/>
              <w:ind w:left="162" w:hanging="162"/>
            </w:pPr>
            <w:r>
              <w:rPr>
                <w:sz w:val="16"/>
                <w:szCs w:val="16"/>
              </w:rPr>
              <w:t>-</w:t>
            </w:r>
            <w:r>
              <w:rPr>
                <w:sz w:val="16"/>
                <w:szCs w:val="16"/>
              </w:rPr>
              <w:tab/>
              <w:t>Microsoft дезактивира идентификационните данни за удостоверяване, които не са били използвани за определен период от време, не по-дълъг от шест месеца.</w:t>
            </w:r>
          </w:p>
          <w:p w14:paraId="038551AE" w14:textId="77777777" w:rsidR="006A13BF" w:rsidRPr="00097CE0" w:rsidRDefault="006A13BF" w:rsidP="003452D9">
            <w:pPr>
              <w:pStyle w:val="ProductList-Body"/>
              <w:spacing w:after="120"/>
              <w:ind w:left="162" w:hanging="162"/>
            </w:pPr>
            <w:r>
              <w:rPr>
                <w:sz w:val="16"/>
                <w:szCs w:val="16"/>
              </w:rPr>
              <w:t>-</w:t>
            </w:r>
            <w:r>
              <w:rPr>
                <w:sz w:val="16"/>
                <w:szCs w:val="16"/>
              </w:rPr>
              <w:tab/>
              <w:t xml:space="preserve">Microsoft идентифицира персонала, който може да предоставя, да променя или да отказва упълномощения достъп до данни и ресурси. </w:t>
            </w:r>
          </w:p>
          <w:p w14:paraId="2C9B2E85" w14:textId="77777777" w:rsidR="006A13BF" w:rsidRPr="00097CE0" w:rsidRDefault="006A13BF" w:rsidP="003452D9">
            <w:pPr>
              <w:pStyle w:val="ProductList-Body"/>
              <w:spacing w:after="120"/>
              <w:ind w:left="162" w:hanging="162"/>
            </w:pPr>
            <w:r>
              <w:rPr>
                <w:sz w:val="16"/>
                <w:szCs w:val="16"/>
              </w:rPr>
              <w:t>-</w:t>
            </w:r>
            <w:r>
              <w:rPr>
                <w:sz w:val="16"/>
                <w:szCs w:val="16"/>
              </w:rPr>
              <w:tab/>
              <w:t>Microsoft гарантира, че в случаите, в които няколко лица разполагат с достъп до системите, съдържащи Клиентски данни, съответните лица разполагат с отделни идентификатори/информация за влизане.</w:t>
            </w:r>
          </w:p>
          <w:p w14:paraId="58546188" w14:textId="77777777" w:rsidR="006A13BF" w:rsidRPr="00097CE0" w:rsidRDefault="006A13BF" w:rsidP="003452D9">
            <w:pPr>
              <w:pStyle w:val="ProductList-Body"/>
              <w:spacing w:after="120"/>
            </w:pPr>
            <w:r>
              <w:rPr>
                <w:b/>
                <w:sz w:val="16"/>
                <w:szCs w:val="16"/>
              </w:rPr>
              <w:t>Минимални привилегии</w:t>
            </w:r>
          </w:p>
          <w:p w14:paraId="382E879B" w14:textId="77777777" w:rsidR="006A13BF" w:rsidRPr="00097CE0" w:rsidRDefault="006A13BF" w:rsidP="003452D9">
            <w:pPr>
              <w:pStyle w:val="ProductList-Body"/>
              <w:spacing w:after="120"/>
              <w:ind w:left="162" w:hanging="162"/>
            </w:pPr>
            <w:r>
              <w:rPr>
                <w:sz w:val="16"/>
                <w:szCs w:val="16"/>
              </w:rPr>
              <w:t>-</w:t>
            </w:r>
            <w:r>
              <w:rPr>
                <w:sz w:val="16"/>
                <w:szCs w:val="16"/>
              </w:rPr>
              <w:tab/>
              <w:t xml:space="preserve">Достъп до Клиентските данни се разрешава на персонала по техническата поддръжка само при необходимост. </w:t>
            </w:r>
          </w:p>
          <w:p w14:paraId="6C15200B" w14:textId="77777777" w:rsidR="006A13BF" w:rsidRPr="00097CE0" w:rsidRDefault="006A13BF" w:rsidP="003452D9">
            <w:pPr>
              <w:pStyle w:val="ProductList-Body"/>
              <w:spacing w:after="120"/>
              <w:ind w:left="162" w:hanging="162"/>
            </w:pPr>
            <w:r>
              <w:rPr>
                <w:sz w:val="16"/>
                <w:szCs w:val="16"/>
              </w:rPr>
              <w:t>-</w:t>
            </w:r>
            <w:r>
              <w:rPr>
                <w:sz w:val="16"/>
                <w:szCs w:val="16"/>
              </w:rPr>
              <w:tab/>
              <w:t>Microsoft ограничава достъпа до Клиентските данни, като предоставя такъв достъп само на лицата, за които този достъп е необходим за изпълнение на техните служебни задължения.</w:t>
            </w:r>
          </w:p>
          <w:p w14:paraId="017B44EE" w14:textId="77777777" w:rsidR="006A13BF" w:rsidRPr="00097CE0" w:rsidRDefault="006A13BF" w:rsidP="003452D9">
            <w:pPr>
              <w:pStyle w:val="ProductList-Body"/>
              <w:spacing w:after="120"/>
            </w:pPr>
            <w:r>
              <w:rPr>
                <w:b/>
                <w:sz w:val="16"/>
                <w:szCs w:val="16"/>
              </w:rPr>
              <w:t>Цялост и поверителност</w:t>
            </w:r>
          </w:p>
          <w:p w14:paraId="7110068B" w14:textId="77777777" w:rsidR="006A13BF" w:rsidRPr="00097CE0" w:rsidRDefault="006A13BF" w:rsidP="003452D9">
            <w:pPr>
              <w:pStyle w:val="ProductList-Body"/>
              <w:spacing w:after="120"/>
              <w:ind w:left="162" w:hanging="162"/>
            </w:pPr>
            <w:r>
              <w:rPr>
                <w:sz w:val="16"/>
                <w:szCs w:val="16"/>
              </w:rPr>
              <w:t>-</w:t>
            </w:r>
            <w:r>
              <w:rPr>
                <w:sz w:val="16"/>
                <w:szCs w:val="16"/>
              </w:rPr>
              <w:tab/>
              <w:t>Microsoft инструктира персонала на Microsoft да дезактивира административните сесии при оставяне на локалните контроли на Microsoft без надзор или когато компютрите по друг начин се оставят без надзор.</w:t>
            </w:r>
          </w:p>
          <w:p w14:paraId="0ED80985" w14:textId="77777777" w:rsidR="006A13BF" w:rsidRPr="00097CE0" w:rsidRDefault="006A13BF" w:rsidP="003452D9">
            <w:pPr>
              <w:pStyle w:val="ProductList-Body"/>
              <w:spacing w:after="120"/>
              <w:ind w:left="162" w:hanging="162"/>
            </w:pPr>
            <w:r>
              <w:rPr>
                <w:sz w:val="16"/>
                <w:szCs w:val="16"/>
              </w:rPr>
              <w:t>-</w:t>
            </w:r>
            <w:r>
              <w:rPr>
                <w:sz w:val="16"/>
                <w:szCs w:val="16"/>
              </w:rPr>
              <w:tab/>
              <w:t>Microsoft съхранява паролите по начин, по който те да са неразбираеми, докато са в сила.</w:t>
            </w:r>
          </w:p>
          <w:p w14:paraId="10F1FE79" w14:textId="77777777" w:rsidR="006A13BF" w:rsidRPr="00097CE0" w:rsidRDefault="006A13BF" w:rsidP="003452D9">
            <w:pPr>
              <w:pStyle w:val="ProductList-Body"/>
              <w:spacing w:after="120"/>
            </w:pPr>
            <w:r>
              <w:rPr>
                <w:b/>
                <w:sz w:val="16"/>
                <w:szCs w:val="16"/>
              </w:rPr>
              <w:t>Удостоверяване</w:t>
            </w:r>
          </w:p>
          <w:p w14:paraId="2EBC228D" w14:textId="77777777" w:rsidR="006A13BF" w:rsidRPr="00097CE0" w:rsidRDefault="006A13BF" w:rsidP="003452D9">
            <w:pPr>
              <w:pStyle w:val="ProductList-Body"/>
              <w:spacing w:after="120"/>
              <w:ind w:left="162" w:hanging="162"/>
            </w:pPr>
            <w:r>
              <w:rPr>
                <w:sz w:val="16"/>
                <w:szCs w:val="16"/>
              </w:rPr>
              <w:t>-</w:t>
            </w:r>
            <w:r>
              <w:rPr>
                <w:sz w:val="16"/>
                <w:szCs w:val="16"/>
              </w:rPr>
              <w:tab/>
              <w:t>Microsoft използва стандартни за отрасъла практики за идентифициране и удостоверяване на потребителите, които се опитват да осъществят достъп до информационните системи.</w:t>
            </w:r>
          </w:p>
          <w:p w14:paraId="028656B7" w14:textId="77777777" w:rsidR="006A13BF" w:rsidRPr="00097CE0" w:rsidRDefault="006A13BF" w:rsidP="003452D9">
            <w:pPr>
              <w:pStyle w:val="ProductList-Body"/>
              <w:spacing w:after="120"/>
              <w:ind w:left="162" w:hanging="162"/>
            </w:pPr>
            <w:r>
              <w:rPr>
                <w:sz w:val="16"/>
                <w:szCs w:val="16"/>
              </w:rPr>
              <w:t>-</w:t>
            </w:r>
            <w:r>
              <w:rPr>
                <w:sz w:val="16"/>
                <w:szCs w:val="16"/>
              </w:rPr>
              <w:tab/>
              <w:t>Когато механизмите за удостоверяване се базират на пароли, Microsoft изисква паролите да се подновяват редовно.</w:t>
            </w:r>
          </w:p>
          <w:p w14:paraId="76B955A3" w14:textId="77777777" w:rsidR="006A13BF" w:rsidRPr="00097CE0" w:rsidRDefault="006A13BF" w:rsidP="003452D9">
            <w:pPr>
              <w:pStyle w:val="ProductList-Body"/>
              <w:spacing w:after="120"/>
              <w:ind w:left="162" w:hanging="162"/>
            </w:pPr>
            <w:r>
              <w:rPr>
                <w:sz w:val="16"/>
                <w:szCs w:val="16"/>
              </w:rPr>
              <w:t>-</w:t>
            </w:r>
            <w:r>
              <w:rPr>
                <w:sz w:val="16"/>
                <w:szCs w:val="16"/>
              </w:rPr>
              <w:tab/>
              <w:t>Когато механизмите за удостоверяване се базират на пароли, Microsoft изисква паролата да бъде с дължина поне осем знака.</w:t>
            </w:r>
          </w:p>
          <w:p w14:paraId="3F174009" w14:textId="77777777" w:rsidR="006A13BF" w:rsidRPr="00097CE0" w:rsidRDefault="006A13BF" w:rsidP="003452D9">
            <w:pPr>
              <w:pStyle w:val="ProductList-Body"/>
              <w:spacing w:after="120"/>
              <w:ind w:left="162" w:hanging="162"/>
            </w:pPr>
            <w:r>
              <w:rPr>
                <w:sz w:val="16"/>
                <w:szCs w:val="16"/>
              </w:rPr>
              <w:t>-</w:t>
            </w:r>
            <w:r>
              <w:rPr>
                <w:sz w:val="16"/>
                <w:szCs w:val="16"/>
              </w:rPr>
              <w:tab/>
              <w:t>Microsoft гарантира, че дезактивираните или изтеклите идентификатори няма да се предоставят на други лица.</w:t>
            </w:r>
          </w:p>
          <w:p w14:paraId="7A006060" w14:textId="77777777" w:rsidR="006A13BF" w:rsidRPr="00097CE0" w:rsidRDefault="006A13BF" w:rsidP="003452D9">
            <w:pPr>
              <w:pStyle w:val="ProductList-Body"/>
              <w:spacing w:after="120"/>
              <w:ind w:left="162" w:hanging="162"/>
            </w:pPr>
            <w:r>
              <w:rPr>
                <w:sz w:val="16"/>
                <w:szCs w:val="16"/>
              </w:rPr>
              <w:t>-</w:t>
            </w:r>
            <w:r>
              <w:rPr>
                <w:sz w:val="16"/>
                <w:szCs w:val="16"/>
              </w:rPr>
              <w:tab/>
              <w:t>Microsoft следи или предоставя възможност на Клиента да следи многократните опити за получаване на достъп до информационната система чрез невалидна парола.</w:t>
            </w:r>
          </w:p>
          <w:p w14:paraId="7B7E2B2C" w14:textId="77777777" w:rsidR="006A13BF" w:rsidRPr="00097CE0" w:rsidRDefault="006A13BF" w:rsidP="003452D9">
            <w:pPr>
              <w:pStyle w:val="ProductList-Body"/>
              <w:spacing w:after="120"/>
              <w:ind w:left="162" w:hanging="162"/>
            </w:pPr>
            <w:r>
              <w:rPr>
                <w:sz w:val="16"/>
                <w:szCs w:val="16"/>
              </w:rPr>
              <w:t>-</w:t>
            </w:r>
            <w:r>
              <w:rPr>
                <w:sz w:val="16"/>
                <w:szCs w:val="16"/>
              </w:rPr>
              <w:tab/>
              <w:t>Microsoft поддържа стандартни за отрасъла процедури за дезактивиране на повредени или неумишлено разкрити пароли.</w:t>
            </w:r>
          </w:p>
          <w:p w14:paraId="324B3132" w14:textId="77777777" w:rsidR="006A13BF" w:rsidRPr="00097CE0" w:rsidRDefault="006A13BF" w:rsidP="003452D9">
            <w:pPr>
              <w:pStyle w:val="ProductList-Body"/>
              <w:spacing w:after="120"/>
              <w:ind w:left="162" w:hanging="162"/>
            </w:pPr>
            <w:r>
              <w:rPr>
                <w:sz w:val="16"/>
                <w:szCs w:val="16"/>
              </w:rPr>
              <w:lastRenderedPageBreak/>
              <w:t>-</w:t>
            </w:r>
            <w:r>
              <w:rPr>
                <w:sz w:val="16"/>
                <w:szCs w:val="16"/>
              </w:rPr>
              <w:tab/>
              <w:t>Microsoft използва стандартни за отрасъла практики за защита на паролите, включително практики, предназначени за поддръжка на поверителността и целостта на паролите при тяхното прехвърляне и разпространение, както и по време на съхранение.</w:t>
            </w:r>
          </w:p>
          <w:p w14:paraId="09AB0889" w14:textId="77777777" w:rsidR="006A13BF" w:rsidRPr="00231971" w:rsidRDefault="006A13BF" w:rsidP="003452D9">
            <w:pPr>
              <w:pStyle w:val="ProductList-Body"/>
              <w:spacing w:after="120"/>
              <w:rPr>
                <w:sz w:val="16"/>
                <w:szCs w:val="16"/>
              </w:rPr>
            </w:pPr>
            <w:r>
              <w:rPr>
                <w:b/>
                <w:sz w:val="16"/>
                <w:szCs w:val="16"/>
              </w:rPr>
              <w:t>Дизайн на мрежата</w:t>
            </w:r>
            <w:r w:rsidRPr="00FF1275">
              <w:rPr>
                <w:b/>
                <w:bCs/>
                <w:sz w:val="16"/>
                <w:szCs w:val="16"/>
              </w:rPr>
              <w:t>.</w:t>
            </w:r>
            <w:r>
              <w:rPr>
                <w:sz w:val="16"/>
                <w:szCs w:val="16"/>
              </w:rPr>
              <w:t xml:space="preserve"> Microsoft разполага с контроли за избягване на придобиването на права за достъп от страна на лица, на които тези права не са били прехвърлени, с цел получаване на достъп до Клиентски данни, до които те не са упълномощени да осъществяват достъп.</w:t>
            </w:r>
          </w:p>
        </w:tc>
      </w:tr>
      <w:tr w:rsidR="006A13BF" w14:paraId="32803E14" w14:textId="77777777" w:rsidTr="003452D9">
        <w:tc>
          <w:tcPr>
            <w:tcW w:w="2610" w:type="dxa"/>
            <w:tcBorders>
              <w:top w:val="single" w:sz="4" w:space="0" w:color="auto"/>
            </w:tcBorders>
            <w:vAlign w:val="center"/>
          </w:tcPr>
          <w:p w14:paraId="37C02935" w14:textId="77777777" w:rsidR="006A13BF" w:rsidRPr="00231971" w:rsidRDefault="006A13BF" w:rsidP="003452D9">
            <w:pPr>
              <w:pStyle w:val="ProductList-Body"/>
              <w:spacing w:after="120"/>
              <w:rPr>
                <w:sz w:val="16"/>
                <w:szCs w:val="16"/>
              </w:rPr>
            </w:pPr>
            <w:r>
              <w:rPr>
                <w:sz w:val="16"/>
                <w:szCs w:val="16"/>
              </w:rPr>
              <w:lastRenderedPageBreak/>
              <w:t>Управление на пробивите в защитата на информацията</w:t>
            </w:r>
          </w:p>
        </w:tc>
        <w:tc>
          <w:tcPr>
            <w:tcW w:w="8190" w:type="dxa"/>
            <w:tcBorders>
              <w:top w:val="single" w:sz="4" w:space="0" w:color="auto"/>
            </w:tcBorders>
          </w:tcPr>
          <w:p w14:paraId="61F9AF91" w14:textId="77777777" w:rsidR="006A13BF" w:rsidRPr="00097CE0" w:rsidRDefault="006A13BF" w:rsidP="003452D9">
            <w:pPr>
              <w:pStyle w:val="ProductList-Body"/>
              <w:spacing w:after="120"/>
            </w:pPr>
            <w:r>
              <w:rPr>
                <w:b/>
                <w:sz w:val="16"/>
                <w:szCs w:val="16"/>
              </w:rPr>
              <w:t>Процес за реакция при пробиви</w:t>
            </w:r>
          </w:p>
          <w:p w14:paraId="42D146C3" w14:textId="77777777" w:rsidR="006A13BF" w:rsidRPr="00097CE0" w:rsidRDefault="006A13BF" w:rsidP="003452D9">
            <w:pPr>
              <w:pStyle w:val="ProductList-Body"/>
              <w:spacing w:after="120"/>
              <w:ind w:left="162" w:hanging="162"/>
            </w:pPr>
            <w:r>
              <w:rPr>
                <w:sz w:val="16"/>
                <w:szCs w:val="16"/>
              </w:rPr>
              <w:t>-</w:t>
            </w:r>
            <w:r>
              <w:rPr>
                <w:sz w:val="16"/>
                <w:szCs w:val="16"/>
              </w:rPr>
              <w:tab/>
              <w:t xml:space="preserve">Microsoft поддържа запис за дупките в сигурността, съдържащ описание на дупката, часовия интервал, последиците от дупката, името на съобщаващия потребител и името на лицето, на което е съобщено за дупката, както и </w:t>
            </w:r>
            <w:r>
              <w:rPr>
                <w:color w:val="000000" w:themeColor="text1"/>
                <w:sz w:val="16"/>
              </w:rPr>
              <w:t>процедурата за възстановяване на данните.</w:t>
            </w:r>
          </w:p>
          <w:p w14:paraId="71946EB2" w14:textId="5C300034" w:rsidR="006A13BF" w:rsidRPr="00097CE0" w:rsidRDefault="006A13BF" w:rsidP="003452D9">
            <w:pPr>
              <w:pStyle w:val="ProductList-Body"/>
              <w:spacing w:after="120"/>
              <w:ind w:left="162" w:hanging="162"/>
            </w:pPr>
            <w:r>
              <w:rPr>
                <w:color w:val="000000" w:themeColor="text1"/>
                <w:sz w:val="16"/>
                <w:szCs w:val="16"/>
              </w:rPr>
              <w:t>-</w:t>
            </w:r>
            <w:r>
              <w:rPr>
                <w:color w:val="000000" w:themeColor="text1"/>
                <w:sz w:val="16"/>
                <w:szCs w:val="16"/>
              </w:rPr>
              <w:tab/>
              <w:t>За всяко нарушение на сигурността, което представлява пробив в защитата, Microsoft ще изпраща уведомление (както е описано в раздела „Уведомяване за пробив в защитата</w:t>
            </w:r>
            <w:r w:rsidR="00090CCF" w:rsidRPr="00090CCF">
              <w:rPr>
                <w:color w:val="000000" w:themeColor="text1"/>
                <w:sz w:val="16"/>
                <w:szCs w:val="16"/>
              </w:rPr>
              <w:t>“</w:t>
            </w:r>
            <w:r>
              <w:rPr>
                <w:color w:val="000000" w:themeColor="text1"/>
                <w:sz w:val="16"/>
                <w:szCs w:val="16"/>
              </w:rPr>
              <w:t xml:space="preserve"> по-горе) без необосновано забавяне и при всички случаи в рамките на 72 часа</w:t>
            </w:r>
            <w:r>
              <w:rPr>
                <w:iCs/>
                <w:color w:val="000000" w:themeColor="text1"/>
                <w:sz w:val="16"/>
                <w:szCs w:val="16"/>
              </w:rPr>
              <w:t>.</w:t>
            </w:r>
          </w:p>
          <w:p w14:paraId="666783EB" w14:textId="77777777" w:rsidR="006A13BF" w:rsidRPr="00097CE0" w:rsidRDefault="006A13BF" w:rsidP="003452D9">
            <w:pPr>
              <w:pStyle w:val="ProductList-Body"/>
              <w:spacing w:after="120"/>
              <w:ind w:left="162" w:hanging="162"/>
            </w:pPr>
            <w:r>
              <w:rPr>
                <w:color w:val="000000" w:themeColor="text1"/>
                <w:sz w:val="16"/>
              </w:rPr>
              <w:t>-</w:t>
            </w:r>
            <w:r>
              <w:rPr>
                <w:color w:val="000000" w:themeColor="text1"/>
                <w:sz w:val="16"/>
              </w:rPr>
              <w:tab/>
              <w:t>Microsoft проследява</w:t>
            </w:r>
            <w:r>
              <w:rPr>
                <w:color w:val="000000" w:themeColor="text1"/>
                <w:sz w:val="16"/>
                <w:szCs w:val="16"/>
              </w:rPr>
              <w:t xml:space="preserve"> или предоставя възможност на </w:t>
            </w:r>
            <w:r>
              <w:rPr>
                <w:sz w:val="16"/>
                <w:szCs w:val="16"/>
              </w:rPr>
              <w:t>Клиента да проследява изнасянето на Клиентските данни, включително вида на изнесените данни, лицето, на което са изнесени, както и часа на изнасяне.</w:t>
            </w:r>
          </w:p>
          <w:p w14:paraId="2C3CC5E2" w14:textId="77777777" w:rsidR="006A13BF" w:rsidRPr="00231971" w:rsidRDefault="006A13BF" w:rsidP="003452D9">
            <w:pPr>
              <w:pStyle w:val="ProductList-Body"/>
              <w:spacing w:after="120"/>
              <w:rPr>
                <w:sz w:val="16"/>
                <w:szCs w:val="16"/>
              </w:rPr>
            </w:pPr>
            <w:r>
              <w:rPr>
                <w:b/>
                <w:sz w:val="16"/>
                <w:szCs w:val="16"/>
              </w:rPr>
              <w:t>Следене на услугата</w:t>
            </w:r>
            <w:r w:rsidRPr="00FF1275">
              <w:rPr>
                <w:b/>
                <w:bCs/>
                <w:sz w:val="16"/>
                <w:szCs w:val="16"/>
              </w:rPr>
              <w:t>.</w:t>
            </w:r>
            <w:r>
              <w:rPr>
                <w:sz w:val="16"/>
                <w:szCs w:val="16"/>
              </w:rPr>
              <w:t xml:space="preserve"> Персоналът по защитата на Microsoft проверява регистрационните файлове поне на всеки шест месеца, за да може да предложи възстановителни дейности при необходимост.</w:t>
            </w:r>
          </w:p>
        </w:tc>
      </w:tr>
      <w:tr w:rsidR="006A13BF" w14:paraId="65EED5F2" w14:textId="77777777" w:rsidTr="003452D9">
        <w:tc>
          <w:tcPr>
            <w:tcW w:w="2610" w:type="dxa"/>
            <w:vAlign w:val="center"/>
          </w:tcPr>
          <w:p w14:paraId="7CDA49F9" w14:textId="77777777" w:rsidR="006A13BF" w:rsidRPr="00231971" w:rsidRDefault="006A13BF" w:rsidP="003452D9">
            <w:pPr>
              <w:pStyle w:val="ProductList-Body"/>
              <w:spacing w:after="120"/>
              <w:rPr>
                <w:sz w:val="16"/>
                <w:szCs w:val="16"/>
              </w:rPr>
            </w:pPr>
            <w:r>
              <w:rPr>
                <w:sz w:val="16"/>
                <w:szCs w:val="16"/>
              </w:rPr>
              <w:t>Управление на непрекъснатостта в бизнеса</w:t>
            </w:r>
          </w:p>
        </w:tc>
        <w:tc>
          <w:tcPr>
            <w:tcW w:w="8190" w:type="dxa"/>
          </w:tcPr>
          <w:p w14:paraId="5D54C4F3" w14:textId="77777777" w:rsidR="006A13BF" w:rsidRPr="00097CE0" w:rsidRDefault="006A13BF" w:rsidP="003452D9">
            <w:pPr>
              <w:pStyle w:val="ProductList-Body"/>
              <w:spacing w:after="120"/>
              <w:ind w:left="162" w:hanging="162"/>
            </w:pPr>
            <w:r>
              <w:rPr>
                <w:sz w:val="16"/>
                <w:szCs w:val="16"/>
              </w:rPr>
              <w:t>-</w:t>
            </w:r>
            <w:r>
              <w:rPr>
                <w:sz w:val="16"/>
                <w:szCs w:val="16"/>
              </w:rPr>
              <w:tab/>
              <w:t>Microsoft поддържа планове за спешни и непредвидени случаи за учрежденията, в които са разположени информационните системи на Microsoft, обработващи Клиентски данни.</w:t>
            </w:r>
          </w:p>
          <w:p w14:paraId="181482E9" w14:textId="77777777" w:rsidR="006A13BF" w:rsidRPr="00231971" w:rsidRDefault="006A13BF" w:rsidP="003452D9">
            <w:pPr>
              <w:pStyle w:val="ProductList-Body"/>
              <w:spacing w:after="120"/>
              <w:ind w:left="162" w:hanging="162"/>
              <w:rPr>
                <w:sz w:val="16"/>
                <w:szCs w:val="16"/>
              </w:rPr>
            </w:pPr>
            <w:r>
              <w:rPr>
                <w:sz w:val="16"/>
                <w:szCs w:val="16"/>
              </w:rPr>
              <w:t>-</w:t>
            </w:r>
            <w:r>
              <w:rPr>
                <w:sz w:val="16"/>
                <w:szCs w:val="16"/>
              </w:rPr>
              <w:tab/>
              <w:t>Мястото за съхранение за резервираност на Microsoft и процедурите за възстановяване на данни са проектирани с цел извършване на опит за възстановяване на Клиентските данни в тяхното първоначално или последно дублирано състояние от момент преди тяхната загуба или унищожаване.</w:t>
            </w:r>
          </w:p>
        </w:tc>
      </w:tr>
    </w:tbl>
    <w:p w14:paraId="169292B0" w14:textId="77777777" w:rsidR="006A13BF" w:rsidRPr="00097CE0" w:rsidRDefault="006A13BF" w:rsidP="006A13BF">
      <w:pPr>
        <w:pStyle w:val="ProductList-Body"/>
        <w:spacing w:after="120"/>
      </w:pPr>
    </w:p>
    <w:p w14:paraId="10122163" w14:textId="436C4F2D" w:rsidR="006A13BF" w:rsidRPr="00097CE0" w:rsidRDefault="00D7294A" w:rsidP="00B93256">
      <w:pPr>
        <w:pStyle w:val="ProductList-Body"/>
        <w:shd w:val="clear" w:color="auto" w:fill="A6A6A6" w:themeFill="background1" w:themeFillShade="A6"/>
        <w:spacing w:after="120"/>
        <w:ind w:right="117"/>
        <w:jc w:val="right"/>
      </w:pPr>
      <w:hyperlink w:anchor="Съдържание" w:tooltip="Съдържание" w:history="1">
        <w:r w:rsidR="00CE74B9">
          <w:rPr>
            <w:rStyle w:val="Hyperlink"/>
            <w:sz w:val="16"/>
            <w:szCs w:val="16"/>
          </w:rPr>
          <w:t>Съдържание</w:t>
        </w:r>
      </w:hyperlink>
      <w:r w:rsidR="00CE74B9">
        <w:rPr>
          <w:sz w:val="16"/>
          <w:szCs w:val="16"/>
        </w:rPr>
        <w:t>/</w:t>
      </w:r>
      <w:hyperlink w:anchor="GeneralTerms" w:tooltip="Общи условия" w:history="1">
        <w:r w:rsidR="00CE74B9">
          <w:rPr>
            <w:rStyle w:val="Hyperlink"/>
            <w:sz w:val="16"/>
            <w:szCs w:val="16"/>
          </w:rPr>
          <w:t>Общи условия</w:t>
        </w:r>
      </w:hyperlink>
    </w:p>
    <w:p w14:paraId="22979654" w14:textId="77777777" w:rsidR="006A13BF" w:rsidRPr="00097CE0" w:rsidRDefault="006A13BF" w:rsidP="006A13BF">
      <w:pPr>
        <w:pStyle w:val="ProductList-Body"/>
        <w:spacing w:after="120"/>
      </w:pPr>
    </w:p>
    <w:p w14:paraId="2C6ED34F" w14:textId="77777777" w:rsidR="006A13BF" w:rsidRDefault="006A13BF" w:rsidP="006A13BF">
      <w:pPr>
        <w:pStyle w:val="ProductList-Body"/>
        <w:spacing w:after="120"/>
        <w:sectPr w:rsidR="006A13BF" w:rsidSect="006A13BF">
          <w:footerReference w:type="first" r:id="rId25"/>
          <w:pgSz w:w="12240" w:h="15840"/>
          <w:pgMar w:top="1440" w:right="720" w:bottom="1440" w:left="720" w:header="720" w:footer="720" w:gutter="0"/>
          <w:cols w:space="720"/>
          <w:docGrid w:linePitch="360"/>
        </w:sectPr>
      </w:pPr>
    </w:p>
    <w:p w14:paraId="32AD396B" w14:textId="77777777" w:rsidR="006A13BF" w:rsidRDefault="006A13BF" w:rsidP="006A13BF">
      <w:pPr>
        <w:pStyle w:val="ProductList-Body"/>
        <w:spacing w:after="120"/>
        <w:sectPr w:rsidR="006A13BF" w:rsidSect="00E275D6">
          <w:footerReference w:type="default" r:id="rId26"/>
          <w:footerReference w:type="first" r:id="rId27"/>
          <w:type w:val="continuous"/>
          <w:pgSz w:w="12240" w:h="15840"/>
          <w:pgMar w:top="1440" w:right="720" w:bottom="1440" w:left="720" w:header="720" w:footer="720" w:gutter="0"/>
          <w:cols w:space="720"/>
          <w:titlePg/>
          <w:docGrid w:linePitch="360"/>
        </w:sectPr>
      </w:pPr>
    </w:p>
    <w:p w14:paraId="5383C858" w14:textId="77777777" w:rsidR="00237427" w:rsidRPr="00097CE0" w:rsidRDefault="00237427" w:rsidP="00237427">
      <w:pPr>
        <w:pStyle w:val="ProductList-SectionHeading"/>
        <w:spacing w:after="120"/>
        <w:outlineLvl w:val="0"/>
      </w:pPr>
      <w:bookmarkStart w:id="166" w:name="Attachment1"/>
      <w:bookmarkStart w:id="167" w:name="_Toc8395062"/>
      <w:bookmarkStart w:id="168" w:name="_Toc6563850"/>
      <w:bookmarkStart w:id="169" w:name="_Toc21617071"/>
      <w:bookmarkStart w:id="170" w:name="_Toc26972866"/>
      <w:bookmarkStart w:id="171" w:name="_Toc61437084"/>
      <w:r>
        <w:lastRenderedPageBreak/>
        <w:t>Приложение 1</w:t>
      </w:r>
      <w:bookmarkEnd w:id="166"/>
      <w:r>
        <w:t xml:space="preserve"> – Бележки</w:t>
      </w:r>
      <w:bookmarkEnd w:id="167"/>
      <w:bookmarkEnd w:id="168"/>
      <w:bookmarkEnd w:id="169"/>
      <w:bookmarkEnd w:id="170"/>
      <w:bookmarkEnd w:id="171"/>
    </w:p>
    <w:p w14:paraId="01A9A8D2" w14:textId="77777777" w:rsidR="00237427" w:rsidRPr="00097CE0" w:rsidRDefault="00237427" w:rsidP="00237427">
      <w:pPr>
        <w:pStyle w:val="ProductList-Offering1Heading"/>
        <w:spacing w:before="0" w:after="120"/>
        <w:outlineLvl w:val="1"/>
      </w:pPr>
      <w:bookmarkStart w:id="172" w:name="_Toc6563852"/>
      <w:bookmarkStart w:id="173" w:name="_Toc13858404"/>
      <w:bookmarkStart w:id="174" w:name="_Toc21617073"/>
      <w:bookmarkStart w:id="175" w:name="_Toc26972867"/>
      <w:bookmarkStart w:id="176" w:name="_Toc8395064"/>
      <w:bookmarkStart w:id="177" w:name="ProfessionalServices"/>
      <w:bookmarkStart w:id="178" w:name="_Toc61437085"/>
      <w:r>
        <w:t>Професионални услуги</w:t>
      </w:r>
      <w:bookmarkEnd w:id="172"/>
      <w:bookmarkEnd w:id="173"/>
      <w:bookmarkEnd w:id="174"/>
      <w:bookmarkEnd w:id="175"/>
      <w:bookmarkEnd w:id="178"/>
    </w:p>
    <w:p w14:paraId="64BE3363" w14:textId="53D2EA0D" w:rsidR="00237427" w:rsidRPr="00097CE0" w:rsidRDefault="00237427" w:rsidP="00B91639">
      <w:pPr>
        <w:pStyle w:val="ProductList-Body"/>
        <w:spacing w:after="120"/>
      </w:pPr>
      <w:r>
        <w:t>Професионалните услуги се предоставят при спазване на раздел „Условия за Професионални услуги</w:t>
      </w:r>
      <w:r w:rsidR="00090CCF">
        <w:t>“</w:t>
      </w:r>
      <w:r>
        <w:t xml:space="preserve"> по-долу. Ако обаче Професионалните услуги са предоставени съгласно отделно споразумение, се прилагат условията на това отделно споразумение за тези Професионални услуги.</w:t>
      </w:r>
    </w:p>
    <w:p w14:paraId="06080D4B" w14:textId="77777777" w:rsidR="00B91639" w:rsidRPr="00237427" w:rsidRDefault="00B91639" w:rsidP="00B91639">
      <w:pPr>
        <w:pStyle w:val="ProductList-Body"/>
        <w:spacing w:after="120"/>
      </w:pPr>
      <w:r>
        <w:t>Професионалните услуги, за които важи настоящото Известие, не са Онлайн услуги и останалата част от Правата за използване и DPA не се прилагат, освен ако не са изрично посочени като приложими в Условията за Професионални услуги по-долу.</w:t>
      </w:r>
    </w:p>
    <w:p w14:paraId="7DF2B841" w14:textId="77777777" w:rsidR="00B91639" w:rsidRPr="00237427" w:rsidRDefault="00B91639" w:rsidP="00B91639">
      <w:pPr>
        <w:pStyle w:val="ProductList-Body"/>
        <w:spacing w:after="120"/>
        <w:outlineLvl w:val="2"/>
        <w:rPr>
          <w:b/>
          <w:color w:val="00188F"/>
        </w:rPr>
      </w:pPr>
      <w:bookmarkStart w:id="179" w:name="_Toc26972868"/>
      <w:r>
        <w:rPr>
          <w:b/>
          <w:color w:val="00188F"/>
        </w:rPr>
        <w:t>Обработване на Данни за Професионални услуги, Собственост</w:t>
      </w:r>
      <w:bookmarkEnd w:id="179"/>
    </w:p>
    <w:p w14:paraId="3F90DBD7" w14:textId="072FB0FD" w:rsidR="00237427" w:rsidRPr="00097CE0" w:rsidRDefault="00544CF4" w:rsidP="00B91639">
      <w:pPr>
        <w:pStyle w:val="ProductList-Body"/>
        <w:spacing w:after="120"/>
      </w:pPr>
      <w:r>
        <w:t>Microsoft ще използва и като цяло ще обработва Данните за Професионални услуги само в съответствие с документираните инструкции на Клиента, както е описано и при спазване на ограниченията, предоставени по-долу, а) за да предоставя на Клиента Професионалните услугите и б) за законните си бизнес дейности, свързани с предоставянето на Професионалните услуги на Клиента. В отношенията между страните Клиентът запазва всички права, права на собственост и дялове върху и спрямо Данни за Професионални услуги. Microsoft не придобива каквито и да е права върху Данни за Професионални услуги освен правата, които Клиентът предоставя на Microsoft с цел предоставяне на Професионални услуги на Клиента. Настоящият параграф не засяга правата на Microsoft върху софтуера или услугите, които Microsoft лицензира за Клиента.</w:t>
      </w:r>
    </w:p>
    <w:p w14:paraId="69F45BEC" w14:textId="77777777" w:rsidR="00237427" w:rsidRPr="00097CE0" w:rsidRDefault="00237427" w:rsidP="00B91639">
      <w:pPr>
        <w:pStyle w:val="ProductList-Body"/>
        <w:spacing w:after="120"/>
        <w:ind w:left="180"/>
        <w:outlineLvl w:val="2"/>
      </w:pPr>
      <w:bookmarkStart w:id="180" w:name="_Toc26972869"/>
      <w:r>
        <w:rPr>
          <w:b/>
          <w:color w:val="0072C6"/>
        </w:rPr>
        <w:t>Обработване с цел предоставяне на Клиента на Професионалните услуги</w:t>
      </w:r>
      <w:bookmarkEnd w:id="180"/>
    </w:p>
    <w:p w14:paraId="5E77503D" w14:textId="432B4DB0" w:rsidR="00237427" w:rsidRPr="00097CE0" w:rsidRDefault="00237427" w:rsidP="00B91639">
      <w:pPr>
        <w:pStyle w:val="ProductList-Body"/>
        <w:tabs>
          <w:tab w:val="clear" w:pos="158"/>
          <w:tab w:val="left" w:pos="270"/>
        </w:tabs>
        <w:spacing w:after="120"/>
        <w:ind w:left="180"/>
      </w:pPr>
      <w:r>
        <w:rPr>
          <w:rFonts w:ascii="Calibri" w:eastAsia="Calibri" w:hAnsi="Calibri" w:cs="Arial"/>
        </w:rPr>
        <w:t>За целите на настоящото DPA „предоставянето</w:t>
      </w:r>
      <w:r w:rsidR="00090CCF">
        <w:t>“</w:t>
      </w:r>
      <w:r>
        <w:rPr>
          <w:rFonts w:ascii="Calibri" w:eastAsia="Calibri" w:hAnsi="Calibri" w:cs="Arial"/>
        </w:rPr>
        <w:t xml:space="preserve"> на Професионални услуги се състои от:</w:t>
      </w:r>
      <w:r w:rsidR="007E3533">
        <w:rPr>
          <w:rFonts w:ascii="Calibri" w:eastAsia="Calibri" w:hAnsi="Calibri" w:cs="Arial"/>
        </w:rPr>
        <w:t xml:space="preserve"> </w:t>
      </w:r>
    </w:p>
    <w:p w14:paraId="224E1665" w14:textId="43DA0A8F" w:rsidR="00237427" w:rsidRPr="00097CE0" w:rsidRDefault="00237427" w:rsidP="00B91639">
      <w:pPr>
        <w:pStyle w:val="ProductList-Body"/>
        <w:numPr>
          <w:ilvl w:val="0"/>
          <w:numId w:val="7"/>
        </w:numPr>
        <w:tabs>
          <w:tab w:val="clear" w:pos="158"/>
          <w:tab w:val="left" w:pos="180"/>
        </w:tabs>
        <w:ind w:left="540"/>
      </w:pPr>
      <w:r>
        <w:t xml:space="preserve">предоставяне на Професионалните услуги, включително услуги, свързани с осигуряване на техническа поддръжка, професионално планиране, консултиране, насоки, мигриране на данни, внедряване и разработване на решения/софтуер; </w:t>
      </w:r>
    </w:p>
    <w:p w14:paraId="28BDD930" w14:textId="51633773" w:rsidR="00237427" w:rsidRPr="00097CE0" w:rsidRDefault="00237427" w:rsidP="00B91639">
      <w:pPr>
        <w:pStyle w:val="ProductList-Body"/>
        <w:numPr>
          <w:ilvl w:val="0"/>
          <w:numId w:val="7"/>
        </w:numPr>
        <w:tabs>
          <w:tab w:val="clear" w:pos="158"/>
          <w:tab w:val="left" w:pos="180"/>
        </w:tabs>
        <w:ind w:left="540"/>
      </w:pPr>
      <w:r>
        <w:t>отстраняване на неизправности (предотвратяване, откриване, разследване, смекчаване на последиците и коригиране на проблеми, включително пробиви в защитата); и</w:t>
      </w:r>
    </w:p>
    <w:p w14:paraId="1641DEA2" w14:textId="6E0936BB" w:rsidR="00237427" w:rsidRPr="00097CE0" w:rsidRDefault="00237427" w:rsidP="00B91639">
      <w:pPr>
        <w:pStyle w:val="ProductList-Body"/>
        <w:numPr>
          <w:ilvl w:val="0"/>
          <w:numId w:val="7"/>
        </w:numPr>
        <w:tabs>
          <w:tab w:val="clear" w:pos="158"/>
          <w:tab w:val="left" w:pos="180"/>
        </w:tabs>
        <w:spacing w:after="120"/>
        <w:ind w:left="540"/>
      </w:pPr>
      <w:r>
        <w:t>постоянни подобрения (поддържане на Професионалните услуги, включително инсталиране на последните актуализации и подобряване на надеждността, ефикасността, качеството и сигурността). </w:t>
      </w:r>
    </w:p>
    <w:p w14:paraId="300DF607" w14:textId="77777777" w:rsidR="00237427" w:rsidRPr="00097CE0" w:rsidRDefault="00237427" w:rsidP="00B91639">
      <w:pPr>
        <w:pStyle w:val="ProductList-Body"/>
        <w:tabs>
          <w:tab w:val="clear" w:pos="158"/>
          <w:tab w:val="left" w:pos="270"/>
        </w:tabs>
        <w:spacing w:after="120"/>
        <w:ind w:left="180"/>
      </w:pPr>
      <w:r>
        <w:t xml:space="preserve">Когато предоставя Професионални услуги, Microsoft няма да използва или обработва по друг начин Данните за Професионални услуги за: a) профилиране на потребители, б) рекламиране или подобни търговски цели, или в) пазарни проучвания с цел създаване на нови функции, услуги или продукти или с друга цел, освен ако това използване или обработване не е в съответствие с документирани инструкции от Клиента. </w:t>
      </w:r>
    </w:p>
    <w:p w14:paraId="0FE9576B" w14:textId="77777777" w:rsidR="00237427" w:rsidRPr="00097CE0" w:rsidRDefault="00237427" w:rsidP="00B91639">
      <w:pPr>
        <w:pStyle w:val="ProductList-Body"/>
        <w:spacing w:after="120"/>
        <w:ind w:left="187"/>
        <w:outlineLvl w:val="2"/>
      </w:pPr>
      <w:bookmarkStart w:id="181" w:name="_Toc26972870"/>
      <w:r>
        <w:rPr>
          <w:b/>
          <w:color w:val="0072C6"/>
        </w:rPr>
        <w:t>Обработване за законни бизнес дейности на Microsoft</w:t>
      </w:r>
      <w:bookmarkEnd w:id="181"/>
    </w:p>
    <w:p w14:paraId="0ACEEAA2" w14:textId="77777777" w:rsidR="00B91639" w:rsidRPr="00FB2EEC" w:rsidRDefault="00B91639" w:rsidP="00B91639">
      <w:pPr>
        <w:pStyle w:val="ProductList-Body"/>
        <w:tabs>
          <w:tab w:val="clear" w:pos="158"/>
          <w:tab w:val="left" w:pos="270"/>
        </w:tabs>
        <w:spacing w:after="120"/>
        <w:ind w:left="180"/>
        <w:rPr>
          <w:spacing w:val="-2"/>
        </w:rPr>
      </w:pPr>
      <w:r w:rsidRPr="00FB2EEC">
        <w:rPr>
          <w:spacing w:val="-2"/>
        </w:rPr>
        <w:t>За целите на настоящото DPA „законните бизнес дейности на Microsoft“ се състоят от: (1) управление на плащания и сметки; (2) възнаграждения (напр. изчисляване на комисиони на служители); (3) вътрешно отчитане и бизнес моделиране (напр. прогнозиране, приходи, планиране на капацитета, продуктова стратегия); (4) борба с измамите, киберпрестъпността или кибератаки, които може да засегнат Microsoft или Продукти на Microsoft; (5) подобряване на основните функции на достъпност, поверителност или енергийна ефективност; и (6) финансова отчетност или спазване на правни задължения (в зависимост от ограниченията за изнасяне на информация, посочени по-долу), като всяка дейност е свързана с предоставянето на Професионални услуги на Клиента.</w:t>
      </w:r>
    </w:p>
    <w:p w14:paraId="3F0BF8F5" w14:textId="77777777" w:rsidR="00B91639" w:rsidRPr="00237427" w:rsidRDefault="00B91639" w:rsidP="00B91639">
      <w:pPr>
        <w:pStyle w:val="ProductList-Body"/>
        <w:spacing w:after="120"/>
        <w:ind w:left="158"/>
      </w:pPr>
      <w:r>
        <w:t xml:space="preserve">Когато обработва данни за свои законни бизнес дейности, Microsoft няма да използва или обработва по друг начин Данни за Професионални услуги за: </w:t>
      </w:r>
      <w:r w:rsidRPr="00D86FDD">
        <w:t>(</w:t>
      </w:r>
      <w:r>
        <w:t xml:space="preserve">a) профилиране на потребители или </w:t>
      </w:r>
      <w:r w:rsidRPr="00D86FDD">
        <w:t>(</w:t>
      </w:r>
      <w:r>
        <w:t xml:space="preserve">б) рекламиране или подобни търговски цели, или </w:t>
      </w:r>
      <w:r w:rsidRPr="00D86FDD">
        <w:t>(</w:t>
      </w:r>
      <w:r>
        <w:t>в) други цели, различни от посочените в този раздел.</w:t>
      </w:r>
    </w:p>
    <w:p w14:paraId="495A9A02" w14:textId="77777777" w:rsidR="00B91639" w:rsidRPr="00237427" w:rsidRDefault="00B91639" w:rsidP="00B91639">
      <w:pPr>
        <w:pStyle w:val="ProductList-Body"/>
        <w:spacing w:after="120"/>
        <w:outlineLvl w:val="2"/>
        <w:rPr>
          <w:b/>
          <w:color w:val="00188F"/>
        </w:rPr>
      </w:pPr>
      <w:bookmarkStart w:id="182" w:name="_Toc26972871"/>
      <w:r>
        <w:rPr>
          <w:b/>
          <w:color w:val="00188F"/>
        </w:rPr>
        <w:t>Изнасяне на информация за Данни за Професионални услуги</w:t>
      </w:r>
      <w:bookmarkEnd w:id="182"/>
    </w:p>
    <w:p w14:paraId="5D59B3BF" w14:textId="33D311C0" w:rsidR="00237427" w:rsidRPr="00097CE0" w:rsidRDefault="00B91639" w:rsidP="00B91639">
      <w:pPr>
        <w:pStyle w:val="ProductList-Body"/>
        <w:spacing w:after="120"/>
      </w:pPr>
      <w:r>
        <w:t>Клаузата „Изнасяне на информация за Обработвани данни</w:t>
      </w:r>
      <w:r w:rsidRPr="00DF27F4">
        <w:t>“</w:t>
      </w:r>
      <w:r>
        <w:t xml:space="preserve"> в раздела „Условия за защита на данните</w:t>
      </w:r>
      <w:r w:rsidRPr="004F3258">
        <w:t>“</w:t>
      </w:r>
      <w:r>
        <w:t xml:space="preserve"> на DPA е приложима за предоставяне на Професионални услуги на Клиента по отношение на Данни за Професионални услуги</w:t>
      </w:r>
      <w:r w:rsidR="00237427">
        <w:t>.</w:t>
      </w:r>
    </w:p>
    <w:p w14:paraId="31F90B05" w14:textId="77777777" w:rsidR="00237427" w:rsidRPr="00097CE0" w:rsidRDefault="00237427" w:rsidP="00B91639">
      <w:pPr>
        <w:pStyle w:val="ProductList-Body"/>
        <w:spacing w:after="120"/>
        <w:outlineLvl w:val="2"/>
      </w:pPr>
      <w:bookmarkStart w:id="183" w:name="_Toc26972872"/>
      <w:r>
        <w:rPr>
          <w:b/>
          <w:color w:val="00188F"/>
        </w:rPr>
        <w:t>Обработване на Лични данни; ОРЗД</w:t>
      </w:r>
      <w:bookmarkEnd w:id="183"/>
    </w:p>
    <w:p w14:paraId="3A289369" w14:textId="77777777" w:rsidR="00237427" w:rsidRPr="00097CE0" w:rsidRDefault="00237427" w:rsidP="00B91639">
      <w:pPr>
        <w:pStyle w:val="ProductList-Body"/>
        <w:spacing w:after="120"/>
      </w:pPr>
      <w:r>
        <w:t xml:space="preserve">Лични данни, които са предоставени на Microsoft от или от името на Клиента посредством ангажимент с Microsoft за получаване на Професионални услуги, също са Данни за Професионални услуги. </w:t>
      </w:r>
    </w:p>
    <w:p w14:paraId="7E7F7C6E" w14:textId="25A15A6D" w:rsidR="00237427" w:rsidRPr="00097CE0" w:rsidRDefault="00237427" w:rsidP="00B91639">
      <w:pPr>
        <w:pStyle w:val="ProductList-Body"/>
        <w:spacing w:after="120"/>
      </w:pPr>
      <w:r>
        <w:t xml:space="preserve">До степента, в която Microsoft е лице, обработващо данни, или подизпълнител във връзка с Лични данни, обект на ОРЗД, Условията на ОРЗД в </w:t>
      </w:r>
      <w:hyperlink w:anchor="Attachment3" w:history="1">
        <w:r>
          <w:rPr>
            <w:rStyle w:val="Hyperlink"/>
          </w:rPr>
          <w:t>Приложение 3</w:t>
        </w:r>
      </w:hyperlink>
      <w:r>
        <w:t xml:space="preserve"> уреждат това обработване на данни, като страните също така се съгласяват със следните условия в настоящия подраздел („Обработване на Лични данни; ОРЗД</w:t>
      </w:r>
      <w:r w:rsidR="00090CCF">
        <w:t>“</w:t>
      </w:r>
      <w:r>
        <w:t>):</w:t>
      </w:r>
    </w:p>
    <w:p w14:paraId="5302351F" w14:textId="77777777" w:rsidR="00B91639" w:rsidRPr="00237427" w:rsidRDefault="00B91639" w:rsidP="00B91639">
      <w:pPr>
        <w:pStyle w:val="ProductList-Body"/>
        <w:keepNext/>
        <w:spacing w:after="120"/>
        <w:ind w:left="187"/>
        <w:outlineLvl w:val="2"/>
        <w:rPr>
          <w:b/>
          <w:color w:val="0072C6"/>
        </w:rPr>
      </w:pPr>
      <w:bookmarkStart w:id="184" w:name="_Toc26972873"/>
      <w:r>
        <w:rPr>
          <w:b/>
          <w:color w:val="0072C6"/>
        </w:rPr>
        <w:lastRenderedPageBreak/>
        <w:t>Роли и отговорности на лицето, обработващо данни, и на администратора на данни</w:t>
      </w:r>
      <w:bookmarkEnd w:id="184"/>
    </w:p>
    <w:p w14:paraId="16BCB9CF" w14:textId="77777777" w:rsidR="00B91639" w:rsidRPr="00237427" w:rsidRDefault="00B91639" w:rsidP="00B91639">
      <w:pPr>
        <w:pStyle w:val="ProductList-Body"/>
        <w:spacing w:after="120"/>
        <w:ind w:left="158"/>
      </w:pPr>
      <w:r>
        <w:t>Клиентът и Microsoft се съгласяват, че Клиентът е администраторът на Личните данни, включени в Данните за Професионални услуги, а</w:t>
      </w:r>
      <w:r w:rsidRPr="00D96637">
        <w:t xml:space="preserve"> </w:t>
      </w:r>
      <w:r>
        <w:t xml:space="preserve">Microsoft е обработващият тези данни, освен когато </w:t>
      </w:r>
      <w:r w:rsidRPr="00D86FDD">
        <w:t>(</w:t>
      </w:r>
      <w:r>
        <w:t>а) Клиентът действа като обработващ Лични данни, в който случай Microsoft е</w:t>
      </w:r>
      <w:r w:rsidRPr="00D96637">
        <w:t xml:space="preserve"> </w:t>
      </w:r>
      <w:r>
        <w:t xml:space="preserve">подизпълнител, или </w:t>
      </w:r>
      <w:r w:rsidRPr="00D86FDD">
        <w:t>(</w:t>
      </w:r>
      <w:r>
        <w:t>б) в Специфичните условия за Онлайн услуги е посочено друго. Когато Microsoft действа като обработващ Лични данни или подизпълнител при обработване на Лични данни, той обработва Лични данни само съгласно документирани инструкции от</w:t>
      </w:r>
      <w:r w:rsidRPr="00D96637">
        <w:t xml:space="preserve"> </w:t>
      </w:r>
      <w:r>
        <w:t>Клиента. Клиентът се съгласява, че неговото споразумение за корпоративно лицензиране (включително Условията на DPA и всички приложими актуализации) и всяко споразумение за услуги, съгласувано между страните, представляват пълните и окончателни документирани инструкции към Microsoft от страна на Клиента за обработването на Лични данни, съдържащи се в Данните за Професионални услуги. Всички допълнителни или алтернативни инструкции трябва да се договарят в съответствие с процеса за изменяне на споразумението за корпоративно лицензиране или други дефиниции по отношение на услугите за Клиента. Във всеки случай, когато се прилага ОРЗД и Клиентът е лице, обработващо лични данни, Клиентът гарантира на Microsoft, че инструкциите на Клиента, включително назначаването на Microsoft като лице, обработващо лични данни, или подизпълнител, са разрешени от съответния администратор.</w:t>
      </w:r>
    </w:p>
    <w:p w14:paraId="50F64CDE" w14:textId="28ADA23F" w:rsidR="00237427" w:rsidRPr="00097CE0" w:rsidRDefault="002B28EF" w:rsidP="00B91639">
      <w:pPr>
        <w:pStyle w:val="ProductList-Body"/>
        <w:spacing w:after="120"/>
        <w:ind w:left="158"/>
      </w:pPr>
      <w:r>
        <w:t>До степента, в която Microsoft използва или обработва по друг начин Данни за Професионални услуги, обект на ОРЗД, във връзка със законните си бизнес дейности, свързани с предоставянето на Професионалните услуги на Клиента, Microsoft ще спазва задълженията на независим администратор на данни съгласно ОРЗД за подобно използване. Microsoft приема добавените отговорности на „администратор“ на данни съгласно ОРЗД за обработването във връзка със законните си бизнес дейности, за да: а) действа в съответствие с регулаторните изисквания до степента, изисквана от ОРЗД; и б) предостави по-голяма прозрачност на Клиентите и потвърди отговорността на Microsoft за подобно обработване. Microsoft използва защитни мерки за опазване на Данните за Професионални услуги при обработването, включително посочените в настоящото DPA и предвидените в член 6, параграф 4 от ОРЗД. По отношение на обработването на Лични данни съгласно този параграф Microsoft поема ангажиментите, посочени в Приложение 3 към Приложение 2 – Стандартните договорни клаузи (Лица, обработващи лични данни) на DPA; за тези цели (i) всяко изнасяне на информация за Лични данни от Microsoft, както е описано в Приложение 3, които са прехвърлени във връзка със законни бизнес дейности на Microsoft, се счита за „Основателно изнасяне на информация“ и (ii) ангажиментите в посоченото Приложение 3 са приложими за такива Лични данни.</w:t>
      </w:r>
    </w:p>
    <w:p w14:paraId="6D20129C" w14:textId="775B7D04" w:rsidR="00237427" w:rsidRPr="00097CE0" w:rsidRDefault="00237427" w:rsidP="00B91639">
      <w:pPr>
        <w:pStyle w:val="ProductList-Body"/>
        <w:spacing w:after="120"/>
        <w:ind w:left="187"/>
        <w:outlineLvl w:val="2"/>
      </w:pPr>
      <w:bookmarkStart w:id="185" w:name="_Toc26972874"/>
      <w:r>
        <w:rPr>
          <w:b/>
          <w:color w:val="0072C6"/>
        </w:rPr>
        <w:t xml:space="preserve">Данни за </w:t>
      </w:r>
      <w:r>
        <w:rPr>
          <w:b/>
          <w:bCs/>
          <w:color w:val="0072C6"/>
        </w:rPr>
        <w:t>обработване</w:t>
      </w:r>
      <w:bookmarkEnd w:id="185"/>
    </w:p>
    <w:p w14:paraId="0276CC88" w14:textId="0BD80A9A" w:rsidR="00237427" w:rsidRPr="00097CE0" w:rsidRDefault="00237427" w:rsidP="00B91639">
      <w:pPr>
        <w:pStyle w:val="ProductList-Body"/>
        <w:spacing w:after="120"/>
        <w:ind w:left="158"/>
      </w:pPr>
      <w:r>
        <w:t>Страните потвърждават и се съгласяват, че:</w:t>
      </w:r>
    </w:p>
    <w:p w14:paraId="22913993" w14:textId="198BA61B" w:rsidR="00237427" w:rsidRPr="00097CE0" w:rsidRDefault="00237427" w:rsidP="00B91639">
      <w:pPr>
        <w:pStyle w:val="ProductList-Body"/>
        <w:numPr>
          <w:ilvl w:val="0"/>
          <w:numId w:val="6"/>
        </w:numPr>
        <w:ind w:left="562"/>
      </w:pPr>
      <w:r>
        <w:rPr>
          <w:b/>
          <w:bCs/>
        </w:rPr>
        <w:t>Предмет.</w:t>
      </w:r>
      <w:r>
        <w:t xml:space="preserve"> Предметът на обработването е ограничен до Лични данни в рамките на обхвата на раздела от настоящите Условия за Професионални услуги, озаглавен „Обработване на Данни за Професионални услуги: Собственост</w:t>
      </w:r>
      <w:r w:rsidR="00090CCF">
        <w:t>“</w:t>
      </w:r>
      <w:r>
        <w:t xml:space="preserve"> по-горе и ОРЗД.</w:t>
      </w:r>
    </w:p>
    <w:p w14:paraId="385A90C6" w14:textId="6D7255FC" w:rsidR="00237427" w:rsidRPr="00097CE0" w:rsidRDefault="00237427" w:rsidP="00B91639">
      <w:pPr>
        <w:pStyle w:val="ProductList-Body"/>
        <w:numPr>
          <w:ilvl w:val="0"/>
          <w:numId w:val="6"/>
        </w:numPr>
        <w:ind w:left="562"/>
      </w:pPr>
      <w:r>
        <w:rPr>
          <w:b/>
          <w:bCs/>
        </w:rPr>
        <w:t>Времетраене на обработването.</w:t>
      </w:r>
      <w:r>
        <w:t xml:space="preserve"> Времетраенето на обработването трябва да бъде в съответствие с инструкциите на Клиента и настоящите Условия за Професионални услуги. </w:t>
      </w:r>
    </w:p>
    <w:p w14:paraId="338B8DED" w14:textId="77777777" w:rsidR="00B91639" w:rsidRPr="00237427" w:rsidRDefault="00B91639" w:rsidP="00B91639">
      <w:pPr>
        <w:pStyle w:val="ProductList-Body"/>
        <w:numPr>
          <w:ilvl w:val="0"/>
          <w:numId w:val="6"/>
        </w:numPr>
        <w:ind w:left="562"/>
      </w:pPr>
      <w:r>
        <w:rPr>
          <w:b/>
          <w:bCs/>
        </w:rPr>
        <w:t>Естество и цел на обработването.</w:t>
      </w:r>
      <w:r>
        <w:t xml:space="preserve"> Естеството и целта на обработването е да се предоставят Професионални услуги съгласно споразумението за корпоративно лицензиране на Клиента и всяка декларация за услуги, както и за законните бизнес дейности на Microsoft, свързани с предоставянето на Професионалните услуги на Клиента </w:t>
      </w:r>
      <w:r>
        <w:rPr>
          <w:rFonts w:ascii="Calibri" w:eastAsia="Calibri" w:hAnsi="Calibri" w:cs="Arial"/>
        </w:rPr>
        <w:t>(както е описано по-долу в раздела на тези Условия за Професионални услуги, озаглавен „Обработване на Данни за Професионални услуги: Собственост“ по-горе)</w:t>
      </w:r>
      <w:r>
        <w:t xml:space="preserve">. </w:t>
      </w:r>
    </w:p>
    <w:p w14:paraId="55808FD5" w14:textId="0BD093A5" w:rsidR="00237427" w:rsidRPr="00097CE0" w:rsidRDefault="00B91639" w:rsidP="00B91639">
      <w:pPr>
        <w:pStyle w:val="ProductList-Body"/>
        <w:numPr>
          <w:ilvl w:val="0"/>
          <w:numId w:val="6"/>
        </w:numPr>
        <w:ind w:left="562"/>
      </w:pPr>
      <w:r>
        <w:rPr>
          <w:b/>
          <w:bCs/>
        </w:rPr>
        <w:t>Категории данни.</w:t>
      </w:r>
      <w:r>
        <w:t xml:space="preserve"> Видовете Лични данни, обработвани от Microsoft във връзка с предоставянето на Професионални услуги, включват </w:t>
      </w:r>
      <w:r>
        <w:rPr>
          <w:rFonts w:ascii="Calibri" w:eastAsia="Calibri" w:hAnsi="Calibri" w:cs="Arial"/>
        </w:rPr>
        <w:t>(i) Лични данни, избрани от Клиента за включване в Данните за Професионални услуги; и (ii)</w:t>
      </w:r>
      <w:r>
        <w:rPr>
          <w:rFonts w:ascii="Calibri" w:hAnsi="Calibri"/>
        </w:rPr>
        <w:t xml:space="preserve"> </w:t>
      </w:r>
      <w:r>
        <w:t xml:space="preserve">изрично посочените в чл. 4 от ОРЗД. Типовете Лични данни, които Клиентът избира за включване в Данните за Професионални услуги може да са от произволни категории Лични данни, идентифицирани в регистрите, поддържани от Клиента, действащ като администратор по силата на чл. 30 от ОРЗД, включително категориите Лични данни, посочени в </w:t>
      </w:r>
      <w:hyperlink w:anchor="Appendix1toAttachment2" w:history="1">
        <w:r>
          <w:rPr>
            <w:rStyle w:val="Hyperlink"/>
          </w:rPr>
          <w:t>Приложение 1 към Приложение 2</w:t>
        </w:r>
      </w:hyperlink>
      <w:r>
        <w:t xml:space="preserve"> – Стандартните договорни клаузи (Лица, обработващи лични данни) от DPA</w:t>
      </w:r>
      <w:r w:rsidR="00237427">
        <w:t>.</w:t>
      </w:r>
    </w:p>
    <w:p w14:paraId="401AB871" w14:textId="54478504" w:rsidR="00237427" w:rsidRPr="00097CE0" w:rsidRDefault="00237427" w:rsidP="00B91639">
      <w:pPr>
        <w:pStyle w:val="ProductList-Body"/>
        <w:numPr>
          <w:ilvl w:val="0"/>
          <w:numId w:val="6"/>
        </w:numPr>
        <w:spacing w:after="120"/>
        <w:ind w:left="562"/>
      </w:pPr>
      <w:r>
        <w:rPr>
          <w:b/>
          <w:bCs/>
        </w:rPr>
        <w:t>Субекти на данни.</w:t>
      </w:r>
      <w:r>
        <w:t xml:space="preserve"> Категориите субекти на данни са представителите и крайните потребители на Клиента, като например служители, контрагенти, сътрудници и клиенти и може да включват всички други категории субекти на данни, идентифицирани в регистрите, поддържани от Клиента, действащ като администратор съгласно чл. 30 от ОРЗД, включително категориите субекти на данни, посочени в </w:t>
      </w:r>
      <w:hyperlink w:anchor="Appendix1toAttachment2" w:history="1">
        <w:r>
          <w:rPr>
            <w:rStyle w:val="Hyperlink"/>
          </w:rPr>
          <w:t>Приложение 1 към Приложение 2</w:t>
        </w:r>
      </w:hyperlink>
      <w:r>
        <w:t xml:space="preserve"> – Стандартните договорни клаузи (Лица, обработващи лични данни) от DPA.</w:t>
      </w:r>
    </w:p>
    <w:p w14:paraId="396BC684" w14:textId="58150DF0" w:rsidR="00237427" w:rsidRPr="00097CE0" w:rsidRDefault="00237427" w:rsidP="00B91639">
      <w:pPr>
        <w:pStyle w:val="ProductList-Body"/>
        <w:spacing w:after="120"/>
        <w:ind w:left="187"/>
        <w:outlineLvl w:val="2"/>
      </w:pPr>
      <w:bookmarkStart w:id="186" w:name="_Toc26972875"/>
      <w:r>
        <w:rPr>
          <w:b/>
          <w:color w:val="0072C6"/>
        </w:rPr>
        <w:t>Права на субектите на данни; помощ във връзка с искания</w:t>
      </w:r>
      <w:bookmarkEnd w:id="186"/>
    </w:p>
    <w:p w14:paraId="76AB854D" w14:textId="2D0412BA" w:rsidR="00237427" w:rsidRPr="00097CE0" w:rsidRDefault="00237427" w:rsidP="00B91639">
      <w:pPr>
        <w:pStyle w:val="ProductList-Body"/>
        <w:spacing w:after="120"/>
        <w:ind w:left="158"/>
      </w:pPr>
      <w:r>
        <w:t>За Данни за Професионални услуги, които Клиентът съхранява в Онлайн услуга, Microsoft ще спазва задълженията, посочени в разпоредбата „Права на субектите на данни; Помощ във връзка с искания</w:t>
      </w:r>
      <w:r w:rsidR="00090CCF">
        <w:t>“</w:t>
      </w:r>
      <w:r>
        <w:t xml:space="preserve"> в раздела „Условия за защита на данните</w:t>
      </w:r>
      <w:r w:rsidR="00090CCF">
        <w:t>“</w:t>
      </w:r>
      <w:r>
        <w:t xml:space="preserve"> на DPA. За други Данни за Професионални услуги Microsoft ще изтрие или върне всички копия на Данни за Професионални услуги в съответствие с раздел „Връщане или изтриване на данни</w:t>
      </w:r>
      <w:r w:rsidR="00090CCF">
        <w:t>“</w:t>
      </w:r>
      <w:r>
        <w:t xml:space="preserve"> по-долу.</w:t>
      </w:r>
    </w:p>
    <w:p w14:paraId="1CA469B8" w14:textId="3AC4992A" w:rsidR="00237427" w:rsidRPr="00097CE0" w:rsidRDefault="00237427" w:rsidP="00B91639">
      <w:pPr>
        <w:pStyle w:val="ProductList-Body"/>
        <w:spacing w:after="120"/>
        <w:ind w:left="187"/>
        <w:outlineLvl w:val="2"/>
      </w:pPr>
      <w:bookmarkStart w:id="187" w:name="_Toc26972876"/>
      <w:r>
        <w:rPr>
          <w:b/>
          <w:color w:val="0072C6"/>
        </w:rPr>
        <w:t>Регистри на дейностите по обработване</w:t>
      </w:r>
      <w:bookmarkEnd w:id="187"/>
    </w:p>
    <w:p w14:paraId="6A7885EB" w14:textId="77777777" w:rsidR="00237427" w:rsidRPr="00097CE0" w:rsidRDefault="00237427" w:rsidP="00B91639">
      <w:pPr>
        <w:pStyle w:val="ProductList-Body"/>
        <w:spacing w:after="120"/>
        <w:ind w:left="158"/>
      </w:pPr>
      <w:r>
        <w:lastRenderedPageBreak/>
        <w:t>До степента, в която ОРЗД изисква Microsoft да събира и поддържа регистри с определена информация, свързана с Клиента, Клиентът предоставя (когато е необходимо) тази информация на Microsoft и я поддържа точна и актуална. Microsoft може да предоставя тази информация на надзорния орган, ако това се изисква от ОРЗД.</w:t>
      </w:r>
    </w:p>
    <w:p w14:paraId="6D6F3171" w14:textId="77777777" w:rsidR="00237427" w:rsidRPr="00097CE0" w:rsidRDefault="00237427" w:rsidP="00B91639">
      <w:pPr>
        <w:pStyle w:val="ProductList-Body"/>
        <w:keepNext/>
        <w:spacing w:after="120"/>
        <w:outlineLvl w:val="2"/>
      </w:pPr>
      <w:bookmarkStart w:id="188" w:name="_Toc26972877"/>
      <w:r>
        <w:rPr>
          <w:b/>
          <w:color w:val="00188F"/>
        </w:rPr>
        <w:t>Защита на данните</w:t>
      </w:r>
      <w:bookmarkEnd w:id="188"/>
    </w:p>
    <w:p w14:paraId="741C92B5" w14:textId="746A93BB" w:rsidR="00237427" w:rsidRPr="00097CE0" w:rsidRDefault="00237427" w:rsidP="00B91639">
      <w:pPr>
        <w:pStyle w:val="ProductList-Body"/>
        <w:keepNext/>
        <w:spacing w:after="120"/>
        <w:ind w:left="187"/>
        <w:outlineLvl w:val="2"/>
      </w:pPr>
      <w:bookmarkStart w:id="189" w:name="_Toc26972878"/>
      <w:r>
        <w:rPr>
          <w:b/>
          <w:color w:val="0072C6"/>
        </w:rPr>
        <w:t>Практики и правила за защита</w:t>
      </w:r>
      <w:bookmarkEnd w:id="189"/>
    </w:p>
    <w:p w14:paraId="07352F94" w14:textId="6F5B8E36" w:rsidR="00237427" w:rsidRPr="00097CE0" w:rsidRDefault="00237427" w:rsidP="00B91639">
      <w:pPr>
        <w:pStyle w:val="ProductList-Body"/>
        <w:tabs>
          <w:tab w:val="clear" w:pos="158"/>
          <w:tab w:val="left" w:pos="270"/>
        </w:tabs>
        <w:spacing w:after="120"/>
        <w:ind w:left="180"/>
      </w:pPr>
      <w:r>
        <w:t>Microsoft внедрява и поддържа подходящи технически и организационни мерки с цел защита на Данните за Професионални услуги срещу случайно или неправомерно унищожаване, загуба, изменение, неразрешено изнасяне на информация или достъп до прехвърлени, съхранявани или обработвани по друг начин Лични данни. Тези мерки се определят в Правила на Microsoft за защита. Microsoft ще осигури на Клиента достъп до тези правила, както и разумно изискваната от Клиента друга информация по отношение на правилата и практиките за защита на Microsoft.</w:t>
      </w:r>
    </w:p>
    <w:p w14:paraId="23FE24C8" w14:textId="439325D2" w:rsidR="00237427" w:rsidRPr="00097CE0" w:rsidRDefault="00237427" w:rsidP="00B91639">
      <w:pPr>
        <w:pStyle w:val="ProductList-Body"/>
        <w:spacing w:after="120"/>
        <w:ind w:left="187"/>
        <w:outlineLvl w:val="2"/>
      </w:pPr>
      <w:bookmarkStart w:id="190" w:name="_Toc26972879"/>
      <w:r>
        <w:rPr>
          <w:b/>
          <w:color w:val="0072C6"/>
        </w:rPr>
        <w:t>Отговорности на Клиента</w:t>
      </w:r>
      <w:bookmarkEnd w:id="190"/>
    </w:p>
    <w:p w14:paraId="67D5C85F" w14:textId="79789B23" w:rsidR="00237427" w:rsidRPr="00097CE0" w:rsidRDefault="00237427" w:rsidP="00B91639">
      <w:pPr>
        <w:pStyle w:val="ProductList-Body"/>
        <w:tabs>
          <w:tab w:val="clear" w:pos="158"/>
          <w:tab w:val="left" w:pos="270"/>
        </w:tabs>
        <w:spacing w:after="120"/>
        <w:ind w:left="180"/>
      </w:pPr>
      <w:r>
        <w:t>Разпоредбата „Отговорности на Клиента</w:t>
      </w:r>
      <w:r w:rsidR="00090CCF">
        <w:t>“</w:t>
      </w:r>
      <w:r>
        <w:t xml:space="preserve"> в раздела „Условия за защита на данните</w:t>
      </w:r>
      <w:r w:rsidR="00090CCF">
        <w:t>“</w:t>
      </w:r>
      <w:r>
        <w:t xml:space="preserve"> на DPA е приложима за предоставяне на Професионални услуги на Клиента по отношение на Данните за Професионални услуги. В допълнение, по отношение на предоставянето на Професионални услуги на Клиента същият се съгласява да предоставя всички Данни за Професионални услуги, различни от Данните за поддръжка, на Microsoft, които се подчиняват на разпоредбите в 20 U.S.C. § 1232g от FERPA (Family Educational Rights and Privacy Act; Закон за семейни права и поверителност в образованието) или Закона за отчетност и преносимост на здравното осигуряване от 1996 г. (Публ. L. 104-191) (HIPAA).</w:t>
      </w:r>
      <w:r w:rsidR="007E3533">
        <w:t xml:space="preserve"> </w:t>
      </w:r>
    </w:p>
    <w:p w14:paraId="1121018C" w14:textId="77777777" w:rsidR="00237427" w:rsidRPr="00097CE0" w:rsidRDefault="00237427" w:rsidP="00B91639">
      <w:pPr>
        <w:pStyle w:val="ProductList-Body"/>
        <w:spacing w:after="120"/>
        <w:outlineLvl w:val="2"/>
      </w:pPr>
      <w:bookmarkStart w:id="191" w:name="_Toc26972880"/>
      <w:r>
        <w:rPr>
          <w:b/>
          <w:color w:val="00188F"/>
        </w:rPr>
        <w:t>Уведомяване за пробив в защитата</w:t>
      </w:r>
      <w:bookmarkEnd w:id="191"/>
    </w:p>
    <w:p w14:paraId="3A450292" w14:textId="7BFA2372" w:rsidR="00237427" w:rsidRPr="00097CE0" w:rsidRDefault="00237427" w:rsidP="00B91639">
      <w:pPr>
        <w:pStyle w:val="ProductList-Body"/>
        <w:spacing w:after="120"/>
      </w:pPr>
      <w:r>
        <w:rPr>
          <w:rStyle w:val="ProductList-BodyChar"/>
        </w:rPr>
        <w:t>Разпоредбата</w:t>
      </w:r>
      <w:r>
        <w:t xml:space="preserve"> „Уведомяване за пробив в защитата</w:t>
      </w:r>
      <w:r w:rsidR="00090CCF">
        <w:t>“</w:t>
      </w:r>
      <w:r>
        <w:t xml:space="preserve"> в раздела „Условия за защита на данните</w:t>
      </w:r>
      <w:r w:rsidR="00090CCF">
        <w:t>“</w:t>
      </w:r>
      <w:r>
        <w:t xml:space="preserve"> на DPA е приложима за предоставяне на Професионални услуги на Клиента по отношение на Данни за Професионални услуги.</w:t>
      </w:r>
    </w:p>
    <w:p w14:paraId="4C648C30" w14:textId="77777777" w:rsidR="00237427" w:rsidRPr="00097CE0" w:rsidRDefault="00237427" w:rsidP="00B91639">
      <w:pPr>
        <w:pStyle w:val="ProductList-Body"/>
        <w:spacing w:after="120"/>
        <w:outlineLvl w:val="2"/>
      </w:pPr>
      <w:bookmarkStart w:id="192" w:name="_Toc26972881"/>
      <w:r>
        <w:rPr>
          <w:b/>
          <w:color w:val="00188F"/>
        </w:rPr>
        <w:t>Прехвърляне на данни</w:t>
      </w:r>
      <w:bookmarkEnd w:id="192"/>
    </w:p>
    <w:p w14:paraId="54FC2E05" w14:textId="77777777" w:rsidR="008A71B7" w:rsidRPr="00181979" w:rsidRDefault="008A71B7" w:rsidP="008A71B7">
      <w:pPr>
        <w:pStyle w:val="ProductList-Body"/>
        <w:spacing w:after="120"/>
        <w:rPr>
          <w:rStyle w:val="ProductList-BodyChar"/>
        </w:rPr>
      </w:pPr>
      <w:r>
        <w:rPr>
          <w:rStyle w:val="ProductList-BodyChar"/>
        </w:rPr>
        <w:t>Данните на Professional Services, които Microsoft обработва от името на Клиента, не може да се прехвърлят или съхраняват и обработват в</w:t>
      </w:r>
      <w:r>
        <w:rPr>
          <w:rStyle w:val="ProductList-BodyChar"/>
          <w:lang w:val="en-US"/>
        </w:rPr>
        <w:t> </w:t>
      </w:r>
      <w:r>
        <w:rPr>
          <w:rStyle w:val="ProductList-BodyChar"/>
        </w:rPr>
        <w:t>дадено географско местоположение, освен ако не е в съответствие с Условията на Professional Services и предпазните мерки, предвидени по-долу в този раздел. С оглед на тези предпазни мерки Клиентът назначава Microsoft да прехвърля Данни на Professional Services в САЩ или която и да е друга държава, в която Microsoft или неговите Подобработващи лични данни лица извършват дейност, и да съхранява и</w:t>
      </w:r>
      <w:r>
        <w:rPr>
          <w:rStyle w:val="ProductList-BodyChar"/>
          <w:lang w:val="en-US"/>
        </w:rPr>
        <w:t> </w:t>
      </w:r>
      <w:r>
        <w:rPr>
          <w:rStyle w:val="ProductList-BodyChar"/>
        </w:rPr>
        <w:t>обработва Данни на Professional Services за предоставянето на Professional Services, с изключение на описаното на други места в</w:t>
      </w:r>
      <w:r>
        <w:rPr>
          <w:rStyle w:val="ProductList-BodyChar"/>
          <w:lang w:val="en-US"/>
        </w:rPr>
        <w:t> </w:t>
      </w:r>
      <w:r>
        <w:rPr>
          <w:rStyle w:val="ProductList-BodyChar"/>
        </w:rPr>
        <w:t>Условията на Professional Services. </w:t>
      </w:r>
    </w:p>
    <w:p w14:paraId="697E6310" w14:textId="77777777" w:rsidR="008A71B7" w:rsidRPr="00181979" w:rsidRDefault="008A71B7" w:rsidP="008A71B7">
      <w:pPr>
        <w:pStyle w:val="ProductList-Body"/>
        <w:spacing w:after="120"/>
        <w:rPr>
          <w:rStyle w:val="ProductList-BodyChar"/>
        </w:rPr>
      </w:pPr>
      <w:r>
        <w:rPr>
          <w:rStyle w:val="ProductList-BodyChar"/>
        </w:rPr>
        <w:t>Всички прехвърляния на Данни на Professional Services извън Европейския съюз, Европейското икономическо пространство, Обединеното кралство и Швейцария с цел предоставяне на Professional Services се уреждат от Стандартните договорни клаузи в Приложение 2. </w:t>
      </w:r>
    </w:p>
    <w:p w14:paraId="30AB3BAC" w14:textId="77777777" w:rsidR="008A71B7" w:rsidRPr="00111ABC" w:rsidRDefault="008A71B7" w:rsidP="008A71B7">
      <w:pPr>
        <w:pStyle w:val="ProductList-Body"/>
        <w:spacing w:after="120"/>
        <w:rPr>
          <w:rStyle w:val="ProductList-BodyChar"/>
          <w:spacing w:val="-2"/>
        </w:rPr>
      </w:pPr>
      <w:r w:rsidRPr="00111ABC">
        <w:rPr>
          <w:rStyle w:val="ProductList-BodyChar"/>
          <w:spacing w:val="-2"/>
        </w:rPr>
        <w:t>Microsoft ще спазва изискванията на законодателството за защита на данните на Европейското икономическо пространство и Швейцария по отношение на събирането, използването, прехвърлянето, съхранението и друго обработване на Лични данни от Европейското икономическо пространство, Обединеното кралство и Швейцария. Всички прехвърляния на Лични данни на трета държава или международна организация ще се извършват при вземане на съответните предпазни мерки, както е описано в чл. 46 от ОРЗД, и подобни прехвърляния и предпазни мерки ще бъдат документирани съгласно чл. 30, параграф 2 от ОРЗД. </w:t>
      </w:r>
    </w:p>
    <w:p w14:paraId="4862FC8E" w14:textId="341D0DAD" w:rsidR="00237427" w:rsidRPr="00097CE0" w:rsidRDefault="008A71B7" w:rsidP="008A71B7">
      <w:pPr>
        <w:pStyle w:val="ProductList-Body"/>
        <w:spacing w:after="120"/>
      </w:pPr>
      <w:r>
        <w:rPr>
          <w:rStyle w:val="ProductList-BodyChar"/>
        </w:rPr>
        <w:t>В допълнение Microsoft има сертифициране по Рамките за защита на неприкосновеността на личния живот в отношенията между ЕС и</w:t>
      </w:r>
      <w:r>
        <w:rPr>
          <w:rStyle w:val="ProductList-BodyChar"/>
          <w:lang w:val="en-US"/>
        </w:rPr>
        <w:t> </w:t>
      </w:r>
      <w:r>
        <w:rPr>
          <w:rStyle w:val="ProductList-BodyChar"/>
        </w:rPr>
        <w:t>САЩ и Швейцария и САЩ и свързаните с тях ангажименти, въпреки че Microsoft не разчита на Рамката за защита на неприкосновеността на личния живот в отношенията между ЕС и САЩ като правна основа за прехвърляне на Лични данни с оглед на решението на Съда на ЕС по дело C-311/18. Microsoft се съгласява да уведоми Клиента, ако прецени, че повече не може да изпълнява задължението си да осигурява същото ниво на защита, което се изисква от принципите, залегнали в Рамката за защита на неприкосновеността на личния живот</w:t>
      </w:r>
      <w:r w:rsidR="00237427">
        <w:rPr>
          <w:szCs w:val="18"/>
        </w:rPr>
        <w:t>.</w:t>
      </w:r>
    </w:p>
    <w:p w14:paraId="77520791" w14:textId="77777777" w:rsidR="00237427" w:rsidRPr="00097CE0" w:rsidRDefault="00237427" w:rsidP="00B91639">
      <w:pPr>
        <w:pStyle w:val="ProductList-Body"/>
        <w:spacing w:after="120"/>
        <w:outlineLvl w:val="2"/>
      </w:pPr>
      <w:bookmarkStart w:id="193" w:name="_Toc26972882"/>
      <w:r>
        <w:rPr>
          <w:b/>
          <w:color w:val="00188F"/>
        </w:rPr>
        <w:t>Изтриване или връщане на данни</w:t>
      </w:r>
      <w:bookmarkEnd w:id="193"/>
    </w:p>
    <w:p w14:paraId="20F93193" w14:textId="1B9B81DB" w:rsidR="00237427" w:rsidRPr="00097CE0" w:rsidRDefault="00237427" w:rsidP="00B91639">
      <w:pPr>
        <w:pStyle w:val="ProductList-Body"/>
        <w:spacing w:after="120"/>
      </w:pPr>
      <w:r>
        <w:t>Microsoft ще изтрие или върне всички копия на Данни за Професионални услуги след изпълнение на бизнес целите, за които са били събрани или прехвърлени, или по-рано след искане от страна на Клиента, освен ако приложимото законодателство не разрешава или изисква от Microsoft да съхранява тези данни или няма разрешение за това съгласно настоящото DPA.</w:t>
      </w:r>
    </w:p>
    <w:p w14:paraId="0D786F2B" w14:textId="77777777" w:rsidR="00237427" w:rsidRPr="00097CE0" w:rsidRDefault="00237427" w:rsidP="00B91639">
      <w:pPr>
        <w:pStyle w:val="ProductList-Body"/>
        <w:spacing w:after="120"/>
        <w:outlineLvl w:val="2"/>
      </w:pPr>
      <w:bookmarkStart w:id="194" w:name="_Toc527036905"/>
      <w:bookmarkStart w:id="195" w:name="_Toc26972883"/>
      <w:r>
        <w:rPr>
          <w:b/>
          <w:color w:val="00188F"/>
        </w:rPr>
        <w:t>Ангажимент за поверителност на лицето, обработващо данните</w:t>
      </w:r>
      <w:bookmarkEnd w:id="194"/>
      <w:bookmarkEnd w:id="195"/>
    </w:p>
    <w:p w14:paraId="604D7A0B" w14:textId="77777777" w:rsidR="00237427" w:rsidRPr="00097CE0" w:rsidRDefault="00237427" w:rsidP="00B91639">
      <w:pPr>
        <w:pStyle w:val="ProductList-Body"/>
        <w:spacing w:after="120"/>
      </w:pPr>
      <w:r>
        <w:t>Microsoft гарантира, че персоналът, който се занимава с обработването на Данни за Професионални услуги, (i) ще обработва такива данни само съгласно инструкции от Клиента или както е описано в настоящите Условия за Професионални услуги и (ii) е длъжен да спазва поверителността и да осигури защитата на такива данни дори след приключването на ангажимента. За служителите, които имат достъп до Данните за Професионални услуги, Microsoft осигурява периодично и задължително обучение в сферата на поверителността и сигурността на личните данни в съответствие с приложимите Изисквания за защита на данните и отрасловите стандарти.</w:t>
      </w:r>
    </w:p>
    <w:p w14:paraId="2623B701" w14:textId="77777777" w:rsidR="00B91639" w:rsidRPr="00237427" w:rsidRDefault="00B91639" w:rsidP="00B91639">
      <w:pPr>
        <w:pStyle w:val="ProductList-Body"/>
        <w:spacing w:after="120"/>
        <w:outlineLvl w:val="2"/>
      </w:pPr>
      <w:bookmarkStart w:id="196" w:name="_Toc26972884"/>
      <w:r>
        <w:rPr>
          <w:b/>
          <w:color w:val="00188F"/>
        </w:rPr>
        <w:lastRenderedPageBreak/>
        <w:t>Уведомления и мерки за контрол при използването на Подизпълнители</w:t>
      </w:r>
      <w:bookmarkEnd w:id="196"/>
    </w:p>
    <w:p w14:paraId="43307A14" w14:textId="77777777" w:rsidR="00B91639" w:rsidRPr="00237427" w:rsidRDefault="00B91639" w:rsidP="00B91639">
      <w:pPr>
        <w:pStyle w:val="ProductList-Body"/>
        <w:spacing w:after="120"/>
        <w:rPr>
          <w:rStyle w:val="ProductList-BodyChar"/>
        </w:rPr>
      </w:pPr>
      <w:r>
        <w:rPr>
          <w:rStyle w:val="ProductList-BodyChar"/>
        </w:rPr>
        <w:t xml:space="preserve">Microsoft има право да наема Подизпълнители за предоставяне на определени ограничени или спомагателни услуги от името на фирмата. Клиентът се съгласява с това ангажиране, както и със Свързаните лица на Microsoft като Подизпълнители. Горните разрешения ще представляват предварително писмено съгласие на Клиента за възлагане на подизпълнители на обработката на Данни за Професионални услуги от страна на Microsoft, ако такова съгласие се изисква съгласно Стандартните договорни клаузи или Условията на ОРЗД. </w:t>
      </w:r>
    </w:p>
    <w:p w14:paraId="3DAD0B75" w14:textId="35C82D81" w:rsidR="00237427" w:rsidRPr="00097CE0" w:rsidRDefault="00B91639" w:rsidP="00B91639">
      <w:pPr>
        <w:pStyle w:val="ProductList-Body"/>
        <w:spacing w:after="120"/>
      </w:pPr>
      <w:r>
        <w:rPr>
          <w:rStyle w:val="ProductList-BodyChar"/>
        </w:rPr>
        <w:t xml:space="preserve">Microsoft носи отговорност за спазването на посочените в </w:t>
      </w:r>
      <w:hyperlink w:anchor="Приложение1" w:history="1">
        <w:r>
          <w:rPr>
            <w:rStyle w:val="Hyperlink"/>
          </w:rPr>
          <w:t>Приложение 1</w:t>
        </w:r>
      </w:hyperlink>
      <w:r>
        <w:rPr>
          <w:rStyle w:val="ProductList-BodyChar"/>
        </w:rPr>
        <w:t xml:space="preserve"> на DPA задължения на Microsoft от страна на нейните Подизпълнители за Данни за Професионални услуги. При ангажирането на Подизпълнител Microsoft ще гарантира посредством писмен договор, че Подизпълнителят може да осъществява достъп до Данни за Професионални услуги и да ги използва единствено с цел предоставяне на услугите, за чието предоставяне е бил нает от Microsoft, като му е забранено да използва Данните за Професионални услуги за други цели. Microsoft ще гарантира, че Подизпълнителите са обвързани с писмени споразумения, които изискват от тях да осигурят поне нивото на защита на данните, което се изисква от Microsoft съгласно тези Условия за Професионални услуги.</w:t>
      </w:r>
      <w:r>
        <w:t xml:space="preserve"> </w:t>
      </w:r>
      <w:r>
        <w:rPr>
          <w:rStyle w:val="ProductList-BodyChar"/>
        </w:rPr>
        <w:t>Microsoft се съгласява да осъществява надзор върху Подизпълнителите, за да осигури изпълнението на тези договорни задължения</w:t>
      </w:r>
      <w:r w:rsidR="00237427">
        <w:rPr>
          <w:rStyle w:val="ProductList-BodyChar"/>
        </w:rPr>
        <w:t>.</w:t>
      </w:r>
    </w:p>
    <w:p w14:paraId="5C10AE9A" w14:textId="1C74D4EE" w:rsidR="00237427" w:rsidRPr="00097CE0" w:rsidRDefault="00237427" w:rsidP="00B91639">
      <w:pPr>
        <w:pStyle w:val="ProductList-Body"/>
        <w:spacing w:after="120"/>
      </w:pPr>
      <w:r>
        <w:rPr>
          <w:rStyle w:val="ProductList-BodyChar"/>
        </w:rPr>
        <w:t>По отношение на Данните за Професионални услуги, различни от Данни за Поддръжка, списък с Подизпълнителите на Microsoft е наличен при поискване. Ако такъв списък бъде поискан, поне 30 дни преди упълномощаването на нови Подизпълнители да осъществяват достъп до Личните данни Microsoft ще актуализира списъка и ще предостави на Клиента механизъм за получаване на известие за актуализацията.</w:t>
      </w:r>
    </w:p>
    <w:p w14:paraId="3BCBBB76" w14:textId="77777777" w:rsidR="00237427" w:rsidRPr="00097CE0" w:rsidRDefault="00237427" w:rsidP="00B91639">
      <w:pPr>
        <w:pStyle w:val="ProductList-Body"/>
        <w:spacing w:after="120"/>
      </w:pPr>
      <w:r>
        <w:rPr>
          <w:rStyle w:val="ProductList-BodyChar"/>
        </w:rPr>
        <w:t>Ако Клиентът не одобрява нов Подизпълнител, Клиентът може да прекрати споразумението за засегнатите Професионални услуги, като предостави писмено известие за прекратяването преди изтичането на периода за известяване.</w:t>
      </w:r>
      <w:r>
        <w:t xml:space="preserve"> </w:t>
      </w:r>
      <w:r>
        <w:rPr>
          <w:rStyle w:val="ProductList-BodyChar"/>
        </w:rPr>
        <w:t>Клиентът има право да включи и обяснение на основанието за неодобрение заедно с известието за прекратяване, за да може Microsoft да оцени повторно съответния нов Подизпълнител въз основа на приложимите опасения.</w:t>
      </w:r>
    </w:p>
    <w:p w14:paraId="5FE41BDF" w14:textId="439F5BB2" w:rsidR="00237427" w:rsidRPr="00097CE0" w:rsidRDefault="00237427" w:rsidP="00B91639">
      <w:pPr>
        <w:pStyle w:val="ProductList-Body"/>
        <w:spacing w:after="120"/>
        <w:outlineLvl w:val="2"/>
      </w:pPr>
      <w:bookmarkStart w:id="197" w:name="_Toc26972885"/>
      <w:r>
        <w:rPr>
          <w:rStyle w:val="ProductList-BodyChar"/>
        </w:rPr>
        <w:t>По отношение на Данните за Поддръжка използването на Подизпълнители от страна на Microsoft във връзка с предоставянето на техническа поддръжка за Онлайн услуги е обект на същите ограничения и процедури, на които е обект използването на Подизпълнители от страна на Microsoft във връзка с Онлайн услуги, както е посочено в разпоредбата „Уведомления и мерки за контрол при използването на Подизпълнители</w:t>
      </w:r>
      <w:r w:rsidR="00090CCF">
        <w:t>“</w:t>
      </w:r>
      <w:r>
        <w:rPr>
          <w:rStyle w:val="ProductList-BodyChar"/>
        </w:rPr>
        <w:t xml:space="preserve"> в раздела „Условия за защита на данните</w:t>
      </w:r>
      <w:r w:rsidR="00090CCF">
        <w:t>“</w:t>
      </w:r>
      <w:r>
        <w:rPr>
          <w:rStyle w:val="ProductList-BodyChar"/>
        </w:rPr>
        <w:t xml:space="preserve"> на DPA.</w:t>
      </w:r>
      <w:bookmarkEnd w:id="197"/>
    </w:p>
    <w:p w14:paraId="317B1417" w14:textId="77777777" w:rsidR="00237427" w:rsidRPr="00097CE0" w:rsidRDefault="00237427" w:rsidP="00B91639">
      <w:pPr>
        <w:pStyle w:val="ProductList-Body"/>
        <w:spacing w:after="120"/>
        <w:outlineLvl w:val="2"/>
      </w:pPr>
      <w:bookmarkStart w:id="198" w:name="_Toc26972886"/>
      <w:r>
        <w:rPr>
          <w:b/>
          <w:color w:val="00188F"/>
        </w:rPr>
        <w:t>Допълнителни условия за Данните за поддръжка</w:t>
      </w:r>
      <w:bookmarkEnd w:id="198"/>
    </w:p>
    <w:p w14:paraId="7E022798" w14:textId="1C4033A5" w:rsidR="00237427" w:rsidRPr="00097CE0" w:rsidRDefault="00237427" w:rsidP="00B91639">
      <w:pPr>
        <w:pStyle w:val="ProductList-Body"/>
        <w:spacing w:after="120"/>
        <w:ind w:left="187"/>
        <w:outlineLvl w:val="2"/>
      </w:pPr>
      <w:bookmarkStart w:id="199" w:name="_Toc26972887"/>
      <w:r>
        <w:rPr>
          <w:b/>
          <w:color w:val="0072C6"/>
        </w:rPr>
        <w:t>Защита на Данни за поддръжка</w:t>
      </w:r>
      <w:bookmarkEnd w:id="199"/>
    </w:p>
    <w:p w14:paraId="33B5DCB1" w14:textId="77777777" w:rsidR="00237427" w:rsidRPr="00097CE0" w:rsidRDefault="00237427" w:rsidP="00B91639">
      <w:pPr>
        <w:pStyle w:val="ProductList-Body"/>
        <w:tabs>
          <w:tab w:val="clear" w:pos="158"/>
          <w:tab w:val="left" w:pos="270"/>
        </w:tabs>
        <w:spacing w:after="120"/>
        <w:ind w:left="180"/>
      </w:pPr>
      <w:r>
        <w:t>Microsoft ще приложи и поддържа подходящи технически и организационни мерки за защита на Данните за поддръжка. Тези мерки трябва да са в съответствие с изискванията на ISO 27001, ISO 27002 и ISO 27018</w:t>
      </w:r>
    </w:p>
    <w:p w14:paraId="527C8B40" w14:textId="74B94D8B" w:rsidR="00237427" w:rsidRPr="00097CE0" w:rsidRDefault="00237427" w:rsidP="00B91639">
      <w:pPr>
        <w:pStyle w:val="ProductList-Body"/>
        <w:spacing w:after="120"/>
        <w:ind w:left="187"/>
        <w:outlineLvl w:val="2"/>
      </w:pPr>
      <w:bookmarkStart w:id="200" w:name="_Toc26972888"/>
      <w:r>
        <w:rPr>
          <w:b/>
          <w:color w:val="0072C6"/>
        </w:rPr>
        <w:t>Образователни институции</w:t>
      </w:r>
      <w:bookmarkEnd w:id="200"/>
    </w:p>
    <w:p w14:paraId="0EF6E6CD" w14:textId="7AE0D88E" w:rsidR="00237427" w:rsidRPr="00097CE0" w:rsidRDefault="00237427" w:rsidP="00B91639">
      <w:pPr>
        <w:pStyle w:val="ProductList-Body"/>
        <w:tabs>
          <w:tab w:val="clear" w:pos="158"/>
          <w:tab w:val="left" w:pos="270"/>
        </w:tabs>
        <w:spacing w:after="120"/>
        <w:ind w:left="180"/>
      </w:pPr>
      <w:r>
        <w:t>Потвърждаването и съгласието от страна на Microsoft и задълженията на Клиента за получаване на родителско съгласие и изпращане на уведомлението, посочено в разпоредбата „Образователни институции</w:t>
      </w:r>
      <w:r w:rsidR="00090CCF">
        <w:t>“</w:t>
      </w:r>
      <w:r>
        <w:t xml:space="preserve"> на раздела „Условия за защита на данните</w:t>
      </w:r>
      <w:r w:rsidR="00090CCF">
        <w:t>“</w:t>
      </w:r>
      <w:r>
        <w:t xml:space="preserve"> на DPA също се прилагат по отношение на Данните за поддръжка.</w:t>
      </w:r>
    </w:p>
    <w:p w14:paraId="0F05BF7E" w14:textId="45EA26E4" w:rsidR="00237427" w:rsidRPr="00097CE0" w:rsidRDefault="00237427" w:rsidP="00B91639">
      <w:pPr>
        <w:pStyle w:val="ProductList-SubSubSectionHeading"/>
        <w:spacing w:after="120"/>
        <w:outlineLvl w:val="2"/>
      </w:pPr>
      <w:bookmarkStart w:id="201" w:name="_Toc26972889"/>
      <w:bookmarkStart w:id="202" w:name="_Toc61437086"/>
      <w:r>
        <w:t>Закон за поверителност на потребителите в Калифорния (CCPA)</w:t>
      </w:r>
      <w:bookmarkEnd w:id="201"/>
      <w:bookmarkEnd w:id="202"/>
    </w:p>
    <w:p w14:paraId="7DF6CF70" w14:textId="77777777" w:rsidR="00B91639" w:rsidRDefault="00B91639" w:rsidP="00B91639">
      <w:pPr>
        <w:spacing w:after="120" w:line="240" w:lineRule="auto"/>
        <w:rPr>
          <w:sz w:val="18"/>
        </w:rPr>
      </w:pPr>
      <w:bookmarkStart w:id="203" w:name="_Toc489605628"/>
      <w:bookmarkEnd w:id="176"/>
      <w:bookmarkEnd w:id="177"/>
      <w:r>
        <w:rPr>
          <w:sz w:val="18"/>
        </w:rPr>
        <w:t>Ако обработва Лични данни в рамките на обхвата на CCPA, Microsoft поема следните допълнителни ангажименти към Клиента. Microsoft ще обработва Данните за Професионални услуги и Личните данни от името на Клиента и няма да запазва, използва или разкрива тези данни за каквато и да е цел, различна от целите, посочени в Условията на DPA и разрешени съгласно CCPA, включително по силата на освобождаване във връзка с „продажба“. При никакви обстоятелства Microsoft няма да продава такива данни. Тези Условия на CCPA не ограничават или намаляват ангажиментите, поети от Microsoft към Клиента за защита на данните в Условията на DPA, Правата за използване или в друго споразумение между Microsoft и Клиента.</w:t>
      </w:r>
    </w:p>
    <w:p w14:paraId="0080FD18" w14:textId="77777777" w:rsidR="00B91639" w:rsidRPr="002367D9" w:rsidRDefault="00B91639" w:rsidP="00B91639">
      <w:pPr>
        <w:pStyle w:val="ProductList-SubSubSectionHeading"/>
        <w:spacing w:after="120"/>
        <w:outlineLvl w:val="2"/>
      </w:pPr>
      <w:bookmarkStart w:id="204" w:name="_Hlk44504667"/>
      <w:bookmarkStart w:id="205" w:name="_Toc61437087"/>
      <w:r>
        <w:t>Биометрични данни</w:t>
      </w:r>
      <w:bookmarkEnd w:id="205"/>
    </w:p>
    <w:p w14:paraId="6F7A2981" w14:textId="77777777" w:rsidR="00B91639" w:rsidRPr="00AB6DAD" w:rsidRDefault="00B91639" w:rsidP="00B91639">
      <w:pPr>
        <w:spacing w:after="120" w:line="240" w:lineRule="auto"/>
        <w:rPr>
          <w:sz w:val="18"/>
        </w:rPr>
      </w:pPr>
      <w:r>
        <w:rPr>
          <w:sz w:val="18"/>
        </w:rPr>
        <w:t xml:space="preserve">Ако Клиентът използва Професионална услуга за обработване на Биометрични данни, той носи отговорност за: (i) уведомяването на субектите на данни, включително по отношение на периодите на запазване и унищожаване; (ii) получаването на съгласие от субектите на данни; и (iii) изтриването на Биометричните данни, както е подходящо и необходимо по силата на приложимите Изисквания за защита на данните. Microsoft ще обработва тези Биометрични данни в съответствие с писмените инструкции от Клиента (както е описано в раздела „Роли и отговорности на лицето, обработващо данни, и на администратора на данни“ по-горе) и ще ги защитава в съответствие с условията за сигурност и защита на данните съгласно настоящото DPA. За целите на настоящия раздел „Биометрични данни“ има значението, посочено в чл. 4 на ОРЗД и, ако е приложимо, в еквивалентни условия в други Изисквания за защита на данните. </w:t>
      </w:r>
    </w:p>
    <w:bookmarkEnd w:id="204"/>
    <w:p w14:paraId="4A85470A" w14:textId="3D78426B" w:rsidR="0014507A" w:rsidRPr="00097CE0" w:rsidRDefault="00372C95" w:rsidP="0014507A">
      <w:pPr>
        <w:pStyle w:val="ProductList-Body"/>
        <w:shd w:val="clear" w:color="auto" w:fill="A6A6A6" w:themeFill="background1" w:themeFillShade="A6"/>
        <w:spacing w:after="120"/>
        <w:jc w:val="right"/>
      </w:pPr>
      <w:r>
        <w:fldChar w:fldCharType="begin"/>
      </w:r>
      <w:r>
        <w:instrText xml:space="preserve"> HYPERLINK \l "Съдържание" \o "Съдържание" </w:instrText>
      </w:r>
      <w:r>
        <w:fldChar w:fldCharType="separate"/>
      </w:r>
      <w:r w:rsidR="00CE74B9">
        <w:rPr>
          <w:rStyle w:val="Hyperlink"/>
          <w:sz w:val="16"/>
          <w:szCs w:val="16"/>
        </w:rPr>
        <w:t>Съдържание</w:t>
      </w:r>
      <w:r>
        <w:rPr>
          <w:rStyle w:val="Hyperlink"/>
          <w:sz w:val="16"/>
          <w:szCs w:val="16"/>
        </w:rPr>
        <w:fldChar w:fldCharType="end"/>
      </w:r>
      <w:r w:rsidR="00CE74B9">
        <w:rPr>
          <w:sz w:val="16"/>
          <w:szCs w:val="16"/>
        </w:rPr>
        <w:t>/</w:t>
      </w:r>
      <w:hyperlink w:anchor="GeneralTerms" w:tooltip="Общи условия" w:history="1">
        <w:r w:rsidR="00CE74B9">
          <w:rPr>
            <w:rStyle w:val="Hyperlink"/>
            <w:sz w:val="16"/>
            <w:szCs w:val="16"/>
          </w:rPr>
          <w:t>Общи условия</w:t>
        </w:r>
      </w:hyperlink>
    </w:p>
    <w:p w14:paraId="32FF40B9" w14:textId="0A5BFDFC" w:rsidR="00237427" w:rsidRPr="00097CE0" w:rsidRDefault="00237427" w:rsidP="00237427">
      <w:pPr>
        <w:spacing w:after="120" w:line="240" w:lineRule="auto"/>
      </w:pPr>
      <w:r>
        <w:br w:type="page"/>
      </w:r>
    </w:p>
    <w:p w14:paraId="0562B5E7" w14:textId="77777777" w:rsidR="00237427" w:rsidRPr="00097CE0" w:rsidRDefault="00237427" w:rsidP="00237427">
      <w:pPr>
        <w:pStyle w:val="ProductList-SectionHeading"/>
        <w:spacing w:after="120"/>
        <w:outlineLvl w:val="0"/>
      </w:pPr>
      <w:bookmarkStart w:id="206" w:name="Attachment2"/>
      <w:bookmarkStart w:id="207" w:name="_Toc6563856"/>
      <w:bookmarkStart w:id="208" w:name="_Toc21617077"/>
      <w:bookmarkStart w:id="209" w:name="_Toc8395070"/>
      <w:bookmarkStart w:id="210" w:name="_Toc26972890"/>
      <w:bookmarkStart w:id="211" w:name="_Toc61437088"/>
      <w:r>
        <w:lastRenderedPageBreak/>
        <w:t xml:space="preserve">Приложение 2 </w:t>
      </w:r>
      <w:bookmarkEnd w:id="206"/>
      <w:r>
        <w:t xml:space="preserve">– </w:t>
      </w:r>
      <w:bookmarkStart w:id="212" w:name="_Toc6563858"/>
      <w:bookmarkStart w:id="213" w:name="_Toc21617079"/>
      <w:bookmarkEnd w:id="207"/>
      <w:bookmarkEnd w:id="208"/>
      <w:r>
        <w:t>Стандартни договорни клаузи (Лица, обработващи данни)</w:t>
      </w:r>
      <w:bookmarkEnd w:id="203"/>
      <w:bookmarkEnd w:id="209"/>
      <w:bookmarkEnd w:id="210"/>
      <w:bookmarkEnd w:id="211"/>
      <w:bookmarkEnd w:id="212"/>
      <w:bookmarkEnd w:id="213"/>
    </w:p>
    <w:p w14:paraId="3E052CF5" w14:textId="021EB013" w:rsidR="00237427" w:rsidRPr="00097CE0" w:rsidRDefault="008A71B7" w:rsidP="008A71B7">
      <w:pPr>
        <w:pStyle w:val="ProductList-Body"/>
        <w:tabs>
          <w:tab w:val="clear" w:pos="158"/>
          <w:tab w:val="left" w:pos="360"/>
          <w:tab w:val="left" w:pos="900"/>
        </w:tabs>
        <w:spacing w:after="120"/>
      </w:pPr>
      <w:r>
        <w:rPr>
          <w:szCs w:val="18"/>
        </w:rPr>
        <w:t>Изпълнението на споразумението за корпоративно лицензиране от страна на Клиента включва изпълнението на настоящото Приложение 2, което е подписано от представител на Microsoft Corporation</w:t>
      </w:r>
      <w:r w:rsidR="00237427">
        <w:t>.</w:t>
      </w:r>
    </w:p>
    <w:p w14:paraId="2CA76856" w14:textId="77777777" w:rsidR="00237427" w:rsidRPr="00097CE0" w:rsidRDefault="00237427" w:rsidP="00237427">
      <w:pPr>
        <w:pStyle w:val="ProductList-Body"/>
        <w:spacing w:after="120"/>
      </w:pPr>
      <w:r>
        <w:t>В страните, в които за използването на Стандартните договорни клаузи се изисква одобрение от регулаторен орган, не може да се разчита на Стандартните договорни клаузи според решението на Европейската комисия 2010/87/ЕС (от февруари 2010 г.) за узаконяване на износа на данни от страната, освен ако Клиентът не разполага с необходимото одобрение от регулаторен орган.</w:t>
      </w:r>
    </w:p>
    <w:p w14:paraId="01466F9F" w14:textId="77777777" w:rsidR="00237427" w:rsidRPr="00097CE0" w:rsidRDefault="00237427" w:rsidP="00237427">
      <w:pPr>
        <w:pStyle w:val="ProductList-Body"/>
        <w:spacing w:after="120"/>
      </w:pPr>
      <w:r>
        <w:t>Считано от 25 май 2018 г. и след това, препратки към различните членове на Директива 95/46/ЕО в Стандартните договорни клаузи по-долу ще се считат за препратки към съответните и подходящи членове на ОРЗД.</w:t>
      </w:r>
    </w:p>
    <w:p w14:paraId="3299FF5F" w14:textId="4C0DDE1B" w:rsidR="00237427" w:rsidRPr="00097CE0" w:rsidRDefault="00237427" w:rsidP="00090CCF">
      <w:pPr>
        <w:pStyle w:val="ProductList-Body"/>
        <w:spacing w:after="120"/>
      </w:pPr>
      <w:r>
        <w:t>За целите на Член 26(2) от Директива 95/46/EC относно прехвърлянето на лични данни на лица, обработващи данните, установени в трети страни, които не осигуряват подходяща степен на защита на данните, Клиентът (като износител на данни) и Microsoft Corporation (като вносител на данни, подписът на чийто представител фигурира по-долу), всеки от които представлява „страна</w:t>
      </w:r>
      <w:r w:rsidR="00090CCF">
        <w:t>“</w:t>
      </w:r>
      <w:r>
        <w:t>, а заедно представляват „страните</w:t>
      </w:r>
      <w:r w:rsidR="00090CCF">
        <w:t>“</w:t>
      </w:r>
      <w:r>
        <w:t>, са приели посочените по-долу Договорни клаузи („Клаузите</w:t>
      </w:r>
      <w:r w:rsidR="00090CCF">
        <w:t>“</w:t>
      </w:r>
      <w:r>
        <w:t xml:space="preserve"> или „Стандартни договорни клаузи</w:t>
      </w:r>
      <w:r w:rsidR="00090CCF">
        <w:t>“</w:t>
      </w:r>
      <w:r>
        <w:t>), с цел да приведат в действие адекватни мерки за безопасност по отношение на защитата на поверителността и фундаменталните права и свободи на физическите лица във връзка с прехвърлянето на личните данни, указани в Приложение 1, от страна на износителя на данни към вносителя на данни.</w:t>
      </w:r>
    </w:p>
    <w:p w14:paraId="25743008" w14:textId="77777777" w:rsidR="00237427" w:rsidRPr="00097CE0" w:rsidRDefault="00237427" w:rsidP="00237427">
      <w:pPr>
        <w:pStyle w:val="ProductList-Body"/>
        <w:spacing w:after="120"/>
        <w:jc w:val="center"/>
        <w:outlineLvl w:val="1"/>
      </w:pPr>
      <w:bookmarkStart w:id="214" w:name="_Toc26972891"/>
      <w:r>
        <w:rPr>
          <w:b/>
        </w:rPr>
        <w:t>Клауза 1: Определения</w:t>
      </w:r>
      <w:bookmarkEnd w:id="214"/>
    </w:p>
    <w:p w14:paraId="03AFE8D5" w14:textId="47EF5B5B" w:rsidR="00237427" w:rsidRPr="00097CE0" w:rsidRDefault="006D1459" w:rsidP="00090CCF">
      <w:pPr>
        <w:pStyle w:val="ProductList-Body"/>
        <w:spacing w:after="120"/>
      </w:pPr>
      <w:r>
        <w:t>(а) „лични данни</w:t>
      </w:r>
      <w:r w:rsidR="00090CCF">
        <w:t>“</w:t>
      </w:r>
      <w:r>
        <w:t>, „специални категории от данни</w:t>
      </w:r>
      <w:r w:rsidR="00090CCF">
        <w:t>“</w:t>
      </w:r>
      <w:r>
        <w:t>, „обработване</w:t>
      </w:r>
      <w:r w:rsidR="00090CCF">
        <w:t>“</w:t>
      </w:r>
      <w:r>
        <w:t>, „администратор</w:t>
      </w:r>
      <w:r w:rsidR="00090CCF">
        <w:t>“</w:t>
      </w:r>
      <w:r>
        <w:t>, „лице, обработващо данни</w:t>
      </w:r>
      <w:r w:rsidR="00090CCF">
        <w:t>“</w:t>
      </w:r>
      <w:r>
        <w:t>, „субект на данни</w:t>
      </w:r>
      <w:r w:rsidR="00090CCF">
        <w:t>“</w:t>
      </w:r>
      <w:r>
        <w:t xml:space="preserve"> и „надзорен орган</w:t>
      </w:r>
      <w:r w:rsidR="00090CCF">
        <w:t>“</w:t>
      </w:r>
      <w:r>
        <w:t xml:space="preserve"> имат същото значение като в Директива 95/46/ЕО на Европейския парламент и на Съвета от 24 октомври 1995 година за защита на физическите лица при обработването на лични данни и за свободното движение на тези данни; </w:t>
      </w:r>
    </w:p>
    <w:p w14:paraId="0E83DDDE" w14:textId="7879268B" w:rsidR="00237427" w:rsidRPr="00097CE0" w:rsidRDefault="00237427" w:rsidP="00090CCF">
      <w:pPr>
        <w:pStyle w:val="ProductList-Body"/>
        <w:spacing w:after="120"/>
      </w:pPr>
      <w:r>
        <w:t>(б) „износител на данни</w:t>
      </w:r>
      <w:r w:rsidR="00090CCF">
        <w:t>“</w:t>
      </w:r>
      <w:r>
        <w:t xml:space="preserve"> означава администраторът, който прехвърля личните данни; </w:t>
      </w:r>
    </w:p>
    <w:p w14:paraId="73E340BF" w14:textId="5BBDB9BA" w:rsidR="00237427" w:rsidRPr="00097CE0" w:rsidRDefault="00237427" w:rsidP="00090CCF">
      <w:pPr>
        <w:pStyle w:val="ProductList-Body"/>
        <w:spacing w:after="120"/>
      </w:pPr>
      <w:r>
        <w:t>(в) „вносител на данни</w:t>
      </w:r>
      <w:r w:rsidR="00090CCF">
        <w:t>“</w:t>
      </w:r>
      <w:r>
        <w:t xml:space="preserve"> означава лицето, обработващо данни, което приема да получава от износителя на данни лични данни, предназначени за обработване от името на износителя на данни след предаване съгласно неговите инструкции и при условията на клаузите, и което не е част от системата на трета държава, осигуряваща достатъчна степен на защита по смисъла на член 25, параграф 1 от Директива 95/46/ЕО; </w:t>
      </w:r>
    </w:p>
    <w:p w14:paraId="7037DAF1" w14:textId="276FC6B8" w:rsidR="00237427" w:rsidRPr="00097CE0" w:rsidRDefault="00237427" w:rsidP="00090CCF">
      <w:pPr>
        <w:pStyle w:val="ProductList-Body"/>
        <w:spacing w:after="120"/>
      </w:pPr>
      <w:r>
        <w:t>(г) „подизпълнител</w:t>
      </w:r>
      <w:r w:rsidR="00090CCF">
        <w:t>“</w:t>
      </w:r>
      <w:r>
        <w:t xml:space="preserve"> означава всяко лице, обработващо данни, наето от вносителя на данни или от всеки друг подизпълнител на вносителя на данни, което приема да получава от вносителя на данни или от всеки друг подизпълнител на вносителя на данни лични данни, предназначени за извършване на дейности по обработване изключително от името на износителя на данни след предаване съгласно неговите инструкции, при условията на клаузите и условията на писмения договор за подизпълнение; </w:t>
      </w:r>
    </w:p>
    <w:p w14:paraId="29D73D9F" w14:textId="2DC36946" w:rsidR="00237427" w:rsidRPr="00097CE0" w:rsidRDefault="00237427" w:rsidP="00090CCF">
      <w:pPr>
        <w:pStyle w:val="ProductList-Body"/>
        <w:spacing w:after="120"/>
      </w:pPr>
      <w:r>
        <w:t>(д) „приложимо право за защита на данните</w:t>
      </w:r>
      <w:r w:rsidR="00090CCF">
        <w:t>“</w:t>
      </w:r>
      <w:r>
        <w:t xml:space="preserve"> означава законодателството, което защитава фундаменталните права и свободи на физическите лица и в частност тяхното право на поверителност по отношение на обработването на лични данни, приложимо за администратор на данни в държавата членка, в която е установен износителят на данни; </w:t>
      </w:r>
    </w:p>
    <w:p w14:paraId="4163D028" w14:textId="734E9628" w:rsidR="00237427" w:rsidRPr="00097CE0" w:rsidRDefault="00237427" w:rsidP="00090CCF">
      <w:pPr>
        <w:pStyle w:val="ProductList-Body"/>
        <w:spacing w:after="120"/>
      </w:pPr>
      <w:r>
        <w:t>(е) „технически и организационни мерки за защита</w:t>
      </w:r>
      <w:r w:rsidR="00090CCF">
        <w:t>“</w:t>
      </w:r>
      <w:r>
        <w:t xml:space="preserve"> означава мерките, насочени към защитата на личните данни срещу случайно или неправомерно унищожаване или случайна загуба, промяна, неупълномощено изнасяне на информация или достъп, в частност, когато обработването включва предаването на данните по мрежа, както и срещу всички останали незаконни форми на обработване. </w:t>
      </w:r>
    </w:p>
    <w:p w14:paraId="75E62B30" w14:textId="77777777" w:rsidR="00237427" w:rsidRPr="00097CE0" w:rsidRDefault="00237427" w:rsidP="00237427">
      <w:pPr>
        <w:pStyle w:val="ProductList-Body"/>
        <w:spacing w:after="120"/>
        <w:jc w:val="center"/>
        <w:outlineLvl w:val="1"/>
      </w:pPr>
      <w:bookmarkStart w:id="215" w:name="_Toc26972892"/>
      <w:r>
        <w:rPr>
          <w:b/>
        </w:rPr>
        <w:t>Клауза 2: Подробна информация за прехвърлянето</w:t>
      </w:r>
      <w:bookmarkEnd w:id="215"/>
    </w:p>
    <w:p w14:paraId="04661ED8" w14:textId="77777777" w:rsidR="00237427" w:rsidRPr="00097CE0" w:rsidRDefault="00237427" w:rsidP="00237427">
      <w:pPr>
        <w:pStyle w:val="ProductList-Body"/>
        <w:spacing w:after="120"/>
      </w:pPr>
      <w:r>
        <w:t>Подробната информация за прехвърлянето и в частност специалните категории лични данни, когато са приложими, са посочени в Приложение 1 по-долу, което представлява неразделна част от Клаузите.</w:t>
      </w:r>
    </w:p>
    <w:p w14:paraId="668663C8" w14:textId="77777777" w:rsidR="00237427" w:rsidRPr="00097CE0" w:rsidRDefault="00237427" w:rsidP="00237427">
      <w:pPr>
        <w:pStyle w:val="ProductList-Body"/>
        <w:spacing w:after="120"/>
        <w:jc w:val="center"/>
        <w:outlineLvl w:val="1"/>
      </w:pPr>
      <w:bookmarkStart w:id="216" w:name="_Toc26972893"/>
      <w:r>
        <w:rPr>
          <w:b/>
        </w:rPr>
        <w:t>Клауза 3: Клауза в полза на трето лице</w:t>
      </w:r>
      <w:bookmarkEnd w:id="216"/>
    </w:p>
    <w:p w14:paraId="6A7D2766" w14:textId="77777777" w:rsidR="00237427" w:rsidRPr="00097CE0" w:rsidRDefault="00237427" w:rsidP="00237427">
      <w:pPr>
        <w:pStyle w:val="ProductList-Body"/>
        <w:spacing w:after="120"/>
      </w:pPr>
      <w:r>
        <w:t xml:space="preserve">1. Субектът на данни може да приложи срещу износителя на данни настоящата Клауза, Клауза 4(б) – (и), Клауза 5(а) – (д) и (ж) – (й), Клауза 6(1) и (2), Клауза 7, Клауза 8(2) и Клаузи 9 – 12 като бенефициент-трето лице. </w:t>
      </w:r>
    </w:p>
    <w:p w14:paraId="5E5D62CC" w14:textId="77777777" w:rsidR="00237427" w:rsidRPr="00097CE0" w:rsidRDefault="00237427" w:rsidP="00237427">
      <w:pPr>
        <w:pStyle w:val="ProductList-Body"/>
        <w:spacing w:after="120"/>
      </w:pPr>
      <w:r>
        <w:t xml:space="preserve">2. Субектът на данни може да приложи срещу вносителя на данни настоящата Клауза, Клауза 5(а) – (д) и (ж), Клауза 6, Клауза 7, Клауза 8(2) и Клаузи 9 – 12 в случаите, когато износителят на данни изчезне фактически или престане да съществува законно, освен ако друго юридическо лице в ролята на негов приемник не поеме изцяло правните задължения на износителя на данни по силата на договор или по силата на закона, в резултат на което приемникът поема правата и задълженията на износителя на данни и следователно субектът на данни може да ги приложи срещу съответното юридическо лице. </w:t>
      </w:r>
    </w:p>
    <w:p w14:paraId="3FA417C8" w14:textId="77777777" w:rsidR="00237427" w:rsidRPr="00097CE0" w:rsidRDefault="00237427" w:rsidP="00237427">
      <w:pPr>
        <w:pStyle w:val="ProductList-Body"/>
        <w:spacing w:after="120"/>
      </w:pPr>
      <w:r>
        <w:lastRenderedPageBreak/>
        <w:t xml:space="preserve">3. Субектът на данни може да приложи срещу подизпълнителя настоящата Клауза, Клауза 5(а) – (д) и (ж), Клауза 6, Клауза 7, Клауза 8(2) и Клаузи 9 – 12 в случаите, когато износителят на данни и вносителят на данни изчезнат фактически, престанат да съществуват законно или обявят несъстоятелност, освен ако друго юридическо лице в ролята на приемник не поеме изцяло правните задължения на износителя на данни по силата на договор или по силата на закона, в резултат на което приемникът поема правата и задълженията на износителя на данни и следователно субектът на данни може да ги приложи срещу съответното юридическо лице. Подобна отговорност на подизпълнителя като трето лице по силата на Клаузите се ограничава до собствените му дейности по обработване. </w:t>
      </w:r>
    </w:p>
    <w:p w14:paraId="15312E2C" w14:textId="77777777" w:rsidR="00237427" w:rsidRPr="00097CE0" w:rsidRDefault="00237427" w:rsidP="00237427">
      <w:pPr>
        <w:pStyle w:val="ProductList-Body"/>
        <w:spacing w:after="120"/>
      </w:pPr>
      <w:r>
        <w:t xml:space="preserve">4. Страните не възразяват субектът на данни да се представлява от асоциация или друг орган според изричното желание на субекта на данни и ако това е позволено според националното законодателство. </w:t>
      </w:r>
    </w:p>
    <w:p w14:paraId="1542C19C" w14:textId="77777777" w:rsidR="00237427" w:rsidRPr="00097CE0" w:rsidRDefault="00237427" w:rsidP="00237427">
      <w:pPr>
        <w:pStyle w:val="ProductList-Body"/>
        <w:keepNext/>
        <w:spacing w:after="120"/>
        <w:jc w:val="center"/>
        <w:outlineLvl w:val="1"/>
      </w:pPr>
      <w:bookmarkStart w:id="217" w:name="_Toc26972894"/>
      <w:r>
        <w:rPr>
          <w:b/>
        </w:rPr>
        <w:t>Клауза 4: Задължения на износителя на данни</w:t>
      </w:r>
      <w:bookmarkEnd w:id="217"/>
    </w:p>
    <w:p w14:paraId="49D01EB4" w14:textId="77777777" w:rsidR="00237427" w:rsidRPr="00097CE0" w:rsidRDefault="00237427" w:rsidP="00237427">
      <w:pPr>
        <w:pStyle w:val="ProductList-Body"/>
        <w:keepNext/>
        <w:spacing w:after="120"/>
      </w:pPr>
      <w:r>
        <w:t xml:space="preserve">Износителят на данни приема и гарантира: </w:t>
      </w:r>
    </w:p>
    <w:p w14:paraId="5D4D6B09" w14:textId="7B8BD7F6" w:rsidR="00237427" w:rsidRPr="00097CE0" w:rsidRDefault="006D1459" w:rsidP="00237427">
      <w:pPr>
        <w:pStyle w:val="ProductList-Body"/>
        <w:spacing w:after="120"/>
      </w:pPr>
      <w:r>
        <w:t xml:space="preserve"> (а) че обработването, включително самото прехвърляне, на личните данни е извършвано и ще продължава да се извършва в съответствие с приложимите разпоредби от приложимото законодателство за защита на данните (и когато е било приложимо, съответните органи в Страната-членка, в която е базиран износителят на данни, са били уведомявани), без да се нарушават съответните разпоредби на Страната; </w:t>
      </w:r>
    </w:p>
    <w:p w14:paraId="7E102E21" w14:textId="77777777" w:rsidR="00237427" w:rsidRPr="00097CE0" w:rsidRDefault="00237427" w:rsidP="00237427">
      <w:pPr>
        <w:pStyle w:val="ProductList-Body"/>
        <w:spacing w:after="120"/>
      </w:pPr>
      <w:r>
        <w:t xml:space="preserve">(б) че е инструктирал и ще продължава да инструктира вносителя на данни през целия период на предоставяне на услуги за обработване на данни да обработва прехвърлените лични данни само от името на износителя на данни и само в съответствие с приложимото законодателство за защита на данните и с Клаузите; </w:t>
      </w:r>
    </w:p>
    <w:p w14:paraId="4DC69D7A" w14:textId="77777777" w:rsidR="00237427" w:rsidRPr="00097CE0" w:rsidRDefault="00237427" w:rsidP="00237427">
      <w:pPr>
        <w:pStyle w:val="ProductList-Body"/>
        <w:spacing w:after="120"/>
      </w:pPr>
      <w:r>
        <w:t xml:space="preserve">(в) че вносителят на данни ще предостави достатъчно гаранции по отношение на техническите и организационните мерки за защита, посочени в Приложение 2 по-долу; </w:t>
      </w:r>
    </w:p>
    <w:p w14:paraId="579423F7" w14:textId="77777777" w:rsidR="00237427" w:rsidRPr="00097CE0" w:rsidRDefault="00237427" w:rsidP="00237427">
      <w:pPr>
        <w:pStyle w:val="ProductList-Body"/>
        <w:spacing w:after="120"/>
      </w:pPr>
      <w:r>
        <w:t xml:space="preserve">(г) че след оценка на изискванията на приложимото законодателство за защита на данните мерките за защита са подходящи за защита на личните данни срещу случайно или неправомерно унищожаване или случайна загуба, промяна, неупълномощено разкриване или достъп, в частност когато обработването включва предаването на данните по мрежа, както и срещу всички останали неправомерни форми на обработване, и че тези мерки осигуряват подходящо ниво на защита срещу рисковете, породени от обработването и естеството на данните за защита, с оглед на високата технологичност и цената за тяхното прилагане; </w:t>
      </w:r>
    </w:p>
    <w:p w14:paraId="6934A1FB" w14:textId="77777777" w:rsidR="00237427" w:rsidRPr="00097CE0" w:rsidRDefault="00237427" w:rsidP="00237427">
      <w:pPr>
        <w:pStyle w:val="ProductList-Body"/>
        <w:spacing w:after="120"/>
      </w:pPr>
      <w:r>
        <w:t xml:space="preserve">(д) че ще осигури спазването на мерките за защита; </w:t>
      </w:r>
    </w:p>
    <w:p w14:paraId="2336FF90" w14:textId="77777777" w:rsidR="00237427" w:rsidRPr="00097CE0" w:rsidRDefault="00237427" w:rsidP="00237427">
      <w:pPr>
        <w:pStyle w:val="ProductList-Body"/>
        <w:spacing w:after="120"/>
      </w:pPr>
      <w:r>
        <w:t xml:space="preserve">(е) че ако прехвърлянето включва специални категории данни, субектът на данни е информиран или ще бъде информиран преди или възможно най-скоро след прехвърлянето относно възможността неговите данни да се предават в друга държава, която не предоставя адекватна защита по смисъла на Директива 95/46/ЕО; </w:t>
      </w:r>
    </w:p>
    <w:p w14:paraId="0FF707F0" w14:textId="77777777" w:rsidR="00237427" w:rsidRPr="00097CE0" w:rsidRDefault="00237427" w:rsidP="00237427">
      <w:pPr>
        <w:pStyle w:val="ProductList-Body"/>
        <w:spacing w:after="120"/>
      </w:pPr>
      <w:r>
        <w:t xml:space="preserve">(ж) да препрати всички известия, получени от вносителя на данни или от който и да е подизпълнител съгласно Клауза 5(б) и Клауза 8(3), до надзорния орган за защита на данните, ако износителят на данни реши да продължи с прехвърлянето или да прекрати преустановяването; </w:t>
      </w:r>
    </w:p>
    <w:p w14:paraId="12F846C0" w14:textId="77777777" w:rsidR="00237427" w:rsidRPr="00097CE0" w:rsidRDefault="00237427" w:rsidP="00237427">
      <w:pPr>
        <w:pStyle w:val="ProductList-Body"/>
        <w:spacing w:after="120"/>
      </w:pPr>
      <w:r>
        <w:t xml:space="preserve">(з) да предостави на субектите на данни копие на Клаузите при поискване, с изключение на Приложение 2, както и обобщено описание на мерките за защита, а също и копия на всички договори за услуги на подизпълнители, които трябва да се сключат в съответствие с Клаузите, освен ако Клаузите или договорът не съдържа търговска информация, като в такъв случай търговската информация може да се премахне; </w:t>
      </w:r>
    </w:p>
    <w:p w14:paraId="59BEEEF1" w14:textId="77777777" w:rsidR="00237427" w:rsidRPr="00097CE0" w:rsidRDefault="00237427" w:rsidP="00237427">
      <w:pPr>
        <w:pStyle w:val="ProductList-Body"/>
        <w:spacing w:after="120"/>
      </w:pPr>
      <w:r>
        <w:t xml:space="preserve">(и) че при извършване на обработването от подизпълнители дейността за обработване се извършва в съответствие с Клауза 11 от подизпълнител, предоставящ поне същото ниво на защита за личните данни и правата на субекта на данните като вносителя на данните по силата на Клаузите; и </w:t>
      </w:r>
    </w:p>
    <w:p w14:paraId="0CE1806D" w14:textId="77777777" w:rsidR="00237427" w:rsidRPr="00097CE0" w:rsidRDefault="00237427" w:rsidP="00237427">
      <w:pPr>
        <w:pStyle w:val="ProductList-Body"/>
        <w:spacing w:after="120"/>
      </w:pPr>
      <w:r>
        <w:t>(й) че ще осигури спазването на Клауза 4(а) – (и).</w:t>
      </w:r>
    </w:p>
    <w:p w14:paraId="5C0F549E" w14:textId="77777777" w:rsidR="00237427" w:rsidRPr="00097CE0" w:rsidRDefault="00237427" w:rsidP="00237427">
      <w:pPr>
        <w:pStyle w:val="ProductList-Body"/>
        <w:keepNext/>
        <w:spacing w:after="120"/>
        <w:jc w:val="center"/>
        <w:outlineLvl w:val="1"/>
      </w:pPr>
      <w:bookmarkStart w:id="218" w:name="_Toc26972895"/>
      <w:r>
        <w:rPr>
          <w:b/>
        </w:rPr>
        <w:t>Клауза 5: Задължения на вносителя на данни</w:t>
      </w:r>
      <w:bookmarkEnd w:id="218"/>
    </w:p>
    <w:p w14:paraId="29778911" w14:textId="77777777" w:rsidR="00237427" w:rsidRPr="00097CE0" w:rsidRDefault="00237427" w:rsidP="00237427">
      <w:pPr>
        <w:pStyle w:val="ProductList-Body"/>
        <w:spacing w:after="120"/>
      </w:pPr>
      <w:r>
        <w:t xml:space="preserve">Вносителят на данни приема и гарантира: </w:t>
      </w:r>
    </w:p>
    <w:p w14:paraId="3A429E3E" w14:textId="7E5F7DA4" w:rsidR="00237427" w:rsidRPr="00097CE0" w:rsidRDefault="006D1459" w:rsidP="00237427">
      <w:pPr>
        <w:pStyle w:val="ProductList-Body"/>
        <w:spacing w:after="120"/>
      </w:pPr>
      <w:r>
        <w:t xml:space="preserve"> (а) да обработва личните данни само от името на износителя на данни и само в съответствие с неговите инструкции и с Клаузите; ако поради някакви причини вносителят не може да осигури това съответствие, той приема да информира незабавно износителя на данни за невъзможността си да осигури съответствието, като в този случай износителят на данни има право да преустанови прехвърлянето на данни и/или да прекрати договора; </w:t>
      </w:r>
    </w:p>
    <w:p w14:paraId="28BD9514" w14:textId="77777777" w:rsidR="00237427" w:rsidRPr="00097CE0" w:rsidRDefault="00237427" w:rsidP="00237427">
      <w:pPr>
        <w:pStyle w:val="ProductList-Body"/>
        <w:spacing w:after="120"/>
      </w:pPr>
      <w:r>
        <w:t xml:space="preserve">(б) че няма основание да смята, че приложимото законодателство му пречи да изпълни получените инструкции от износителя на данни и задълженията си по силата на договора и че в случай на промяна в съответното законодателство, която вероятно ще окаже значително неблагоприятно въздействие върху гаранциите и задълженията, обусловени от Клаузите, вносителят ще уведоми износителя на данни относно промяната незабавно щом разбере за нея, като в този случай износителят на данни има право да преустанови прехвърлянето на данни и/или да прекрати договора; </w:t>
      </w:r>
    </w:p>
    <w:p w14:paraId="0C0CF0F8" w14:textId="77777777" w:rsidR="00237427" w:rsidRPr="00097CE0" w:rsidRDefault="00237427" w:rsidP="00237427">
      <w:pPr>
        <w:pStyle w:val="ProductList-Body"/>
        <w:spacing w:after="120"/>
      </w:pPr>
      <w:r>
        <w:lastRenderedPageBreak/>
        <w:t xml:space="preserve">(в) че е приложил техническите и организационните мерки за защита, посочени в Приложение 2, преди обработването на прехвърлените лични данни; </w:t>
      </w:r>
    </w:p>
    <w:p w14:paraId="6784FF42" w14:textId="77777777" w:rsidR="00237427" w:rsidRPr="00097CE0" w:rsidRDefault="00237427" w:rsidP="00237427">
      <w:pPr>
        <w:pStyle w:val="ProductList-Body"/>
        <w:spacing w:after="120"/>
      </w:pPr>
      <w:r>
        <w:t xml:space="preserve">(г) че ще уведоми незабавно износителя на данни относно: </w:t>
      </w:r>
    </w:p>
    <w:p w14:paraId="74416469" w14:textId="77777777" w:rsidR="00237427" w:rsidRPr="00097CE0" w:rsidRDefault="00237427" w:rsidP="00237427">
      <w:pPr>
        <w:pStyle w:val="ProductList-Body"/>
        <w:spacing w:after="120"/>
        <w:ind w:left="360"/>
      </w:pPr>
      <w:r>
        <w:t xml:space="preserve">(i) всички правно обвързващи заявки за разкриване на лични данни от страна на правоприлагащите органи, освен ако не му е забранено по друг начин, като например чрез забрана по силата на наказателното право, която го задължава да запази поверителността при разследване от правоприлагащи органи, </w:t>
      </w:r>
    </w:p>
    <w:p w14:paraId="0BB5FD65" w14:textId="77777777" w:rsidR="00237427" w:rsidRPr="00097CE0" w:rsidRDefault="00237427" w:rsidP="00237427">
      <w:pPr>
        <w:pStyle w:val="ProductList-Body"/>
        <w:spacing w:after="120"/>
        <w:ind w:left="360"/>
      </w:pPr>
      <w:r>
        <w:t xml:space="preserve">(ii) всяко случайно или неупълномощено осъществяване на достъп, както и </w:t>
      </w:r>
    </w:p>
    <w:p w14:paraId="5FC6B8DF" w14:textId="77777777" w:rsidR="00237427" w:rsidRPr="00097CE0" w:rsidRDefault="00237427" w:rsidP="00237427">
      <w:pPr>
        <w:pStyle w:val="ProductList-Body"/>
        <w:spacing w:after="120"/>
        <w:ind w:left="360"/>
      </w:pPr>
      <w:r>
        <w:t xml:space="preserve">(iii) всяка заявка, получена директно от субектите на данни, без да отговаря на тази заявка, освен ако по друг начин не е упълномощен да направи това; </w:t>
      </w:r>
    </w:p>
    <w:p w14:paraId="65AF3128" w14:textId="77777777" w:rsidR="00237427" w:rsidRPr="00097CE0" w:rsidRDefault="00237427" w:rsidP="00237427">
      <w:pPr>
        <w:pStyle w:val="ProductList-Body"/>
        <w:spacing w:after="120"/>
      </w:pPr>
      <w:r>
        <w:t xml:space="preserve">(д) да отговаря незабавно и по подходящ начин на всички запитвания от страна на износителя на данни във връзка с обработването на личните данни, подлежащи на прехвърляне, и да се придържа към съветите на надзорния орган по отношение на обработването на прехвърлените данни; </w:t>
      </w:r>
    </w:p>
    <w:p w14:paraId="0CFDA5D3" w14:textId="77777777" w:rsidR="00237427" w:rsidRPr="00097CE0" w:rsidRDefault="00237427" w:rsidP="00237427">
      <w:pPr>
        <w:pStyle w:val="ProductList-Body"/>
        <w:spacing w:after="120"/>
      </w:pPr>
      <w:r>
        <w:t xml:space="preserve">(е) по искане на износителя на данни да постави на разположение оборудването си за обработване на данни за извършване на проверка на дейностите за обработване, обхванати от Клаузите, която следва да се извърши от износителя на данни или на орган за инспекция, съставен от независими членове и притежаващ необходимите професионални квалификации, обвързан със задължение за поверителност, избран от износителя на данни, когато е приложимо, със съгласието на надзорния орган; </w:t>
      </w:r>
    </w:p>
    <w:p w14:paraId="79CF3E68" w14:textId="77777777" w:rsidR="00237427" w:rsidRPr="00097CE0" w:rsidRDefault="00237427" w:rsidP="00237427">
      <w:pPr>
        <w:pStyle w:val="ProductList-Body"/>
        <w:spacing w:after="120"/>
      </w:pPr>
      <w:r>
        <w:t xml:space="preserve">(ж) да предостави на субекта на данни копие на Клаузите при заявка или всички съществуващи договори за обработване от подизпълнители, освен ако Клаузите или договорът не съдържа търговска информация, като в такъв случай търговската информация може да се премахне, с изключение на Приложение 2, което трябва да се замести от обобщено описание на мерките за защита в случаите, когато субектът на данни не може да получи копие от износителя на данни; </w:t>
      </w:r>
    </w:p>
    <w:p w14:paraId="1E9A02CF" w14:textId="77777777" w:rsidR="00237427" w:rsidRPr="00097CE0" w:rsidRDefault="00237427" w:rsidP="00237427">
      <w:pPr>
        <w:pStyle w:val="ProductList-Body"/>
        <w:spacing w:after="120"/>
      </w:pPr>
      <w:r>
        <w:t xml:space="preserve">(з) че в случаите на обработване от подизпълнители е информирал предварително износителя на данни и е получил неговото предварително писмено съгласие; </w:t>
      </w:r>
    </w:p>
    <w:p w14:paraId="156A8FC0" w14:textId="77777777" w:rsidR="00237427" w:rsidRPr="00097CE0" w:rsidRDefault="00237427" w:rsidP="00237427">
      <w:pPr>
        <w:pStyle w:val="ProductList-Body"/>
        <w:spacing w:after="120"/>
      </w:pPr>
      <w:r>
        <w:t>(и) че услугите за обработване от страна на подизпълнителя ще се извършват в съответствие с Клауза 11; и</w:t>
      </w:r>
    </w:p>
    <w:p w14:paraId="34197658" w14:textId="77777777" w:rsidR="00237427" w:rsidRPr="00097CE0" w:rsidRDefault="00237427" w:rsidP="00237427">
      <w:pPr>
        <w:pStyle w:val="ProductList-Body"/>
        <w:spacing w:after="120"/>
      </w:pPr>
      <w:r>
        <w:t>(й) да изпраща незабавно копия на всички споразумения с подизпълнители, които сключва по силата на Клаузите, до износителя на данни.</w:t>
      </w:r>
    </w:p>
    <w:p w14:paraId="0B192FA8" w14:textId="77777777" w:rsidR="00237427" w:rsidRPr="00097CE0" w:rsidRDefault="00237427" w:rsidP="00237427">
      <w:pPr>
        <w:pStyle w:val="ProductList-Body"/>
        <w:spacing w:after="120"/>
        <w:jc w:val="center"/>
        <w:outlineLvl w:val="1"/>
      </w:pPr>
      <w:bookmarkStart w:id="219" w:name="_Toc26972896"/>
      <w:r>
        <w:rPr>
          <w:b/>
        </w:rPr>
        <w:t>Клауза 6: Отговорност</w:t>
      </w:r>
      <w:bookmarkEnd w:id="219"/>
    </w:p>
    <w:p w14:paraId="76B292DC" w14:textId="77777777" w:rsidR="00237427" w:rsidRPr="00097CE0" w:rsidRDefault="00237427" w:rsidP="00237427">
      <w:pPr>
        <w:pStyle w:val="ProductList-Body"/>
        <w:spacing w:after="120"/>
      </w:pPr>
      <w:r>
        <w:t xml:space="preserve">1. Страните приемат, че всеки субект на данни, който е понесъл вреда в резултат на нарушение на задълженията с позоваване в Клауза 3 или Клауза 11 от която и да е страна или подизпълнител, има право да получи компенсация от износителя на данни за понесената вреда. </w:t>
      </w:r>
    </w:p>
    <w:p w14:paraId="3BB90712" w14:textId="77777777" w:rsidR="00237427" w:rsidRPr="00097CE0" w:rsidRDefault="00237427" w:rsidP="00237427">
      <w:pPr>
        <w:pStyle w:val="ProductList-Body"/>
        <w:spacing w:after="120"/>
      </w:pPr>
      <w:r>
        <w:t xml:space="preserve">2. Ако даден субект на данни не може да предяви претенция за компенсация в съответствие с параграф 1 срещу износителя на данни вследствие на нарушение от страна на вносителя на данни или на негов подизпълнител на някакви техни задължения с позоваване в Клауза 3 или Клауза 11, тъй като износителят на данни е изчезнал фактически, престанал е да съществува законно или е обявил несъстоятелност, вносителят на данни приема, че субектът на данни може да предяви претенция срещу вносителя на данни все едно той е износителят на данни, освен ако друго юридическо лице в ролята на приемник не поеме изцяло правните задължения на износителя на данни по силата на договор или по силата на закона, като в този случай субектът на данни може да приложи правата си срещу съответното юридическо лице. </w:t>
      </w:r>
    </w:p>
    <w:p w14:paraId="44510ED6" w14:textId="77777777" w:rsidR="00237427" w:rsidRPr="00097CE0" w:rsidRDefault="00237427" w:rsidP="00237427">
      <w:pPr>
        <w:pStyle w:val="ProductList-Body"/>
        <w:spacing w:after="120"/>
      </w:pPr>
      <w:r>
        <w:t xml:space="preserve">Вносителят на данни не може да разчита на нарушение от страна на подизпълнител на съответните му задължения, за да избегне собствените си отговорности. </w:t>
      </w:r>
    </w:p>
    <w:p w14:paraId="74B304A6" w14:textId="77777777" w:rsidR="00237427" w:rsidRPr="00097CE0" w:rsidRDefault="00237427" w:rsidP="00237427">
      <w:pPr>
        <w:pStyle w:val="ProductList-Body"/>
        <w:spacing w:after="120"/>
      </w:pPr>
      <w:r>
        <w:t xml:space="preserve">3. Ако субект на данни не може да предяви претенция срещу износителя на данни или вносителя на данни, посочени в параграфи 1 и 2, вследствие на нарушение от страна на подизпълнителя на негови задължения, посочени в Клауза 3 или Клауза 11, тъй като износителят на данни и вносителят на данни са изчезнали фактически, престанали са да съществуват законно или са обявили несъстоятелност, подизпълнителят приема, че субектът на данни може да предяви претенция срещу подизпълнителя по отношение на собствените му дейности за обработване по силата на Клаузите, все едно той е износителят на данни или вносителят на данни, освен ако друго юридическо лице в ролята на приемник не поеме изцяло правните задължения на износителя на данни или вносителя на данни по силата на договор или по силата на закона, като в този случай субектът на данни може да приложи правата си срещу съответното юридическо лице. Отговорността на подизпълнителя се ограничава по силата на Клаузите до собствените му дейности по обработване. </w:t>
      </w:r>
    </w:p>
    <w:p w14:paraId="5EFDC174" w14:textId="77777777" w:rsidR="00237427" w:rsidRPr="00097CE0" w:rsidRDefault="00237427" w:rsidP="00237427">
      <w:pPr>
        <w:pStyle w:val="ProductList-Body"/>
        <w:spacing w:after="120"/>
        <w:jc w:val="center"/>
        <w:outlineLvl w:val="1"/>
      </w:pPr>
      <w:bookmarkStart w:id="220" w:name="_Toc26972897"/>
      <w:r>
        <w:rPr>
          <w:b/>
        </w:rPr>
        <w:t>Клауза 7: Медиация и съд</w:t>
      </w:r>
      <w:bookmarkEnd w:id="220"/>
    </w:p>
    <w:p w14:paraId="5F44745C" w14:textId="77777777" w:rsidR="00237427" w:rsidRPr="00097CE0" w:rsidRDefault="00237427" w:rsidP="00237427">
      <w:pPr>
        <w:pStyle w:val="ProductList-Body"/>
        <w:spacing w:after="120"/>
      </w:pPr>
      <w:r>
        <w:t xml:space="preserve">1. Вносителят на данни приема, че ако субектът на данни се възползва от правата на трето лице-бенефициент и/или предяви претенция за компенсация за вреди по силата на Клаузите срещу вносителя на данни, вносителят на данни ще приеме решението на субекта на данни: </w:t>
      </w:r>
    </w:p>
    <w:p w14:paraId="6030DF50" w14:textId="77777777" w:rsidR="00237427" w:rsidRPr="00097CE0" w:rsidRDefault="00237427" w:rsidP="00237427">
      <w:pPr>
        <w:pStyle w:val="ProductList-Body"/>
        <w:spacing w:after="120"/>
        <w:ind w:left="360"/>
      </w:pPr>
      <w:r>
        <w:t xml:space="preserve">(а) да отнесе спора за медиация от независимо лице или, ако е приложимо, от надзорния орган; </w:t>
      </w:r>
    </w:p>
    <w:p w14:paraId="4DF3DD7F" w14:textId="77777777" w:rsidR="00237427" w:rsidRPr="00097CE0" w:rsidRDefault="00237427" w:rsidP="00237427">
      <w:pPr>
        <w:pStyle w:val="ProductList-Body"/>
        <w:spacing w:after="120"/>
        <w:ind w:left="360"/>
      </w:pPr>
      <w:r>
        <w:lastRenderedPageBreak/>
        <w:t xml:space="preserve">(б) да отнесе спора до съдилищата в държавата членка, в която е установен износителят на данни. </w:t>
      </w:r>
    </w:p>
    <w:p w14:paraId="1F853E62" w14:textId="77777777" w:rsidR="00237427" w:rsidRPr="00097CE0" w:rsidRDefault="00237427" w:rsidP="00237427">
      <w:pPr>
        <w:pStyle w:val="ProductList-Body"/>
        <w:spacing w:after="120"/>
      </w:pPr>
      <w:r>
        <w:t xml:space="preserve">2. Страните приемат, че изборът на субекта на данни няма да наруши неговите съществени или процедурни права да търси компенсации в съответствие с други разпоредби от националното или международното законодателство. </w:t>
      </w:r>
    </w:p>
    <w:p w14:paraId="69E0FED8" w14:textId="77777777" w:rsidR="00237427" w:rsidRPr="00097CE0" w:rsidRDefault="00237427" w:rsidP="00237427">
      <w:pPr>
        <w:pStyle w:val="ProductList-Body"/>
        <w:spacing w:after="120"/>
        <w:jc w:val="center"/>
        <w:outlineLvl w:val="1"/>
      </w:pPr>
      <w:bookmarkStart w:id="221" w:name="_Toc26972898"/>
      <w:r>
        <w:rPr>
          <w:b/>
        </w:rPr>
        <w:t>Клауза 8: Сътрудничество с надзорните органи</w:t>
      </w:r>
      <w:bookmarkEnd w:id="221"/>
    </w:p>
    <w:p w14:paraId="7150DF5E" w14:textId="77777777" w:rsidR="00237427" w:rsidRPr="00097CE0" w:rsidRDefault="00237427" w:rsidP="00237427">
      <w:pPr>
        <w:pStyle w:val="ProductList-Body"/>
        <w:spacing w:after="120"/>
      </w:pPr>
      <w:r>
        <w:t xml:space="preserve">1. Износителят на данни приема да предостави копие на настоящия договор на надзорния орган при заявка или ако такова предоставяне се изисква по силата на приложимото законодателство за защита на данните. </w:t>
      </w:r>
    </w:p>
    <w:p w14:paraId="4696075E" w14:textId="77777777" w:rsidR="00237427" w:rsidRPr="00097CE0" w:rsidRDefault="00237427" w:rsidP="00237427">
      <w:pPr>
        <w:pStyle w:val="ProductList-Body"/>
        <w:spacing w:after="120"/>
      </w:pPr>
      <w:r>
        <w:t xml:space="preserve">2. Страните приемат, че надзорният орган има правото да извърши проверка на вносителя на данни, както и на всеки подизпълнител със същата област на действие, която се подчинява на същите условия, приложими за проверка на износителя на данни по силата на приложимото законодателство за защита на данните. </w:t>
      </w:r>
    </w:p>
    <w:p w14:paraId="04A5827C" w14:textId="77777777" w:rsidR="00237427" w:rsidRPr="00097CE0" w:rsidRDefault="00237427" w:rsidP="00237427">
      <w:pPr>
        <w:pStyle w:val="ProductList-Body"/>
        <w:spacing w:after="120"/>
      </w:pPr>
      <w:r>
        <w:t xml:space="preserve">3. Вносителят на данни се задължава незабавно да информира износителя на данни относно съществуването на приложимо законодателство спрямо него или който и да е подизпълнител, което пречи на извършването на проверка на вносителя на данни или който и да е подизпълнител съгласно параграф 2. В такъв случай износителят на данни следва да бъде в правото си да предприеме предвидените мерки в Клауза 5 (б). </w:t>
      </w:r>
    </w:p>
    <w:p w14:paraId="6ED34395" w14:textId="62339D3D" w:rsidR="00237427" w:rsidRPr="007927B2" w:rsidRDefault="00237427" w:rsidP="00237427">
      <w:pPr>
        <w:pStyle w:val="ProductList-Body"/>
        <w:spacing w:after="120"/>
        <w:jc w:val="center"/>
        <w:outlineLvl w:val="1"/>
      </w:pPr>
      <w:bookmarkStart w:id="222" w:name="_Toc26972899"/>
      <w:r>
        <w:rPr>
          <w:b/>
        </w:rPr>
        <w:t>Клауза 9: Приложимо право</w:t>
      </w:r>
      <w:bookmarkEnd w:id="222"/>
    </w:p>
    <w:p w14:paraId="2CDDA326" w14:textId="77777777" w:rsidR="00237427" w:rsidRPr="00097CE0" w:rsidRDefault="00237427" w:rsidP="00237427">
      <w:pPr>
        <w:pStyle w:val="ProductList-Body"/>
        <w:spacing w:after="120"/>
      </w:pPr>
      <w:r>
        <w:t xml:space="preserve">Клаузите следва да се подчиняват на законодателството на Страната-членка, в която е базиран износителят на данни. </w:t>
      </w:r>
    </w:p>
    <w:p w14:paraId="2975AA66" w14:textId="77777777" w:rsidR="00237427" w:rsidRPr="00097CE0" w:rsidRDefault="00237427" w:rsidP="00237427">
      <w:pPr>
        <w:pStyle w:val="ProductList-Body"/>
        <w:keepNext/>
        <w:spacing w:after="120"/>
        <w:jc w:val="center"/>
        <w:outlineLvl w:val="1"/>
      </w:pPr>
      <w:bookmarkStart w:id="223" w:name="_Toc26972900"/>
      <w:r>
        <w:rPr>
          <w:b/>
        </w:rPr>
        <w:t>Клауза 10: Вариации на договора</w:t>
      </w:r>
      <w:bookmarkEnd w:id="223"/>
    </w:p>
    <w:p w14:paraId="63215952" w14:textId="77777777" w:rsidR="00237427" w:rsidRPr="00097CE0" w:rsidRDefault="00237427" w:rsidP="00237427">
      <w:pPr>
        <w:pStyle w:val="ProductList-Body"/>
        <w:spacing w:after="120"/>
      </w:pPr>
      <w:r>
        <w:t xml:space="preserve">Страните се задължават да не въвеждат вариации и да не променят Клаузите. Това не възпрепятства страните да добавят клаузи по въпросите, свързани с бизнес дейността им, когато е необходимо, стига тези клаузи да не противоречат на Клаузата. </w:t>
      </w:r>
    </w:p>
    <w:p w14:paraId="0987A839" w14:textId="77777777" w:rsidR="00237427" w:rsidRPr="00097CE0" w:rsidRDefault="00237427" w:rsidP="00237427">
      <w:pPr>
        <w:pStyle w:val="ProductList-Body"/>
        <w:spacing w:after="120"/>
        <w:jc w:val="center"/>
        <w:outlineLvl w:val="1"/>
      </w:pPr>
      <w:bookmarkStart w:id="224" w:name="_Toc26972901"/>
      <w:r>
        <w:rPr>
          <w:b/>
        </w:rPr>
        <w:t>Клауза 11: Обработване от подизпълнители</w:t>
      </w:r>
      <w:bookmarkEnd w:id="224"/>
    </w:p>
    <w:p w14:paraId="15B511CA" w14:textId="77777777" w:rsidR="00237427" w:rsidRPr="00097CE0" w:rsidRDefault="00237427" w:rsidP="00237427">
      <w:pPr>
        <w:pStyle w:val="ProductList-Body"/>
        <w:spacing w:after="120"/>
      </w:pPr>
      <w:r>
        <w:t xml:space="preserve">1. Вносителят на данни се задължава да не сключва договори с подизпълнители за дейностите си по обработване, извършвани от името на износителя на данни по силата на Клаузите, без предварителното писмено съгласие на износителя на данни. Когато вносителят на данни сключва договор с подизпълнител за поемане на задълженията му по силата на Клаузите със съгласието на износителя на данни, вносителят на данни се задължава да извърши това единствено чрез сключване на писмено споразумение с подизпълнителя, налагащо същите задължения за подизпълнителя, които се налагат и за вносителя на данни по силата на Клаузите. Когато подизпълнителят не успее да изпълни задълженията си за защита на данните по силата на такова писмено споразумение, вносителят на данни следва да поеме пълна отговорност към износителя на данни за изпълнението на задълженията на подизпълнителя по силата на съответното споразумение. </w:t>
      </w:r>
    </w:p>
    <w:p w14:paraId="5E782FAC" w14:textId="77777777" w:rsidR="00237427" w:rsidRPr="00097CE0" w:rsidRDefault="00237427" w:rsidP="00237427">
      <w:pPr>
        <w:pStyle w:val="ProductList-Body"/>
        <w:spacing w:after="120"/>
      </w:pPr>
      <w:r>
        <w:t xml:space="preserve">2. Предварителният писмен договор между вносителя на данни и подизпълнителя следва също така да осигури клауза в полза на трето лице, както е предвидено в Клауза 3, за случаите, в които субектът на данни не може да заведе претенцията за компенсация, посочена в параграф 1 от Клауза 6 срещу износителя на данни или вносителя на данни, тъй като те са изчезнали фактически, престанали са да съществуват законно или са обявили несъстоятелност и няма друго юридическо лице в ролята на приемник, поемащо изцяло правните задължения на износителя на данни или вносителя на данни по силата на договор или по силата на закона. Подобна отговорност на подизпълнителя като трето лице се ограничава по силата на Клаузите до собствените му дейности по обработване. </w:t>
      </w:r>
    </w:p>
    <w:p w14:paraId="43C9C9A7" w14:textId="77777777" w:rsidR="00237427" w:rsidRPr="00097CE0" w:rsidRDefault="00237427" w:rsidP="00237427">
      <w:pPr>
        <w:pStyle w:val="ProductList-Body"/>
        <w:spacing w:after="120"/>
      </w:pPr>
      <w:r>
        <w:t xml:space="preserve">3. Разпоредбите във връзка с аспектите за защита на данните при обработване от подизпълнител в договора с позоваване в параграф 1 следва да се подчиняват на законодателството на Страната-членка, в която е базиран износителят на данни. </w:t>
      </w:r>
    </w:p>
    <w:p w14:paraId="2F49E249" w14:textId="77777777" w:rsidR="00237427" w:rsidRPr="00097CE0" w:rsidRDefault="00237427" w:rsidP="00237427">
      <w:pPr>
        <w:pStyle w:val="ProductList-Body"/>
        <w:spacing w:after="120"/>
      </w:pPr>
      <w:r>
        <w:t xml:space="preserve">4. Износителят на данни съхранява списък със споразуменията за обработване от подизпълнител, сключени по силата на Клаузите, като се уведомява от вносителя на данни съгласно Клауза 5 (й), който следва да се актуализира поне веднъж в годината. Списъкът следва да е наличен за надзорния орган за защита на данните на износителя на данни. </w:t>
      </w:r>
    </w:p>
    <w:p w14:paraId="4574F0A5" w14:textId="77777777" w:rsidR="00237427" w:rsidRPr="00097CE0" w:rsidRDefault="00237427" w:rsidP="00237427">
      <w:pPr>
        <w:pStyle w:val="ProductList-Body"/>
        <w:spacing w:after="120"/>
        <w:jc w:val="center"/>
        <w:outlineLvl w:val="1"/>
      </w:pPr>
      <w:bookmarkStart w:id="225" w:name="_Toc26972902"/>
      <w:r>
        <w:rPr>
          <w:b/>
        </w:rPr>
        <w:t>Клауза 12: Задължение след прекратяването на услугите за обработване на лични данни</w:t>
      </w:r>
      <w:bookmarkEnd w:id="225"/>
    </w:p>
    <w:p w14:paraId="7B3BCEF6" w14:textId="77777777" w:rsidR="00237427" w:rsidRPr="00097CE0" w:rsidRDefault="00237427" w:rsidP="00237427">
      <w:pPr>
        <w:pStyle w:val="ProductList-Body"/>
        <w:spacing w:after="120"/>
      </w:pPr>
      <w:r>
        <w:t xml:space="preserve">1. Страните приемат, че при прекратяване на предоставянето на услугите за обработване на данни вносителят на данни и подизпълнителят се задължават по избор на износителя на данни да върнат всички прехвърлени лични данни, както и техните копия, на износителя на данни или да унищожат всички лични данни и да удостоверят пред износителя на данни, че са извършили това, освен ако приложимото законодателство за вносителя на данни не забранява връщането или унищожаването на всички прехвърлени лични данни или на част от тях. В такъв случай вносителят на данни се задължава да гарантира поверителността и да преустанови активното обработване на прехвърлените лични данни. </w:t>
      </w:r>
    </w:p>
    <w:p w14:paraId="407FA961" w14:textId="77777777" w:rsidR="00237427" w:rsidRPr="00097CE0" w:rsidRDefault="00237427" w:rsidP="00237427">
      <w:pPr>
        <w:pStyle w:val="ProductList-Body"/>
        <w:spacing w:after="120"/>
      </w:pPr>
      <w:r>
        <w:t>2. Вносителят на данни и подизпълнителят гарантират, че при заявка от страна на износителя на данни и/или надзорния орган ще предоставят своите учреждения за обработване на данни за извършване на проверка на мерките с позоваване в параграф 1.</w:t>
      </w:r>
    </w:p>
    <w:p w14:paraId="0033F340" w14:textId="77777777" w:rsidR="00237427" w:rsidRPr="00097CE0" w:rsidRDefault="00237427" w:rsidP="00237427">
      <w:pPr>
        <w:pStyle w:val="ProductList-Body"/>
        <w:spacing w:after="120"/>
        <w:jc w:val="center"/>
        <w:outlineLvl w:val="1"/>
      </w:pPr>
      <w:bookmarkStart w:id="226" w:name="Appendix1toAttachment3"/>
      <w:bookmarkStart w:id="227" w:name="_Toc26972903"/>
      <w:bookmarkStart w:id="228" w:name="Appendix1toAttachment2"/>
      <w:r>
        <w:rPr>
          <w:b/>
        </w:rPr>
        <w:t>Приложение 1 към Стандартните договорни клаузи</w:t>
      </w:r>
      <w:bookmarkEnd w:id="226"/>
      <w:bookmarkEnd w:id="227"/>
    </w:p>
    <w:bookmarkEnd w:id="228"/>
    <w:p w14:paraId="679ABB01" w14:textId="77777777" w:rsidR="008A71B7" w:rsidRPr="00237427" w:rsidRDefault="008A71B7" w:rsidP="008A71B7">
      <w:pPr>
        <w:pStyle w:val="ProductList-Body"/>
        <w:spacing w:after="120"/>
      </w:pPr>
      <w:r>
        <w:rPr>
          <w:b/>
          <w:bCs/>
        </w:rPr>
        <w:lastRenderedPageBreak/>
        <w:t>Износител на данни</w:t>
      </w:r>
      <w:r>
        <w:t xml:space="preserve">: Клиентът е износителят на данни. Износителят на данни е потребител на Онлайн услугите или Professional Services според дефиницията в DPA и OST. </w:t>
      </w:r>
    </w:p>
    <w:p w14:paraId="3604F8F2" w14:textId="77777777" w:rsidR="008A71B7" w:rsidRPr="00237427" w:rsidRDefault="008A71B7" w:rsidP="008A71B7">
      <w:pPr>
        <w:pStyle w:val="ProductList-Body"/>
        <w:spacing w:after="120"/>
      </w:pPr>
      <w:r>
        <w:rPr>
          <w:b/>
        </w:rPr>
        <w:t>Вносител на данни:</w:t>
      </w:r>
      <w:r>
        <w:t xml:space="preserve"> Вносителят на данни е MICROSOFT CORPORATION – глобален производител на софтуер и услуги. </w:t>
      </w:r>
    </w:p>
    <w:p w14:paraId="4B2CE6FA" w14:textId="77CF1EBF" w:rsidR="00237427" w:rsidRPr="00097CE0" w:rsidRDefault="008A71B7" w:rsidP="008A71B7">
      <w:pPr>
        <w:pStyle w:val="ProductList-Body"/>
        <w:spacing w:after="120"/>
      </w:pPr>
      <w:r>
        <w:rPr>
          <w:b/>
        </w:rPr>
        <w:t>Субекти на данни</w:t>
      </w:r>
      <w:r>
        <w:t xml:space="preserve">: Субектите на данни включват представителите и крайните потребители на износителя на данни, включително служителите, контрагентите, сътрудниците и клиентите на износителя на данни. Субектите на данни може също така да включват лица, които се опитват да съобщят или да прехвърлят лична информация до потребители на услугите, предоставяни от вносителя на данни. </w:t>
      </w:r>
      <w:r>
        <w:rPr>
          <w:rFonts w:cstheme="minorHAnsi"/>
          <w:szCs w:val="18"/>
        </w:rPr>
        <w:t>Microsoft потвърждава, че в зависимост от използването от страна на Клиента на Онлайн услугата или Professional Services Клиентът може да реши да включи лични данни от следните типове субекти на данни в личните данни</w:t>
      </w:r>
      <w:r w:rsidR="00237427">
        <w:rPr>
          <w:rFonts w:cstheme="minorHAnsi"/>
          <w:szCs w:val="18"/>
        </w:rPr>
        <w:t>:</w:t>
      </w:r>
    </w:p>
    <w:p w14:paraId="14A5F2BE" w14:textId="77777777" w:rsidR="00237427" w:rsidRPr="00097CE0" w:rsidRDefault="00237427" w:rsidP="00F1097D">
      <w:pPr>
        <w:numPr>
          <w:ilvl w:val="0"/>
          <w:numId w:val="8"/>
        </w:numPr>
        <w:spacing w:after="120" w:line="240" w:lineRule="auto"/>
      </w:pPr>
      <w:r>
        <w:rPr>
          <w:rFonts w:eastAsia="Times New Roman" w:cstheme="minorHAnsi"/>
          <w:color w:val="212121"/>
          <w:sz w:val="18"/>
          <w:szCs w:val="18"/>
        </w:rPr>
        <w:t>служители, контрагенти и временни работници (настоящи, бивши, бъдещи) на износителя на данни;</w:t>
      </w:r>
    </w:p>
    <w:p w14:paraId="3D5E2868" w14:textId="77777777" w:rsidR="00237427" w:rsidRPr="00097CE0" w:rsidRDefault="00237427" w:rsidP="00F1097D">
      <w:pPr>
        <w:numPr>
          <w:ilvl w:val="0"/>
          <w:numId w:val="8"/>
        </w:numPr>
        <w:spacing w:after="120" w:line="240" w:lineRule="auto"/>
      </w:pPr>
      <w:r>
        <w:rPr>
          <w:rFonts w:eastAsia="Times New Roman" w:cstheme="minorHAnsi"/>
          <w:color w:val="212121"/>
          <w:sz w:val="18"/>
          <w:szCs w:val="18"/>
        </w:rPr>
        <w:t>лица, зависими от горните;</w:t>
      </w:r>
    </w:p>
    <w:p w14:paraId="6040FF43" w14:textId="77777777" w:rsidR="00237427" w:rsidRPr="00097CE0" w:rsidRDefault="00237427" w:rsidP="00F1097D">
      <w:pPr>
        <w:numPr>
          <w:ilvl w:val="0"/>
          <w:numId w:val="8"/>
        </w:numPr>
        <w:spacing w:after="120" w:line="240" w:lineRule="auto"/>
      </w:pPr>
      <w:r>
        <w:rPr>
          <w:rFonts w:eastAsia="Times New Roman" w:cstheme="minorHAnsi"/>
          <w:color w:val="212121"/>
          <w:sz w:val="18"/>
          <w:szCs w:val="18"/>
        </w:rPr>
        <w:t>сътрудници/лица за контакт на износителя на данни (физически лица) или служители, контрагенти или временни работници на сътрудниците/лицата за контакт на юридическо лице (настоящи, бъдещи, бивши);</w:t>
      </w:r>
    </w:p>
    <w:p w14:paraId="388D933E" w14:textId="77777777" w:rsidR="00237427" w:rsidRPr="00097CE0" w:rsidRDefault="00237427" w:rsidP="00F1097D">
      <w:pPr>
        <w:numPr>
          <w:ilvl w:val="0"/>
          <w:numId w:val="8"/>
        </w:numPr>
        <w:spacing w:after="120" w:line="240" w:lineRule="auto"/>
      </w:pPr>
      <w:r>
        <w:rPr>
          <w:rFonts w:eastAsia="Times New Roman" w:cstheme="minorHAnsi"/>
          <w:color w:val="212121"/>
          <w:sz w:val="18"/>
          <w:szCs w:val="18"/>
        </w:rPr>
        <w:t>потребители (напр. клиенти, пациенти, посетители и др.) и други субекти на данни, които са потребители на услугите на износителя на данни;</w:t>
      </w:r>
    </w:p>
    <w:p w14:paraId="2A568C90" w14:textId="77777777" w:rsidR="00237427" w:rsidRPr="00097CE0" w:rsidRDefault="00237427" w:rsidP="00F1097D">
      <w:pPr>
        <w:numPr>
          <w:ilvl w:val="0"/>
          <w:numId w:val="8"/>
        </w:numPr>
        <w:spacing w:after="120" w:line="240" w:lineRule="auto"/>
      </w:pPr>
      <w:r>
        <w:rPr>
          <w:rFonts w:eastAsia="Times New Roman" w:cstheme="minorHAnsi"/>
          <w:color w:val="212121"/>
          <w:sz w:val="18"/>
          <w:szCs w:val="18"/>
        </w:rPr>
        <w:t>партньори, заинтересованите страни или физически лица, които активно сътрудничат, комуникират или по друг начин взаимодействат със служители на износителя на данни и/или използват инструменти за комуникация, като например приложения и уебсайтове, предоставени от износителя на данни;</w:t>
      </w:r>
    </w:p>
    <w:p w14:paraId="555B3E63" w14:textId="77777777" w:rsidR="00237427" w:rsidRPr="00097CE0" w:rsidRDefault="00237427" w:rsidP="00F1097D">
      <w:pPr>
        <w:numPr>
          <w:ilvl w:val="0"/>
          <w:numId w:val="8"/>
        </w:numPr>
        <w:spacing w:after="120" w:line="240" w:lineRule="auto"/>
      </w:pPr>
      <w:r>
        <w:rPr>
          <w:rFonts w:eastAsia="Times New Roman" w:cstheme="minorHAnsi"/>
          <w:color w:val="212121"/>
          <w:sz w:val="18"/>
          <w:szCs w:val="18"/>
        </w:rPr>
        <w:t>заинтересованите страни или физически лица, които пасивно взаимодействат с износителя на данни (например защото са обекти на разследване, проучване или са споменати в документи или кореспонденция от или до износителя на данни);</w:t>
      </w:r>
    </w:p>
    <w:p w14:paraId="28754025" w14:textId="77777777" w:rsidR="00237427" w:rsidRPr="00097CE0" w:rsidRDefault="00237427" w:rsidP="00F1097D">
      <w:pPr>
        <w:numPr>
          <w:ilvl w:val="0"/>
          <w:numId w:val="8"/>
        </w:numPr>
        <w:spacing w:after="120" w:line="240" w:lineRule="auto"/>
      </w:pPr>
      <w:r>
        <w:rPr>
          <w:rFonts w:eastAsia="Times New Roman" w:cstheme="minorHAnsi"/>
          <w:color w:val="212121"/>
          <w:sz w:val="18"/>
          <w:szCs w:val="18"/>
        </w:rPr>
        <w:t>непълнолетни; или</w:t>
      </w:r>
    </w:p>
    <w:p w14:paraId="352A9FA9" w14:textId="77777777" w:rsidR="00237427" w:rsidRPr="00097CE0" w:rsidRDefault="00237427" w:rsidP="00F1097D">
      <w:pPr>
        <w:numPr>
          <w:ilvl w:val="0"/>
          <w:numId w:val="8"/>
        </w:numPr>
        <w:spacing w:after="120" w:line="240" w:lineRule="auto"/>
      </w:pPr>
      <w:r>
        <w:rPr>
          <w:rFonts w:eastAsia="Times New Roman" w:cstheme="minorHAnsi"/>
          <w:color w:val="212121"/>
          <w:sz w:val="18"/>
          <w:szCs w:val="18"/>
        </w:rPr>
        <w:t>специалисти с професионални привилегии (напр. лекари, адвокати, нотариуси, религиозни работници и др.).</w:t>
      </w:r>
    </w:p>
    <w:p w14:paraId="7A6D749A" w14:textId="610F511E" w:rsidR="00237427" w:rsidRPr="00097CE0" w:rsidRDefault="00237427" w:rsidP="00237427">
      <w:pPr>
        <w:pStyle w:val="ProductList-Body"/>
        <w:spacing w:after="120"/>
      </w:pPr>
      <w:r>
        <w:rPr>
          <w:b/>
        </w:rPr>
        <w:t>Категории данни</w:t>
      </w:r>
      <w:r w:rsidRPr="00643C0B">
        <w:rPr>
          <w:b/>
          <w:bCs/>
        </w:rPr>
        <w:t>:</w:t>
      </w:r>
      <w:r>
        <w:t xml:space="preserve"> </w:t>
      </w:r>
      <w:r w:rsidR="008A71B7">
        <w:t xml:space="preserve">Прехвърлените лични данни, които са включени в имейл, документи и други данни в електронна форма в контекста на Онлайн услугите или Professional Services. </w:t>
      </w:r>
      <w:r w:rsidR="008A71B7">
        <w:rPr>
          <w:rFonts w:eastAsia="Times New Roman" w:cstheme="minorHAnsi"/>
          <w:color w:val="212121"/>
          <w:szCs w:val="18"/>
        </w:rPr>
        <w:t>Microsoft потвърждава, че в зависимост от използването от страна на Клиента на Онлайн услугата или Professional Services Клиентът може да реши да включи лични данни от която и да е от следните категории в личните данни</w:t>
      </w:r>
      <w:r>
        <w:rPr>
          <w:rFonts w:eastAsia="Times New Roman" w:cstheme="minorHAnsi"/>
          <w:color w:val="212121"/>
          <w:szCs w:val="18"/>
        </w:rPr>
        <w:t>:</w:t>
      </w:r>
    </w:p>
    <w:p w14:paraId="541F36CC"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основни лични данни (например място на раждане, име на улицата и номер на жилището (адрес), пощенски код, град на местоживеене, мобилен телефонен номер, собствено име, фамилно име, инициали, имейл адрес, пол, дата на раждане), включително основни лични данни за членове на семейството и деца;</w:t>
      </w:r>
    </w:p>
    <w:p w14:paraId="4C861DE1"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данни за удостоверяване (например потребителско име, парола или ПИН код, въпрос за защита, регистър за проверка);</w:t>
      </w:r>
    </w:p>
    <w:p w14:paraId="50351E8C"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информация за контакт (например адреси, имейл, телефонен номер, идентификационни данни за социалните медии, данни за контакт при спешни случаи);</w:t>
      </w:r>
    </w:p>
    <w:p w14:paraId="20E1CA96" w14:textId="2B63D8DA" w:rsidR="00237427" w:rsidRPr="00097CE0" w:rsidRDefault="00237427" w:rsidP="00090CCF">
      <w:pPr>
        <w:pStyle w:val="ListParagraph"/>
        <w:numPr>
          <w:ilvl w:val="0"/>
          <w:numId w:val="9"/>
        </w:numPr>
        <w:spacing w:after="120" w:line="240" w:lineRule="auto"/>
        <w:contextualSpacing w:val="0"/>
      </w:pPr>
      <w:r>
        <w:rPr>
          <w:rFonts w:eastAsia="Times New Roman" w:cstheme="minorHAnsi"/>
          <w:color w:val="212121"/>
          <w:sz w:val="18"/>
          <w:szCs w:val="18"/>
        </w:rPr>
        <w:t>уникални идентификационни номера и подписи (например социалноосигурителен номер, номер на банкова сметка, номер на паспорт и лична карта, номер на шофьорска книжка и регистрационни данни на превозното средство, IP адреси, служебен номер, студентски номер, пациентски номер, подпис, уникален идентификатор при проследяване на „бисквитки</w:t>
      </w:r>
      <w:r w:rsidR="00090CCF" w:rsidRPr="00090CCF">
        <w:rPr>
          <w:rFonts w:eastAsia="Times New Roman" w:cstheme="minorHAnsi"/>
          <w:color w:val="212121"/>
          <w:sz w:val="18"/>
          <w:szCs w:val="18"/>
        </w:rPr>
        <w:t>“</w:t>
      </w:r>
      <w:r>
        <w:rPr>
          <w:rFonts w:eastAsia="Times New Roman" w:cstheme="minorHAnsi"/>
          <w:color w:val="212121"/>
          <w:sz w:val="18"/>
          <w:szCs w:val="18"/>
        </w:rPr>
        <w:t xml:space="preserve"> или подобна технология);</w:t>
      </w:r>
    </w:p>
    <w:p w14:paraId="11259B49"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 xml:space="preserve">псевдонимни идентификатори; </w:t>
      </w:r>
    </w:p>
    <w:p w14:paraId="6AC2FB3C"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финансова и застрахователна информация (например номер на застраховка, име на титуляря и номер на банкова сметка, име и номер на кредитна карта, номер на фактура, доходи, тип на осигуровката, поведение при плащане, кредитоспособност);</w:t>
      </w:r>
    </w:p>
    <w:p w14:paraId="552D2415"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търговска информация (например история на покупките, специални оферти, информация за абонаменти, история на плащанията);</w:t>
      </w:r>
    </w:p>
    <w:p w14:paraId="3FCE1A10"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 xml:space="preserve">биометрична информация (например ДНК, пръстови отпечатъци и сканирано изображение на ириса); </w:t>
      </w:r>
    </w:p>
    <w:p w14:paraId="60CAA8E2"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данни за местоположението (например ИД на клетка, данни за мрежи за геолокация, местоположение в началото на обаждане/край на обаждането. Данните за местоположение се извличат от използване на точки за достъп до Wi-Fi);</w:t>
      </w:r>
    </w:p>
    <w:p w14:paraId="59BDD478"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снимки, видеоклипове и аудиозаписи;</w:t>
      </w:r>
    </w:p>
    <w:p w14:paraId="628CEEC9"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lastRenderedPageBreak/>
        <w:t>дейност в интернет (например история на сърфирането, история на търсенето, четенето, гледане на телевизия, слушане на радио);</w:t>
      </w:r>
    </w:p>
    <w:p w14:paraId="53B18423"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идентифициране на устройството (например IMEI-номер, номер на SIM картата, MAC адрес);</w:t>
      </w:r>
    </w:p>
    <w:p w14:paraId="5C271ADD"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профилиране (например въз основа на наблюдавано криминално или антисоциално поведение или псевдонимен профил въз основа на посещавани URL адреси, поредици от кликвания, регистрационни файлове на сърфиране, IP адреси, домейни, инсталирани приложения или профили въз основа на пазарни предпочитания);</w:t>
      </w:r>
    </w:p>
    <w:p w14:paraId="633E7C8E"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данни за ЧР и набиране на персонал (например декларация за трудов статус, информация за набиране на персонал (като например автобиографии, професионален опит, образование), данни за работно място и позиция, включително работно време, оценки и заплата, подробности за разрешителни за работа, разполагаемост, условия на заетост, подробности за данъци, плащания, застраховки и местоположение и организации);</w:t>
      </w:r>
    </w:p>
    <w:p w14:paraId="6F3D3F7B"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данни за образование (например получено образование, настоящо обучение, степени и резултати, най-висока постигната степен, затруднения за учене);</w:t>
      </w:r>
    </w:p>
    <w:p w14:paraId="1BB9411B"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 xml:space="preserve">информация за гражданство и местожителство (например гражданство, статут на натурализация, Контрагентите и доставчиците няма да дискриминират въз основа на раса, религия, пол, възраст, семейно положение, националност, имиграционен статус, паспортни данни, подробности за местоживеене или разрешително за работа); </w:t>
      </w:r>
    </w:p>
    <w:p w14:paraId="2D03602F"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 xml:space="preserve">информация, обработвана за изпълнението на задача от обществен интерес или при упражняване на официални правомощия; </w:t>
      </w:r>
    </w:p>
    <w:p w14:paraId="758DA777"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специални категории данни (например расов или етнически произход, политически възгледи, религиозни или философски убеждения, членство в синдикални организации, генетични данни, биометрични данни за целите единствено на идентифицирането на физическо лице, данни за здравословното състояние, данни за сексуалния живот или сексуалната ориентация на физическото лице или данни, свързани с присъди или нарушения); или</w:t>
      </w:r>
    </w:p>
    <w:p w14:paraId="565E6981"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всички други лични данни, посочени в чл. 4 на ОРЗД.</w:t>
      </w:r>
    </w:p>
    <w:p w14:paraId="7F025BA4" w14:textId="77777777" w:rsidR="00237427" w:rsidRPr="00097CE0" w:rsidRDefault="00237427" w:rsidP="00237427">
      <w:pPr>
        <w:pStyle w:val="ProductList-Body"/>
        <w:spacing w:after="120"/>
      </w:pPr>
      <w:r>
        <w:rPr>
          <w:b/>
        </w:rPr>
        <w:t>Операции по обработване</w:t>
      </w:r>
      <w:r w:rsidRPr="00643C0B">
        <w:rPr>
          <w:b/>
          <w:bCs/>
        </w:rPr>
        <w:t>:</w:t>
      </w:r>
      <w:r>
        <w:t xml:space="preserve"> Прехвърлените лични данни ще подлежат на следните основни дейности за обработване: </w:t>
      </w:r>
    </w:p>
    <w:p w14:paraId="02241B64" w14:textId="77777777" w:rsidR="008A71B7" w:rsidRPr="00237427" w:rsidRDefault="008A71B7" w:rsidP="008A71B7">
      <w:pPr>
        <w:pStyle w:val="ProductList-Body"/>
        <w:spacing w:after="120"/>
        <w:ind w:left="547"/>
      </w:pPr>
      <w:r>
        <w:rPr>
          <w:b/>
        </w:rPr>
        <w:t>а. Времетраене и цел на обработването на данни</w:t>
      </w:r>
      <w:r w:rsidRPr="00E7109B">
        <w:rPr>
          <w:b/>
          <w:bCs/>
        </w:rPr>
        <w:t>.</w:t>
      </w:r>
      <w:r>
        <w:t xml:space="preserve"> Времетраенето на обработването на данните следва да съвпада с указания срок по силата на приложимото споразумение за корпоративно лицензиране между износителя на данни и юридическото лице Microsoft, за което настоящите Стандартни договорни клаузи са приложени („Microsoft“). Целта на обработването на данни е изпълнението на Онлайн услугите и Professional Services. </w:t>
      </w:r>
    </w:p>
    <w:p w14:paraId="3E3B7F07" w14:textId="77777777" w:rsidR="008A71B7" w:rsidRPr="00111ABC" w:rsidRDefault="008A71B7" w:rsidP="008A71B7">
      <w:pPr>
        <w:pStyle w:val="ProductList-Body"/>
        <w:spacing w:after="120"/>
        <w:ind w:left="547"/>
        <w:rPr>
          <w:spacing w:val="2"/>
        </w:rPr>
      </w:pPr>
      <w:r w:rsidRPr="00111ABC">
        <w:rPr>
          <w:b/>
          <w:bCs/>
          <w:spacing w:val="2"/>
        </w:rPr>
        <w:t>б. Обсег и цел на обработването на данни</w:t>
      </w:r>
      <w:r w:rsidRPr="00E7109B">
        <w:rPr>
          <w:b/>
          <w:bCs/>
          <w:spacing w:val="2"/>
        </w:rPr>
        <w:t>.</w:t>
      </w:r>
      <w:r w:rsidRPr="00111ABC">
        <w:rPr>
          <w:spacing w:val="2"/>
        </w:rPr>
        <w:t xml:space="preserve"> Обхватът и целта на обработването на лични данни са описани в раздела „Обработване на лични данни; ОРЗД“ на DPA. Вносителят на данни управлява глобална мрежа от центрове за данни и</w:t>
      </w:r>
      <w:r>
        <w:rPr>
          <w:spacing w:val="2"/>
          <w:lang w:val="en-US"/>
        </w:rPr>
        <w:t> </w:t>
      </w:r>
      <w:r w:rsidRPr="00111ABC">
        <w:rPr>
          <w:spacing w:val="2"/>
        </w:rPr>
        <w:t>оборудване за управление/поддръжка, като обработването може да се извършва във всяка юрисдикция, където вносителят на</w:t>
      </w:r>
      <w:r>
        <w:rPr>
          <w:spacing w:val="2"/>
          <w:lang w:val="en-US"/>
        </w:rPr>
        <w:t> </w:t>
      </w:r>
      <w:r w:rsidRPr="00111ABC">
        <w:rPr>
          <w:spacing w:val="2"/>
        </w:rPr>
        <w:t xml:space="preserve">данни или неговите подизпълнители, обработващи данните, управляват подобно оборудване в съответствие с раздела „Практики и правила за защита“ на DPA. </w:t>
      </w:r>
    </w:p>
    <w:p w14:paraId="0B851620" w14:textId="77777777" w:rsidR="008A71B7" w:rsidRPr="00237427" w:rsidRDefault="008A71B7" w:rsidP="008A71B7">
      <w:pPr>
        <w:pStyle w:val="ProductList-Body"/>
        <w:spacing w:after="120"/>
        <w:ind w:left="547"/>
      </w:pPr>
      <w:r>
        <w:rPr>
          <w:b/>
        </w:rPr>
        <w:t>в. Достъп до Клиентски данни и лични данни</w:t>
      </w:r>
      <w:r w:rsidRPr="00E7109B">
        <w:rPr>
          <w:b/>
          <w:bCs/>
        </w:rPr>
        <w:t>.</w:t>
      </w:r>
      <w:r>
        <w:t xml:space="preserve"> За посочения срок по силата на приложимото споразумение за корпоративно лицензиране вносителят на данни по своя преценка и както е необходимо съгласно приложимото право, прилагащо Член 12(b) от</w:t>
      </w:r>
      <w:r>
        <w:rPr>
          <w:lang w:val="en-US"/>
        </w:rPr>
        <w:t> </w:t>
      </w:r>
      <w:r>
        <w:t xml:space="preserve">Директива на ЕС за защита на личните данни, ще: (1) предостави на износителя на данни възможността да коригира, изтрива или блокира Клиентски или данни лични данни или ще (2) извършва тези корекции, изтривания или блокирания от негово име. </w:t>
      </w:r>
    </w:p>
    <w:p w14:paraId="0BAE874B" w14:textId="77777777" w:rsidR="008A71B7" w:rsidRPr="00237427" w:rsidRDefault="008A71B7" w:rsidP="008A71B7">
      <w:pPr>
        <w:pStyle w:val="ProductList-Body"/>
        <w:spacing w:after="120"/>
        <w:ind w:left="547"/>
      </w:pPr>
      <w:r>
        <w:rPr>
          <w:b/>
        </w:rPr>
        <w:t>г. Инструкции на износителя на данни</w:t>
      </w:r>
      <w:r w:rsidRPr="00C25E8A">
        <w:rPr>
          <w:b/>
        </w:rPr>
        <w:t>.</w:t>
      </w:r>
      <w:r>
        <w:t xml:space="preserve"> За Онлайн услугите и Professional Services вносителят на данни ще действа само съгласно инструкциите на износителя на данни, както са предоставени от Microsoft. </w:t>
      </w:r>
    </w:p>
    <w:p w14:paraId="41890E87" w14:textId="77777777" w:rsidR="008A71B7" w:rsidRPr="00237427" w:rsidRDefault="008A71B7" w:rsidP="008A71B7">
      <w:pPr>
        <w:pStyle w:val="ProductList-Body"/>
        <w:spacing w:after="120"/>
        <w:ind w:left="547"/>
      </w:pPr>
      <w:r>
        <w:rPr>
          <w:b/>
        </w:rPr>
        <w:t>д. Връщане или изтриване на Клиентски данни и лични данни</w:t>
      </w:r>
      <w:r w:rsidRPr="00C25E8A">
        <w:rPr>
          <w:b/>
        </w:rPr>
        <w:t>.</w:t>
      </w:r>
      <w:r>
        <w:t xml:space="preserve"> При изтичане на срока или прекратяване на използването от страна на износителя на данни на Онлайн услугите или Professional Services той може да извлече Клиентските данни и личните данни, а</w:t>
      </w:r>
      <w:r>
        <w:rPr>
          <w:lang w:val="en-US"/>
        </w:rPr>
        <w:t> </w:t>
      </w:r>
      <w:r>
        <w:t>вносителят на данни ще изтрие Клиентските данни и личните данни, като и двете действия ще се извършат в съответствие с</w:t>
      </w:r>
      <w:r>
        <w:rPr>
          <w:lang w:val="en-US"/>
        </w:rPr>
        <w:t> </w:t>
      </w:r>
      <w:r>
        <w:t xml:space="preserve">приложимите за споразумението Условия на DPA. </w:t>
      </w:r>
    </w:p>
    <w:p w14:paraId="41FF396B" w14:textId="77777777" w:rsidR="008A71B7" w:rsidRPr="00237427" w:rsidRDefault="008A71B7" w:rsidP="008A71B7">
      <w:pPr>
        <w:pStyle w:val="ProductList-Body"/>
        <w:spacing w:after="120"/>
      </w:pPr>
      <w:r>
        <w:rPr>
          <w:b/>
        </w:rPr>
        <w:t>Подизпълнители</w:t>
      </w:r>
      <w:r w:rsidRPr="00694803">
        <w:rPr>
          <w:b/>
        </w:rPr>
        <w:t>:</w:t>
      </w:r>
      <w:r>
        <w:t xml:space="preserve"> В съответствие с DPA вносителят на данни може да наема други фирми, които да предоставят ограничени услуги от името на вносителя на данни, като например предоставяне на поддръжка на клиенти. Всички подобни подизпълнители ще имат разрешение да получават Клиентски данни и лични данни единствено с цел доставка на услугите, за чието предоставяне са наети от вносителя на данни, като ще им бъде забранено да използват Клиентските данни и личните данни за други цели.</w:t>
      </w:r>
    </w:p>
    <w:p w14:paraId="774A98AE" w14:textId="77777777" w:rsidR="008A71B7" w:rsidRPr="00237427" w:rsidRDefault="008A71B7" w:rsidP="008A71B7">
      <w:pPr>
        <w:pStyle w:val="ProductList-Body"/>
        <w:spacing w:after="120"/>
        <w:jc w:val="center"/>
        <w:outlineLvl w:val="1"/>
        <w:rPr>
          <w:b/>
        </w:rPr>
      </w:pPr>
      <w:bookmarkStart w:id="229" w:name="_Toc26972904"/>
      <w:r>
        <w:rPr>
          <w:b/>
        </w:rPr>
        <w:t>Приложение 2 към Стандартните договорни клаузи</w:t>
      </w:r>
      <w:bookmarkEnd w:id="229"/>
    </w:p>
    <w:p w14:paraId="03D0511D" w14:textId="77777777" w:rsidR="008A71B7" w:rsidRPr="00237427" w:rsidRDefault="008A71B7" w:rsidP="008A71B7">
      <w:pPr>
        <w:pStyle w:val="ProductList-Body"/>
        <w:spacing w:after="120"/>
      </w:pPr>
      <w:r>
        <w:t>Описание на техническите и организационните мерки за защита, прилагани от вносителя на данни в съответствие с Клаузи 4(г) и 5(в):</w:t>
      </w:r>
    </w:p>
    <w:p w14:paraId="69C4696C" w14:textId="77777777" w:rsidR="008A71B7" w:rsidRPr="00237427" w:rsidRDefault="008A71B7" w:rsidP="008A71B7">
      <w:pPr>
        <w:pStyle w:val="ProductList-Body"/>
        <w:spacing w:after="120"/>
      </w:pPr>
      <w:r>
        <w:lastRenderedPageBreak/>
        <w:t xml:space="preserve">1. </w:t>
      </w:r>
      <w:r>
        <w:rPr>
          <w:b/>
        </w:rPr>
        <w:t>Персонал</w:t>
      </w:r>
      <w:r w:rsidRPr="00EA71AE">
        <w:rPr>
          <w:b/>
        </w:rPr>
        <w:t>.</w:t>
      </w:r>
      <w:r>
        <w:t xml:space="preserve"> Персоналът на вносителя на данни няма да обработва Клиентски данни или лични данни без упълномощаване. Персоналът се задължава да пази поверителността на всички подобни Клиентски данни и лични данни, като това задължение остава в сила дори след прекратяване на ангажимента. </w:t>
      </w:r>
    </w:p>
    <w:p w14:paraId="2F0D54AA" w14:textId="77777777" w:rsidR="008A71B7" w:rsidRPr="00237427" w:rsidRDefault="008A71B7" w:rsidP="008A71B7">
      <w:pPr>
        <w:pStyle w:val="ProductList-Body"/>
        <w:spacing w:after="120"/>
      </w:pPr>
      <w:r>
        <w:t xml:space="preserve">2. </w:t>
      </w:r>
      <w:r>
        <w:rPr>
          <w:b/>
        </w:rPr>
        <w:t>Лице за контакт за поверителността на данните.</w:t>
      </w:r>
      <w:r>
        <w:t xml:space="preserve"> Може да се свържете със служителя за поверителност на данните от вносителя на данни на следния адрес: </w:t>
      </w:r>
    </w:p>
    <w:p w14:paraId="2D75BDF9" w14:textId="77777777" w:rsidR="008A71B7" w:rsidRPr="00237427" w:rsidRDefault="008A71B7" w:rsidP="008A71B7">
      <w:pPr>
        <w:pStyle w:val="ProductList-Body"/>
        <w:ind w:left="360"/>
      </w:pPr>
      <w:r>
        <w:t xml:space="preserve">Microsoft Corporation </w:t>
      </w:r>
    </w:p>
    <w:p w14:paraId="1905C67C" w14:textId="77777777" w:rsidR="008A71B7" w:rsidRPr="00237427" w:rsidRDefault="008A71B7" w:rsidP="008A71B7">
      <w:pPr>
        <w:pStyle w:val="ProductList-Body"/>
        <w:ind w:left="360"/>
      </w:pPr>
      <w:r>
        <w:t xml:space="preserve">На вниманието на: Главния служител за поверителност </w:t>
      </w:r>
    </w:p>
    <w:p w14:paraId="0D9C5266" w14:textId="77777777" w:rsidR="008A71B7" w:rsidRPr="00237427" w:rsidRDefault="008A71B7" w:rsidP="008A71B7">
      <w:pPr>
        <w:pStyle w:val="ProductList-Body"/>
        <w:ind w:left="360"/>
      </w:pPr>
      <w:r>
        <w:t xml:space="preserve">1 Microsoft Way </w:t>
      </w:r>
    </w:p>
    <w:p w14:paraId="4111D43E" w14:textId="77777777" w:rsidR="008A71B7" w:rsidRPr="00237427" w:rsidRDefault="008A71B7" w:rsidP="008A71B7">
      <w:pPr>
        <w:pStyle w:val="ProductList-Body"/>
        <w:spacing w:after="120"/>
        <w:ind w:left="360"/>
      </w:pPr>
      <w:r>
        <w:t xml:space="preserve">Redmond, WA 98052, САЩ </w:t>
      </w:r>
    </w:p>
    <w:p w14:paraId="3DDC376D" w14:textId="64082969" w:rsidR="00237427" w:rsidRPr="00097CE0" w:rsidRDefault="008A71B7" w:rsidP="008A71B7">
      <w:pPr>
        <w:pStyle w:val="ProductList-Body"/>
        <w:spacing w:after="120"/>
      </w:pPr>
      <w:r>
        <w:t xml:space="preserve">3. </w:t>
      </w:r>
      <w:r>
        <w:rPr>
          <w:b/>
        </w:rPr>
        <w:t>Технически и организационни мерки.</w:t>
      </w:r>
      <w:r>
        <w:t xml:space="preserve"> Вносителят на данни е приложил и ще поддържа подходящи технически и организационни мерки, вътрешни контроли и процедури за защита на информацията, които имат за цел да предпазят Клиентските данни и личните данни, дефинирани в раздел „Практики и правила за защита” на DPA, срещу случайна загуба, унищожаване или промяна; неупълномощено изнасяне на информация или достъп; или незаконно унищожаване, както следва: Техническите и организационните мерки, вътрешните мерки за контрол и процедурите за защита на информацията, изложени в раздел „Практики и правила за защита” на DPA, се включват с</w:t>
      </w:r>
      <w:r>
        <w:rPr>
          <w:lang w:val="en-US"/>
        </w:rPr>
        <w:t> </w:t>
      </w:r>
      <w:r>
        <w:t>настоящото Приложение 2 чрез това позоваване и са обвързващи за вносителя на данни все едно са изложени в тяхната цялост в</w:t>
      </w:r>
      <w:r>
        <w:rPr>
          <w:lang w:val="en-US"/>
        </w:rPr>
        <w:t> </w:t>
      </w:r>
      <w:r>
        <w:t>настоящото Приложение 2</w:t>
      </w:r>
      <w:r w:rsidR="00237427">
        <w:t>.</w:t>
      </w:r>
    </w:p>
    <w:p w14:paraId="3BDEE741" w14:textId="77777777" w:rsidR="0000570F" w:rsidRPr="0030612A" w:rsidRDefault="0000570F" w:rsidP="0000570F">
      <w:pPr>
        <w:pStyle w:val="ProductList-Body"/>
        <w:spacing w:after="120"/>
        <w:jc w:val="center"/>
        <w:outlineLvl w:val="1"/>
        <w:rPr>
          <w:b/>
        </w:rPr>
      </w:pPr>
      <w:bookmarkStart w:id="230" w:name="_Toc26972905"/>
      <w:r>
        <w:rPr>
          <w:b/>
        </w:rPr>
        <w:t>Приложение 3 към Стандартните договорни клаузи</w:t>
      </w:r>
    </w:p>
    <w:p w14:paraId="715A7364" w14:textId="77777777" w:rsidR="0000570F" w:rsidRPr="006C78B3" w:rsidRDefault="0000570F" w:rsidP="0000570F">
      <w:pPr>
        <w:pStyle w:val="ProductList-Body"/>
        <w:spacing w:after="120"/>
        <w:jc w:val="center"/>
        <w:rPr>
          <w:b/>
          <w:bCs/>
        </w:rPr>
      </w:pPr>
      <w:r>
        <w:rPr>
          <w:b/>
          <w:bCs/>
        </w:rPr>
        <w:t>Допълнение за въвеждане на допълнителни защитни мерки</w:t>
      </w:r>
    </w:p>
    <w:p w14:paraId="3609A7CF" w14:textId="77777777" w:rsidR="0000570F" w:rsidRDefault="0000570F" w:rsidP="0000570F">
      <w:pPr>
        <w:pStyle w:val="ProductList-Body"/>
        <w:spacing w:after="120"/>
      </w:pPr>
      <w:r>
        <w:t xml:space="preserve">С настоящото Допълнение за въвеждане на допълнителни защитни мерки към Стандартните договори клаузи (настоящото „Допълнение“), Microsoft Corporation („Microsoft“) предоставя допълнителни защитни мерки на Клиента, както и допълнителни средства за обезщетение на субектите на данни, за които се отнасят личните данни на Клиента. </w:t>
      </w:r>
    </w:p>
    <w:p w14:paraId="2B777A01" w14:textId="77777777" w:rsidR="0000570F" w:rsidRDefault="0000570F" w:rsidP="0000570F">
      <w:pPr>
        <w:pStyle w:val="ProductList-Body"/>
        <w:spacing w:after="120"/>
      </w:pPr>
      <w:r>
        <w:t>Настоящото Допълнение допълва и е част от, но не представлява вариант или изменение на Стандартните договорни клаузи.</w:t>
      </w:r>
    </w:p>
    <w:p w14:paraId="21904EFC" w14:textId="77777777" w:rsidR="0000570F" w:rsidRDefault="0000570F" w:rsidP="0000570F">
      <w:pPr>
        <w:pStyle w:val="ProductList-Body"/>
        <w:numPr>
          <w:ilvl w:val="0"/>
          <w:numId w:val="10"/>
        </w:numPr>
        <w:spacing w:after="120"/>
        <w:ind w:left="0" w:firstLine="0"/>
      </w:pPr>
      <w:r>
        <w:rPr>
          <w:b/>
          <w:bCs/>
          <w:u w:val="single"/>
        </w:rPr>
        <w:t>Оспорване на нареждания</w:t>
      </w:r>
      <w:r w:rsidRPr="003653C1">
        <w:rPr>
          <w:b/>
          <w:bCs/>
        </w:rPr>
        <w:t xml:space="preserve">. </w:t>
      </w:r>
      <w:r>
        <w:t>В допълнение към клауза 5(г)(i) от Стандартните договорни клаузи, в случай че Microsoft получи нареждане от трето лице за задължително изнасяне на информация за лични данни, които са били прехвърлени съгласно Стандартните договорни клаузи, Microsoft:</w:t>
      </w:r>
    </w:p>
    <w:p w14:paraId="3832CC20" w14:textId="77777777" w:rsidR="0000570F" w:rsidRDefault="0000570F" w:rsidP="0000570F">
      <w:pPr>
        <w:pStyle w:val="ProductList-Body"/>
        <w:numPr>
          <w:ilvl w:val="0"/>
          <w:numId w:val="11"/>
        </w:numPr>
        <w:spacing w:after="120"/>
      </w:pPr>
      <w:r>
        <w:t xml:space="preserve">ще положи всички разумни усилия да пренасочи третото лице да поиска данните директно от Клиента; </w:t>
      </w:r>
    </w:p>
    <w:p w14:paraId="0FCDB268" w14:textId="77777777" w:rsidR="0000570F" w:rsidRDefault="0000570F" w:rsidP="0000570F">
      <w:pPr>
        <w:pStyle w:val="ProductList-Body"/>
        <w:numPr>
          <w:ilvl w:val="0"/>
          <w:numId w:val="11"/>
        </w:numPr>
        <w:spacing w:after="120"/>
      </w:pPr>
      <w:r>
        <w:t xml:space="preserve">ще уведоми незабавно Клиента, освен ако не е забранено по силата на законодателството, приложимо към заявяващото трето лице; в случай че има забрана за уведомяване на Клиента, ще положи всички законни усилия да получи правото за отмяна на забраната, за да предостави колкото се може повече информация на Клиента във възможно най-кратък срок; и </w:t>
      </w:r>
    </w:p>
    <w:p w14:paraId="6141FDE5" w14:textId="77777777" w:rsidR="0000570F" w:rsidRDefault="0000570F" w:rsidP="0000570F">
      <w:pPr>
        <w:pStyle w:val="ProductList-Body"/>
        <w:numPr>
          <w:ilvl w:val="0"/>
          <w:numId w:val="11"/>
        </w:numPr>
        <w:spacing w:after="120"/>
      </w:pPr>
      <w:r>
        <w:t xml:space="preserve">ще положи всички законни усилия, за да оспори нареждането за изнасяне на информация въз основа на евентуални правни недостатъци съгласно законите на заявяващото лице или противоречия със законодателството на Европейския съюз или приложимото законодателство на държавите членки. </w:t>
      </w:r>
    </w:p>
    <w:p w14:paraId="3BB62A49" w14:textId="77777777" w:rsidR="0000570F" w:rsidRDefault="0000570F" w:rsidP="0000570F">
      <w:pPr>
        <w:pStyle w:val="ProductList-Body"/>
        <w:spacing w:after="120"/>
      </w:pPr>
      <w:r>
        <w:t xml:space="preserve">За целите на настоящия раздел законните усилия не включват действия, които биха довели до граждански или наказателни санкции, като например неуважение на съд съгласно законите на съответната юрисдикция. </w:t>
      </w:r>
    </w:p>
    <w:p w14:paraId="5681022B" w14:textId="77777777" w:rsidR="0000570F" w:rsidRDefault="0000570F" w:rsidP="0000570F">
      <w:pPr>
        <w:pStyle w:val="ProductList-Body"/>
        <w:numPr>
          <w:ilvl w:val="0"/>
          <w:numId w:val="10"/>
        </w:numPr>
        <w:spacing w:after="120"/>
        <w:ind w:left="0" w:firstLine="0"/>
      </w:pPr>
      <w:r>
        <w:rPr>
          <w:b/>
          <w:bCs/>
          <w:u w:val="single"/>
        </w:rPr>
        <w:t>Обезщетение на Субектите на данни</w:t>
      </w:r>
      <w:r w:rsidRPr="003653C1">
        <w:rPr>
          <w:b/>
          <w:bCs/>
        </w:rPr>
        <w:t>.</w:t>
      </w:r>
      <w:r>
        <w:t xml:space="preserve"> При спазване на условията на раздел 3 и раздел 4 Microsoft ще обезщети субекта на данни за всяка понесена от него имуществена или неимуществена вреда, причинена от изнасянето от страна на Microsoft на информация за лични данни на субекта на данни, които са били прехвърлени съгласно Стандартните договорни клаузи, в отговор на нареждане от държавен или правоприлагащ орган на държава, която не е член на ЕС/ЕИП („Основателно изнасяне на информация“). Независимо от гореизложеното, Microsoft няма задължение за обезщетяване на субекта на данни съгласно раздел 2, доколкото субектът на данни вече е получил компенсация за същата вреда, от Microsoft или по друг начин.</w:t>
      </w:r>
    </w:p>
    <w:p w14:paraId="2E3D08AF" w14:textId="77777777" w:rsidR="0000570F" w:rsidRDefault="0000570F" w:rsidP="0000570F">
      <w:pPr>
        <w:pStyle w:val="ProductList-Body"/>
        <w:numPr>
          <w:ilvl w:val="0"/>
          <w:numId w:val="10"/>
        </w:numPr>
        <w:spacing w:after="120"/>
        <w:ind w:left="0" w:firstLine="0"/>
      </w:pPr>
      <w:r>
        <w:rPr>
          <w:b/>
          <w:bCs/>
          <w:u w:val="single"/>
        </w:rPr>
        <w:t>Условия за обезщетение</w:t>
      </w:r>
      <w:r w:rsidRPr="003653C1">
        <w:rPr>
          <w:b/>
          <w:bCs/>
        </w:rPr>
        <w:t>.</w:t>
      </w:r>
      <w:r>
        <w:t xml:space="preserve"> Обезщетението съгласно раздел 2 е налице, при условие че субектът на данни установи по начин, удовлетворяващ Microsoft, че:</w:t>
      </w:r>
    </w:p>
    <w:p w14:paraId="7682EBFA" w14:textId="77777777" w:rsidR="0000570F" w:rsidRDefault="0000570F" w:rsidP="0000570F">
      <w:pPr>
        <w:pStyle w:val="ProductList-Body"/>
        <w:numPr>
          <w:ilvl w:val="0"/>
          <w:numId w:val="12"/>
        </w:numPr>
        <w:spacing w:after="120"/>
      </w:pPr>
      <w:r>
        <w:t xml:space="preserve">Microsoft се е ангажирал с основателно изнасяне на информация; </w:t>
      </w:r>
    </w:p>
    <w:p w14:paraId="17A3BDD3" w14:textId="77777777" w:rsidR="0000570F" w:rsidRDefault="0000570F" w:rsidP="0000570F">
      <w:pPr>
        <w:pStyle w:val="ProductList-Body"/>
        <w:numPr>
          <w:ilvl w:val="0"/>
          <w:numId w:val="12"/>
        </w:numPr>
        <w:spacing w:after="120"/>
      </w:pPr>
      <w:r>
        <w:t>основателното изнасяне на информация е извършено въз основа на официална процедура, предприета от държавен или правоприлагащ орган на държава, която не е член на ЕС/ЕИП, срещу субекта на данни; и</w:t>
      </w:r>
    </w:p>
    <w:p w14:paraId="7FB5FF9F" w14:textId="77777777" w:rsidR="0000570F" w:rsidRDefault="0000570F" w:rsidP="0000570F">
      <w:pPr>
        <w:pStyle w:val="ProductList-Body"/>
        <w:numPr>
          <w:ilvl w:val="0"/>
          <w:numId w:val="12"/>
        </w:numPr>
        <w:spacing w:after="120"/>
      </w:pPr>
      <w:r>
        <w:t>основателното изнасяне на информация директно е причинило имуществени или неимуществени щети на субекта на данни.</w:t>
      </w:r>
    </w:p>
    <w:p w14:paraId="041C6AE8" w14:textId="77777777" w:rsidR="0000570F" w:rsidRDefault="0000570F" w:rsidP="0000570F">
      <w:pPr>
        <w:pStyle w:val="ProductList-Body"/>
        <w:spacing w:after="120"/>
      </w:pPr>
      <w:r>
        <w:t>На субекта на данни се пада тежестта на доказване по отношение на условията, посочени от a. до в.</w:t>
      </w:r>
    </w:p>
    <w:p w14:paraId="513DE85F" w14:textId="77777777" w:rsidR="0000570F" w:rsidRDefault="0000570F" w:rsidP="0000570F">
      <w:pPr>
        <w:pStyle w:val="ProductList-Body"/>
        <w:spacing w:after="120"/>
      </w:pPr>
      <w:r>
        <w:lastRenderedPageBreak/>
        <w:t xml:space="preserve">Независимо от гореизложеното, Microsoft няма задължение за обезщетяване на субекта на данни съгласно раздел 2, ако установи, че Основателното изнасяне на информация не е нарушило задълженията му съгласно глава V на ОРЗД. </w:t>
      </w:r>
    </w:p>
    <w:p w14:paraId="4F087727" w14:textId="77777777" w:rsidR="0000570F" w:rsidRDefault="0000570F" w:rsidP="0000570F">
      <w:pPr>
        <w:pStyle w:val="ProductList-Body"/>
        <w:numPr>
          <w:ilvl w:val="0"/>
          <w:numId w:val="10"/>
        </w:numPr>
        <w:spacing w:after="120"/>
        <w:ind w:left="0" w:firstLine="0"/>
      </w:pPr>
      <w:r>
        <w:rPr>
          <w:b/>
          <w:bCs/>
          <w:u w:val="single"/>
        </w:rPr>
        <w:t>Обхват на щетите</w:t>
      </w:r>
      <w:r w:rsidRPr="00194965">
        <w:rPr>
          <w:b/>
          <w:bCs/>
        </w:rPr>
        <w:t>.</w:t>
      </w:r>
      <w:r>
        <w:t xml:space="preserve"> Обезщетението съгласно раздел 2 е ограничено до имуществените и неимуществени щети, посочени в ОРЗД, и изключва косвени щети и всички други щети, които не са резултат от нарушаването на ОРЗД от страна на Microsoft.</w:t>
      </w:r>
    </w:p>
    <w:p w14:paraId="12CFE990" w14:textId="77777777" w:rsidR="0000570F" w:rsidRDefault="0000570F" w:rsidP="0000570F">
      <w:pPr>
        <w:pStyle w:val="ProductList-Body"/>
        <w:numPr>
          <w:ilvl w:val="0"/>
          <w:numId w:val="10"/>
        </w:numPr>
        <w:spacing w:after="120"/>
        <w:ind w:left="0" w:firstLine="0"/>
      </w:pPr>
      <w:r>
        <w:rPr>
          <w:b/>
          <w:bCs/>
          <w:u w:val="single"/>
        </w:rPr>
        <w:t>Упражняване на права</w:t>
      </w:r>
      <w:r w:rsidRPr="00194965">
        <w:rPr>
          <w:b/>
          <w:bCs/>
        </w:rPr>
        <w:t>.</w:t>
      </w:r>
      <w:r>
        <w:t xml:space="preserve"> Правата, предоставени на субектите на данни съгласно настоящото Допълнение, може да бъдат приложени от субекта на данни срещу Microsoft, независимо от ограниченията в клаузи 3 и 6 на Стандартните договорни клаузи. Субектът на данни може да предяви иск по силата на настоящото Допълнение само индивидуално и без да е част от групови или колективни искове или в качеството на представител. Правата, предоставени на субектите на данни съгласно настоящото Допълнение, се дават лично на субекта на данни и не може да бъдат прехвърляни.</w:t>
      </w:r>
    </w:p>
    <w:p w14:paraId="4D3FFD59" w14:textId="77777777" w:rsidR="0000570F" w:rsidRDefault="0000570F" w:rsidP="0000570F">
      <w:pPr>
        <w:pStyle w:val="ProductList-Body"/>
        <w:numPr>
          <w:ilvl w:val="0"/>
          <w:numId w:val="10"/>
        </w:numPr>
        <w:spacing w:after="120"/>
        <w:ind w:left="0" w:firstLine="0"/>
      </w:pPr>
      <w:r>
        <w:rPr>
          <w:b/>
          <w:bCs/>
          <w:u w:val="single"/>
        </w:rPr>
        <w:t>Съобщение за промяна</w:t>
      </w:r>
      <w:r w:rsidRPr="00194965">
        <w:rPr>
          <w:b/>
          <w:bCs/>
        </w:rPr>
        <w:t>.</w:t>
      </w:r>
      <w:r>
        <w:t xml:space="preserve"> В допълнение към клауза 5(б) на Стандартните договорни условия Microsoft приема и гарантира, че няма основание да смята, че законодателството, приложимо към него или неговите подизпълнители, обработващи данните, включително в държавата, в която се прехвърлят личните данни от него или чрез подизпълнител, обработващ данните, му пречи да изпълни получените инструкции от износителя на данни и задълженията си по силата на настоящото Допълнение или Стандартните договорни клаузи и че в случай на промяна в съответното законодателство, която вероятно ще окаже значително неблагоприятно въздействие върху гаранциите и</w:t>
      </w:r>
      <w:r>
        <w:rPr>
          <w:lang w:val="en-US"/>
        </w:rPr>
        <w:t> </w:t>
      </w:r>
      <w:r>
        <w:t>задълженията, обусловени от настоящото Допълнение или Стандартните договорни клаузи, ще уведоми износителя на данни относно промяната незабавно щом разбере за нея, като в този случай Клиентът има право да преустанови прехвърлянето на данни и/или да прекрати договора.</w:t>
      </w:r>
    </w:p>
    <w:p w14:paraId="2AE7167A" w14:textId="77777777" w:rsidR="0000570F" w:rsidRPr="00237427" w:rsidRDefault="0000570F" w:rsidP="0000570F">
      <w:pPr>
        <w:pStyle w:val="ProductList-Body"/>
        <w:numPr>
          <w:ilvl w:val="0"/>
          <w:numId w:val="10"/>
        </w:numPr>
        <w:spacing w:after="120"/>
        <w:ind w:left="0" w:firstLine="0"/>
      </w:pPr>
      <w:r>
        <w:rPr>
          <w:b/>
          <w:bCs/>
          <w:u w:val="single"/>
        </w:rPr>
        <w:t>Прекратяване</w:t>
      </w:r>
      <w:r w:rsidRPr="00194965">
        <w:rPr>
          <w:b/>
          <w:bCs/>
        </w:rPr>
        <w:t>.</w:t>
      </w:r>
      <w:r>
        <w:t xml:space="preserve"> Настоящото Допълнение се прекратява автоматично, ако Европейската комисия, компетентен надзорен орган на държава членка или компетентен съд на ЕС или държава членка одобри различен законосъобразен механизъм за прехвърляне, който ще бъде приложим към прехвърлянията на данни, обхванати от Стандартните договорни клаузи (и ако този механизъм се прилага само към някои от прехвърлянията на данни, настоящото Допълнение ще бъде прекратено само по отношение на тези превърляния) и това не изисква допълнителните защитни мерки, посочени в настоящото Допълнение.</w:t>
      </w:r>
    </w:p>
    <w:p w14:paraId="7AA3CBCD" w14:textId="7E56034F" w:rsidR="00237427" w:rsidRPr="00097CE0" w:rsidRDefault="0000570F" w:rsidP="0000570F">
      <w:pPr>
        <w:pStyle w:val="ProductList-Body"/>
        <w:spacing w:after="120"/>
        <w:outlineLvl w:val="1"/>
      </w:pPr>
      <w:r>
        <w:rPr>
          <w:b/>
        </w:rPr>
        <w:t>Подписване на Стандартните договорни клаузи, Приложение 1, Приложение 2 и Приложение 3 от името на вносителя на данни</w:t>
      </w:r>
      <w:r w:rsidR="00237427">
        <w:rPr>
          <w:b/>
        </w:rPr>
        <w:t>:</w:t>
      </w:r>
      <w:bookmarkEnd w:id="230"/>
    </w:p>
    <w:p w14:paraId="2A4FBF0F" w14:textId="77777777" w:rsidR="0014507A" w:rsidRPr="00097CE0" w:rsidRDefault="00237427" w:rsidP="00237427">
      <w:pPr>
        <w:pStyle w:val="ProductList-Body"/>
        <w:spacing w:after="120"/>
      </w:pPr>
      <w:bookmarkStart w:id="231" w:name="_Hlk498066566"/>
      <w:r>
        <w:rPr>
          <w:rFonts w:eastAsia="MS Mincho" w:cs="Arial"/>
          <w:noProof/>
          <w:szCs w:val="18"/>
          <w:lang w:val="en-US" w:eastAsia="zh-CN" w:bidi="ar-SA"/>
        </w:rPr>
        <w:drawing>
          <wp:anchor distT="0" distB="0" distL="114300" distR="114300" simplePos="0" relativeHeight="251658752" behindDoc="0" locked="0" layoutInCell="1" allowOverlap="1" wp14:anchorId="49E5FA30" wp14:editId="16BBD03E">
            <wp:simplePos x="0" y="0"/>
            <wp:positionH relativeFrom="margin">
              <wp:align>left</wp:align>
            </wp:positionH>
            <wp:positionV relativeFrom="paragraph">
              <wp:posOffset>55643</wp:posOffset>
            </wp:positionV>
            <wp:extent cx="3028950" cy="7334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28950" cy="733425"/>
                    </a:xfrm>
                    <a:prstGeom prst="rect">
                      <a:avLst/>
                    </a:prstGeom>
                    <a:noFill/>
                  </pic:spPr>
                </pic:pic>
              </a:graphicData>
            </a:graphic>
            <wp14:sizeRelH relativeFrom="margin">
              <wp14:pctWidth>0</wp14:pctWidth>
            </wp14:sizeRelH>
            <wp14:sizeRelV relativeFrom="margin">
              <wp14:pctHeight>0</wp14:pctHeight>
            </wp14:sizeRelV>
          </wp:anchor>
        </w:drawing>
      </w:r>
    </w:p>
    <w:bookmarkEnd w:id="231"/>
    <w:p w14:paraId="5285739A" w14:textId="77777777" w:rsidR="00B91639" w:rsidRPr="00237427" w:rsidRDefault="00B91639" w:rsidP="00B91639">
      <w:pPr>
        <w:pStyle w:val="ProductList-Body"/>
        <w:keepNext/>
        <w:keepLines/>
        <w:spacing w:after="120"/>
      </w:pPr>
      <w:r>
        <w:t>Rajesh Jha, Изпълнителен вицепрезидент</w:t>
      </w:r>
    </w:p>
    <w:p w14:paraId="3FF33C7A" w14:textId="77777777" w:rsidR="00237427" w:rsidRPr="00097CE0" w:rsidRDefault="00237427" w:rsidP="00237427">
      <w:pPr>
        <w:pStyle w:val="ProductList-Body"/>
        <w:spacing w:after="120"/>
      </w:pPr>
      <w:r>
        <w:t>Microsoft Corporation</w:t>
      </w:r>
    </w:p>
    <w:p w14:paraId="7163FB0B" w14:textId="77777777" w:rsidR="00237427" w:rsidRPr="00097CE0" w:rsidRDefault="00237427" w:rsidP="00237427">
      <w:pPr>
        <w:pStyle w:val="ProductList-Body"/>
        <w:spacing w:after="120"/>
      </w:pPr>
      <w:r>
        <w:t>One Microsoft Way, Redmond WA, САЩ 98052</w:t>
      </w:r>
    </w:p>
    <w:p w14:paraId="7C0FFC36" w14:textId="746C4035" w:rsidR="0014507A" w:rsidRPr="00097CE0" w:rsidRDefault="00D7294A" w:rsidP="0014507A">
      <w:pPr>
        <w:pStyle w:val="ProductList-Body"/>
        <w:shd w:val="clear" w:color="auto" w:fill="A6A6A6" w:themeFill="background1" w:themeFillShade="A6"/>
        <w:spacing w:after="120"/>
        <w:jc w:val="right"/>
      </w:pPr>
      <w:hyperlink w:anchor="Съдържание" w:tooltip="Съдържание" w:history="1">
        <w:r w:rsidR="00CE74B9">
          <w:rPr>
            <w:rStyle w:val="Hyperlink"/>
            <w:sz w:val="16"/>
            <w:szCs w:val="16"/>
          </w:rPr>
          <w:t>Съдържание</w:t>
        </w:r>
      </w:hyperlink>
      <w:r w:rsidR="00CE74B9">
        <w:rPr>
          <w:sz w:val="16"/>
          <w:szCs w:val="16"/>
        </w:rPr>
        <w:t>/</w:t>
      </w:r>
      <w:hyperlink w:anchor="GeneralTerms" w:tooltip="Общи условия" w:history="1">
        <w:r w:rsidR="00CE74B9">
          <w:rPr>
            <w:rStyle w:val="Hyperlink"/>
            <w:sz w:val="16"/>
            <w:szCs w:val="16"/>
          </w:rPr>
          <w:t>Общи условия</w:t>
        </w:r>
      </w:hyperlink>
    </w:p>
    <w:p w14:paraId="3904F569" w14:textId="77777777" w:rsidR="00237427" w:rsidRPr="00097CE0" w:rsidRDefault="00237427" w:rsidP="00237427">
      <w:pPr>
        <w:spacing w:after="120" w:line="240" w:lineRule="auto"/>
      </w:pPr>
      <w:r>
        <w:br w:type="page"/>
      </w:r>
    </w:p>
    <w:p w14:paraId="0E478D05" w14:textId="77777777" w:rsidR="00237427" w:rsidRPr="00097CE0" w:rsidRDefault="00237427" w:rsidP="00237427">
      <w:pPr>
        <w:pStyle w:val="ProductList-SectionHeading"/>
        <w:spacing w:after="120"/>
        <w:outlineLvl w:val="0"/>
      </w:pPr>
      <w:bookmarkStart w:id="232" w:name="Attachment3"/>
      <w:bookmarkStart w:id="233" w:name="_Toc8395071"/>
      <w:bookmarkStart w:id="234" w:name="_Toc489605629"/>
      <w:bookmarkStart w:id="235" w:name="_Toc6563859"/>
      <w:bookmarkStart w:id="236" w:name="_Toc21617080"/>
      <w:bookmarkStart w:id="237" w:name="_Toc26972906"/>
      <w:bookmarkStart w:id="238" w:name="_Toc61437089"/>
      <w:r>
        <w:lastRenderedPageBreak/>
        <w:t>Приложение 3</w:t>
      </w:r>
      <w:bookmarkEnd w:id="232"/>
      <w:r>
        <w:t xml:space="preserve"> – Условия на Общия регламент на Европейския съюз относно защитата на данните</w:t>
      </w:r>
      <w:bookmarkEnd w:id="233"/>
      <w:bookmarkEnd w:id="234"/>
      <w:bookmarkEnd w:id="235"/>
      <w:bookmarkEnd w:id="236"/>
      <w:bookmarkEnd w:id="237"/>
      <w:bookmarkEnd w:id="238"/>
    </w:p>
    <w:p w14:paraId="69F9C46B" w14:textId="77777777" w:rsidR="00237427" w:rsidRPr="00097CE0" w:rsidRDefault="00237427" w:rsidP="00237427">
      <w:pPr>
        <w:pStyle w:val="ProductList-Body"/>
        <w:spacing w:after="120"/>
      </w:pPr>
      <w:r>
        <w:t>Считано от 25 май 2018 г. Microsoft поема ангажиментите в тези Условия на ОРЗД към всички клиенти. Тези ангажименти са обвързващи за Microsoft по отношение на Клиента, независимо от (1) версията на OST и DPA, която иначе е приложима за даден абонамент за Онлайн услуги, или (2) всяко друго споразумение, което съдържа препратка към това приложение.</w:t>
      </w:r>
    </w:p>
    <w:p w14:paraId="1696638F" w14:textId="49B176EA" w:rsidR="00237427" w:rsidRPr="00097CE0" w:rsidRDefault="00B91639" w:rsidP="00237427">
      <w:pPr>
        <w:pStyle w:val="ProductList-Body"/>
        <w:spacing w:after="120"/>
      </w:pPr>
      <w:bookmarkStart w:id="239" w:name="_Hlk24455530"/>
      <w:r>
        <w:t>За целите на тези Условия на ОРЗД Клиентът и Microsoft се съгласяват, че Клиентът е администраторът на Личните данни, а Microsoft е</w:t>
      </w:r>
      <w:r>
        <w:rPr>
          <w:lang w:val="en-US"/>
        </w:rPr>
        <w:t> </w:t>
      </w:r>
      <w:r>
        <w:t>обработващият тези данни, освен когато Клиентът действа като обработващ Лични данни, в който случай Microsoft е подизпълнител. Настоящите Условия на ОРЗД се прилагат за обработването на Лични данни от Microsoft от името на Клиента в рамките на обхвата на ОРЗД. Тези условия на ОРЗД не ограничават или намаляват ангажиментите, които Microsoft е поел към Клиента за защита на данните в</w:t>
      </w:r>
      <w:r>
        <w:rPr>
          <w:lang w:val="en-US"/>
        </w:rPr>
        <w:t> </w:t>
      </w:r>
      <w:r>
        <w:t>Правата за използване или в друго споразумение между Microsoft и Клиента. Тези Условия на ОРЗД не се прилагат, когато Microsoft е</w:t>
      </w:r>
      <w:r>
        <w:rPr>
          <w:lang w:val="en-US"/>
        </w:rPr>
        <w:t> </w:t>
      </w:r>
      <w:r>
        <w:t>администратор на Лични данни</w:t>
      </w:r>
      <w:r w:rsidR="00237427">
        <w:t>.</w:t>
      </w:r>
      <w:bookmarkEnd w:id="239"/>
    </w:p>
    <w:p w14:paraId="26AB09BF" w14:textId="77777777" w:rsidR="00237427" w:rsidRPr="00097CE0" w:rsidRDefault="00237427" w:rsidP="00237427">
      <w:pPr>
        <w:pStyle w:val="ProductList-Body"/>
        <w:spacing w:after="120"/>
        <w:outlineLvl w:val="1"/>
      </w:pPr>
      <w:bookmarkStart w:id="240" w:name="_Toc26972907"/>
      <w:r>
        <w:rPr>
          <w:b/>
          <w:color w:val="00188F"/>
        </w:rPr>
        <w:t>Приложими задължения по ОРЗД: членове 28, 32 и 33</w:t>
      </w:r>
      <w:bookmarkEnd w:id="240"/>
    </w:p>
    <w:p w14:paraId="78427D4D" w14:textId="055336D9" w:rsidR="00237427" w:rsidRPr="00097CE0" w:rsidRDefault="00237427" w:rsidP="00B93256">
      <w:pPr>
        <w:pStyle w:val="ProductList-Body"/>
        <w:spacing w:after="120"/>
        <w:ind w:left="158"/>
      </w:pPr>
      <w:r>
        <w:rPr>
          <w:b/>
        </w:rPr>
        <w:t xml:space="preserve">1. </w:t>
      </w:r>
      <w:r>
        <w:t>Microsoft няма да ангажира друг обработващ лични данни без предварителното конкретно или общо писмено разрешение от страна на Клиента. В случай на общо писмено разрешение, Microsoft ще информира Клиента за всякакви планирани промени за включване или</w:t>
      </w:r>
      <w:r w:rsidR="00B93256">
        <w:rPr>
          <w:lang w:val="en-US"/>
        </w:rPr>
        <w:t> </w:t>
      </w:r>
      <w:r>
        <w:t>замяна на други лица, обработващи данни, като по този начин даде възможност на Клиента да оспори тези промени. (член 28, параграф 2)</w:t>
      </w:r>
    </w:p>
    <w:p w14:paraId="29CDF5CD" w14:textId="09ED35A2" w:rsidR="00237427" w:rsidRPr="00097CE0" w:rsidRDefault="00237427" w:rsidP="00090CCF">
      <w:pPr>
        <w:pStyle w:val="ProductList-Body"/>
        <w:spacing w:after="120"/>
        <w:ind w:left="158"/>
      </w:pPr>
      <w:r>
        <w:rPr>
          <w:b/>
        </w:rPr>
        <w:t>2.</w:t>
      </w:r>
      <w:r>
        <w:t xml:space="preserve"> Обработването от страна на Microsoft се урежда с тези Условия на ОРЗД съгласно правото на Европейския съюз (по</w:t>
      </w:r>
      <w:r>
        <w:noBreakHyphen/>
        <w:t>долу „Съюза</w:t>
      </w:r>
      <w:r w:rsidR="00090CCF">
        <w:t>“</w:t>
      </w:r>
      <w:r>
        <w:t>) или правото на държава членка, които са задължителни за Microsoft спрямо Клиента. Предметът и срокът на действие на обработването, естеството и целта на обработването, вида Лични данни и категориите субекти на данни, както и задълженията и правата на Клиента са изложени в Споразумението за лицензиране на Клиента, както и в настоящите Условия на ОРЗД. По</w:t>
      </w:r>
      <w:r>
        <w:noBreakHyphen/>
        <w:t xml:space="preserve">специално, Microsoft: </w:t>
      </w:r>
    </w:p>
    <w:p w14:paraId="5D5B72A4" w14:textId="77777777" w:rsidR="00237427" w:rsidRPr="00097CE0" w:rsidRDefault="00237427" w:rsidP="00237427">
      <w:pPr>
        <w:pStyle w:val="ProductList-Body"/>
        <w:spacing w:after="120"/>
        <w:ind w:left="1440" w:hanging="720"/>
      </w:pPr>
      <w:r>
        <w:rPr>
          <w:b/>
        </w:rPr>
        <w:t>(a)</w:t>
      </w:r>
      <w:r>
        <w:tab/>
        <w:t xml:space="preserve">обработва Личните данни само по документирано нареждане на Клиента, включително що се отнася до предаването на Лични данни на трета държава или международна организация, освен когато е длъжна да направи това по силата на правото на Съюза или правото на държава членка, което се прилага спрямо Microsoft, като в този случай Microsoft информира Клиента за това правно изискване преди обработването, освен ако това право забранява такова информиране на важни основания от публичен интерес; </w:t>
      </w:r>
    </w:p>
    <w:p w14:paraId="1849EE20" w14:textId="77777777" w:rsidR="00237427" w:rsidRPr="00097CE0" w:rsidRDefault="00237427" w:rsidP="00237427">
      <w:pPr>
        <w:pStyle w:val="ProductList-Body"/>
        <w:spacing w:after="120"/>
        <w:ind w:left="1440" w:hanging="720"/>
      </w:pPr>
      <w:r>
        <w:rPr>
          <w:b/>
        </w:rPr>
        <w:t>(b)</w:t>
      </w:r>
      <w:r>
        <w:tab/>
        <w:t xml:space="preserve">гарантира, че лицата, оправомощени да обработват Личните данни, са поели ангажимент за поверителност или са задължени по закон да спазват поверителност; </w:t>
      </w:r>
    </w:p>
    <w:p w14:paraId="6740EE5B" w14:textId="77777777" w:rsidR="00237427" w:rsidRPr="00097CE0" w:rsidRDefault="00237427" w:rsidP="00237427">
      <w:pPr>
        <w:pStyle w:val="ProductList-Body"/>
        <w:spacing w:after="120"/>
        <w:ind w:left="720"/>
      </w:pPr>
      <w:r>
        <w:rPr>
          <w:b/>
        </w:rPr>
        <w:t>(c)</w:t>
      </w:r>
      <w:r>
        <w:tab/>
        <w:t xml:space="preserve">взема всички необходими мерки съгласно член 32 от ОРЗД; </w:t>
      </w:r>
    </w:p>
    <w:p w14:paraId="410503C2" w14:textId="77777777" w:rsidR="00237427" w:rsidRPr="00097CE0" w:rsidRDefault="00237427" w:rsidP="00237427">
      <w:pPr>
        <w:pStyle w:val="ProductList-Body"/>
        <w:spacing w:after="120"/>
        <w:ind w:left="720"/>
      </w:pPr>
      <w:r>
        <w:rPr>
          <w:b/>
        </w:rPr>
        <w:t>(d)</w:t>
      </w:r>
      <w:r>
        <w:tab/>
        <w:t xml:space="preserve">спазва условията по параграфи 1 и 3 за включване на друг обработващ лични данни; </w:t>
      </w:r>
    </w:p>
    <w:p w14:paraId="786DF620" w14:textId="77777777" w:rsidR="00237427" w:rsidRPr="00097CE0" w:rsidRDefault="00237427" w:rsidP="00237427">
      <w:pPr>
        <w:pStyle w:val="ProductList-Body"/>
        <w:spacing w:after="120"/>
        <w:ind w:left="1440" w:hanging="720"/>
      </w:pPr>
      <w:r>
        <w:rPr>
          <w:b/>
        </w:rPr>
        <w:t>(e)</w:t>
      </w:r>
      <w:r>
        <w:tab/>
        <w:t xml:space="preserve">като взема предвид естеството на обработването, подпомага Клиента, доколкото е възможно, чрез подходящи технически и организационни мерки при изпълнението на задължението на Клиента да отговори на искания за упражняване на предвидените в глава III от ОРЗД права на субектите на данни; </w:t>
      </w:r>
    </w:p>
    <w:p w14:paraId="2D8822DC" w14:textId="77777777" w:rsidR="00237427" w:rsidRPr="00097CE0" w:rsidRDefault="00237427" w:rsidP="00237427">
      <w:pPr>
        <w:pStyle w:val="ProductList-Body"/>
        <w:spacing w:after="120"/>
        <w:ind w:left="1440" w:hanging="720"/>
      </w:pPr>
      <w:r>
        <w:rPr>
          <w:b/>
        </w:rPr>
        <w:t>(f)</w:t>
      </w:r>
      <w:r>
        <w:tab/>
        <w:t>подпомага Клиента да гарантира изпълнението на задълженията съгласно членове 32</w:t>
      </w:r>
      <w:r>
        <w:noBreakHyphen/>
        <w:t>36 от ОРЗД, като отчита естеството на обработване и информацията, до която е осигурен достъп на Microsoft;</w:t>
      </w:r>
    </w:p>
    <w:p w14:paraId="5AAE27DD" w14:textId="77777777" w:rsidR="00237427" w:rsidRPr="00097CE0" w:rsidRDefault="00237427" w:rsidP="00237427">
      <w:pPr>
        <w:pStyle w:val="ProductList-Body"/>
        <w:spacing w:after="120"/>
        <w:ind w:left="1440" w:hanging="720"/>
      </w:pPr>
      <w:r>
        <w:rPr>
          <w:b/>
        </w:rPr>
        <w:t>(g)</w:t>
      </w:r>
      <w:r>
        <w:tab/>
        <w:t xml:space="preserve">по избор на Клиента заличава или връща на Клиента всички Лични данни след приключване на услугите по обработване и заличава съществуващите копия, освен ако правото на Съюза или правото на държава членка не изисква тяхното съхранение; </w:t>
      </w:r>
    </w:p>
    <w:p w14:paraId="663C303C" w14:textId="77777777" w:rsidR="00237427" w:rsidRPr="00097CE0" w:rsidRDefault="00237427" w:rsidP="00237427">
      <w:pPr>
        <w:pStyle w:val="ProductList-Body"/>
        <w:spacing w:after="120"/>
        <w:ind w:left="1440" w:hanging="720"/>
      </w:pPr>
      <w:r>
        <w:rPr>
          <w:b/>
        </w:rPr>
        <w:t>(h)</w:t>
      </w:r>
      <w:r>
        <w:tab/>
        <w:t xml:space="preserve">осигурява достъп на Клиента до цялата информация, необходима за доказване на изпълнението на задълженията, определени в член 28 от ОРЗД, и позволява и допринася за извършването на одити, включително проверки, от страна на Клиента или друг одитор, оправомощен от Клиента. </w:t>
      </w:r>
    </w:p>
    <w:p w14:paraId="2E135DAB" w14:textId="77777777" w:rsidR="00237427" w:rsidRPr="00097CE0" w:rsidRDefault="00237427" w:rsidP="00237427">
      <w:pPr>
        <w:pStyle w:val="ProductList-Body"/>
        <w:spacing w:after="120"/>
        <w:ind w:left="158"/>
      </w:pPr>
      <w:r>
        <w:t>Microsoft незабавно уведомява Клиента, ако според него дадено нареждане нарушава ОРЗД или други разпоредби на Съюза или на държавите членки относно защитата на данни. (член 28, параграф 3)</w:t>
      </w:r>
    </w:p>
    <w:p w14:paraId="37FD23DE" w14:textId="77777777" w:rsidR="00237427" w:rsidRPr="00097CE0" w:rsidRDefault="00237427" w:rsidP="00237427">
      <w:pPr>
        <w:pStyle w:val="ProductList-Body"/>
        <w:spacing w:after="120"/>
        <w:ind w:left="158"/>
      </w:pPr>
      <w:r>
        <w:rPr>
          <w:b/>
        </w:rPr>
        <w:t>3.</w:t>
      </w:r>
      <w:r>
        <w:t xml:space="preserve"> Когато Microsoft включва друг обработващ лични данни за извършването на специфични дейности по обработване от името на Клиента, чрез договор или друг правен акт съгласно правото на Съюза или правото на държава членка на това друго лице се налагат същите задължения за защита на данните, както задълженията, предвидени в тези Условия на ОРЗД, по-специално да предостави достатъчно гаранции за прилагане на подходящи технически и организационни мерки, така че обработването да отговаря на изискванията на ОРЗД. Когато другият обработващ лични данни не изпълни задължението си за защита на данните, Microsoft </w:t>
      </w:r>
      <w:r>
        <w:lastRenderedPageBreak/>
        <w:t>продължава да носи пълна отговорност пред Клиента за изпълнението на задълженията на този друг обработващ лични данни. (член 28, параграф 4)</w:t>
      </w:r>
    </w:p>
    <w:p w14:paraId="0555BEB7" w14:textId="77777777" w:rsidR="00237427" w:rsidRPr="00097CE0" w:rsidRDefault="00237427" w:rsidP="00237427">
      <w:pPr>
        <w:pStyle w:val="ProductList-Body"/>
        <w:spacing w:after="120"/>
        <w:ind w:left="158"/>
      </w:pPr>
      <w:r>
        <w:rPr>
          <w:b/>
        </w:rPr>
        <w:t>4.</w:t>
      </w:r>
      <w:r>
        <w:t xml:space="preserve"> Като се имат предвид достиженията на техническия прогрес, разходите за прилагане и естеството, обхватът, контекстът и целите на обработването, както и рисковете с различна вероятност и тежест за правата и свободите на физическите лица, Клиентът и Microsoft прилагат подходящи технически и организационни мерки за осигуряване на съобразено с този риск ниво на сигурност, включително, inter alia, когато е целесъобразно: </w:t>
      </w:r>
    </w:p>
    <w:p w14:paraId="45821566" w14:textId="77777777" w:rsidR="00237427" w:rsidRPr="00097CE0" w:rsidRDefault="00237427" w:rsidP="00237427">
      <w:pPr>
        <w:pStyle w:val="ProductList-Body"/>
        <w:spacing w:after="120"/>
        <w:ind w:left="720"/>
      </w:pPr>
      <w:r>
        <w:rPr>
          <w:rFonts w:cstheme="minorHAnsi"/>
          <w:b/>
          <w:szCs w:val="18"/>
        </w:rPr>
        <w:t>(a)</w:t>
      </w:r>
      <w:r>
        <w:rPr>
          <w:rFonts w:cstheme="minorHAnsi"/>
          <w:szCs w:val="18"/>
        </w:rPr>
        <w:tab/>
        <w:t xml:space="preserve">псевдонимизация и криптиране на Личните данни; </w:t>
      </w:r>
    </w:p>
    <w:p w14:paraId="2A7BB642" w14:textId="77777777" w:rsidR="00237427" w:rsidRPr="00097CE0" w:rsidRDefault="00237427" w:rsidP="00D70BF6">
      <w:pPr>
        <w:pStyle w:val="ProductList-Body"/>
        <w:spacing w:after="120"/>
        <w:ind w:left="1440" w:hanging="720"/>
      </w:pPr>
      <w:r>
        <w:rPr>
          <w:rFonts w:cstheme="minorHAnsi"/>
          <w:b/>
          <w:szCs w:val="18"/>
        </w:rPr>
        <w:t>(b)</w:t>
      </w:r>
      <w:r>
        <w:rPr>
          <w:rFonts w:cstheme="minorHAnsi"/>
          <w:szCs w:val="18"/>
        </w:rPr>
        <w:tab/>
        <w:t xml:space="preserve">способност за гарантиране на постоянна поверителност, цялостност, наличност и устойчивост на системите и услугите за обработване; </w:t>
      </w:r>
    </w:p>
    <w:p w14:paraId="670BD166" w14:textId="77777777" w:rsidR="00237427" w:rsidRPr="00097CE0" w:rsidRDefault="00237427" w:rsidP="00237427">
      <w:pPr>
        <w:pStyle w:val="ProductList-Body"/>
        <w:spacing w:after="120"/>
        <w:ind w:left="1440" w:hanging="720"/>
      </w:pPr>
      <w:r>
        <w:rPr>
          <w:rFonts w:cstheme="minorHAnsi"/>
          <w:b/>
          <w:szCs w:val="18"/>
        </w:rPr>
        <w:t>(c)</w:t>
      </w:r>
      <w:r>
        <w:rPr>
          <w:rFonts w:cstheme="minorHAnsi"/>
          <w:szCs w:val="18"/>
        </w:rPr>
        <w:tab/>
        <w:t>способност за своевременно възстановяване на наличността и достъпа до Личните данни в случай на физически или технически инцидент; и</w:t>
      </w:r>
    </w:p>
    <w:p w14:paraId="4B6D2493" w14:textId="77777777" w:rsidR="00237427" w:rsidRPr="00097CE0" w:rsidRDefault="00237427" w:rsidP="00237427">
      <w:pPr>
        <w:pStyle w:val="ProductList-Body"/>
        <w:spacing w:after="120"/>
        <w:ind w:left="1440" w:hanging="720"/>
      </w:pPr>
      <w:r>
        <w:rPr>
          <w:rFonts w:cstheme="minorHAnsi"/>
          <w:b/>
          <w:szCs w:val="18"/>
        </w:rPr>
        <w:t>(d)</w:t>
      </w:r>
      <w:r>
        <w:rPr>
          <w:rFonts w:cstheme="minorHAnsi"/>
          <w:szCs w:val="18"/>
        </w:rPr>
        <w:tab/>
        <w:t>процес на редовно изпитване, преценяване и оценка на ефективността на техническите и организационните мерки с оглед да се гарантира сигурността на обработването. (член 32, параграф 1)</w:t>
      </w:r>
    </w:p>
    <w:p w14:paraId="3520F22C" w14:textId="77777777" w:rsidR="00237427" w:rsidRPr="00097CE0" w:rsidRDefault="00237427" w:rsidP="00237427">
      <w:pPr>
        <w:pStyle w:val="ProductList-Body"/>
        <w:spacing w:after="120"/>
        <w:ind w:left="158"/>
      </w:pPr>
      <w:r>
        <w:rPr>
          <w:b/>
        </w:rPr>
        <w:t>5.</w:t>
      </w:r>
      <w:r>
        <w:t xml:space="preserve"> При оценката на подходящото ниво на сигурност се вземат предвид по-специално рисковете, които са свързани с обработването, по-специално от случайно или неправомерно унищожаване, загуба, промяна, неразрешено разкриване или достъп до прехвърлени, съхранявани или обработени по друг начин Лични данни. (член 32, параграф 2)</w:t>
      </w:r>
    </w:p>
    <w:p w14:paraId="4BF7427F" w14:textId="77777777" w:rsidR="00237427" w:rsidRPr="00097CE0" w:rsidRDefault="00237427" w:rsidP="00237427">
      <w:pPr>
        <w:pStyle w:val="ProductList-Body"/>
        <w:spacing w:after="120"/>
        <w:ind w:left="158"/>
      </w:pPr>
      <w:r>
        <w:rPr>
          <w:b/>
        </w:rPr>
        <w:t>6.</w:t>
      </w:r>
      <w:r>
        <w:t xml:space="preserve"> Клиентът и Microsoft предприемат стъпки всяко физическо лице, действащо под ръководството на Клиента или на Microsoft, което има достъп до Лични данни, да обработва тези данни само по указание на Клиента, освен ако от въпросното лице не се изисква да прави това по силата на правото на Съюза или правото на държава членка. (член 32, параграф 4)</w:t>
      </w:r>
    </w:p>
    <w:p w14:paraId="67BEEB09" w14:textId="77777777" w:rsidR="00237427" w:rsidRPr="00097CE0" w:rsidRDefault="00237427" w:rsidP="00237427">
      <w:pPr>
        <w:pStyle w:val="ProductList-Body"/>
        <w:spacing w:after="120"/>
        <w:ind w:left="158"/>
      </w:pPr>
      <w:r>
        <w:rPr>
          <w:b/>
          <w:bCs/>
        </w:rPr>
        <w:t>7.</w:t>
      </w:r>
      <w:r>
        <w:t xml:space="preserve"> Microsoft уведомява Клиента без ненужно забавяне, след като узнае за нарушаване на сигурността на Лични данни. (член 33, параграф 2). Подобно уведомление ще включва информацията, която лице, обработващо лични данни, трябва да предостави на администратор на лични данни съгласно член 33, параграф 3, до степента, в която Microsoft основателно разполага с такава информация.</w:t>
      </w:r>
    </w:p>
    <w:p w14:paraId="3B4FCA89" w14:textId="7906ED63" w:rsidR="0014507A" w:rsidRPr="00097CE0" w:rsidRDefault="00D7294A" w:rsidP="0014507A">
      <w:pPr>
        <w:pStyle w:val="ProductList-Body"/>
        <w:shd w:val="clear" w:color="auto" w:fill="A6A6A6" w:themeFill="background1" w:themeFillShade="A6"/>
        <w:spacing w:after="120"/>
        <w:jc w:val="right"/>
      </w:pPr>
      <w:hyperlink w:anchor="Съдържание" w:tooltip="Съдържание" w:history="1">
        <w:r w:rsidR="00CE74B9">
          <w:rPr>
            <w:rStyle w:val="Hyperlink"/>
            <w:sz w:val="16"/>
            <w:szCs w:val="16"/>
          </w:rPr>
          <w:t>Съдържание</w:t>
        </w:r>
      </w:hyperlink>
      <w:r w:rsidR="00CE74B9">
        <w:rPr>
          <w:sz w:val="16"/>
          <w:szCs w:val="16"/>
        </w:rPr>
        <w:t>/</w:t>
      </w:r>
      <w:hyperlink w:anchor="GeneralTerms" w:tooltip="Общи условия" w:history="1">
        <w:r w:rsidR="00CE74B9">
          <w:rPr>
            <w:rStyle w:val="Hyperlink"/>
            <w:sz w:val="16"/>
            <w:szCs w:val="16"/>
          </w:rPr>
          <w:t>Общи условия</w:t>
        </w:r>
      </w:hyperlink>
    </w:p>
    <w:sectPr w:rsidR="0014507A" w:rsidRPr="00097CE0" w:rsidSect="006F1174">
      <w:footerReference w:type="default" r:id="rId29"/>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F2A3C5" w14:textId="77777777" w:rsidR="00B21E13" w:rsidRDefault="00B21E13" w:rsidP="009A573F">
      <w:pPr>
        <w:spacing w:after="0" w:line="240" w:lineRule="auto"/>
      </w:pPr>
      <w:r>
        <w:separator/>
      </w:r>
    </w:p>
    <w:p w14:paraId="458184DF" w14:textId="77777777" w:rsidR="00B21E13" w:rsidRDefault="00B21E13"/>
  </w:endnote>
  <w:endnote w:type="continuationSeparator" w:id="0">
    <w:p w14:paraId="07D9A21E" w14:textId="77777777" w:rsidR="00B21E13" w:rsidRDefault="00B21E13" w:rsidP="009A573F">
      <w:pPr>
        <w:spacing w:after="0" w:line="240" w:lineRule="auto"/>
      </w:pPr>
      <w:r>
        <w:continuationSeparator/>
      </w:r>
    </w:p>
    <w:p w14:paraId="432D1C2F" w14:textId="77777777" w:rsidR="00B21E13" w:rsidRDefault="00B21E13"/>
  </w:endnote>
  <w:endnote w:type="continuationNotice" w:id="1">
    <w:p w14:paraId="55FF6B2E" w14:textId="77777777" w:rsidR="00B21E13" w:rsidRDefault="00B21E13">
      <w:pPr>
        <w:spacing w:after="0" w:line="240" w:lineRule="auto"/>
      </w:pPr>
    </w:p>
    <w:p w14:paraId="42BF9442" w14:textId="77777777" w:rsidR="00B21E13" w:rsidRDefault="00B21E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55FE9" w14:textId="77777777" w:rsidR="00D7294A" w:rsidRDefault="00D7294A" w:rsidP="004D27A6">
    <w:pPr>
      <w:pStyle w:val="ProductList-Body"/>
    </w:pPr>
    <w:r>
      <w:rPr>
        <w:noProof/>
        <w:lang w:val="en-US" w:eastAsia="zh-CN" w:bidi="ar-SA"/>
      </w:rPr>
      <w:drawing>
        <wp:inline distT="0" distB="0" distL="0" distR="0" wp14:anchorId="69D85FDA" wp14:editId="2CE230CC">
          <wp:extent cx="1993692" cy="4572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oft logo.png"/>
                  <pic:cNvPicPr/>
                </pic:nvPicPr>
                <pic:blipFill>
                  <a:blip r:embed="rId1">
                    <a:extLst>
                      <a:ext uri="{28A0092B-C50C-407E-A947-70E740481C1C}">
                        <a14:useLocalDpi xmlns:a14="http://schemas.microsoft.com/office/drawing/2010/main" val="0"/>
                      </a:ext>
                    </a:extLst>
                  </a:blip>
                  <a:stretch>
                    <a:fillRect/>
                  </a:stretch>
                </pic:blipFill>
                <pic:spPr>
                  <a:xfrm>
                    <a:off x="0" y="0"/>
                    <a:ext cx="2155375" cy="494278"/>
                  </a:xfrm>
                  <a:prstGeom prst="rect">
                    <a:avLst/>
                  </a:prstGeom>
                </pic:spPr>
              </pic:pic>
            </a:graphicData>
          </a:graphic>
        </wp:inline>
      </w:drawing>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8650E9" w14:textId="77777777" w:rsidR="00D7294A" w:rsidRPr="00AA025E" w:rsidRDefault="00D7294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D7294A" w:rsidRPr="00C76DF3" w14:paraId="296E55E9" w14:textId="77777777" w:rsidTr="00EC5DF4">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3DDC3D0F" w14:textId="1DE75480" w:rsidR="00D7294A" w:rsidRPr="00C76DF3" w:rsidRDefault="00D7294A" w:rsidP="00737FFD">
          <w:pPr>
            <w:pStyle w:val="ProductList-OfferingBody"/>
            <w:ind w:left="-77" w:right="-73"/>
            <w:jc w:val="center"/>
            <w:rPr>
              <w:color w:val="808080" w:themeColor="background1" w:themeShade="80"/>
              <w:sz w:val="14"/>
              <w:szCs w:val="14"/>
            </w:rPr>
          </w:pPr>
          <w:hyperlink w:anchor="Съдържание" w:history="1">
            <w:r>
              <w:rPr>
                <w:rStyle w:val="Hyperlink"/>
                <w:sz w:val="14"/>
                <w:szCs w:val="14"/>
              </w:rPr>
              <w:t>Съдържание</w:t>
            </w:r>
          </w:hyperlink>
        </w:p>
      </w:tc>
      <w:tc>
        <w:tcPr>
          <w:tcW w:w="213" w:type="dxa"/>
          <w:tcBorders>
            <w:top w:val="nil"/>
            <w:left w:val="single" w:sz="4" w:space="0" w:color="BFBFBF" w:themeColor="background1" w:themeShade="BF"/>
            <w:bottom w:val="nil"/>
            <w:right w:val="single" w:sz="4" w:space="0" w:color="BFBFBF" w:themeColor="background1" w:themeShade="BF"/>
          </w:tcBorders>
          <w:vAlign w:val="center"/>
        </w:tcPr>
        <w:p w14:paraId="451F4429" w14:textId="22A0C4AC" w:rsidR="00D7294A" w:rsidRPr="00C76DF3" w:rsidRDefault="00D7294A" w:rsidP="00737FFD">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9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5B86BF52" w14:textId="4F0BFA21" w:rsidR="00D7294A" w:rsidRPr="00C76DF3" w:rsidRDefault="00D7294A" w:rsidP="00737FFD">
          <w:pPr>
            <w:pStyle w:val="ProductList-OfferingBody"/>
            <w:ind w:left="-72" w:right="-74"/>
            <w:jc w:val="center"/>
            <w:rPr>
              <w:color w:val="808080" w:themeColor="background1" w:themeShade="80"/>
              <w:sz w:val="14"/>
              <w:szCs w:val="14"/>
            </w:rPr>
          </w:pPr>
          <w:hyperlink w:anchor="Въведение" w:history="1">
            <w:r>
              <w:rPr>
                <w:rStyle w:val="Hyperlink"/>
                <w:sz w:val="14"/>
                <w:szCs w:val="14"/>
              </w:rPr>
              <w:t>Въведение</w:t>
            </w:r>
          </w:hyperlink>
        </w:p>
      </w:tc>
      <w:tc>
        <w:tcPr>
          <w:tcW w:w="214" w:type="dxa"/>
          <w:tcBorders>
            <w:top w:val="nil"/>
            <w:left w:val="single" w:sz="4" w:space="0" w:color="BFBFBF" w:themeColor="background1" w:themeShade="BF"/>
            <w:bottom w:val="nil"/>
            <w:right w:val="single" w:sz="4" w:space="0" w:color="BFBFBF" w:themeColor="background1" w:themeShade="BF"/>
          </w:tcBorders>
          <w:vAlign w:val="center"/>
        </w:tcPr>
        <w:p w14:paraId="5B66923E" w14:textId="01E70964" w:rsidR="00D7294A" w:rsidRPr="00C76DF3" w:rsidRDefault="00D7294A" w:rsidP="00737FFD">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9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09052C1E" w14:textId="57817189" w:rsidR="00D7294A" w:rsidRPr="00C76DF3" w:rsidRDefault="00D7294A" w:rsidP="00737FFD">
          <w:pPr>
            <w:pStyle w:val="ProductList-OfferingBody"/>
            <w:ind w:left="-72" w:right="-75"/>
            <w:jc w:val="center"/>
            <w:rPr>
              <w:color w:val="808080" w:themeColor="background1" w:themeShade="80"/>
              <w:sz w:val="14"/>
              <w:szCs w:val="14"/>
            </w:rPr>
          </w:pPr>
          <w:hyperlink w:anchor="GeneralTerms" w:history="1">
            <w:r>
              <w:rPr>
                <w:rStyle w:val="Hyperlink"/>
                <w:sz w:val="14"/>
                <w:szCs w:val="14"/>
              </w:rPr>
              <w:t>Общи условия</w:t>
            </w:r>
          </w:hyperlink>
        </w:p>
      </w:tc>
      <w:tc>
        <w:tcPr>
          <w:tcW w:w="215" w:type="dxa"/>
          <w:tcBorders>
            <w:top w:val="nil"/>
            <w:left w:val="single" w:sz="4" w:space="0" w:color="BFBFBF" w:themeColor="background1" w:themeShade="BF"/>
            <w:bottom w:val="nil"/>
            <w:right w:val="single" w:sz="4" w:space="0" w:color="BFBFBF" w:themeColor="background1" w:themeShade="BF"/>
          </w:tcBorders>
          <w:vAlign w:val="center"/>
        </w:tcPr>
        <w:p w14:paraId="267A3B57" w14:textId="7F65A095" w:rsidR="00D7294A" w:rsidRPr="00C76DF3" w:rsidRDefault="00D7294A" w:rsidP="00737FFD">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22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3A43342D" w14:textId="20B110E4" w:rsidR="00D7294A" w:rsidRPr="00C76DF3" w:rsidRDefault="00D7294A" w:rsidP="00737FFD">
          <w:pPr>
            <w:pStyle w:val="ProductList-OfferingBody"/>
            <w:ind w:left="-72" w:right="-77"/>
            <w:jc w:val="center"/>
            <w:rPr>
              <w:color w:val="808080" w:themeColor="background1" w:themeShade="80"/>
              <w:sz w:val="14"/>
              <w:szCs w:val="14"/>
            </w:rPr>
          </w:pPr>
          <w:hyperlink w:anchor="DatProtectionTerms" w:history="1">
            <w:r>
              <w:rPr>
                <w:rStyle w:val="Hyperlink"/>
                <w:sz w:val="14"/>
                <w:szCs w:val="14"/>
              </w:rPr>
              <w:t>Условия за защита на данните</w:t>
            </w:r>
          </w:hyperlink>
        </w:p>
      </w:tc>
      <w:tc>
        <w:tcPr>
          <w:tcW w:w="218" w:type="dxa"/>
          <w:tcBorders>
            <w:top w:val="nil"/>
            <w:left w:val="single" w:sz="4" w:space="0" w:color="BFBFBF" w:themeColor="background1" w:themeShade="BF"/>
            <w:bottom w:val="nil"/>
            <w:right w:val="single" w:sz="4" w:space="0" w:color="BFBFBF" w:themeColor="background1" w:themeShade="BF"/>
          </w:tcBorders>
          <w:vAlign w:val="center"/>
        </w:tcPr>
        <w:p w14:paraId="3F356555" w14:textId="45AEE393" w:rsidR="00D7294A" w:rsidRPr="00C76DF3" w:rsidRDefault="00D7294A" w:rsidP="00737FFD">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E7D568D" w14:textId="55261329" w:rsidR="00D7294A" w:rsidRPr="00C76DF3" w:rsidRDefault="00D7294A" w:rsidP="00737FFD">
          <w:pPr>
            <w:pStyle w:val="ProductList-OfferingBody"/>
            <w:ind w:left="-72" w:right="-76"/>
            <w:jc w:val="center"/>
            <w:rPr>
              <w:color w:val="808080" w:themeColor="background1" w:themeShade="80"/>
              <w:sz w:val="14"/>
              <w:szCs w:val="14"/>
            </w:rPr>
          </w:pPr>
          <w:hyperlink w:anchor="Attachment1" w:history="1">
            <w:r>
              <w:rPr>
                <w:rStyle w:val="Hyperlink"/>
                <w:sz w:val="14"/>
                <w:szCs w:val="14"/>
              </w:rPr>
              <w:t>Приложение</w:t>
            </w:r>
          </w:hyperlink>
        </w:p>
      </w:tc>
    </w:tr>
  </w:tbl>
  <w:p w14:paraId="08E29AB3" w14:textId="77777777" w:rsidR="00D7294A" w:rsidRPr="0074788A" w:rsidRDefault="00D7294A" w:rsidP="00E31463">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65" w:type="dxa"/>
      <w:tblLayout w:type="fixed"/>
      <w:tblCellMar>
        <w:left w:w="72" w:type="dxa"/>
        <w:right w:w="72" w:type="dxa"/>
      </w:tblCellMar>
      <w:tblLook w:val="04A0" w:firstRow="1" w:lastRow="0" w:firstColumn="1" w:lastColumn="0" w:noHBand="0" w:noVBand="1"/>
    </w:tblPr>
    <w:tblGrid>
      <w:gridCol w:w="5532"/>
      <w:gridCol w:w="5533"/>
    </w:tblGrid>
    <w:tr w:rsidR="00D7294A" w:rsidRPr="00C76DF3" w14:paraId="19F96B7C" w14:textId="77777777" w:rsidTr="00B07097">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A7575F5" w14:textId="77777777" w:rsidR="00D7294A" w:rsidRDefault="00D7294A"/>
      </w:tc>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5C9D6E2" w14:textId="77777777" w:rsidR="00D7294A" w:rsidRDefault="00D7294A"/>
      </w:tc>
    </w:tr>
  </w:tbl>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D7294A" w:rsidRPr="00C76DF3" w14:paraId="36D6474C"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0DBCFC9" w14:textId="77777777" w:rsidR="00D7294A" w:rsidRPr="00C76DF3" w:rsidRDefault="00D7294A" w:rsidP="00591643">
          <w:pPr>
            <w:pStyle w:val="ProductList-OfferingBody"/>
            <w:ind w:left="-77" w:right="-73"/>
            <w:jc w:val="center"/>
            <w:rPr>
              <w:color w:val="808080" w:themeColor="background1" w:themeShade="80"/>
              <w:sz w:val="14"/>
              <w:szCs w:val="14"/>
            </w:rPr>
          </w:pPr>
          <w:hyperlink w:anchor="Съдържание" w:history="1">
            <w:r>
              <w:rPr>
                <w:rStyle w:val="Hyperlink"/>
                <w:sz w:val="14"/>
                <w:szCs w:val="14"/>
              </w:rPr>
              <w:t>Съдържание</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7BBF1A2C" w14:textId="77777777" w:rsidR="00D7294A" w:rsidRPr="00C76DF3" w:rsidRDefault="00D7294A" w:rsidP="00591643">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D5C071D" w14:textId="77777777" w:rsidR="00D7294A" w:rsidRPr="00C76DF3" w:rsidRDefault="00D7294A" w:rsidP="00591643">
          <w:pPr>
            <w:pStyle w:val="ProductList-OfferingBody"/>
            <w:ind w:left="-72" w:right="-74"/>
            <w:jc w:val="center"/>
            <w:rPr>
              <w:color w:val="808080" w:themeColor="background1" w:themeShade="80"/>
              <w:sz w:val="14"/>
              <w:szCs w:val="14"/>
            </w:rPr>
          </w:pPr>
          <w:hyperlink w:anchor="Въведение" w:history="1">
            <w:r>
              <w:rPr>
                <w:rStyle w:val="Hyperlink"/>
                <w:sz w:val="14"/>
                <w:szCs w:val="14"/>
              </w:rPr>
              <w:t>Въведение</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7E89CA8F" w14:textId="77777777" w:rsidR="00D7294A" w:rsidRPr="00C76DF3" w:rsidRDefault="00D7294A" w:rsidP="00591643">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72CC6DD" w14:textId="77777777" w:rsidR="00D7294A" w:rsidRPr="00C76DF3" w:rsidRDefault="00D7294A" w:rsidP="003812FE">
          <w:pPr>
            <w:pStyle w:val="ProductList-OfferingBody"/>
            <w:ind w:left="-72" w:right="-75"/>
            <w:jc w:val="center"/>
            <w:rPr>
              <w:color w:val="808080" w:themeColor="background1" w:themeShade="80"/>
              <w:sz w:val="14"/>
              <w:szCs w:val="14"/>
            </w:rPr>
          </w:pPr>
          <w:hyperlink w:anchor="Общи условия" w:history="1">
            <w:r>
              <w:rPr>
                <w:rStyle w:val="Hyperlink"/>
                <w:sz w:val="14"/>
                <w:szCs w:val="14"/>
              </w:rPr>
              <w:t>Общи условия</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5BD5C9F3" w14:textId="77777777" w:rsidR="00D7294A" w:rsidRPr="00C76DF3" w:rsidRDefault="00D7294A" w:rsidP="00591643">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3B15BED" w14:textId="77777777" w:rsidR="00D7294A" w:rsidRPr="00C76DF3" w:rsidRDefault="00D7294A" w:rsidP="00591643">
          <w:pPr>
            <w:pStyle w:val="ProductList-OfferingBody"/>
            <w:ind w:left="-72" w:right="-77"/>
            <w:jc w:val="center"/>
            <w:rPr>
              <w:color w:val="808080" w:themeColor="background1" w:themeShade="80"/>
              <w:sz w:val="14"/>
              <w:szCs w:val="14"/>
            </w:rPr>
          </w:pPr>
          <w:hyperlink w:anchor="Условия за поверителност и защита" w:history="1">
            <w:r>
              <w:rPr>
                <w:rStyle w:val="Hyperlink"/>
                <w:sz w:val="14"/>
                <w:szCs w:val="14"/>
              </w:rPr>
              <w:t>Условия за поверителност и защита</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620551C" w14:textId="77777777" w:rsidR="00D7294A" w:rsidRPr="00C76DF3" w:rsidRDefault="00D7294A"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116DEDFD" w14:textId="77777777" w:rsidR="00D7294A" w:rsidRPr="00C76DF3" w:rsidRDefault="00D7294A" w:rsidP="003812FE">
          <w:pPr>
            <w:pStyle w:val="ProductList-OfferingBody"/>
            <w:ind w:left="-72" w:right="-77"/>
            <w:jc w:val="center"/>
            <w:rPr>
              <w:color w:val="808080" w:themeColor="background1" w:themeShade="80"/>
              <w:sz w:val="14"/>
              <w:szCs w:val="14"/>
            </w:rPr>
          </w:pPr>
          <w:hyperlink w:anchor="OnlineServiceSpecificTerms" w:history="1">
            <w:r>
              <w:rPr>
                <w:rStyle w:val="Hyperlink"/>
                <w:sz w:val="14"/>
                <w:szCs w:val="14"/>
              </w:rPr>
              <w:t>Онлайн услуги – специфични условия</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414FBC15" w14:textId="77777777" w:rsidR="00D7294A" w:rsidRPr="00C76DF3" w:rsidRDefault="00D7294A"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AEF3BCF" w14:textId="77777777" w:rsidR="00D7294A" w:rsidRPr="00C76DF3" w:rsidRDefault="00D7294A" w:rsidP="003812FE">
          <w:pPr>
            <w:pStyle w:val="ProductList-OfferingBody"/>
            <w:ind w:left="-72" w:right="-76"/>
            <w:jc w:val="center"/>
            <w:rPr>
              <w:color w:val="808080" w:themeColor="background1" w:themeShade="80"/>
              <w:sz w:val="14"/>
              <w:szCs w:val="14"/>
            </w:rPr>
          </w:pPr>
          <w:hyperlink w:anchor="Приложение1" w:history="1">
            <w:r>
              <w:rPr>
                <w:rStyle w:val="Hyperlink"/>
                <w:sz w:val="14"/>
                <w:szCs w:val="14"/>
              </w:rPr>
              <w:t>Приложения</w:t>
            </w:r>
          </w:hyperlink>
        </w:p>
      </w:tc>
    </w:tr>
  </w:tbl>
  <w:p w14:paraId="5579F2F1" w14:textId="77777777" w:rsidR="00D7294A" w:rsidRPr="00591643" w:rsidRDefault="00D7294A">
    <w:pPr>
      <w:pStyle w:val="Footer"/>
      <w:rPr>
        <w:sz w:val="14"/>
        <w:szCs w:val="14"/>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D7294A" w:rsidRPr="00C76DF3" w14:paraId="7720A373" w14:textId="77777777" w:rsidTr="009776B9">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6BE5F8B" w14:textId="77777777" w:rsidR="00D7294A" w:rsidRPr="00C76DF3" w:rsidRDefault="00D7294A" w:rsidP="00B07097">
          <w:pPr>
            <w:pStyle w:val="ProductList-OfferingBody"/>
            <w:ind w:left="-77" w:right="-73"/>
            <w:jc w:val="center"/>
            <w:rPr>
              <w:color w:val="808080" w:themeColor="background1" w:themeShade="80"/>
              <w:sz w:val="14"/>
              <w:szCs w:val="14"/>
            </w:rPr>
          </w:pPr>
          <w:hyperlink w:anchor="Съдържание" w:history="1">
            <w:r>
              <w:rPr>
                <w:rStyle w:val="Hyperlink"/>
                <w:sz w:val="14"/>
                <w:szCs w:val="14"/>
              </w:rPr>
              <w:t>Съдържание</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006453A8" w14:textId="77777777" w:rsidR="00D7294A" w:rsidRPr="00C76DF3" w:rsidRDefault="00D7294A" w:rsidP="00B07097">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3EA06C2" w14:textId="77777777" w:rsidR="00D7294A" w:rsidRPr="00C76DF3" w:rsidRDefault="00D7294A" w:rsidP="00B07097">
          <w:pPr>
            <w:pStyle w:val="ProductList-OfferingBody"/>
            <w:ind w:left="-72" w:right="-74"/>
            <w:jc w:val="center"/>
            <w:rPr>
              <w:color w:val="808080" w:themeColor="background1" w:themeShade="80"/>
              <w:sz w:val="14"/>
              <w:szCs w:val="14"/>
            </w:rPr>
          </w:pPr>
          <w:hyperlink w:anchor="Въведение" w:history="1">
            <w:r>
              <w:rPr>
                <w:rStyle w:val="Hyperlink"/>
                <w:sz w:val="14"/>
                <w:szCs w:val="14"/>
              </w:rPr>
              <w:t>Въведение</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64121931" w14:textId="77777777" w:rsidR="00D7294A" w:rsidRPr="00C76DF3" w:rsidRDefault="00D7294A" w:rsidP="00B07097">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55D576D" w14:textId="77777777" w:rsidR="00D7294A" w:rsidRPr="00C76DF3" w:rsidRDefault="00D7294A" w:rsidP="00B07097">
          <w:pPr>
            <w:pStyle w:val="ProductList-OfferingBody"/>
            <w:ind w:left="-72" w:right="-75"/>
            <w:jc w:val="center"/>
            <w:rPr>
              <w:color w:val="808080" w:themeColor="background1" w:themeShade="80"/>
              <w:sz w:val="14"/>
              <w:szCs w:val="14"/>
            </w:rPr>
          </w:pPr>
          <w:hyperlink w:anchor="Общи условия" w:history="1">
            <w:r>
              <w:rPr>
                <w:rStyle w:val="Hyperlink"/>
                <w:sz w:val="14"/>
                <w:szCs w:val="14"/>
              </w:rPr>
              <w:t>Общи условия</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08EFB649" w14:textId="77777777" w:rsidR="00D7294A" w:rsidRPr="00C76DF3" w:rsidRDefault="00D7294A" w:rsidP="00B07097">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F30BF25" w14:textId="77777777" w:rsidR="00D7294A" w:rsidRPr="00C76DF3" w:rsidRDefault="00D7294A" w:rsidP="00B07097">
          <w:pPr>
            <w:pStyle w:val="ProductList-OfferingBody"/>
            <w:ind w:left="-72" w:right="-77"/>
            <w:jc w:val="center"/>
            <w:rPr>
              <w:color w:val="808080" w:themeColor="background1" w:themeShade="80"/>
              <w:sz w:val="14"/>
              <w:szCs w:val="14"/>
            </w:rPr>
          </w:pPr>
          <w:hyperlink w:anchor="Условия за поверителност и защита" w:history="1">
            <w:r>
              <w:rPr>
                <w:rStyle w:val="Hyperlink"/>
                <w:sz w:val="14"/>
                <w:szCs w:val="14"/>
              </w:rPr>
              <w:t>Условия за поверителност и защита</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C21EA39" w14:textId="77777777" w:rsidR="00D7294A" w:rsidRPr="00C76DF3" w:rsidRDefault="00D7294A" w:rsidP="00B07097">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7C23693D" w14:textId="77777777" w:rsidR="00D7294A" w:rsidRPr="00C76DF3" w:rsidRDefault="00D7294A" w:rsidP="00B07097">
          <w:pPr>
            <w:pStyle w:val="ProductList-OfferingBody"/>
            <w:ind w:left="-72" w:right="-77"/>
            <w:jc w:val="center"/>
            <w:rPr>
              <w:color w:val="808080" w:themeColor="background1" w:themeShade="80"/>
              <w:sz w:val="14"/>
              <w:szCs w:val="14"/>
            </w:rPr>
          </w:pPr>
          <w:hyperlink w:anchor="OnlineServiceSpecificTerms" w:history="1">
            <w:r>
              <w:rPr>
                <w:rStyle w:val="Hyperlink"/>
                <w:sz w:val="14"/>
                <w:szCs w:val="14"/>
              </w:rPr>
              <w:t>Онлайн услуги – специфични условия</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758955DF" w14:textId="77777777" w:rsidR="00D7294A" w:rsidRPr="00C76DF3" w:rsidRDefault="00D7294A" w:rsidP="00B07097">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0B05103" w14:textId="77777777" w:rsidR="00D7294A" w:rsidRPr="00C76DF3" w:rsidRDefault="00D7294A" w:rsidP="00B07097">
          <w:pPr>
            <w:pStyle w:val="ProductList-OfferingBody"/>
            <w:ind w:left="-72" w:right="-76"/>
            <w:jc w:val="center"/>
            <w:rPr>
              <w:color w:val="808080" w:themeColor="background1" w:themeShade="80"/>
              <w:sz w:val="14"/>
              <w:szCs w:val="14"/>
            </w:rPr>
          </w:pPr>
          <w:hyperlink w:anchor="Приложение1" w:history="1">
            <w:r>
              <w:rPr>
                <w:rStyle w:val="Hyperlink"/>
                <w:sz w:val="14"/>
                <w:szCs w:val="14"/>
              </w:rPr>
              <w:t>Приложения</w:t>
            </w:r>
          </w:hyperlink>
        </w:p>
      </w:tc>
    </w:tr>
  </w:tbl>
  <w:p w14:paraId="3A2B57EE" w14:textId="77777777" w:rsidR="00D7294A" w:rsidRPr="00591643" w:rsidRDefault="00D7294A" w:rsidP="003812FE">
    <w:pPr>
      <w:pStyle w:val="Footer"/>
      <w:rPr>
        <w:sz w:val="14"/>
        <w:szCs w:val="14"/>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D7294A" w:rsidRPr="00C76DF3" w14:paraId="08407C1F" w14:textId="77777777" w:rsidTr="00EC5DF4">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12E66001" w14:textId="0A50F3E1" w:rsidR="00D7294A" w:rsidRPr="00C76DF3" w:rsidRDefault="00D7294A" w:rsidP="00737FFD">
          <w:pPr>
            <w:pStyle w:val="ProductList-OfferingBody"/>
            <w:ind w:left="-77" w:right="-73"/>
            <w:jc w:val="center"/>
            <w:rPr>
              <w:color w:val="808080" w:themeColor="background1" w:themeShade="80"/>
              <w:sz w:val="14"/>
              <w:szCs w:val="14"/>
            </w:rPr>
          </w:pPr>
          <w:hyperlink w:anchor="Съдържание" w:history="1">
            <w:r>
              <w:rPr>
                <w:rStyle w:val="Hyperlink"/>
                <w:sz w:val="14"/>
                <w:szCs w:val="14"/>
              </w:rPr>
              <w:t>Съдържание</w:t>
            </w:r>
          </w:hyperlink>
        </w:p>
      </w:tc>
      <w:tc>
        <w:tcPr>
          <w:tcW w:w="213" w:type="dxa"/>
          <w:tcBorders>
            <w:top w:val="nil"/>
            <w:left w:val="single" w:sz="4" w:space="0" w:color="BFBFBF" w:themeColor="background1" w:themeShade="BF"/>
            <w:bottom w:val="nil"/>
            <w:right w:val="single" w:sz="4" w:space="0" w:color="BFBFBF" w:themeColor="background1" w:themeShade="BF"/>
          </w:tcBorders>
          <w:vAlign w:val="center"/>
        </w:tcPr>
        <w:p w14:paraId="2AFDCBD3" w14:textId="0B1F9EC2" w:rsidR="00D7294A" w:rsidRPr="00C76DF3" w:rsidRDefault="00D7294A" w:rsidP="00737FFD">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9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65811FBD" w14:textId="2009D8DA" w:rsidR="00D7294A" w:rsidRPr="00C76DF3" w:rsidRDefault="00D7294A" w:rsidP="00737FFD">
          <w:pPr>
            <w:pStyle w:val="ProductList-OfferingBody"/>
            <w:ind w:left="-72" w:right="-74"/>
            <w:jc w:val="center"/>
            <w:rPr>
              <w:color w:val="808080" w:themeColor="background1" w:themeShade="80"/>
              <w:sz w:val="14"/>
              <w:szCs w:val="14"/>
            </w:rPr>
          </w:pPr>
          <w:hyperlink w:anchor="Въведение" w:history="1">
            <w:r>
              <w:rPr>
                <w:rStyle w:val="Hyperlink"/>
                <w:sz w:val="14"/>
                <w:szCs w:val="14"/>
              </w:rPr>
              <w:t>Въведение</w:t>
            </w:r>
          </w:hyperlink>
        </w:p>
      </w:tc>
      <w:tc>
        <w:tcPr>
          <w:tcW w:w="214" w:type="dxa"/>
          <w:tcBorders>
            <w:top w:val="nil"/>
            <w:left w:val="single" w:sz="4" w:space="0" w:color="BFBFBF" w:themeColor="background1" w:themeShade="BF"/>
            <w:bottom w:val="nil"/>
            <w:right w:val="single" w:sz="4" w:space="0" w:color="BFBFBF" w:themeColor="background1" w:themeShade="BF"/>
          </w:tcBorders>
          <w:vAlign w:val="center"/>
        </w:tcPr>
        <w:p w14:paraId="25AB7772" w14:textId="4DE1B276" w:rsidR="00D7294A" w:rsidRPr="00C76DF3" w:rsidRDefault="00D7294A" w:rsidP="00737FFD">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9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3E120577" w14:textId="140244ED" w:rsidR="00D7294A" w:rsidRPr="00C76DF3" w:rsidRDefault="00D7294A" w:rsidP="00737FFD">
          <w:pPr>
            <w:pStyle w:val="ProductList-OfferingBody"/>
            <w:ind w:left="-72" w:right="-75"/>
            <w:jc w:val="center"/>
            <w:rPr>
              <w:color w:val="808080" w:themeColor="background1" w:themeShade="80"/>
              <w:sz w:val="14"/>
              <w:szCs w:val="14"/>
            </w:rPr>
          </w:pPr>
          <w:hyperlink w:anchor="GeneralTerms" w:history="1">
            <w:r>
              <w:rPr>
                <w:rStyle w:val="Hyperlink"/>
                <w:sz w:val="14"/>
                <w:szCs w:val="14"/>
              </w:rPr>
              <w:t>Общи условия</w:t>
            </w:r>
          </w:hyperlink>
        </w:p>
      </w:tc>
      <w:tc>
        <w:tcPr>
          <w:tcW w:w="215" w:type="dxa"/>
          <w:tcBorders>
            <w:top w:val="nil"/>
            <w:left w:val="single" w:sz="4" w:space="0" w:color="BFBFBF" w:themeColor="background1" w:themeShade="BF"/>
            <w:bottom w:val="nil"/>
            <w:right w:val="single" w:sz="4" w:space="0" w:color="BFBFBF" w:themeColor="background1" w:themeShade="BF"/>
          </w:tcBorders>
          <w:vAlign w:val="center"/>
        </w:tcPr>
        <w:p w14:paraId="546870C8" w14:textId="4381246B" w:rsidR="00D7294A" w:rsidRPr="00C76DF3" w:rsidRDefault="00D7294A" w:rsidP="00737FFD">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22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45BB9E98" w14:textId="70374C4A" w:rsidR="00D7294A" w:rsidRPr="00C76DF3" w:rsidRDefault="00D7294A" w:rsidP="00737FFD">
          <w:pPr>
            <w:pStyle w:val="ProductList-OfferingBody"/>
            <w:ind w:left="-72" w:right="-77"/>
            <w:jc w:val="center"/>
            <w:rPr>
              <w:color w:val="808080" w:themeColor="background1" w:themeShade="80"/>
              <w:sz w:val="14"/>
              <w:szCs w:val="14"/>
            </w:rPr>
          </w:pPr>
          <w:hyperlink w:anchor="DatProtectionTerms" w:history="1">
            <w:r>
              <w:rPr>
                <w:rStyle w:val="Hyperlink"/>
                <w:sz w:val="14"/>
                <w:szCs w:val="14"/>
              </w:rPr>
              <w:t>Условия за защита на данните</w:t>
            </w:r>
          </w:hyperlink>
        </w:p>
      </w:tc>
      <w:tc>
        <w:tcPr>
          <w:tcW w:w="218" w:type="dxa"/>
          <w:tcBorders>
            <w:top w:val="nil"/>
            <w:left w:val="single" w:sz="4" w:space="0" w:color="BFBFBF" w:themeColor="background1" w:themeShade="BF"/>
            <w:bottom w:val="nil"/>
            <w:right w:val="single" w:sz="4" w:space="0" w:color="BFBFBF" w:themeColor="background1" w:themeShade="BF"/>
          </w:tcBorders>
          <w:vAlign w:val="center"/>
        </w:tcPr>
        <w:p w14:paraId="49C00350" w14:textId="26E9B9F3" w:rsidR="00D7294A" w:rsidRPr="00C76DF3" w:rsidRDefault="00D7294A" w:rsidP="00737FFD">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664BE296" w14:textId="6CECF3AA" w:rsidR="00D7294A" w:rsidRPr="00C76DF3" w:rsidRDefault="00D7294A" w:rsidP="00737FFD">
          <w:pPr>
            <w:pStyle w:val="ProductList-OfferingBody"/>
            <w:ind w:left="-72" w:right="-76"/>
            <w:jc w:val="center"/>
            <w:rPr>
              <w:color w:val="808080" w:themeColor="background1" w:themeShade="80"/>
              <w:sz w:val="14"/>
              <w:szCs w:val="14"/>
            </w:rPr>
          </w:pPr>
          <w:hyperlink w:anchor="Attachment1" w:history="1">
            <w:r>
              <w:rPr>
                <w:rStyle w:val="Hyperlink"/>
                <w:sz w:val="14"/>
                <w:szCs w:val="14"/>
              </w:rPr>
              <w:t>Приложение</w:t>
            </w:r>
          </w:hyperlink>
        </w:p>
      </w:tc>
    </w:tr>
  </w:tbl>
  <w:p w14:paraId="2CE66CC2" w14:textId="77777777" w:rsidR="00D7294A" w:rsidRPr="0074788A" w:rsidRDefault="00D7294A" w:rsidP="00D70BF6">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D7294A" w:rsidRPr="00C76DF3" w14:paraId="468B245F" w14:textId="77777777" w:rsidTr="00EC5DF4">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72867ABE" w14:textId="7D6FD885" w:rsidR="00D7294A" w:rsidRPr="00C76DF3" w:rsidRDefault="00D7294A" w:rsidP="00737FFD">
          <w:pPr>
            <w:pStyle w:val="ProductList-OfferingBody"/>
            <w:ind w:left="-77" w:right="-73"/>
            <w:jc w:val="center"/>
            <w:rPr>
              <w:color w:val="808080" w:themeColor="background1" w:themeShade="80"/>
              <w:sz w:val="14"/>
              <w:szCs w:val="14"/>
            </w:rPr>
          </w:pPr>
          <w:hyperlink w:anchor="Съдържание" w:history="1">
            <w:r>
              <w:rPr>
                <w:rStyle w:val="Hyperlink"/>
                <w:sz w:val="14"/>
                <w:szCs w:val="14"/>
              </w:rPr>
              <w:t>Съдържание</w:t>
            </w:r>
          </w:hyperlink>
        </w:p>
      </w:tc>
      <w:tc>
        <w:tcPr>
          <w:tcW w:w="213" w:type="dxa"/>
          <w:tcBorders>
            <w:top w:val="nil"/>
            <w:left w:val="single" w:sz="4" w:space="0" w:color="BFBFBF" w:themeColor="background1" w:themeShade="BF"/>
            <w:bottom w:val="nil"/>
            <w:right w:val="single" w:sz="4" w:space="0" w:color="BFBFBF" w:themeColor="background1" w:themeShade="BF"/>
          </w:tcBorders>
          <w:vAlign w:val="center"/>
        </w:tcPr>
        <w:p w14:paraId="2C1FB413" w14:textId="116EA596" w:rsidR="00D7294A" w:rsidRPr="00C76DF3" w:rsidRDefault="00D7294A" w:rsidP="00737FFD">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9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574C09B4" w14:textId="2A608161" w:rsidR="00D7294A" w:rsidRPr="00C76DF3" w:rsidRDefault="00D7294A" w:rsidP="00737FFD">
          <w:pPr>
            <w:pStyle w:val="ProductList-OfferingBody"/>
            <w:ind w:left="-72" w:right="-74"/>
            <w:jc w:val="center"/>
            <w:rPr>
              <w:color w:val="808080" w:themeColor="background1" w:themeShade="80"/>
              <w:sz w:val="14"/>
              <w:szCs w:val="14"/>
            </w:rPr>
          </w:pPr>
          <w:hyperlink w:anchor="Въведение" w:history="1">
            <w:r>
              <w:rPr>
                <w:rStyle w:val="Hyperlink"/>
                <w:sz w:val="14"/>
                <w:szCs w:val="14"/>
              </w:rPr>
              <w:t>Въведение</w:t>
            </w:r>
          </w:hyperlink>
        </w:p>
      </w:tc>
      <w:tc>
        <w:tcPr>
          <w:tcW w:w="214" w:type="dxa"/>
          <w:tcBorders>
            <w:top w:val="nil"/>
            <w:left w:val="single" w:sz="4" w:space="0" w:color="BFBFBF" w:themeColor="background1" w:themeShade="BF"/>
            <w:bottom w:val="nil"/>
            <w:right w:val="single" w:sz="4" w:space="0" w:color="BFBFBF" w:themeColor="background1" w:themeShade="BF"/>
          </w:tcBorders>
          <w:vAlign w:val="center"/>
        </w:tcPr>
        <w:p w14:paraId="1B1D1F33" w14:textId="46CB870D" w:rsidR="00D7294A" w:rsidRPr="00C76DF3" w:rsidRDefault="00D7294A" w:rsidP="00737FFD">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9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4742B514" w14:textId="35508952" w:rsidR="00D7294A" w:rsidRPr="00C76DF3" w:rsidRDefault="00D7294A" w:rsidP="00737FFD">
          <w:pPr>
            <w:pStyle w:val="ProductList-OfferingBody"/>
            <w:ind w:left="-72" w:right="-75"/>
            <w:jc w:val="center"/>
            <w:rPr>
              <w:color w:val="808080" w:themeColor="background1" w:themeShade="80"/>
              <w:sz w:val="14"/>
              <w:szCs w:val="14"/>
            </w:rPr>
          </w:pPr>
          <w:hyperlink w:anchor="GeneralTerms" w:history="1">
            <w:r>
              <w:rPr>
                <w:rStyle w:val="Hyperlink"/>
                <w:sz w:val="14"/>
                <w:szCs w:val="14"/>
              </w:rPr>
              <w:t>Общи условия</w:t>
            </w:r>
          </w:hyperlink>
        </w:p>
      </w:tc>
      <w:tc>
        <w:tcPr>
          <w:tcW w:w="215" w:type="dxa"/>
          <w:tcBorders>
            <w:top w:val="nil"/>
            <w:left w:val="single" w:sz="4" w:space="0" w:color="BFBFBF" w:themeColor="background1" w:themeShade="BF"/>
            <w:bottom w:val="nil"/>
            <w:right w:val="single" w:sz="4" w:space="0" w:color="BFBFBF" w:themeColor="background1" w:themeShade="BF"/>
          </w:tcBorders>
          <w:vAlign w:val="center"/>
        </w:tcPr>
        <w:p w14:paraId="65299A07" w14:textId="32FF4685" w:rsidR="00D7294A" w:rsidRPr="00C76DF3" w:rsidRDefault="00D7294A" w:rsidP="00737FFD">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22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0806EF9D" w14:textId="0DD5F912" w:rsidR="00D7294A" w:rsidRPr="00C76DF3" w:rsidRDefault="00D7294A" w:rsidP="00737FFD">
          <w:pPr>
            <w:pStyle w:val="ProductList-OfferingBody"/>
            <w:ind w:left="-72" w:right="-77"/>
            <w:jc w:val="center"/>
            <w:rPr>
              <w:color w:val="808080" w:themeColor="background1" w:themeShade="80"/>
              <w:sz w:val="14"/>
              <w:szCs w:val="14"/>
            </w:rPr>
          </w:pPr>
          <w:hyperlink w:anchor="DatProtectionTerms" w:history="1">
            <w:r>
              <w:rPr>
                <w:rStyle w:val="Hyperlink"/>
                <w:sz w:val="14"/>
                <w:szCs w:val="14"/>
              </w:rPr>
              <w:t>Условия за защита на данните</w:t>
            </w:r>
          </w:hyperlink>
        </w:p>
      </w:tc>
      <w:tc>
        <w:tcPr>
          <w:tcW w:w="218" w:type="dxa"/>
          <w:tcBorders>
            <w:top w:val="nil"/>
            <w:left w:val="single" w:sz="4" w:space="0" w:color="BFBFBF" w:themeColor="background1" w:themeShade="BF"/>
            <w:bottom w:val="nil"/>
            <w:right w:val="single" w:sz="4" w:space="0" w:color="BFBFBF" w:themeColor="background1" w:themeShade="BF"/>
          </w:tcBorders>
          <w:vAlign w:val="center"/>
        </w:tcPr>
        <w:p w14:paraId="0D231130" w14:textId="55B03959" w:rsidR="00D7294A" w:rsidRPr="00C76DF3" w:rsidRDefault="00D7294A" w:rsidP="00737FFD">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155705ED" w14:textId="412283E5" w:rsidR="00D7294A" w:rsidRPr="00C76DF3" w:rsidRDefault="00D7294A" w:rsidP="00737FFD">
          <w:pPr>
            <w:pStyle w:val="ProductList-OfferingBody"/>
            <w:ind w:left="-72" w:right="-76"/>
            <w:jc w:val="center"/>
            <w:rPr>
              <w:color w:val="808080" w:themeColor="background1" w:themeShade="80"/>
              <w:sz w:val="14"/>
              <w:szCs w:val="14"/>
            </w:rPr>
          </w:pPr>
          <w:hyperlink w:anchor="Attachment1" w:history="1">
            <w:r>
              <w:rPr>
                <w:rStyle w:val="Hyperlink"/>
                <w:sz w:val="14"/>
                <w:szCs w:val="14"/>
              </w:rPr>
              <w:t>Приложение</w:t>
            </w:r>
          </w:hyperlink>
        </w:p>
      </w:tc>
    </w:tr>
  </w:tbl>
  <w:p w14:paraId="62FF3118" w14:textId="77777777" w:rsidR="00D7294A" w:rsidRPr="00A01ED2" w:rsidRDefault="00D7294A" w:rsidP="00D70B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0E48B" w14:textId="77777777" w:rsidR="00D7294A" w:rsidRPr="00591643" w:rsidRDefault="00D7294A">
    <w:pPr>
      <w:pStyle w:val="Footer"/>
      <w:rPr>
        <w:sz w:val="14"/>
        <w:szCs w:val="14"/>
      </w:rPr>
    </w:pPr>
    <w:r>
      <w:rPr>
        <w:noProof/>
        <w:lang w:val="en-US" w:eastAsia="zh-CN" w:bidi="ar-SA"/>
      </w:rPr>
      <w:drawing>
        <wp:inline distT="0" distB="0" distL="0" distR="0" wp14:anchorId="7C76CC96" wp14:editId="74938575">
          <wp:extent cx="1993692" cy="4572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oft logo.png"/>
                  <pic:cNvPicPr/>
                </pic:nvPicPr>
                <pic:blipFill>
                  <a:blip r:embed="rId1">
                    <a:extLst>
                      <a:ext uri="{28A0092B-C50C-407E-A947-70E740481C1C}">
                        <a14:useLocalDpi xmlns:a14="http://schemas.microsoft.com/office/drawing/2010/main" val="0"/>
                      </a:ext>
                    </a:extLst>
                  </a:blip>
                  <a:stretch>
                    <a:fillRect/>
                  </a:stretch>
                </pic:blipFill>
                <pic:spPr>
                  <a:xfrm>
                    <a:off x="0" y="0"/>
                    <a:ext cx="2155375" cy="49427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D7294A" w:rsidRPr="00C76DF3" w14:paraId="0D7CB253" w14:textId="77777777" w:rsidTr="00E31463">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3CCB4D57" w14:textId="436907BF" w:rsidR="00D7294A" w:rsidRPr="00C76DF3" w:rsidRDefault="00D7294A" w:rsidP="00E31463">
          <w:pPr>
            <w:pStyle w:val="ProductList-OfferingBody"/>
            <w:ind w:left="-77" w:right="-73"/>
            <w:jc w:val="center"/>
            <w:rPr>
              <w:color w:val="808080" w:themeColor="background1" w:themeShade="80"/>
              <w:sz w:val="14"/>
              <w:szCs w:val="14"/>
            </w:rPr>
          </w:pPr>
          <w:hyperlink w:anchor="Съдържание" w:history="1">
            <w:r>
              <w:rPr>
                <w:rStyle w:val="Hyperlink"/>
                <w:sz w:val="14"/>
                <w:szCs w:val="14"/>
              </w:rPr>
              <w:t>Съдържание</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5E62DC5E" w14:textId="77777777" w:rsidR="00D7294A" w:rsidRPr="00C76DF3" w:rsidRDefault="00D7294A" w:rsidP="00E31463">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1ACF338" w14:textId="143FE9F7" w:rsidR="00D7294A" w:rsidRPr="00C76DF3" w:rsidRDefault="00D7294A" w:rsidP="00E31463">
          <w:pPr>
            <w:pStyle w:val="ProductList-OfferingBody"/>
            <w:ind w:left="-72" w:right="-74"/>
            <w:jc w:val="center"/>
            <w:rPr>
              <w:color w:val="808080" w:themeColor="background1" w:themeShade="80"/>
              <w:sz w:val="14"/>
              <w:szCs w:val="14"/>
            </w:rPr>
          </w:pPr>
          <w:hyperlink w:anchor="Въведение" w:history="1">
            <w:r>
              <w:rPr>
                <w:rStyle w:val="Hyperlink"/>
                <w:sz w:val="14"/>
                <w:szCs w:val="14"/>
              </w:rPr>
              <w:t>Въведение</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32FB627E" w14:textId="77777777" w:rsidR="00D7294A" w:rsidRPr="00C76DF3" w:rsidRDefault="00D7294A" w:rsidP="00E31463">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0FE499F" w14:textId="345DF574" w:rsidR="00D7294A" w:rsidRPr="00C76DF3" w:rsidRDefault="00D7294A" w:rsidP="00E31463">
          <w:pPr>
            <w:pStyle w:val="ProductList-OfferingBody"/>
            <w:ind w:left="-72" w:right="-75"/>
            <w:jc w:val="center"/>
            <w:rPr>
              <w:color w:val="808080" w:themeColor="background1" w:themeShade="80"/>
              <w:sz w:val="14"/>
              <w:szCs w:val="14"/>
            </w:rPr>
          </w:pPr>
          <w:hyperlink w:anchor="GeneralTerms" w:history="1">
            <w:r>
              <w:rPr>
                <w:rStyle w:val="Hyperlink"/>
                <w:sz w:val="14"/>
                <w:szCs w:val="14"/>
              </w:rPr>
              <w:t>Общи условия</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665B4E66" w14:textId="77777777" w:rsidR="00D7294A" w:rsidRPr="00C76DF3" w:rsidRDefault="00D7294A" w:rsidP="00E31463">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7DB7FA3" w14:textId="34E5C967" w:rsidR="00D7294A" w:rsidRPr="00C76DF3" w:rsidRDefault="00D7294A" w:rsidP="00E31463">
          <w:pPr>
            <w:pStyle w:val="ProductList-OfferingBody"/>
            <w:ind w:left="-72" w:right="-77"/>
            <w:jc w:val="center"/>
            <w:rPr>
              <w:color w:val="808080" w:themeColor="background1" w:themeShade="80"/>
              <w:sz w:val="14"/>
              <w:szCs w:val="14"/>
            </w:rPr>
          </w:pPr>
          <w:hyperlink w:anchor="DatProtectionTerms" w:history="1">
            <w:r>
              <w:rPr>
                <w:rStyle w:val="Hyperlink"/>
                <w:sz w:val="14"/>
                <w:szCs w:val="14"/>
              </w:rPr>
              <w:t>Условия за защита на данните</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1ABC6F3A" w14:textId="77777777" w:rsidR="00D7294A" w:rsidRPr="00C76DF3" w:rsidRDefault="00D7294A" w:rsidP="00E3146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A03C3D6" w14:textId="67AA354E" w:rsidR="00D7294A" w:rsidRPr="00C76DF3" w:rsidRDefault="00D7294A" w:rsidP="00E31463">
          <w:pPr>
            <w:pStyle w:val="ProductList-OfferingBody"/>
            <w:ind w:left="-72" w:right="-76"/>
            <w:jc w:val="center"/>
            <w:rPr>
              <w:color w:val="808080" w:themeColor="background1" w:themeShade="80"/>
              <w:sz w:val="14"/>
              <w:szCs w:val="14"/>
            </w:rPr>
          </w:pPr>
          <w:hyperlink w:anchor="Attachment1" w:history="1">
            <w:r>
              <w:rPr>
                <w:rStyle w:val="Hyperlink"/>
                <w:sz w:val="14"/>
                <w:szCs w:val="14"/>
              </w:rPr>
              <w:t>Приложение</w:t>
            </w:r>
          </w:hyperlink>
        </w:p>
      </w:tc>
    </w:tr>
  </w:tbl>
  <w:p w14:paraId="03D1DBDE" w14:textId="77777777" w:rsidR="00D7294A" w:rsidRPr="0074788A" w:rsidRDefault="00D7294A" w:rsidP="00E3146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D7294A" w:rsidRPr="00C76DF3" w14:paraId="35B813B4"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2416802F" w14:textId="77777777" w:rsidR="00D7294A" w:rsidRPr="00C76DF3" w:rsidRDefault="00D7294A" w:rsidP="00591643">
          <w:pPr>
            <w:pStyle w:val="ProductList-OfferingBody"/>
            <w:ind w:left="-77" w:right="-73"/>
            <w:jc w:val="center"/>
            <w:rPr>
              <w:color w:val="808080" w:themeColor="background1" w:themeShade="80"/>
              <w:sz w:val="14"/>
              <w:szCs w:val="14"/>
            </w:rPr>
          </w:pPr>
          <w:hyperlink w:anchor="Съдържание" w:history="1">
            <w:r>
              <w:rPr>
                <w:rStyle w:val="Hyperlink"/>
                <w:sz w:val="14"/>
                <w:szCs w:val="14"/>
              </w:rPr>
              <w:t>Съдържание</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0E405D6C" w14:textId="77777777" w:rsidR="00D7294A" w:rsidRPr="00C76DF3" w:rsidRDefault="00D7294A" w:rsidP="00591643">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64CC39C" w14:textId="77777777" w:rsidR="00D7294A" w:rsidRPr="00C76DF3" w:rsidRDefault="00D7294A" w:rsidP="00591643">
          <w:pPr>
            <w:pStyle w:val="ProductList-OfferingBody"/>
            <w:ind w:left="-72" w:right="-74"/>
            <w:jc w:val="center"/>
            <w:rPr>
              <w:color w:val="808080" w:themeColor="background1" w:themeShade="80"/>
              <w:sz w:val="14"/>
              <w:szCs w:val="14"/>
            </w:rPr>
          </w:pPr>
          <w:hyperlink w:anchor="Въведение" w:history="1">
            <w:r>
              <w:rPr>
                <w:rStyle w:val="Hyperlink"/>
                <w:sz w:val="14"/>
                <w:szCs w:val="14"/>
              </w:rPr>
              <w:t>Въведение</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59F92D88" w14:textId="77777777" w:rsidR="00D7294A" w:rsidRPr="00C76DF3" w:rsidRDefault="00D7294A" w:rsidP="00591643">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754AFE5" w14:textId="77777777" w:rsidR="00D7294A" w:rsidRPr="00C76DF3" w:rsidRDefault="00D7294A" w:rsidP="003812FE">
          <w:pPr>
            <w:pStyle w:val="ProductList-OfferingBody"/>
            <w:ind w:left="-72" w:right="-75"/>
            <w:jc w:val="center"/>
            <w:rPr>
              <w:color w:val="808080" w:themeColor="background1" w:themeShade="80"/>
              <w:sz w:val="14"/>
              <w:szCs w:val="14"/>
            </w:rPr>
          </w:pPr>
          <w:hyperlink w:anchor="Общи условия" w:history="1">
            <w:r>
              <w:rPr>
                <w:rStyle w:val="Hyperlink"/>
                <w:sz w:val="14"/>
                <w:szCs w:val="14"/>
              </w:rPr>
              <w:t>Общи условия</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16ECB6D7" w14:textId="77777777" w:rsidR="00D7294A" w:rsidRPr="00C76DF3" w:rsidRDefault="00D7294A" w:rsidP="00591643">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22F16FF" w14:textId="77777777" w:rsidR="00D7294A" w:rsidRPr="00C76DF3" w:rsidRDefault="00D7294A" w:rsidP="00591643">
          <w:pPr>
            <w:pStyle w:val="ProductList-OfferingBody"/>
            <w:ind w:left="-72" w:right="-77"/>
            <w:jc w:val="center"/>
            <w:rPr>
              <w:color w:val="808080" w:themeColor="background1" w:themeShade="80"/>
              <w:sz w:val="14"/>
              <w:szCs w:val="14"/>
            </w:rPr>
          </w:pPr>
          <w:hyperlink w:anchor="Условия за поверителност и защита" w:history="1">
            <w:r>
              <w:rPr>
                <w:rStyle w:val="Hyperlink"/>
                <w:sz w:val="14"/>
                <w:szCs w:val="14"/>
              </w:rPr>
              <w:t>Условия за поверителност и защита</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391F3A7" w14:textId="77777777" w:rsidR="00D7294A" w:rsidRPr="00C76DF3" w:rsidRDefault="00D7294A"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13D1E4C" w14:textId="141CA83C" w:rsidR="00D7294A" w:rsidRPr="00C76DF3" w:rsidRDefault="00D7294A" w:rsidP="003812FE">
          <w:pPr>
            <w:pStyle w:val="ProductList-OfferingBody"/>
            <w:ind w:left="-72" w:right="-77"/>
            <w:jc w:val="center"/>
            <w:rPr>
              <w:color w:val="808080" w:themeColor="background1" w:themeShade="80"/>
              <w:sz w:val="14"/>
              <w:szCs w:val="14"/>
            </w:rPr>
          </w:pPr>
          <w:hyperlink w:anchor="OnlineServiceSpecificTerms" w:history="1">
            <w:r>
              <w:rPr>
                <w:rStyle w:val="Hyperlink"/>
                <w:sz w:val="14"/>
                <w:szCs w:val="14"/>
              </w:rPr>
              <w:t>Онлайн услуги – специфични условия</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20BFE7CF" w14:textId="77777777" w:rsidR="00D7294A" w:rsidRPr="00C76DF3" w:rsidRDefault="00D7294A"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D2CAB64" w14:textId="77777777" w:rsidR="00D7294A" w:rsidRPr="00C76DF3" w:rsidRDefault="00D7294A" w:rsidP="003812FE">
          <w:pPr>
            <w:pStyle w:val="ProductList-OfferingBody"/>
            <w:ind w:left="-72" w:right="-76"/>
            <w:jc w:val="center"/>
            <w:rPr>
              <w:color w:val="808080" w:themeColor="background1" w:themeShade="80"/>
              <w:sz w:val="14"/>
              <w:szCs w:val="14"/>
            </w:rPr>
          </w:pPr>
          <w:hyperlink w:anchor="Приложение1" w:history="1">
            <w:r>
              <w:rPr>
                <w:rStyle w:val="Hyperlink"/>
                <w:sz w:val="14"/>
                <w:szCs w:val="14"/>
              </w:rPr>
              <w:t>Приложения</w:t>
            </w:r>
          </w:hyperlink>
        </w:p>
      </w:tc>
    </w:tr>
  </w:tbl>
  <w:p w14:paraId="71D89FB4" w14:textId="77777777" w:rsidR="00D7294A" w:rsidRPr="00591643" w:rsidRDefault="00D7294A">
    <w:pPr>
      <w:pStyle w:val="Footer"/>
      <w:rPr>
        <w:sz w:val="14"/>
        <w:szCs w:val="1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D7294A" w:rsidRPr="00C76DF3" w14:paraId="07CCB757" w14:textId="77777777" w:rsidTr="00EC5DF4">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0676AE7B" w14:textId="44C69703" w:rsidR="00D7294A" w:rsidRPr="00C76DF3" w:rsidRDefault="00D7294A" w:rsidP="00737FFD">
          <w:pPr>
            <w:pStyle w:val="ProductList-OfferingBody"/>
            <w:ind w:left="-77" w:right="-73"/>
            <w:jc w:val="center"/>
            <w:rPr>
              <w:color w:val="808080" w:themeColor="background1" w:themeShade="80"/>
              <w:sz w:val="14"/>
              <w:szCs w:val="14"/>
            </w:rPr>
          </w:pPr>
          <w:hyperlink w:anchor="Съдържание" w:history="1">
            <w:r>
              <w:rPr>
                <w:rStyle w:val="Hyperlink"/>
                <w:sz w:val="14"/>
                <w:szCs w:val="14"/>
              </w:rPr>
              <w:t>Съдържание</w:t>
            </w:r>
          </w:hyperlink>
        </w:p>
      </w:tc>
      <w:tc>
        <w:tcPr>
          <w:tcW w:w="213" w:type="dxa"/>
          <w:tcBorders>
            <w:top w:val="nil"/>
            <w:left w:val="single" w:sz="4" w:space="0" w:color="BFBFBF" w:themeColor="background1" w:themeShade="BF"/>
            <w:bottom w:val="nil"/>
            <w:right w:val="single" w:sz="4" w:space="0" w:color="BFBFBF" w:themeColor="background1" w:themeShade="BF"/>
          </w:tcBorders>
          <w:vAlign w:val="center"/>
        </w:tcPr>
        <w:p w14:paraId="12105611" w14:textId="2EF9A408" w:rsidR="00D7294A" w:rsidRPr="00C76DF3" w:rsidRDefault="00D7294A" w:rsidP="00737FFD">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9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17C27231" w14:textId="0DBD781E" w:rsidR="00D7294A" w:rsidRPr="00C76DF3" w:rsidRDefault="00D7294A" w:rsidP="00737FFD">
          <w:pPr>
            <w:pStyle w:val="ProductList-OfferingBody"/>
            <w:ind w:left="-72" w:right="-74"/>
            <w:jc w:val="center"/>
            <w:rPr>
              <w:color w:val="808080" w:themeColor="background1" w:themeShade="80"/>
              <w:sz w:val="14"/>
              <w:szCs w:val="14"/>
            </w:rPr>
          </w:pPr>
          <w:hyperlink w:anchor="Въведение" w:history="1">
            <w:r>
              <w:rPr>
                <w:rStyle w:val="Hyperlink"/>
                <w:sz w:val="14"/>
                <w:szCs w:val="14"/>
              </w:rPr>
              <w:t>Въведение</w:t>
            </w:r>
          </w:hyperlink>
        </w:p>
      </w:tc>
      <w:tc>
        <w:tcPr>
          <w:tcW w:w="214" w:type="dxa"/>
          <w:tcBorders>
            <w:top w:val="nil"/>
            <w:left w:val="single" w:sz="4" w:space="0" w:color="BFBFBF" w:themeColor="background1" w:themeShade="BF"/>
            <w:bottom w:val="nil"/>
            <w:right w:val="single" w:sz="4" w:space="0" w:color="BFBFBF" w:themeColor="background1" w:themeShade="BF"/>
          </w:tcBorders>
          <w:vAlign w:val="center"/>
        </w:tcPr>
        <w:p w14:paraId="19A37521" w14:textId="3399FA19" w:rsidR="00D7294A" w:rsidRPr="00C76DF3" w:rsidRDefault="00D7294A" w:rsidP="00737FFD">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9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ED136BA" w14:textId="1A8A1C16" w:rsidR="00D7294A" w:rsidRPr="00C76DF3" w:rsidRDefault="00D7294A" w:rsidP="00737FFD">
          <w:pPr>
            <w:pStyle w:val="ProductList-OfferingBody"/>
            <w:ind w:left="-72" w:right="-75"/>
            <w:jc w:val="center"/>
            <w:rPr>
              <w:color w:val="808080" w:themeColor="background1" w:themeShade="80"/>
              <w:sz w:val="14"/>
              <w:szCs w:val="14"/>
            </w:rPr>
          </w:pPr>
          <w:hyperlink w:anchor="GeneralTerms" w:history="1">
            <w:r>
              <w:rPr>
                <w:rStyle w:val="Hyperlink"/>
                <w:sz w:val="14"/>
                <w:szCs w:val="14"/>
              </w:rPr>
              <w:t>Общи условия</w:t>
            </w:r>
          </w:hyperlink>
        </w:p>
      </w:tc>
      <w:tc>
        <w:tcPr>
          <w:tcW w:w="215" w:type="dxa"/>
          <w:tcBorders>
            <w:top w:val="nil"/>
            <w:left w:val="single" w:sz="4" w:space="0" w:color="BFBFBF" w:themeColor="background1" w:themeShade="BF"/>
            <w:bottom w:val="nil"/>
            <w:right w:val="single" w:sz="4" w:space="0" w:color="BFBFBF" w:themeColor="background1" w:themeShade="BF"/>
          </w:tcBorders>
          <w:vAlign w:val="center"/>
        </w:tcPr>
        <w:p w14:paraId="2B2D38D7" w14:textId="03684F4D" w:rsidR="00D7294A" w:rsidRPr="00C76DF3" w:rsidRDefault="00D7294A" w:rsidP="00737FFD">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22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0EA5D96" w14:textId="2BC6025D" w:rsidR="00D7294A" w:rsidRPr="00C76DF3" w:rsidRDefault="00D7294A" w:rsidP="00737FFD">
          <w:pPr>
            <w:pStyle w:val="ProductList-OfferingBody"/>
            <w:ind w:left="-72" w:right="-77"/>
            <w:jc w:val="center"/>
            <w:rPr>
              <w:color w:val="808080" w:themeColor="background1" w:themeShade="80"/>
              <w:sz w:val="14"/>
              <w:szCs w:val="14"/>
            </w:rPr>
          </w:pPr>
          <w:hyperlink w:anchor="DatProtectionTerms" w:history="1">
            <w:r>
              <w:rPr>
                <w:rStyle w:val="Hyperlink"/>
                <w:sz w:val="14"/>
                <w:szCs w:val="14"/>
              </w:rPr>
              <w:t>Условия за защита на данните</w:t>
            </w:r>
          </w:hyperlink>
        </w:p>
      </w:tc>
      <w:tc>
        <w:tcPr>
          <w:tcW w:w="218" w:type="dxa"/>
          <w:tcBorders>
            <w:top w:val="nil"/>
            <w:left w:val="single" w:sz="4" w:space="0" w:color="BFBFBF" w:themeColor="background1" w:themeShade="BF"/>
            <w:bottom w:val="nil"/>
            <w:right w:val="single" w:sz="4" w:space="0" w:color="BFBFBF" w:themeColor="background1" w:themeShade="BF"/>
          </w:tcBorders>
          <w:vAlign w:val="center"/>
        </w:tcPr>
        <w:p w14:paraId="3A14EFED" w14:textId="7A0EDE23" w:rsidR="00D7294A" w:rsidRPr="00C76DF3" w:rsidRDefault="00D7294A" w:rsidP="00737FFD">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04525EC" w14:textId="1849151A" w:rsidR="00D7294A" w:rsidRPr="00C76DF3" w:rsidRDefault="00D7294A" w:rsidP="00737FFD">
          <w:pPr>
            <w:pStyle w:val="ProductList-OfferingBody"/>
            <w:ind w:left="-72" w:right="-76"/>
            <w:jc w:val="center"/>
            <w:rPr>
              <w:color w:val="808080" w:themeColor="background1" w:themeShade="80"/>
              <w:sz w:val="14"/>
              <w:szCs w:val="14"/>
            </w:rPr>
          </w:pPr>
          <w:hyperlink w:anchor="Attachment1" w:history="1">
            <w:r>
              <w:rPr>
                <w:rStyle w:val="Hyperlink"/>
                <w:sz w:val="14"/>
                <w:szCs w:val="14"/>
              </w:rPr>
              <w:t>Приложение</w:t>
            </w:r>
          </w:hyperlink>
        </w:p>
      </w:tc>
    </w:tr>
  </w:tbl>
  <w:p w14:paraId="53A22799" w14:textId="77777777" w:rsidR="00D7294A" w:rsidRPr="0074788A" w:rsidRDefault="00D7294A" w:rsidP="00E3146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D7294A" w:rsidRPr="00C76DF3" w14:paraId="461D6610" w14:textId="77777777" w:rsidTr="00105CE6">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0CD4841" w14:textId="77777777" w:rsidR="00D7294A" w:rsidRPr="00C76DF3" w:rsidRDefault="00D7294A" w:rsidP="00105CE6">
          <w:pPr>
            <w:pStyle w:val="ProductList-OfferingBody"/>
            <w:ind w:left="-77" w:right="-73"/>
            <w:jc w:val="center"/>
            <w:rPr>
              <w:color w:val="808080" w:themeColor="background1" w:themeShade="80"/>
              <w:sz w:val="14"/>
              <w:szCs w:val="14"/>
            </w:rPr>
          </w:pPr>
          <w:hyperlink w:anchor="Съдържание" w:history="1">
            <w:r>
              <w:rPr>
                <w:rStyle w:val="Hyperlink"/>
                <w:sz w:val="14"/>
                <w:szCs w:val="14"/>
              </w:rPr>
              <w:t>Съдържание</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4E59A5FA" w14:textId="77777777" w:rsidR="00D7294A" w:rsidRPr="00C76DF3" w:rsidRDefault="00D7294A" w:rsidP="00105CE6">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04142C8" w14:textId="77777777" w:rsidR="00D7294A" w:rsidRPr="00C76DF3" w:rsidRDefault="00D7294A" w:rsidP="00105CE6">
          <w:pPr>
            <w:pStyle w:val="ProductList-OfferingBody"/>
            <w:ind w:left="-72" w:right="-74"/>
            <w:jc w:val="center"/>
            <w:rPr>
              <w:color w:val="808080" w:themeColor="background1" w:themeShade="80"/>
              <w:sz w:val="14"/>
              <w:szCs w:val="14"/>
            </w:rPr>
          </w:pPr>
          <w:hyperlink w:anchor="Въведение" w:history="1">
            <w:r>
              <w:rPr>
                <w:rStyle w:val="Hyperlink"/>
                <w:sz w:val="14"/>
                <w:szCs w:val="14"/>
              </w:rPr>
              <w:t>Въведение</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42ABE020" w14:textId="77777777" w:rsidR="00D7294A" w:rsidRPr="00C76DF3" w:rsidRDefault="00D7294A" w:rsidP="00105CE6">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6C213ED" w14:textId="77777777" w:rsidR="00D7294A" w:rsidRPr="00C76DF3" w:rsidRDefault="00D7294A" w:rsidP="00105CE6">
          <w:pPr>
            <w:pStyle w:val="ProductList-OfferingBody"/>
            <w:ind w:left="-72" w:right="-75"/>
            <w:jc w:val="center"/>
            <w:rPr>
              <w:color w:val="808080" w:themeColor="background1" w:themeShade="80"/>
              <w:sz w:val="14"/>
              <w:szCs w:val="14"/>
            </w:rPr>
          </w:pPr>
          <w:hyperlink w:anchor="Общи условия" w:history="1">
            <w:r>
              <w:rPr>
                <w:rStyle w:val="Hyperlink"/>
                <w:sz w:val="14"/>
                <w:szCs w:val="14"/>
              </w:rPr>
              <w:t>Общи условия</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6E833EF1" w14:textId="77777777" w:rsidR="00D7294A" w:rsidRPr="00C76DF3" w:rsidRDefault="00D7294A" w:rsidP="00105CE6">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3C128735" w14:textId="77777777" w:rsidR="00D7294A" w:rsidRPr="00C76DF3" w:rsidRDefault="00D7294A" w:rsidP="00105CE6">
          <w:pPr>
            <w:pStyle w:val="ProductList-OfferingBody"/>
            <w:ind w:left="-72" w:right="-77"/>
            <w:jc w:val="center"/>
            <w:rPr>
              <w:color w:val="808080" w:themeColor="background1" w:themeShade="80"/>
              <w:sz w:val="14"/>
              <w:szCs w:val="14"/>
            </w:rPr>
          </w:pPr>
          <w:hyperlink w:anchor="Условия за поверителност и защита" w:history="1">
            <w:r>
              <w:rPr>
                <w:rStyle w:val="Hyperlink"/>
                <w:sz w:val="14"/>
                <w:szCs w:val="14"/>
              </w:rPr>
              <w:t>Условия за поверителност и защита</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2DD9C636" w14:textId="77777777" w:rsidR="00D7294A" w:rsidRPr="00C76DF3" w:rsidRDefault="00D7294A" w:rsidP="00105CE6">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695C3CF" w14:textId="77777777" w:rsidR="00D7294A" w:rsidRPr="00C76DF3" w:rsidRDefault="00D7294A" w:rsidP="00105CE6">
          <w:pPr>
            <w:pStyle w:val="ProductList-OfferingBody"/>
            <w:ind w:left="-72" w:right="-77"/>
            <w:jc w:val="center"/>
            <w:rPr>
              <w:color w:val="808080" w:themeColor="background1" w:themeShade="80"/>
              <w:sz w:val="14"/>
              <w:szCs w:val="14"/>
            </w:rPr>
          </w:pPr>
          <w:hyperlink w:anchor="OnlineServiceSpecificTerms" w:history="1">
            <w:r>
              <w:rPr>
                <w:rStyle w:val="Hyperlink"/>
                <w:sz w:val="14"/>
                <w:szCs w:val="14"/>
              </w:rPr>
              <w:t>Онлайн услуги – специфични условия</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0A85ACE7" w14:textId="77777777" w:rsidR="00D7294A" w:rsidRPr="00C76DF3" w:rsidRDefault="00D7294A" w:rsidP="00105CE6">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546BF15" w14:textId="77777777" w:rsidR="00D7294A" w:rsidRPr="00C76DF3" w:rsidRDefault="00D7294A" w:rsidP="00105CE6">
          <w:pPr>
            <w:pStyle w:val="ProductList-OfferingBody"/>
            <w:ind w:left="-72" w:right="-76"/>
            <w:jc w:val="center"/>
            <w:rPr>
              <w:color w:val="808080" w:themeColor="background1" w:themeShade="80"/>
              <w:sz w:val="14"/>
              <w:szCs w:val="14"/>
            </w:rPr>
          </w:pPr>
          <w:hyperlink w:anchor="Приложение1" w:history="1">
            <w:r>
              <w:rPr>
                <w:rStyle w:val="Hyperlink"/>
                <w:sz w:val="14"/>
                <w:szCs w:val="14"/>
              </w:rPr>
              <w:t>Приложения</w:t>
            </w:r>
          </w:hyperlink>
        </w:p>
      </w:tc>
    </w:tr>
  </w:tbl>
  <w:p w14:paraId="70E1610E" w14:textId="77777777" w:rsidR="00D7294A" w:rsidRPr="00591643" w:rsidRDefault="00D7294A">
    <w:pPr>
      <w:pStyle w:val="Footer"/>
      <w:rPr>
        <w:sz w:val="14"/>
        <w:szCs w:val="1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D7294A" w:rsidRPr="00C76DF3" w14:paraId="6D0C4A81" w14:textId="77777777" w:rsidTr="00D7294A">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41A8BCDF" w14:textId="77777777" w:rsidR="00D7294A" w:rsidRPr="00C76DF3" w:rsidRDefault="00D7294A" w:rsidP="00546CD5">
          <w:pPr>
            <w:pStyle w:val="ProductList-OfferingBody"/>
            <w:ind w:left="-77" w:right="-73"/>
            <w:jc w:val="center"/>
            <w:rPr>
              <w:color w:val="808080" w:themeColor="background1" w:themeShade="80"/>
              <w:sz w:val="14"/>
              <w:szCs w:val="14"/>
            </w:rPr>
          </w:pPr>
          <w:hyperlink w:anchor="Съдържание" w:history="1">
            <w:r>
              <w:rPr>
                <w:rStyle w:val="Hyperlink"/>
                <w:sz w:val="14"/>
                <w:szCs w:val="14"/>
              </w:rPr>
              <w:t>Съдържание</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01629A12" w14:textId="77777777" w:rsidR="00D7294A" w:rsidRPr="00C76DF3" w:rsidRDefault="00D7294A" w:rsidP="00546CD5">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3EBD5CF6" w14:textId="77777777" w:rsidR="00D7294A" w:rsidRPr="00C76DF3" w:rsidRDefault="00D7294A" w:rsidP="00546CD5">
          <w:pPr>
            <w:pStyle w:val="ProductList-OfferingBody"/>
            <w:ind w:left="-72" w:right="-74"/>
            <w:jc w:val="center"/>
            <w:rPr>
              <w:color w:val="808080" w:themeColor="background1" w:themeShade="80"/>
              <w:sz w:val="14"/>
              <w:szCs w:val="14"/>
            </w:rPr>
          </w:pPr>
          <w:hyperlink w:anchor="Въведение" w:history="1">
            <w:r>
              <w:rPr>
                <w:rStyle w:val="Hyperlink"/>
                <w:sz w:val="14"/>
                <w:szCs w:val="14"/>
              </w:rPr>
              <w:t>Въведение</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01A41A98" w14:textId="77777777" w:rsidR="00D7294A" w:rsidRPr="00C76DF3" w:rsidRDefault="00D7294A" w:rsidP="00546CD5">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0F9CF444" w14:textId="77777777" w:rsidR="00D7294A" w:rsidRPr="00C76DF3" w:rsidRDefault="00D7294A" w:rsidP="00546CD5">
          <w:pPr>
            <w:pStyle w:val="ProductList-OfferingBody"/>
            <w:ind w:left="-72" w:right="-75"/>
            <w:jc w:val="center"/>
            <w:rPr>
              <w:color w:val="808080" w:themeColor="background1" w:themeShade="80"/>
              <w:sz w:val="14"/>
              <w:szCs w:val="14"/>
            </w:rPr>
          </w:pPr>
          <w:hyperlink w:anchor="Общи условия" w:history="1">
            <w:r>
              <w:rPr>
                <w:rStyle w:val="Hyperlink"/>
                <w:sz w:val="14"/>
                <w:szCs w:val="14"/>
              </w:rPr>
              <w:t>Общи условия</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13538D47" w14:textId="77777777" w:rsidR="00D7294A" w:rsidRPr="00C76DF3" w:rsidRDefault="00D7294A" w:rsidP="00546CD5">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75FA118" w14:textId="77777777" w:rsidR="00D7294A" w:rsidRPr="00C76DF3" w:rsidRDefault="00D7294A" w:rsidP="00546CD5">
          <w:pPr>
            <w:pStyle w:val="ProductList-OfferingBody"/>
            <w:ind w:left="-72" w:right="-77"/>
            <w:jc w:val="center"/>
            <w:rPr>
              <w:color w:val="808080" w:themeColor="background1" w:themeShade="80"/>
              <w:sz w:val="14"/>
              <w:szCs w:val="14"/>
            </w:rPr>
          </w:pPr>
          <w:hyperlink w:anchor="DatProtectionTerms" w:history="1">
            <w:r>
              <w:rPr>
                <w:rStyle w:val="Hyperlink"/>
                <w:sz w:val="14"/>
                <w:szCs w:val="14"/>
              </w:rPr>
              <w:t>Условия за защита на данните</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7AB3CBB4" w14:textId="77777777" w:rsidR="00D7294A" w:rsidRPr="00C76DF3" w:rsidRDefault="00D7294A" w:rsidP="00546CD5">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E9AA080" w14:textId="77777777" w:rsidR="00D7294A" w:rsidRPr="00C76DF3" w:rsidRDefault="00D7294A" w:rsidP="00546CD5">
          <w:pPr>
            <w:pStyle w:val="ProductList-OfferingBody"/>
            <w:ind w:left="-72" w:right="-76"/>
            <w:jc w:val="center"/>
            <w:rPr>
              <w:color w:val="808080" w:themeColor="background1" w:themeShade="80"/>
              <w:sz w:val="14"/>
              <w:szCs w:val="14"/>
            </w:rPr>
          </w:pPr>
          <w:hyperlink w:anchor="Приложение1" w:history="1">
            <w:r>
              <w:rPr>
                <w:rStyle w:val="Hyperlink"/>
                <w:sz w:val="14"/>
                <w:szCs w:val="14"/>
              </w:rPr>
              <w:t>Приложения</w:t>
            </w:r>
          </w:hyperlink>
        </w:p>
      </w:tc>
    </w:tr>
  </w:tbl>
  <w:p w14:paraId="0B93284F" w14:textId="77777777" w:rsidR="00D7294A" w:rsidRPr="0074788A" w:rsidRDefault="00D7294A" w:rsidP="0074788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D7294A" w:rsidRPr="00C76DF3" w14:paraId="506B2A85" w14:textId="77777777" w:rsidTr="00546CD5">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2A979981" w14:textId="77777777" w:rsidR="00D7294A" w:rsidRPr="00C76DF3" w:rsidRDefault="00D7294A" w:rsidP="00546CD5">
          <w:pPr>
            <w:pStyle w:val="ProductList-OfferingBody"/>
            <w:ind w:left="-77" w:right="-73"/>
            <w:jc w:val="center"/>
            <w:rPr>
              <w:color w:val="808080" w:themeColor="background1" w:themeShade="80"/>
              <w:sz w:val="14"/>
              <w:szCs w:val="14"/>
            </w:rPr>
          </w:pPr>
          <w:hyperlink w:anchor="Съдържание" w:history="1">
            <w:r>
              <w:rPr>
                <w:rStyle w:val="Hyperlink"/>
                <w:sz w:val="14"/>
                <w:szCs w:val="14"/>
              </w:rPr>
              <w:t>Съдържание</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14E8B2C5" w14:textId="77777777" w:rsidR="00D7294A" w:rsidRPr="00C76DF3" w:rsidRDefault="00D7294A" w:rsidP="00546CD5">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3E1EFF4A" w14:textId="77777777" w:rsidR="00D7294A" w:rsidRPr="00C76DF3" w:rsidRDefault="00D7294A" w:rsidP="00546CD5">
          <w:pPr>
            <w:pStyle w:val="ProductList-OfferingBody"/>
            <w:ind w:left="-72" w:right="-74"/>
            <w:jc w:val="center"/>
            <w:rPr>
              <w:color w:val="808080" w:themeColor="background1" w:themeShade="80"/>
              <w:sz w:val="14"/>
              <w:szCs w:val="14"/>
            </w:rPr>
          </w:pPr>
          <w:hyperlink w:anchor="Въведение" w:history="1">
            <w:r>
              <w:rPr>
                <w:rStyle w:val="Hyperlink"/>
                <w:sz w:val="14"/>
                <w:szCs w:val="14"/>
              </w:rPr>
              <w:t>Въведение</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46349DE9" w14:textId="77777777" w:rsidR="00D7294A" w:rsidRPr="00C76DF3" w:rsidRDefault="00D7294A" w:rsidP="00546CD5">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6B9AE04A" w14:textId="77777777" w:rsidR="00D7294A" w:rsidRPr="00C76DF3" w:rsidRDefault="00D7294A" w:rsidP="00546CD5">
          <w:pPr>
            <w:pStyle w:val="ProductList-OfferingBody"/>
            <w:ind w:left="-72" w:right="-75"/>
            <w:jc w:val="center"/>
            <w:rPr>
              <w:color w:val="808080" w:themeColor="background1" w:themeShade="80"/>
              <w:sz w:val="14"/>
              <w:szCs w:val="14"/>
            </w:rPr>
          </w:pPr>
          <w:hyperlink w:anchor="Общи условия" w:history="1">
            <w:r>
              <w:rPr>
                <w:rStyle w:val="Hyperlink"/>
                <w:sz w:val="14"/>
                <w:szCs w:val="14"/>
              </w:rPr>
              <w:t>Общи условия</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2F9B5F42" w14:textId="77777777" w:rsidR="00D7294A" w:rsidRPr="00C76DF3" w:rsidRDefault="00D7294A" w:rsidP="00546CD5">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6A241DD" w14:textId="77777777" w:rsidR="00D7294A" w:rsidRPr="00C76DF3" w:rsidRDefault="00D7294A" w:rsidP="00546CD5">
          <w:pPr>
            <w:pStyle w:val="ProductList-OfferingBody"/>
            <w:ind w:left="-72" w:right="-77"/>
            <w:jc w:val="center"/>
            <w:rPr>
              <w:color w:val="808080" w:themeColor="background1" w:themeShade="80"/>
              <w:sz w:val="14"/>
              <w:szCs w:val="14"/>
            </w:rPr>
          </w:pPr>
          <w:hyperlink w:anchor="DatProtectionTerms" w:history="1">
            <w:r>
              <w:rPr>
                <w:rStyle w:val="Hyperlink"/>
                <w:sz w:val="14"/>
                <w:szCs w:val="14"/>
              </w:rPr>
              <w:t>Условия за защита на данните</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49C5A1C9" w14:textId="77777777" w:rsidR="00D7294A" w:rsidRPr="00C76DF3" w:rsidRDefault="00D7294A" w:rsidP="00546CD5">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DDC8871" w14:textId="77777777" w:rsidR="00D7294A" w:rsidRPr="00C76DF3" w:rsidRDefault="00D7294A" w:rsidP="00546CD5">
          <w:pPr>
            <w:pStyle w:val="ProductList-OfferingBody"/>
            <w:ind w:left="-72" w:right="-76"/>
            <w:jc w:val="center"/>
            <w:rPr>
              <w:color w:val="808080" w:themeColor="background1" w:themeShade="80"/>
              <w:sz w:val="14"/>
              <w:szCs w:val="14"/>
            </w:rPr>
          </w:pPr>
          <w:hyperlink w:anchor="Приложение1" w:history="1">
            <w:r>
              <w:rPr>
                <w:rStyle w:val="Hyperlink"/>
                <w:sz w:val="14"/>
                <w:szCs w:val="14"/>
              </w:rPr>
              <w:t>Приложения</w:t>
            </w:r>
          </w:hyperlink>
        </w:p>
      </w:tc>
    </w:tr>
  </w:tbl>
  <w:p w14:paraId="3A4B177E" w14:textId="77777777" w:rsidR="00D7294A" w:rsidRPr="0074788A" w:rsidRDefault="00D7294A" w:rsidP="0074788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CAED2" w14:textId="77777777" w:rsidR="00D7294A" w:rsidRPr="00AA025E" w:rsidRDefault="00D72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2DCD5" w14:textId="77777777" w:rsidR="00B21E13" w:rsidRDefault="00B21E13" w:rsidP="009A573F">
      <w:pPr>
        <w:spacing w:after="0" w:line="240" w:lineRule="auto"/>
      </w:pPr>
      <w:r>
        <w:separator/>
      </w:r>
    </w:p>
    <w:p w14:paraId="0ADEC886" w14:textId="77777777" w:rsidR="00B21E13" w:rsidRDefault="00B21E13"/>
  </w:footnote>
  <w:footnote w:type="continuationSeparator" w:id="0">
    <w:p w14:paraId="0FD6ADD8" w14:textId="77777777" w:rsidR="00B21E13" w:rsidRDefault="00B21E13" w:rsidP="009A573F">
      <w:pPr>
        <w:spacing w:after="0" w:line="240" w:lineRule="auto"/>
      </w:pPr>
      <w:r>
        <w:continuationSeparator/>
      </w:r>
    </w:p>
    <w:p w14:paraId="39D7E0C1" w14:textId="77777777" w:rsidR="00B21E13" w:rsidRDefault="00B21E13"/>
  </w:footnote>
  <w:footnote w:type="continuationNotice" w:id="1">
    <w:p w14:paraId="17F66DC1" w14:textId="77777777" w:rsidR="00B21E13" w:rsidRDefault="00B21E13">
      <w:pPr>
        <w:spacing w:after="0" w:line="240" w:lineRule="auto"/>
      </w:pPr>
    </w:p>
    <w:p w14:paraId="63DD46C0" w14:textId="77777777" w:rsidR="00B21E13" w:rsidRDefault="00B21E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A56E8" w14:textId="77777777" w:rsidR="00D7294A" w:rsidRPr="004D27A6" w:rsidRDefault="00D7294A" w:rsidP="004D27A6">
    <w:pPr>
      <w:pStyle w:val="ProductList-Body"/>
      <w:tabs>
        <w:tab w:val="right" w:pos="10800"/>
      </w:tabs>
      <w:rPr>
        <w:color w:val="404040" w:themeColor="text1" w:themeTint="BF"/>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9964641"/>
      <w:docPartObj>
        <w:docPartGallery w:val="Page Numbers (Top of Page)"/>
        <w:docPartUnique/>
      </w:docPartObj>
    </w:sdtPr>
    <w:sdtEndPr>
      <w:rPr>
        <w:noProof/>
        <w:sz w:val="16"/>
        <w:szCs w:val="16"/>
      </w:rPr>
    </w:sdtEndPr>
    <w:sdtContent>
      <w:p w14:paraId="2CA2F500" w14:textId="31EED755" w:rsidR="00D7294A" w:rsidRPr="00372C95" w:rsidRDefault="00D7294A" w:rsidP="00372C95">
        <w:pPr>
          <w:rPr>
            <w:rFonts w:asciiTheme="majorHAnsi" w:hAnsiTheme="majorHAnsi"/>
            <w:color w:val="FFFFFF" w:themeColor="background1"/>
            <w:sz w:val="20"/>
            <w:szCs w:val="20"/>
          </w:rPr>
        </w:pPr>
        <w:r>
          <w:rPr>
            <w:sz w:val="16"/>
            <w:szCs w:val="16"/>
          </w:rPr>
          <w:t>Допълнение относно защитата на данните за Онлайн услуги на Microsoft (български, последно актуализиране: 9 декември 2020 г.)</w:t>
        </w:r>
        <w:r>
          <w:rPr>
            <w:sz w:val="16"/>
            <w:szCs w:val="16"/>
          </w:rPr>
          <w:tab/>
        </w:r>
        <w:r>
          <w:rPr>
            <w:sz w:val="16"/>
            <w:szCs w:val="16"/>
          </w:rPr>
          <w:tab/>
        </w:r>
        <w:r>
          <w:rPr>
            <w:sz w:val="16"/>
            <w:szCs w:val="16"/>
          </w:rPr>
          <w:fldChar w:fldCharType="begin"/>
        </w:r>
        <w:r w:rsidRPr="00DC08DC">
          <w:rPr>
            <w:sz w:val="16"/>
            <w:szCs w:val="16"/>
          </w:rPr>
          <w:instrText xml:space="preserve"> PAGE   \* MERGEFORMAT </w:instrText>
        </w:r>
        <w:r>
          <w:rPr>
            <w:sz w:val="16"/>
            <w:szCs w:val="16"/>
          </w:rPr>
          <w:fldChar w:fldCharType="separate"/>
        </w:r>
        <w:r>
          <w:rPr>
            <w:noProof/>
            <w:sz w:val="16"/>
            <w:szCs w:val="16"/>
          </w:rPr>
          <w:t>3</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8447741"/>
      <w:docPartObj>
        <w:docPartGallery w:val="Page Numbers (Top of Page)"/>
        <w:docPartUnique/>
      </w:docPartObj>
    </w:sdtPr>
    <w:sdtEndPr>
      <w:rPr>
        <w:noProof/>
        <w:sz w:val="16"/>
        <w:szCs w:val="16"/>
      </w:rPr>
    </w:sdtEndPr>
    <w:sdtContent>
      <w:p w14:paraId="72039CEF" w14:textId="2F8CEB09" w:rsidR="00D7294A" w:rsidRPr="00372C95" w:rsidRDefault="00D7294A" w:rsidP="00372C95">
        <w:pPr>
          <w:rPr>
            <w:rFonts w:asciiTheme="majorHAnsi" w:hAnsiTheme="majorHAnsi"/>
            <w:color w:val="FFFFFF" w:themeColor="background1"/>
            <w:sz w:val="20"/>
            <w:szCs w:val="20"/>
          </w:rPr>
        </w:pPr>
        <w:r>
          <w:rPr>
            <w:sz w:val="16"/>
            <w:szCs w:val="16"/>
          </w:rPr>
          <w:t>Допълнение относно защитата на данните за Онлайн услуги на Microsoft (български, последно актуализиране: 9 декември 2020 г.)</w:t>
        </w:r>
        <w:r>
          <w:rPr>
            <w:sz w:val="16"/>
            <w:szCs w:val="16"/>
          </w:rPr>
          <w:tab/>
        </w:r>
        <w:r>
          <w:rPr>
            <w:sz w:val="16"/>
            <w:szCs w:val="16"/>
          </w:rPr>
          <w:tab/>
        </w:r>
        <w:r>
          <w:rPr>
            <w:sz w:val="16"/>
            <w:szCs w:val="16"/>
          </w:rPr>
          <w:fldChar w:fldCharType="begin"/>
        </w:r>
        <w:r w:rsidRPr="00DC08DC">
          <w:rPr>
            <w:sz w:val="16"/>
            <w:szCs w:val="16"/>
          </w:rPr>
          <w:instrText xml:space="preserve"> PAGE   \* MERGEFORMAT </w:instrText>
        </w:r>
        <w:r>
          <w:rPr>
            <w:sz w:val="16"/>
            <w:szCs w:val="16"/>
          </w:rPr>
          <w:fldChar w:fldCharType="separate"/>
        </w:r>
        <w:r>
          <w:rPr>
            <w:noProof/>
            <w:sz w:val="16"/>
            <w:szCs w:val="16"/>
          </w:rPr>
          <w:t>4</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D72F7"/>
    <w:multiLevelType w:val="hybridMultilevel"/>
    <w:tmpl w:val="4590F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D0AFA"/>
    <w:multiLevelType w:val="hybridMultilevel"/>
    <w:tmpl w:val="D24C2A86"/>
    <w:lvl w:ilvl="0" w:tplc="A7A86180">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40E02"/>
    <w:multiLevelType w:val="hybridMultilevel"/>
    <w:tmpl w:val="39A85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658BE"/>
    <w:multiLevelType w:val="hybridMultilevel"/>
    <w:tmpl w:val="51D6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AE7F0B"/>
    <w:multiLevelType w:val="hybridMultilevel"/>
    <w:tmpl w:val="5F6AC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80231"/>
    <w:multiLevelType w:val="hybridMultilevel"/>
    <w:tmpl w:val="701EA096"/>
    <w:lvl w:ilvl="0" w:tplc="4D5426B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08611D"/>
    <w:multiLevelType w:val="hybridMultilevel"/>
    <w:tmpl w:val="81C85EF2"/>
    <w:lvl w:ilvl="0" w:tplc="E25227A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F12AA5"/>
    <w:multiLevelType w:val="hybridMultilevel"/>
    <w:tmpl w:val="8AF8BAD4"/>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8" w15:restartNumberingAfterBreak="0">
    <w:nsid w:val="618750A3"/>
    <w:multiLevelType w:val="hybridMultilevel"/>
    <w:tmpl w:val="F85A5988"/>
    <w:lvl w:ilvl="0" w:tplc="FBF200AA">
      <w:start w:val="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9" w15:restartNumberingAfterBreak="0">
    <w:nsid w:val="67445BC8"/>
    <w:multiLevelType w:val="hybridMultilevel"/>
    <w:tmpl w:val="93162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8C19B8"/>
    <w:multiLevelType w:val="hybridMultilevel"/>
    <w:tmpl w:val="E0CA3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FB0738"/>
    <w:multiLevelType w:val="hybridMultilevel"/>
    <w:tmpl w:val="2DF6AF0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num w:numId="1">
    <w:abstractNumId w:val="2"/>
  </w:num>
  <w:num w:numId="2">
    <w:abstractNumId w:val="4"/>
  </w:num>
  <w:num w:numId="3">
    <w:abstractNumId w:val="8"/>
  </w:num>
  <w:num w:numId="4">
    <w:abstractNumId w:val="9"/>
  </w:num>
  <w:num w:numId="5">
    <w:abstractNumId w:val="0"/>
  </w:num>
  <w:num w:numId="6">
    <w:abstractNumId w:val="11"/>
  </w:num>
  <w:num w:numId="7">
    <w:abstractNumId w:val="7"/>
  </w:num>
  <w:num w:numId="8">
    <w:abstractNumId w:val="3"/>
  </w:num>
  <w:num w:numId="9">
    <w:abstractNumId w:val="10"/>
  </w:num>
  <w:num w:numId="10">
    <w:abstractNumId w:val="5"/>
  </w:num>
  <w:num w:numId="11">
    <w:abstractNumId w:val="1"/>
  </w:num>
  <w:num w:numId="12">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proofState w:spelling="clean"/>
  <w:documentProtection w:edit="readOnly" w:formatting="1" w:enforcement="1" w:cryptProviderType="rsaAES" w:cryptAlgorithmClass="hash" w:cryptAlgorithmType="typeAny" w:cryptAlgorithmSid="14" w:cryptSpinCount="100000" w:hash="2/S4nnOYAgXYLDCzU1Aq0l9tvHAW8AvuM3QQhDL1oQB46rdrd/nvRVSWvXYo+YxH2rqM3jGoLpCL3ddIkFWGqA==" w:salt="5+AflhzmQ/oF3DTRYmUsd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0AFE"/>
    <w:rsid w:val="00000541"/>
    <w:rsid w:val="00000A06"/>
    <w:rsid w:val="00000AE0"/>
    <w:rsid w:val="0000104C"/>
    <w:rsid w:val="00001886"/>
    <w:rsid w:val="000018B8"/>
    <w:rsid w:val="000021AA"/>
    <w:rsid w:val="00002DF2"/>
    <w:rsid w:val="00003503"/>
    <w:rsid w:val="00003E23"/>
    <w:rsid w:val="00004BE2"/>
    <w:rsid w:val="000056F6"/>
    <w:rsid w:val="0000570F"/>
    <w:rsid w:val="0000622A"/>
    <w:rsid w:val="000063D1"/>
    <w:rsid w:val="000075A1"/>
    <w:rsid w:val="0000793E"/>
    <w:rsid w:val="00007D00"/>
    <w:rsid w:val="00007D8A"/>
    <w:rsid w:val="000106A8"/>
    <w:rsid w:val="000113A1"/>
    <w:rsid w:val="000125CC"/>
    <w:rsid w:val="00012831"/>
    <w:rsid w:val="0001518D"/>
    <w:rsid w:val="000153B5"/>
    <w:rsid w:val="00015CE9"/>
    <w:rsid w:val="00017369"/>
    <w:rsid w:val="00017A1A"/>
    <w:rsid w:val="00017A5A"/>
    <w:rsid w:val="00017A85"/>
    <w:rsid w:val="00017A87"/>
    <w:rsid w:val="00020F32"/>
    <w:rsid w:val="000217C1"/>
    <w:rsid w:val="00021FAE"/>
    <w:rsid w:val="00022972"/>
    <w:rsid w:val="00022C57"/>
    <w:rsid w:val="0002311F"/>
    <w:rsid w:val="000249BC"/>
    <w:rsid w:val="00024B72"/>
    <w:rsid w:val="00024B7C"/>
    <w:rsid w:val="00025741"/>
    <w:rsid w:val="0002594B"/>
    <w:rsid w:val="00025A39"/>
    <w:rsid w:val="0002605D"/>
    <w:rsid w:val="00026678"/>
    <w:rsid w:val="00026CD0"/>
    <w:rsid w:val="00026DDE"/>
    <w:rsid w:val="00026E0A"/>
    <w:rsid w:val="00026E57"/>
    <w:rsid w:val="0002719C"/>
    <w:rsid w:val="00027239"/>
    <w:rsid w:val="0002794B"/>
    <w:rsid w:val="00027A1C"/>
    <w:rsid w:val="00027C79"/>
    <w:rsid w:val="00027CCB"/>
    <w:rsid w:val="00027CFF"/>
    <w:rsid w:val="00030B8D"/>
    <w:rsid w:val="00031223"/>
    <w:rsid w:val="000314CF"/>
    <w:rsid w:val="00033247"/>
    <w:rsid w:val="00033535"/>
    <w:rsid w:val="000338A7"/>
    <w:rsid w:val="000341B0"/>
    <w:rsid w:val="000346AC"/>
    <w:rsid w:val="00035155"/>
    <w:rsid w:val="00035F22"/>
    <w:rsid w:val="00036242"/>
    <w:rsid w:val="0003651D"/>
    <w:rsid w:val="0004038E"/>
    <w:rsid w:val="00040ABB"/>
    <w:rsid w:val="0004105D"/>
    <w:rsid w:val="00041280"/>
    <w:rsid w:val="00041300"/>
    <w:rsid w:val="0004172A"/>
    <w:rsid w:val="000432AA"/>
    <w:rsid w:val="00043BAC"/>
    <w:rsid w:val="000443FB"/>
    <w:rsid w:val="000448BB"/>
    <w:rsid w:val="00044CD2"/>
    <w:rsid w:val="000469DE"/>
    <w:rsid w:val="00046BBD"/>
    <w:rsid w:val="0004759F"/>
    <w:rsid w:val="000476AA"/>
    <w:rsid w:val="00047FAD"/>
    <w:rsid w:val="000502BA"/>
    <w:rsid w:val="00050BC6"/>
    <w:rsid w:val="000512A8"/>
    <w:rsid w:val="000552CB"/>
    <w:rsid w:val="00055772"/>
    <w:rsid w:val="00055AF1"/>
    <w:rsid w:val="00056138"/>
    <w:rsid w:val="00056522"/>
    <w:rsid w:val="000565C5"/>
    <w:rsid w:val="000566CE"/>
    <w:rsid w:val="0005673A"/>
    <w:rsid w:val="00056B9F"/>
    <w:rsid w:val="00056FAF"/>
    <w:rsid w:val="00060C27"/>
    <w:rsid w:val="00061C73"/>
    <w:rsid w:val="00061F6E"/>
    <w:rsid w:val="00062330"/>
    <w:rsid w:val="000625F0"/>
    <w:rsid w:val="0006266B"/>
    <w:rsid w:val="00063D7D"/>
    <w:rsid w:val="000644B7"/>
    <w:rsid w:val="00065F4E"/>
    <w:rsid w:val="00065FF8"/>
    <w:rsid w:val="000664E9"/>
    <w:rsid w:val="00066820"/>
    <w:rsid w:val="00066D7A"/>
    <w:rsid w:val="00067854"/>
    <w:rsid w:val="00067AB9"/>
    <w:rsid w:val="00067B4B"/>
    <w:rsid w:val="00067C7D"/>
    <w:rsid w:val="00071A79"/>
    <w:rsid w:val="00071C2C"/>
    <w:rsid w:val="00072DBA"/>
    <w:rsid w:val="00073501"/>
    <w:rsid w:val="0007363B"/>
    <w:rsid w:val="00073EB7"/>
    <w:rsid w:val="0007491F"/>
    <w:rsid w:val="00074B86"/>
    <w:rsid w:val="0007551D"/>
    <w:rsid w:val="000756A2"/>
    <w:rsid w:val="000759BB"/>
    <w:rsid w:val="00076DED"/>
    <w:rsid w:val="00077415"/>
    <w:rsid w:val="00077A6B"/>
    <w:rsid w:val="0008085C"/>
    <w:rsid w:val="00080C26"/>
    <w:rsid w:val="00081033"/>
    <w:rsid w:val="00081149"/>
    <w:rsid w:val="00081380"/>
    <w:rsid w:val="00081CA7"/>
    <w:rsid w:val="000821F8"/>
    <w:rsid w:val="0008269C"/>
    <w:rsid w:val="00082F95"/>
    <w:rsid w:val="0008307A"/>
    <w:rsid w:val="000833C9"/>
    <w:rsid w:val="00083FE8"/>
    <w:rsid w:val="000843ED"/>
    <w:rsid w:val="0008544B"/>
    <w:rsid w:val="00085D21"/>
    <w:rsid w:val="00086974"/>
    <w:rsid w:val="00086EDC"/>
    <w:rsid w:val="00086F17"/>
    <w:rsid w:val="000872EB"/>
    <w:rsid w:val="00087BC2"/>
    <w:rsid w:val="00090C2D"/>
    <w:rsid w:val="00090CCF"/>
    <w:rsid w:val="00090EF6"/>
    <w:rsid w:val="0009139F"/>
    <w:rsid w:val="000913C3"/>
    <w:rsid w:val="0009164C"/>
    <w:rsid w:val="00093ADB"/>
    <w:rsid w:val="00093C44"/>
    <w:rsid w:val="00094AE0"/>
    <w:rsid w:val="0009524E"/>
    <w:rsid w:val="000953A4"/>
    <w:rsid w:val="0009588E"/>
    <w:rsid w:val="00096C3B"/>
    <w:rsid w:val="00097CE0"/>
    <w:rsid w:val="000A000C"/>
    <w:rsid w:val="000A0359"/>
    <w:rsid w:val="000A03D2"/>
    <w:rsid w:val="000A0CD9"/>
    <w:rsid w:val="000A1035"/>
    <w:rsid w:val="000A18C7"/>
    <w:rsid w:val="000A2199"/>
    <w:rsid w:val="000A27DB"/>
    <w:rsid w:val="000A2E8E"/>
    <w:rsid w:val="000A31E0"/>
    <w:rsid w:val="000A3753"/>
    <w:rsid w:val="000A562D"/>
    <w:rsid w:val="000A5DC6"/>
    <w:rsid w:val="000A5E8A"/>
    <w:rsid w:val="000A5FA1"/>
    <w:rsid w:val="000A628D"/>
    <w:rsid w:val="000A6502"/>
    <w:rsid w:val="000A6BE5"/>
    <w:rsid w:val="000A774F"/>
    <w:rsid w:val="000B02C9"/>
    <w:rsid w:val="000B0365"/>
    <w:rsid w:val="000B0627"/>
    <w:rsid w:val="000B06AD"/>
    <w:rsid w:val="000B07BF"/>
    <w:rsid w:val="000B0C7A"/>
    <w:rsid w:val="000B1561"/>
    <w:rsid w:val="000B2305"/>
    <w:rsid w:val="000B280E"/>
    <w:rsid w:val="000B39CD"/>
    <w:rsid w:val="000B3BAB"/>
    <w:rsid w:val="000B4D3E"/>
    <w:rsid w:val="000B523A"/>
    <w:rsid w:val="000B552B"/>
    <w:rsid w:val="000B5DED"/>
    <w:rsid w:val="000B6010"/>
    <w:rsid w:val="000B745E"/>
    <w:rsid w:val="000B7DA3"/>
    <w:rsid w:val="000C0798"/>
    <w:rsid w:val="000C0A5F"/>
    <w:rsid w:val="000C0ACA"/>
    <w:rsid w:val="000C151C"/>
    <w:rsid w:val="000C1F24"/>
    <w:rsid w:val="000C2DAF"/>
    <w:rsid w:val="000C2E6F"/>
    <w:rsid w:val="000C3ABC"/>
    <w:rsid w:val="000C3E3A"/>
    <w:rsid w:val="000C436A"/>
    <w:rsid w:val="000C457F"/>
    <w:rsid w:val="000C4BD0"/>
    <w:rsid w:val="000C5490"/>
    <w:rsid w:val="000C650A"/>
    <w:rsid w:val="000C6732"/>
    <w:rsid w:val="000C72D5"/>
    <w:rsid w:val="000C73BD"/>
    <w:rsid w:val="000C7CFC"/>
    <w:rsid w:val="000D08A6"/>
    <w:rsid w:val="000D1DB4"/>
    <w:rsid w:val="000D24C8"/>
    <w:rsid w:val="000D28A7"/>
    <w:rsid w:val="000D36FF"/>
    <w:rsid w:val="000D3971"/>
    <w:rsid w:val="000D4D4F"/>
    <w:rsid w:val="000D52F0"/>
    <w:rsid w:val="000D5752"/>
    <w:rsid w:val="000D5C7B"/>
    <w:rsid w:val="000D6060"/>
    <w:rsid w:val="000E07FC"/>
    <w:rsid w:val="000E08C0"/>
    <w:rsid w:val="000E13E7"/>
    <w:rsid w:val="000E16D8"/>
    <w:rsid w:val="000E1DEC"/>
    <w:rsid w:val="000E1F33"/>
    <w:rsid w:val="000E2F11"/>
    <w:rsid w:val="000E35B3"/>
    <w:rsid w:val="000E3993"/>
    <w:rsid w:val="000E4BCF"/>
    <w:rsid w:val="000E55C0"/>
    <w:rsid w:val="000E56D5"/>
    <w:rsid w:val="000E696A"/>
    <w:rsid w:val="000E6ED8"/>
    <w:rsid w:val="000F0057"/>
    <w:rsid w:val="000F032B"/>
    <w:rsid w:val="000F10E9"/>
    <w:rsid w:val="000F1CD3"/>
    <w:rsid w:val="000F27A3"/>
    <w:rsid w:val="000F30AA"/>
    <w:rsid w:val="000F30F7"/>
    <w:rsid w:val="000F4F43"/>
    <w:rsid w:val="000F55CC"/>
    <w:rsid w:val="000F56C8"/>
    <w:rsid w:val="000F6037"/>
    <w:rsid w:val="000F6660"/>
    <w:rsid w:val="00100636"/>
    <w:rsid w:val="00100652"/>
    <w:rsid w:val="00100817"/>
    <w:rsid w:val="001013C9"/>
    <w:rsid w:val="00101726"/>
    <w:rsid w:val="0010172F"/>
    <w:rsid w:val="00101F38"/>
    <w:rsid w:val="00102462"/>
    <w:rsid w:val="00102D55"/>
    <w:rsid w:val="00102F63"/>
    <w:rsid w:val="00103924"/>
    <w:rsid w:val="00103BD4"/>
    <w:rsid w:val="00103D2C"/>
    <w:rsid w:val="00104DBC"/>
    <w:rsid w:val="0010587C"/>
    <w:rsid w:val="00105B4C"/>
    <w:rsid w:val="00105CE6"/>
    <w:rsid w:val="00107F31"/>
    <w:rsid w:val="0011102E"/>
    <w:rsid w:val="001113C6"/>
    <w:rsid w:val="00111B6A"/>
    <w:rsid w:val="001127BA"/>
    <w:rsid w:val="00113B3D"/>
    <w:rsid w:val="00114EFE"/>
    <w:rsid w:val="00116951"/>
    <w:rsid w:val="00116F12"/>
    <w:rsid w:val="00117EB2"/>
    <w:rsid w:val="00120A93"/>
    <w:rsid w:val="00120DCD"/>
    <w:rsid w:val="001214C1"/>
    <w:rsid w:val="001216CF"/>
    <w:rsid w:val="00122096"/>
    <w:rsid w:val="00123D64"/>
    <w:rsid w:val="00123E7D"/>
    <w:rsid w:val="001242BA"/>
    <w:rsid w:val="00125581"/>
    <w:rsid w:val="00125CBE"/>
    <w:rsid w:val="0012606A"/>
    <w:rsid w:val="001268B9"/>
    <w:rsid w:val="00127C5F"/>
    <w:rsid w:val="00131163"/>
    <w:rsid w:val="001320C2"/>
    <w:rsid w:val="00132249"/>
    <w:rsid w:val="00132A99"/>
    <w:rsid w:val="00133E27"/>
    <w:rsid w:val="001345D1"/>
    <w:rsid w:val="001349C6"/>
    <w:rsid w:val="00134DA1"/>
    <w:rsid w:val="00134EF8"/>
    <w:rsid w:val="00135786"/>
    <w:rsid w:val="001359CF"/>
    <w:rsid w:val="00136452"/>
    <w:rsid w:val="00137E59"/>
    <w:rsid w:val="001407B5"/>
    <w:rsid w:val="00140900"/>
    <w:rsid w:val="0014192B"/>
    <w:rsid w:val="00141936"/>
    <w:rsid w:val="00142681"/>
    <w:rsid w:val="00142847"/>
    <w:rsid w:val="00143286"/>
    <w:rsid w:val="00143C6E"/>
    <w:rsid w:val="00144059"/>
    <w:rsid w:val="00144BFD"/>
    <w:rsid w:val="0014507A"/>
    <w:rsid w:val="00146574"/>
    <w:rsid w:val="001471BA"/>
    <w:rsid w:val="0014720A"/>
    <w:rsid w:val="001472FC"/>
    <w:rsid w:val="00147482"/>
    <w:rsid w:val="001501D8"/>
    <w:rsid w:val="0015021B"/>
    <w:rsid w:val="00150515"/>
    <w:rsid w:val="00150F54"/>
    <w:rsid w:val="001517E0"/>
    <w:rsid w:val="001529AD"/>
    <w:rsid w:val="001534B1"/>
    <w:rsid w:val="001535A9"/>
    <w:rsid w:val="00153E85"/>
    <w:rsid w:val="00154093"/>
    <w:rsid w:val="00154ACE"/>
    <w:rsid w:val="00156112"/>
    <w:rsid w:val="00156772"/>
    <w:rsid w:val="00156C1C"/>
    <w:rsid w:val="00157BAC"/>
    <w:rsid w:val="00157D95"/>
    <w:rsid w:val="001600C0"/>
    <w:rsid w:val="001602AC"/>
    <w:rsid w:val="001602F8"/>
    <w:rsid w:val="00160730"/>
    <w:rsid w:val="00160914"/>
    <w:rsid w:val="00160CB8"/>
    <w:rsid w:val="00162F94"/>
    <w:rsid w:val="0016324D"/>
    <w:rsid w:val="00165F79"/>
    <w:rsid w:val="00165F81"/>
    <w:rsid w:val="00166039"/>
    <w:rsid w:val="001667BB"/>
    <w:rsid w:val="00166D0D"/>
    <w:rsid w:val="00167070"/>
    <w:rsid w:val="00167128"/>
    <w:rsid w:val="00167443"/>
    <w:rsid w:val="00167C1A"/>
    <w:rsid w:val="001713F6"/>
    <w:rsid w:val="00171B2E"/>
    <w:rsid w:val="00171DF5"/>
    <w:rsid w:val="00172106"/>
    <w:rsid w:val="00172F76"/>
    <w:rsid w:val="00174B2A"/>
    <w:rsid w:val="00174C82"/>
    <w:rsid w:val="00174ECB"/>
    <w:rsid w:val="0017545B"/>
    <w:rsid w:val="00175B93"/>
    <w:rsid w:val="00176374"/>
    <w:rsid w:val="00176C7C"/>
    <w:rsid w:val="001772FA"/>
    <w:rsid w:val="0017786C"/>
    <w:rsid w:val="0018077E"/>
    <w:rsid w:val="001816FB"/>
    <w:rsid w:val="00182B14"/>
    <w:rsid w:val="00182E31"/>
    <w:rsid w:val="00183408"/>
    <w:rsid w:val="00183474"/>
    <w:rsid w:val="001838D6"/>
    <w:rsid w:val="00184394"/>
    <w:rsid w:val="001844E3"/>
    <w:rsid w:val="00185A8B"/>
    <w:rsid w:val="00186359"/>
    <w:rsid w:val="001867D2"/>
    <w:rsid w:val="00186BF6"/>
    <w:rsid w:val="0018717E"/>
    <w:rsid w:val="001875B3"/>
    <w:rsid w:val="00190386"/>
    <w:rsid w:val="00191210"/>
    <w:rsid w:val="001923CF"/>
    <w:rsid w:val="00192660"/>
    <w:rsid w:val="00192C05"/>
    <w:rsid w:val="00193084"/>
    <w:rsid w:val="00194126"/>
    <w:rsid w:val="001969F3"/>
    <w:rsid w:val="00197205"/>
    <w:rsid w:val="001A0977"/>
    <w:rsid w:val="001A0CFD"/>
    <w:rsid w:val="001A19E0"/>
    <w:rsid w:val="001A289E"/>
    <w:rsid w:val="001A2CCC"/>
    <w:rsid w:val="001A434B"/>
    <w:rsid w:val="001A46DF"/>
    <w:rsid w:val="001A4CBF"/>
    <w:rsid w:val="001A5485"/>
    <w:rsid w:val="001A56AE"/>
    <w:rsid w:val="001A6A97"/>
    <w:rsid w:val="001B00A4"/>
    <w:rsid w:val="001B02CF"/>
    <w:rsid w:val="001B06E1"/>
    <w:rsid w:val="001B07B6"/>
    <w:rsid w:val="001B127D"/>
    <w:rsid w:val="001B1769"/>
    <w:rsid w:val="001B1A58"/>
    <w:rsid w:val="001B25E0"/>
    <w:rsid w:val="001B32D9"/>
    <w:rsid w:val="001B351E"/>
    <w:rsid w:val="001B3DDD"/>
    <w:rsid w:val="001B3F5A"/>
    <w:rsid w:val="001B442F"/>
    <w:rsid w:val="001B44F9"/>
    <w:rsid w:val="001B497B"/>
    <w:rsid w:val="001B4F20"/>
    <w:rsid w:val="001B537D"/>
    <w:rsid w:val="001B5C8B"/>
    <w:rsid w:val="001B65B5"/>
    <w:rsid w:val="001B718E"/>
    <w:rsid w:val="001B75C4"/>
    <w:rsid w:val="001C0157"/>
    <w:rsid w:val="001C09BD"/>
    <w:rsid w:val="001C1731"/>
    <w:rsid w:val="001C1754"/>
    <w:rsid w:val="001C276F"/>
    <w:rsid w:val="001C33C4"/>
    <w:rsid w:val="001C3EDC"/>
    <w:rsid w:val="001C3F2C"/>
    <w:rsid w:val="001C4D9D"/>
    <w:rsid w:val="001C4EB6"/>
    <w:rsid w:val="001C4F86"/>
    <w:rsid w:val="001C5E23"/>
    <w:rsid w:val="001C6009"/>
    <w:rsid w:val="001C6572"/>
    <w:rsid w:val="001C6D35"/>
    <w:rsid w:val="001C7264"/>
    <w:rsid w:val="001D0765"/>
    <w:rsid w:val="001D0B44"/>
    <w:rsid w:val="001D1AA6"/>
    <w:rsid w:val="001D2169"/>
    <w:rsid w:val="001D243F"/>
    <w:rsid w:val="001D2A76"/>
    <w:rsid w:val="001D414A"/>
    <w:rsid w:val="001D494D"/>
    <w:rsid w:val="001D4F66"/>
    <w:rsid w:val="001D5D55"/>
    <w:rsid w:val="001D643A"/>
    <w:rsid w:val="001D6AE8"/>
    <w:rsid w:val="001D7C37"/>
    <w:rsid w:val="001E26A6"/>
    <w:rsid w:val="001E32A0"/>
    <w:rsid w:val="001E33A8"/>
    <w:rsid w:val="001E3855"/>
    <w:rsid w:val="001E424B"/>
    <w:rsid w:val="001E489B"/>
    <w:rsid w:val="001E48E9"/>
    <w:rsid w:val="001E4ECB"/>
    <w:rsid w:val="001E5012"/>
    <w:rsid w:val="001E5024"/>
    <w:rsid w:val="001E578E"/>
    <w:rsid w:val="001E589F"/>
    <w:rsid w:val="001E5CBD"/>
    <w:rsid w:val="001E6605"/>
    <w:rsid w:val="001F15CE"/>
    <w:rsid w:val="001F1AF2"/>
    <w:rsid w:val="001F243D"/>
    <w:rsid w:val="001F2DDF"/>
    <w:rsid w:val="001F3B2D"/>
    <w:rsid w:val="001F3E2F"/>
    <w:rsid w:val="001F3F1F"/>
    <w:rsid w:val="001F4069"/>
    <w:rsid w:val="001F474F"/>
    <w:rsid w:val="001F47DC"/>
    <w:rsid w:val="001F4A2A"/>
    <w:rsid w:val="001F66D1"/>
    <w:rsid w:val="001F6E5E"/>
    <w:rsid w:val="002001F8"/>
    <w:rsid w:val="00200AF6"/>
    <w:rsid w:val="002010BD"/>
    <w:rsid w:val="00201D8A"/>
    <w:rsid w:val="00201DFF"/>
    <w:rsid w:val="0020319C"/>
    <w:rsid w:val="00203232"/>
    <w:rsid w:val="0020346B"/>
    <w:rsid w:val="00204099"/>
    <w:rsid w:val="00205A59"/>
    <w:rsid w:val="00206C82"/>
    <w:rsid w:val="00207161"/>
    <w:rsid w:val="00207AB7"/>
    <w:rsid w:val="00207B92"/>
    <w:rsid w:val="00207C9A"/>
    <w:rsid w:val="00210083"/>
    <w:rsid w:val="002101AD"/>
    <w:rsid w:val="00210376"/>
    <w:rsid w:val="00210530"/>
    <w:rsid w:val="00210B67"/>
    <w:rsid w:val="00212A48"/>
    <w:rsid w:val="002130D2"/>
    <w:rsid w:val="0021316D"/>
    <w:rsid w:val="0021320C"/>
    <w:rsid w:val="0021329C"/>
    <w:rsid w:val="00213A1A"/>
    <w:rsid w:val="0021499B"/>
    <w:rsid w:val="002150A8"/>
    <w:rsid w:val="00215536"/>
    <w:rsid w:val="002155A6"/>
    <w:rsid w:val="00216092"/>
    <w:rsid w:val="002160E0"/>
    <w:rsid w:val="00216403"/>
    <w:rsid w:val="00216B4F"/>
    <w:rsid w:val="002172FA"/>
    <w:rsid w:val="002174AB"/>
    <w:rsid w:val="00217724"/>
    <w:rsid w:val="00217FD7"/>
    <w:rsid w:val="00220227"/>
    <w:rsid w:val="002203AF"/>
    <w:rsid w:val="00221CBE"/>
    <w:rsid w:val="00221F26"/>
    <w:rsid w:val="00222492"/>
    <w:rsid w:val="002225B0"/>
    <w:rsid w:val="002246F8"/>
    <w:rsid w:val="00224DEB"/>
    <w:rsid w:val="00225498"/>
    <w:rsid w:val="00226209"/>
    <w:rsid w:val="0022641B"/>
    <w:rsid w:val="0022675F"/>
    <w:rsid w:val="00226B6F"/>
    <w:rsid w:val="00226DA1"/>
    <w:rsid w:val="0022725A"/>
    <w:rsid w:val="002275A1"/>
    <w:rsid w:val="002278AF"/>
    <w:rsid w:val="00227E95"/>
    <w:rsid w:val="00230242"/>
    <w:rsid w:val="00231971"/>
    <w:rsid w:val="00231CF7"/>
    <w:rsid w:val="002324D2"/>
    <w:rsid w:val="00232755"/>
    <w:rsid w:val="00232F2A"/>
    <w:rsid w:val="00233C87"/>
    <w:rsid w:val="00234095"/>
    <w:rsid w:val="002346B6"/>
    <w:rsid w:val="00234C19"/>
    <w:rsid w:val="00235556"/>
    <w:rsid w:val="00235F78"/>
    <w:rsid w:val="00236AEC"/>
    <w:rsid w:val="002373C0"/>
    <w:rsid w:val="00237427"/>
    <w:rsid w:val="00237725"/>
    <w:rsid w:val="0024009A"/>
    <w:rsid w:val="002400E8"/>
    <w:rsid w:val="00240307"/>
    <w:rsid w:val="002403C9"/>
    <w:rsid w:val="00241689"/>
    <w:rsid w:val="002418AC"/>
    <w:rsid w:val="00241D62"/>
    <w:rsid w:val="00241F8F"/>
    <w:rsid w:val="00241FA0"/>
    <w:rsid w:val="00242A7E"/>
    <w:rsid w:val="00243A56"/>
    <w:rsid w:val="002449E9"/>
    <w:rsid w:val="00245C71"/>
    <w:rsid w:val="002465B3"/>
    <w:rsid w:val="00247361"/>
    <w:rsid w:val="002478A7"/>
    <w:rsid w:val="002502BF"/>
    <w:rsid w:val="002525BF"/>
    <w:rsid w:val="0025267B"/>
    <w:rsid w:val="002536F3"/>
    <w:rsid w:val="00253BA3"/>
    <w:rsid w:val="00254CA5"/>
    <w:rsid w:val="002553A2"/>
    <w:rsid w:val="00255964"/>
    <w:rsid w:val="00256427"/>
    <w:rsid w:val="00256464"/>
    <w:rsid w:val="00256F64"/>
    <w:rsid w:val="002603C6"/>
    <w:rsid w:val="002616F4"/>
    <w:rsid w:val="0026228C"/>
    <w:rsid w:val="002634DC"/>
    <w:rsid w:val="002635F6"/>
    <w:rsid w:val="00263B09"/>
    <w:rsid w:val="00263CA4"/>
    <w:rsid w:val="002647B9"/>
    <w:rsid w:val="00266EE8"/>
    <w:rsid w:val="00266F5B"/>
    <w:rsid w:val="002673EE"/>
    <w:rsid w:val="00267671"/>
    <w:rsid w:val="00267734"/>
    <w:rsid w:val="0026799F"/>
    <w:rsid w:val="00270CD4"/>
    <w:rsid w:val="00270E4C"/>
    <w:rsid w:val="00271353"/>
    <w:rsid w:val="00271425"/>
    <w:rsid w:val="002722FF"/>
    <w:rsid w:val="00272578"/>
    <w:rsid w:val="00272B9D"/>
    <w:rsid w:val="002731FA"/>
    <w:rsid w:val="00273364"/>
    <w:rsid w:val="00273A1B"/>
    <w:rsid w:val="002743C4"/>
    <w:rsid w:val="002747B8"/>
    <w:rsid w:val="00274A9F"/>
    <w:rsid w:val="00275CCC"/>
    <w:rsid w:val="002767DC"/>
    <w:rsid w:val="0027756E"/>
    <w:rsid w:val="00277FDA"/>
    <w:rsid w:val="002804F8"/>
    <w:rsid w:val="00280709"/>
    <w:rsid w:val="002807C4"/>
    <w:rsid w:val="002815A7"/>
    <w:rsid w:val="0028263A"/>
    <w:rsid w:val="00282CEB"/>
    <w:rsid w:val="00284BF1"/>
    <w:rsid w:val="00284EF9"/>
    <w:rsid w:val="00285240"/>
    <w:rsid w:val="00286FB0"/>
    <w:rsid w:val="00287117"/>
    <w:rsid w:val="002875F6"/>
    <w:rsid w:val="002879FE"/>
    <w:rsid w:val="00290608"/>
    <w:rsid w:val="00291105"/>
    <w:rsid w:val="00292A7B"/>
    <w:rsid w:val="002931C3"/>
    <w:rsid w:val="002949FD"/>
    <w:rsid w:val="00294A9B"/>
    <w:rsid w:val="002967A3"/>
    <w:rsid w:val="002967C1"/>
    <w:rsid w:val="00297098"/>
    <w:rsid w:val="0029712D"/>
    <w:rsid w:val="00297B20"/>
    <w:rsid w:val="002A032E"/>
    <w:rsid w:val="002A09F8"/>
    <w:rsid w:val="002A0D32"/>
    <w:rsid w:val="002A1513"/>
    <w:rsid w:val="002A23FB"/>
    <w:rsid w:val="002A2AAF"/>
    <w:rsid w:val="002A308E"/>
    <w:rsid w:val="002A35C6"/>
    <w:rsid w:val="002A3B84"/>
    <w:rsid w:val="002A5314"/>
    <w:rsid w:val="002A6167"/>
    <w:rsid w:val="002A7B29"/>
    <w:rsid w:val="002A7C90"/>
    <w:rsid w:val="002B11F5"/>
    <w:rsid w:val="002B123C"/>
    <w:rsid w:val="002B24FE"/>
    <w:rsid w:val="002B28EF"/>
    <w:rsid w:val="002B3852"/>
    <w:rsid w:val="002B4B19"/>
    <w:rsid w:val="002B4E83"/>
    <w:rsid w:val="002B4F31"/>
    <w:rsid w:val="002B686B"/>
    <w:rsid w:val="002B789A"/>
    <w:rsid w:val="002C0221"/>
    <w:rsid w:val="002C0275"/>
    <w:rsid w:val="002C0484"/>
    <w:rsid w:val="002C0778"/>
    <w:rsid w:val="002C0AB4"/>
    <w:rsid w:val="002C0B08"/>
    <w:rsid w:val="002C1458"/>
    <w:rsid w:val="002C27BC"/>
    <w:rsid w:val="002C2D16"/>
    <w:rsid w:val="002C3399"/>
    <w:rsid w:val="002C5271"/>
    <w:rsid w:val="002C60C3"/>
    <w:rsid w:val="002C61BE"/>
    <w:rsid w:val="002C6BAD"/>
    <w:rsid w:val="002C7279"/>
    <w:rsid w:val="002C72EA"/>
    <w:rsid w:val="002C7590"/>
    <w:rsid w:val="002D0CAA"/>
    <w:rsid w:val="002D111F"/>
    <w:rsid w:val="002D3658"/>
    <w:rsid w:val="002D38D7"/>
    <w:rsid w:val="002D3CCD"/>
    <w:rsid w:val="002D3DD8"/>
    <w:rsid w:val="002D5CF8"/>
    <w:rsid w:val="002D6FE3"/>
    <w:rsid w:val="002D77A2"/>
    <w:rsid w:val="002D7FDC"/>
    <w:rsid w:val="002E028F"/>
    <w:rsid w:val="002E06FF"/>
    <w:rsid w:val="002E0B82"/>
    <w:rsid w:val="002E16B0"/>
    <w:rsid w:val="002E1894"/>
    <w:rsid w:val="002E1F83"/>
    <w:rsid w:val="002E1FC8"/>
    <w:rsid w:val="002E202B"/>
    <w:rsid w:val="002E22A2"/>
    <w:rsid w:val="002E2391"/>
    <w:rsid w:val="002E402E"/>
    <w:rsid w:val="002E4995"/>
    <w:rsid w:val="002E56AD"/>
    <w:rsid w:val="002E6233"/>
    <w:rsid w:val="002E6511"/>
    <w:rsid w:val="002E6A88"/>
    <w:rsid w:val="002E6E58"/>
    <w:rsid w:val="002E7129"/>
    <w:rsid w:val="002E7154"/>
    <w:rsid w:val="002E7184"/>
    <w:rsid w:val="002E7BED"/>
    <w:rsid w:val="002E7CC6"/>
    <w:rsid w:val="002F0522"/>
    <w:rsid w:val="002F06B0"/>
    <w:rsid w:val="002F0E74"/>
    <w:rsid w:val="002F275E"/>
    <w:rsid w:val="002F3019"/>
    <w:rsid w:val="002F3779"/>
    <w:rsid w:val="002F386B"/>
    <w:rsid w:val="002F3D5E"/>
    <w:rsid w:val="002F3FF6"/>
    <w:rsid w:val="002F5F3E"/>
    <w:rsid w:val="002F6407"/>
    <w:rsid w:val="002F6B85"/>
    <w:rsid w:val="00301068"/>
    <w:rsid w:val="00301AD6"/>
    <w:rsid w:val="003027B8"/>
    <w:rsid w:val="00303530"/>
    <w:rsid w:val="003035AD"/>
    <w:rsid w:val="00303A6C"/>
    <w:rsid w:val="00303B90"/>
    <w:rsid w:val="003047E5"/>
    <w:rsid w:val="003048D0"/>
    <w:rsid w:val="003049A9"/>
    <w:rsid w:val="00305488"/>
    <w:rsid w:val="00306B0E"/>
    <w:rsid w:val="00307930"/>
    <w:rsid w:val="00307E17"/>
    <w:rsid w:val="00310A3B"/>
    <w:rsid w:val="003118A7"/>
    <w:rsid w:val="00311A5B"/>
    <w:rsid w:val="00312A95"/>
    <w:rsid w:val="00312DB2"/>
    <w:rsid w:val="00312DCE"/>
    <w:rsid w:val="00312F3B"/>
    <w:rsid w:val="003134A1"/>
    <w:rsid w:val="003141E9"/>
    <w:rsid w:val="0031516B"/>
    <w:rsid w:val="00315245"/>
    <w:rsid w:val="0031612F"/>
    <w:rsid w:val="00316CEB"/>
    <w:rsid w:val="003204CA"/>
    <w:rsid w:val="00320528"/>
    <w:rsid w:val="00320D8C"/>
    <w:rsid w:val="0032131B"/>
    <w:rsid w:val="00321BDB"/>
    <w:rsid w:val="00321FEE"/>
    <w:rsid w:val="0032256C"/>
    <w:rsid w:val="0032653B"/>
    <w:rsid w:val="00326F1E"/>
    <w:rsid w:val="0032798B"/>
    <w:rsid w:val="00327F75"/>
    <w:rsid w:val="00330DD3"/>
    <w:rsid w:val="00330E96"/>
    <w:rsid w:val="00332075"/>
    <w:rsid w:val="0033227F"/>
    <w:rsid w:val="00332B3D"/>
    <w:rsid w:val="00332DA2"/>
    <w:rsid w:val="003346F8"/>
    <w:rsid w:val="00336434"/>
    <w:rsid w:val="00337870"/>
    <w:rsid w:val="0034086D"/>
    <w:rsid w:val="00340AF6"/>
    <w:rsid w:val="00340BAB"/>
    <w:rsid w:val="00343417"/>
    <w:rsid w:val="003438C6"/>
    <w:rsid w:val="00345225"/>
    <w:rsid w:val="003452D9"/>
    <w:rsid w:val="003457BB"/>
    <w:rsid w:val="00346050"/>
    <w:rsid w:val="003473FF"/>
    <w:rsid w:val="00347478"/>
    <w:rsid w:val="00347A59"/>
    <w:rsid w:val="00351B78"/>
    <w:rsid w:val="003521B5"/>
    <w:rsid w:val="003523BA"/>
    <w:rsid w:val="00353E4C"/>
    <w:rsid w:val="00354D09"/>
    <w:rsid w:val="00354EA0"/>
    <w:rsid w:val="00355326"/>
    <w:rsid w:val="0035545B"/>
    <w:rsid w:val="00355659"/>
    <w:rsid w:val="00355E48"/>
    <w:rsid w:val="00356011"/>
    <w:rsid w:val="0035775E"/>
    <w:rsid w:val="00360887"/>
    <w:rsid w:val="00360AB3"/>
    <w:rsid w:val="003619D2"/>
    <w:rsid w:val="00362250"/>
    <w:rsid w:val="00362758"/>
    <w:rsid w:val="003632D9"/>
    <w:rsid w:val="00366418"/>
    <w:rsid w:val="00366639"/>
    <w:rsid w:val="00366C8E"/>
    <w:rsid w:val="00366EF1"/>
    <w:rsid w:val="0036780D"/>
    <w:rsid w:val="003702A6"/>
    <w:rsid w:val="003706AB"/>
    <w:rsid w:val="0037088F"/>
    <w:rsid w:val="00370E0D"/>
    <w:rsid w:val="003716DA"/>
    <w:rsid w:val="00371CE9"/>
    <w:rsid w:val="00372156"/>
    <w:rsid w:val="00372C95"/>
    <w:rsid w:val="00372E68"/>
    <w:rsid w:val="003737CD"/>
    <w:rsid w:val="0037484F"/>
    <w:rsid w:val="00375919"/>
    <w:rsid w:val="00376347"/>
    <w:rsid w:val="003765F0"/>
    <w:rsid w:val="003778BA"/>
    <w:rsid w:val="003812FE"/>
    <w:rsid w:val="0038335A"/>
    <w:rsid w:val="003836D2"/>
    <w:rsid w:val="003836DB"/>
    <w:rsid w:val="00383EC0"/>
    <w:rsid w:val="0038740F"/>
    <w:rsid w:val="003877E8"/>
    <w:rsid w:val="0038794D"/>
    <w:rsid w:val="00387E08"/>
    <w:rsid w:val="003904F0"/>
    <w:rsid w:val="00390EC6"/>
    <w:rsid w:val="003912D9"/>
    <w:rsid w:val="00391EFC"/>
    <w:rsid w:val="00392282"/>
    <w:rsid w:val="00393010"/>
    <w:rsid w:val="00393110"/>
    <w:rsid w:val="00393D37"/>
    <w:rsid w:val="003945F4"/>
    <w:rsid w:val="00394895"/>
    <w:rsid w:val="00394CBE"/>
    <w:rsid w:val="0039599D"/>
    <w:rsid w:val="00395CB2"/>
    <w:rsid w:val="00395D5F"/>
    <w:rsid w:val="0039605B"/>
    <w:rsid w:val="00396550"/>
    <w:rsid w:val="00397366"/>
    <w:rsid w:val="0039784E"/>
    <w:rsid w:val="00397EB0"/>
    <w:rsid w:val="003A0873"/>
    <w:rsid w:val="003A0DB6"/>
    <w:rsid w:val="003A0FFA"/>
    <w:rsid w:val="003A1E4D"/>
    <w:rsid w:val="003A2025"/>
    <w:rsid w:val="003A336A"/>
    <w:rsid w:val="003A3384"/>
    <w:rsid w:val="003A35A1"/>
    <w:rsid w:val="003A5243"/>
    <w:rsid w:val="003A53F8"/>
    <w:rsid w:val="003B0439"/>
    <w:rsid w:val="003B0AC4"/>
    <w:rsid w:val="003B0BE5"/>
    <w:rsid w:val="003B19D8"/>
    <w:rsid w:val="003B1D0C"/>
    <w:rsid w:val="003B3543"/>
    <w:rsid w:val="003B3EBC"/>
    <w:rsid w:val="003B4047"/>
    <w:rsid w:val="003B633C"/>
    <w:rsid w:val="003B7142"/>
    <w:rsid w:val="003B7359"/>
    <w:rsid w:val="003B7902"/>
    <w:rsid w:val="003B7A21"/>
    <w:rsid w:val="003C1288"/>
    <w:rsid w:val="003C13F9"/>
    <w:rsid w:val="003C35CD"/>
    <w:rsid w:val="003C3864"/>
    <w:rsid w:val="003C399B"/>
    <w:rsid w:val="003C3B94"/>
    <w:rsid w:val="003C4238"/>
    <w:rsid w:val="003C6496"/>
    <w:rsid w:val="003C6EF6"/>
    <w:rsid w:val="003C75FF"/>
    <w:rsid w:val="003C762E"/>
    <w:rsid w:val="003C7A5E"/>
    <w:rsid w:val="003D0497"/>
    <w:rsid w:val="003D0DBD"/>
    <w:rsid w:val="003D0FFA"/>
    <w:rsid w:val="003D1550"/>
    <w:rsid w:val="003D1789"/>
    <w:rsid w:val="003D1E51"/>
    <w:rsid w:val="003D22CB"/>
    <w:rsid w:val="003D28DB"/>
    <w:rsid w:val="003D396A"/>
    <w:rsid w:val="003D3F1E"/>
    <w:rsid w:val="003D55E4"/>
    <w:rsid w:val="003D60D4"/>
    <w:rsid w:val="003D6606"/>
    <w:rsid w:val="003D66C9"/>
    <w:rsid w:val="003D7678"/>
    <w:rsid w:val="003D7931"/>
    <w:rsid w:val="003D79EA"/>
    <w:rsid w:val="003D7A21"/>
    <w:rsid w:val="003E0686"/>
    <w:rsid w:val="003E1133"/>
    <w:rsid w:val="003E13EF"/>
    <w:rsid w:val="003E1568"/>
    <w:rsid w:val="003E1F95"/>
    <w:rsid w:val="003E2AB8"/>
    <w:rsid w:val="003E2F70"/>
    <w:rsid w:val="003E3526"/>
    <w:rsid w:val="003E35BF"/>
    <w:rsid w:val="003E4720"/>
    <w:rsid w:val="003E48DE"/>
    <w:rsid w:val="003E4BAF"/>
    <w:rsid w:val="003E5E41"/>
    <w:rsid w:val="003E6F35"/>
    <w:rsid w:val="003F165B"/>
    <w:rsid w:val="003F1B20"/>
    <w:rsid w:val="003F1CB6"/>
    <w:rsid w:val="003F2CA3"/>
    <w:rsid w:val="003F2F03"/>
    <w:rsid w:val="003F3078"/>
    <w:rsid w:val="003F337F"/>
    <w:rsid w:val="003F452B"/>
    <w:rsid w:val="003F6A8B"/>
    <w:rsid w:val="003F6BD4"/>
    <w:rsid w:val="003F6CEE"/>
    <w:rsid w:val="003F6D10"/>
    <w:rsid w:val="0040109C"/>
    <w:rsid w:val="00401F40"/>
    <w:rsid w:val="0040275F"/>
    <w:rsid w:val="004036E6"/>
    <w:rsid w:val="00403D7F"/>
    <w:rsid w:val="004041D5"/>
    <w:rsid w:val="00404E2B"/>
    <w:rsid w:val="00405189"/>
    <w:rsid w:val="00406092"/>
    <w:rsid w:val="00407104"/>
    <w:rsid w:val="0040715C"/>
    <w:rsid w:val="00407597"/>
    <w:rsid w:val="00407E60"/>
    <w:rsid w:val="00410287"/>
    <w:rsid w:val="00410AF6"/>
    <w:rsid w:val="0041117E"/>
    <w:rsid w:val="004115B6"/>
    <w:rsid w:val="00411F4F"/>
    <w:rsid w:val="004126E0"/>
    <w:rsid w:val="00412C48"/>
    <w:rsid w:val="004131D0"/>
    <w:rsid w:val="00413A37"/>
    <w:rsid w:val="00413DD7"/>
    <w:rsid w:val="00414009"/>
    <w:rsid w:val="004143B8"/>
    <w:rsid w:val="00414FF7"/>
    <w:rsid w:val="00416639"/>
    <w:rsid w:val="00416BF1"/>
    <w:rsid w:val="00416E33"/>
    <w:rsid w:val="004176C9"/>
    <w:rsid w:val="00421A6C"/>
    <w:rsid w:val="00421C0E"/>
    <w:rsid w:val="00422587"/>
    <w:rsid w:val="0042268C"/>
    <w:rsid w:val="004239C3"/>
    <w:rsid w:val="00424BC0"/>
    <w:rsid w:val="00424CA9"/>
    <w:rsid w:val="00425886"/>
    <w:rsid w:val="00425CB3"/>
    <w:rsid w:val="00425FC4"/>
    <w:rsid w:val="00426487"/>
    <w:rsid w:val="00426BAF"/>
    <w:rsid w:val="00427463"/>
    <w:rsid w:val="00427B92"/>
    <w:rsid w:val="0043078A"/>
    <w:rsid w:val="004307BC"/>
    <w:rsid w:val="0043090E"/>
    <w:rsid w:val="00430C94"/>
    <w:rsid w:val="00432183"/>
    <w:rsid w:val="00432379"/>
    <w:rsid w:val="00434703"/>
    <w:rsid w:val="004347EB"/>
    <w:rsid w:val="0043561E"/>
    <w:rsid w:val="0043598B"/>
    <w:rsid w:val="00435E7F"/>
    <w:rsid w:val="0043674F"/>
    <w:rsid w:val="004378C0"/>
    <w:rsid w:val="004406E8"/>
    <w:rsid w:val="00440CC7"/>
    <w:rsid w:val="00442B9A"/>
    <w:rsid w:val="00442FC1"/>
    <w:rsid w:val="00443F56"/>
    <w:rsid w:val="00445461"/>
    <w:rsid w:val="004456F3"/>
    <w:rsid w:val="0044581C"/>
    <w:rsid w:val="00445893"/>
    <w:rsid w:val="00445F89"/>
    <w:rsid w:val="00446290"/>
    <w:rsid w:val="00447660"/>
    <w:rsid w:val="00447CF6"/>
    <w:rsid w:val="00447F7F"/>
    <w:rsid w:val="00447FED"/>
    <w:rsid w:val="004502AC"/>
    <w:rsid w:val="0045030D"/>
    <w:rsid w:val="00450B1A"/>
    <w:rsid w:val="00450B39"/>
    <w:rsid w:val="00450BEA"/>
    <w:rsid w:val="00450EF0"/>
    <w:rsid w:val="00452717"/>
    <w:rsid w:val="004548F5"/>
    <w:rsid w:val="00455696"/>
    <w:rsid w:val="004559A7"/>
    <w:rsid w:val="00456898"/>
    <w:rsid w:val="00460198"/>
    <w:rsid w:val="004605BC"/>
    <w:rsid w:val="00460BEB"/>
    <w:rsid w:val="00460CEE"/>
    <w:rsid w:val="0046179E"/>
    <w:rsid w:val="00461AC1"/>
    <w:rsid w:val="00461F02"/>
    <w:rsid w:val="00462987"/>
    <w:rsid w:val="00462C59"/>
    <w:rsid w:val="0046392E"/>
    <w:rsid w:val="00463CC3"/>
    <w:rsid w:val="0046457A"/>
    <w:rsid w:val="004657CA"/>
    <w:rsid w:val="00466857"/>
    <w:rsid w:val="00466AAF"/>
    <w:rsid w:val="00466D34"/>
    <w:rsid w:val="004677BA"/>
    <w:rsid w:val="00467C95"/>
    <w:rsid w:val="00472FC6"/>
    <w:rsid w:val="004736A8"/>
    <w:rsid w:val="004737CA"/>
    <w:rsid w:val="0047391E"/>
    <w:rsid w:val="00473EF5"/>
    <w:rsid w:val="004742DE"/>
    <w:rsid w:val="00474C04"/>
    <w:rsid w:val="00475513"/>
    <w:rsid w:val="004761DF"/>
    <w:rsid w:val="00476830"/>
    <w:rsid w:val="00477578"/>
    <w:rsid w:val="00477621"/>
    <w:rsid w:val="00477B8A"/>
    <w:rsid w:val="00481542"/>
    <w:rsid w:val="00481839"/>
    <w:rsid w:val="00485348"/>
    <w:rsid w:val="00485515"/>
    <w:rsid w:val="00485BAA"/>
    <w:rsid w:val="00486119"/>
    <w:rsid w:val="004916D3"/>
    <w:rsid w:val="00491BB3"/>
    <w:rsid w:val="004923B4"/>
    <w:rsid w:val="004925A1"/>
    <w:rsid w:val="0049363D"/>
    <w:rsid w:val="00494784"/>
    <w:rsid w:val="004947AF"/>
    <w:rsid w:val="004947FD"/>
    <w:rsid w:val="004949B3"/>
    <w:rsid w:val="0049534B"/>
    <w:rsid w:val="004956F0"/>
    <w:rsid w:val="00495DD9"/>
    <w:rsid w:val="004976F4"/>
    <w:rsid w:val="00497D2D"/>
    <w:rsid w:val="00497E15"/>
    <w:rsid w:val="004A19D2"/>
    <w:rsid w:val="004A1CBF"/>
    <w:rsid w:val="004A2A95"/>
    <w:rsid w:val="004A324B"/>
    <w:rsid w:val="004A3FA6"/>
    <w:rsid w:val="004A5441"/>
    <w:rsid w:val="004A6CAA"/>
    <w:rsid w:val="004A7D90"/>
    <w:rsid w:val="004B009D"/>
    <w:rsid w:val="004B01C0"/>
    <w:rsid w:val="004B21D7"/>
    <w:rsid w:val="004B3528"/>
    <w:rsid w:val="004B3C1F"/>
    <w:rsid w:val="004B5E16"/>
    <w:rsid w:val="004B5F85"/>
    <w:rsid w:val="004B6DAB"/>
    <w:rsid w:val="004B79A4"/>
    <w:rsid w:val="004B7DE9"/>
    <w:rsid w:val="004C1D23"/>
    <w:rsid w:val="004C1D7D"/>
    <w:rsid w:val="004C2D29"/>
    <w:rsid w:val="004C2EC4"/>
    <w:rsid w:val="004C3350"/>
    <w:rsid w:val="004C49B0"/>
    <w:rsid w:val="004C49FB"/>
    <w:rsid w:val="004C4ED8"/>
    <w:rsid w:val="004C523B"/>
    <w:rsid w:val="004C5BF5"/>
    <w:rsid w:val="004C5DFE"/>
    <w:rsid w:val="004C6CF9"/>
    <w:rsid w:val="004C74A0"/>
    <w:rsid w:val="004D0ACF"/>
    <w:rsid w:val="004D0AF6"/>
    <w:rsid w:val="004D0EBB"/>
    <w:rsid w:val="004D27A6"/>
    <w:rsid w:val="004D2B1C"/>
    <w:rsid w:val="004D3E09"/>
    <w:rsid w:val="004D4312"/>
    <w:rsid w:val="004D4764"/>
    <w:rsid w:val="004D4DBB"/>
    <w:rsid w:val="004D53C5"/>
    <w:rsid w:val="004D5BF9"/>
    <w:rsid w:val="004D604A"/>
    <w:rsid w:val="004D618A"/>
    <w:rsid w:val="004D7CB1"/>
    <w:rsid w:val="004E0241"/>
    <w:rsid w:val="004E0FE4"/>
    <w:rsid w:val="004E1FE3"/>
    <w:rsid w:val="004E2ADD"/>
    <w:rsid w:val="004E2FC0"/>
    <w:rsid w:val="004E3A36"/>
    <w:rsid w:val="004E3B96"/>
    <w:rsid w:val="004E4CF2"/>
    <w:rsid w:val="004E52BA"/>
    <w:rsid w:val="004E53FA"/>
    <w:rsid w:val="004E5676"/>
    <w:rsid w:val="004E5B80"/>
    <w:rsid w:val="004E5E72"/>
    <w:rsid w:val="004F0740"/>
    <w:rsid w:val="004F0F08"/>
    <w:rsid w:val="004F12A4"/>
    <w:rsid w:val="004F19ED"/>
    <w:rsid w:val="004F2172"/>
    <w:rsid w:val="004F226F"/>
    <w:rsid w:val="004F2979"/>
    <w:rsid w:val="004F36CE"/>
    <w:rsid w:val="004F3BA6"/>
    <w:rsid w:val="004F3C3C"/>
    <w:rsid w:val="004F3C6D"/>
    <w:rsid w:val="004F4583"/>
    <w:rsid w:val="004F4F80"/>
    <w:rsid w:val="004F541D"/>
    <w:rsid w:val="004F680F"/>
    <w:rsid w:val="004F681E"/>
    <w:rsid w:val="004F774C"/>
    <w:rsid w:val="004F788C"/>
    <w:rsid w:val="004F7924"/>
    <w:rsid w:val="0050010F"/>
    <w:rsid w:val="005017D6"/>
    <w:rsid w:val="00501A79"/>
    <w:rsid w:val="00501CBA"/>
    <w:rsid w:val="005025AC"/>
    <w:rsid w:val="00502A47"/>
    <w:rsid w:val="00502BC6"/>
    <w:rsid w:val="00502E27"/>
    <w:rsid w:val="00503C9D"/>
    <w:rsid w:val="00504320"/>
    <w:rsid w:val="00504547"/>
    <w:rsid w:val="0050503A"/>
    <w:rsid w:val="00505FEA"/>
    <w:rsid w:val="00507288"/>
    <w:rsid w:val="00507D7B"/>
    <w:rsid w:val="00510119"/>
    <w:rsid w:val="0051055C"/>
    <w:rsid w:val="00510792"/>
    <w:rsid w:val="005108F0"/>
    <w:rsid w:val="00510937"/>
    <w:rsid w:val="00510FE1"/>
    <w:rsid w:val="00511ADA"/>
    <w:rsid w:val="00511BD4"/>
    <w:rsid w:val="005127DC"/>
    <w:rsid w:val="005148CB"/>
    <w:rsid w:val="00514990"/>
    <w:rsid w:val="00514A8B"/>
    <w:rsid w:val="00516278"/>
    <w:rsid w:val="005164D8"/>
    <w:rsid w:val="00517DAC"/>
    <w:rsid w:val="005201E3"/>
    <w:rsid w:val="005208FF"/>
    <w:rsid w:val="00521B08"/>
    <w:rsid w:val="00526DC4"/>
    <w:rsid w:val="005271F9"/>
    <w:rsid w:val="00527AFC"/>
    <w:rsid w:val="00527DC0"/>
    <w:rsid w:val="0053042C"/>
    <w:rsid w:val="00530493"/>
    <w:rsid w:val="0053069E"/>
    <w:rsid w:val="0053077A"/>
    <w:rsid w:val="00530CF6"/>
    <w:rsid w:val="0053216D"/>
    <w:rsid w:val="005328B4"/>
    <w:rsid w:val="00533DD5"/>
    <w:rsid w:val="0053420D"/>
    <w:rsid w:val="00534C6B"/>
    <w:rsid w:val="005352DF"/>
    <w:rsid w:val="005353F7"/>
    <w:rsid w:val="0053554F"/>
    <w:rsid w:val="0053555F"/>
    <w:rsid w:val="00535B2A"/>
    <w:rsid w:val="00536EE4"/>
    <w:rsid w:val="0053726B"/>
    <w:rsid w:val="005403A3"/>
    <w:rsid w:val="00541963"/>
    <w:rsid w:val="00541996"/>
    <w:rsid w:val="00541C3A"/>
    <w:rsid w:val="00541E2E"/>
    <w:rsid w:val="005426E4"/>
    <w:rsid w:val="0054282A"/>
    <w:rsid w:val="00542A1F"/>
    <w:rsid w:val="00543682"/>
    <w:rsid w:val="00544156"/>
    <w:rsid w:val="005441C4"/>
    <w:rsid w:val="00544A38"/>
    <w:rsid w:val="00544CF4"/>
    <w:rsid w:val="00544D55"/>
    <w:rsid w:val="005455FD"/>
    <w:rsid w:val="00545638"/>
    <w:rsid w:val="00546CD5"/>
    <w:rsid w:val="005470A9"/>
    <w:rsid w:val="00550011"/>
    <w:rsid w:val="005501DB"/>
    <w:rsid w:val="00550829"/>
    <w:rsid w:val="005513D3"/>
    <w:rsid w:val="00552196"/>
    <w:rsid w:val="00553404"/>
    <w:rsid w:val="005535A4"/>
    <w:rsid w:val="00553757"/>
    <w:rsid w:val="00553FDE"/>
    <w:rsid w:val="00554F9B"/>
    <w:rsid w:val="00555E31"/>
    <w:rsid w:val="005562E1"/>
    <w:rsid w:val="0055679C"/>
    <w:rsid w:val="0055692C"/>
    <w:rsid w:val="00557462"/>
    <w:rsid w:val="00560129"/>
    <w:rsid w:val="005602E5"/>
    <w:rsid w:val="00561361"/>
    <w:rsid w:val="005616CC"/>
    <w:rsid w:val="00561759"/>
    <w:rsid w:val="00561C87"/>
    <w:rsid w:val="00562A9C"/>
    <w:rsid w:val="00563F68"/>
    <w:rsid w:val="0056432C"/>
    <w:rsid w:val="005648B1"/>
    <w:rsid w:val="0056554A"/>
    <w:rsid w:val="0056656D"/>
    <w:rsid w:val="00567AAC"/>
    <w:rsid w:val="00567FEE"/>
    <w:rsid w:val="00571400"/>
    <w:rsid w:val="00572907"/>
    <w:rsid w:val="00572F76"/>
    <w:rsid w:val="00572FB1"/>
    <w:rsid w:val="005741AA"/>
    <w:rsid w:val="00574F43"/>
    <w:rsid w:val="00575F4D"/>
    <w:rsid w:val="0057627C"/>
    <w:rsid w:val="0057709F"/>
    <w:rsid w:val="00577174"/>
    <w:rsid w:val="00581CDB"/>
    <w:rsid w:val="00583DDA"/>
    <w:rsid w:val="00584C8F"/>
    <w:rsid w:val="00585A48"/>
    <w:rsid w:val="00585DCA"/>
    <w:rsid w:val="00586E9A"/>
    <w:rsid w:val="005876FF"/>
    <w:rsid w:val="00591004"/>
    <w:rsid w:val="00591643"/>
    <w:rsid w:val="00593FE4"/>
    <w:rsid w:val="00594255"/>
    <w:rsid w:val="00594422"/>
    <w:rsid w:val="00594501"/>
    <w:rsid w:val="0059474C"/>
    <w:rsid w:val="005959D0"/>
    <w:rsid w:val="00596280"/>
    <w:rsid w:val="00596636"/>
    <w:rsid w:val="0059704A"/>
    <w:rsid w:val="005972A6"/>
    <w:rsid w:val="00597364"/>
    <w:rsid w:val="00597ECA"/>
    <w:rsid w:val="00597EF9"/>
    <w:rsid w:val="005A0966"/>
    <w:rsid w:val="005A12F9"/>
    <w:rsid w:val="005A27D3"/>
    <w:rsid w:val="005A2FE5"/>
    <w:rsid w:val="005A3D49"/>
    <w:rsid w:val="005A483A"/>
    <w:rsid w:val="005A6270"/>
    <w:rsid w:val="005A64D3"/>
    <w:rsid w:val="005A6A87"/>
    <w:rsid w:val="005A7800"/>
    <w:rsid w:val="005A7910"/>
    <w:rsid w:val="005B0300"/>
    <w:rsid w:val="005B0B81"/>
    <w:rsid w:val="005B16BB"/>
    <w:rsid w:val="005B2831"/>
    <w:rsid w:val="005B2B73"/>
    <w:rsid w:val="005B3EB3"/>
    <w:rsid w:val="005B409E"/>
    <w:rsid w:val="005B6FDF"/>
    <w:rsid w:val="005B7124"/>
    <w:rsid w:val="005B77E5"/>
    <w:rsid w:val="005B79BC"/>
    <w:rsid w:val="005C11DB"/>
    <w:rsid w:val="005C299D"/>
    <w:rsid w:val="005C2B3A"/>
    <w:rsid w:val="005C30A1"/>
    <w:rsid w:val="005C3D39"/>
    <w:rsid w:val="005C40C4"/>
    <w:rsid w:val="005C51AC"/>
    <w:rsid w:val="005C5D61"/>
    <w:rsid w:val="005C5E94"/>
    <w:rsid w:val="005C7157"/>
    <w:rsid w:val="005C7ADC"/>
    <w:rsid w:val="005D0AC4"/>
    <w:rsid w:val="005D0DAD"/>
    <w:rsid w:val="005D1913"/>
    <w:rsid w:val="005D1CA5"/>
    <w:rsid w:val="005D1E7A"/>
    <w:rsid w:val="005D22F8"/>
    <w:rsid w:val="005D267E"/>
    <w:rsid w:val="005D2853"/>
    <w:rsid w:val="005D4FD0"/>
    <w:rsid w:val="005D5942"/>
    <w:rsid w:val="005D5E14"/>
    <w:rsid w:val="005D6244"/>
    <w:rsid w:val="005D6822"/>
    <w:rsid w:val="005D74CC"/>
    <w:rsid w:val="005E006E"/>
    <w:rsid w:val="005E05F1"/>
    <w:rsid w:val="005E0840"/>
    <w:rsid w:val="005E1254"/>
    <w:rsid w:val="005E1CF2"/>
    <w:rsid w:val="005E2584"/>
    <w:rsid w:val="005E2606"/>
    <w:rsid w:val="005E2C51"/>
    <w:rsid w:val="005E311C"/>
    <w:rsid w:val="005E3CA2"/>
    <w:rsid w:val="005E47BB"/>
    <w:rsid w:val="005E69C9"/>
    <w:rsid w:val="005E7036"/>
    <w:rsid w:val="005E7F3E"/>
    <w:rsid w:val="005F013C"/>
    <w:rsid w:val="005F02AB"/>
    <w:rsid w:val="005F068D"/>
    <w:rsid w:val="005F08E6"/>
    <w:rsid w:val="005F0BFB"/>
    <w:rsid w:val="005F17AF"/>
    <w:rsid w:val="005F1ED1"/>
    <w:rsid w:val="005F7C66"/>
    <w:rsid w:val="00600926"/>
    <w:rsid w:val="00600B9C"/>
    <w:rsid w:val="00601176"/>
    <w:rsid w:val="006015DB"/>
    <w:rsid w:val="00601776"/>
    <w:rsid w:val="00602069"/>
    <w:rsid w:val="00603B87"/>
    <w:rsid w:val="006045F3"/>
    <w:rsid w:val="00604DD7"/>
    <w:rsid w:val="00605D7F"/>
    <w:rsid w:val="00605E40"/>
    <w:rsid w:val="00605FF5"/>
    <w:rsid w:val="006065E6"/>
    <w:rsid w:val="00606601"/>
    <w:rsid w:val="00610414"/>
    <w:rsid w:val="0061055A"/>
    <w:rsid w:val="00610C71"/>
    <w:rsid w:val="00610E4E"/>
    <w:rsid w:val="00611682"/>
    <w:rsid w:val="00611E56"/>
    <w:rsid w:val="0061263F"/>
    <w:rsid w:val="006146A3"/>
    <w:rsid w:val="00614E26"/>
    <w:rsid w:val="0061507D"/>
    <w:rsid w:val="006154EB"/>
    <w:rsid w:val="00615570"/>
    <w:rsid w:val="006177F3"/>
    <w:rsid w:val="00617CC7"/>
    <w:rsid w:val="0062022E"/>
    <w:rsid w:val="0062068A"/>
    <w:rsid w:val="00624037"/>
    <w:rsid w:val="006241CB"/>
    <w:rsid w:val="00624D19"/>
    <w:rsid w:val="006262BA"/>
    <w:rsid w:val="0062665C"/>
    <w:rsid w:val="00626814"/>
    <w:rsid w:val="00627A88"/>
    <w:rsid w:val="00627D37"/>
    <w:rsid w:val="006308A9"/>
    <w:rsid w:val="00630F9A"/>
    <w:rsid w:val="00632114"/>
    <w:rsid w:val="006322D2"/>
    <w:rsid w:val="00632543"/>
    <w:rsid w:val="006326E7"/>
    <w:rsid w:val="00633463"/>
    <w:rsid w:val="0063373E"/>
    <w:rsid w:val="0063398B"/>
    <w:rsid w:val="00633CC2"/>
    <w:rsid w:val="00634403"/>
    <w:rsid w:val="00634717"/>
    <w:rsid w:val="00634DB5"/>
    <w:rsid w:val="006366A8"/>
    <w:rsid w:val="006379B5"/>
    <w:rsid w:val="00640366"/>
    <w:rsid w:val="0064152F"/>
    <w:rsid w:val="00642513"/>
    <w:rsid w:val="006434A0"/>
    <w:rsid w:val="00643AD8"/>
    <w:rsid w:val="00643C0B"/>
    <w:rsid w:val="00644D5F"/>
    <w:rsid w:val="00645D88"/>
    <w:rsid w:val="006518E4"/>
    <w:rsid w:val="006519F7"/>
    <w:rsid w:val="00651B74"/>
    <w:rsid w:val="006523C8"/>
    <w:rsid w:val="006524A3"/>
    <w:rsid w:val="006527E4"/>
    <w:rsid w:val="00653E71"/>
    <w:rsid w:val="00654032"/>
    <w:rsid w:val="006547F9"/>
    <w:rsid w:val="00654900"/>
    <w:rsid w:val="006558BB"/>
    <w:rsid w:val="00655A3E"/>
    <w:rsid w:val="00655EE6"/>
    <w:rsid w:val="00660791"/>
    <w:rsid w:val="00660952"/>
    <w:rsid w:val="00660D85"/>
    <w:rsid w:val="00661085"/>
    <w:rsid w:val="00661180"/>
    <w:rsid w:val="00662221"/>
    <w:rsid w:val="0066287B"/>
    <w:rsid w:val="006635BA"/>
    <w:rsid w:val="0066364F"/>
    <w:rsid w:val="00663C05"/>
    <w:rsid w:val="00664357"/>
    <w:rsid w:val="006657CC"/>
    <w:rsid w:val="00665818"/>
    <w:rsid w:val="00666443"/>
    <w:rsid w:val="006666D2"/>
    <w:rsid w:val="00666BEF"/>
    <w:rsid w:val="0067047C"/>
    <w:rsid w:val="0067047F"/>
    <w:rsid w:val="006706C6"/>
    <w:rsid w:val="006715C9"/>
    <w:rsid w:val="006717C0"/>
    <w:rsid w:val="00671B8F"/>
    <w:rsid w:val="00671BD0"/>
    <w:rsid w:val="0067246B"/>
    <w:rsid w:val="006729EB"/>
    <w:rsid w:val="00672E3A"/>
    <w:rsid w:val="0067332F"/>
    <w:rsid w:val="00673475"/>
    <w:rsid w:val="0067398E"/>
    <w:rsid w:val="00673D8E"/>
    <w:rsid w:val="006743C9"/>
    <w:rsid w:val="00674E65"/>
    <w:rsid w:val="00675890"/>
    <w:rsid w:val="006761DE"/>
    <w:rsid w:val="00676901"/>
    <w:rsid w:val="00677043"/>
    <w:rsid w:val="00677188"/>
    <w:rsid w:val="00677274"/>
    <w:rsid w:val="0067752E"/>
    <w:rsid w:val="00677C94"/>
    <w:rsid w:val="006803EF"/>
    <w:rsid w:val="0068087C"/>
    <w:rsid w:val="00680B23"/>
    <w:rsid w:val="00680B4D"/>
    <w:rsid w:val="00681B4E"/>
    <w:rsid w:val="006825D7"/>
    <w:rsid w:val="00683183"/>
    <w:rsid w:val="00684714"/>
    <w:rsid w:val="00684A60"/>
    <w:rsid w:val="00684CB8"/>
    <w:rsid w:val="00685787"/>
    <w:rsid w:val="00685ABF"/>
    <w:rsid w:val="00685BAA"/>
    <w:rsid w:val="00686EF8"/>
    <w:rsid w:val="006873B0"/>
    <w:rsid w:val="00687BB1"/>
    <w:rsid w:val="00690633"/>
    <w:rsid w:val="00690B5D"/>
    <w:rsid w:val="00691C26"/>
    <w:rsid w:val="006925AE"/>
    <w:rsid w:val="00692C33"/>
    <w:rsid w:val="00693493"/>
    <w:rsid w:val="0069373A"/>
    <w:rsid w:val="00694C65"/>
    <w:rsid w:val="00694FC3"/>
    <w:rsid w:val="00696699"/>
    <w:rsid w:val="00696A2C"/>
    <w:rsid w:val="006A07C3"/>
    <w:rsid w:val="006A13BF"/>
    <w:rsid w:val="006A16BA"/>
    <w:rsid w:val="006A284E"/>
    <w:rsid w:val="006A2AA6"/>
    <w:rsid w:val="006A38EB"/>
    <w:rsid w:val="006A3E81"/>
    <w:rsid w:val="006A488F"/>
    <w:rsid w:val="006A4EAE"/>
    <w:rsid w:val="006A612B"/>
    <w:rsid w:val="006A7B4B"/>
    <w:rsid w:val="006B05AC"/>
    <w:rsid w:val="006B11C8"/>
    <w:rsid w:val="006B151D"/>
    <w:rsid w:val="006B1AEA"/>
    <w:rsid w:val="006B1C05"/>
    <w:rsid w:val="006B23DC"/>
    <w:rsid w:val="006B2591"/>
    <w:rsid w:val="006B472E"/>
    <w:rsid w:val="006B527D"/>
    <w:rsid w:val="006B5B83"/>
    <w:rsid w:val="006B662A"/>
    <w:rsid w:val="006B6946"/>
    <w:rsid w:val="006B70A4"/>
    <w:rsid w:val="006C054D"/>
    <w:rsid w:val="006C0B5E"/>
    <w:rsid w:val="006C217F"/>
    <w:rsid w:val="006C2303"/>
    <w:rsid w:val="006C2505"/>
    <w:rsid w:val="006C265A"/>
    <w:rsid w:val="006C2E4A"/>
    <w:rsid w:val="006C357E"/>
    <w:rsid w:val="006C3A28"/>
    <w:rsid w:val="006C620E"/>
    <w:rsid w:val="006C6E4A"/>
    <w:rsid w:val="006C79DE"/>
    <w:rsid w:val="006D00D7"/>
    <w:rsid w:val="006D010B"/>
    <w:rsid w:val="006D0A95"/>
    <w:rsid w:val="006D0C8F"/>
    <w:rsid w:val="006D1141"/>
    <w:rsid w:val="006D1459"/>
    <w:rsid w:val="006D32CA"/>
    <w:rsid w:val="006D49E1"/>
    <w:rsid w:val="006D4A41"/>
    <w:rsid w:val="006D6373"/>
    <w:rsid w:val="006D6C6C"/>
    <w:rsid w:val="006E10C4"/>
    <w:rsid w:val="006E3035"/>
    <w:rsid w:val="006E30F0"/>
    <w:rsid w:val="006E34EC"/>
    <w:rsid w:val="006E3B3F"/>
    <w:rsid w:val="006E454E"/>
    <w:rsid w:val="006E5B74"/>
    <w:rsid w:val="006E6433"/>
    <w:rsid w:val="006E6857"/>
    <w:rsid w:val="006E6A2F"/>
    <w:rsid w:val="006E73AE"/>
    <w:rsid w:val="006F1126"/>
    <w:rsid w:val="006F1174"/>
    <w:rsid w:val="006F1BAE"/>
    <w:rsid w:val="006F1FC2"/>
    <w:rsid w:val="006F2563"/>
    <w:rsid w:val="006F262D"/>
    <w:rsid w:val="006F2F48"/>
    <w:rsid w:val="006F3E88"/>
    <w:rsid w:val="006F5181"/>
    <w:rsid w:val="006F5B73"/>
    <w:rsid w:val="006F63D7"/>
    <w:rsid w:val="006F666A"/>
    <w:rsid w:val="006F6832"/>
    <w:rsid w:val="006F6997"/>
    <w:rsid w:val="006F706D"/>
    <w:rsid w:val="006F7414"/>
    <w:rsid w:val="0070170D"/>
    <w:rsid w:val="00701CF0"/>
    <w:rsid w:val="00702486"/>
    <w:rsid w:val="00703044"/>
    <w:rsid w:val="00704D9C"/>
    <w:rsid w:val="00704E5D"/>
    <w:rsid w:val="007056A7"/>
    <w:rsid w:val="00705779"/>
    <w:rsid w:val="00705ACA"/>
    <w:rsid w:val="00705CA1"/>
    <w:rsid w:val="00706672"/>
    <w:rsid w:val="00711815"/>
    <w:rsid w:val="00711D13"/>
    <w:rsid w:val="0071258A"/>
    <w:rsid w:val="00712C90"/>
    <w:rsid w:val="00713E1C"/>
    <w:rsid w:val="007144B7"/>
    <w:rsid w:val="007155B2"/>
    <w:rsid w:val="007165CD"/>
    <w:rsid w:val="00717B1D"/>
    <w:rsid w:val="0072005D"/>
    <w:rsid w:val="00721DAE"/>
    <w:rsid w:val="00721E07"/>
    <w:rsid w:val="00721F78"/>
    <w:rsid w:val="007223E3"/>
    <w:rsid w:val="00722EB1"/>
    <w:rsid w:val="00723776"/>
    <w:rsid w:val="00724661"/>
    <w:rsid w:val="007246D4"/>
    <w:rsid w:val="00724F90"/>
    <w:rsid w:val="007257F9"/>
    <w:rsid w:val="0072631D"/>
    <w:rsid w:val="00727C3E"/>
    <w:rsid w:val="0073002A"/>
    <w:rsid w:val="00730342"/>
    <w:rsid w:val="0073039C"/>
    <w:rsid w:val="007303AE"/>
    <w:rsid w:val="007304A1"/>
    <w:rsid w:val="00730B3A"/>
    <w:rsid w:val="00731455"/>
    <w:rsid w:val="00731B48"/>
    <w:rsid w:val="007324AD"/>
    <w:rsid w:val="00733083"/>
    <w:rsid w:val="0073317D"/>
    <w:rsid w:val="007333A8"/>
    <w:rsid w:val="007337E7"/>
    <w:rsid w:val="007343B6"/>
    <w:rsid w:val="007347E5"/>
    <w:rsid w:val="00735051"/>
    <w:rsid w:val="00736643"/>
    <w:rsid w:val="00736BFA"/>
    <w:rsid w:val="00737FFD"/>
    <w:rsid w:val="00740D08"/>
    <w:rsid w:val="00740E12"/>
    <w:rsid w:val="00741CF8"/>
    <w:rsid w:val="00741ED8"/>
    <w:rsid w:val="007420F5"/>
    <w:rsid w:val="0074447C"/>
    <w:rsid w:val="00744B5A"/>
    <w:rsid w:val="00744DD3"/>
    <w:rsid w:val="007460A4"/>
    <w:rsid w:val="007476EE"/>
    <w:rsid w:val="0074788A"/>
    <w:rsid w:val="00747CD6"/>
    <w:rsid w:val="00750306"/>
    <w:rsid w:val="00750C7A"/>
    <w:rsid w:val="00750CCA"/>
    <w:rsid w:val="00750DD1"/>
    <w:rsid w:val="00750E6B"/>
    <w:rsid w:val="00751312"/>
    <w:rsid w:val="00751702"/>
    <w:rsid w:val="00751A61"/>
    <w:rsid w:val="00751D1B"/>
    <w:rsid w:val="00752424"/>
    <w:rsid w:val="00752C50"/>
    <w:rsid w:val="007531BC"/>
    <w:rsid w:val="00753527"/>
    <w:rsid w:val="007545BE"/>
    <w:rsid w:val="00754F1E"/>
    <w:rsid w:val="0075610C"/>
    <w:rsid w:val="0075635C"/>
    <w:rsid w:val="00757A34"/>
    <w:rsid w:val="00757F69"/>
    <w:rsid w:val="00760C60"/>
    <w:rsid w:val="00761047"/>
    <w:rsid w:val="007619B6"/>
    <w:rsid w:val="007625AC"/>
    <w:rsid w:val="0076327F"/>
    <w:rsid w:val="0076350B"/>
    <w:rsid w:val="0076368F"/>
    <w:rsid w:val="00764028"/>
    <w:rsid w:val="00764712"/>
    <w:rsid w:val="00764C0C"/>
    <w:rsid w:val="007651A7"/>
    <w:rsid w:val="0076540F"/>
    <w:rsid w:val="00765543"/>
    <w:rsid w:val="00765C2A"/>
    <w:rsid w:val="00765EA8"/>
    <w:rsid w:val="0076642C"/>
    <w:rsid w:val="00767845"/>
    <w:rsid w:val="0077075B"/>
    <w:rsid w:val="00770B39"/>
    <w:rsid w:val="00771E2F"/>
    <w:rsid w:val="00772A70"/>
    <w:rsid w:val="00773334"/>
    <w:rsid w:val="00773E0B"/>
    <w:rsid w:val="0077418E"/>
    <w:rsid w:val="0077427B"/>
    <w:rsid w:val="00774586"/>
    <w:rsid w:val="00774CF6"/>
    <w:rsid w:val="00775292"/>
    <w:rsid w:val="00775DD3"/>
    <w:rsid w:val="00775FA0"/>
    <w:rsid w:val="00777FB4"/>
    <w:rsid w:val="007804C9"/>
    <w:rsid w:val="00780D45"/>
    <w:rsid w:val="00781084"/>
    <w:rsid w:val="0078153C"/>
    <w:rsid w:val="0078183A"/>
    <w:rsid w:val="00781BDA"/>
    <w:rsid w:val="00781F4B"/>
    <w:rsid w:val="00782508"/>
    <w:rsid w:val="00782926"/>
    <w:rsid w:val="007829B6"/>
    <w:rsid w:val="00782C7B"/>
    <w:rsid w:val="00783294"/>
    <w:rsid w:val="007835FC"/>
    <w:rsid w:val="00783931"/>
    <w:rsid w:val="00784263"/>
    <w:rsid w:val="00784DA0"/>
    <w:rsid w:val="0078517E"/>
    <w:rsid w:val="00787D50"/>
    <w:rsid w:val="00791F74"/>
    <w:rsid w:val="007927B2"/>
    <w:rsid w:val="00794F2F"/>
    <w:rsid w:val="007962C7"/>
    <w:rsid w:val="00796378"/>
    <w:rsid w:val="0079798B"/>
    <w:rsid w:val="007A046B"/>
    <w:rsid w:val="007A04FC"/>
    <w:rsid w:val="007A06F6"/>
    <w:rsid w:val="007A08BF"/>
    <w:rsid w:val="007A1689"/>
    <w:rsid w:val="007A1A96"/>
    <w:rsid w:val="007A1B71"/>
    <w:rsid w:val="007A2D28"/>
    <w:rsid w:val="007A2E6E"/>
    <w:rsid w:val="007A3745"/>
    <w:rsid w:val="007A3A9B"/>
    <w:rsid w:val="007A3C1E"/>
    <w:rsid w:val="007A424D"/>
    <w:rsid w:val="007A5260"/>
    <w:rsid w:val="007A57FA"/>
    <w:rsid w:val="007A5CCA"/>
    <w:rsid w:val="007A5D4D"/>
    <w:rsid w:val="007A712B"/>
    <w:rsid w:val="007A78D1"/>
    <w:rsid w:val="007A7925"/>
    <w:rsid w:val="007B030B"/>
    <w:rsid w:val="007B0545"/>
    <w:rsid w:val="007B1754"/>
    <w:rsid w:val="007B1D78"/>
    <w:rsid w:val="007B20E0"/>
    <w:rsid w:val="007B26C6"/>
    <w:rsid w:val="007B34ED"/>
    <w:rsid w:val="007B3E8C"/>
    <w:rsid w:val="007B3F81"/>
    <w:rsid w:val="007B447A"/>
    <w:rsid w:val="007B4C44"/>
    <w:rsid w:val="007B528C"/>
    <w:rsid w:val="007B5CDE"/>
    <w:rsid w:val="007B68D7"/>
    <w:rsid w:val="007B69B2"/>
    <w:rsid w:val="007B77A7"/>
    <w:rsid w:val="007B7A4E"/>
    <w:rsid w:val="007B7BB8"/>
    <w:rsid w:val="007B7BC8"/>
    <w:rsid w:val="007C0ADA"/>
    <w:rsid w:val="007C1CD5"/>
    <w:rsid w:val="007C4818"/>
    <w:rsid w:val="007C59A7"/>
    <w:rsid w:val="007C5BF6"/>
    <w:rsid w:val="007C5CFA"/>
    <w:rsid w:val="007C5F15"/>
    <w:rsid w:val="007D0838"/>
    <w:rsid w:val="007D0B22"/>
    <w:rsid w:val="007D16BC"/>
    <w:rsid w:val="007D171D"/>
    <w:rsid w:val="007D22FF"/>
    <w:rsid w:val="007D27AE"/>
    <w:rsid w:val="007D29D8"/>
    <w:rsid w:val="007D399F"/>
    <w:rsid w:val="007D4221"/>
    <w:rsid w:val="007D4DA3"/>
    <w:rsid w:val="007D521E"/>
    <w:rsid w:val="007D590A"/>
    <w:rsid w:val="007D6832"/>
    <w:rsid w:val="007D6FFF"/>
    <w:rsid w:val="007D7CCD"/>
    <w:rsid w:val="007E0105"/>
    <w:rsid w:val="007E0770"/>
    <w:rsid w:val="007E096E"/>
    <w:rsid w:val="007E0A69"/>
    <w:rsid w:val="007E2287"/>
    <w:rsid w:val="007E3533"/>
    <w:rsid w:val="007E3F14"/>
    <w:rsid w:val="007E4431"/>
    <w:rsid w:val="007E4B71"/>
    <w:rsid w:val="007E5B3C"/>
    <w:rsid w:val="007E63D2"/>
    <w:rsid w:val="007E7DB0"/>
    <w:rsid w:val="007F1B5F"/>
    <w:rsid w:val="007F2F0F"/>
    <w:rsid w:val="007F39F3"/>
    <w:rsid w:val="007F3AA6"/>
    <w:rsid w:val="007F3FE6"/>
    <w:rsid w:val="007F41A2"/>
    <w:rsid w:val="007F49B0"/>
    <w:rsid w:val="007F4EE2"/>
    <w:rsid w:val="007F4EEE"/>
    <w:rsid w:val="007F6E35"/>
    <w:rsid w:val="007F799B"/>
    <w:rsid w:val="00800663"/>
    <w:rsid w:val="008006D3"/>
    <w:rsid w:val="0080135B"/>
    <w:rsid w:val="0080181B"/>
    <w:rsid w:val="008039CC"/>
    <w:rsid w:val="008041CD"/>
    <w:rsid w:val="008041F1"/>
    <w:rsid w:val="008048C4"/>
    <w:rsid w:val="00804913"/>
    <w:rsid w:val="00805EC5"/>
    <w:rsid w:val="008070AF"/>
    <w:rsid w:val="00807286"/>
    <w:rsid w:val="00807558"/>
    <w:rsid w:val="008105E4"/>
    <w:rsid w:val="008115E6"/>
    <w:rsid w:val="00811610"/>
    <w:rsid w:val="00811BBF"/>
    <w:rsid w:val="0081293D"/>
    <w:rsid w:val="00812DA2"/>
    <w:rsid w:val="00813C95"/>
    <w:rsid w:val="00813FC9"/>
    <w:rsid w:val="0081488D"/>
    <w:rsid w:val="00815C71"/>
    <w:rsid w:val="00816615"/>
    <w:rsid w:val="00816846"/>
    <w:rsid w:val="00816E31"/>
    <w:rsid w:val="0081713D"/>
    <w:rsid w:val="0082123B"/>
    <w:rsid w:val="00821D8A"/>
    <w:rsid w:val="00821DB2"/>
    <w:rsid w:val="00822152"/>
    <w:rsid w:val="00822F15"/>
    <w:rsid w:val="00823AA8"/>
    <w:rsid w:val="0082411D"/>
    <w:rsid w:val="0082529F"/>
    <w:rsid w:val="00826803"/>
    <w:rsid w:val="0082692B"/>
    <w:rsid w:val="00826F19"/>
    <w:rsid w:val="0082741B"/>
    <w:rsid w:val="00827B1F"/>
    <w:rsid w:val="00830432"/>
    <w:rsid w:val="0083085A"/>
    <w:rsid w:val="00830CA5"/>
    <w:rsid w:val="00830DCD"/>
    <w:rsid w:val="00831328"/>
    <w:rsid w:val="008323D7"/>
    <w:rsid w:val="00833B36"/>
    <w:rsid w:val="00834A87"/>
    <w:rsid w:val="0083500E"/>
    <w:rsid w:val="0083545F"/>
    <w:rsid w:val="0083582D"/>
    <w:rsid w:val="00836FA6"/>
    <w:rsid w:val="00837474"/>
    <w:rsid w:val="0083768C"/>
    <w:rsid w:val="00840373"/>
    <w:rsid w:val="00840F96"/>
    <w:rsid w:val="0084136D"/>
    <w:rsid w:val="008414C4"/>
    <w:rsid w:val="00843131"/>
    <w:rsid w:val="00844534"/>
    <w:rsid w:val="00844CBF"/>
    <w:rsid w:val="008452B4"/>
    <w:rsid w:val="00845311"/>
    <w:rsid w:val="00846616"/>
    <w:rsid w:val="00847092"/>
    <w:rsid w:val="0084727A"/>
    <w:rsid w:val="00850384"/>
    <w:rsid w:val="008507CF"/>
    <w:rsid w:val="00851D89"/>
    <w:rsid w:val="00852464"/>
    <w:rsid w:val="00852623"/>
    <w:rsid w:val="008526EC"/>
    <w:rsid w:val="00853240"/>
    <w:rsid w:val="00854286"/>
    <w:rsid w:val="0085555D"/>
    <w:rsid w:val="0085570F"/>
    <w:rsid w:val="008566B1"/>
    <w:rsid w:val="0085720F"/>
    <w:rsid w:val="008573BE"/>
    <w:rsid w:val="008607B8"/>
    <w:rsid w:val="0086153F"/>
    <w:rsid w:val="00861BF2"/>
    <w:rsid w:val="00861FEC"/>
    <w:rsid w:val="00862C50"/>
    <w:rsid w:val="00864C0F"/>
    <w:rsid w:val="00865765"/>
    <w:rsid w:val="00865CB3"/>
    <w:rsid w:val="00866323"/>
    <w:rsid w:val="00866CCE"/>
    <w:rsid w:val="00866E19"/>
    <w:rsid w:val="0086717E"/>
    <w:rsid w:val="00867987"/>
    <w:rsid w:val="00867B7D"/>
    <w:rsid w:val="00867D3C"/>
    <w:rsid w:val="00870755"/>
    <w:rsid w:val="008729B5"/>
    <w:rsid w:val="00872CD0"/>
    <w:rsid w:val="00873A25"/>
    <w:rsid w:val="00873EAC"/>
    <w:rsid w:val="00874919"/>
    <w:rsid w:val="00874A71"/>
    <w:rsid w:val="00874FA9"/>
    <w:rsid w:val="00875592"/>
    <w:rsid w:val="00875762"/>
    <w:rsid w:val="00875A20"/>
    <w:rsid w:val="00875C9E"/>
    <w:rsid w:val="008761C7"/>
    <w:rsid w:val="0087636D"/>
    <w:rsid w:val="00876C5D"/>
    <w:rsid w:val="008774E5"/>
    <w:rsid w:val="008777A2"/>
    <w:rsid w:val="0088164F"/>
    <w:rsid w:val="00881A11"/>
    <w:rsid w:val="00882148"/>
    <w:rsid w:val="00884109"/>
    <w:rsid w:val="00884369"/>
    <w:rsid w:val="008855C2"/>
    <w:rsid w:val="00885833"/>
    <w:rsid w:val="0088603D"/>
    <w:rsid w:val="008866D5"/>
    <w:rsid w:val="00886DE7"/>
    <w:rsid w:val="00887E02"/>
    <w:rsid w:val="0089066A"/>
    <w:rsid w:val="00890B97"/>
    <w:rsid w:val="00891785"/>
    <w:rsid w:val="00891AE7"/>
    <w:rsid w:val="0089291C"/>
    <w:rsid w:val="008940CA"/>
    <w:rsid w:val="0089477A"/>
    <w:rsid w:val="00894AB1"/>
    <w:rsid w:val="0089724C"/>
    <w:rsid w:val="00897417"/>
    <w:rsid w:val="00897730"/>
    <w:rsid w:val="00897D19"/>
    <w:rsid w:val="00897E17"/>
    <w:rsid w:val="008A0064"/>
    <w:rsid w:val="008A10A9"/>
    <w:rsid w:val="008A16B0"/>
    <w:rsid w:val="008A2E96"/>
    <w:rsid w:val="008A4B59"/>
    <w:rsid w:val="008A6DF6"/>
    <w:rsid w:val="008A71B7"/>
    <w:rsid w:val="008A7451"/>
    <w:rsid w:val="008A7B7C"/>
    <w:rsid w:val="008B009B"/>
    <w:rsid w:val="008B02EF"/>
    <w:rsid w:val="008B08EC"/>
    <w:rsid w:val="008B1544"/>
    <w:rsid w:val="008B2E04"/>
    <w:rsid w:val="008B3629"/>
    <w:rsid w:val="008B55E8"/>
    <w:rsid w:val="008B597F"/>
    <w:rsid w:val="008B6ABD"/>
    <w:rsid w:val="008B6E03"/>
    <w:rsid w:val="008B749F"/>
    <w:rsid w:val="008C0120"/>
    <w:rsid w:val="008C0FB9"/>
    <w:rsid w:val="008C1AC9"/>
    <w:rsid w:val="008C1B76"/>
    <w:rsid w:val="008C3128"/>
    <w:rsid w:val="008C3B94"/>
    <w:rsid w:val="008C3E2C"/>
    <w:rsid w:val="008C4169"/>
    <w:rsid w:val="008C4C4A"/>
    <w:rsid w:val="008C4D92"/>
    <w:rsid w:val="008C51BB"/>
    <w:rsid w:val="008C5862"/>
    <w:rsid w:val="008C6215"/>
    <w:rsid w:val="008C69AC"/>
    <w:rsid w:val="008C6D23"/>
    <w:rsid w:val="008C7252"/>
    <w:rsid w:val="008C733D"/>
    <w:rsid w:val="008D0B19"/>
    <w:rsid w:val="008D0C03"/>
    <w:rsid w:val="008D0C8F"/>
    <w:rsid w:val="008D14E2"/>
    <w:rsid w:val="008D1FF3"/>
    <w:rsid w:val="008D23E8"/>
    <w:rsid w:val="008D2437"/>
    <w:rsid w:val="008D37B0"/>
    <w:rsid w:val="008D38E9"/>
    <w:rsid w:val="008D48C6"/>
    <w:rsid w:val="008D5114"/>
    <w:rsid w:val="008D6B46"/>
    <w:rsid w:val="008D6DBF"/>
    <w:rsid w:val="008D6F21"/>
    <w:rsid w:val="008D74AC"/>
    <w:rsid w:val="008D7AE7"/>
    <w:rsid w:val="008D7D77"/>
    <w:rsid w:val="008E07C5"/>
    <w:rsid w:val="008E0AAA"/>
    <w:rsid w:val="008E0B7F"/>
    <w:rsid w:val="008E0B8A"/>
    <w:rsid w:val="008E1076"/>
    <w:rsid w:val="008E15EC"/>
    <w:rsid w:val="008E1A0D"/>
    <w:rsid w:val="008E1D84"/>
    <w:rsid w:val="008E1EAF"/>
    <w:rsid w:val="008E2A51"/>
    <w:rsid w:val="008E36C0"/>
    <w:rsid w:val="008E36F2"/>
    <w:rsid w:val="008E426F"/>
    <w:rsid w:val="008E450B"/>
    <w:rsid w:val="008E48C7"/>
    <w:rsid w:val="008E4C23"/>
    <w:rsid w:val="008E5960"/>
    <w:rsid w:val="008E5B2A"/>
    <w:rsid w:val="008E667F"/>
    <w:rsid w:val="008E676F"/>
    <w:rsid w:val="008E7251"/>
    <w:rsid w:val="008E76EF"/>
    <w:rsid w:val="008E7D7C"/>
    <w:rsid w:val="008F0097"/>
    <w:rsid w:val="008F0187"/>
    <w:rsid w:val="008F02B0"/>
    <w:rsid w:val="008F0A8D"/>
    <w:rsid w:val="008F19F0"/>
    <w:rsid w:val="008F1DCE"/>
    <w:rsid w:val="008F2449"/>
    <w:rsid w:val="008F2849"/>
    <w:rsid w:val="008F28D6"/>
    <w:rsid w:val="008F2951"/>
    <w:rsid w:val="008F2C12"/>
    <w:rsid w:val="008F2DFE"/>
    <w:rsid w:val="008F4ABC"/>
    <w:rsid w:val="008F6235"/>
    <w:rsid w:val="00900330"/>
    <w:rsid w:val="009007FB"/>
    <w:rsid w:val="00900DCC"/>
    <w:rsid w:val="00902E6E"/>
    <w:rsid w:val="00903003"/>
    <w:rsid w:val="00903D35"/>
    <w:rsid w:val="009041B8"/>
    <w:rsid w:val="0090445B"/>
    <w:rsid w:val="009048D8"/>
    <w:rsid w:val="0090511B"/>
    <w:rsid w:val="0090692C"/>
    <w:rsid w:val="00906A75"/>
    <w:rsid w:val="00907B94"/>
    <w:rsid w:val="009103EF"/>
    <w:rsid w:val="0091146A"/>
    <w:rsid w:val="0091186E"/>
    <w:rsid w:val="009121A1"/>
    <w:rsid w:val="0091231E"/>
    <w:rsid w:val="009123E5"/>
    <w:rsid w:val="009130AF"/>
    <w:rsid w:val="009141A9"/>
    <w:rsid w:val="00917104"/>
    <w:rsid w:val="00917344"/>
    <w:rsid w:val="00922C80"/>
    <w:rsid w:val="00922EEB"/>
    <w:rsid w:val="00923B0A"/>
    <w:rsid w:val="00924601"/>
    <w:rsid w:val="00924CF2"/>
    <w:rsid w:val="0092559C"/>
    <w:rsid w:val="00925750"/>
    <w:rsid w:val="009267F8"/>
    <w:rsid w:val="00926904"/>
    <w:rsid w:val="009269BA"/>
    <w:rsid w:val="00927552"/>
    <w:rsid w:val="00927AEA"/>
    <w:rsid w:val="00927DFB"/>
    <w:rsid w:val="00927EBF"/>
    <w:rsid w:val="00927F8F"/>
    <w:rsid w:val="00930A79"/>
    <w:rsid w:val="00930D5E"/>
    <w:rsid w:val="009329E7"/>
    <w:rsid w:val="00933671"/>
    <w:rsid w:val="00934410"/>
    <w:rsid w:val="00934B9C"/>
    <w:rsid w:val="00934C30"/>
    <w:rsid w:val="0093529F"/>
    <w:rsid w:val="009377C8"/>
    <w:rsid w:val="009411A6"/>
    <w:rsid w:val="009427A1"/>
    <w:rsid w:val="0094355C"/>
    <w:rsid w:val="00943761"/>
    <w:rsid w:val="009442A6"/>
    <w:rsid w:val="009446CB"/>
    <w:rsid w:val="00944F89"/>
    <w:rsid w:val="0094511F"/>
    <w:rsid w:val="00945599"/>
    <w:rsid w:val="00946596"/>
    <w:rsid w:val="00946B1E"/>
    <w:rsid w:val="00946F1D"/>
    <w:rsid w:val="00950AC5"/>
    <w:rsid w:val="0095114F"/>
    <w:rsid w:val="009542DD"/>
    <w:rsid w:val="0095444F"/>
    <w:rsid w:val="00954C5F"/>
    <w:rsid w:val="0095518C"/>
    <w:rsid w:val="00955D21"/>
    <w:rsid w:val="00956AFC"/>
    <w:rsid w:val="0095714B"/>
    <w:rsid w:val="0095788D"/>
    <w:rsid w:val="009616E2"/>
    <w:rsid w:val="0096350D"/>
    <w:rsid w:val="0096519C"/>
    <w:rsid w:val="00965777"/>
    <w:rsid w:val="0096647E"/>
    <w:rsid w:val="00966926"/>
    <w:rsid w:val="009670F9"/>
    <w:rsid w:val="009706B3"/>
    <w:rsid w:val="009708AE"/>
    <w:rsid w:val="00970E86"/>
    <w:rsid w:val="009717CC"/>
    <w:rsid w:val="00971B66"/>
    <w:rsid w:val="00971DC1"/>
    <w:rsid w:val="00971F4D"/>
    <w:rsid w:val="009723F2"/>
    <w:rsid w:val="0097265B"/>
    <w:rsid w:val="0097324E"/>
    <w:rsid w:val="00973306"/>
    <w:rsid w:val="009737F2"/>
    <w:rsid w:val="00973FA7"/>
    <w:rsid w:val="00974D57"/>
    <w:rsid w:val="00974D6F"/>
    <w:rsid w:val="00974EAE"/>
    <w:rsid w:val="00975091"/>
    <w:rsid w:val="00976475"/>
    <w:rsid w:val="009767F4"/>
    <w:rsid w:val="00976EB6"/>
    <w:rsid w:val="009774C9"/>
    <w:rsid w:val="009776B9"/>
    <w:rsid w:val="00981940"/>
    <w:rsid w:val="00981B7C"/>
    <w:rsid w:val="00982068"/>
    <w:rsid w:val="009829CB"/>
    <w:rsid w:val="00982CAD"/>
    <w:rsid w:val="00983205"/>
    <w:rsid w:val="009842C6"/>
    <w:rsid w:val="00984FF9"/>
    <w:rsid w:val="0098535A"/>
    <w:rsid w:val="00986002"/>
    <w:rsid w:val="0098678C"/>
    <w:rsid w:val="0098719B"/>
    <w:rsid w:val="00990867"/>
    <w:rsid w:val="009912E6"/>
    <w:rsid w:val="009919D2"/>
    <w:rsid w:val="00991B25"/>
    <w:rsid w:val="00992355"/>
    <w:rsid w:val="0099256C"/>
    <w:rsid w:val="00992D6E"/>
    <w:rsid w:val="00993957"/>
    <w:rsid w:val="00993D40"/>
    <w:rsid w:val="00993D80"/>
    <w:rsid w:val="009941DC"/>
    <w:rsid w:val="00994524"/>
    <w:rsid w:val="009946E6"/>
    <w:rsid w:val="0099471C"/>
    <w:rsid w:val="009966FE"/>
    <w:rsid w:val="009A028C"/>
    <w:rsid w:val="009A0311"/>
    <w:rsid w:val="009A0C93"/>
    <w:rsid w:val="009A167F"/>
    <w:rsid w:val="009A3046"/>
    <w:rsid w:val="009A38BC"/>
    <w:rsid w:val="009A48E0"/>
    <w:rsid w:val="009A541A"/>
    <w:rsid w:val="009A573F"/>
    <w:rsid w:val="009A5C06"/>
    <w:rsid w:val="009A5DDB"/>
    <w:rsid w:val="009A6A5B"/>
    <w:rsid w:val="009A6ABA"/>
    <w:rsid w:val="009B0ECA"/>
    <w:rsid w:val="009B0F5A"/>
    <w:rsid w:val="009B0F82"/>
    <w:rsid w:val="009B1073"/>
    <w:rsid w:val="009B17C3"/>
    <w:rsid w:val="009B1BB4"/>
    <w:rsid w:val="009B1BF6"/>
    <w:rsid w:val="009B1CC5"/>
    <w:rsid w:val="009B1D23"/>
    <w:rsid w:val="009B2010"/>
    <w:rsid w:val="009B280A"/>
    <w:rsid w:val="009B2DBE"/>
    <w:rsid w:val="009B2E5D"/>
    <w:rsid w:val="009B3712"/>
    <w:rsid w:val="009B373A"/>
    <w:rsid w:val="009B3FD1"/>
    <w:rsid w:val="009B462A"/>
    <w:rsid w:val="009B4EDF"/>
    <w:rsid w:val="009B5155"/>
    <w:rsid w:val="009B56B6"/>
    <w:rsid w:val="009B68F5"/>
    <w:rsid w:val="009B6922"/>
    <w:rsid w:val="009B7110"/>
    <w:rsid w:val="009C1170"/>
    <w:rsid w:val="009C1A77"/>
    <w:rsid w:val="009C2439"/>
    <w:rsid w:val="009C3946"/>
    <w:rsid w:val="009C3E92"/>
    <w:rsid w:val="009C429C"/>
    <w:rsid w:val="009C45A3"/>
    <w:rsid w:val="009C522C"/>
    <w:rsid w:val="009C5898"/>
    <w:rsid w:val="009C6951"/>
    <w:rsid w:val="009C6E3D"/>
    <w:rsid w:val="009C6F94"/>
    <w:rsid w:val="009C773B"/>
    <w:rsid w:val="009D03E9"/>
    <w:rsid w:val="009D05E4"/>
    <w:rsid w:val="009D0CF1"/>
    <w:rsid w:val="009D16A0"/>
    <w:rsid w:val="009D1B67"/>
    <w:rsid w:val="009D1E1E"/>
    <w:rsid w:val="009D1EDE"/>
    <w:rsid w:val="009D2853"/>
    <w:rsid w:val="009D375D"/>
    <w:rsid w:val="009D47AA"/>
    <w:rsid w:val="009D48DC"/>
    <w:rsid w:val="009D55C7"/>
    <w:rsid w:val="009D605D"/>
    <w:rsid w:val="009D6293"/>
    <w:rsid w:val="009D6EEB"/>
    <w:rsid w:val="009D7029"/>
    <w:rsid w:val="009D7559"/>
    <w:rsid w:val="009D75E4"/>
    <w:rsid w:val="009D7B57"/>
    <w:rsid w:val="009E04A1"/>
    <w:rsid w:val="009E1894"/>
    <w:rsid w:val="009E2768"/>
    <w:rsid w:val="009E3128"/>
    <w:rsid w:val="009E67BB"/>
    <w:rsid w:val="009E68C3"/>
    <w:rsid w:val="009E6950"/>
    <w:rsid w:val="009E720B"/>
    <w:rsid w:val="009E770E"/>
    <w:rsid w:val="009E7813"/>
    <w:rsid w:val="009E7F8C"/>
    <w:rsid w:val="009F123B"/>
    <w:rsid w:val="009F2065"/>
    <w:rsid w:val="009F26F9"/>
    <w:rsid w:val="009F282C"/>
    <w:rsid w:val="009F5AE7"/>
    <w:rsid w:val="009F7D89"/>
    <w:rsid w:val="00A00443"/>
    <w:rsid w:val="00A0071A"/>
    <w:rsid w:val="00A00880"/>
    <w:rsid w:val="00A01ED2"/>
    <w:rsid w:val="00A01F41"/>
    <w:rsid w:val="00A033F8"/>
    <w:rsid w:val="00A0473D"/>
    <w:rsid w:val="00A04814"/>
    <w:rsid w:val="00A0485E"/>
    <w:rsid w:val="00A049E4"/>
    <w:rsid w:val="00A04EF5"/>
    <w:rsid w:val="00A05175"/>
    <w:rsid w:val="00A10292"/>
    <w:rsid w:val="00A10C0C"/>
    <w:rsid w:val="00A10F2B"/>
    <w:rsid w:val="00A11051"/>
    <w:rsid w:val="00A11413"/>
    <w:rsid w:val="00A11E3B"/>
    <w:rsid w:val="00A12C31"/>
    <w:rsid w:val="00A13C12"/>
    <w:rsid w:val="00A1418D"/>
    <w:rsid w:val="00A1453B"/>
    <w:rsid w:val="00A15344"/>
    <w:rsid w:val="00A154DF"/>
    <w:rsid w:val="00A157E7"/>
    <w:rsid w:val="00A15FFC"/>
    <w:rsid w:val="00A172BE"/>
    <w:rsid w:val="00A1786A"/>
    <w:rsid w:val="00A21EC1"/>
    <w:rsid w:val="00A21F1C"/>
    <w:rsid w:val="00A22AFB"/>
    <w:rsid w:val="00A23924"/>
    <w:rsid w:val="00A23E16"/>
    <w:rsid w:val="00A23FD9"/>
    <w:rsid w:val="00A24026"/>
    <w:rsid w:val="00A243BC"/>
    <w:rsid w:val="00A244B5"/>
    <w:rsid w:val="00A246E5"/>
    <w:rsid w:val="00A246E9"/>
    <w:rsid w:val="00A257C3"/>
    <w:rsid w:val="00A257E8"/>
    <w:rsid w:val="00A25F80"/>
    <w:rsid w:val="00A2624F"/>
    <w:rsid w:val="00A26398"/>
    <w:rsid w:val="00A272CE"/>
    <w:rsid w:val="00A27817"/>
    <w:rsid w:val="00A27D70"/>
    <w:rsid w:val="00A3028C"/>
    <w:rsid w:val="00A30398"/>
    <w:rsid w:val="00A30B11"/>
    <w:rsid w:val="00A31815"/>
    <w:rsid w:val="00A319AE"/>
    <w:rsid w:val="00A328B7"/>
    <w:rsid w:val="00A33689"/>
    <w:rsid w:val="00A33A3A"/>
    <w:rsid w:val="00A35873"/>
    <w:rsid w:val="00A35A4A"/>
    <w:rsid w:val="00A4006C"/>
    <w:rsid w:val="00A40375"/>
    <w:rsid w:val="00A405CB"/>
    <w:rsid w:val="00A4090B"/>
    <w:rsid w:val="00A40C41"/>
    <w:rsid w:val="00A41043"/>
    <w:rsid w:val="00A41670"/>
    <w:rsid w:val="00A41808"/>
    <w:rsid w:val="00A430D3"/>
    <w:rsid w:val="00A43EDA"/>
    <w:rsid w:val="00A448CD"/>
    <w:rsid w:val="00A44A41"/>
    <w:rsid w:val="00A47BC2"/>
    <w:rsid w:val="00A50201"/>
    <w:rsid w:val="00A50B0B"/>
    <w:rsid w:val="00A510DE"/>
    <w:rsid w:val="00A5152B"/>
    <w:rsid w:val="00A53D5C"/>
    <w:rsid w:val="00A5561D"/>
    <w:rsid w:val="00A568DD"/>
    <w:rsid w:val="00A60F41"/>
    <w:rsid w:val="00A61912"/>
    <w:rsid w:val="00A61B2A"/>
    <w:rsid w:val="00A61CA5"/>
    <w:rsid w:val="00A61ED4"/>
    <w:rsid w:val="00A62183"/>
    <w:rsid w:val="00A6290F"/>
    <w:rsid w:val="00A62919"/>
    <w:rsid w:val="00A62D6C"/>
    <w:rsid w:val="00A640E4"/>
    <w:rsid w:val="00A646CD"/>
    <w:rsid w:val="00A70614"/>
    <w:rsid w:val="00A70E29"/>
    <w:rsid w:val="00A714D0"/>
    <w:rsid w:val="00A72314"/>
    <w:rsid w:val="00A723F7"/>
    <w:rsid w:val="00A72B12"/>
    <w:rsid w:val="00A7338E"/>
    <w:rsid w:val="00A739D3"/>
    <w:rsid w:val="00A74328"/>
    <w:rsid w:val="00A751CC"/>
    <w:rsid w:val="00A7634E"/>
    <w:rsid w:val="00A76430"/>
    <w:rsid w:val="00A765FA"/>
    <w:rsid w:val="00A769CE"/>
    <w:rsid w:val="00A76FD2"/>
    <w:rsid w:val="00A80AAC"/>
    <w:rsid w:val="00A8114B"/>
    <w:rsid w:val="00A81D37"/>
    <w:rsid w:val="00A823CC"/>
    <w:rsid w:val="00A8327A"/>
    <w:rsid w:val="00A83621"/>
    <w:rsid w:val="00A8363F"/>
    <w:rsid w:val="00A83F96"/>
    <w:rsid w:val="00A84C7C"/>
    <w:rsid w:val="00A84F89"/>
    <w:rsid w:val="00A905BA"/>
    <w:rsid w:val="00A90B88"/>
    <w:rsid w:val="00A914BF"/>
    <w:rsid w:val="00A92116"/>
    <w:rsid w:val="00A923FF"/>
    <w:rsid w:val="00A92414"/>
    <w:rsid w:val="00A92ED3"/>
    <w:rsid w:val="00A9365E"/>
    <w:rsid w:val="00A938E0"/>
    <w:rsid w:val="00A93B06"/>
    <w:rsid w:val="00A9432E"/>
    <w:rsid w:val="00A94738"/>
    <w:rsid w:val="00A94C02"/>
    <w:rsid w:val="00A94FDF"/>
    <w:rsid w:val="00A950CF"/>
    <w:rsid w:val="00A95F8F"/>
    <w:rsid w:val="00A963F2"/>
    <w:rsid w:val="00A97CA1"/>
    <w:rsid w:val="00AA0B21"/>
    <w:rsid w:val="00AA0F4D"/>
    <w:rsid w:val="00AA2A25"/>
    <w:rsid w:val="00AA2A48"/>
    <w:rsid w:val="00AA2BD8"/>
    <w:rsid w:val="00AA483D"/>
    <w:rsid w:val="00AA4EE6"/>
    <w:rsid w:val="00AA56FC"/>
    <w:rsid w:val="00AA6141"/>
    <w:rsid w:val="00AA6837"/>
    <w:rsid w:val="00AA69BE"/>
    <w:rsid w:val="00AA6E0A"/>
    <w:rsid w:val="00AA70C6"/>
    <w:rsid w:val="00AA74FB"/>
    <w:rsid w:val="00AA7F8C"/>
    <w:rsid w:val="00AB1559"/>
    <w:rsid w:val="00AB1667"/>
    <w:rsid w:val="00AB223B"/>
    <w:rsid w:val="00AB3BD1"/>
    <w:rsid w:val="00AB4578"/>
    <w:rsid w:val="00AB4789"/>
    <w:rsid w:val="00AB48DD"/>
    <w:rsid w:val="00AB4ACA"/>
    <w:rsid w:val="00AB5CE8"/>
    <w:rsid w:val="00AB64F8"/>
    <w:rsid w:val="00AB796D"/>
    <w:rsid w:val="00AC1338"/>
    <w:rsid w:val="00AC19FC"/>
    <w:rsid w:val="00AC2618"/>
    <w:rsid w:val="00AC2980"/>
    <w:rsid w:val="00AC325D"/>
    <w:rsid w:val="00AC3681"/>
    <w:rsid w:val="00AC38E9"/>
    <w:rsid w:val="00AC3BA6"/>
    <w:rsid w:val="00AC40A4"/>
    <w:rsid w:val="00AC437C"/>
    <w:rsid w:val="00AC5228"/>
    <w:rsid w:val="00AC5443"/>
    <w:rsid w:val="00AC57E4"/>
    <w:rsid w:val="00AC61DE"/>
    <w:rsid w:val="00AC73C9"/>
    <w:rsid w:val="00AC73FD"/>
    <w:rsid w:val="00AC7DF7"/>
    <w:rsid w:val="00AC7E59"/>
    <w:rsid w:val="00AD0070"/>
    <w:rsid w:val="00AD0541"/>
    <w:rsid w:val="00AD13A0"/>
    <w:rsid w:val="00AD13AB"/>
    <w:rsid w:val="00AD165C"/>
    <w:rsid w:val="00AD1A32"/>
    <w:rsid w:val="00AD224C"/>
    <w:rsid w:val="00AD2684"/>
    <w:rsid w:val="00AD2D08"/>
    <w:rsid w:val="00AD324B"/>
    <w:rsid w:val="00AD3CEC"/>
    <w:rsid w:val="00AD5F09"/>
    <w:rsid w:val="00AD608A"/>
    <w:rsid w:val="00AD6D7B"/>
    <w:rsid w:val="00AD6DB4"/>
    <w:rsid w:val="00AD7853"/>
    <w:rsid w:val="00AE0160"/>
    <w:rsid w:val="00AE03D9"/>
    <w:rsid w:val="00AE0679"/>
    <w:rsid w:val="00AE12F3"/>
    <w:rsid w:val="00AE1C26"/>
    <w:rsid w:val="00AE1CE5"/>
    <w:rsid w:val="00AE3CE0"/>
    <w:rsid w:val="00AE3D1A"/>
    <w:rsid w:val="00AE433F"/>
    <w:rsid w:val="00AE45FC"/>
    <w:rsid w:val="00AE55C3"/>
    <w:rsid w:val="00AE64A9"/>
    <w:rsid w:val="00AE69BA"/>
    <w:rsid w:val="00AE6BDB"/>
    <w:rsid w:val="00AE6DAB"/>
    <w:rsid w:val="00AE709D"/>
    <w:rsid w:val="00AE75BF"/>
    <w:rsid w:val="00AF0C9B"/>
    <w:rsid w:val="00AF2CC0"/>
    <w:rsid w:val="00AF3F37"/>
    <w:rsid w:val="00AF46D3"/>
    <w:rsid w:val="00AF4AE7"/>
    <w:rsid w:val="00AF6659"/>
    <w:rsid w:val="00AF67A7"/>
    <w:rsid w:val="00AF7101"/>
    <w:rsid w:val="00AF72A6"/>
    <w:rsid w:val="00B0042D"/>
    <w:rsid w:val="00B01933"/>
    <w:rsid w:val="00B01EC2"/>
    <w:rsid w:val="00B01F5A"/>
    <w:rsid w:val="00B028D4"/>
    <w:rsid w:val="00B03C1D"/>
    <w:rsid w:val="00B04B4F"/>
    <w:rsid w:val="00B051EA"/>
    <w:rsid w:val="00B07097"/>
    <w:rsid w:val="00B07436"/>
    <w:rsid w:val="00B074D2"/>
    <w:rsid w:val="00B074E0"/>
    <w:rsid w:val="00B0782A"/>
    <w:rsid w:val="00B07968"/>
    <w:rsid w:val="00B105CB"/>
    <w:rsid w:val="00B12713"/>
    <w:rsid w:val="00B12C95"/>
    <w:rsid w:val="00B13CDD"/>
    <w:rsid w:val="00B149A1"/>
    <w:rsid w:val="00B14EBD"/>
    <w:rsid w:val="00B151FB"/>
    <w:rsid w:val="00B1544B"/>
    <w:rsid w:val="00B16858"/>
    <w:rsid w:val="00B16B28"/>
    <w:rsid w:val="00B17105"/>
    <w:rsid w:val="00B1731A"/>
    <w:rsid w:val="00B17611"/>
    <w:rsid w:val="00B178CF"/>
    <w:rsid w:val="00B17A9E"/>
    <w:rsid w:val="00B17AEF"/>
    <w:rsid w:val="00B17EAC"/>
    <w:rsid w:val="00B20876"/>
    <w:rsid w:val="00B21476"/>
    <w:rsid w:val="00B21A88"/>
    <w:rsid w:val="00B21AC8"/>
    <w:rsid w:val="00B21DA3"/>
    <w:rsid w:val="00B21E13"/>
    <w:rsid w:val="00B24F5D"/>
    <w:rsid w:val="00B26020"/>
    <w:rsid w:val="00B26BEF"/>
    <w:rsid w:val="00B31FB6"/>
    <w:rsid w:val="00B32745"/>
    <w:rsid w:val="00B33642"/>
    <w:rsid w:val="00B34525"/>
    <w:rsid w:val="00B3494A"/>
    <w:rsid w:val="00B35314"/>
    <w:rsid w:val="00B366C5"/>
    <w:rsid w:val="00B372E6"/>
    <w:rsid w:val="00B3772C"/>
    <w:rsid w:val="00B40291"/>
    <w:rsid w:val="00B41EA7"/>
    <w:rsid w:val="00B4204F"/>
    <w:rsid w:val="00B431A8"/>
    <w:rsid w:val="00B434CF"/>
    <w:rsid w:val="00B43A5F"/>
    <w:rsid w:val="00B43ACA"/>
    <w:rsid w:val="00B43B1A"/>
    <w:rsid w:val="00B4452E"/>
    <w:rsid w:val="00B44A54"/>
    <w:rsid w:val="00B45210"/>
    <w:rsid w:val="00B45912"/>
    <w:rsid w:val="00B45BE8"/>
    <w:rsid w:val="00B47110"/>
    <w:rsid w:val="00B4778A"/>
    <w:rsid w:val="00B47BC3"/>
    <w:rsid w:val="00B47E3A"/>
    <w:rsid w:val="00B504F8"/>
    <w:rsid w:val="00B50CD9"/>
    <w:rsid w:val="00B52457"/>
    <w:rsid w:val="00B52E5A"/>
    <w:rsid w:val="00B5329A"/>
    <w:rsid w:val="00B543E7"/>
    <w:rsid w:val="00B5449A"/>
    <w:rsid w:val="00B54A76"/>
    <w:rsid w:val="00B54C29"/>
    <w:rsid w:val="00B55284"/>
    <w:rsid w:val="00B55911"/>
    <w:rsid w:val="00B568BD"/>
    <w:rsid w:val="00B5721D"/>
    <w:rsid w:val="00B60117"/>
    <w:rsid w:val="00B608EC"/>
    <w:rsid w:val="00B60ECF"/>
    <w:rsid w:val="00B61488"/>
    <w:rsid w:val="00B61B9E"/>
    <w:rsid w:val="00B62373"/>
    <w:rsid w:val="00B627EE"/>
    <w:rsid w:val="00B63E1A"/>
    <w:rsid w:val="00B640A9"/>
    <w:rsid w:val="00B64136"/>
    <w:rsid w:val="00B642B8"/>
    <w:rsid w:val="00B64912"/>
    <w:rsid w:val="00B64EAD"/>
    <w:rsid w:val="00B674C3"/>
    <w:rsid w:val="00B70730"/>
    <w:rsid w:val="00B70E21"/>
    <w:rsid w:val="00B710C4"/>
    <w:rsid w:val="00B72944"/>
    <w:rsid w:val="00B73ACE"/>
    <w:rsid w:val="00B74F37"/>
    <w:rsid w:val="00B753C4"/>
    <w:rsid w:val="00B75CB7"/>
    <w:rsid w:val="00B7625C"/>
    <w:rsid w:val="00B7638F"/>
    <w:rsid w:val="00B76D83"/>
    <w:rsid w:val="00B76EC8"/>
    <w:rsid w:val="00B77B5E"/>
    <w:rsid w:val="00B80DB3"/>
    <w:rsid w:val="00B80DDE"/>
    <w:rsid w:val="00B8103D"/>
    <w:rsid w:val="00B82227"/>
    <w:rsid w:val="00B824A2"/>
    <w:rsid w:val="00B85725"/>
    <w:rsid w:val="00B91639"/>
    <w:rsid w:val="00B92357"/>
    <w:rsid w:val="00B92496"/>
    <w:rsid w:val="00B92D84"/>
    <w:rsid w:val="00B93108"/>
    <w:rsid w:val="00B93256"/>
    <w:rsid w:val="00B9378B"/>
    <w:rsid w:val="00B93B26"/>
    <w:rsid w:val="00B942D8"/>
    <w:rsid w:val="00B94358"/>
    <w:rsid w:val="00B94472"/>
    <w:rsid w:val="00B95A57"/>
    <w:rsid w:val="00B96540"/>
    <w:rsid w:val="00B96E63"/>
    <w:rsid w:val="00B9706D"/>
    <w:rsid w:val="00B97C59"/>
    <w:rsid w:val="00BA010F"/>
    <w:rsid w:val="00BA09A6"/>
    <w:rsid w:val="00BA0DC6"/>
    <w:rsid w:val="00BA0FD4"/>
    <w:rsid w:val="00BA15CC"/>
    <w:rsid w:val="00BA1F71"/>
    <w:rsid w:val="00BA26D4"/>
    <w:rsid w:val="00BA3467"/>
    <w:rsid w:val="00BA35BB"/>
    <w:rsid w:val="00BA3910"/>
    <w:rsid w:val="00BA3D05"/>
    <w:rsid w:val="00BA3E09"/>
    <w:rsid w:val="00BA4223"/>
    <w:rsid w:val="00BA49EA"/>
    <w:rsid w:val="00BA49F6"/>
    <w:rsid w:val="00BA575D"/>
    <w:rsid w:val="00BA71B5"/>
    <w:rsid w:val="00BA7277"/>
    <w:rsid w:val="00BA7CE6"/>
    <w:rsid w:val="00BB077F"/>
    <w:rsid w:val="00BB13A7"/>
    <w:rsid w:val="00BB1F35"/>
    <w:rsid w:val="00BB2010"/>
    <w:rsid w:val="00BB2095"/>
    <w:rsid w:val="00BB26EB"/>
    <w:rsid w:val="00BB3687"/>
    <w:rsid w:val="00BB4C0A"/>
    <w:rsid w:val="00BB5964"/>
    <w:rsid w:val="00BB59D3"/>
    <w:rsid w:val="00BB6663"/>
    <w:rsid w:val="00BB6B1C"/>
    <w:rsid w:val="00BC0BD3"/>
    <w:rsid w:val="00BC0BEF"/>
    <w:rsid w:val="00BC0C31"/>
    <w:rsid w:val="00BC106B"/>
    <w:rsid w:val="00BC1A6D"/>
    <w:rsid w:val="00BC20C8"/>
    <w:rsid w:val="00BC22F1"/>
    <w:rsid w:val="00BC27D4"/>
    <w:rsid w:val="00BC2BBB"/>
    <w:rsid w:val="00BC37C3"/>
    <w:rsid w:val="00BC45D7"/>
    <w:rsid w:val="00BC4E64"/>
    <w:rsid w:val="00BC5530"/>
    <w:rsid w:val="00BC596E"/>
    <w:rsid w:val="00BC5DCC"/>
    <w:rsid w:val="00BC626C"/>
    <w:rsid w:val="00BC7AF7"/>
    <w:rsid w:val="00BC7C53"/>
    <w:rsid w:val="00BC7D9E"/>
    <w:rsid w:val="00BD1275"/>
    <w:rsid w:val="00BD1824"/>
    <w:rsid w:val="00BD1863"/>
    <w:rsid w:val="00BD1A9D"/>
    <w:rsid w:val="00BD1F46"/>
    <w:rsid w:val="00BD3341"/>
    <w:rsid w:val="00BD3C4D"/>
    <w:rsid w:val="00BD4EF0"/>
    <w:rsid w:val="00BD50E5"/>
    <w:rsid w:val="00BD639F"/>
    <w:rsid w:val="00BD6A30"/>
    <w:rsid w:val="00BD7D7B"/>
    <w:rsid w:val="00BE0147"/>
    <w:rsid w:val="00BE016E"/>
    <w:rsid w:val="00BE100D"/>
    <w:rsid w:val="00BE1FC2"/>
    <w:rsid w:val="00BE27AD"/>
    <w:rsid w:val="00BE2C2E"/>
    <w:rsid w:val="00BE34E2"/>
    <w:rsid w:val="00BE396A"/>
    <w:rsid w:val="00BE4610"/>
    <w:rsid w:val="00BE4EAA"/>
    <w:rsid w:val="00BE59BD"/>
    <w:rsid w:val="00BE619B"/>
    <w:rsid w:val="00BE646A"/>
    <w:rsid w:val="00BE6681"/>
    <w:rsid w:val="00BE6786"/>
    <w:rsid w:val="00BE6EA9"/>
    <w:rsid w:val="00BE719D"/>
    <w:rsid w:val="00BE728C"/>
    <w:rsid w:val="00BF018B"/>
    <w:rsid w:val="00BF1B0E"/>
    <w:rsid w:val="00BF2CFD"/>
    <w:rsid w:val="00BF3377"/>
    <w:rsid w:val="00BF408D"/>
    <w:rsid w:val="00BF41FF"/>
    <w:rsid w:val="00BF4ED0"/>
    <w:rsid w:val="00BF6A60"/>
    <w:rsid w:val="00C0021C"/>
    <w:rsid w:val="00C0081A"/>
    <w:rsid w:val="00C00F54"/>
    <w:rsid w:val="00C012F7"/>
    <w:rsid w:val="00C02185"/>
    <w:rsid w:val="00C025DE"/>
    <w:rsid w:val="00C02948"/>
    <w:rsid w:val="00C0319E"/>
    <w:rsid w:val="00C035A5"/>
    <w:rsid w:val="00C040A0"/>
    <w:rsid w:val="00C04B1E"/>
    <w:rsid w:val="00C04CC2"/>
    <w:rsid w:val="00C05A53"/>
    <w:rsid w:val="00C05B04"/>
    <w:rsid w:val="00C07088"/>
    <w:rsid w:val="00C1022B"/>
    <w:rsid w:val="00C1085E"/>
    <w:rsid w:val="00C109A8"/>
    <w:rsid w:val="00C11B18"/>
    <w:rsid w:val="00C12231"/>
    <w:rsid w:val="00C12361"/>
    <w:rsid w:val="00C1288D"/>
    <w:rsid w:val="00C12B67"/>
    <w:rsid w:val="00C12C80"/>
    <w:rsid w:val="00C13604"/>
    <w:rsid w:val="00C13DF8"/>
    <w:rsid w:val="00C15038"/>
    <w:rsid w:val="00C159EE"/>
    <w:rsid w:val="00C15CB7"/>
    <w:rsid w:val="00C15E68"/>
    <w:rsid w:val="00C16CDA"/>
    <w:rsid w:val="00C16E89"/>
    <w:rsid w:val="00C172AB"/>
    <w:rsid w:val="00C209C0"/>
    <w:rsid w:val="00C21113"/>
    <w:rsid w:val="00C21E41"/>
    <w:rsid w:val="00C229BC"/>
    <w:rsid w:val="00C22F1E"/>
    <w:rsid w:val="00C23B2A"/>
    <w:rsid w:val="00C2472D"/>
    <w:rsid w:val="00C2477E"/>
    <w:rsid w:val="00C24CDF"/>
    <w:rsid w:val="00C26421"/>
    <w:rsid w:val="00C26E6F"/>
    <w:rsid w:val="00C27771"/>
    <w:rsid w:val="00C27D4D"/>
    <w:rsid w:val="00C3122A"/>
    <w:rsid w:val="00C34653"/>
    <w:rsid w:val="00C347FF"/>
    <w:rsid w:val="00C34ACB"/>
    <w:rsid w:val="00C351CD"/>
    <w:rsid w:val="00C35416"/>
    <w:rsid w:val="00C35601"/>
    <w:rsid w:val="00C35769"/>
    <w:rsid w:val="00C36239"/>
    <w:rsid w:val="00C36DBB"/>
    <w:rsid w:val="00C37821"/>
    <w:rsid w:val="00C37C7A"/>
    <w:rsid w:val="00C40F76"/>
    <w:rsid w:val="00C414AE"/>
    <w:rsid w:val="00C422FE"/>
    <w:rsid w:val="00C42340"/>
    <w:rsid w:val="00C4270B"/>
    <w:rsid w:val="00C427A1"/>
    <w:rsid w:val="00C438E8"/>
    <w:rsid w:val="00C4394C"/>
    <w:rsid w:val="00C44309"/>
    <w:rsid w:val="00C457FA"/>
    <w:rsid w:val="00C45FDF"/>
    <w:rsid w:val="00C4636F"/>
    <w:rsid w:val="00C47698"/>
    <w:rsid w:val="00C476E0"/>
    <w:rsid w:val="00C47B65"/>
    <w:rsid w:val="00C507D4"/>
    <w:rsid w:val="00C51886"/>
    <w:rsid w:val="00C52410"/>
    <w:rsid w:val="00C524DB"/>
    <w:rsid w:val="00C53C08"/>
    <w:rsid w:val="00C54066"/>
    <w:rsid w:val="00C5438F"/>
    <w:rsid w:val="00C5441C"/>
    <w:rsid w:val="00C564CD"/>
    <w:rsid w:val="00C5719D"/>
    <w:rsid w:val="00C5744C"/>
    <w:rsid w:val="00C57BAF"/>
    <w:rsid w:val="00C60337"/>
    <w:rsid w:val="00C60927"/>
    <w:rsid w:val="00C614E7"/>
    <w:rsid w:val="00C614F3"/>
    <w:rsid w:val="00C62C23"/>
    <w:rsid w:val="00C62FB6"/>
    <w:rsid w:val="00C63212"/>
    <w:rsid w:val="00C636B1"/>
    <w:rsid w:val="00C637F5"/>
    <w:rsid w:val="00C6394A"/>
    <w:rsid w:val="00C64019"/>
    <w:rsid w:val="00C6453B"/>
    <w:rsid w:val="00C64C21"/>
    <w:rsid w:val="00C66447"/>
    <w:rsid w:val="00C66C0B"/>
    <w:rsid w:val="00C7080F"/>
    <w:rsid w:val="00C709D8"/>
    <w:rsid w:val="00C7144F"/>
    <w:rsid w:val="00C72B97"/>
    <w:rsid w:val="00C730FF"/>
    <w:rsid w:val="00C736BD"/>
    <w:rsid w:val="00C742AA"/>
    <w:rsid w:val="00C742B4"/>
    <w:rsid w:val="00C744BD"/>
    <w:rsid w:val="00C745A4"/>
    <w:rsid w:val="00C74A57"/>
    <w:rsid w:val="00C76B63"/>
    <w:rsid w:val="00C76DF3"/>
    <w:rsid w:val="00C776CD"/>
    <w:rsid w:val="00C77E75"/>
    <w:rsid w:val="00C77EA7"/>
    <w:rsid w:val="00C803A4"/>
    <w:rsid w:val="00C8172B"/>
    <w:rsid w:val="00C81E30"/>
    <w:rsid w:val="00C8284D"/>
    <w:rsid w:val="00C8380D"/>
    <w:rsid w:val="00C83E40"/>
    <w:rsid w:val="00C84025"/>
    <w:rsid w:val="00C844EF"/>
    <w:rsid w:val="00C84607"/>
    <w:rsid w:val="00C85435"/>
    <w:rsid w:val="00C90108"/>
    <w:rsid w:val="00C90AC2"/>
    <w:rsid w:val="00C90F7F"/>
    <w:rsid w:val="00C92DC7"/>
    <w:rsid w:val="00C9307D"/>
    <w:rsid w:val="00C93649"/>
    <w:rsid w:val="00C93A65"/>
    <w:rsid w:val="00C93CC2"/>
    <w:rsid w:val="00C9463F"/>
    <w:rsid w:val="00C95082"/>
    <w:rsid w:val="00C9518F"/>
    <w:rsid w:val="00C9572C"/>
    <w:rsid w:val="00C95762"/>
    <w:rsid w:val="00C95CCF"/>
    <w:rsid w:val="00C96E10"/>
    <w:rsid w:val="00C9711E"/>
    <w:rsid w:val="00C9740A"/>
    <w:rsid w:val="00CA1C89"/>
    <w:rsid w:val="00CA3759"/>
    <w:rsid w:val="00CA3D31"/>
    <w:rsid w:val="00CA3EB3"/>
    <w:rsid w:val="00CA40F6"/>
    <w:rsid w:val="00CA4C6B"/>
    <w:rsid w:val="00CA509E"/>
    <w:rsid w:val="00CA53FB"/>
    <w:rsid w:val="00CA7BE1"/>
    <w:rsid w:val="00CB063E"/>
    <w:rsid w:val="00CB0D00"/>
    <w:rsid w:val="00CB0E22"/>
    <w:rsid w:val="00CB138C"/>
    <w:rsid w:val="00CB1C65"/>
    <w:rsid w:val="00CB23FE"/>
    <w:rsid w:val="00CB2A13"/>
    <w:rsid w:val="00CB3D69"/>
    <w:rsid w:val="00CB43D4"/>
    <w:rsid w:val="00CB4443"/>
    <w:rsid w:val="00CB4788"/>
    <w:rsid w:val="00CB4A6B"/>
    <w:rsid w:val="00CB6005"/>
    <w:rsid w:val="00CB6469"/>
    <w:rsid w:val="00CB7134"/>
    <w:rsid w:val="00CB78BE"/>
    <w:rsid w:val="00CC0B22"/>
    <w:rsid w:val="00CC1325"/>
    <w:rsid w:val="00CC1E51"/>
    <w:rsid w:val="00CC258E"/>
    <w:rsid w:val="00CC2BE9"/>
    <w:rsid w:val="00CC2D6F"/>
    <w:rsid w:val="00CC3090"/>
    <w:rsid w:val="00CC338A"/>
    <w:rsid w:val="00CC34E7"/>
    <w:rsid w:val="00CC4761"/>
    <w:rsid w:val="00CC5162"/>
    <w:rsid w:val="00CC54F7"/>
    <w:rsid w:val="00CC5FD6"/>
    <w:rsid w:val="00CC615D"/>
    <w:rsid w:val="00CC6BFE"/>
    <w:rsid w:val="00CC7292"/>
    <w:rsid w:val="00CC730A"/>
    <w:rsid w:val="00CC7DCB"/>
    <w:rsid w:val="00CD05CC"/>
    <w:rsid w:val="00CD0A57"/>
    <w:rsid w:val="00CD0A96"/>
    <w:rsid w:val="00CD12B3"/>
    <w:rsid w:val="00CD18DB"/>
    <w:rsid w:val="00CD21FD"/>
    <w:rsid w:val="00CD3420"/>
    <w:rsid w:val="00CD369A"/>
    <w:rsid w:val="00CD3F90"/>
    <w:rsid w:val="00CD4283"/>
    <w:rsid w:val="00CD4A10"/>
    <w:rsid w:val="00CD4E09"/>
    <w:rsid w:val="00CD5187"/>
    <w:rsid w:val="00CD538A"/>
    <w:rsid w:val="00CD53D8"/>
    <w:rsid w:val="00CD5976"/>
    <w:rsid w:val="00CD601A"/>
    <w:rsid w:val="00CD69A6"/>
    <w:rsid w:val="00CD7001"/>
    <w:rsid w:val="00CD7782"/>
    <w:rsid w:val="00CD7817"/>
    <w:rsid w:val="00CD7D82"/>
    <w:rsid w:val="00CD7F8D"/>
    <w:rsid w:val="00CE051D"/>
    <w:rsid w:val="00CE0B60"/>
    <w:rsid w:val="00CE0C80"/>
    <w:rsid w:val="00CE1320"/>
    <w:rsid w:val="00CE1FBF"/>
    <w:rsid w:val="00CE2C91"/>
    <w:rsid w:val="00CE35B2"/>
    <w:rsid w:val="00CE4450"/>
    <w:rsid w:val="00CE45F9"/>
    <w:rsid w:val="00CE4F19"/>
    <w:rsid w:val="00CE52EA"/>
    <w:rsid w:val="00CE5348"/>
    <w:rsid w:val="00CE586E"/>
    <w:rsid w:val="00CE5EEC"/>
    <w:rsid w:val="00CE74B9"/>
    <w:rsid w:val="00CE7EA6"/>
    <w:rsid w:val="00CF012D"/>
    <w:rsid w:val="00CF0373"/>
    <w:rsid w:val="00CF18DD"/>
    <w:rsid w:val="00CF2D69"/>
    <w:rsid w:val="00CF347B"/>
    <w:rsid w:val="00CF4104"/>
    <w:rsid w:val="00CF4D41"/>
    <w:rsid w:val="00CF560D"/>
    <w:rsid w:val="00CF69B2"/>
    <w:rsid w:val="00D012C3"/>
    <w:rsid w:val="00D019F1"/>
    <w:rsid w:val="00D02A2D"/>
    <w:rsid w:val="00D02B5B"/>
    <w:rsid w:val="00D0302B"/>
    <w:rsid w:val="00D04C2C"/>
    <w:rsid w:val="00D04C63"/>
    <w:rsid w:val="00D07149"/>
    <w:rsid w:val="00D07577"/>
    <w:rsid w:val="00D1024F"/>
    <w:rsid w:val="00D103AF"/>
    <w:rsid w:val="00D1114F"/>
    <w:rsid w:val="00D11AA3"/>
    <w:rsid w:val="00D11F4A"/>
    <w:rsid w:val="00D12FE5"/>
    <w:rsid w:val="00D137DF"/>
    <w:rsid w:val="00D13867"/>
    <w:rsid w:val="00D14649"/>
    <w:rsid w:val="00D14765"/>
    <w:rsid w:val="00D14D27"/>
    <w:rsid w:val="00D14E32"/>
    <w:rsid w:val="00D15A2D"/>
    <w:rsid w:val="00D15B9F"/>
    <w:rsid w:val="00D16BD5"/>
    <w:rsid w:val="00D170B9"/>
    <w:rsid w:val="00D172BE"/>
    <w:rsid w:val="00D17D13"/>
    <w:rsid w:val="00D20FC9"/>
    <w:rsid w:val="00D215E7"/>
    <w:rsid w:val="00D230CD"/>
    <w:rsid w:val="00D23EAE"/>
    <w:rsid w:val="00D24641"/>
    <w:rsid w:val="00D2498F"/>
    <w:rsid w:val="00D24C4E"/>
    <w:rsid w:val="00D26825"/>
    <w:rsid w:val="00D26C87"/>
    <w:rsid w:val="00D27ABE"/>
    <w:rsid w:val="00D3001A"/>
    <w:rsid w:val="00D30486"/>
    <w:rsid w:val="00D31054"/>
    <w:rsid w:val="00D33C4C"/>
    <w:rsid w:val="00D33D36"/>
    <w:rsid w:val="00D3417F"/>
    <w:rsid w:val="00D348A1"/>
    <w:rsid w:val="00D34E4E"/>
    <w:rsid w:val="00D3525A"/>
    <w:rsid w:val="00D36FEE"/>
    <w:rsid w:val="00D370A3"/>
    <w:rsid w:val="00D372C1"/>
    <w:rsid w:val="00D37F31"/>
    <w:rsid w:val="00D41AF5"/>
    <w:rsid w:val="00D42123"/>
    <w:rsid w:val="00D4228D"/>
    <w:rsid w:val="00D44190"/>
    <w:rsid w:val="00D450D0"/>
    <w:rsid w:val="00D46E2F"/>
    <w:rsid w:val="00D4764E"/>
    <w:rsid w:val="00D510DA"/>
    <w:rsid w:val="00D51163"/>
    <w:rsid w:val="00D51174"/>
    <w:rsid w:val="00D51A52"/>
    <w:rsid w:val="00D52223"/>
    <w:rsid w:val="00D5365D"/>
    <w:rsid w:val="00D54267"/>
    <w:rsid w:val="00D5434B"/>
    <w:rsid w:val="00D54690"/>
    <w:rsid w:val="00D5519A"/>
    <w:rsid w:val="00D55C79"/>
    <w:rsid w:val="00D565F2"/>
    <w:rsid w:val="00D57D6E"/>
    <w:rsid w:val="00D60347"/>
    <w:rsid w:val="00D608A0"/>
    <w:rsid w:val="00D61048"/>
    <w:rsid w:val="00D618AE"/>
    <w:rsid w:val="00D61939"/>
    <w:rsid w:val="00D621C1"/>
    <w:rsid w:val="00D623AD"/>
    <w:rsid w:val="00D6318B"/>
    <w:rsid w:val="00D63A71"/>
    <w:rsid w:val="00D64A3A"/>
    <w:rsid w:val="00D656FD"/>
    <w:rsid w:val="00D65DA3"/>
    <w:rsid w:val="00D6606B"/>
    <w:rsid w:val="00D67331"/>
    <w:rsid w:val="00D67524"/>
    <w:rsid w:val="00D675EC"/>
    <w:rsid w:val="00D67904"/>
    <w:rsid w:val="00D679C8"/>
    <w:rsid w:val="00D67A4B"/>
    <w:rsid w:val="00D67E3E"/>
    <w:rsid w:val="00D704E6"/>
    <w:rsid w:val="00D70B5E"/>
    <w:rsid w:val="00D70BF6"/>
    <w:rsid w:val="00D70DF3"/>
    <w:rsid w:val="00D70E2F"/>
    <w:rsid w:val="00D714F3"/>
    <w:rsid w:val="00D7191F"/>
    <w:rsid w:val="00D71A7B"/>
    <w:rsid w:val="00D7294A"/>
    <w:rsid w:val="00D72F9D"/>
    <w:rsid w:val="00D73EC5"/>
    <w:rsid w:val="00D7478E"/>
    <w:rsid w:val="00D756E9"/>
    <w:rsid w:val="00D75CA4"/>
    <w:rsid w:val="00D76293"/>
    <w:rsid w:val="00D77ACF"/>
    <w:rsid w:val="00D77D3C"/>
    <w:rsid w:val="00D77EAD"/>
    <w:rsid w:val="00D808A7"/>
    <w:rsid w:val="00D808BF"/>
    <w:rsid w:val="00D80A12"/>
    <w:rsid w:val="00D8160E"/>
    <w:rsid w:val="00D8182E"/>
    <w:rsid w:val="00D818AC"/>
    <w:rsid w:val="00D8238A"/>
    <w:rsid w:val="00D8251F"/>
    <w:rsid w:val="00D82675"/>
    <w:rsid w:val="00D82FAC"/>
    <w:rsid w:val="00D8358F"/>
    <w:rsid w:val="00D84325"/>
    <w:rsid w:val="00D84904"/>
    <w:rsid w:val="00D84C42"/>
    <w:rsid w:val="00D8508C"/>
    <w:rsid w:val="00D8533F"/>
    <w:rsid w:val="00D85593"/>
    <w:rsid w:val="00D86163"/>
    <w:rsid w:val="00D8708E"/>
    <w:rsid w:val="00D873EF"/>
    <w:rsid w:val="00D87575"/>
    <w:rsid w:val="00D8788C"/>
    <w:rsid w:val="00D87AF4"/>
    <w:rsid w:val="00D90359"/>
    <w:rsid w:val="00D909A5"/>
    <w:rsid w:val="00D91168"/>
    <w:rsid w:val="00D91278"/>
    <w:rsid w:val="00D92296"/>
    <w:rsid w:val="00D93842"/>
    <w:rsid w:val="00D93994"/>
    <w:rsid w:val="00D94945"/>
    <w:rsid w:val="00D9582F"/>
    <w:rsid w:val="00D958C1"/>
    <w:rsid w:val="00D95E3D"/>
    <w:rsid w:val="00D96DCC"/>
    <w:rsid w:val="00D97771"/>
    <w:rsid w:val="00D97825"/>
    <w:rsid w:val="00D97E70"/>
    <w:rsid w:val="00DA037A"/>
    <w:rsid w:val="00DA1769"/>
    <w:rsid w:val="00DA224E"/>
    <w:rsid w:val="00DA2953"/>
    <w:rsid w:val="00DA49FF"/>
    <w:rsid w:val="00DA4E0E"/>
    <w:rsid w:val="00DA5EB4"/>
    <w:rsid w:val="00DA6307"/>
    <w:rsid w:val="00DA70ED"/>
    <w:rsid w:val="00DB017D"/>
    <w:rsid w:val="00DB0FA5"/>
    <w:rsid w:val="00DB1C17"/>
    <w:rsid w:val="00DB1D41"/>
    <w:rsid w:val="00DB2E0B"/>
    <w:rsid w:val="00DB4910"/>
    <w:rsid w:val="00DB4C09"/>
    <w:rsid w:val="00DB5001"/>
    <w:rsid w:val="00DB52CF"/>
    <w:rsid w:val="00DB5F71"/>
    <w:rsid w:val="00DB6414"/>
    <w:rsid w:val="00DB66D6"/>
    <w:rsid w:val="00DB6DFB"/>
    <w:rsid w:val="00DB7963"/>
    <w:rsid w:val="00DB7E9C"/>
    <w:rsid w:val="00DC0091"/>
    <w:rsid w:val="00DC0385"/>
    <w:rsid w:val="00DC08DC"/>
    <w:rsid w:val="00DC097C"/>
    <w:rsid w:val="00DC0A1F"/>
    <w:rsid w:val="00DC0AD8"/>
    <w:rsid w:val="00DC3621"/>
    <w:rsid w:val="00DC38ED"/>
    <w:rsid w:val="00DC4112"/>
    <w:rsid w:val="00DC4585"/>
    <w:rsid w:val="00DC5592"/>
    <w:rsid w:val="00DC66CA"/>
    <w:rsid w:val="00DC66F8"/>
    <w:rsid w:val="00DC72C6"/>
    <w:rsid w:val="00DC783F"/>
    <w:rsid w:val="00DC7CDF"/>
    <w:rsid w:val="00DC7D20"/>
    <w:rsid w:val="00DD001D"/>
    <w:rsid w:val="00DD0137"/>
    <w:rsid w:val="00DD04D9"/>
    <w:rsid w:val="00DD06FF"/>
    <w:rsid w:val="00DD092B"/>
    <w:rsid w:val="00DD1A45"/>
    <w:rsid w:val="00DD2927"/>
    <w:rsid w:val="00DD309E"/>
    <w:rsid w:val="00DD367D"/>
    <w:rsid w:val="00DD5C60"/>
    <w:rsid w:val="00DD68D9"/>
    <w:rsid w:val="00DD7D80"/>
    <w:rsid w:val="00DE1B8D"/>
    <w:rsid w:val="00DE1E7C"/>
    <w:rsid w:val="00DE2198"/>
    <w:rsid w:val="00DE2AA9"/>
    <w:rsid w:val="00DE31C1"/>
    <w:rsid w:val="00DE3603"/>
    <w:rsid w:val="00DE3848"/>
    <w:rsid w:val="00DE3C99"/>
    <w:rsid w:val="00DE44BF"/>
    <w:rsid w:val="00DE4698"/>
    <w:rsid w:val="00DE5D3C"/>
    <w:rsid w:val="00DE5F5E"/>
    <w:rsid w:val="00DE61DD"/>
    <w:rsid w:val="00DE6E17"/>
    <w:rsid w:val="00DE7535"/>
    <w:rsid w:val="00DE7703"/>
    <w:rsid w:val="00DF11C9"/>
    <w:rsid w:val="00DF1449"/>
    <w:rsid w:val="00DF146A"/>
    <w:rsid w:val="00DF229E"/>
    <w:rsid w:val="00DF2A90"/>
    <w:rsid w:val="00DF3800"/>
    <w:rsid w:val="00DF3BB8"/>
    <w:rsid w:val="00DF45EB"/>
    <w:rsid w:val="00DF470E"/>
    <w:rsid w:val="00DF52E3"/>
    <w:rsid w:val="00DF6E0C"/>
    <w:rsid w:val="00E001B1"/>
    <w:rsid w:val="00E00F6E"/>
    <w:rsid w:val="00E01366"/>
    <w:rsid w:val="00E01677"/>
    <w:rsid w:val="00E01C6C"/>
    <w:rsid w:val="00E02916"/>
    <w:rsid w:val="00E0305F"/>
    <w:rsid w:val="00E034E5"/>
    <w:rsid w:val="00E03C7E"/>
    <w:rsid w:val="00E04037"/>
    <w:rsid w:val="00E05C3B"/>
    <w:rsid w:val="00E05F95"/>
    <w:rsid w:val="00E066A5"/>
    <w:rsid w:val="00E06AC8"/>
    <w:rsid w:val="00E07D74"/>
    <w:rsid w:val="00E11027"/>
    <w:rsid w:val="00E11653"/>
    <w:rsid w:val="00E11C2C"/>
    <w:rsid w:val="00E11DA2"/>
    <w:rsid w:val="00E14068"/>
    <w:rsid w:val="00E15422"/>
    <w:rsid w:val="00E15840"/>
    <w:rsid w:val="00E15D39"/>
    <w:rsid w:val="00E16A55"/>
    <w:rsid w:val="00E20D82"/>
    <w:rsid w:val="00E211DC"/>
    <w:rsid w:val="00E22BE0"/>
    <w:rsid w:val="00E22ED9"/>
    <w:rsid w:val="00E23A80"/>
    <w:rsid w:val="00E23C48"/>
    <w:rsid w:val="00E24565"/>
    <w:rsid w:val="00E24C84"/>
    <w:rsid w:val="00E259BA"/>
    <w:rsid w:val="00E25AF9"/>
    <w:rsid w:val="00E261C4"/>
    <w:rsid w:val="00E26F48"/>
    <w:rsid w:val="00E275D6"/>
    <w:rsid w:val="00E3085B"/>
    <w:rsid w:val="00E30866"/>
    <w:rsid w:val="00E30ABB"/>
    <w:rsid w:val="00E30BB3"/>
    <w:rsid w:val="00E311DB"/>
    <w:rsid w:val="00E31463"/>
    <w:rsid w:val="00E31CE3"/>
    <w:rsid w:val="00E32517"/>
    <w:rsid w:val="00E33719"/>
    <w:rsid w:val="00E33C92"/>
    <w:rsid w:val="00E34A83"/>
    <w:rsid w:val="00E352CB"/>
    <w:rsid w:val="00E35975"/>
    <w:rsid w:val="00E35B74"/>
    <w:rsid w:val="00E36443"/>
    <w:rsid w:val="00E366FD"/>
    <w:rsid w:val="00E375E5"/>
    <w:rsid w:val="00E3770D"/>
    <w:rsid w:val="00E37E7B"/>
    <w:rsid w:val="00E4075B"/>
    <w:rsid w:val="00E40A34"/>
    <w:rsid w:val="00E416A8"/>
    <w:rsid w:val="00E416BF"/>
    <w:rsid w:val="00E416DF"/>
    <w:rsid w:val="00E4293A"/>
    <w:rsid w:val="00E42D1E"/>
    <w:rsid w:val="00E42F77"/>
    <w:rsid w:val="00E43043"/>
    <w:rsid w:val="00E43154"/>
    <w:rsid w:val="00E43562"/>
    <w:rsid w:val="00E44A07"/>
    <w:rsid w:val="00E44B79"/>
    <w:rsid w:val="00E46232"/>
    <w:rsid w:val="00E464E6"/>
    <w:rsid w:val="00E46617"/>
    <w:rsid w:val="00E46B4F"/>
    <w:rsid w:val="00E46B8F"/>
    <w:rsid w:val="00E474B6"/>
    <w:rsid w:val="00E47D53"/>
    <w:rsid w:val="00E50DA2"/>
    <w:rsid w:val="00E51153"/>
    <w:rsid w:val="00E526D8"/>
    <w:rsid w:val="00E532BF"/>
    <w:rsid w:val="00E53948"/>
    <w:rsid w:val="00E53AC9"/>
    <w:rsid w:val="00E53C1F"/>
    <w:rsid w:val="00E53F8E"/>
    <w:rsid w:val="00E553C4"/>
    <w:rsid w:val="00E57A29"/>
    <w:rsid w:val="00E60266"/>
    <w:rsid w:val="00E60E6F"/>
    <w:rsid w:val="00E614C7"/>
    <w:rsid w:val="00E61841"/>
    <w:rsid w:val="00E6194F"/>
    <w:rsid w:val="00E61DA3"/>
    <w:rsid w:val="00E61DFC"/>
    <w:rsid w:val="00E61EC2"/>
    <w:rsid w:val="00E63261"/>
    <w:rsid w:val="00E63507"/>
    <w:rsid w:val="00E643A5"/>
    <w:rsid w:val="00E644C9"/>
    <w:rsid w:val="00E64C6A"/>
    <w:rsid w:val="00E64D28"/>
    <w:rsid w:val="00E652A8"/>
    <w:rsid w:val="00E65CB2"/>
    <w:rsid w:val="00E65CF6"/>
    <w:rsid w:val="00E6673A"/>
    <w:rsid w:val="00E66E5C"/>
    <w:rsid w:val="00E6727D"/>
    <w:rsid w:val="00E67CA4"/>
    <w:rsid w:val="00E67F37"/>
    <w:rsid w:val="00E70AAF"/>
    <w:rsid w:val="00E74A05"/>
    <w:rsid w:val="00E74A85"/>
    <w:rsid w:val="00E74CED"/>
    <w:rsid w:val="00E75053"/>
    <w:rsid w:val="00E75532"/>
    <w:rsid w:val="00E75C05"/>
    <w:rsid w:val="00E76C11"/>
    <w:rsid w:val="00E776C5"/>
    <w:rsid w:val="00E77B06"/>
    <w:rsid w:val="00E77DE5"/>
    <w:rsid w:val="00E81013"/>
    <w:rsid w:val="00E81473"/>
    <w:rsid w:val="00E81BD2"/>
    <w:rsid w:val="00E82EE0"/>
    <w:rsid w:val="00E83157"/>
    <w:rsid w:val="00E83159"/>
    <w:rsid w:val="00E833C7"/>
    <w:rsid w:val="00E8452D"/>
    <w:rsid w:val="00E84A23"/>
    <w:rsid w:val="00E8509E"/>
    <w:rsid w:val="00E85897"/>
    <w:rsid w:val="00E85E68"/>
    <w:rsid w:val="00E866E4"/>
    <w:rsid w:val="00E86F80"/>
    <w:rsid w:val="00E877F9"/>
    <w:rsid w:val="00E87EC1"/>
    <w:rsid w:val="00E915FD"/>
    <w:rsid w:val="00E92420"/>
    <w:rsid w:val="00E92C27"/>
    <w:rsid w:val="00E93955"/>
    <w:rsid w:val="00E93FD0"/>
    <w:rsid w:val="00E9431B"/>
    <w:rsid w:val="00E944FB"/>
    <w:rsid w:val="00E957F0"/>
    <w:rsid w:val="00E965F0"/>
    <w:rsid w:val="00E96915"/>
    <w:rsid w:val="00E96D66"/>
    <w:rsid w:val="00E97AA5"/>
    <w:rsid w:val="00EA044F"/>
    <w:rsid w:val="00EA0550"/>
    <w:rsid w:val="00EA116D"/>
    <w:rsid w:val="00EA38E1"/>
    <w:rsid w:val="00EA43F2"/>
    <w:rsid w:val="00EA4BEE"/>
    <w:rsid w:val="00EA4C47"/>
    <w:rsid w:val="00EA5EB6"/>
    <w:rsid w:val="00EA5FCC"/>
    <w:rsid w:val="00EA7404"/>
    <w:rsid w:val="00EB00F4"/>
    <w:rsid w:val="00EB1ABF"/>
    <w:rsid w:val="00EB2C1D"/>
    <w:rsid w:val="00EB30DE"/>
    <w:rsid w:val="00EB363A"/>
    <w:rsid w:val="00EB37DC"/>
    <w:rsid w:val="00EB38EC"/>
    <w:rsid w:val="00EB42C1"/>
    <w:rsid w:val="00EB4400"/>
    <w:rsid w:val="00EB4F97"/>
    <w:rsid w:val="00EB55BD"/>
    <w:rsid w:val="00EB680B"/>
    <w:rsid w:val="00EC0156"/>
    <w:rsid w:val="00EC1B43"/>
    <w:rsid w:val="00EC1E28"/>
    <w:rsid w:val="00EC2A32"/>
    <w:rsid w:val="00EC2D05"/>
    <w:rsid w:val="00EC31CB"/>
    <w:rsid w:val="00EC3922"/>
    <w:rsid w:val="00EC3D50"/>
    <w:rsid w:val="00EC3F08"/>
    <w:rsid w:val="00EC45A1"/>
    <w:rsid w:val="00EC4F2C"/>
    <w:rsid w:val="00EC552C"/>
    <w:rsid w:val="00EC5DF4"/>
    <w:rsid w:val="00EC632B"/>
    <w:rsid w:val="00EC7BC1"/>
    <w:rsid w:val="00ED080D"/>
    <w:rsid w:val="00ED0B19"/>
    <w:rsid w:val="00ED0B1B"/>
    <w:rsid w:val="00ED10ED"/>
    <w:rsid w:val="00ED1DE6"/>
    <w:rsid w:val="00ED1FF7"/>
    <w:rsid w:val="00ED279F"/>
    <w:rsid w:val="00ED28AC"/>
    <w:rsid w:val="00ED2AAD"/>
    <w:rsid w:val="00ED3508"/>
    <w:rsid w:val="00ED3A2C"/>
    <w:rsid w:val="00ED4056"/>
    <w:rsid w:val="00ED50E6"/>
    <w:rsid w:val="00ED55A2"/>
    <w:rsid w:val="00ED5E39"/>
    <w:rsid w:val="00ED5F82"/>
    <w:rsid w:val="00ED691B"/>
    <w:rsid w:val="00ED7286"/>
    <w:rsid w:val="00ED78A8"/>
    <w:rsid w:val="00ED78F4"/>
    <w:rsid w:val="00EE04BA"/>
    <w:rsid w:val="00EE0836"/>
    <w:rsid w:val="00EE0874"/>
    <w:rsid w:val="00EE0BF6"/>
    <w:rsid w:val="00EE1789"/>
    <w:rsid w:val="00EE2557"/>
    <w:rsid w:val="00EE28C6"/>
    <w:rsid w:val="00EE2A6B"/>
    <w:rsid w:val="00EE3DA5"/>
    <w:rsid w:val="00EE40B5"/>
    <w:rsid w:val="00EE429C"/>
    <w:rsid w:val="00EE4338"/>
    <w:rsid w:val="00EE6A6E"/>
    <w:rsid w:val="00EF0970"/>
    <w:rsid w:val="00EF1136"/>
    <w:rsid w:val="00EF171D"/>
    <w:rsid w:val="00EF19FB"/>
    <w:rsid w:val="00EF1E73"/>
    <w:rsid w:val="00EF25CC"/>
    <w:rsid w:val="00EF2FC2"/>
    <w:rsid w:val="00EF3454"/>
    <w:rsid w:val="00EF37C3"/>
    <w:rsid w:val="00EF3BE5"/>
    <w:rsid w:val="00EF4814"/>
    <w:rsid w:val="00EF5521"/>
    <w:rsid w:val="00EF5E58"/>
    <w:rsid w:val="00EF636A"/>
    <w:rsid w:val="00EF63EF"/>
    <w:rsid w:val="00EF693D"/>
    <w:rsid w:val="00EF6AA8"/>
    <w:rsid w:val="00EF78B8"/>
    <w:rsid w:val="00F02139"/>
    <w:rsid w:val="00F026AE"/>
    <w:rsid w:val="00F036AC"/>
    <w:rsid w:val="00F046FE"/>
    <w:rsid w:val="00F04DBF"/>
    <w:rsid w:val="00F06505"/>
    <w:rsid w:val="00F068A4"/>
    <w:rsid w:val="00F06CFC"/>
    <w:rsid w:val="00F073DC"/>
    <w:rsid w:val="00F07542"/>
    <w:rsid w:val="00F07B63"/>
    <w:rsid w:val="00F10723"/>
    <w:rsid w:val="00F1097D"/>
    <w:rsid w:val="00F11336"/>
    <w:rsid w:val="00F1136C"/>
    <w:rsid w:val="00F11719"/>
    <w:rsid w:val="00F128F5"/>
    <w:rsid w:val="00F131AB"/>
    <w:rsid w:val="00F14398"/>
    <w:rsid w:val="00F146B4"/>
    <w:rsid w:val="00F153E1"/>
    <w:rsid w:val="00F1571E"/>
    <w:rsid w:val="00F159D0"/>
    <w:rsid w:val="00F15ACE"/>
    <w:rsid w:val="00F15F03"/>
    <w:rsid w:val="00F16944"/>
    <w:rsid w:val="00F17144"/>
    <w:rsid w:val="00F17C77"/>
    <w:rsid w:val="00F17F6B"/>
    <w:rsid w:val="00F20405"/>
    <w:rsid w:val="00F20AFE"/>
    <w:rsid w:val="00F20F7E"/>
    <w:rsid w:val="00F22567"/>
    <w:rsid w:val="00F2322F"/>
    <w:rsid w:val="00F233B5"/>
    <w:rsid w:val="00F24204"/>
    <w:rsid w:val="00F25020"/>
    <w:rsid w:val="00F25614"/>
    <w:rsid w:val="00F26054"/>
    <w:rsid w:val="00F261CE"/>
    <w:rsid w:val="00F2636E"/>
    <w:rsid w:val="00F26938"/>
    <w:rsid w:val="00F26BF1"/>
    <w:rsid w:val="00F26F8E"/>
    <w:rsid w:val="00F277B7"/>
    <w:rsid w:val="00F27FCB"/>
    <w:rsid w:val="00F30E8F"/>
    <w:rsid w:val="00F32697"/>
    <w:rsid w:val="00F32AEC"/>
    <w:rsid w:val="00F32D4A"/>
    <w:rsid w:val="00F33DD2"/>
    <w:rsid w:val="00F3403B"/>
    <w:rsid w:val="00F340D9"/>
    <w:rsid w:val="00F3423E"/>
    <w:rsid w:val="00F35574"/>
    <w:rsid w:val="00F357CA"/>
    <w:rsid w:val="00F359A7"/>
    <w:rsid w:val="00F35DAD"/>
    <w:rsid w:val="00F36673"/>
    <w:rsid w:val="00F3669D"/>
    <w:rsid w:val="00F36ECC"/>
    <w:rsid w:val="00F37215"/>
    <w:rsid w:val="00F37505"/>
    <w:rsid w:val="00F377E9"/>
    <w:rsid w:val="00F37CAF"/>
    <w:rsid w:val="00F37CB3"/>
    <w:rsid w:val="00F37D2E"/>
    <w:rsid w:val="00F40142"/>
    <w:rsid w:val="00F402FE"/>
    <w:rsid w:val="00F40E7A"/>
    <w:rsid w:val="00F40FC0"/>
    <w:rsid w:val="00F414B7"/>
    <w:rsid w:val="00F41513"/>
    <w:rsid w:val="00F41D9B"/>
    <w:rsid w:val="00F42E8A"/>
    <w:rsid w:val="00F4526A"/>
    <w:rsid w:val="00F45E67"/>
    <w:rsid w:val="00F474BA"/>
    <w:rsid w:val="00F47CAC"/>
    <w:rsid w:val="00F50B87"/>
    <w:rsid w:val="00F52150"/>
    <w:rsid w:val="00F5268E"/>
    <w:rsid w:val="00F52E8B"/>
    <w:rsid w:val="00F553FD"/>
    <w:rsid w:val="00F5583A"/>
    <w:rsid w:val="00F56E2C"/>
    <w:rsid w:val="00F578AB"/>
    <w:rsid w:val="00F579D4"/>
    <w:rsid w:val="00F57E94"/>
    <w:rsid w:val="00F60125"/>
    <w:rsid w:val="00F6031E"/>
    <w:rsid w:val="00F61360"/>
    <w:rsid w:val="00F617BB"/>
    <w:rsid w:val="00F61CE6"/>
    <w:rsid w:val="00F62AA2"/>
    <w:rsid w:val="00F64469"/>
    <w:rsid w:val="00F64479"/>
    <w:rsid w:val="00F64628"/>
    <w:rsid w:val="00F650D4"/>
    <w:rsid w:val="00F65AC1"/>
    <w:rsid w:val="00F663EC"/>
    <w:rsid w:val="00F66A13"/>
    <w:rsid w:val="00F67265"/>
    <w:rsid w:val="00F677F2"/>
    <w:rsid w:val="00F678BC"/>
    <w:rsid w:val="00F707BF"/>
    <w:rsid w:val="00F7147E"/>
    <w:rsid w:val="00F71927"/>
    <w:rsid w:val="00F72194"/>
    <w:rsid w:val="00F7285C"/>
    <w:rsid w:val="00F729A5"/>
    <w:rsid w:val="00F734A8"/>
    <w:rsid w:val="00F73609"/>
    <w:rsid w:val="00F73866"/>
    <w:rsid w:val="00F73F2A"/>
    <w:rsid w:val="00F74265"/>
    <w:rsid w:val="00F74AEF"/>
    <w:rsid w:val="00F750CE"/>
    <w:rsid w:val="00F76A2D"/>
    <w:rsid w:val="00F76B7F"/>
    <w:rsid w:val="00F76E42"/>
    <w:rsid w:val="00F77036"/>
    <w:rsid w:val="00F8070D"/>
    <w:rsid w:val="00F80A49"/>
    <w:rsid w:val="00F81332"/>
    <w:rsid w:val="00F821ED"/>
    <w:rsid w:val="00F82359"/>
    <w:rsid w:val="00F824AC"/>
    <w:rsid w:val="00F8261A"/>
    <w:rsid w:val="00F82645"/>
    <w:rsid w:val="00F8294E"/>
    <w:rsid w:val="00F82D61"/>
    <w:rsid w:val="00F84975"/>
    <w:rsid w:val="00F84ABE"/>
    <w:rsid w:val="00F84D0C"/>
    <w:rsid w:val="00F8533B"/>
    <w:rsid w:val="00F86874"/>
    <w:rsid w:val="00F868C9"/>
    <w:rsid w:val="00F87294"/>
    <w:rsid w:val="00F87E07"/>
    <w:rsid w:val="00F9064F"/>
    <w:rsid w:val="00F90AD2"/>
    <w:rsid w:val="00F910AC"/>
    <w:rsid w:val="00F91EC4"/>
    <w:rsid w:val="00F93196"/>
    <w:rsid w:val="00F941F3"/>
    <w:rsid w:val="00F944EC"/>
    <w:rsid w:val="00F94EE1"/>
    <w:rsid w:val="00F961CB"/>
    <w:rsid w:val="00F97607"/>
    <w:rsid w:val="00F97F14"/>
    <w:rsid w:val="00FA00BF"/>
    <w:rsid w:val="00FA0202"/>
    <w:rsid w:val="00FA119D"/>
    <w:rsid w:val="00FA17F0"/>
    <w:rsid w:val="00FA18B4"/>
    <w:rsid w:val="00FA2596"/>
    <w:rsid w:val="00FA27CC"/>
    <w:rsid w:val="00FA46AA"/>
    <w:rsid w:val="00FA4DE9"/>
    <w:rsid w:val="00FA50FC"/>
    <w:rsid w:val="00FA5F42"/>
    <w:rsid w:val="00FA691A"/>
    <w:rsid w:val="00FA6B32"/>
    <w:rsid w:val="00FA6E9B"/>
    <w:rsid w:val="00FA7049"/>
    <w:rsid w:val="00FA74B2"/>
    <w:rsid w:val="00FA7956"/>
    <w:rsid w:val="00FB1558"/>
    <w:rsid w:val="00FB1ECC"/>
    <w:rsid w:val="00FB24B1"/>
    <w:rsid w:val="00FB2E01"/>
    <w:rsid w:val="00FB43D7"/>
    <w:rsid w:val="00FB447B"/>
    <w:rsid w:val="00FB44D1"/>
    <w:rsid w:val="00FB5E33"/>
    <w:rsid w:val="00FB6373"/>
    <w:rsid w:val="00FB64CC"/>
    <w:rsid w:val="00FB719E"/>
    <w:rsid w:val="00FB7B75"/>
    <w:rsid w:val="00FB7E2C"/>
    <w:rsid w:val="00FC0C19"/>
    <w:rsid w:val="00FC1BA7"/>
    <w:rsid w:val="00FC298D"/>
    <w:rsid w:val="00FC2B19"/>
    <w:rsid w:val="00FC34A4"/>
    <w:rsid w:val="00FC367D"/>
    <w:rsid w:val="00FC3A1A"/>
    <w:rsid w:val="00FC3DF4"/>
    <w:rsid w:val="00FC3FF1"/>
    <w:rsid w:val="00FC409E"/>
    <w:rsid w:val="00FC47FE"/>
    <w:rsid w:val="00FC574E"/>
    <w:rsid w:val="00FC5782"/>
    <w:rsid w:val="00FC5F35"/>
    <w:rsid w:val="00FC609E"/>
    <w:rsid w:val="00FC6C52"/>
    <w:rsid w:val="00FC7360"/>
    <w:rsid w:val="00FC75B3"/>
    <w:rsid w:val="00FC7B06"/>
    <w:rsid w:val="00FC7E60"/>
    <w:rsid w:val="00FD0A64"/>
    <w:rsid w:val="00FD13E0"/>
    <w:rsid w:val="00FD17DB"/>
    <w:rsid w:val="00FD2112"/>
    <w:rsid w:val="00FD3474"/>
    <w:rsid w:val="00FD384F"/>
    <w:rsid w:val="00FD4109"/>
    <w:rsid w:val="00FD463A"/>
    <w:rsid w:val="00FD4854"/>
    <w:rsid w:val="00FD4F22"/>
    <w:rsid w:val="00FD67D5"/>
    <w:rsid w:val="00FD6C6F"/>
    <w:rsid w:val="00FD76BA"/>
    <w:rsid w:val="00FE07DD"/>
    <w:rsid w:val="00FE0F23"/>
    <w:rsid w:val="00FE161B"/>
    <w:rsid w:val="00FE2401"/>
    <w:rsid w:val="00FE2524"/>
    <w:rsid w:val="00FE2718"/>
    <w:rsid w:val="00FE2A5D"/>
    <w:rsid w:val="00FE2EE0"/>
    <w:rsid w:val="00FE2F53"/>
    <w:rsid w:val="00FE4965"/>
    <w:rsid w:val="00FE509C"/>
    <w:rsid w:val="00FE50CE"/>
    <w:rsid w:val="00FE5A52"/>
    <w:rsid w:val="00FE6D61"/>
    <w:rsid w:val="00FF0250"/>
    <w:rsid w:val="00FF08DB"/>
    <w:rsid w:val="00FF0C59"/>
    <w:rsid w:val="00FF1275"/>
    <w:rsid w:val="00FF1420"/>
    <w:rsid w:val="00FF2182"/>
    <w:rsid w:val="00FF2556"/>
    <w:rsid w:val="00FF3FF1"/>
    <w:rsid w:val="00FF4031"/>
    <w:rsid w:val="00FF4139"/>
    <w:rsid w:val="00FF4210"/>
    <w:rsid w:val="00FF455E"/>
    <w:rsid w:val="00FF4BA8"/>
    <w:rsid w:val="00FF519B"/>
    <w:rsid w:val="00FF5F1E"/>
    <w:rsid w:val="00FF67AF"/>
    <w:rsid w:val="00FF6BE6"/>
    <w:rsid w:val="00FF7B73"/>
    <w:rsid w:val="00FF7EB8"/>
    <w:rsid w:val="29D28C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CA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bg-BG" w:bidi="bg-BG"/>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CD5"/>
  </w:style>
  <w:style w:type="paragraph" w:styleId="Heading1">
    <w:name w:val="heading 1"/>
    <w:basedOn w:val="Normal"/>
    <w:next w:val="Normal"/>
    <w:link w:val="Heading1Char"/>
    <w:uiPriority w:val="9"/>
    <w:qFormat/>
    <w:rsid w:val="00930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30D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30D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ductList-Body">
    <w:name w:val="Product List - Body"/>
    <w:basedOn w:val="Normal"/>
    <w:link w:val="ProductList-BodyChar"/>
    <w:qFormat/>
    <w:rsid w:val="003F6BD4"/>
    <w:pPr>
      <w:tabs>
        <w:tab w:val="left" w:pos="158"/>
      </w:tabs>
      <w:spacing w:after="0" w:line="240" w:lineRule="auto"/>
    </w:pPr>
    <w:rPr>
      <w:sz w:val="18"/>
    </w:rPr>
  </w:style>
  <w:style w:type="paragraph" w:customStyle="1" w:styleId="ProductList-SectionHeading">
    <w:name w:val="Product List - Section Heading"/>
    <w:basedOn w:val="ProductList-Body"/>
    <w:next w:val="ProductList-Body"/>
    <w:link w:val="ProductList-SectionHeadingChar"/>
    <w:qFormat/>
    <w:rsid w:val="00407E60"/>
    <w:pPr>
      <w:spacing w:after="240"/>
    </w:pPr>
    <w:rPr>
      <w:rFonts w:asciiTheme="majorHAnsi" w:hAnsiTheme="majorHAnsi"/>
      <w:b/>
      <w:sz w:val="40"/>
    </w:rPr>
  </w:style>
  <w:style w:type="paragraph" w:customStyle="1" w:styleId="ProductList-OfferingGroupHeading">
    <w:name w:val="Product List - Offering Group Heading"/>
    <w:basedOn w:val="ProductList-Body"/>
    <w:link w:val="ProductList-OfferingGroupHeadingChar"/>
    <w:qFormat/>
    <w:rsid w:val="00FC1BA7"/>
    <w:pPr>
      <w:pBdr>
        <w:bottom w:val="single" w:sz="24" w:space="1" w:color="BFBFBF" w:themeColor="background1" w:themeShade="BF"/>
      </w:pBdr>
      <w:spacing w:after="240"/>
    </w:pPr>
    <w:rPr>
      <w:rFonts w:asciiTheme="majorHAnsi" w:hAnsiTheme="majorHAnsi"/>
      <w:b/>
      <w:color w:val="00188F"/>
      <w:sz w:val="28"/>
    </w:rPr>
  </w:style>
  <w:style w:type="character" w:customStyle="1" w:styleId="ProductList-BodyChar">
    <w:name w:val="Product List - Body Char"/>
    <w:basedOn w:val="DefaultParagraphFont"/>
    <w:link w:val="ProductList-Body"/>
    <w:rsid w:val="003F6BD4"/>
    <w:rPr>
      <w:sz w:val="18"/>
    </w:rPr>
  </w:style>
  <w:style w:type="character" w:customStyle="1" w:styleId="ProductList-SectionHeadingChar">
    <w:name w:val="Product List - Section Heading Char"/>
    <w:basedOn w:val="ProductList-BodyChar"/>
    <w:link w:val="ProductList-SectionHeading"/>
    <w:rsid w:val="00407E60"/>
    <w:rPr>
      <w:rFonts w:asciiTheme="majorHAnsi" w:hAnsiTheme="majorHAnsi"/>
      <w:b/>
      <w:sz w:val="40"/>
    </w:rPr>
  </w:style>
  <w:style w:type="paragraph" w:customStyle="1" w:styleId="ProductList-Offering1">
    <w:name w:val="Product List - Offering 1"/>
    <w:basedOn w:val="ProductList-Body"/>
    <w:link w:val="ProductList-Offering1Char"/>
    <w:qFormat/>
    <w:rsid w:val="004F3C6D"/>
    <w:pPr>
      <w:spacing w:before="20" w:after="20"/>
      <w:ind w:left="-14" w:right="-101"/>
    </w:pPr>
    <w:rPr>
      <w:rFonts w:asciiTheme="majorHAnsi" w:hAnsiTheme="majorHAnsi"/>
      <w:sz w:val="16"/>
    </w:rPr>
  </w:style>
  <w:style w:type="character" w:customStyle="1" w:styleId="ProductList-OfferingGroupHeadingChar">
    <w:name w:val="Product List - Offering Group Heading Char"/>
    <w:basedOn w:val="ProductList-BodyChar"/>
    <w:link w:val="ProductList-OfferingGroupHeading"/>
    <w:rsid w:val="00FC1BA7"/>
    <w:rPr>
      <w:rFonts w:asciiTheme="majorHAnsi" w:hAnsiTheme="majorHAnsi"/>
      <w:b/>
      <w:color w:val="00188F"/>
      <w:sz w:val="28"/>
    </w:rPr>
  </w:style>
  <w:style w:type="paragraph" w:customStyle="1" w:styleId="ProductList-OfferingBody">
    <w:name w:val="Product List - Offering Body"/>
    <w:basedOn w:val="ProductList-Body"/>
    <w:next w:val="ProductList-Body"/>
    <w:link w:val="ProductList-OfferingBodyChar"/>
    <w:qFormat/>
    <w:rsid w:val="00287117"/>
    <w:pPr>
      <w:tabs>
        <w:tab w:val="clear" w:pos="158"/>
      </w:tabs>
      <w:spacing w:before="20" w:after="20"/>
      <w:ind w:left="-14" w:right="-101"/>
    </w:pPr>
    <w:rPr>
      <w:sz w:val="16"/>
    </w:rPr>
  </w:style>
  <w:style w:type="character" w:customStyle="1" w:styleId="ProductList-Offering1Char">
    <w:name w:val="Product List - Offering 1 Char"/>
    <w:basedOn w:val="ProductList-BodyChar"/>
    <w:link w:val="ProductList-Offering1"/>
    <w:rsid w:val="004F3C6D"/>
    <w:rPr>
      <w:rFonts w:asciiTheme="majorHAnsi" w:hAnsiTheme="majorHAnsi"/>
      <w:sz w:val="16"/>
    </w:rPr>
  </w:style>
  <w:style w:type="paragraph" w:customStyle="1" w:styleId="ProductList-Offering1Heading">
    <w:name w:val="Product List - Offering 1 Heading"/>
    <w:basedOn w:val="ProductList-Body"/>
    <w:next w:val="ProductList-Body"/>
    <w:link w:val="ProductList-Offering1HeadingChar"/>
    <w:qFormat/>
    <w:rsid w:val="00FC1BA7"/>
    <w:pPr>
      <w:pBdr>
        <w:bottom w:val="single" w:sz="4" w:space="1" w:color="BFBFBF" w:themeColor="background1" w:themeShade="BF"/>
      </w:pBdr>
      <w:tabs>
        <w:tab w:val="left" w:pos="187"/>
      </w:tabs>
      <w:spacing w:before="60" w:after="60"/>
    </w:pPr>
    <w:rPr>
      <w:rFonts w:asciiTheme="majorHAnsi" w:hAnsiTheme="majorHAnsi"/>
      <w:b/>
      <w:color w:val="00188F"/>
      <w:sz w:val="28"/>
    </w:rPr>
  </w:style>
  <w:style w:type="character" w:customStyle="1" w:styleId="ProductList-OfferingBodyChar">
    <w:name w:val="Product List - Offering Body Char"/>
    <w:basedOn w:val="ProductList-BodyChar"/>
    <w:link w:val="ProductList-OfferingBody"/>
    <w:rsid w:val="00287117"/>
    <w:rPr>
      <w:sz w:val="16"/>
    </w:rPr>
  </w:style>
  <w:style w:type="paragraph" w:customStyle="1" w:styleId="ProductList-SubSection1Heading">
    <w:name w:val="Product List - SubSection 1 Heading"/>
    <w:basedOn w:val="ProductList-Body"/>
    <w:link w:val="ProductList-SubSection1HeadingChar"/>
    <w:qFormat/>
    <w:rsid w:val="00EE40B5"/>
    <w:pPr>
      <w:pBdr>
        <w:bottom w:val="single" w:sz="4" w:space="1" w:color="BFBFBF" w:themeColor="background1" w:themeShade="BF"/>
      </w:pBdr>
      <w:tabs>
        <w:tab w:val="left" w:pos="187"/>
      </w:tabs>
      <w:spacing w:before="240" w:after="120"/>
    </w:pPr>
    <w:rPr>
      <w:rFonts w:asciiTheme="majorHAnsi" w:hAnsiTheme="majorHAnsi"/>
      <w:b/>
      <w:sz w:val="28"/>
    </w:rPr>
  </w:style>
  <w:style w:type="character" w:customStyle="1" w:styleId="ProductList-Offering1HeadingChar">
    <w:name w:val="Product List - Offering 1 Heading Char"/>
    <w:basedOn w:val="ProductList-BodyChar"/>
    <w:link w:val="ProductList-Offering1Heading"/>
    <w:rsid w:val="00FC1BA7"/>
    <w:rPr>
      <w:rFonts w:asciiTheme="majorHAnsi" w:hAnsiTheme="majorHAnsi"/>
      <w:b/>
      <w:color w:val="00188F"/>
      <w:sz w:val="28"/>
    </w:rPr>
  </w:style>
  <w:style w:type="paragraph" w:styleId="Header">
    <w:name w:val="header"/>
    <w:basedOn w:val="Normal"/>
    <w:link w:val="HeaderChar"/>
    <w:uiPriority w:val="99"/>
    <w:unhideWhenUsed/>
    <w:rsid w:val="009A573F"/>
    <w:pPr>
      <w:tabs>
        <w:tab w:val="center" w:pos="4680"/>
        <w:tab w:val="right" w:pos="9360"/>
      </w:tabs>
      <w:spacing w:after="0" w:line="240" w:lineRule="auto"/>
    </w:pPr>
  </w:style>
  <w:style w:type="character" w:customStyle="1" w:styleId="ProductList-SubSection1HeadingChar">
    <w:name w:val="Product List - SubSection 1 Heading Char"/>
    <w:basedOn w:val="ProductList-BodyChar"/>
    <w:link w:val="ProductList-SubSection1Heading"/>
    <w:rsid w:val="00EE40B5"/>
    <w:rPr>
      <w:rFonts w:asciiTheme="majorHAnsi" w:hAnsiTheme="majorHAnsi"/>
      <w:b/>
      <w:sz w:val="28"/>
    </w:rPr>
  </w:style>
  <w:style w:type="character" w:customStyle="1" w:styleId="HeaderChar">
    <w:name w:val="Header Char"/>
    <w:basedOn w:val="DefaultParagraphFont"/>
    <w:link w:val="Header"/>
    <w:uiPriority w:val="99"/>
    <w:rsid w:val="009A573F"/>
  </w:style>
  <w:style w:type="paragraph" w:styleId="Footer">
    <w:name w:val="footer"/>
    <w:basedOn w:val="Normal"/>
    <w:link w:val="FooterChar"/>
    <w:uiPriority w:val="99"/>
    <w:unhideWhenUsed/>
    <w:rsid w:val="009A5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F"/>
  </w:style>
  <w:style w:type="table" w:styleId="TableGrid">
    <w:name w:val="Table Grid"/>
    <w:basedOn w:val="TableNormal"/>
    <w:uiPriority w:val="39"/>
    <w:rsid w:val="00C76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3D69"/>
    <w:rPr>
      <w:color w:val="0563C1" w:themeColor="hyperlink"/>
      <w:u w:val="single"/>
    </w:rPr>
  </w:style>
  <w:style w:type="paragraph" w:styleId="BalloonText">
    <w:name w:val="Balloon Text"/>
    <w:basedOn w:val="Normal"/>
    <w:link w:val="BalloonTextChar"/>
    <w:uiPriority w:val="99"/>
    <w:semiHidden/>
    <w:unhideWhenUsed/>
    <w:rsid w:val="00E377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70D"/>
    <w:rPr>
      <w:rFonts w:ascii="Segoe UI" w:hAnsi="Segoe UI" w:cs="Segoe UI"/>
      <w:sz w:val="18"/>
      <w:szCs w:val="18"/>
    </w:rPr>
  </w:style>
  <w:style w:type="paragraph" w:customStyle="1" w:styleId="ProductList-Offering2Heading">
    <w:name w:val="Product List - Offering 2 Heading"/>
    <w:basedOn w:val="ProductList-Offering1Heading"/>
    <w:next w:val="ProductList-Body"/>
    <w:link w:val="ProductList-Offering2HeadingChar"/>
    <w:qFormat/>
    <w:rsid w:val="00FC1BA7"/>
    <w:pPr>
      <w:tabs>
        <w:tab w:val="clear" w:pos="187"/>
      </w:tabs>
    </w:pPr>
    <w:rPr>
      <w:color w:val="0072C6"/>
    </w:rPr>
  </w:style>
  <w:style w:type="character" w:customStyle="1" w:styleId="Heading1Char">
    <w:name w:val="Heading 1 Char"/>
    <w:basedOn w:val="DefaultParagraphFont"/>
    <w:link w:val="Heading1"/>
    <w:uiPriority w:val="9"/>
    <w:rsid w:val="00930D5E"/>
    <w:rPr>
      <w:rFonts w:asciiTheme="majorHAnsi" w:eastAsiaTheme="majorEastAsia" w:hAnsiTheme="majorHAnsi" w:cstheme="majorBidi"/>
      <w:color w:val="2E74B5" w:themeColor="accent1" w:themeShade="BF"/>
      <w:sz w:val="32"/>
      <w:szCs w:val="32"/>
    </w:rPr>
  </w:style>
  <w:style w:type="character" w:customStyle="1" w:styleId="ProductList-Offering2HeadingChar">
    <w:name w:val="Product List - Offering 2 Heading Char"/>
    <w:basedOn w:val="ProductList-Offering1HeadingChar"/>
    <w:link w:val="ProductList-Offering2Heading"/>
    <w:rsid w:val="00FC1BA7"/>
    <w:rPr>
      <w:rFonts w:asciiTheme="majorHAnsi" w:hAnsiTheme="majorHAnsi"/>
      <w:b/>
      <w:color w:val="0072C6"/>
      <w:sz w:val="28"/>
    </w:rPr>
  </w:style>
  <w:style w:type="character" w:customStyle="1" w:styleId="Heading2Char">
    <w:name w:val="Heading 2 Char"/>
    <w:basedOn w:val="DefaultParagraphFont"/>
    <w:link w:val="Heading2"/>
    <w:uiPriority w:val="9"/>
    <w:semiHidden/>
    <w:rsid w:val="00930D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30D5E"/>
    <w:rPr>
      <w:rFonts w:asciiTheme="majorHAnsi" w:eastAsiaTheme="majorEastAsia" w:hAnsiTheme="majorHAnsi" w:cstheme="majorBidi"/>
      <w:color w:val="1F4D78" w:themeColor="accent1" w:themeShade="7F"/>
      <w:sz w:val="24"/>
      <w:szCs w:val="24"/>
    </w:rPr>
  </w:style>
  <w:style w:type="paragraph" w:customStyle="1" w:styleId="ProductList-Offering2">
    <w:name w:val="Product List - Offering 2"/>
    <w:basedOn w:val="ProductList-Offering1"/>
    <w:link w:val="ProductList-Offering2Char"/>
    <w:qFormat/>
    <w:rsid w:val="003F6BD4"/>
  </w:style>
  <w:style w:type="paragraph" w:customStyle="1" w:styleId="ProductList-SubSubSectionHeading">
    <w:name w:val="Product List - SubSubSection Heading"/>
    <w:basedOn w:val="ProductList-Body"/>
    <w:link w:val="ProductList-SubSubSectionHeadingChar"/>
    <w:qFormat/>
    <w:rsid w:val="00103924"/>
    <w:rPr>
      <w:b/>
      <w:color w:val="00188F"/>
    </w:rPr>
  </w:style>
  <w:style w:type="character" w:customStyle="1" w:styleId="ProductList-Offering2Char">
    <w:name w:val="Product List - Offering 2 Char"/>
    <w:basedOn w:val="ProductList-BodyChar"/>
    <w:link w:val="ProductList-Offering2"/>
    <w:rsid w:val="003F6BD4"/>
    <w:rPr>
      <w:rFonts w:asciiTheme="majorHAnsi" w:hAnsiTheme="majorHAnsi"/>
      <w:sz w:val="16"/>
    </w:rPr>
  </w:style>
  <w:style w:type="paragraph" w:customStyle="1" w:styleId="ProductList-SubSection2Heading">
    <w:name w:val="Product List - SubSection 2 Heading"/>
    <w:basedOn w:val="ProductList-SubSection1Heading"/>
    <w:link w:val="ProductList-SubSection2HeadingChar"/>
    <w:qFormat/>
    <w:rsid w:val="00B0782A"/>
    <w:pPr>
      <w:tabs>
        <w:tab w:val="clear" w:pos="187"/>
      </w:tabs>
      <w:outlineLvl w:val="2"/>
    </w:pPr>
  </w:style>
  <w:style w:type="character" w:customStyle="1" w:styleId="ProductList-SubSubSectionHeadingChar">
    <w:name w:val="Product List - SubSubSection Heading Char"/>
    <w:basedOn w:val="ProductList-BodyChar"/>
    <w:link w:val="ProductList-SubSubSectionHeading"/>
    <w:rsid w:val="00103924"/>
    <w:rPr>
      <w:b/>
      <w:color w:val="00188F"/>
      <w:sz w:val="18"/>
    </w:rPr>
  </w:style>
  <w:style w:type="paragraph" w:styleId="TOC1">
    <w:name w:val="toc 1"/>
    <w:basedOn w:val="Normal"/>
    <w:next w:val="Normal"/>
    <w:autoRedefine/>
    <w:uiPriority w:val="39"/>
    <w:unhideWhenUsed/>
    <w:qFormat/>
    <w:rsid w:val="003C75FF"/>
    <w:pPr>
      <w:spacing w:before="120" w:after="120" w:line="252" w:lineRule="auto"/>
    </w:pPr>
    <w:rPr>
      <w:b/>
      <w:caps/>
      <w:sz w:val="18"/>
    </w:rPr>
  </w:style>
  <w:style w:type="paragraph" w:styleId="TOC2">
    <w:name w:val="toc 2"/>
    <w:basedOn w:val="Normal"/>
    <w:next w:val="Normal"/>
    <w:autoRedefine/>
    <w:uiPriority w:val="39"/>
    <w:unhideWhenUsed/>
    <w:rsid w:val="003C75FF"/>
    <w:pPr>
      <w:spacing w:after="0" w:line="252" w:lineRule="auto"/>
      <w:ind w:left="158"/>
    </w:pPr>
    <w:rPr>
      <w:b/>
      <w:smallCaps/>
      <w:sz w:val="18"/>
    </w:rPr>
  </w:style>
  <w:style w:type="paragraph" w:styleId="TOC3">
    <w:name w:val="toc 3"/>
    <w:basedOn w:val="Normal"/>
    <w:next w:val="Normal"/>
    <w:autoRedefine/>
    <w:uiPriority w:val="39"/>
    <w:unhideWhenUsed/>
    <w:rsid w:val="00086EDC"/>
    <w:pPr>
      <w:tabs>
        <w:tab w:val="right" w:leader="dot" w:pos="5030"/>
      </w:tabs>
      <w:spacing w:after="0" w:line="252" w:lineRule="auto"/>
      <w:ind w:left="158"/>
    </w:pPr>
    <w:rPr>
      <w:b/>
      <w:smallCaps/>
      <w:noProof/>
      <w:sz w:val="18"/>
    </w:rPr>
  </w:style>
  <w:style w:type="paragraph" w:styleId="TOC4">
    <w:name w:val="toc 4"/>
    <w:basedOn w:val="Normal"/>
    <w:next w:val="Normal"/>
    <w:autoRedefine/>
    <w:uiPriority w:val="39"/>
    <w:unhideWhenUsed/>
    <w:rsid w:val="00A430D3"/>
    <w:pPr>
      <w:tabs>
        <w:tab w:val="right" w:leader="dot" w:pos="5030"/>
      </w:tabs>
      <w:spacing w:after="0" w:line="252" w:lineRule="auto"/>
      <w:ind w:left="180"/>
    </w:pPr>
    <w:rPr>
      <w:smallCaps/>
      <w:sz w:val="18"/>
    </w:rPr>
  </w:style>
  <w:style w:type="paragraph" w:styleId="TOC5">
    <w:name w:val="toc 5"/>
    <w:basedOn w:val="Normal"/>
    <w:next w:val="Normal"/>
    <w:autoRedefine/>
    <w:uiPriority w:val="39"/>
    <w:unhideWhenUsed/>
    <w:rsid w:val="00462C59"/>
    <w:pPr>
      <w:spacing w:after="0" w:line="252" w:lineRule="auto"/>
      <w:ind w:left="317"/>
    </w:pPr>
    <w:rPr>
      <w:sz w:val="16"/>
    </w:rPr>
  </w:style>
  <w:style w:type="paragraph" w:styleId="TOC6">
    <w:name w:val="toc 6"/>
    <w:basedOn w:val="Normal"/>
    <w:next w:val="Normal"/>
    <w:autoRedefine/>
    <w:uiPriority w:val="39"/>
    <w:unhideWhenUsed/>
    <w:rsid w:val="00462C59"/>
    <w:pPr>
      <w:spacing w:after="0" w:line="252" w:lineRule="auto"/>
      <w:ind w:left="475"/>
    </w:pPr>
    <w:rPr>
      <w:sz w:val="16"/>
    </w:rPr>
  </w:style>
  <w:style w:type="character" w:customStyle="1" w:styleId="ProductList-SubSection2HeadingChar">
    <w:name w:val="Product List - SubSection 2 Heading Char"/>
    <w:basedOn w:val="ProductList-SubSection1HeadingChar"/>
    <w:link w:val="ProductList-SubSection2Heading"/>
    <w:rsid w:val="00B0782A"/>
    <w:rPr>
      <w:rFonts w:asciiTheme="majorHAnsi" w:hAnsiTheme="majorHAnsi"/>
      <w:b/>
      <w:sz w:val="28"/>
    </w:rPr>
  </w:style>
  <w:style w:type="character" w:styleId="FollowedHyperlink">
    <w:name w:val="FollowedHyperlink"/>
    <w:basedOn w:val="DefaultParagraphFont"/>
    <w:uiPriority w:val="99"/>
    <w:semiHidden/>
    <w:unhideWhenUsed/>
    <w:rsid w:val="001602AC"/>
    <w:rPr>
      <w:color w:val="954F72" w:themeColor="followedHyperlink"/>
      <w:u w:val="single"/>
    </w:rPr>
  </w:style>
  <w:style w:type="paragraph" w:styleId="CommentText">
    <w:name w:val="annotation text"/>
    <w:basedOn w:val="Normal"/>
    <w:link w:val="CommentTextChar"/>
    <w:uiPriority w:val="99"/>
    <w:unhideWhenUsed/>
    <w:rsid w:val="00ED3A2C"/>
    <w:pPr>
      <w:spacing w:line="240" w:lineRule="auto"/>
    </w:pPr>
    <w:rPr>
      <w:sz w:val="20"/>
      <w:szCs w:val="20"/>
    </w:rPr>
  </w:style>
  <w:style w:type="character" w:customStyle="1" w:styleId="CommentTextChar">
    <w:name w:val="Comment Text Char"/>
    <w:basedOn w:val="DefaultParagraphFont"/>
    <w:link w:val="CommentText"/>
    <w:uiPriority w:val="99"/>
    <w:rsid w:val="00ED3A2C"/>
    <w:rPr>
      <w:sz w:val="20"/>
      <w:szCs w:val="20"/>
    </w:rPr>
  </w:style>
  <w:style w:type="character" w:styleId="CommentReference">
    <w:name w:val="annotation reference"/>
    <w:uiPriority w:val="99"/>
    <w:rsid w:val="00A41808"/>
    <w:rPr>
      <w:rFonts w:cs="Times New Roman"/>
      <w:sz w:val="16"/>
      <w:szCs w:val="16"/>
    </w:rPr>
  </w:style>
  <w:style w:type="paragraph" w:styleId="CommentSubject">
    <w:name w:val="annotation subject"/>
    <w:basedOn w:val="CommentText"/>
    <w:next w:val="CommentText"/>
    <w:link w:val="CommentSubjectChar"/>
    <w:uiPriority w:val="99"/>
    <w:semiHidden/>
    <w:unhideWhenUsed/>
    <w:rsid w:val="00ED3A2C"/>
    <w:rPr>
      <w:b/>
      <w:bCs/>
    </w:rPr>
  </w:style>
  <w:style w:type="character" w:customStyle="1" w:styleId="CommentSubjectChar">
    <w:name w:val="Comment Subject Char"/>
    <w:basedOn w:val="CommentTextChar"/>
    <w:link w:val="CommentSubject"/>
    <w:uiPriority w:val="99"/>
    <w:semiHidden/>
    <w:rsid w:val="00ED3A2C"/>
    <w:rPr>
      <w:b/>
      <w:bCs/>
      <w:sz w:val="20"/>
      <w:szCs w:val="20"/>
    </w:rPr>
  </w:style>
  <w:style w:type="paragraph" w:styleId="TOC7">
    <w:name w:val="toc 7"/>
    <w:basedOn w:val="Normal"/>
    <w:next w:val="Normal"/>
    <w:autoRedefine/>
    <w:uiPriority w:val="39"/>
    <w:unhideWhenUsed/>
    <w:rsid w:val="00CE0C80"/>
    <w:pPr>
      <w:spacing w:after="100"/>
      <w:ind w:left="1320"/>
    </w:pPr>
    <w:rPr>
      <w:rFonts w:eastAsiaTheme="minorEastAsia"/>
    </w:rPr>
  </w:style>
  <w:style w:type="paragraph" w:styleId="TOC8">
    <w:name w:val="toc 8"/>
    <w:basedOn w:val="Normal"/>
    <w:next w:val="Normal"/>
    <w:autoRedefine/>
    <w:uiPriority w:val="39"/>
    <w:unhideWhenUsed/>
    <w:rsid w:val="00CE0C80"/>
    <w:pPr>
      <w:spacing w:after="100"/>
      <w:ind w:left="1540"/>
    </w:pPr>
    <w:rPr>
      <w:rFonts w:eastAsiaTheme="minorEastAsia"/>
    </w:rPr>
  </w:style>
  <w:style w:type="paragraph" w:styleId="TOC9">
    <w:name w:val="toc 9"/>
    <w:basedOn w:val="Normal"/>
    <w:next w:val="Normal"/>
    <w:autoRedefine/>
    <w:uiPriority w:val="39"/>
    <w:unhideWhenUsed/>
    <w:rsid w:val="00CE0C80"/>
    <w:pPr>
      <w:spacing w:after="100"/>
      <w:ind w:left="1760"/>
    </w:pPr>
    <w:rPr>
      <w:rFonts w:eastAsiaTheme="minorEastAsia"/>
    </w:rPr>
  </w:style>
  <w:style w:type="paragraph" w:styleId="Revision">
    <w:name w:val="Revision"/>
    <w:hidden/>
    <w:uiPriority w:val="99"/>
    <w:semiHidden/>
    <w:rsid w:val="00780D45"/>
    <w:pPr>
      <w:spacing w:after="0" w:line="240" w:lineRule="auto"/>
    </w:pPr>
  </w:style>
  <w:style w:type="paragraph" w:styleId="Index1">
    <w:name w:val="index 1"/>
    <w:basedOn w:val="Normal"/>
    <w:next w:val="Normal"/>
    <w:autoRedefine/>
    <w:uiPriority w:val="99"/>
    <w:semiHidden/>
    <w:unhideWhenUsed/>
    <w:rsid w:val="00F72194"/>
    <w:pPr>
      <w:spacing w:after="0" w:line="240" w:lineRule="auto"/>
      <w:ind w:left="220" w:hanging="220"/>
    </w:pPr>
    <w:rPr>
      <w:sz w:val="16"/>
    </w:rPr>
  </w:style>
  <w:style w:type="paragraph" w:styleId="ListParagraph">
    <w:name w:val="List Paragraph"/>
    <w:basedOn w:val="Normal"/>
    <w:link w:val="ListParagraphChar"/>
    <w:uiPriority w:val="34"/>
    <w:qFormat/>
    <w:rsid w:val="00677274"/>
    <w:pPr>
      <w:ind w:left="720"/>
      <w:contextualSpacing/>
    </w:pPr>
  </w:style>
  <w:style w:type="table" w:customStyle="1" w:styleId="TableGrid1">
    <w:name w:val="Table Grid1"/>
    <w:basedOn w:val="TableNormal"/>
    <w:next w:val="TableGrid"/>
    <w:uiPriority w:val="39"/>
    <w:rsid w:val="00B94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RBody-Indented">
    <w:name w:val="PUR Body - Indented"/>
    <w:basedOn w:val="Normal"/>
    <w:link w:val="PURBody-IndentedChar"/>
    <w:uiPriority w:val="3"/>
    <w:qFormat/>
    <w:rsid w:val="00536EE4"/>
    <w:pPr>
      <w:spacing w:after="120" w:line="240" w:lineRule="auto"/>
      <w:ind w:left="270"/>
    </w:pPr>
    <w:rPr>
      <w:rFonts w:ascii="Arial" w:hAnsi="Arial"/>
      <w:sz w:val="18"/>
      <w:szCs w:val="20"/>
    </w:rPr>
  </w:style>
  <w:style w:type="character" w:customStyle="1" w:styleId="PURBody-IndentedChar">
    <w:name w:val="PUR Body - Indented Char"/>
    <w:basedOn w:val="DefaultParagraphFont"/>
    <w:link w:val="PURBody-Indented"/>
    <w:uiPriority w:val="3"/>
    <w:rsid w:val="00536EE4"/>
    <w:rPr>
      <w:rFonts w:ascii="Arial" w:hAnsi="Arial"/>
      <w:sz w:val="18"/>
      <w:szCs w:val="20"/>
    </w:rPr>
  </w:style>
  <w:style w:type="paragraph" w:customStyle="1" w:styleId="productlist-body0">
    <w:name w:val="productlist-body"/>
    <w:basedOn w:val="Normal"/>
    <w:rsid w:val="00360AB3"/>
    <w:pPr>
      <w:spacing w:after="0" w:line="240" w:lineRule="auto"/>
    </w:pPr>
    <w:rPr>
      <w:rFonts w:ascii="Times New Roman" w:eastAsia="Times New Roman" w:hAnsi="Times New Roman" w:cs="Times New Roman"/>
      <w:sz w:val="18"/>
      <w:szCs w:val="18"/>
    </w:rPr>
  </w:style>
  <w:style w:type="paragraph" w:customStyle="1" w:styleId="ProductList-ClauseHeading">
    <w:name w:val="Product List - Clause Heading"/>
    <w:basedOn w:val="ProductList-Body"/>
    <w:next w:val="ProductList-Body"/>
    <w:qFormat/>
    <w:rsid w:val="00207C9A"/>
    <w:pPr>
      <w:keepNext/>
      <w:tabs>
        <w:tab w:val="clear" w:pos="158"/>
        <w:tab w:val="left" w:pos="360"/>
        <w:tab w:val="left" w:pos="720"/>
        <w:tab w:val="left" w:pos="1080"/>
      </w:tabs>
    </w:pPr>
    <w:rPr>
      <w:b/>
      <w:color w:val="00188F"/>
      <w:szCs w:val="20"/>
    </w:rPr>
  </w:style>
  <w:style w:type="character" w:customStyle="1" w:styleId="EVL-Amend-Preamble-FirstParaChar">
    <w:name w:val="E.  VL-Amend-Preamble-FirstPara Char"/>
    <w:basedOn w:val="DefaultParagraphFont"/>
    <w:link w:val="EVL-Amend-Preamble-FirstPara"/>
    <w:locked/>
    <w:rsid w:val="000B523A"/>
    <w:rPr>
      <w:rFonts w:ascii="Arial" w:hAnsi="Arial" w:cs="Arial"/>
      <w:color w:val="000000"/>
    </w:rPr>
  </w:style>
  <w:style w:type="paragraph" w:customStyle="1" w:styleId="EVL-Amend-Preamble-FirstPara">
    <w:name w:val="E.  VL-Amend-Preamble-FirstPara"/>
    <w:basedOn w:val="Normal"/>
    <w:link w:val="EVL-Amend-Preamble-FirstParaChar"/>
    <w:qFormat/>
    <w:rsid w:val="000B523A"/>
    <w:pPr>
      <w:spacing w:before="240" w:after="0" w:line="240" w:lineRule="auto"/>
      <w:jc w:val="both"/>
    </w:pPr>
    <w:rPr>
      <w:rFonts w:ascii="Arial" w:hAnsi="Arial" w:cs="Arial"/>
      <w:color w:val="000000"/>
    </w:rPr>
  </w:style>
  <w:style w:type="character" w:customStyle="1" w:styleId="UnresolvedMention1">
    <w:name w:val="Unresolved Mention1"/>
    <w:basedOn w:val="DefaultParagraphFont"/>
    <w:uiPriority w:val="99"/>
    <w:semiHidden/>
    <w:unhideWhenUsed/>
    <w:rsid w:val="006C79DE"/>
    <w:rPr>
      <w:color w:val="808080"/>
      <w:shd w:val="clear" w:color="auto" w:fill="E6E6E6"/>
    </w:rPr>
  </w:style>
  <w:style w:type="character" w:customStyle="1" w:styleId="Mention1">
    <w:name w:val="Mention1"/>
    <w:basedOn w:val="DefaultParagraphFont"/>
    <w:uiPriority w:val="99"/>
    <w:semiHidden/>
    <w:unhideWhenUsed/>
    <w:rsid w:val="00775292"/>
    <w:rPr>
      <w:color w:val="2B579A"/>
      <w:shd w:val="clear" w:color="auto" w:fill="E6E6E6"/>
    </w:rPr>
  </w:style>
  <w:style w:type="character" w:customStyle="1" w:styleId="UnresolvedMention2">
    <w:name w:val="Unresolved Mention2"/>
    <w:basedOn w:val="DefaultParagraphFont"/>
    <w:uiPriority w:val="99"/>
    <w:semiHidden/>
    <w:unhideWhenUsed/>
    <w:rsid w:val="00775292"/>
    <w:rPr>
      <w:color w:val="808080"/>
      <w:shd w:val="clear" w:color="auto" w:fill="E6E6E6"/>
    </w:rPr>
  </w:style>
  <w:style w:type="character" w:customStyle="1" w:styleId="UnresolvedMention3">
    <w:name w:val="Unresolved Mention3"/>
    <w:basedOn w:val="DefaultParagraphFont"/>
    <w:uiPriority w:val="99"/>
    <w:semiHidden/>
    <w:unhideWhenUsed/>
    <w:rsid w:val="00455696"/>
    <w:rPr>
      <w:color w:val="808080"/>
      <w:shd w:val="clear" w:color="auto" w:fill="E6E6E6"/>
    </w:rPr>
  </w:style>
  <w:style w:type="paragraph" w:customStyle="1" w:styleId="ProductList-Bullet">
    <w:name w:val="Product List - Bullet"/>
    <w:link w:val="ProductList-BulletChar"/>
    <w:uiPriority w:val="3"/>
    <w:qFormat/>
    <w:rsid w:val="00731455"/>
    <w:pPr>
      <w:tabs>
        <w:tab w:val="left" w:pos="360"/>
        <w:tab w:val="left" w:pos="720"/>
        <w:tab w:val="left" w:pos="1080"/>
      </w:tabs>
      <w:spacing w:after="0" w:line="240" w:lineRule="auto"/>
      <w:ind w:left="720" w:hanging="360"/>
      <w:contextualSpacing/>
    </w:pPr>
    <w:rPr>
      <w:sz w:val="18"/>
      <w:szCs w:val="20"/>
    </w:rPr>
  </w:style>
  <w:style w:type="character" w:customStyle="1" w:styleId="ProductList-BulletChar">
    <w:name w:val="Product List - Bullet Char"/>
    <w:basedOn w:val="ProductList-BodyChar"/>
    <w:link w:val="ProductList-Bullet"/>
    <w:uiPriority w:val="3"/>
    <w:rsid w:val="00731455"/>
    <w:rPr>
      <w:sz w:val="18"/>
      <w:szCs w:val="20"/>
    </w:rPr>
  </w:style>
  <w:style w:type="character" w:customStyle="1" w:styleId="Mention2">
    <w:name w:val="Mention2"/>
    <w:basedOn w:val="DefaultParagraphFont"/>
    <w:uiPriority w:val="99"/>
    <w:unhideWhenUsed/>
    <w:rsid w:val="00237427"/>
    <w:rPr>
      <w:color w:val="2B579A"/>
      <w:shd w:val="clear" w:color="auto" w:fill="E6E6E6"/>
    </w:rPr>
  </w:style>
  <w:style w:type="character" w:customStyle="1" w:styleId="ListParagraphChar">
    <w:name w:val="List Paragraph Char"/>
    <w:basedOn w:val="DefaultParagraphFont"/>
    <w:link w:val="ListParagraph"/>
    <w:uiPriority w:val="34"/>
    <w:rsid w:val="00237427"/>
  </w:style>
  <w:style w:type="character" w:customStyle="1" w:styleId="LogoportMarkup">
    <w:name w:val="LogoportMarkup"/>
    <w:basedOn w:val="DefaultParagraphFont"/>
    <w:rsid w:val="00097CE0"/>
    <w:rPr>
      <w:rFonts w:ascii="Courier New" w:hAnsi="Courier New" w:cs="Courier New"/>
      <w:b w:val="0"/>
      <w:i w:val="0"/>
      <w:color w:val="FF0000"/>
      <w:sz w:val="18"/>
      <w:szCs w:val="6"/>
    </w:rPr>
  </w:style>
  <w:style w:type="character" w:customStyle="1" w:styleId="LogoportDoNotTranslate">
    <w:name w:val="LogoportDoNotTranslate"/>
    <w:basedOn w:val="DefaultParagraphFont"/>
    <w:rsid w:val="00097CE0"/>
    <w:rPr>
      <w:rFonts w:ascii="Courier New" w:hAnsi="Courier New" w:cs="Courier New"/>
      <w:b w:val="0"/>
      <w:i w:val="0"/>
      <w:color w:val="808080"/>
      <w:sz w:val="18"/>
      <w:szCs w:val="6"/>
    </w:rPr>
  </w:style>
  <w:style w:type="character" w:customStyle="1" w:styleId="normaltextrun">
    <w:name w:val="normaltextrun"/>
    <w:basedOn w:val="DefaultParagraphFont"/>
    <w:rsid w:val="008A7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820164">
      <w:bodyDiv w:val="1"/>
      <w:marLeft w:val="0"/>
      <w:marRight w:val="0"/>
      <w:marTop w:val="0"/>
      <w:marBottom w:val="0"/>
      <w:divBdr>
        <w:top w:val="none" w:sz="0" w:space="0" w:color="auto"/>
        <w:left w:val="none" w:sz="0" w:space="0" w:color="auto"/>
        <w:bottom w:val="none" w:sz="0" w:space="0" w:color="auto"/>
        <w:right w:val="none" w:sz="0" w:space="0" w:color="auto"/>
      </w:divBdr>
    </w:div>
    <w:div w:id="207767338">
      <w:bodyDiv w:val="1"/>
      <w:marLeft w:val="0"/>
      <w:marRight w:val="0"/>
      <w:marTop w:val="0"/>
      <w:marBottom w:val="0"/>
      <w:divBdr>
        <w:top w:val="none" w:sz="0" w:space="0" w:color="auto"/>
        <w:left w:val="none" w:sz="0" w:space="0" w:color="auto"/>
        <w:bottom w:val="none" w:sz="0" w:space="0" w:color="auto"/>
        <w:right w:val="none" w:sz="0" w:space="0" w:color="auto"/>
      </w:divBdr>
    </w:div>
    <w:div w:id="408384073">
      <w:bodyDiv w:val="1"/>
      <w:marLeft w:val="0"/>
      <w:marRight w:val="0"/>
      <w:marTop w:val="0"/>
      <w:marBottom w:val="0"/>
      <w:divBdr>
        <w:top w:val="none" w:sz="0" w:space="0" w:color="auto"/>
        <w:left w:val="none" w:sz="0" w:space="0" w:color="auto"/>
        <w:bottom w:val="none" w:sz="0" w:space="0" w:color="auto"/>
        <w:right w:val="none" w:sz="0" w:space="0" w:color="auto"/>
      </w:divBdr>
    </w:div>
    <w:div w:id="561872688">
      <w:bodyDiv w:val="1"/>
      <w:marLeft w:val="0"/>
      <w:marRight w:val="0"/>
      <w:marTop w:val="0"/>
      <w:marBottom w:val="0"/>
      <w:divBdr>
        <w:top w:val="none" w:sz="0" w:space="0" w:color="auto"/>
        <w:left w:val="none" w:sz="0" w:space="0" w:color="auto"/>
        <w:bottom w:val="none" w:sz="0" w:space="0" w:color="auto"/>
        <w:right w:val="none" w:sz="0" w:space="0" w:color="auto"/>
      </w:divBdr>
    </w:div>
    <w:div w:id="996147271">
      <w:bodyDiv w:val="1"/>
      <w:marLeft w:val="0"/>
      <w:marRight w:val="0"/>
      <w:marTop w:val="0"/>
      <w:marBottom w:val="0"/>
      <w:divBdr>
        <w:top w:val="none" w:sz="0" w:space="0" w:color="auto"/>
        <w:left w:val="none" w:sz="0" w:space="0" w:color="auto"/>
        <w:bottom w:val="none" w:sz="0" w:space="0" w:color="auto"/>
        <w:right w:val="none" w:sz="0" w:space="0" w:color="auto"/>
      </w:divBdr>
    </w:div>
    <w:div w:id="1181896703">
      <w:bodyDiv w:val="1"/>
      <w:marLeft w:val="0"/>
      <w:marRight w:val="0"/>
      <w:marTop w:val="0"/>
      <w:marBottom w:val="0"/>
      <w:divBdr>
        <w:top w:val="none" w:sz="0" w:space="0" w:color="auto"/>
        <w:left w:val="none" w:sz="0" w:space="0" w:color="auto"/>
        <w:bottom w:val="none" w:sz="0" w:space="0" w:color="auto"/>
        <w:right w:val="none" w:sz="0" w:space="0" w:color="auto"/>
      </w:divBdr>
      <w:divsChild>
        <w:div w:id="2130660296">
          <w:marLeft w:val="0"/>
          <w:marRight w:val="0"/>
          <w:marTop w:val="0"/>
          <w:marBottom w:val="0"/>
          <w:divBdr>
            <w:top w:val="none" w:sz="0" w:space="0" w:color="auto"/>
            <w:left w:val="none" w:sz="0" w:space="0" w:color="auto"/>
            <w:bottom w:val="none" w:sz="0" w:space="0" w:color="auto"/>
            <w:right w:val="none" w:sz="0" w:space="0" w:color="auto"/>
          </w:divBdr>
        </w:div>
      </w:divsChild>
    </w:div>
    <w:div w:id="1231311172">
      <w:bodyDiv w:val="1"/>
      <w:marLeft w:val="0"/>
      <w:marRight w:val="0"/>
      <w:marTop w:val="0"/>
      <w:marBottom w:val="0"/>
      <w:divBdr>
        <w:top w:val="none" w:sz="0" w:space="0" w:color="auto"/>
        <w:left w:val="none" w:sz="0" w:space="0" w:color="auto"/>
        <w:bottom w:val="none" w:sz="0" w:space="0" w:color="auto"/>
        <w:right w:val="none" w:sz="0" w:space="0" w:color="auto"/>
      </w:divBdr>
    </w:div>
    <w:div w:id="1284069934">
      <w:bodyDiv w:val="1"/>
      <w:marLeft w:val="0"/>
      <w:marRight w:val="0"/>
      <w:marTop w:val="0"/>
      <w:marBottom w:val="0"/>
      <w:divBdr>
        <w:top w:val="none" w:sz="0" w:space="0" w:color="auto"/>
        <w:left w:val="none" w:sz="0" w:space="0" w:color="auto"/>
        <w:bottom w:val="none" w:sz="0" w:space="0" w:color="auto"/>
        <w:right w:val="none" w:sz="0" w:space="0" w:color="auto"/>
      </w:divBdr>
      <w:divsChild>
        <w:div w:id="1145702663">
          <w:marLeft w:val="0"/>
          <w:marRight w:val="0"/>
          <w:marTop w:val="0"/>
          <w:marBottom w:val="0"/>
          <w:divBdr>
            <w:top w:val="none" w:sz="0" w:space="0" w:color="auto"/>
            <w:left w:val="none" w:sz="0" w:space="0" w:color="auto"/>
            <w:bottom w:val="none" w:sz="0" w:space="0" w:color="auto"/>
            <w:right w:val="none" w:sz="0" w:space="0" w:color="auto"/>
          </w:divBdr>
          <w:divsChild>
            <w:div w:id="914587525">
              <w:marLeft w:val="0"/>
              <w:marRight w:val="0"/>
              <w:marTop w:val="0"/>
              <w:marBottom w:val="0"/>
              <w:divBdr>
                <w:top w:val="none" w:sz="0" w:space="0" w:color="auto"/>
                <w:left w:val="none" w:sz="0" w:space="0" w:color="auto"/>
                <w:bottom w:val="none" w:sz="0" w:space="0" w:color="auto"/>
                <w:right w:val="none" w:sz="0" w:space="0" w:color="auto"/>
              </w:divBdr>
              <w:divsChild>
                <w:div w:id="918103604">
                  <w:marLeft w:val="0"/>
                  <w:marRight w:val="0"/>
                  <w:marTop w:val="0"/>
                  <w:marBottom w:val="0"/>
                  <w:divBdr>
                    <w:top w:val="none" w:sz="0" w:space="0" w:color="auto"/>
                    <w:left w:val="none" w:sz="0" w:space="0" w:color="auto"/>
                    <w:bottom w:val="none" w:sz="0" w:space="0" w:color="auto"/>
                    <w:right w:val="none" w:sz="0" w:space="0" w:color="auto"/>
                  </w:divBdr>
                  <w:divsChild>
                    <w:div w:id="312102949">
                      <w:marLeft w:val="0"/>
                      <w:marRight w:val="0"/>
                      <w:marTop w:val="0"/>
                      <w:marBottom w:val="0"/>
                      <w:divBdr>
                        <w:top w:val="none" w:sz="0" w:space="0" w:color="auto"/>
                        <w:left w:val="none" w:sz="0" w:space="0" w:color="auto"/>
                        <w:bottom w:val="none" w:sz="0" w:space="0" w:color="auto"/>
                        <w:right w:val="none" w:sz="0" w:space="0" w:color="auto"/>
                      </w:divBdr>
                      <w:divsChild>
                        <w:div w:id="161438323">
                          <w:marLeft w:val="0"/>
                          <w:marRight w:val="0"/>
                          <w:marTop w:val="0"/>
                          <w:marBottom w:val="270"/>
                          <w:divBdr>
                            <w:top w:val="none" w:sz="0" w:space="0" w:color="auto"/>
                            <w:left w:val="none" w:sz="0" w:space="0" w:color="auto"/>
                            <w:bottom w:val="none" w:sz="0" w:space="0" w:color="auto"/>
                            <w:right w:val="none" w:sz="0" w:space="0" w:color="auto"/>
                          </w:divBdr>
                          <w:divsChild>
                            <w:div w:id="337851209">
                              <w:marLeft w:val="0"/>
                              <w:marRight w:val="0"/>
                              <w:marTop w:val="150"/>
                              <w:marBottom w:val="0"/>
                              <w:divBdr>
                                <w:top w:val="none" w:sz="0" w:space="0" w:color="auto"/>
                                <w:left w:val="none" w:sz="0" w:space="0" w:color="auto"/>
                                <w:bottom w:val="none" w:sz="0" w:space="0" w:color="auto"/>
                                <w:right w:val="none" w:sz="0" w:space="0" w:color="auto"/>
                              </w:divBdr>
                              <w:divsChild>
                                <w:div w:id="926891426">
                                  <w:marLeft w:val="0"/>
                                  <w:marRight w:val="0"/>
                                  <w:marTop w:val="0"/>
                                  <w:marBottom w:val="0"/>
                                  <w:divBdr>
                                    <w:top w:val="none" w:sz="0" w:space="0" w:color="auto"/>
                                    <w:left w:val="none" w:sz="0" w:space="0" w:color="auto"/>
                                    <w:bottom w:val="none" w:sz="0" w:space="0" w:color="auto"/>
                                    <w:right w:val="none" w:sz="0" w:space="0" w:color="auto"/>
                                  </w:divBdr>
                                  <w:divsChild>
                                    <w:div w:id="44330156">
                                      <w:marLeft w:val="0"/>
                                      <w:marRight w:val="0"/>
                                      <w:marTop w:val="0"/>
                                      <w:marBottom w:val="0"/>
                                      <w:divBdr>
                                        <w:top w:val="none" w:sz="0" w:space="0" w:color="auto"/>
                                        <w:left w:val="none" w:sz="0" w:space="0" w:color="auto"/>
                                        <w:bottom w:val="none" w:sz="0" w:space="0" w:color="auto"/>
                                        <w:right w:val="none" w:sz="0" w:space="0" w:color="auto"/>
                                      </w:divBdr>
                                      <w:divsChild>
                                        <w:div w:id="520705270">
                                          <w:marLeft w:val="0"/>
                                          <w:marRight w:val="0"/>
                                          <w:marTop w:val="0"/>
                                          <w:marBottom w:val="0"/>
                                          <w:divBdr>
                                            <w:top w:val="none" w:sz="0" w:space="0" w:color="auto"/>
                                            <w:left w:val="none" w:sz="0" w:space="0" w:color="auto"/>
                                            <w:bottom w:val="none" w:sz="0" w:space="0" w:color="auto"/>
                                            <w:right w:val="none" w:sz="0" w:space="0" w:color="auto"/>
                                          </w:divBdr>
                                          <w:divsChild>
                                            <w:div w:id="15142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4311011">
      <w:bodyDiv w:val="1"/>
      <w:marLeft w:val="0"/>
      <w:marRight w:val="0"/>
      <w:marTop w:val="0"/>
      <w:marBottom w:val="0"/>
      <w:divBdr>
        <w:top w:val="none" w:sz="0" w:space="0" w:color="auto"/>
        <w:left w:val="none" w:sz="0" w:space="0" w:color="auto"/>
        <w:bottom w:val="none" w:sz="0" w:space="0" w:color="auto"/>
        <w:right w:val="none" w:sz="0" w:space="0" w:color="auto"/>
      </w:divBdr>
    </w:div>
    <w:div w:id="1703939401">
      <w:bodyDiv w:val="1"/>
      <w:marLeft w:val="0"/>
      <w:marRight w:val="0"/>
      <w:marTop w:val="0"/>
      <w:marBottom w:val="0"/>
      <w:divBdr>
        <w:top w:val="none" w:sz="0" w:space="0" w:color="auto"/>
        <w:left w:val="none" w:sz="0" w:space="0" w:color="auto"/>
        <w:bottom w:val="none" w:sz="0" w:space="0" w:color="auto"/>
        <w:right w:val="none" w:sz="0" w:space="0" w:color="auto"/>
      </w:divBdr>
    </w:div>
    <w:div w:id="1764061890">
      <w:bodyDiv w:val="1"/>
      <w:marLeft w:val="0"/>
      <w:marRight w:val="0"/>
      <w:marTop w:val="0"/>
      <w:marBottom w:val="0"/>
      <w:divBdr>
        <w:top w:val="none" w:sz="0" w:space="0" w:color="auto"/>
        <w:left w:val="none" w:sz="0" w:space="0" w:color="auto"/>
        <w:bottom w:val="none" w:sz="0" w:space="0" w:color="auto"/>
        <w:right w:val="none" w:sz="0" w:space="0" w:color="auto"/>
      </w:divBdr>
    </w:div>
    <w:div w:id="1817410006">
      <w:bodyDiv w:val="1"/>
      <w:marLeft w:val="0"/>
      <w:marRight w:val="0"/>
      <w:marTop w:val="0"/>
      <w:marBottom w:val="0"/>
      <w:divBdr>
        <w:top w:val="none" w:sz="0" w:space="0" w:color="auto"/>
        <w:left w:val="none" w:sz="0" w:space="0" w:color="auto"/>
        <w:bottom w:val="none" w:sz="0" w:space="0" w:color="auto"/>
        <w:right w:val="none" w:sz="0" w:space="0" w:color="auto"/>
      </w:divBdr>
    </w:div>
    <w:div w:id="1943416852">
      <w:bodyDiv w:val="1"/>
      <w:marLeft w:val="0"/>
      <w:marRight w:val="0"/>
      <w:marTop w:val="0"/>
      <w:marBottom w:val="0"/>
      <w:divBdr>
        <w:top w:val="none" w:sz="0" w:space="0" w:color="auto"/>
        <w:left w:val="none" w:sz="0" w:space="0" w:color="auto"/>
        <w:bottom w:val="none" w:sz="0" w:space="0" w:color="auto"/>
        <w:right w:val="none" w:sz="0" w:space="0" w:color="auto"/>
      </w:divBdr>
    </w:div>
    <w:div w:id="202817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8.xml"/><Relationship Id="rId26" Type="http://schemas.openxmlformats.org/officeDocument/2006/relationships/footer" Target="footer14.xml"/><Relationship Id="rId3" Type="http://schemas.openxmlformats.org/officeDocument/2006/relationships/styles" Target="styles.xml"/><Relationship Id="rId21" Type="http://schemas.openxmlformats.org/officeDocument/2006/relationships/hyperlink" Target="http://aka.ms/CJISCustomerAgreement" TargetMode="External"/><Relationship Id="rId34"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7.xml"/><Relationship Id="rId25" Type="http://schemas.openxmlformats.org/officeDocument/2006/relationships/footer" Target="footer13.xml"/><Relationship Id="rId33"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10.xml"/><Relationship Id="rId29" Type="http://schemas.openxmlformats.org/officeDocument/2006/relationships/footer" Target="foot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12.xml"/><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11.xml"/><Relationship Id="rId28"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oter" Target="footer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yperlink" Target="http://go.microsoft.com/?linkid=9846224" TargetMode="External"/><Relationship Id="rId27" Type="http://schemas.openxmlformats.org/officeDocument/2006/relationships/footer" Target="footer15.xml"/><Relationship Id="rId30" Type="http://schemas.openxmlformats.org/officeDocument/2006/relationships/fontTable" Target="fontTable.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CAB82913B462C4E87CDEB3C6CE1781E" ma:contentTypeVersion="4" ma:contentTypeDescription="Create a new document." ma:contentTypeScope="" ma:versionID="898ee7da1fba7b4274a7841c1fac59c5">
  <xsd:schema xmlns:xsd="http://www.w3.org/2001/XMLSchema" xmlns:xs="http://www.w3.org/2001/XMLSchema" xmlns:p="http://schemas.microsoft.com/office/2006/metadata/properties" xmlns:ns2="f1cda959-6fbe-423a-ab0c-e50e877de408" targetNamespace="http://schemas.microsoft.com/office/2006/metadata/properties" ma:root="true" ma:fieldsID="40736bb13b8ce8f89a3de52b28af25ac" ns2:_="">
    <xsd:import namespace="f1cda959-6fbe-423a-ab0c-e50e877de4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da959-6fbe-423a-ab0c-e50e877de4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2EB680-7229-438E-BC8A-63C355072237}">
  <ds:schemaRefs>
    <ds:schemaRef ds:uri="http://schemas.openxmlformats.org/officeDocument/2006/bibliography"/>
  </ds:schemaRefs>
</ds:datastoreItem>
</file>

<file path=customXml/itemProps2.xml><?xml version="1.0" encoding="utf-8"?>
<ds:datastoreItem xmlns:ds="http://schemas.openxmlformats.org/officeDocument/2006/customXml" ds:itemID="{524A7146-5EB1-4611-B029-3AE4582F36C2}"/>
</file>

<file path=customXml/itemProps3.xml><?xml version="1.0" encoding="utf-8"?>
<ds:datastoreItem xmlns:ds="http://schemas.openxmlformats.org/officeDocument/2006/customXml" ds:itemID="{96E7AF88-306D-462E-A599-B8FA1FC3173C}"/>
</file>

<file path=customXml/itemProps4.xml><?xml version="1.0" encoding="utf-8"?>
<ds:datastoreItem xmlns:ds="http://schemas.openxmlformats.org/officeDocument/2006/customXml" ds:itemID="{61F3FF7D-07E2-4D8C-BA87-AB9A0AC9A7CD}"/>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30</Pages>
  <Words>18592</Words>
  <Characters>105977</Characters>
  <Application>Microsoft Office Word</Application>
  <DocSecurity>8</DocSecurity>
  <Lines>883</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2021-01-13T21:31:00Z</dcterms:created>
  <dcterms:modified xsi:type="dcterms:W3CDTF">2021-01-13T21:31:00Z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0x010100BCAB82913B462C4E87CDEB3C6CE1781E</vt:lpwstr>
  </property>
</Properties>
</file>