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sz w:val="28"/>
          <w:szCs w:val="28"/>
        </w:rPr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-822960</wp:posOffset>
            </wp:positionH>
            <wp:positionV relativeFrom="paragraph">
              <wp:posOffset>-637540</wp:posOffset>
            </wp:positionV>
            <wp:extent cx="7622540" cy="1821815"/>
            <wp:effectExtent l="0" t="0" r="0" b="0"/>
            <wp:wrapNone/>
            <wp:docPr id="1" name="Picture 3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254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-170180</wp:posOffset>
            </wp:positionV>
            <wp:extent cx="854710" cy="819150"/>
            <wp:effectExtent l="0" t="0" r="0" b="0"/>
            <wp:wrapNone/>
            <wp:docPr id="2" name="Picture 2" descr="Description: C:\Users\LGU CASIGURAN\Desktop\New Pi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escription: C:\Users\LGU CASIGURAN\Desktop\New Picture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4710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32"/>
          <w:szCs w:val="32"/>
        </w:rPr>
        <w:t xml:space="preserve"> </w:t>
      </w:r>
      <w:r>
        <w:rPr>
          <w:rFonts w:ascii="Cambria" w:hAnsi="Cambria"/>
          <w:sz w:val="28"/>
          <w:szCs w:val="28"/>
        </w:rPr>
        <w:t>Republic of the Philippines</w:t>
      </w:r>
    </w:p>
    <w:p>
      <w:pPr>
        <w:pStyle w:val="Normal"/>
        <w:jc w:val="center"/>
        <w:rPr>
          <w:sz w:val="28"/>
          <w:szCs w:val="28"/>
        </w:rPr>
      </w:pPr>
      <w:r>
        <w:rPr>
          <w:rFonts w:ascii="Cambria" w:hAnsi="Cambria"/>
          <w:sz w:val="28"/>
          <w:szCs w:val="28"/>
        </w:rPr>
        <w:t>Province of Sorsogon</w:t>
      </w:r>
    </w:p>
    <w:p>
      <w:pPr>
        <w:pStyle w:val="Normal"/>
        <w:jc w:val="center"/>
        <w:rPr>
          <w:rFonts w:ascii="Cambria" w:hAnsi="Cambria"/>
          <w:b/>
          <w:sz w:val="28"/>
          <w:szCs w:val="28"/>
        </w:rPr>
      </w:pPr>
      <w:r>
        <w:rPr>
          <w:rFonts w:ascii="Cambria" w:hAnsi="Cambria"/>
          <w:b/>
          <w:sz w:val="28"/>
          <w:szCs w:val="28"/>
        </w:rPr>
        <w:t>MUNICIPALITY OF CASIGURAN</w:t>
      </w:r>
    </w:p>
    <w:p>
      <w:pPr>
        <w:pStyle w:val="Normal"/>
        <w:jc w:val="center"/>
        <w:rPr>
          <w:rFonts w:ascii="Cambria" w:hAnsi="Cambria"/>
          <w:b/>
        </w:rPr>
      </w:pPr>
      <w:r>
        <w:rPr>
          <w:rFonts w:ascii="Cambria" w:hAnsi="Cambria"/>
          <w:b/>
        </w:rPr>
        <w:drawing>
          <wp:anchor distT="0" distB="0" distL="0" distR="0" simplePos="0" relativeHeight="4" behindDoc="0" locked="0" layoutInCell="1" allowOverlap="1">
            <wp:simplePos x="0" y="0"/>
            <wp:positionH relativeFrom="column">
              <wp:posOffset>108585</wp:posOffset>
            </wp:positionH>
            <wp:positionV relativeFrom="paragraph">
              <wp:posOffset>20955</wp:posOffset>
            </wp:positionV>
            <wp:extent cx="5943600" cy="40830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Bid Evaluation Report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Spacing"/>
        <w:ind w:firstLine="720"/>
        <w:jc w:val="both"/>
        <w:rPr>
          <w:rFonts w:ascii="Verdana" w:hAnsi="Verdana"/>
          <w:b/>
          <w:sz w:val="24"/>
          <w:szCs w:val="24"/>
        </w:rPr>
      </w:pPr>
      <w:r>
        <w:rPr>
          <w:rFonts w:ascii="Verdana" w:hAnsi="Verdana"/>
          <w:b/>
          <w:sz w:val="24"/>
          <w:szCs w:val="24"/>
        </w:rPr>
        <w:t xml:space="preserve">PROJECT IDENTIFICATION </w:t>
      </w:r>
      <w:r>
        <w:rPr>
          <w:rFonts w:cs="Tunga" w:ascii="Verdana" w:hAnsi="Verdana"/>
          <w:b/>
          <w:sz w:val="24"/>
          <w:szCs w:val="24"/>
        </w:rPr>
        <w:t>-</w:t>
      </w:r>
      <w:r>
        <w:rPr>
          <w:rFonts w:cs="Tunga" w:ascii="Verdana" w:hAnsi="Verdana"/>
          <w:sz w:val="24"/>
          <w:szCs w:val="24"/>
        </w:rPr>
        <w:t xml:space="preserve"> for</w:t>
      </w:r>
      <w:r>
        <w:rPr>
          <w:rFonts w:ascii="Verdana" w:hAnsi="Verdana"/>
          <w:b/>
          <w:sz w:val="24"/>
          <w:szCs w:val="24"/>
        </w:rPr>
        <w:t xml:space="preserve"> </w:t>
      </w:r>
      <w:bookmarkStart w:id="0" w:name="_Hlk141795745"/>
      <w:bookmarkStart w:id="1" w:name="bmProjectName"/>
      <w:bookmarkStart w:id="2" w:name="_Hlk204711949"/>
      <w:r>
        <w:rPr>
          <w:rFonts w:cs="Tahoma" w:ascii="Verdana" w:hAnsi="Verdana"/>
          <w:b/>
          <w:sz w:val="24"/>
        </w:rPr>
        <w:t>C</w:t>
      </w:r>
      <w:bookmarkEnd w:id="2"/>
      <w:r>
        <w:rPr>
          <w:rFonts w:cs="Tahoma" w:ascii="Verdana" w:hAnsi="Verdana"/>
          <w:b/>
          <w:sz w:val="24"/>
        </w:rPr>
        <w:t>ONSTRUCTION OF A DECORATIVE FENCE AROUND POBLACION</w:t>
      </w:r>
      <w:bookmarkEnd w:id="1"/>
      <w:r>
        <w:rPr>
          <w:rFonts w:cs="Tahoma" w:ascii="Verdana" w:hAnsi="Verdana"/>
          <w:b/>
          <w:sz w:val="24"/>
          <w:szCs w:val="24"/>
        </w:rPr>
        <w:t>,</w:t>
      </w:r>
      <w:r>
        <w:rPr>
          <w:rFonts w:cs="Tahoma" w:ascii="Verdana" w:hAnsi="Verdana"/>
          <w:b/>
          <w:sz w:val="24"/>
        </w:rPr>
        <w:t xml:space="preserve"> CASIGURAN, SORSOGON</w:t>
      </w:r>
      <w:bookmarkEnd w:id="0"/>
      <w:r>
        <w:rPr>
          <w:rFonts w:ascii="Verdana" w:hAnsi="Verdana"/>
          <w:b/>
          <w:sz w:val="24"/>
          <w:szCs w:val="24"/>
        </w:rPr>
        <w:t>.</w:t>
      </w:r>
    </w:p>
    <w:p>
      <w:pPr>
        <w:pStyle w:val="Normal"/>
        <w:jc w:val="both"/>
        <w:rPr>
          <w:b/>
          <w:sz w:val="24"/>
          <w:szCs w:val="24"/>
          <w:lang w:val="en-PH"/>
        </w:rPr>
      </w:pPr>
      <w:r>
        <w:rPr>
          <w:b/>
          <w:sz w:val="24"/>
          <w:szCs w:val="24"/>
          <w:lang w:val="en-PH"/>
        </w:rPr>
      </w:r>
    </w:p>
    <w:p>
      <w:pPr>
        <w:pStyle w:val="Normal"/>
        <w:jc w:val="center"/>
        <w:rPr>
          <w:rFonts w:ascii="Verdana" w:hAnsi="Verdana"/>
          <w:b/>
          <w:bCs/>
          <w:sz w:val="24"/>
          <w:szCs w:val="24"/>
        </w:rPr>
      </w:pPr>
      <w:r>
        <w:rPr>
          <w:rFonts w:ascii="Verdana" w:hAnsi="Verdana"/>
          <w:b/>
          <w:bCs/>
          <w:sz w:val="24"/>
          <w:szCs w:val="24"/>
        </w:rPr>
        <w:t>Table 1. Identification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4428"/>
        <w:gridCol w:w="4428"/>
      </w:tblGrid>
      <w:tr>
        <w:trPr/>
        <w:tc>
          <w:tcPr>
            <w:tcW w:w="4428" w:type="dxa"/>
            <w:tcBorders>
              <w:top w:val="single" w:sz="4" w:space="0" w:color="000000"/>
              <w:start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Purchaser (or Employer)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Address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Local Government Unit-Casiguran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Name of the Project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Spacing"/>
              <w:ind w:firstLine="720"/>
              <w:jc w:val="both"/>
              <w:rPr>
                <w:rFonts w:ascii="Verdana" w:hAnsi="Verdana"/>
                <w:b/>
                <w:sz w:val="24"/>
                <w:szCs w:val="24"/>
              </w:rPr>
            </w:pPr>
            <w:r>
              <w:rPr>
                <w:rFonts w:ascii="Verdana" w:hAnsi="Verdana"/>
                <w:b/>
              </w:rPr>
              <w:t>-</w:t>
            </w:r>
            <w:r>
              <w:rPr>
                <w:rFonts w:cs="Calibri" w:ascii="Verdana" w:hAnsi="Verdana"/>
              </w:rPr>
              <w:t xml:space="preserve"> for </w:t>
            </w:r>
            <w:r>
              <w:rPr>
                <w:rFonts w:cs="Tahoma" w:ascii="Verdana" w:hAnsi="Verdana"/>
                <w:b/>
                <w:sz w:val="20"/>
                <w:szCs w:val="20"/>
              </w:rPr>
              <w:t>{{project_title_upper}}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Location of the Project</w:t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Approved Budget of Contract 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Casiguran, Sorsogon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3" w:name="bmBudget"/>
            <w:r>
              <w:rPr>
                <w:rFonts w:ascii="Verdana" w:hAnsi="Verdana"/>
                <w:sz w:val="22"/>
                <w:szCs w:val="22"/>
              </w:rPr>
              <w:t>{</w:t>
            </w:r>
            <w:bookmarkEnd w:id="3"/>
            <w:r>
              <w:rPr>
                <w:rFonts w:ascii="Verdana" w:hAnsi="Verdana"/>
                <w:sz w:val="22"/>
                <w:szCs w:val="22"/>
              </w:rPr>
              <w:t>{approved_budget}}</w:t>
            </w:r>
          </w:p>
        </w:tc>
      </w:tr>
      <w:tr>
        <w:trPr/>
        <w:tc>
          <w:tcPr>
            <w:tcW w:w="4428" w:type="dxa"/>
            <w:tcBorders>
              <w:start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Method of Procurement</w:t>
            </w:r>
          </w:p>
        </w:tc>
        <w:tc>
          <w:tcPr>
            <w:tcW w:w="44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Competitive Bidding</w:t>
            </w:r>
          </w:p>
        </w:tc>
      </w:tr>
      <w:tr>
        <w:trPr>
          <w:trHeight w:val="71" w:hRule="atLeast"/>
        </w:trPr>
        <w:tc>
          <w:tcPr>
            <w:tcW w:w="44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442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INITIAL STEPS IN THE BIDDING PROCESS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Initial steps were taken, as enumerated below, to assure a successful bidding process in strict adherence to RA 9184.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Time frame in the pre-bidding stage were then established using the limits set forth by law.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Table 2. Initial Steps in the Bidding Process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5"/>
        <w:gridCol w:w="3081"/>
      </w:tblGrid>
      <w:tr>
        <w:trPr/>
        <w:tc>
          <w:tcPr>
            <w:tcW w:w="577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Pre-Procurement Conference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</w:tc>
        <w:tc>
          <w:tcPr>
            <w:tcW w:w="30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       </w:t>
            </w:r>
            <w:r>
              <w:rPr>
                <w:rFonts w:ascii="Verdana" w:hAnsi="Verdana"/>
                <w:sz w:val="22"/>
                <w:szCs w:val="22"/>
              </w:rPr>
              <w:t>N/A</w:t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Invitation to Apply for Eligibility and to Bid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publication</w:t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July 15, 2025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eligibility check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eligibility envelopes received</w:t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August 4, 2025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One (1)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Issuance of Bidding Documents 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Period of availability of Bid Docs</w:t>
            </w:r>
          </w:p>
          <w:p>
            <w:pPr>
              <w:pStyle w:val="Normal"/>
              <w:numPr>
                <w:ilvl w:val="0"/>
                <w:numId w:val="9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 of Bid Docs issued</w:t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 xml:space="preserve">July 15 </w:t>
            </w:r>
            <w:r>
              <w:rPr>
                <w:iCs/>
                <w:sz w:val="22"/>
                <w:szCs w:val="22"/>
              </w:rPr>
              <w:t xml:space="preserve">- </w:t>
            </w:r>
            <w:r>
              <w:rPr>
                <w:rFonts w:ascii="Verdana" w:hAnsi="Verdana"/>
                <w:sz w:val="22"/>
                <w:szCs w:val="22"/>
              </w:rPr>
              <w:t xml:space="preserve">August 4, </w:t>
            </w:r>
            <w:r>
              <w:rPr>
                <w:rFonts w:ascii="Verdana" w:hAnsi="Verdana"/>
                <w:iCs/>
                <w:sz w:val="22"/>
                <w:szCs w:val="22"/>
              </w:rPr>
              <w:t>2025</w:t>
            </w:r>
          </w:p>
          <w:p>
            <w:pPr>
              <w:pStyle w:val="Heading1"/>
              <w:jc w:val="start"/>
              <w:rPr>
                <w:sz w:val="20"/>
              </w:rPr>
            </w:pPr>
            <w:r>
              <w:rPr>
                <w:i w:val="false"/>
                <w:iCs/>
                <w:sz w:val="22"/>
                <w:szCs w:val="22"/>
                <w:u w:val="none"/>
              </w:rPr>
              <w:t xml:space="preserve"> </w:t>
            </w:r>
            <w:r>
              <w:rPr>
                <w:i w:val="false"/>
                <w:iCs/>
                <w:sz w:val="22"/>
                <w:szCs w:val="22"/>
                <w:u w:val="none"/>
              </w:rPr>
              <w:t>One (1)</w:t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>
          <w:trHeight w:val="281" w:hRule="atLeast"/>
        </w:trPr>
        <w:tc>
          <w:tcPr>
            <w:tcW w:w="57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Pre-bid Conference if any </w:t>
            </w:r>
          </w:p>
          <w:p>
            <w:pPr>
              <w:pStyle w:val="Normal"/>
              <w:numPr>
                <w:ilvl w:val="0"/>
                <w:numId w:val="8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Date of Conference</w:t>
            </w:r>
          </w:p>
          <w:p>
            <w:pPr>
              <w:pStyle w:val="Normal"/>
              <w:ind w:start="144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  </w:t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July 22, 2025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>SUBMISSION AND OPENING OF BIDS AND PRELIMINARY EXAMINATION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22"/>
          <w:szCs w:val="22"/>
        </w:rPr>
        <w:t>The Bid Submission and the consequent Bid Opening proceeded as scheduled. There are six (6) bidders purchased Bidding Documents and submitted Bid proposal.</w:t>
      </w:r>
    </w:p>
    <w:p>
      <w:pPr>
        <w:pStyle w:val="Normal"/>
        <w:jc w:val="both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Verdana" w:hAnsi="Verdana" w:eastAsia="Calibri" w:cs="Calibri"/>
          <w:b/>
          <w:bCs/>
          <w:sz w:val="22"/>
          <w:szCs w:val="24"/>
          <w:lang w:val="en-PH"/>
        </w:rPr>
      </w:pPr>
      <w:r>
        <w:rPr>
          <w:rFonts w:ascii="Verdana" w:hAnsi="Verdana"/>
          <w:sz w:val="22"/>
          <w:szCs w:val="24"/>
        </w:rPr>
        <w:t xml:space="preserve">After thorough evaluation of the documents submitted by the bidders, </w:t>
      </w:r>
      <w:bookmarkStart w:id="4" w:name="bmCompanyName"/>
      <w:r>
        <w:rPr>
          <w:rFonts w:cs="Tahoma" w:ascii="Verdana" w:hAnsi="Verdana"/>
          <w:b/>
          <w:sz w:val="22"/>
          <w:szCs w:val="24"/>
        </w:rPr>
        <w:t>AZLJ CONSTRUCTION</w:t>
      </w:r>
      <w:bookmarkEnd w:id="4"/>
      <w:r>
        <w:rPr>
          <w:rFonts w:cs="Tahoma" w:ascii="Verdana" w:hAnsi="Verdana"/>
          <w:b/>
          <w:sz w:val="22"/>
          <w:szCs w:val="24"/>
        </w:rPr>
        <w:t xml:space="preserve"> </w:t>
      </w:r>
      <w:r>
        <w:rPr>
          <w:rFonts w:ascii="Verdana" w:hAnsi="Verdana"/>
          <w:sz w:val="22"/>
          <w:szCs w:val="24"/>
        </w:rPr>
        <w:t>complied with all the requirements set forth in the instruction to Bidders previously given to them.</w:t>
      </w:r>
    </w:p>
    <w:p>
      <w:pPr>
        <w:pStyle w:val="Normal"/>
        <w:ind w:firstLine="720" w:start="720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before="0" w:after="0"/>
        <w:contextualSpacing/>
        <w:jc w:val="both"/>
        <w:rPr>
          <w:rFonts w:ascii="Calibri" w:hAnsi="Calibri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 xml:space="preserve">The documents submitted by </w:t>
      </w:r>
      <w:bookmarkStart w:id="5" w:name="bmCompanyName2"/>
      <w:r>
        <w:rPr>
          <w:rFonts w:cs="Tahoma" w:ascii="Verdana" w:hAnsi="Verdana"/>
          <w:b/>
          <w:sz w:val="22"/>
          <w:szCs w:val="24"/>
        </w:rPr>
        <w:t>AZLJ CONSTRUCTION</w:t>
      </w:r>
      <w:bookmarkEnd w:id="5"/>
      <w:r>
        <w:rPr>
          <w:rFonts w:cs="Tahoma" w:ascii="Verdana" w:hAnsi="Verdana"/>
          <w:b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>is rated as eligible, the documents submitted were complete and got the Lowest Calculated Bid.</w:t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In the presence of the representative of the Bidders, the BAC, the Secretariat and the TWG of the LGU-Casiguran, credibly conducted the Bidding process in full satisfaction of the Bidder. Fairness and transparency were observed with utmost prudence.</w:t>
      </w:r>
    </w:p>
    <w:p>
      <w:pPr>
        <w:pStyle w:val="BodyTextIndent"/>
        <w:ind w:start="0"/>
        <w:jc w:val="center"/>
        <w:rPr>
          <w:sz w:val="8"/>
          <w:szCs w:val="22"/>
        </w:rPr>
      </w:pPr>
      <w:r>
        <w:rPr>
          <w:sz w:val="8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3. Bid Submission and Opening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775"/>
        <w:gridCol w:w="3081"/>
      </w:tblGrid>
      <w:tr>
        <w:trPr>
          <w:trHeight w:val="1165" w:hRule="atLeast"/>
        </w:trPr>
        <w:tc>
          <w:tcPr>
            <w:tcW w:w="577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Submission Deadline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 date, time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Extensions, if any</w:t>
            </w:r>
          </w:p>
        </w:tc>
        <w:tc>
          <w:tcPr>
            <w:tcW w:w="30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August 4, 2025, at 8:30 am</w:t>
            </w:r>
          </w:p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Opening date, time</w:t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August 4, 2025, at 10:00am</w:t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72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Numbers of bids submitted</w:t>
            </w:r>
          </w:p>
        </w:tc>
        <w:tc>
          <w:tcPr>
            <w:tcW w:w="3081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One (1) Bidding document</w:t>
            </w:r>
          </w:p>
        </w:tc>
      </w:tr>
      <w:tr>
        <w:trPr/>
        <w:tc>
          <w:tcPr>
            <w:tcW w:w="57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numPr>
                <w:ilvl w:val="1"/>
                <w:numId w:val="1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Bid validity period (days or weeks)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Originally specified</w:t>
            </w:r>
          </w:p>
          <w:p>
            <w:pPr>
              <w:pStyle w:val="Normal"/>
              <w:numPr>
                <w:ilvl w:val="0"/>
                <w:numId w:val="7"/>
              </w:num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Extensions/Revisions if any</w:t>
            </w:r>
          </w:p>
        </w:tc>
        <w:tc>
          <w:tcPr>
            <w:tcW w:w="30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120c.d.</w:t>
            </w:r>
          </w:p>
        </w:tc>
      </w:tr>
    </w:tbl>
    <w:p>
      <w:pPr>
        <w:pStyle w:val="BodyTextIndent"/>
        <w:ind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4. Bid Price (as Read Out)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Bid as Read 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>
          <w:trHeight w:val="229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bookmarkStart w:id="6" w:name="bmCompanyName3"/>
            <w:r>
              <w:rPr>
                <w:rFonts w:cs="Tahoma" w:ascii="Verdana" w:hAnsi="Verdana"/>
                <w:b/>
                <w:sz w:val="22"/>
                <w:szCs w:val="24"/>
              </w:rPr>
              <w:t>AZLJ CONSTRUCTION</w:t>
            </w:r>
            <w:bookmarkEnd w:id="6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  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7" w:name="bmAmountFigures"/>
            <w:r>
              <w:rPr>
                <w:rFonts w:ascii="Verdana" w:hAnsi="Verdana"/>
                <w:sz w:val="22"/>
                <w:szCs w:val="22"/>
              </w:rPr>
              <w:t>4,489,974.39</w:t>
            </w:r>
            <w:bookmarkStart w:id="8" w:name="_Hlk43370318"/>
            <w:bookmarkEnd w:id="7"/>
            <w:bookmarkEnd w:id="8"/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rFonts w:ascii="Verdana" w:hAnsi="Verdana"/>
          <w:b/>
          <w:sz w:val="22"/>
          <w:szCs w:val="22"/>
        </w:rPr>
      </w:pPr>
      <w:r>
        <w:rPr>
          <w:rFonts w:ascii="Verdana" w:hAnsi="Verdana"/>
          <w:b/>
          <w:sz w:val="22"/>
          <w:szCs w:val="22"/>
        </w:rPr>
        <w:t xml:space="preserve"> </w:t>
      </w:r>
      <w:r>
        <w:rPr>
          <w:rFonts w:ascii="Verdana" w:hAnsi="Verdana"/>
          <w:b/>
          <w:sz w:val="22"/>
          <w:szCs w:val="22"/>
        </w:rPr>
        <w:t>BID EVALUATION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spacing w:lineRule="auto" w:line="259" w:before="0" w:after="160"/>
        <w:contextualSpacing/>
        <w:jc w:val="both"/>
        <w:rPr>
          <w:rFonts w:ascii="Verdana" w:hAnsi="Verdana" w:eastAsia="Calibri" w:cs="Calibri"/>
          <w:b/>
          <w:bCs/>
          <w:sz w:val="22"/>
          <w:szCs w:val="22"/>
          <w:lang w:val="en-PH"/>
        </w:rPr>
      </w:pPr>
      <w:r>
        <w:rPr>
          <w:rFonts w:ascii="Verdana" w:hAnsi="Verdana"/>
          <w:sz w:val="22"/>
          <w:szCs w:val="22"/>
        </w:rPr>
        <w:t xml:space="preserve">It appeared that </w:t>
      </w:r>
      <w:bookmarkStart w:id="9" w:name="bmCompanyName4"/>
      <w:r>
        <w:rPr>
          <w:rFonts w:cs="Tahoma" w:ascii="Verdana" w:hAnsi="Verdana"/>
          <w:b/>
          <w:sz w:val="22"/>
          <w:szCs w:val="24"/>
        </w:rPr>
        <w:t>AZLJ CONSTRUCTION</w:t>
      </w:r>
      <w:bookmarkEnd w:id="9"/>
      <w:r>
        <w:rPr>
          <w:rFonts w:cs="Tahoma" w:ascii="Verdana" w:hAnsi="Verdana"/>
          <w:b/>
          <w:sz w:val="22"/>
          <w:szCs w:val="24"/>
        </w:rPr>
        <w:t xml:space="preserve"> </w:t>
      </w:r>
      <w:r>
        <w:rPr>
          <w:rFonts w:ascii="Verdana" w:hAnsi="Verdana"/>
          <w:sz w:val="22"/>
          <w:szCs w:val="22"/>
        </w:rPr>
        <w:t xml:space="preserve">submitted the Lowest Calculated Bid, offering the amount of </w:t>
      </w:r>
      <w:bookmarkStart w:id="10" w:name="bmBidAmountWords"/>
      <w:r>
        <w:rPr>
          <w:rFonts w:ascii="Verdana" w:hAnsi="Verdana"/>
          <w:b/>
          <w:sz w:val="22"/>
          <w:szCs w:val="24"/>
        </w:rPr>
        <w:t>Four Million</w:t>
      </w:r>
      <w:r>
        <w:rPr>
          <w:rFonts w:ascii="Verdana" w:hAnsi="Verdana"/>
          <w:sz w:val="22"/>
          <w:szCs w:val="24"/>
        </w:rPr>
        <w:t xml:space="preserve"> </w:t>
      </w:r>
      <w:r>
        <w:rPr>
          <w:rFonts w:ascii="Verdana" w:hAnsi="Verdana"/>
          <w:b/>
          <w:sz w:val="22"/>
        </w:rPr>
        <w:t>Four Hundred Eighty-Nine Thousand Nine Hundred Seventy-Four Pesos and 39/100</w:t>
      </w:r>
      <w:bookmarkEnd w:id="10"/>
      <w:r>
        <w:rPr>
          <w:rFonts w:ascii="Verdana" w:hAnsi="Verdana"/>
          <w:b/>
          <w:sz w:val="22"/>
        </w:rPr>
        <w:t xml:space="preserve"> </w:t>
      </w:r>
      <w:r>
        <w:rPr>
          <w:rFonts w:ascii="Verdana" w:hAnsi="Verdana"/>
          <w:b/>
          <w:sz w:val="22"/>
          <w:szCs w:val="24"/>
        </w:rPr>
        <w:t xml:space="preserve"> (PHP </w:t>
      </w:r>
      <w:bookmarkStart w:id="11" w:name="bmAmountFigures2"/>
      <w:r>
        <w:rPr>
          <w:rFonts w:ascii="Verdana" w:hAnsi="Verdana"/>
          <w:b/>
          <w:sz w:val="22"/>
          <w:szCs w:val="24"/>
        </w:rPr>
        <w:t>4,489,974.39</w:t>
      </w:r>
      <w:bookmarkEnd w:id="11"/>
      <w:r>
        <w:rPr>
          <w:rFonts w:ascii="Verdana" w:hAnsi="Verdana"/>
          <w:b/>
          <w:sz w:val="22"/>
          <w:szCs w:val="24"/>
        </w:rPr>
        <w:t>)</w:t>
      </w:r>
      <w:r>
        <w:rPr>
          <w:rFonts w:ascii="Verdana" w:hAnsi="Verdana"/>
          <w:szCs w:val="22"/>
        </w:rPr>
        <w:t xml:space="preserve">. </w:t>
      </w:r>
      <w:r>
        <w:rPr>
          <w:rFonts w:ascii="Verdana" w:hAnsi="Verdana"/>
          <w:sz w:val="22"/>
          <w:szCs w:val="22"/>
        </w:rPr>
        <w:t xml:space="preserve">Considering that the bidder mentioned above complied and submitted the required documents and in as much as the </w:t>
      </w:r>
      <w:r>
        <w:rPr>
          <w:rFonts w:ascii="Verdana" w:hAnsi="Verdana"/>
          <w:b/>
          <w:sz w:val="22"/>
          <w:szCs w:val="22"/>
        </w:rPr>
        <w:t xml:space="preserve">ABC is Php </w:t>
      </w:r>
      <w:bookmarkStart w:id="12" w:name="bmBudget2"/>
      <w:r>
        <w:rPr>
          <w:rFonts w:ascii="Verdana" w:hAnsi="Verdana"/>
          <w:b/>
          <w:sz w:val="22"/>
          <w:szCs w:val="22"/>
        </w:rPr>
        <w:t>4,500,000.00</w:t>
      </w:r>
      <w:bookmarkEnd w:id="12"/>
      <w:r>
        <w:rPr>
          <w:rFonts w:ascii="Verdana" w:hAnsi="Verdana"/>
          <w:sz w:val="22"/>
          <w:szCs w:val="22"/>
        </w:rPr>
        <w:t>, the BAC proceeded with the Post Qualification process.</w:t>
      </w:r>
    </w:p>
    <w:p>
      <w:pPr>
        <w:pStyle w:val="BodyTextIndent"/>
        <w:ind w:start="0"/>
        <w:jc w:val="center"/>
        <w:rPr>
          <w:sz w:val="22"/>
          <w:szCs w:val="22"/>
        </w:rPr>
      </w:pPr>
      <w:r>
        <w:rPr>
          <w:sz w:val="22"/>
          <w:szCs w:val="22"/>
        </w:rPr>
        <w:t>Table 5. Correction of Bids</w:t>
      </w:r>
    </w:p>
    <w:tbl>
      <w:tblPr>
        <w:tblW w:w="88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5325"/>
        <w:gridCol w:w="3531"/>
      </w:tblGrid>
      <w:tr>
        <w:trPr>
          <w:trHeight w:val="818" w:hRule="atLeast"/>
        </w:trPr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Bidder Identification/Name</w:t>
            </w:r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Bid as Calculated</w:t>
            </w:r>
          </w:p>
          <w:p>
            <w:pPr>
              <w:pStyle w:val="Heading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(</w:t>
            </w:r>
            <w:r>
              <w:rPr>
                <w:dstrike/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)</w:t>
            </w:r>
          </w:p>
        </w:tc>
      </w:tr>
      <w:tr>
        <w:trPr/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59" w:before="0" w:after="160"/>
              <w:contextualSpacing/>
              <w:rPr>
                <w:rFonts w:ascii="Verdana" w:hAnsi="Verdana" w:eastAsia="Calibri" w:cs="Calibri"/>
                <w:b/>
                <w:bCs/>
                <w:sz w:val="22"/>
                <w:szCs w:val="22"/>
                <w:lang w:val="en-PH"/>
              </w:rPr>
            </w:pPr>
            <w:bookmarkStart w:id="13" w:name="bmCompanyName5"/>
            <w:r>
              <w:rPr>
                <w:rFonts w:cs="Tahoma" w:ascii="Verdana" w:hAnsi="Verdana"/>
                <w:b/>
                <w:sz w:val="22"/>
                <w:szCs w:val="24"/>
              </w:rPr>
              <w:t xml:space="preserve">AZLJ CONSTRUCTION  </w:t>
            </w:r>
            <w:bookmarkEnd w:id="13"/>
          </w:p>
        </w:tc>
        <w:tc>
          <w:tcPr>
            <w:tcW w:w="3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PHP </w:t>
            </w:r>
            <w:bookmarkStart w:id="14" w:name="bmAmountFigures3"/>
            <w:r>
              <w:rPr>
                <w:rFonts w:ascii="Verdana" w:hAnsi="Verdana"/>
                <w:sz w:val="22"/>
                <w:szCs w:val="22"/>
              </w:rPr>
              <w:t>4,489,974.39</w:t>
            </w:r>
            <w:bookmarkEnd w:id="14"/>
          </w:p>
        </w:tc>
      </w:tr>
    </w:tbl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Prepared by:</w:t>
        <w:tab/>
        <w:tab/>
        <w:tab/>
        <w:tab/>
        <w:tab/>
        <w:tab/>
        <w:t>Submitted by: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</w:r>
    </w:p>
    <w:p>
      <w:pPr>
        <w:pStyle w:val="Normal"/>
        <w:rPr>
          <w:rFonts w:ascii="Verdana" w:hAnsi="Verdana"/>
          <w:sz w:val="18"/>
          <w:szCs w:val="22"/>
        </w:rPr>
      </w:pPr>
      <w:r>
        <w:rPr>
          <w:rFonts w:ascii="Verdana" w:hAnsi="Verdana"/>
          <w:sz w:val="18"/>
          <w:szCs w:val="22"/>
        </w:rPr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b/>
          <w:bCs/>
          <w:sz w:val="22"/>
          <w:szCs w:val="22"/>
        </w:rPr>
        <w:t>IRYN L. HABOC</w:t>
      </w:r>
      <w:r>
        <w:rPr>
          <w:rFonts w:ascii="Verdana" w:hAnsi="Verdana"/>
          <w:sz w:val="22"/>
          <w:szCs w:val="22"/>
        </w:rPr>
        <w:tab/>
        <w:tab/>
        <w:tab/>
        <w:tab/>
        <w:t xml:space="preserve">              </w:t>
      </w:r>
      <w:r>
        <w:rPr>
          <w:rFonts w:ascii="Verdana" w:hAnsi="Verdana"/>
          <w:b/>
          <w:bCs/>
          <w:sz w:val="22"/>
          <w:szCs w:val="22"/>
        </w:rPr>
        <w:t>JOEL J. RODRIGUEZ</w:t>
      </w:r>
    </w:p>
    <w:p>
      <w:pPr>
        <w:pStyle w:val="Normal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  </w:t>
      </w:r>
      <w:r>
        <w:rPr>
          <w:rFonts w:ascii="Verdana" w:hAnsi="Verdana"/>
          <w:sz w:val="22"/>
          <w:szCs w:val="22"/>
        </w:rPr>
        <w:t>TWG Member</w:t>
        <w:tab/>
        <w:tab/>
        <w:tab/>
        <w:tab/>
        <w:t xml:space="preserve">              BAC Secretariat-Head</w:t>
      </w:r>
    </w:p>
    <w:sectPr>
      <w:type w:val="nextPage"/>
      <w:pgSz w:w="12240" w:h="18720"/>
      <w:pgMar w:left="1440" w:right="1440" w:gutter="0" w:header="0" w:top="1135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Verdana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0"/>
      <w:lvlJc w:val="start"/>
      <w:pPr>
        <w:tabs>
          <w:tab w:val="num" w:pos="720"/>
        </w:tabs>
        <w:ind w:start="720" w:hanging="720"/>
      </w:pPr>
      <w:rPr>
        <w:b/>
        <w:bCs/>
        <w:sz w:val="24"/>
        <w:szCs w:val="24"/>
      </w:rPr>
    </w:lvl>
    <w:lvl w:ilvl="1">
      <w:start w:val="1"/>
      <w:numFmt w:val="decimal"/>
      <w:lvlText w:val="%1.%2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1.%2.%3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3240"/>
        </w:tabs>
        <w:ind w:start="324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3960"/>
        </w:tabs>
        <w:ind w:start="396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5040"/>
        </w:tabs>
        <w:ind w:start="50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5760"/>
        </w:tabs>
        <w:ind w:start="576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6840"/>
        </w:tabs>
        <w:ind w:start="684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7920"/>
        </w:tabs>
        <w:ind w:start="7920" w:hanging="2160"/>
      </w:pPr>
      <w:rPr/>
    </w:lvl>
  </w:abstractNum>
  <w:abstractNum w:abstractNumId="2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lowerLetter"/>
      <w:lvlText w:val="(%1)"/>
      <w:lvlJc w:val="start"/>
      <w:pPr>
        <w:tabs>
          <w:tab w:val="num" w:pos="1800"/>
        </w:tabs>
        <w:ind w:start="180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7a44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d87a44"/>
    <w:pPr>
      <w:keepNext w:val="true"/>
      <w:jc w:val="center"/>
      <w:outlineLvl w:val="0"/>
    </w:pPr>
    <w:rPr>
      <w:rFonts w:ascii="Verdana" w:hAnsi="Verdana"/>
      <w:i/>
      <w:sz w:val="18"/>
      <w:u w:val="single"/>
    </w:rPr>
  </w:style>
  <w:style w:type="paragraph" w:styleId="Heading2">
    <w:name w:val="heading 2"/>
    <w:basedOn w:val="Normal"/>
    <w:next w:val="Normal"/>
    <w:link w:val="Heading2Char"/>
    <w:qFormat/>
    <w:rsid w:val="00d87a44"/>
    <w:pPr>
      <w:keepNext w:val="true"/>
      <w:jc w:val="center"/>
      <w:outlineLvl w:val="1"/>
    </w:pPr>
    <w:rPr>
      <w:rFonts w:ascii="Verdana" w:hAnsi="Verdana"/>
      <w:b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d87a44"/>
    <w:rPr>
      <w:rFonts w:ascii="Verdana" w:hAnsi="Verdana" w:eastAsia="Times New Roman" w:cs="Times New Roman"/>
      <w:i/>
      <w:sz w:val="18"/>
      <w:szCs w:val="20"/>
      <w:u w:val="single"/>
      <w:lang w:val="en-US"/>
    </w:rPr>
  </w:style>
  <w:style w:type="character" w:styleId="Heading2Char" w:customStyle="1">
    <w:name w:val="Heading 2 Char"/>
    <w:basedOn w:val="DefaultParagraphFont"/>
    <w:link w:val="Heading2"/>
    <w:qFormat/>
    <w:rsid w:val="00d87a44"/>
    <w:rPr>
      <w:rFonts w:ascii="Verdana" w:hAnsi="Verdana" w:eastAsia="Times New Roman" w:cs="Times New Roman"/>
      <w:b/>
      <w:sz w:val="18"/>
      <w:szCs w:val="20"/>
      <w:lang w:val="en-US"/>
    </w:rPr>
  </w:style>
  <w:style w:type="character" w:styleId="BodyTextIndentChar" w:customStyle="1">
    <w:name w:val="Body Text Indent Char"/>
    <w:basedOn w:val="DefaultParagraphFont"/>
    <w:qFormat/>
    <w:rsid w:val="00d87a44"/>
    <w:rPr>
      <w:rFonts w:ascii="Verdana" w:hAnsi="Verdana" w:eastAsia="Times New Roman" w:cs="Times New Roman"/>
      <w:sz w:val="18"/>
      <w:szCs w:val="20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f1aa9"/>
    <w:rPr>
      <w:rFonts w:ascii="Segoe UI" w:hAnsi="Segoe UI" w:eastAsia="Times New Roman" w:cs="Segoe UI"/>
      <w:sz w:val="18"/>
      <w:szCs w:val="18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odyTextIndent">
    <w:name w:val="Body Text Indent"/>
    <w:basedOn w:val="Normal"/>
    <w:link w:val="BodyTextIndentChar"/>
    <w:rsid w:val="00d87a44"/>
    <w:pPr>
      <w:ind w:start="1440"/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f1aa9"/>
    <w:pPr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73397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val="en-PH" w:eastAsia="en-PH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B91EA2-87EF-4788-B373-8C9CDA1CC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Application>LibreOffice/26.2.3.2$Linux_X86_64 LibreOffice_project/70e089b17412e4cb7773e41413306b17a2328c34</Application>
  <AppVersion>15.0000</AppVersion>
  <Pages>2</Pages>
  <Words>485</Words>
  <Characters>2685</Characters>
  <CharactersWithSpaces>3143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2022-12-22T21:05:00Z</dcterms:created>
  <dc:creator>ASUS</dc:creator>
  <dc:description/>
  <dc:language>en-US</dc:language>
  <cp:lastModifiedBy/>
  <cp:lastPrinted>2025-07-22T10:41:00Z</cp:lastPrinted>
  <dcterms:modified xsi:type="dcterms:W3CDTF">2026-06-08T09:26:36Z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