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sz w:val="28"/>
          <w:szCs w:val="28"/>
        </w:rPr>
      </w:pPr>
      <w:r>
        <w:drawing>
          <wp:anchor distT="0" distB="0" distL="0" distR="0" simplePos="0" relativeHeight="3" behindDoc="1" locked="0" layoutInCell="1" allowOverlap="1">
            <wp:simplePos x="0" y="0"/>
            <wp:positionH relativeFrom="column">
              <wp:posOffset>-1122045</wp:posOffset>
            </wp:positionH>
            <wp:positionV relativeFrom="paragraph">
              <wp:posOffset>-554990</wp:posOffset>
            </wp:positionV>
            <wp:extent cx="7667625" cy="20288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7667625" cy="2028825"/>
                    </a:xfrm>
                    <a:prstGeom prst="rect">
                      <a:avLst/>
                    </a:prstGeom>
                    <a:noFill/>
                  </pic:spPr>
                </pic:pic>
              </a:graphicData>
            </a:graphic>
          </wp:anchor>
        </w:drawing>
        <w:drawing>
          <wp:anchor distT="0" distB="0" distL="0" distR="0" simplePos="0" relativeHeight="4" behindDoc="0" locked="0" layoutInCell="1" allowOverlap="1">
            <wp:simplePos x="0" y="0"/>
            <wp:positionH relativeFrom="column">
              <wp:posOffset>109220</wp:posOffset>
            </wp:positionH>
            <wp:positionV relativeFrom="paragraph">
              <wp:posOffset>-170180</wp:posOffset>
            </wp:positionV>
            <wp:extent cx="854710" cy="819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854710" cy="819150"/>
                    </a:xfrm>
                    <a:prstGeom prst="rect">
                      <a:avLst/>
                    </a:prstGeom>
                    <a:noFill/>
                  </pic:spPr>
                </pic:pic>
              </a:graphicData>
            </a:graphic>
          </wp:anchor>
        </w:drawing>
      </w:r>
      <w:r>
        <w:rPr>
          <w:rFonts w:ascii="Cambria" w:hAnsi="Cambria"/>
          <w:sz w:val="32"/>
          <w:szCs w:val="32"/>
        </w:rPr>
        <w:t xml:space="preserve"> </w:t>
      </w:r>
      <w:r>
        <w:rPr>
          <w:rFonts w:ascii="Cambria" w:hAnsi="Cambria"/>
          <w:sz w:val="28"/>
          <w:szCs w:val="28"/>
        </w:rPr>
        <w:t>Republic of the Philippines</w:t>
      </w:r>
    </w:p>
    <w:p>
      <w:pPr>
        <w:pStyle w:val="Normal"/>
        <w:jc w:val="center"/>
        <w:rPr>
          <w:sz w:val="28"/>
          <w:szCs w:val="28"/>
        </w:rPr>
      </w:pPr>
      <w:r>
        <w:rPr>
          <w:rFonts w:ascii="Cambria" w:hAnsi="Cambria"/>
          <w:sz w:val="28"/>
          <w:szCs w:val="28"/>
        </w:rPr>
        <w:t>Province of Sorsogon</w:t>
      </w:r>
    </w:p>
    <w:p>
      <w:pPr>
        <w:pStyle w:val="Normal"/>
        <w:jc w:val="center"/>
        <w:rPr>
          <w:rFonts w:ascii="Cambria" w:hAnsi="Cambria"/>
          <w:b/>
          <w:sz w:val="28"/>
          <w:szCs w:val="28"/>
        </w:rPr>
      </w:pPr>
      <w:r>
        <w:rPr>
          <w:rFonts w:ascii="Cambria" w:hAnsi="Cambria"/>
          <w:b/>
          <w:sz w:val="28"/>
          <w:szCs w:val="28"/>
        </w:rPr>
        <w:t>MUNICIPALITY OF CASIGURAN</w:t>
      </w:r>
    </w:p>
    <w:p>
      <w:pPr>
        <w:pStyle w:val="Normal"/>
        <w:jc w:val="center"/>
        <w:rPr>
          <w:rFonts w:ascii="Cambria" w:hAnsi="Cambria"/>
          <w:b/>
        </w:rPr>
      </w:pPr>
      <w:r>
        <w:rPr>
          <w:rFonts w:ascii="Cambria" w:hAnsi="Cambria"/>
          <w:b/>
        </w:rPr>
      </w:r>
    </w:p>
    <w:p>
      <w:pPr>
        <w:pStyle w:val="Normal"/>
        <w:ind w:left="-851"/>
        <w:rPr>
          <w:rFonts w:ascii="Arial" w:hAnsi="Arial" w:cs="Arial"/>
          <w:b/>
          <w:sz w:val="40"/>
          <w:szCs w:val="40"/>
        </w:rPr>
      </w:pPr>
      <w:r>
        <w:rPr/>
        <w:drawing>
          <wp:inline distT="0" distB="0" distL="0" distR="0">
            <wp:extent cx="6751955" cy="4635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6751955" cy="463550"/>
                    </a:xfrm>
                    <a:prstGeom prst="rect">
                      <a:avLst/>
                    </a:prstGeom>
                    <a:noFill/>
                  </pic:spPr>
                </pic:pic>
              </a:graphicData>
            </a:graphic>
          </wp:inline>
        </w:drawing>
      </w:r>
    </w:p>
    <w:p>
      <w:pPr>
        <w:pStyle w:val="Normal"/>
        <w:rPr>
          <w:b/>
          <w:sz w:val="28"/>
          <w:szCs w:val="28"/>
        </w:rPr>
      </w:pPr>
      <w:r>
        <w:rPr>
          <w:b/>
          <w:sz w:val="28"/>
          <w:szCs w:val="28"/>
        </w:rPr>
      </w:r>
    </w:p>
    <w:p>
      <w:pPr>
        <w:pStyle w:val="Normal"/>
        <w:jc w:val="center"/>
        <w:rPr>
          <w:b/>
          <w:sz w:val="28"/>
          <w:szCs w:val="28"/>
        </w:rPr>
      </w:pPr>
      <w:r>
        <w:rPr>
          <w:b/>
          <w:sz w:val="28"/>
          <w:szCs w:val="28"/>
        </w:rPr>
        <w:t>BAC Resolution Declaring LCRB and Recommending Approval</w:t>
      </w:r>
    </w:p>
    <w:p>
      <w:pPr>
        <w:pStyle w:val="Normal"/>
        <w:rPr>
          <w:sz w:val="24"/>
          <w:szCs w:val="24"/>
        </w:rPr>
      </w:pPr>
      <w:r>
        <w:rPr>
          <w:sz w:val="24"/>
          <w:szCs w:val="24"/>
        </w:rPr>
      </w:r>
    </w:p>
    <w:p>
      <w:pPr>
        <w:pStyle w:val="BodyText"/>
        <w:jc w:val="center"/>
        <w:rPr>
          <w:rFonts w:ascii="Times New Roman" w:hAnsi="Times New Roman"/>
          <w:b/>
          <w:sz w:val="24"/>
          <w:szCs w:val="24"/>
        </w:rPr>
      </w:pPr>
      <w:r>
        <w:rPr>
          <w:rFonts w:ascii="Times New Roman" w:hAnsi="Times New Roman"/>
          <w:b/>
          <w:sz w:val="24"/>
          <w:szCs w:val="24"/>
        </w:rPr>
        <w:t>RESOLUTION NO. – PB-CW-{{resolution_number}}</w:t>
      </w:r>
    </w:p>
    <w:p>
      <w:pPr>
        <w:pStyle w:val="BodyText"/>
        <w:jc w:val="center"/>
        <w:rPr>
          <w:rFonts w:ascii="Times New Roman" w:hAnsi="Times New Roman"/>
          <w:b/>
          <w:sz w:val="24"/>
          <w:szCs w:val="24"/>
        </w:rPr>
      </w:pPr>
      <w:r>
        <w:rPr>
          <w:rFonts w:ascii="Times New Roman" w:hAnsi="Times New Roman"/>
          <w:b/>
          <w:sz w:val="24"/>
          <w:szCs w:val="24"/>
        </w:rPr>
      </w:r>
    </w:p>
    <w:p>
      <w:pPr>
        <w:pStyle w:val="Normal"/>
        <w:ind w:firstLine="720"/>
        <w:jc w:val="both"/>
        <w:rPr>
          <w:b/>
          <w:color w:val="000000"/>
          <w:sz w:val="24"/>
          <w:szCs w:val="24"/>
        </w:rPr>
      </w:pPr>
      <w:r>
        <w:rPr>
          <w:sz w:val="24"/>
          <w:szCs w:val="24"/>
        </w:rPr>
        <w:t xml:space="preserve">WHEREAS, the </w:t>
      </w:r>
      <w:r>
        <w:rPr>
          <w:b/>
          <w:sz w:val="24"/>
          <w:szCs w:val="24"/>
        </w:rPr>
        <w:t>Local Government Unit of Casiguran</w:t>
      </w:r>
      <w:r>
        <w:rPr>
          <w:sz w:val="24"/>
          <w:szCs w:val="24"/>
        </w:rPr>
        <w:t xml:space="preserve"> posted and advertised the Invitation to Bid for</w:t>
      </w:r>
      <w:r>
        <w:rPr>
          <w:b w:val="false"/>
          <w:bCs w:val="false"/>
          <w:sz w:val="24"/>
          <w:szCs w:val="24"/>
        </w:rPr>
        <w:t xml:space="preserve"> </w:t>
      </w:r>
      <w:r>
        <w:rPr>
          <w:b/>
          <w:bCs/>
          <w:sz w:val="24"/>
          <w:szCs w:val="24"/>
          <w:lang w:val="en-PH" w:eastAsia="en-PH"/>
        </w:rPr>
        <w:t>{{project_title_upper}}</w:t>
      </w:r>
      <w:r>
        <w:rPr>
          <w:b w:val="false"/>
          <w:bCs w:val="false"/>
          <w:sz w:val="32"/>
          <w:szCs w:val="24"/>
          <w:lang w:val="en-PH" w:eastAsia="en-PH"/>
        </w:rPr>
        <w:t xml:space="preserve"> </w:t>
      </w:r>
      <w:r>
        <w:rPr>
          <w:sz w:val="24"/>
          <w:szCs w:val="24"/>
        </w:rPr>
        <w:t xml:space="preserve">at the PhilGEPS’s (Philippine Government Electronic Procurement System) website on </w:t>
      </w:r>
      <w:r>
        <w:rPr>
          <w:b/>
          <w:sz w:val="24"/>
          <w:szCs w:val="24"/>
        </w:rPr>
        <w:t>{{philGEPS_posting_date}}</w:t>
      </w:r>
      <w:r>
        <w:rPr>
          <w:sz w:val="24"/>
          <w:szCs w:val="24"/>
        </w:rPr>
        <w:t xml:space="preserve"> and posted in a conspicuous place from </w:t>
      </w:r>
      <w:r>
        <w:rPr>
          <w:b/>
          <w:sz w:val="24"/>
          <w:szCs w:val="24"/>
        </w:rPr>
        <w:t>{{conspicuous_place_posting_date}}</w:t>
      </w:r>
      <w:r>
        <w:rPr>
          <w:sz w:val="24"/>
          <w:szCs w:val="24"/>
        </w:rPr>
        <w:t xml:space="preserve">. </w:t>
      </w:r>
      <w:r>
        <w:rPr>
          <w:bCs/>
          <w:sz w:val="22"/>
          <w:szCs w:val="22"/>
        </w:rPr>
        <w:t xml:space="preserve">The Approved Budget for the Contract is </w:t>
      </w:r>
      <w:r>
        <w:rPr>
          <w:b/>
          <w:color w:val="000000"/>
          <w:sz w:val="24"/>
          <w:szCs w:val="24"/>
        </w:rPr>
        <w:t xml:space="preserve">Php </w:t>
      </w:r>
      <w:r>
        <w:rPr>
          <w:b/>
          <w:bCs/>
          <w:color w:val="000000"/>
          <w:sz w:val="24"/>
          <w:szCs w:val="24"/>
        </w:rPr>
        <w:t>{{approved_budget}}</w:t>
      </w:r>
      <w:r>
        <w:rPr>
          <w:b/>
          <w:color w:val="000000"/>
          <w:sz w:val="24"/>
          <w:szCs w:val="24"/>
        </w:rPr>
        <w:t xml:space="preserve">.  </w:t>
      </w:r>
    </w:p>
    <w:p>
      <w:pPr>
        <w:pStyle w:val="Normal"/>
        <w:jc w:val="both"/>
        <w:rPr>
          <w:b/>
          <w:bCs/>
          <w:sz w:val="22"/>
          <w:szCs w:val="22"/>
        </w:rPr>
      </w:pPr>
      <w:r>
        <w:rPr>
          <w:b/>
          <w:bCs/>
          <w:sz w:val="22"/>
          <w:szCs w:val="22"/>
        </w:rPr>
      </w:r>
    </w:p>
    <w:p>
      <w:pPr>
        <w:pStyle w:val="Normal"/>
        <w:jc w:val="both"/>
        <w:rPr>
          <w:sz w:val="24"/>
          <w:szCs w:val="24"/>
        </w:rPr>
      </w:pPr>
      <w:r>
        <w:rPr>
          <w:color w:val="FF0000"/>
          <w:sz w:val="24"/>
          <w:szCs w:val="24"/>
        </w:rPr>
        <w:t xml:space="preserve">      </w:t>
      </w:r>
      <w:r>
        <w:rPr>
          <w:sz w:val="24"/>
          <w:szCs w:val="24"/>
        </w:rPr>
        <w:t>WHEREAS, in response to the said advertisements and publication, there were {{total_interested_bidders_lower}} interested bidders who submitted letter of intent and {{number_of_responsive_bidders}} of these bidders purchased bidding documents and</w:t>
      </w:r>
      <w:r>
        <w:rPr>
          <w:b/>
          <w:sz w:val="24"/>
          <w:szCs w:val="24"/>
        </w:rPr>
        <w:t xml:space="preserve"> </w:t>
      </w:r>
      <w:r>
        <w:rPr>
          <w:sz w:val="24"/>
          <w:szCs w:val="24"/>
        </w:rPr>
        <w:t xml:space="preserve">submitted bid proposals on time, namely: </w:t>
      </w:r>
      <w:r>
        <w:rPr>
          <w:b/>
          <w:bCs/>
          <w:sz w:val="24"/>
          <w:szCs w:val="24"/>
        </w:rPr>
        <w:t>{{bidders_upper}}</w:t>
      </w:r>
    </w:p>
    <w:p>
      <w:pPr>
        <w:pStyle w:val="BodyText"/>
        <w:rPr>
          <w:rFonts w:ascii="Times New Roman" w:hAnsi="Times New Roman"/>
          <w:sz w:val="24"/>
          <w:szCs w:val="24"/>
        </w:rPr>
      </w:pPr>
      <w:r>
        <w:rPr>
          <w:rFonts w:ascii="Times New Roman" w:hAnsi="Times New Roman"/>
          <w:sz w:val="24"/>
          <w:szCs w:val="24"/>
        </w:rPr>
      </w:r>
    </w:p>
    <w:p>
      <w:pPr>
        <w:pStyle w:val="Normal"/>
        <w:ind w:firstLine="720"/>
        <w:jc w:val="both"/>
        <w:rPr>
          <w:sz w:val="24"/>
          <w:szCs w:val="24"/>
        </w:rPr>
      </w:pPr>
      <w:r>
        <w:rPr>
          <w:sz w:val="24"/>
          <w:szCs w:val="24"/>
        </w:rPr>
        <w:t>WHEREAS, upon evaluation of technical component, the BAC determined that the six bidders</w:t>
      </w:r>
      <w:r>
        <w:rPr>
          <w:b/>
          <w:sz w:val="24"/>
          <w:szCs w:val="24"/>
        </w:rPr>
        <w:t xml:space="preserve"> </w:t>
      </w:r>
      <w:r>
        <w:rPr>
          <w:sz w:val="24"/>
          <w:szCs w:val="24"/>
        </w:rPr>
        <w:t>were eligible and rated them as “pass”. Their bid proposals were found to be complete.</w:t>
      </w:r>
    </w:p>
    <w:p>
      <w:pPr>
        <w:pStyle w:val="Normal"/>
        <w:ind w:firstLine="720"/>
        <w:jc w:val="both"/>
        <w:rPr>
          <w:color w:val="FF0000"/>
          <w:sz w:val="24"/>
          <w:szCs w:val="24"/>
        </w:rPr>
      </w:pPr>
      <w:r>
        <w:rPr>
          <w:color w:val="FF0000"/>
          <w:sz w:val="24"/>
          <w:szCs w:val="24"/>
        </w:rPr>
      </w:r>
    </w:p>
    <w:p>
      <w:pPr>
        <w:pStyle w:val="Normal"/>
        <w:ind w:firstLine="720"/>
        <w:jc w:val="both"/>
        <w:rPr>
          <w:b/>
          <w:sz w:val="24"/>
          <w:szCs w:val="24"/>
        </w:rPr>
      </w:pPr>
      <w:r>
        <w:rPr>
          <w:sz w:val="24"/>
          <w:szCs w:val="24"/>
        </w:rPr>
        <w:t xml:space="preserve">Whereas, upon evaluation of financial documents it appeared that the bid proposal of </w:t>
      </w:r>
      <w:r>
        <w:rPr>
          <w:b/>
          <w:sz w:val="24"/>
          <w:szCs w:val="24"/>
        </w:rPr>
        <w:t>{{winning_bidder_upper}}</w:t>
      </w:r>
      <w:r>
        <w:rPr>
          <w:sz w:val="24"/>
          <w:szCs w:val="24"/>
        </w:rPr>
        <w:t xml:space="preserve"> is considered the lowest calculated bid. </w:t>
      </w:r>
    </w:p>
    <w:p>
      <w:pPr>
        <w:pStyle w:val="BodyText"/>
        <w:rPr>
          <w:sz w:val="24"/>
          <w:szCs w:val="24"/>
        </w:rPr>
      </w:pPr>
      <w:r>
        <w:rPr>
          <w:sz w:val="24"/>
          <w:szCs w:val="24"/>
        </w:rPr>
      </w:r>
    </w:p>
    <w:tbl>
      <w:tblPr>
        <w:tblW w:w="8856" w:type="dxa"/>
        <w:jc w:val="left"/>
        <w:tblInd w:w="103" w:type="dxa"/>
        <w:tblLayout w:type="fixed"/>
        <w:tblCellMar>
          <w:top w:w="0" w:type="dxa"/>
          <w:left w:w="108" w:type="dxa"/>
          <w:bottom w:w="0" w:type="dxa"/>
          <w:right w:w="108" w:type="dxa"/>
        </w:tblCellMar>
        <w:tblLook w:noHBand="0" w:noVBand="0" w:firstColumn="0" w:lastRow="0" w:lastColumn="0" w:firstRow="0" w:val="0000"/>
      </w:tblPr>
      <w:tblGrid>
        <w:gridCol w:w="5145"/>
        <w:gridCol w:w="2069"/>
        <w:gridCol w:w="1642"/>
      </w:tblGrid>
      <w:tr>
        <w:trPr/>
        <w:tc>
          <w:tcPr>
            <w:tcW w:w="5145" w:type="dxa"/>
            <w:tcBorders>
              <w:top w:val="single" w:sz="4" w:space="0" w:color="000000"/>
              <w:left w:val="single" w:sz="4" w:space="0" w:color="000000"/>
              <w:bottom w:val="single" w:sz="4" w:space="0" w:color="000000"/>
              <w:right w:val="single" w:sz="4" w:space="0" w:color="000000"/>
            </w:tcBorders>
            <w:vAlign w:val="center"/>
          </w:tcPr>
          <w:p>
            <w:pPr>
              <w:pStyle w:val="Heading2"/>
              <w:rPr>
                <w:rFonts w:ascii="Times New Roman" w:hAnsi="Times New Roman"/>
                <w:sz w:val="24"/>
                <w:szCs w:val="24"/>
              </w:rPr>
            </w:pPr>
            <w:r>
              <w:rPr>
                <w:rFonts w:ascii="Times New Roman" w:hAnsi="Times New Roman"/>
                <w:sz w:val="24"/>
                <w:szCs w:val="24"/>
              </w:rPr>
              <w:t>Name of Bidder</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sz w:val="24"/>
                <w:szCs w:val="24"/>
              </w:rPr>
            </w:pPr>
            <w:r>
              <w:rPr>
                <w:b/>
                <w:sz w:val="24"/>
                <w:szCs w:val="24"/>
              </w:rPr>
              <w:t>Bid Amount</w:t>
            </w:r>
          </w:p>
          <w:p>
            <w:pPr>
              <w:pStyle w:val="Normal"/>
              <w:jc w:val="center"/>
              <w:rPr>
                <w:b/>
                <w:sz w:val="24"/>
                <w:szCs w:val="24"/>
              </w:rPr>
            </w:pPr>
            <w:r>
              <w:rPr>
                <w:b/>
                <w:sz w:val="24"/>
                <w:szCs w:val="24"/>
              </w:rPr>
              <w:t>(As Read)</w:t>
            </w:r>
          </w:p>
        </w:tc>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sz w:val="24"/>
                <w:szCs w:val="24"/>
              </w:rPr>
            </w:pPr>
            <w:r>
              <w:rPr>
                <w:b/>
                <w:sz w:val="24"/>
                <w:szCs w:val="24"/>
              </w:rPr>
              <w:t>% Variance from ABC</w:t>
            </w:r>
          </w:p>
        </w:tc>
      </w:tr>
      <w:tr>
        <w:trPr/>
        <w:tc>
          <w:tcPr>
            <w:tcW w:w="514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 w:leader="none"/>
                <w:tab w:val="left" w:pos="0" w:leader="none"/>
              </w:tabs>
              <w:jc w:val="both"/>
              <w:rPr>
                <w:rFonts w:ascii="Arial Narrow" w:hAnsi="Arial Narrow"/>
                <w:sz w:val="24"/>
                <w:szCs w:val="24"/>
              </w:rPr>
            </w:pPr>
            <w:bookmarkStart w:id="0" w:name="bmCompanyName3"/>
            <w:r>
              <w:rPr>
                <w:b/>
                <w:sz w:val="24"/>
                <w:szCs w:val="24"/>
              </w:rPr>
              <w:t>{</w:t>
            </w:r>
            <w:bookmarkEnd w:id="0"/>
            <w:r>
              <w:rPr>
                <w:b/>
                <w:sz w:val="24"/>
                <w:szCs w:val="24"/>
              </w:rPr>
              <w:t>{row_a_bidder_upper}}</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szCs w:val="22"/>
              </w:rPr>
            </w:pPr>
            <w:bookmarkStart w:id="1" w:name="bmAmountFigures"/>
            <w:r>
              <w:rPr>
                <w:sz w:val="24"/>
                <w:szCs w:val="22"/>
              </w:rPr>
              <w:t>{</w:t>
            </w:r>
            <w:bookmarkEnd w:id="1"/>
            <w:r>
              <w:rPr>
                <w:sz w:val="24"/>
                <w:szCs w:val="22"/>
              </w:rPr>
              <w:t>{row_a_amount}}</w:t>
            </w:r>
          </w:p>
        </w:tc>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szCs w:val="24"/>
              </w:rPr>
            </w:pPr>
            <w:bookmarkStart w:id="2" w:name="_Hlk532640973"/>
            <w:bookmarkEnd w:id="2"/>
            <w:r>
              <w:rPr>
                <w:sz w:val="24"/>
                <w:szCs w:val="24"/>
              </w:rPr>
              <w:t>{{row_a_variance}}</w:t>
            </w:r>
          </w:p>
        </w:tc>
      </w:tr>
    </w:tbl>
    <w:p>
      <w:pPr>
        <w:pStyle w:val="Normal"/>
        <w:jc w:val="both"/>
        <w:rPr>
          <w:sz w:val="24"/>
          <w:szCs w:val="24"/>
        </w:rPr>
      </w:pPr>
      <w:r>
        <w:rPr>
          <w:sz w:val="24"/>
          <w:szCs w:val="24"/>
        </w:rPr>
      </w:r>
    </w:p>
    <w:p>
      <w:pPr>
        <w:pStyle w:val="Normal"/>
        <w:jc w:val="both"/>
        <w:rPr>
          <w:sz w:val="24"/>
          <w:szCs w:val="24"/>
        </w:rPr>
      </w:pPr>
      <w:r>
        <w:rPr>
          <w:sz w:val="24"/>
          <w:szCs w:val="24"/>
        </w:rPr>
        <w:t xml:space="preserve">WHEREAS, the detailed evaluation of bids conducted from </w:t>
      </w:r>
      <w:r>
        <w:rPr>
          <w:b/>
          <w:bCs/>
          <w:sz w:val="24"/>
          <w:szCs w:val="24"/>
        </w:rPr>
        <w:t>{{bid_evaluation_date}}</w:t>
      </w:r>
      <w:r>
        <w:rPr>
          <w:b/>
          <w:sz w:val="24"/>
          <w:szCs w:val="24"/>
        </w:rPr>
        <w:t xml:space="preserve"> </w:t>
      </w:r>
      <w:r>
        <w:rPr>
          <w:sz w:val="24"/>
          <w:szCs w:val="24"/>
        </w:rPr>
        <w:t>resulted in the following:</w:t>
      </w:r>
    </w:p>
    <w:tbl>
      <w:tblPr>
        <w:tblW w:w="8856" w:type="dxa"/>
        <w:jc w:val="left"/>
        <w:tblInd w:w="103" w:type="dxa"/>
        <w:tblLayout w:type="fixed"/>
        <w:tblCellMar>
          <w:top w:w="0" w:type="dxa"/>
          <w:left w:w="108" w:type="dxa"/>
          <w:bottom w:w="0" w:type="dxa"/>
          <w:right w:w="108" w:type="dxa"/>
        </w:tblCellMar>
        <w:tblLook w:noHBand="0" w:noVBand="0" w:firstColumn="0" w:lastRow="0" w:lastColumn="0" w:firstRow="0" w:val="0000"/>
      </w:tblPr>
      <w:tblGrid>
        <w:gridCol w:w="5130"/>
        <w:gridCol w:w="2084"/>
        <w:gridCol w:w="1642"/>
      </w:tblGrid>
      <w:tr>
        <w:trPr/>
        <w:tc>
          <w:tcPr>
            <w:tcW w:w="5130" w:type="dxa"/>
            <w:tcBorders>
              <w:top w:val="single" w:sz="4" w:space="0" w:color="000000"/>
              <w:left w:val="single" w:sz="4" w:space="0" w:color="000000"/>
              <w:bottom w:val="single" w:sz="4" w:space="0" w:color="000000"/>
              <w:right w:val="single" w:sz="4" w:space="0" w:color="000000"/>
            </w:tcBorders>
            <w:vAlign w:val="center"/>
          </w:tcPr>
          <w:p>
            <w:pPr>
              <w:pStyle w:val="Heading2"/>
              <w:rPr>
                <w:rFonts w:ascii="Times New Roman" w:hAnsi="Times New Roman"/>
                <w:sz w:val="24"/>
                <w:szCs w:val="24"/>
              </w:rPr>
            </w:pPr>
            <w:r>
              <w:rPr>
                <w:rFonts w:ascii="Times New Roman" w:hAnsi="Times New Roman"/>
                <w:sz w:val="24"/>
                <w:szCs w:val="24"/>
              </w:rPr>
              <w:t>Name of Bidder</w:t>
            </w:r>
          </w:p>
        </w:tc>
        <w:tc>
          <w:tcPr>
            <w:tcW w:w="20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sz w:val="24"/>
                <w:szCs w:val="24"/>
              </w:rPr>
            </w:pPr>
            <w:r>
              <w:rPr>
                <w:b/>
                <w:sz w:val="24"/>
                <w:szCs w:val="24"/>
              </w:rPr>
              <w:t>Bid Amount (As Calculated)</w:t>
            </w:r>
          </w:p>
        </w:tc>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sz w:val="24"/>
                <w:szCs w:val="24"/>
              </w:rPr>
            </w:pPr>
            <w:r>
              <w:rPr>
                <w:b/>
                <w:sz w:val="24"/>
                <w:szCs w:val="24"/>
              </w:rPr>
              <w:t>% Variance from ABC</w:t>
            </w:r>
          </w:p>
        </w:tc>
      </w:tr>
      <w:tr>
        <w:trPr/>
        <w:tc>
          <w:tcPr>
            <w:tcW w:w="513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 w:leader="none"/>
                <w:tab w:val="left" w:pos="0" w:leader="none"/>
              </w:tabs>
              <w:jc w:val="both"/>
              <w:rPr>
                <w:rFonts w:ascii="Times New Roman" w:hAnsi="Times New Roman"/>
              </w:rPr>
            </w:pPr>
            <w:r>
              <w:rPr>
                <w:b/>
                <w:bCs/>
                <w:sz w:val="24"/>
                <w:szCs w:val="24"/>
              </w:rPr>
              <w:t>{{row_b_bidder_upper}}</w:t>
            </w:r>
          </w:p>
        </w:tc>
        <w:tc>
          <w:tcPr>
            <w:tcW w:w="20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szCs w:val="24"/>
              </w:rPr>
            </w:pPr>
            <w:r>
              <w:rPr>
                <w:sz w:val="24"/>
                <w:szCs w:val="24"/>
              </w:rPr>
              <w:t>{{row_b_amount}}</w:t>
            </w:r>
          </w:p>
        </w:tc>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szCs w:val="24"/>
              </w:rPr>
            </w:pPr>
            <w:r>
              <w:rPr>
                <w:sz w:val="24"/>
                <w:szCs w:val="24"/>
              </w:rPr>
              <w:t>{{row_b_variance}}</w:t>
            </w:r>
          </w:p>
        </w:tc>
      </w:tr>
    </w:tbl>
    <w:p>
      <w:pPr>
        <w:pStyle w:val="Normal"/>
        <w:jc w:val="both"/>
        <w:rPr>
          <w:sz w:val="24"/>
          <w:szCs w:val="24"/>
        </w:rPr>
      </w:pPr>
      <w:r>
        <w:rPr>
          <w:sz w:val="24"/>
          <w:szCs w:val="24"/>
        </w:rPr>
      </w:r>
    </w:p>
    <w:p>
      <w:pPr>
        <w:pStyle w:val="Normal"/>
        <w:jc w:val="both"/>
        <w:rPr>
          <w:sz w:val="24"/>
          <w:szCs w:val="24"/>
        </w:rPr>
      </w:pPr>
      <w:r>
        <w:rPr>
          <w:sz w:val="24"/>
          <w:szCs w:val="24"/>
        </w:rPr>
        <w:t xml:space="preserve">WHEREAS, upon post-qualification or careful examination, validation and verification of all the eligibility, technical and financial requirements submitted by the Bidders with the Lowest Calculated Bid, </w:t>
      </w:r>
      <w:bookmarkStart w:id="3" w:name="bmCompanyName5"/>
      <w:r>
        <w:rPr>
          <w:b/>
          <w:sz w:val="24"/>
          <w:szCs w:val="24"/>
        </w:rPr>
        <w:t>{{winning_bidder_upper}}</w:t>
      </w:r>
      <w:bookmarkEnd w:id="3"/>
      <w:r>
        <w:rPr>
          <w:sz w:val="24"/>
          <w:szCs w:val="24"/>
        </w:rPr>
        <w:t xml:space="preserve">, its bid has been found to be responsive; </w:t>
      </w:r>
    </w:p>
    <w:p>
      <w:pPr>
        <w:pStyle w:val="Normal"/>
        <w:jc w:val="both"/>
        <w:rPr>
          <w:sz w:val="24"/>
          <w:szCs w:val="24"/>
        </w:rPr>
      </w:pPr>
      <w:r>
        <w:rPr>
          <w:sz w:val="24"/>
          <w:szCs w:val="24"/>
        </w:rPr>
      </w:r>
    </w:p>
    <w:p>
      <w:pPr>
        <w:pStyle w:val="Normal"/>
        <w:jc w:val="both"/>
        <w:rPr>
          <w:sz w:val="24"/>
          <w:szCs w:val="24"/>
        </w:rPr>
      </w:pPr>
      <w:r>
        <w:rPr>
          <w:sz w:val="24"/>
          <w:szCs w:val="24"/>
        </w:rPr>
        <w:t>NOW, THEREFORE, We, the Members of the Bids and Awards Committee, hereby RESOLVE as it is hereby RESOLVED:</w:t>
      </w:r>
    </w:p>
    <w:p>
      <w:pPr>
        <w:pStyle w:val="Normal"/>
        <w:jc w:val="both"/>
        <w:rPr>
          <w:sz w:val="24"/>
          <w:szCs w:val="24"/>
        </w:rPr>
      </w:pPr>
      <w:r>
        <w:rPr>
          <w:sz w:val="24"/>
          <w:szCs w:val="24"/>
        </w:rPr>
      </w:r>
    </w:p>
    <w:p>
      <w:pPr>
        <w:pStyle w:val="Normal"/>
        <w:ind w:firstLine="720"/>
        <w:jc w:val="both"/>
        <w:rPr>
          <w:sz w:val="24"/>
          <w:szCs w:val="24"/>
        </w:rPr>
      </w:pPr>
      <w:r>
        <w:rPr>
          <w:sz w:val="24"/>
          <w:szCs w:val="24"/>
        </w:rPr>
      </w:r>
    </w:p>
    <w:p>
      <w:pPr>
        <w:pStyle w:val="Normal"/>
        <w:numPr>
          <w:ilvl w:val="0"/>
          <w:numId w:val="1"/>
        </w:numPr>
        <w:ind w:hanging="11" w:left="720"/>
        <w:jc w:val="both"/>
        <w:rPr>
          <w:sz w:val="24"/>
          <w:szCs w:val="24"/>
        </w:rPr>
      </w:pPr>
      <w:r>
        <w:rPr>
          <w:sz w:val="24"/>
          <w:szCs w:val="24"/>
        </w:rPr>
        <w:t xml:space="preserve">To declare </w:t>
      </w:r>
      <w:bookmarkStart w:id="4" w:name="bmCompanyName6"/>
      <w:r>
        <w:rPr>
          <w:b/>
          <w:sz w:val="24"/>
          <w:szCs w:val="24"/>
        </w:rPr>
        <w:t>{{winning_bidder_upper}}</w:t>
      </w:r>
      <w:bookmarkEnd w:id="4"/>
      <w:r>
        <w:rPr>
          <w:sz w:val="24"/>
          <w:szCs w:val="24"/>
        </w:rPr>
        <w:t xml:space="preserve"> as the Bidder with the Lowest Calculated Responsive Bid for the </w:t>
      </w:r>
      <w:r>
        <w:rPr>
          <w:b/>
          <w:bCs/>
          <w:sz w:val="24"/>
          <w:szCs w:val="24"/>
          <w:lang w:val="en-PH" w:eastAsia="en-PH"/>
        </w:rPr>
        <w:t>{{project_title_upper}}</w:t>
      </w:r>
      <w:r>
        <w:rPr>
          <w:b/>
          <w:sz w:val="24"/>
          <w:lang w:val="en-PH" w:eastAsia="en-PH"/>
        </w:rPr>
        <w:t>,</w:t>
      </w:r>
    </w:p>
    <w:p>
      <w:pPr>
        <w:pStyle w:val="Normal"/>
        <w:jc w:val="both"/>
        <w:rPr>
          <w:sz w:val="24"/>
          <w:szCs w:val="24"/>
        </w:rPr>
      </w:pPr>
      <w:r>
        <w:rPr>
          <w:sz w:val="24"/>
          <w:szCs w:val="24"/>
        </w:rPr>
      </w:r>
    </w:p>
    <w:p>
      <w:pPr>
        <w:pStyle w:val="Normal"/>
        <w:numPr>
          <w:ilvl w:val="0"/>
          <w:numId w:val="1"/>
        </w:numPr>
        <w:jc w:val="both"/>
        <w:rPr>
          <w:sz w:val="24"/>
          <w:szCs w:val="24"/>
        </w:rPr>
      </w:pPr>
      <w:r>
        <w:rPr>
          <w:sz w:val="24"/>
          <w:szCs w:val="24"/>
        </w:rPr>
        <w:t xml:space="preserve">To recommend for approval by the </w:t>
      </w:r>
      <w:r>
        <w:rPr>
          <w:b/>
          <w:sz w:val="24"/>
          <w:szCs w:val="24"/>
        </w:rPr>
        <w:t xml:space="preserve">Municipal Mayor – Maria Minez R. Hamor </w:t>
      </w:r>
      <w:r>
        <w:rPr>
          <w:sz w:val="24"/>
          <w:szCs w:val="24"/>
        </w:rPr>
        <w:t xml:space="preserve">of the </w:t>
      </w:r>
      <w:r>
        <w:rPr>
          <w:b/>
          <w:sz w:val="24"/>
          <w:szCs w:val="24"/>
        </w:rPr>
        <w:t>Local Government Unit of Casiguran</w:t>
      </w:r>
      <w:r>
        <w:rPr>
          <w:sz w:val="24"/>
          <w:szCs w:val="24"/>
        </w:rPr>
        <w:t xml:space="preserve"> the foregoing findings.</w:t>
      </w:r>
    </w:p>
    <w:p>
      <w:pPr>
        <w:pStyle w:val="Normal"/>
        <w:jc w:val="both"/>
        <w:rPr>
          <w:sz w:val="24"/>
          <w:szCs w:val="24"/>
        </w:rPr>
      </w:pPr>
      <w:r>
        <w:rPr>
          <w:sz w:val="24"/>
          <w:szCs w:val="24"/>
        </w:rPr>
      </w:r>
    </w:p>
    <w:p>
      <w:pPr>
        <w:pStyle w:val="Normal"/>
        <w:jc w:val="both"/>
        <w:rPr>
          <w:sz w:val="24"/>
          <w:szCs w:val="24"/>
        </w:rPr>
      </w:pPr>
      <w:r>
        <w:rPr>
          <w:sz w:val="24"/>
          <w:szCs w:val="24"/>
        </w:rPr>
        <w:t xml:space="preserve">RESOLVED, at the BAC’s Office Municipal Hall, Casiguran, Sorsogon this </w:t>
      </w:r>
      <w:r>
        <w:rPr>
          <w:b/>
          <w:sz w:val="24"/>
          <w:szCs w:val="24"/>
        </w:rPr>
        <w:t>___________________.</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ind w:left="720"/>
        <w:rPr>
          <w:i/>
          <w:sz w:val="24"/>
          <w:szCs w:val="24"/>
        </w:rPr>
      </w:pPr>
      <w:r>
        <w:rPr>
          <w:b/>
          <w:i/>
          <w:sz w:val="24"/>
          <w:szCs w:val="24"/>
        </w:rPr>
        <w:t xml:space="preserve">      </w:t>
      </w:r>
      <w:r>
        <w:rPr>
          <w:b/>
          <w:i/>
          <w:sz w:val="24"/>
          <w:szCs w:val="24"/>
          <w:u w:val="single"/>
        </w:rPr>
        <w:t xml:space="preserve"> </w:t>
      </w:r>
      <w:r>
        <w:rPr>
          <w:b/>
          <w:i/>
          <w:sz w:val="24"/>
          <w:szCs w:val="24"/>
          <w:u w:val="single"/>
        </w:rPr>
        <w:t>NORINA R. DUQUE</w:t>
      </w:r>
      <w:r>
        <w:rPr>
          <w:b/>
          <w:i/>
          <w:sz w:val="24"/>
          <w:szCs w:val="24"/>
        </w:rPr>
        <w:tab/>
        <w:tab/>
        <w:t xml:space="preserve">                       </w:t>
      </w:r>
      <w:r>
        <w:rPr>
          <w:b/>
          <w:i/>
          <w:sz w:val="24"/>
          <w:szCs w:val="24"/>
          <w:u w:val="single"/>
        </w:rPr>
        <w:t>MERLIN H. GABITAN</w:t>
      </w:r>
    </w:p>
    <w:p>
      <w:pPr>
        <w:pStyle w:val="Normal"/>
        <w:ind w:left="720"/>
        <w:rPr>
          <w:i/>
          <w:sz w:val="24"/>
          <w:szCs w:val="24"/>
        </w:rPr>
      </w:pPr>
      <w:r>
        <w:rPr>
          <w:i/>
          <w:sz w:val="24"/>
          <w:szCs w:val="24"/>
        </w:rPr>
        <w:t xml:space="preserve">              </w:t>
      </w:r>
      <w:r>
        <w:rPr>
          <w:sz w:val="24"/>
          <w:szCs w:val="24"/>
        </w:rPr>
        <w:t>BAC Member</w:t>
        <w:tab/>
        <w:tab/>
        <w:tab/>
        <w:t xml:space="preserve">                    BAC Member</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ind w:left="765"/>
        <w:rPr>
          <w:b/>
          <w:i/>
          <w:sz w:val="24"/>
          <w:szCs w:val="24"/>
          <w:u w:val="single"/>
        </w:rPr>
      </w:pPr>
      <w:r>
        <w:rPr>
          <w:b/>
          <w:i/>
          <w:sz w:val="24"/>
          <w:szCs w:val="24"/>
          <w:u w:val="single"/>
        </w:rPr>
        <w:t>AVA AISA DE CASTRO-RENIVA</w:t>
      </w:r>
      <w:r>
        <w:rPr>
          <w:i/>
          <w:sz w:val="24"/>
          <w:szCs w:val="24"/>
        </w:rPr>
        <w:tab/>
        <w:tab/>
        <w:t xml:space="preserve">                </w:t>
      </w:r>
      <w:r>
        <w:rPr>
          <w:b/>
          <w:i/>
          <w:sz w:val="24"/>
          <w:szCs w:val="24"/>
          <w:u w:val="single"/>
        </w:rPr>
        <w:t>ALONA A. SAYSON</w:t>
      </w:r>
    </w:p>
    <w:p>
      <w:pPr>
        <w:pStyle w:val="Normal"/>
        <w:ind w:left="765"/>
        <w:rPr>
          <w:i/>
          <w:sz w:val="24"/>
          <w:szCs w:val="24"/>
        </w:rPr>
      </w:pPr>
      <w:r>
        <w:rPr>
          <w:sz w:val="24"/>
          <w:szCs w:val="24"/>
        </w:rPr>
        <w:t xml:space="preserve">              </w:t>
      </w:r>
      <w:r>
        <w:rPr>
          <w:sz w:val="24"/>
          <w:szCs w:val="24"/>
        </w:rPr>
        <w:t>BAC Member</w:t>
        <w:tab/>
        <w:tab/>
        <w:tab/>
        <w:t xml:space="preserve">                     BAC Member</w:t>
      </w:r>
    </w:p>
    <w:p>
      <w:pPr>
        <w:pStyle w:val="Normal"/>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sz w:val="24"/>
          <w:szCs w:val="24"/>
        </w:rPr>
      </w:pPr>
      <w:r>
        <w:rPr>
          <w:b/>
          <w:i/>
          <w:sz w:val="24"/>
          <w:szCs w:val="24"/>
          <w:u w:val="single"/>
        </w:rPr>
        <w:t>ARLIE H. CORAÑES</w:t>
      </w:r>
      <w:r>
        <w:rPr>
          <w:sz w:val="24"/>
          <w:szCs w:val="24"/>
        </w:rPr>
        <w:t xml:space="preserve"> </w:t>
      </w:r>
    </w:p>
    <w:p>
      <w:pPr>
        <w:pStyle w:val="Normal"/>
        <w:jc w:val="center"/>
        <w:rPr>
          <w:sz w:val="24"/>
          <w:szCs w:val="24"/>
        </w:rPr>
      </w:pPr>
      <w:r>
        <w:rPr>
          <w:sz w:val="24"/>
          <w:szCs w:val="24"/>
        </w:rPr>
        <w:t>BAC Chairman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Approved by:</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sz w:val="24"/>
          <w:szCs w:val="24"/>
        </w:rPr>
      </w:pPr>
      <w:r>
        <w:rPr>
          <w:b/>
          <w:sz w:val="24"/>
          <w:szCs w:val="24"/>
        </w:rPr>
        <w:t>MARIA MINEZ R.  HAMOR</w:t>
      </w:r>
    </w:p>
    <w:p>
      <w:pPr>
        <w:pStyle w:val="Normal"/>
        <w:rPr>
          <w:sz w:val="24"/>
          <w:szCs w:val="24"/>
        </w:rPr>
      </w:pPr>
      <w:r>
        <w:rPr>
          <w:sz w:val="24"/>
          <w:szCs w:val="24"/>
        </w:rPr>
        <w:t xml:space="preserve">         </w:t>
      </w:r>
      <w:r>
        <w:rPr>
          <w:sz w:val="24"/>
          <w:szCs w:val="24"/>
        </w:rPr>
        <w:t>Municipal Mayor</w:t>
      </w:r>
    </w:p>
    <w:p>
      <w:pPr>
        <w:pStyle w:val="Normal"/>
        <w:rPr>
          <w:sz w:val="24"/>
          <w:szCs w:val="24"/>
        </w:rPr>
      </w:pPr>
      <w:r>
        <w:rPr>
          <w:sz w:val="24"/>
          <w:szCs w:val="24"/>
        </w:rPr>
      </w:r>
    </w:p>
    <w:p>
      <w:pPr>
        <w:pStyle w:val="Normal"/>
        <w:rPr>
          <w:sz w:val="24"/>
          <w:szCs w:val="24"/>
        </w:rPr>
      </w:pPr>
      <w:r>
        <w:rPr>
          <w:sz w:val="24"/>
          <w:szCs w:val="24"/>
        </w:rPr>
        <w:t>Date approved: _____________________</w:t>
      </w:r>
    </w:p>
    <w:p>
      <w:pPr>
        <w:pStyle w:val="Normal"/>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sectPr>
      <w:footerReference w:type="even" r:id="rId5"/>
      <w:footerReference w:type="default" r:id="rId6"/>
      <w:footerReference w:type="first" r:id="rId7"/>
      <w:type w:val="nextPage"/>
      <w:pgSz w:w="12240" w:h="18720"/>
      <w:pgMar w:left="1728" w:right="1728" w:gutter="0" w:header="0" w:top="1008" w:footer="720" w:bottom="144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erdana">
    <w:charset w:val="01"/>
    <w:family w:val="swiss"/>
    <w:pitch w:val="variable"/>
  </w:font>
  <w:font w:name="Segoe UI">
    <w:charset w:val="01"/>
    <w:family w:val="swiss"/>
    <w:pitch w:val="variable"/>
  </w:font>
  <w:font w:name="Liberation Sans">
    <w:altName w:val="Arial"/>
    <w:charset w:val="01"/>
    <w:family w:val="swiss"/>
    <w:pitch w:val="variable"/>
  </w:font>
  <w:font w:name="Calibri">
    <w:charset w:val="01"/>
    <w:family w:val="swiss"/>
    <w:pitch w:val="variable"/>
  </w:font>
  <w:font w:name="Cambria">
    <w:charset w:val="01"/>
    <w:family w:val="roman"/>
    <w:pitch w:val="variable"/>
  </w:font>
  <w:font w:name="Arial">
    <w:charset w:val="01"/>
    <w:family w:val="swiss"/>
    <w:pitch w:val="variable"/>
  </w:font>
  <w:font w:name="Arial Narrow">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rFonts w:ascii="Verdana" w:hAnsi="Verdana"/>
        <w:i/>
        <w:sz w:val="16"/>
      </w:rPr>
    </w:pPr>
    <w:r>
      <w:rPr>
        <w:rFonts w:ascii="Verdana" w:hAnsi="Verdana"/>
        <w:i/>
        <w:color w:val="000000"/>
        <w:sz w:val="16"/>
      </w:rPr>
      <w:t>If the BAC determines that the bidder with the Lowest Calculated Bid passes all the criteria for post-qualification, it shall declare the said bidder as the bidder with the Lowest Calculated Responsive Bid, and the head of the Procuring Entity concerned shall award the contract to the said bidder. (IRR-A Section 34.3</w:t>
    </w:r>
    <w:r>
      <w:rPr>
        <w:rFonts w:ascii="Verdana" w:hAnsi="Verdana"/>
        <w:i/>
        <w:sz w:val="16"/>
      </w:rPr>
      <w:t>)  The TWG, with the assistance of the Secretariat, if necessary, shall prepare the BAC Resolution declaring the LCRB.</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rFonts w:ascii="Verdana" w:hAnsi="Verdana"/>
        <w:i/>
        <w:sz w:val="16"/>
      </w:rPr>
    </w:pPr>
    <w:r>
      <w:rPr>
        <w:rFonts w:ascii="Verdana" w:hAnsi="Verdana"/>
        <w:i/>
        <w:color w:val="000000"/>
        <w:sz w:val="16"/>
      </w:rPr>
      <w:t>If the BAC determines that the bidder with the Lowest Calculated Bid passes all the criteria for post-qualification, it shall declare the said bidder as the bidder with the Lowest Calculated Responsive Bid, and the head of the Procuring Entity concerned shall award the contract to the said bidder. (IRR-A Section 34.3</w:t>
    </w:r>
    <w:r>
      <w:rPr>
        <w:rFonts w:ascii="Verdana" w:hAnsi="Verdana"/>
        <w:i/>
        <w:sz w:val="16"/>
      </w:rPr>
      <w:t>)  The TWG, with the assistance of the Secretariat, if necessary, shall prepare the BAC Resolution declaring the LCRB.</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1440"/>
        </w:tabs>
        <w:ind w:left="1440" w:hanging="72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74292"/>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2">
    <w:name w:val="heading 2"/>
    <w:basedOn w:val="Normal"/>
    <w:next w:val="Normal"/>
    <w:qFormat/>
    <w:rsid w:val="00874292"/>
    <w:pPr>
      <w:keepNext w:val="true"/>
      <w:jc w:val="center"/>
      <w:outlineLvl w:val="1"/>
    </w:pPr>
    <w:rPr>
      <w:rFonts w:ascii="Verdana" w:hAnsi="Verdana"/>
      <w:b/>
      <w:sz w:val="18"/>
    </w:rPr>
  </w:style>
  <w:style w:type="character" w:styleId="DefaultParagraphFont" w:default="1">
    <w:name w:val="Default Paragraph Font"/>
    <w:semiHidden/>
    <w:qFormat/>
    <w:rPr/>
  </w:style>
  <w:style w:type="character" w:styleId="BodyTextIndent2Char" w:customStyle="1">
    <w:name w:val="Body Text Indent 2 Char"/>
    <w:basedOn w:val="DefaultParagraphFont"/>
    <w:link w:val="BodyTextIndent2"/>
    <w:qFormat/>
    <w:rsid w:val="001b0b6d"/>
    <w:rPr/>
  </w:style>
  <w:style w:type="character" w:styleId="BalloonTextChar" w:customStyle="1">
    <w:name w:val="Balloon Text Char"/>
    <w:link w:val="BalloonText"/>
    <w:qFormat/>
    <w:rsid w:val="002f4768"/>
    <w:rPr>
      <w:rFonts w:ascii="Segoe UI" w:hAnsi="Segoe UI" w:cs="Segoe UI"/>
      <w:sz w:val="18"/>
      <w:szCs w:val="18"/>
      <w:lang w:val="en-US" w:eastAsia="en-US"/>
    </w:rPr>
  </w:style>
  <w:style w:type="character" w:styleId="Emphasis">
    <w:name w:val="Emphasis"/>
    <w:qFormat/>
    <w:rsid w:val="006b71a7"/>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rsid w:val="00874292"/>
    <w:pPr>
      <w:jc w:val="both"/>
    </w:pPr>
    <w:rPr>
      <w:rFonts w:ascii="Verdana" w:hAnsi="Verdana"/>
      <w:sz w:val="18"/>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Footer">
    <w:name w:val="footer"/>
    <w:basedOn w:val="Normal"/>
    <w:rsid w:val="00874292"/>
    <w:pPr>
      <w:tabs>
        <w:tab w:val="clear" w:pos="720"/>
        <w:tab w:val="center" w:pos="4320" w:leader="none"/>
        <w:tab w:val="right" w:pos="8640" w:leader="none"/>
      </w:tabs>
    </w:pPr>
    <w:rPr/>
  </w:style>
  <w:style w:type="paragraph" w:styleId="Title">
    <w:name w:val="Title"/>
    <w:basedOn w:val="Normal"/>
    <w:qFormat/>
    <w:rsid w:val="003a7e0a"/>
    <w:pPr>
      <w:jc w:val="center"/>
    </w:pPr>
    <w:rPr>
      <w:rFonts w:ascii="Verdana" w:hAnsi="Verdana"/>
      <w:b/>
      <w:sz w:val="18"/>
    </w:rPr>
  </w:style>
  <w:style w:type="paragraph" w:styleId="Subtitle">
    <w:name w:val="Subtitle"/>
    <w:basedOn w:val="Normal"/>
    <w:qFormat/>
    <w:rsid w:val="003a7e0a"/>
    <w:pPr>
      <w:jc w:val="center"/>
    </w:pPr>
    <w:rPr>
      <w:rFonts w:ascii="Verdana" w:hAnsi="Verdana"/>
      <w:b/>
      <w:bCs/>
      <w:iCs/>
      <w:sz w:val="18"/>
    </w:rPr>
  </w:style>
  <w:style w:type="paragraph" w:styleId="BodyTextIndent2">
    <w:name w:val="Body Text Indent 2"/>
    <w:basedOn w:val="Normal"/>
    <w:link w:val="BodyTextIndent2Char"/>
    <w:qFormat/>
    <w:rsid w:val="001b0b6d"/>
    <w:pPr>
      <w:spacing w:lineRule="auto" w:line="480" w:before="0" w:after="120"/>
      <w:ind w:left="360"/>
    </w:pPr>
    <w:rPr/>
  </w:style>
  <w:style w:type="paragraph" w:styleId="BalloonText">
    <w:name w:val="Balloon Text"/>
    <w:basedOn w:val="Normal"/>
    <w:link w:val="BalloonTextChar"/>
    <w:qFormat/>
    <w:rsid w:val="002f4768"/>
    <w:pPr/>
    <w:rPr>
      <w:rFonts w:ascii="Segoe UI" w:hAnsi="Segoe UI"/>
      <w:sz w:val="18"/>
      <w:szCs w:val="18"/>
    </w:rPr>
  </w:style>
  <w:style w:type="paragraph" w:styleId="NoSpacing">
    <w:name w:val="No Spacing"/>
    <w:uiPriority w:val="1"/>
    <w:qFormat/>
    <w:rsid w:val="006b71a7"/>
    <w:pPr>
      <w:widowControl/>
      <w:suppressAutoHyphens w:val="true"/>
      <w:bidi w:val="0"/>
      <w:spacing w:before="0" w:after="0"/>
      <w:jc w:val="left"/>
    </w:pPr>
    <w:rPr>
      <w:rFonts w:ascii="Calibri" w:hAnsi="Calibri" w:eastAsia="Calibri" w:cs="Times New Roman"/>
      <w:color w:val="auto"/>
      <w:kern w:val="0"/>
      <w:sz w:val="22"/>
      <w:szCs w:val="22"/>
      <w:lang w:val="en-US" w:eastAsia="en-US" w:bidi="ar-SA"/>
    </w:rPr>
  </w:style>
  <w:style w:type="paragraph" w:styleId="NormalWeb">
    <w:name w:val="Normal (Web)"/>
    <w:basedOn w:val="Normal"/>
    <w:uiPriority w:val="99"/>
    <w:unhideWhenUsed/>
    <w:qFormat/>
    <w:rsid w:val="006b71a7"/>
    <w:pPr>
      <w:spacing w:beforeAutospacing="1" w:afterAutospacing="1"/>
    </w:pPr>
    <w:rPr>
      <w:sz w:val="24"/>
      <w:szCs w:val="24"/>
      <w:lang w:val="en-GB" w:eastAsia="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LibreOffice/26.2.3.2$Linux_X86_64 LibreOffice_project/70e089b17412e4cb7773e41413306b17a2328c34</Application>
  <AppVersion>15.0000</AppVersion>
  <DocSecurity>4</DocSecurity>
  <Pages>2</Pages>
  <Words>468</Words>
  <Characters>2898</Characters>
  <CharactersWithSpaces>3471</CharactersWithSpaces>
  <Paragraphs>41</Paragraphs>
  <Company>Local Government Unit of Casiguran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2026-06-04T23:18:00Z</dcterms:created>
  <dc:creator>Casiguran</dc:creator>
  <dc:description/>
  <dc:language>en-US</dc:language>
  <cp:lastModifiedBy/>
  <cp:lastPrinted>2025-08-13T07:35:00Z</cp:lastPrinted>
  <dcterms:modified xsi:type="dcterms:W3CDTF">2026-06-08T08:22:32Z</dcterms:modified>
  <cp:revision>31</cp:revision>
  <dc:subject/>
  <dc:title>BAC Resolution Declaring LCRB and Recommending Approval</dc:title>
</cp:coreProperties>
</file>

<file path=docProps/custom.xml><?xml version="1.0" encoding="utf-8"?>
<Properties xmlns="http://schemas.openxmlformats.org/officeDocument/2006/custom-properties" xmlns:vt="http://schemas.openxmlformats.org/officeDocument/2006/docPropsVTypes"/>
</file>