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Quality Review Checklist</w:t>
      </w:r>
    </w:p>
    <w:p>
      <w:r>
        <w:t xml:space="preserve"> </w:t>
      </w:r>
    </w:p>
    <w:p>
      <w:r>
        <w:t xml:space="preserve">1. Purpose</w:t>
      </w:r>
    </w:p>
    <w:p>
      <w:r>
        <w:t xml:space="preserve">This checklist governs the Practice's internal review of every</w:t>
      </w:r>
    </w:p>
    <w:p>
      <w:r>
        <w:t xml:space="preserve">valuation engagement before the signed report is issued to a client.</w:t>
      </w:r>
    </w:p>
    <w:p>
      <w:r>
        <w:t xml:space="preserve"> </w:t>
      </w:r>
    </w:p>
    <w:p>
      <w:r>
        <w:t xml:space="preserve">2. Concurring Partner Review</w:t>
      </w:r>
    </w:p>
    <w:p>
      <w:r>
        <w:t xml:space="preserve">Every engagement that yields a Fair Market Value opinion above USD 10,000,000 requires review and written concurrence by a partner who is not the engagement partner. Concurrence is recorded in the engagement workpapers before the report is signed. The threshold is reviewed annually by the managing partner.</w:t>
      </w:r>
    </w:p>
    <w:p>
      <w:r>
        <w:t xml:space="preserve"> </w:t>
      </w:r>
    </w:p>
    <w:p>
      <w:r>
        <w:t xml:space="preserve">3. Independence Attestation</w:t>
      </w:r>
    </w:p>
    <w:p>
      <w:r>
        <w:t xml:space="preserve">An independence attestation is refreshed annually for every partner</w:t>
      </w:r>
    </w:p>
    <w:p>
      <w:r>
        <w:t xml:space="preserve">and manager on the engagement team, and the signed attestation is</w:t>
      </w:r>
    </w:p>
    <w:p>
      <w:r>
        <w:t xml:space="preserve">archived with the client acceptance record.</w:t>
      </w:r>
    </w:p>
    <w:p>
      <w:r>
        <w:t xml:space="preserve"> </w:t>
      </w:r>
    </w:p>
    <w:p>
      <w:r>
        <w:t xml:space="preserve">4. Client-File Sign-Off</w:t>
      </w:r>
    </w:p>
    <w:p>
      <w:r>
        <w:t xml:space="preserve">The engagement partner signs off the client file within 30 days of</w:t>
      </w:r>
    </w:p>
    <w:p>
      <w:r>
        <w:t xml:space="preserve">report issuance. A missed sign-off is escalated to the managing</w:t>
      </w:r>
    </w:p>
    <w:p>
      <w:r>
        <w:t xml:space="preserve">partner and logged in the quality-review register.</w:t>
      </w:r>
    </w:p>
    <w:p>
      <w:r>
        <w:t xml:space="preserve"> </w:t>
      </w:r>
    </w:p>
    <w:p>
      <w:r>
        <w:t xml:space="preserve">5. Draft-Report Review</w:t>
      </w:r>
    </w:p>
    <w:p>
      <w:r>
        <w:t xml:space="preserve">Two-partner sign-off is required before any draft report leaves the</w:t>
      </w:r>
    </w:p>
    <w:p>
      <w:r>
        <w:t xml:space="preserve">Practice, in addition to the concurring review under Section 2 where</w:t>
      </w:r>
    </w:p>
    <w:p>
      <w:r>
        <w:t xml:space="preserve">that threshold applies.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2026-07-31T20:50:37.789Z</dcterms:created>
  <dcterms:modified xsi:type="dcterms:W3CDTF">2026-07-31T20:50:37.789Z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