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RESUMO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sf2snwuwkdqj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Testes Funcionais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arantem as funcionalidades do aplicativo, conforme o esperado.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Login:</w:t>
      </w:r>
      <w:r w:rsidDel="00000000" w:rsidR="00000000" w:rsidRPr="00000000">
        <w:rPr>
          <w:rtl w:val="0"/>
        </w:rPr>
        <w:t xml:space="preserve"> Verificar se os usuários podem fazer login com credenciais válidas.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Registro:</w:t>
      </w:r>
      <w:r w:rsidDel="00000000" w:rsidR="00000000" w:rsidRPr="00000000">
        <w:rPr>
          <w:rtl w:val="0"/>
        </w:rPr>
        <w:t xml:space="preserve"> Testar a funcionalidade de registro de novos usuários.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Navegação:</w:t>
      </w:r>
      <w:r w:rsidDel="00000000" w:rsidR="00000000" w:rsidRPr="00000000">
        <w:rPr>
          <w:rtl w:val="0"/>
        </w:rPr>
        <w:t xml:space="preserve"> Garantir que os usuários possam navegar entre as diferentes telas do aplicativo.</w:t>
      </w:r>
    </w:p>
    <w:p w:rsidR="00000000" w:rsidDel="00000000" w:rsidP="00000000" w:rsidRDefault="00000000" w:rsidRPr="00000000" w14:paraId="00000008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r6am1qj24gv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Testes de Desempenho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Os testes de desempenho garantem que o aplicativo responde de maneira adequada sob várias condições de carga.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Tempo de resposta:</w:t>
      </w:r>
      <w:r w:rsidDel="00000000" w:rsidR="00000000" w:rsidRPr="00000000">
        <w:rPr>
          <w:rtl w:val="0"/>
        </w:rPr>
        <w:t xml:space="preserve"> Medir o tempo de resposta de diferentes operações no aplicativo.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Carga:</w:t>
      </w:r>
      <w:r w:rsidDel="00000000" w:rsidR="00000000" w:rsidRPr="00000000">
        <w:rPr>
          <w:rtl w:val="0"/>
        </w:rPr>
        <w:t xml:space="preserve"> Verificar o comportamento do aplicativo sob altas cargas.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