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 de Calidad según Normas Bolivianas</w:t>
      </w:r>
    </w:p>
    <w:p>
      <w:r>
        <w:t>Empresa: Magic Leaf Studios</w:t>
      </w:r>
    </w:p>
    <w:p>
      <w:r>
        <w:t>Producto: BREAKTHROUGH</w:t>
      </w:r>
    </w:p>
    <w:p>
      <w:r>
        <w:t>Versión: 1.0 · Septiembre de 2026</w:t>
      </w:r>
    </w:p>
    <w:p>
      <w:pPr>
        <w:pStyle w:val="Heading1"/>
      </w:pPr>
      <w:r>
        <w:t>1. Alcance</w:t>
      </w:r>
    </w:p>
    <w:p>
      <w:r>
        <w:t>Este plan define controles para el diseño, desarrollo, prueba, publicación y mantenimiento de BREAKTHROUGH. Se basa en normas internacionales adoptadas o consultables mediante IBNORCA, organismo boliviano de normalización y calidad.</w:t>
      </w:r>
    </w:p>
    <w:p>
      <w:r>
        <w:t>Las normas deben verificarse en el catálogo vigente de IBNORCA antes de declarar una certificación formal. Este documento establece una aplicación académica y operativa; no afirma que Magic Leaf Studios esté certificada.</w:t>
      </w:r>
    </w:p>
    <w:p>
      <w:pPr>
        <w:pStyle w:val="Heading1"/>
      </w:pPr>
      <w:r>
        <w:t>2. Marco normativo de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Aplicación en Magic Leaf Studios</w:t>
            </w:r>
          </w:p>
        </w:tc>
      </w:tr>
      <w:tr>
        <w:tc>
          <w:tcPr>
            <w:tcW w:type="dxa" w:w="4986"/>
          </w:tcPr>
          <w:p>
            <w:r>
              <w:t>NB/ISO 9001:2015</w:t>
            </w:r>
          </w:p>
        </w:tc>
        <w:tc>
          <w:tcPr>
            <w:tcW w:type="dxa" w:w="4986"/>
          </w:tcPr>
          <w:p>
            <w:r>
              <w:t>Sistema de gestión de calidad, enfoque al cliente, documentación, auditoría y mejora continua.</w:t>
            </w:r>
          </w:p>
        </w:tc>
      </w:tr>
      <w:tr>
        <w:tc>
          <w:tcPr>
            <w:tcW w:type="dxa" w:w="4986"/>
          </w:tcPr>
          <w:p>
            <w:r>
              <w:t>ISO/IEC/IEEE 90003:2018</w:t>
            </w:r>
          </w:p>
        </w:tc>
        <w:tc>
          <w:tcPr>
            <w:tcW w:type="dxa" w:w="4986"/>
          </w:tcPr>
          <w:p>
            <w:r>
              <w:t>Guía para aplicar ISO 9001 a adquisición, desarrollo, operación y mantenimiento de software.</w:t>
            </w:r>
          </w:p>
        </w:tc>
      </w:tr>
      <w:tr>
        <w:tc>
          <w:tcPr>
            <w:tcW w:type="dxa" w:w="4986"/>
          </w:tcPr>
          <w:p>
            <w:r>
              <w:t>Familia ISO/IEC 25000 (SQuaRE)</w:t>
            </w:r>
          </w:p>
        </w:tc>
        <w:tc>
          <w:tcPr>
            <w:tcW w:type="dxa" w:w="4986"/>
          </w:tcPr>
          <w:p>
            <w:r>
              <w:t>Requisitos y evaluación de calidad del producto de software.</w:t>
            </w:r>
          </w:p>
        </w:tc>
      </w:tr>
      <w:tr>
        <w:tc>
          <w:tcPr>
            <w:tcW w:type="dxa" w:w="4986"/>
          </w:tcPr>
          <w:p>
            <w:r>
              <w:t>ISO/IEC 25010</w:t>
            </w:r>
          </w:p>
        </w:tc>
        <w:tc>
          <w:tcPr>
            <w:tcW w:type="dxa" w:w="4986"/>
          </w:tcPr>
          <w:p>
            <w:r>
              <w:t>Modelo de calidad: funcionalidad, rendimiento, compatibilidad, usabilidad, fiabilidad, seguridad, mantenibilidad y portabilidad.</w:t>
            </w:r>
          </w:p>
        </w:tc>
      </w:tr>
      <w:tr>
        <w:tc>
          <w:tcPr>
            <w:tcW w:type="dxa" w:w="4986"/>
          </w:tcPr>
          <w:p>
            <w:r>
              <w:t>ISO/IEC/IEEE 12207</w:t>
            </w:r>
          </w:p>
        </w:tc>
        <w:tc>
          <w:tcPr>
            <w:tcW w:type="dxa" w:w="4986"/>
          </w:tcPr>
          <w:p>
            <w:r>
              <w:t>Procesos del ciclo de vida del software.</w:t>
            </w:r>
          </w:p>
        </w:tc>
      </w:tr>
      <w:tr>
        <w:tc>
          <w:tcPr>
            <w:tcW w:type="dxa" w:w="4986"/>
          </w:tcPr>
          <w:p>
            <w:r>
              <w:t>ISO/IEC/IEEE 29119</w:t>
            </w:r>
          </w:p>
        </w:tc>
        <w:tc>
          <w:tcPr>
            <w:tcW w:type="dxa" w:w="4986"/>
          </w:tcPr>
          <w:p>
            <w:r>
              <w:t>Planificación, diseño, ejecución y documentación de pruebas de software.</w:t>
            </w:r>
          </w:p>
        </w:tc>
      </w:tr>
      <w:tr>
        <w:tc>
          <w:tcPr>
            <w:tcW w:type="dxa" w:w="4986"/>
          </w:tcPr>
          <w:p>
            <w:r>
              <w:t>ISO/IEC/IEEE 16326</w:t>
            </w:r>
          </w:p>
        </w:tc>
        <w:tc>
          <w:tcPr>
            <w:tcW w:type="dxa" w:w="4986"/>
          </w:tcPr>
          <w:p>
            <w:r>
              <w:t>Contenido y gestión del plan de gestión del proyecto.</w:t>
            </w:r>
          </w:p>
        </w:tc>
      </w:tr>
      <w:tr>
        <w:tc>
          <w:tcPr>
            <w:tcW w:type="dxa" w:w="4986"/>
          </w:tcPr>
          <w:p>
            <w:r>
              <w:t>NB/ISO 31000</w:t>
            </w:r>
          </w:p>
        </w:tc>
        <w:tc>
          <w:tcPr>
            <w:tcW w:type="dxa" w:w="4986"/>
          </w:tcPr>
          <w:p>
            <w:r>
              <w:t>Identificación, tratamiento y monitoreo de riesgos.</w:t>
            </w:r>
          </w:p>
        </w:tc>
      </w:tr>
    </w:tbl>
    <w:p>
      <w:r>
        <w:t>En Bolivia, la aplicabilidad y el código exacto de una adopción NB deben confirmarse en IBNORCA. Las normas internacionales se usan como referencia técnica cuando no exista una exigencia sectorial específica.</w:t>
      </w:r>
    </w:p>
    <w:p>
      <w:pPr>
        <w:pStyle w:val="Heading1"/>
      </w:pPr>
      <w:r>
        <w:t>3. Política de calidad</w:t>
      </w:r>
    </w:p>
    <w:p>
      <w:r>
        <w:t>Magic Leaf Studios entregará una versión de BREAKTHROUGH que cumpla los requisitos documentados, sea jugable para el público objetivo de 18 a 25 años, proteja los datos del proyecto y mejore mediante evidencias de prueba y retroalimentación.</w:t>
      </w:r>
    </w:p>
    <w:p>
      <w:pPr>
        <w:pStyle w:val="Heading1"/>
      </w:pPr>
      <w:r>
        <w:t>4. Criterios de calidad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Característica</w:t>
            </w:r>
          </w:p>
        </w:tc>
        <w:tc>
          <w:tcPr>
            <w:tcW w:type="dxa" w:w="4986"/>
          </w:tcPr>
          <w:p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986"/>
          </w:tcPr>
          <w:p>
            <w:r>
              <w:t>Adecuación funcional</w:t>
            </w:r>
          </w:p>
        </w:tc>
        <w:tc>
          <w:tcPr>
            <w:tcW w:type="dxa" w:w="4986"/>
          </w:tcPr>
          <w:p>
            <w:r>
              <w:t>Las funciones aprobadas en el GDD funcionan sin defectos críticos.</w:t>
            </w:r>
          </w:p>
        </w:tc>
      </w:tr>
      <w:tr>
        <w:tc>
          <w:tcPr>
            <w:tcW w:type="dxa" w:w="4986"/>
          </w:tcPr>
          <w:p>
            <w:r>
              <w:t>Usabilidad</w:t>
            </w:r>
          </w:p>
        </w:tc>
        <w:tc>
          <w:tcPr>
            <w:tcW w:type="dxa" w:w="4986"/>
          </w:tcPr>
          <w:p>
            <w:r>
              <w:t>Un usuario nuevo puede iniciar una partida sin asistencia y completar el tutorial.</w:t>
            </w:r>
          </w:p>
        </w:tc>
      </w:tr>
      <w:tr>
        <w:tc>
          <w:tcPr>
            <w:tcW w:type="dxa" w:w="4986"/>
          </w:tcPr>
          <w:p>
            <w:r>
              <w:t>Rendimiento</w:t>
            </w:r>
          </w:p>
        </w:tc>
        <w:tc>
          <w:tcPr>
            <w:tcW w:type="dxa" w:w="4986"/>
          </w:tcPr>
          <w:p>
            <w:r>
              <w:t>La build mantiene rendimiento estable en los equipos objetivo definidos.</w:t>
            </w:r>
          </w:p>
        </w:tc>
      </w:tr>
      <w:tr>
        <w:tc>
          <w:tcPr>
            <w:tcW w:type="dxa" w:w="4986"/>
          </w:tcPr>
          <w:p>
            <w:r>
              <w:t>Fiabilidad</w:t>
            </w:r>
          </w:p>
        </w:tc>
        <w:tc>
          <w:tcPr>
            <w:tcW w:type="dxa" w:w="4986"/>
          </w:tcPr>
          <w:p>
            <w:r>
              <w:t>No existen bloqueos reproducibles de severidad crítica en la versión de lanzamiento.</w:t>
            </w:r>
          </w:p>
        </w:tc>
      </w:tr>
      <w:tr>
        <w:tc>
          <w:tcPr>
            <w:tcW w:type="dxa" w:w="4986"/>
          </w:tcPr>
          <w:p>
            <w:r>
              <w:t>Compatibilidad</w:t>
            </w:r>
          </w:p>
        </w:tc>
        <w:tc>
          <w:tcPr>
            <w:tcW w:type="dxa" w:w="4986"/>
          </w:tcPr>
          <w:p>
            <w:r>
              <w:t>La build funciona en las plataformas y sistemas declarados.</w:t>
            </w:r>
          </w:p>
        </w:tc>
      </w:tr>
      <w:tr>
        <w:tc>
          <w:tcPr>
            <w:tcW w:type="dxa" w:w="4986"/>
          </w:tcPr>
          <w:p>
            <w:r>
              <w:t>Seguridad</w:t>
            </w:r>
          </w:p>
        </w:tc>
        <w:tc>
          <w:tcPr>
            <w:tcW w:type="dxa" w:w="4986"/>
          </w:tcPr>
          <w:p>
            <w:r>
              <w:t>No se incluyen secretos, credenciales ni datos personales en el repositorio o build.</w:t>
            </w:r>
          </w:p>
        </w:tc>
      </w:tr>
      <w:tr>
        <w:tc>
          <w:tcPr>
            <w:tcW w:type="dxa" w:w="4986"/>
          </w:tcPr>
          <w:p>
            <w:r>
              <w:t>Mantenibilidad</w:t>
            </w:r>
          </w:p>
        </w:tc>
        <w:tc>
          <w:tcPr>
            <w:tcW w:type="dxa" w:w="4986"/>
          </w:tcPr>
          <w:p>
            <w:r>
              <w:t>El código tiene control de versiones, revisión y documentación mínima.</w:t>
            </w:r>
          </w:p>
        </w:tc>
      </w:tr>
      <w:tr>
        <w:tc>
          <w:tcPr>
            <w:tcW w:type="dxa" w:w="4986"/>
          </w:tcPr>
          <w:p>
            <w:r>
              <w:t>Portabilidad</w:t>
            </w:r>
          </w:p>
        </w:tc>
        <w:tc>
          <w:tcPr>
            <w:tcW w:type="dxa" w:w="4986"/>
          </w:tcPr>
          <w:p>
            <w:r>
              <w:t>Los artefactos de entrega se generan desde una versión identificada del repositorio.</w:t>
            </w:r>
          </w:p>
        </w:tc>
      </w:tr>
    </w:tbl>
    <w:p>
      <w:pPr>
        <w:pStyle w:val="Heading1"/>
      </w:pPr>
      <w:r>
        <w:t>5. Controles por etapa</w:t>
      </w:r>
    </w:p>
    <w:p>
      <w:pPr>
        <w:pStyle w:val="Heading2"/>
      </w:pPr>
      <w:r>
        <w:t>5.1 Requisitos y diseño</w:t>
      </w:r>
    </w:p>
    <w:p>
      <w:pPr>
        <w:pStyle w:val="ListBullet"/>
      </w:pPr>
      <w:r>
        <w:t>Cada requisito debe tener identificador, responsable y criterio de aceptación.</w:t>
      </w:r>
    </w:p>
    <w:p>
      <w:pPr>
        <w:pStyle w:val="ListBullet"/>
      </w:pPr>
      <w:r>
        <w:t>El GDD, diseños de nivel y requisitos técnicos deben tener versión y fecha.</w:t>
      </w:r>
    </w:p>
    <w:p>
      <w:pPr>
        <w:pStyle w:val="ListBullet"/>
      </w:pPr>
      <w:r>
        <w:t>Los cambios deben registrarse y aprobarse por Producción y Diseño.</w:t>
      </w:r>
    </w:p>
    <w:p>
      <w:pPr>
        <w:pStyle w:val="Heading2"/>
      </w:pPr>
      <w:r>
        <w:t>5.2 Desarrollo</w:t>
      </w:r>
    </w:p>
    <w:p>
      <w:pPr>
        <w:pStyle w:val="ListBullet"/>
      </w:pPr>
      <w:r>
        <w:t>Todo cambio se realiza en una rama de trabajo.</w:t>
      </w:r>
    </w:p>
    <w:p>
      <w:pPr>
        <w:pStyle w:val="ListBullet"/>
      </w:pPr>
      <w:r>
        <w:t>La integración requiere revisión por otro integrante.</w:t>
      </w:r>
    </w:p>
    <w:p>
      <w:pPr>
        <w:pStyle w:val="ListBullet"/>
      </w:pPr>
      <w:r>
        <w:t>La build debe asociarse a un commit o etiqueta de Git.</w:t>
      </w:r>
    </w:p>
    <w:p>
      <w:pPr>
        <w:pStyle w:val="ListBullet"/>
      </w:pPr>
      <w:r>
        <w:t>Los defectos se registran con pasos para reproducir, severidad y responsable.</w:t>
      </w:r>
    </w:p>
    <w:p>
      <w:pPr>
        <w:pStyle w:val="Heading2"/>
      </w:pPr>
      <w:r>
        <w:t>5.3 Pruebas</w:t>
      </w:r>
    </w:p>
    <w:p>
      <w:r>
        <w:t>Se aplicarán pruebas conforme a un plan basado en ISO/IEC/IEEE 29119:</w:t>
      </w:r>
    </w:p>
    <w:p>
      <w:pPr>
        <w:pStyle w:val="ListNumber"/>
      </w:pPr>
      <w:r>
        <w:t>Pruebas unitarias para lógica crítica.</w:t>
      </w:r>
    </w:p>
    <w:p>
      <w:pPr>
        <w:pStyle w:val="ListNumber"/>
      </w:pPr>
      <w:r>
        <w:t>Pruebas de integración entre sistemas.</w:t>
      </w:r>
    </w:p>
    <w:p>
      <w:pPr>
        <w:pStyle w:val="ListNumber"/>
      </w:pPr>
      <w:r>
        <w:t>Pruebas funcionales contra los requisitos.</w:t>
      </w:r>
    </w:p>
    <w:p>
      <w:pPr>
        <w:pStyle w:val="ListNumber"/>
      </w:pPr>
      <w:r>
        <w:t>Pruebas de usabilidad con jugadores del público objetivo.</w:t>
      </w:r>
    </w:p>
    <w:p>
      <w:pPr>
        <w:pStyle w:val="ListNumber"/>
      </w:pPr>
      <w:r>
        <w:t>Pruebas de rendimiento y compatibilidad.</w:t>
      </w:r>
    </w:p>
    <w:p>
      <w:pPr>
        <w:pStyle w:val="ListNumber"/>
      </w:pPr>
      <w:r>
        <w:t>Pruebas de regresión antes de cada release.</w:t>
      </w:r>
    </w:p>
    <w:p>
      <w:pPr>
        <w:pStyle w:val="ListNumber"/>
      </w:pPr>
      <w:r>
        <w:t>Prueba de aceptación antes de publicar.</w:t>
      </w:r>
    </w:p>
    <w:p>
      <w:r>
        <w:t>Cada ejecución conservará caso de prueba, resultado, evidencia, fecha y responsable.</w:t>
      </w:r>
    </w:p>
    <w:p>
      <w:pPr>
        <w:pStyle w:val="Heading2"/>
      </w:pPr>
      <w:r>
        <w:t>5.4 Publicación</w:t>
      </w:r>
    </w:p>
    <w:p>
      <w:r>
        <w:t>No se publicará una versión si existe un defecto crítico abierto, no se conoce el commit de origen o falta la evidencia de pruebas de aceptación.</w:t>
      </w:r>
    </w:p>
    <w:p>
      <w:pPr>
        <w:pStyle w:val="Heading1"/>
      </w:pPr>
      <w:r>
        <w:t>6. Matriz de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2493"/>
          </w:tcPr>
          <w:p>
            <w:r>
              <w:t>Revisión de requisitos</w:t>
            </w:r>
          </w:p>
        </w:tc>
        <w:tc>
          <w:tcPr>
            <w:tcW w:type="dxa" w:w="2493"/>
          </w:tcPr>
          <w:p>
            <w:r>
              <w:t>GDD versionado</w:t>
            </w:r>
          </w:p>
        </w:tc>
        <w:tc>
          <w:tcPr>
            <w:tcW w:type="dxa" w:w="2493"/>
          </w:tcPr>
          <w:p>
            <w:r>
              <w:t>Diseño / Producción</w:t>
            </w:r>
          </w:p>
        </w:tc>
        <w:tc>
          <w:tcPr>
            <w:tcW w:type="dxa" w:w="2493"/>
          </w:tcPr>
          <w:p>
            <w:r>
              <w:t>Por hito</w:t>
            </w:r>
          </w:p>
        </w:tc>
      </w:tr>
      <w:tr>
        <w:tc>
          <w:tcPr>
            <w:tcW w:type="dxa" w:w="2493"/>
          </w:tcPr>
          <w:p>
            <w:r>
              <w:t>Revisión de código</w:t>
            </w:r>
          </w:p>
        </w:tc>
        <w:tc>
          <w:tcPr>
            <w:tcW w:type="dxa" w:w="2493"/>
          </w:tcPr>
          <w:p>
            <w:r>
              <w:t>Merge request</w:t>
            </w:r>
          </w:p>
        </w:tc>
        <w:tc>
          <w:tcPr>
            <w:tcW w:type="dxa" w:w="2493"/>
          </w:tcPr>
          <w:p>
            <w:r>
              <w:t>Sistemas</w:t>
            </w:r>
          </w:p>
        </w:tc>
        <w:tc>
          <w:tcPr>
            <w:tcW w:type="dxa" w:w="2493"/>
          </w:tcPr>
          <w:p>
            <w:r>
              <w:t>Cada cambio</w:t>
            </w:r>
          </w:p>
        </w:tc>
      </w:tr>
      <w:tr>
        <w:tc>
          <w:tcPr>
            <w:tcW w:type="dxa" w:w="2493"/>
          </w:tcPr>
          <w:p>
            <w:r>
              <w:t>Pruebas funcionales</w:t>
            </w:r>
          </w:p>
        </w:tc>
        <w:tc>
          <w:tcPr>
            <w:tcW w:type="dxa" w:w="2493"/>
          </w:tcPr>
          <w:p>
            <w:r>
              <w:t>Casos y resultados</w:t>
            </w:r>
          </w:p>
        </w:tc>
        <w:tc>
          <w:tcPr>
            <w:tcW w:type="dxa" w:w="2493"/>
          </w:tcPr>
          <w:p>
            <w:r>
              <w:t>Producción / Sistemas</w:t>
            </w:r>
          </w:p>
        </w:tc>
        <w:tc>
          <w:tcPr>
            <w:tcW w:type="dxa" w:w="2493"/>
          </w:tcPr>
          <w:p>
            <w:r>
              <w:t>Cada sprint</w:t>
            </w:r>
          </w:p>
        </w:tc>
      </w:tr>
      <w:tr>
        <w:tc>
          <w:tcPr>
            <w:tcW w:type="dxa" w:w="2493"/>
          </w:tcPr>
          <w:p>
            <w:r>
              <w:t>Playtest</w:t>
            </w:r>
          </w:p>
        </w:tc>
        <w:tc>
          <w:tcPr>
            <w:tcW w:type="dxa" w:w="2493"/>
          </w:tcPr>
          <w:p>
            <w:r>
              <w:t>Formulario y hallazgos</w:t>
            </w:r>
          </w:p>
        </w:tc>
        <w:tc>
          <w:tcPr>
            <w:tcW w:type="dxa" w:w="2493"/>
          </w:tcPr>
          <w:p>
            <w:r>
              <w:t>Diseño</w:t>
            </w:r>
          </w:p>
        </w:tc>
        <w:tc>
          <w:tcPr>
            <w:tcW w:type="dxa" w:w="2493"/>
          </w:tcPr>
          <w:p>
            <w:r>
              <w:t>Cada prototipo</w:t>
            </w:r>
          </w:p>
        </w:tc>
      </w:tr>
      <w:tr>
        <w:tc>
          <w:tcPr>
            <w:tcW w:type="dxa" w:w="2493"/>
          </w:tcPr>
          <w:p>
            <w:r>
              <w:t>Prueba de build</w:t>
            </w:r>
          </w:p>
        </w:tc>
        <w:tc>
          <w:tcPr>
            <w:tcW w:type="dxa" w:w="2493"/>
          </w:tcPr>
          <w:p>
            <w:r>
              <w:t>Checklist de release</w:t>
            </w:r>
          </w:p>
        </w:tc>
        <w:tc>
          <w:tcPr>
            <w:tcW w:type="dxa" w:w="2493"/>
          </w:tcPr>
          <w:p>
            <w:r>
              <w:t>Sistemas</w:t>
            </w:r>
          </w:p>
        </w:tc>
        <w:tc>
          <w:tcPr>
            <w:tcW w:type="dxa" w:w="2493"/>
          </w:tcPr>
          <w:p>
            <w:r>
              <w:t>Cada build</w:t>
            </w:r>
          </w:p>
        </w:tc>
      </w:tr>
      <w:tr>
        <w:tc>
          <w:tcPr>
            <w:tcW w:type="dxa" w:w="2493"/>
          </w:tcPr>
          <w:p>
            <w:r>
              <w:t>Auditoría documental</w:t>
            </w:r>
          </w:p>
        </w:tc>
        <w:tc>
          <w:tcPr>
            <w:tcW w:type="dxa" w:w="2493"/>
          </w:tcPr>
          <w:p>
            <w:r>
              <w:t>Lista de verificación</w:t>
            </w:r>
          </w:p>
        </w:tc>
        <w:tc>
          <w:tcPr>
            <w:tcW w:type="dxa" w:w="2493"/>
          </w:tcPr>
          <w:p>
            <w:r>
              <w:t>CEO / Producción</w:t>
            </w:r>
          </w:p>
        </w:tc>
        <w:tc>
          <w:tcPr>
            <w:tcW w:type="dxa" w:w="2493"/>
          </w:tcPr>
          <w:p>
            <w:r>
              <w:t>Mensual</w:t>
            </w:r>
          </w:p>
        </w:tc>
      </w:tr>
      <w:tr>
        <w:tc>
          <w:tcPr>
            <w:tcW w:type="dxa" w:w="2493"/>
          </w:tcPr>
          <w:p>
            <w:r>
              <w:t>Revisión de riesgos</w:t>
            </w:r>
          </w:p>
        </w:tc>
        <w:tc>
          <w:tcPr>
            <w:tcW w:type="dxa" w:w="2493"/>
          </w:tcPr>
          <w:p>
            <w:r>
              <w:t>Matriz actualizada</w:t>
            </w:r>
          </w:p>
        </w:tc>
        <w:tc>
          <w:tcPr>
            <w:tcW w:type="dxa" w:w="2493"/>
          </w:tcPr>
          <w:p>
            <w:r>
              <w:t>CEO / Producción</w:t>
            </w:r>
          </w:p>
        </w:tc>
        <w:tc>
          <w:tcPr>
            <w:tcW w:type="dxa" w:w="2493"/>
          </w:tcPr>
          <w:p>
            <w:r>
              <w:t>Mensual</w:t>
            </w:r>
          </w:p>
        </w:tc>
      </w:tr>
    </w:tbl>
    <w:p>
      <w:pPr>
        <w:pStyle w:val="Heading1"/>
      </w:pPr>
      <w:r>
        <w:t>7. No conformidades y acciones correctivas</w:t>
      </w:r>
    </w:p>
    <w:p>
      <w:r>
        <w:t>Una no conformidad se registra cuando un requisito, criterio de aceptación o control no se cumple. El registro debe contener:</w:t>
      </w:r>
    </w:p>
    <w:p>
      <w:pPr>
        <w:pStyle w:val="ListBullet"/>
      </w:pPr>
      <w:r>
        <w:t>Descripción y evidencia.</w:t>
      </w:r>
    </w:p>
    <w:p>
      <w:pPr>
        <w:pStyle w:val="ListBullet"/>
      </w:pPr>
      <w:r>
        <w:t>Severidad: crítica, alta, media o baja.</w:t>
      </w:r>
    </w:p>
    <w:p>
      <w:pPr>
        <w:pStyle w:val="ListBullet"/>
      </w:pPr>
      <w:r>
        <w:t>Causa probable.</w:t>
      </w:r>
    </w:p>
    <w:p>
      <w:pPr>
        <w:pStyle w:val="ListBullet"/>
      </w:pPr>
      <w:r>
        <w:t>Acción correctiva y responsable.</w:t>
      </w:r>
    </w:p>
    <w:p>
      <w:pPr>
        <w:pStyle w:val="ListBullet"/>
      </w:pPr>
      <w:r>
        <w:t>Fecha límite.</w:t>
      </w:r>
    </w:p>
    <w:p>
      <w:pPr>
        <w:pStyle w:val="ListBullet"/>
      </w:pPr>
      <w:r>
        <w:t>Verificación de cierre.</w:t>
      </w:r>
    </w:p>
    <w:p>
      <w:r>
        <w:t>Los defectos críticos bloquean la entrega. Los defectos altos requieren aprobación expresa del Director de Producción y registro del riesgo aceptado.</w:t>
      </w:r>
    </w:p>
    <w:p>
      <w:pPr>
        <w:pStyle w:val="Heading1"/>
      </w:pPr>
      <w:r>
        <w:t>8. Indicadores de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Meta inicial</w:t>
            </w:r>
          </w:p>
        </w:tc>
      </w:tr>
      <w:tr>
        <w:tc>
          <w:tcPr>
            <w:tcW w:type="dxa" w:w="4986"/>
          </w:tcPr>
          <w:p>
            <w:r>
              <w:t>Casos de prueba ejecutados antes del release</w:t>
            </w:r>
          </w:p>
        </w:tc>
        <w:tc>
          <w:tcPr>
            <w:tcW w:type="dxa" w:w="4986"/>
          </w:tcPr>
          <w:p>
            <w:r>
              <w:t>100%</w:t>
            </w:r>
          </w:p>
        </w:tc>
      </w:tr>
      <w:tr>
        <w:tc>
          <w:tcPr>
            <w:tcW w:type="dxa" w:w="4986"/>
          </w:tcPr>
          <w:p>
            <w:r>
              <w:t>Requisitos con criterio de aceptación</w:t>
            </w:r>
          </w:p>
        </w:tc>
        <w:tc>
          <w:tcPr>
            <w:tcW w:type="dxa" w:w="4986"/>
          </w:tcPr>
          <w:p>
            <w:r>
              <w:t>100%</w:t>
            </w:r>
          </w:p>
        </w:tc>
      </w:tr>
      <w:tr>
        <w:tc>
          <w:tcPr>
            <w:tcW w:type="dxa" w:w="4986"/>
          </w:tcPr>
          <w:p>
            <w:r>
              <w:t>Defectos críticos abiertos al publicar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Merge requests revisados</w:t>
            </w:r>
          </w:p>
        </w:tc>
        <w:tc>
          <w:tcPr>
            <w:tcW w:type="dxa" w:w="4986"/>
          </w:tcPr>
          <w:p>
            <w:r>
              <w:t>100%</w:t>
            </w:r>
          </w:p>
        </w:tc>
      </w:tr>
      <w:tr>
        <w:tc>
          <w:tcPr>
            <w:tcW w:type="dxa" w:w="4986"/>
          </w:tcPr>
          <w:p>
            <w:r>
              <w:t>Builds reproducibles desde una etiqueta</w:t>
            </w:r>
          </w:p>
        </w:tc>
        <w:tc>
          <w:tcPr>
            <w:tcW w:type="dxa" w:w="4986"/>
          </w:tcPr>
          <w:p>
            <w:r>
              <w:t>100%</w:t>
            </w:r>
          </w:p>
        </w:tc>
      </w:tr>
      <w:tr>
        <w:tc>
          <w:tcPr>
            <w:tcW w:type="dxa" w:w="4986"/>
          </w:tcPr>
          <w:p>
            <w:r>
              <w:t>Evidencias de pruebas archivadas</w:t>
            </w:r>
          </w:p>
        </w:tc>
        <w:tc>
          <w:tcPr>
            <w:tcW w:type="dxa" w:w="4986"/>
          </w:tcPr>
          <w:p>
            <w:r>
              <w:t>100%</w:t>
            </w:r>
          </w:p>
        </w:tc>
      </w:tr>
      <w:tr>
        <w:tc>
          <w:tcPr>
            <w:tcW w:type="dxa" w:w="4986"/>
          </w:tcPr>
          <w:p>
            <w:r>
              <w:t>Acciones correctivas cerradas en plazo</w:t>
            </w:r>
          </w:p>
        </w:tc>
        <w:tc>
          <w:tcPr>
            <w:tcW w:type="dxa" w:w="4986"/>
          </w:tcPr>
          <w:p>
            <w:r>
              <w:t>≥90%</w:t>
            </w:r>
          </w:p>
        </w:tc>
      </w:tr>
    </w:tbl>
    <w:p>
      <w:pPr>
        <w:pStyle w:val="Heading1"/>
      </w:pPr>
      <w:r>
        <w:t>9. Auditoría y mejora continua</w:t>
      </w:r>
    </w:p>
    <w:p>
      <w:r>
        <w:t>Mensualmente se revisarán indicadores, defectos, reclamos, resultados de playtests y riesgos. El equipo aplicará el ciclo Planificar–Hacer–Verificar–Actuar (PHVA) de ISO 9001 para corregir causas y actualizar procesos.</w:t>
      </w:r>
    </w:p>
    <w:p>
      <w:pPr>
        <w:pStyle w:val="Heading1"/>
      </w:pPr>
      <w:r>
        <w:t>10. Cumplimiento boliviano</w:t>
      </w:r>
    </w:p>
    <w:p>
      <w:r>
        <w:t>Antes de iniciar operaciones comerciales, el CEO y el responsable financiero deben verificar con asesoría local:</w:t>
      </w:r>
    </w:p>
    <w:p>
      <w:pPr>
        <w:pStyle w:val="ListBullet"/>
      </w:pPr>
      <w:r>
        <w:t>Registro y obligaciones tributarias ante el SIN.</w:t>
      </w:r>
    </w:p>
    <w:p>
      <w:pPr>
        <w:pStyle w:val="ListBullet"/>
      </w:pPr>
      <w:r>
        <w:t>Contratos y obligaciones laborales aplicables.</w:t>
      </w:r>
    </w:p>
    <w:p>
      <w:pPr>
        <w:pStyle w:val="ListBullet"/>
      </w:pPr>
      <w:r>
        <w:t>Protección de datos, propiedad intelectual y licencias de terceros.</w:t>
      </w:r>
    </w:p>
    <w:p>
      <w:pPr>
        <w:pStyle w:val="ListBullet"/>
      </w:pPr>
      <w:r>
        <w:t>Condiciones contractuales de la plataforma de distribución.</w:t>
      </w:r>
    </w:p>
    <w:p>
      <w:pPr>
        <w:pStyle w:val="ListBullet"/>
      </w:pPr>
      <w:r>
        <w:t>Código vigente de cada Norma Boliviana aplicable en el catálogo de IBNORCA.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