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Evaluación de Costos del Emprendimiento</w:t>
      </w:r>
    </w:p>
    <w:p>
      <w:r>
        <w:t>Empresa: Magic Leaf Studios</w:t>
      </w:r>
    </w:p>
    <w:p>
      <w:r>
        <w:t>Producto: BREAKTHROUGH</w:t>
      </w:r>
    </w:p>
    <w:p>
      <w:r>
        <w:t>Moneda: Bolivianos (Bs)</w:t>
      </w:r>
    </w:p>
    <w:p>
      <w:r>
        <w:t>Versión: 1.0 · Septiembre de 2026</w:t>
      </w:r>
    </w:p>
    <w:p>
      <w:pPr>
        <w:pStyle w:val="Heading1"/>
      </w:pPr>
      <w:r>
        <w:t>1. Criterio de evaluación</w:t>
      </w:r>
    </w:p>
    <w:p>
      <w:r>
        <w:t>La evaluación separa la inversión inicial de los costos mensuales de operación. Esta separación evita presentar los salarios como si fueran parte del capital inicial.</w:t>
      </w:r>
    </w:p>
    <w:p>
      <w:r>
        <w:t>La información se organiza conforme a principios de control documentado, trazabilidad y revisión periódica relacionados con NB/ISO 9001:2015 y la gestión financiera aplicable a una empresa boliviana.</w:t>
      </w:r>
    </w:p>
    <w:p>
      <w:pPr>
        <w:pStyle w:val="Heading1"/>
      </w:pPr>
      <w:r>
        <w:t>2. Presupuesto inicial máximo</w:t>
      </w:r>
    </w:p>
    <w:p>
      <w:r>
        <w:t>El emprendimiento no puede superar 15.000 Bs para iniciar. La inversión se limita a cuatro laptops: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Activo</w:t>
            </w:r>
          </w:p>
        </w:tc>
        <w:tc>
          <w:tcPr>
            <w:tcW w:type="dxa" w:w="2493"/>
          </w:tcPr>
          <w:p>
            <w:r>
              <w:rPr>
                <w:b/>
              </w:rPr>
              <w:t>Cantidad</w:t>
            </w:r>
          </w:p>
        </w:tc>
        <w:tc>
          <w:tcPr>
            <w:tcW w:type="dxa" w:w="2493"/>
          </w:tcPr>
          <w:p>
            <w:r>
              <w:rPr>
                <w:b/>
              </w:rPr>
              <w:t>Precio unitario</w:t>
            </w:r>
          </w:p>
        </w:tc>
        <w:tc>
          <w:tcPr>
            <w:tcW w:type="dxa" w:w="2493"/>
          </w:tcPr>
          <w:p>
            <w:r>
              <w:rPr>
                <w:b/>
              </w:rPr>
              <w:t>Inversión</w:t>
            </w:r>
          </w:p>
        </w:tc>
      </w:tr>
      <w:tr>
        <w:tc>
          <w:tcPr>
            <w:tcW w:type="dxa" w:w="2493"/>
          </w:tcPr>
          <w:p>
            <w:r>
              <w:t>Laptop de trabajo</w:t>
            </w:r>
          </w:p>
        </w:tc>
        <w:tc>
          <w:tcPr>
            <w:tcW w:type="dxa" w:w="2493"/>
          </w:tcPr>
          <w:p>
            <w:r>
              <w:t>4</w:t>
            </w:r>
          </w:p>
        </w:tc>
        <w:tc>
          <w:tcPr>
            <w:tcW w:type="dxa" w:w="2493"/>
          </w:tcPr>
          <w:p>
            <w:r>
              <w:t>3.750 Bs</w:t>
            </w:r>
          </w:p>
        </w:tc>
        <w:tc>
          <w:tcPr>
            <w:tcW w:type="dxa" w:w="2493"/>
          </w:tcPr>
          <w:p>
            <w:r>
              <w:t>15.000 Bs</w:t>
            </w:r>
          </w:p>
        </w:tc>
      </w:tr>
    </w:tbl>
    <w:p>
      <w:r>
        <w:t>Resultado: el límite se cumple exactamente y no se incluyen otros equipos, materiales ni servicios.</w:t>
      </w:r>
    </w:p>
    <w:p>
      <w:pPr>
        <w:pStyle w:val="Heading1"/>
      </w:pPr>
      <w:r>
        <w:t>3. Costos mensuales de operación</w:t>
      </w:r>
    </w:p>
    <w:p>
      <w:pPr>
        <w:pStyle w:val="Heading2"/>
      </w:pPr>
      <w:r>
        <w:t>3.1 Mano de obra</w:t>
      </w:r>
    </w:p>
    <w:tbl>
      <w:tblPr>
        <w:tblStyle w:val="TableGrid"/>
        <w:tblW w:type="auto" w:w="0"/>
        <w:tblLook w:firstColumn="1" w:firstRow="1" w:lastColumn="0" w:lastRow="0" w:noHBand="0" w:noVBand="1" w:val="04A0"/>
      </w:tblPr>
      <w:tblGrid>
        <w:gridCol w:w="4986"/>
        <w:gridCol w:w="4986"/>
      </w:tblGrid>
      <w:tr>
        <w:tc>
          <w:tcPr>
            <w:tcW w:type="dxa" w:w="4986"/>
          </w:tcPr>
          <w:p>
            <w:r>
              <w:rPr>
                <w:b/>
              </w:rPr>
              <w:t>Cargo</w:t>
            </w:r>
          </w:p>
        </w:tc>
        <w:tc>
          <w:tcPr>
            <w:tcW w:type="dxa" w:w="4986"/>
          </w:tcPr>
          <w:p>
            <w:r>
              <w:rPr>
                <w:b/>
              </w:rPr>
              <w:t>Sueldo base</w:t>
            </w:r>
          </w:p>
        </w:tc>
      </w:tr>
      <w:tr>
        <w:tc>
          <w:tcPr>
            <w:tcW w:type="dxa" w:w="4986"/>
          </w:tcPr>
          <w:p>
            <w:r>
              <w:t>Director General / CEO</w:t>
            </w:r>
          </w:p>
        </w:tc>
        <w:tc>
          <w:tcPr>
            <w:tcW w:type="dxa" w:w="4986"/>
          </w:tcPr>
          <w:p>
            <w:r>
              <w:t>6.000 Bs</w:t>
            </w:r>
          </w:p>
        </w:tc>
      </w:tr>
      <w:tr>
        <w:tc>
          <w:tcPr>
            <w:tcW w:type="dxa" w:w="4986"/>
          </w:tcPr>
          <w:p>
            <w:r>
              <w:t>Director de Sistemas</w:t>
            </w:r>
          </w:p>
        </w:tc>
        <w:tc>
          <w:tcPr>
            <w:tcW w:type="dxa" w:w="4986"/>
          </w:tcPr>
          <w:p>
            <w:r>
              <w:t>5.500 Bs</w:t>
            </w:r>
          </w:p>
        </w:tc>
      </w:tr>
      <w:tr>
        <w:tc>
          <w:tcPr>
            <w:tcW w:type="dxa" w:w="4986"/>
          </w:tcPr>
          <w:p>
            <w:r>
              <w:t>Director de Diseño</w:t>
            </w:r>
          </w:p>
        </w:tc>
        <w:tc>
          <w:tcPr>
            <w:tcW w:type="dxa" w:w="4986"/>
          </w:tcPr>
          <w:p>
            <w:r>
              <w:t>5.000 Bs</w:t>
            </w:r>
          </w:p>
        </w:tc>
      </w:tr>
      <w:tr>
        <w:tc>
          <w:tcPr>
            <w:tcW w:type="dxa" w:w="4986"/>
          </w:tcPr>
          <w:p>
            <w:r>
              <w:t>Director de Producción</w:t>
            </w:r>
          </w:p>
        </w:tc>
        <w:tc>
          <w:tcPr>
            <w:tcW w:type="dxa" w:w="4986"/>
          </w:tcPr>
          <w:p>
            <w:r>
              <w:t>5.000 Bs</w:t>
            </w:r>
          </w:p>
        </w:tc>
      </w:tr>
      <w:tr>
        <w:tc>
          <w:tcPr>
            <w:tcW w:type="dxa" w:w="4986"/>
          </w:tcPr>
          <w:p>
            <w:r>
              <w:t>Subtotal</w:t>
            </w:r>
          </w:p>
        </w:tc>
        <w:tc>
          <w:tcPr>
            <w:tcW w:type="dxa" w:w="4986"/>
          </w:tcPr>
          <w:p>
            <w:r>
              <w:t>21.500 Bs</w:t>
            </w:r>
          </w:p>
        </w:tc>
      </w:tr>
    </w:tbl>
    <w:tbl>
      <w:tblPr>
        <w:tblStyle w:val="TableGrid"/>
        <w:tblW w:type="auto" w:w="0"/>
        <w:tblLook w:firstColumn="1" w:firstRow="1" w:lastColumn="0" w:lastRow="0" w:noHBand="0" w:noVBand="1" w:val="04A0"/>
      </w:tblPr>
      <w:tblGrid>
        <w:gridCol w:w="3324"/>
        <w:gridCol w:w="3324"/>
        <w:gridCol w:w="3324"/>
      </w:tblGrid>
      <w:tr>
        <w:tc>
          <w:tcPr>
            <w:tcW w:type="dxa" w:w="3324"/>
          </w:tcPr>
          <w:p>
            <w:r>
              <w:rPr>
                <w:b/>
              </w:rPr>
              <w:t>Carga</w:t>
            </w:r>
          </w:p>
        </w:tc>
        <w:tc>
          <w:tcPr>
            <w:tcW w:type="dxa" w:w="3324"/>
          </w:tcPr>
          <w:p>
            <w:r>
              <w:rPr>
                <w:b/>
              </w:rPr>
              <w:t>Porcentaje</w:t>
            </w:r>
          </w:p>
        </w:tc>
        <w:tc>
          <w:tcPr>
            <w:tcW w:type="dxa" w:w="3324"/>
          </w:tcPr>
          <w:p>
            <w:r>
              <w:rPr>
                <w:b/>
              </w:rPr>
              <w:t>Monto</w:t>
            </w:r>
          </w:p>
        </w:tc>
      </w:tr>
      <w:tr>
        <w:tc>
          <w:tcPr>
            <w:tcW w:type="dxa" w:w="3324"/>
          </w:tcPr>
          <w:p>
            <w:r>
              <w:t>Beneficios sociales</w:t>
            </w:r>
          </w:p>
        </w:tc>
        <w:tc>
          <w:tcPr>
            <w:tcW w:type="dxa" w:w="3324"/>
          </w:tcPr>
          <w:p>
            <w:r>
              <w:t>8,33%</w:t>
            </w:r>
          </w:p>
        </w:tc>
        <w:tc>
          <w:tcPr>
            <w:tcW w:type="dxa" w:w="3324"/>
          </w:tcPr>
          <w:p>
            <w:r>
              <w:t>1.790,95 Bs</w:t>
            </w:r>
          </w:p>
        </w:tc>
      </w:tr>
      <w:tr>
        <w:tc>
          <w:tcPr>
            <w:tcW w:type="dxa" w:w="3324"/>
          </w:tcPr>
          <w:p>
            <w:r>
              <w:t>AFP / cargas</w:t>
            </w:r>
          </w:p>
        </w:tc>
        <w:tc>
          <w:tcPr>
            <w:tcW w:type="dxa" w:w="3324"/>
          </w:tcPr>
          <w:p>
            <w:r>
              <w:t>12,71%</w:t>
            </w:r>
          </w:p>
        </w:tc>
        <w:tc>
          <w:tcPr>
            <w:tcW w:type="dxa" w:w="3324"/>
          </w:tcPr>
          <w:p>
            <w:r>
              <w:t>2.732,65 Bs</w:t>
            </w:r>
          </w:p>
        </w:tc>
      </w:tr>
      <w:tr>
        <w:tc>
          <w:tcPr>
            <w:tcW w:type="dxa" w:w="3324"/>
          </w:tcPr>
          <w:p>
            <w:r>
              <w:t>Imprevistos</w:t>
            </w:r>
          </w:p>
        </w:tc>
        <w:tc>
          <w:tcPr>
            <w:tcW w:type="dxa" w:w="3324"/>
          </w:tcPr>
          <w:p>
            <w:r>
              <w:t>5%</w:t>
            </w:r>
          </w:p>
        </w:tc>
        <w:tc>
          <w:tcPr>
            <w:tcW w:type="dxa" w:w="3324"/>
          </w:tcPr>
          <w:p>
            <w:r>
              <w:t>1.075,00 Bs</w:t>
            </w:r>
          </w:p>
        </w:tc>
      </w:tr>
      <w:tr>
        <w:tc>
          <w:tcPr>
            <w:tcW w:type="dxa" w:w="3324"/>
          </w:tcPr>
          <w:p>
            <w:r>
              <w:t>Total mano de obra</w:t>
            </w:r>
          </w:p>
        </w:tc>
        <w:tc>
          <w:tcPr>
            <w:tcW w:type="dxa" w:w="3324"/>
          </w:tcPr>
          <w:p>
            <w:r/>
          </w:p>
        </w:tc>
        <w:tc>
          <w:tcPr>
            <w:tcW w:type="dxa" w:w="3324"/>
          </w:tcPr>
          <w:p>
            <w:r>
              <w:t>27.098,60 Bs</w:t>
            </w:r>
          </w:p>
        </w:tc>
      </w:tr>
    </w:tbl>
    <w:p>
      <w:r>
        <w:t>Los porcentajes son supuestos académicos de planificación y deben ser verificados por un contador en función del tipo de contratación y la normativa laboral boliviana vigente.</w:t>
      </w:r>
    </w:p>
    <w:p>
      <w:pPr>
        <w:pStyle w:val="Heading2"/>
      </w:pPr>
      <w:r>
        <w:t>3.2 Equipo</w:t>
      </w:r>
    </w:p>
    <w:tbl>
      <w:tblPr>
        <w:tblStyle w:val="TableGrid"/>
        <w:tblW w:type="auto" w:w="0"/>
        <w:tblLook w:firstColumn="1" w:firstRow="1" w:lastColumn="0" w:lastRow="0" w:noHBand="0" w:noVBand="1" w:val="04A0"/>
      </w:tblPr>
      <w:tblGrid>
        <w:gridCol w:w="4986"/>
        <w:gridCol w:w="4986"/>
      </w:tblGrid>
      <w:tr>
        <w:tc>
          <w:tcPr>
            <w:tcW w:type="dxa" w:w="4986"/>
          </w:tcPr>
          <w:p>
            <w:r>
              <w:rPr>
                <w:b/>
              </w:rPr>
              <w:t>Concepto</w:t>
            </w:r>
          </w:p>
        </w:tc>
        <w:tc>
          <w:tcPr>
            <w:tcW w:type="dxa" w:w="4986"/>
          </w:tcPr>
          <w:p>
            <w:r>
              <w:rPr>
                <w:b/>
              </w:rPr>
              <w:t>Monto mensual</w:t>
            </w:r>
          </w:p>
        </w:tc>
      </w:tr>
      <w:tr>
        <w:tc>
          <w:tcPr>
            <w:tcW w:type="dxa" w:w="4986"/>
          </w:tcPr>
          <w:p>
            <w:r>
              <w:t>Depreciación de laptops a 48 meses</w:t>
            </w:r>
          </w:p>
        </w:tc>
        <w:tc>
          <w:tcPr>
            <w:tcW w:type="dxa" w:w="4986"/>
          </w:tcPr>
          <w:p>
            <w:r>
              <w:t>312,50 Bs</w:t>
            </w:r>
          </w:p>
        </w:tc>
      </w:tr>
      <w:tr>
        <w:tc>
          <w:tcPr>
            <w:tcW w:type="dxa" w:w="4986"/>
          </w:tcPr>
          <w:p>
            <w:r>
              <w:t>Imprevistos del equipo</w:t>
            </w:r>
          </w:p>
        </w:tc>
        <w:tc>
          <w:tcPr>
            <w:tcW w:type="dxa" w:w="4986"/>
          </w:tcPr>
          <w:p>
            <w:r>
              <w:t>750,00 Bs</w:t>
            </w:r>
          </w:p>
        </w:tc>
      </w:tr>
      <w:tr>
        <w:tc>
          <w:tcPr>
            <w:tcW w:type="dxa" w:w="4986"/>
          </w:tcPr>
          <w:p>
            <w:r>
              <w:t>Total utilizado en la evaluación</w:t>
            </w:r>
          </w:p>
        </w:tc>
        <w:tc>
          <w:tcPr>
            <w:tcW w:type="dxa" w:w="4986"/>
          </w:tcPr>
          <w:p>
            <w:r>
              <w:t>1.062,50 Bs</w:t>
            </w:r>
          </w:p>
        </w:tc>
      </w:tr>
    </w:tbl>
    <w:p>
      <w:r>
        <w:t>El valor de compra inicial continúa siendo 15.000 Bs. La depreciación es solo una forma de distribuir contablemente el valor del activo.</w:t>
      </w:r>
    </w:p>
    <w:p>
      <w:pPr>
        <w:pStyle w:val="Heading2"/>
      </w:pPr>
      <w:r>
        <w:t>3.3 Servicios y materiales</w:t>
      </w:r>
    </w:p>
    <w:tbl>
      <w:tblPr>
        <w:tblStyle w:val="TableGrid"/>
        <w:tblW w:type="auto" w:w="0"/>
        <w:tblLook w:firstColumn="1" w:firstRow="1" w:lastColumn="0" w:lastRow="0" w:noHBand="0" w:noVBand="1" w:val="04A0"/>
      </w:tblPr>
      <w:tblGrid>
        <w:gridCol w:w="4986"/>
        <w:gridCol w:w="4986"/>
      </w:tblGrid>
      <w:tr>
        <w:tc>
          <w:tcPr>
            <w:tcW w:type="dxa" w:w="4986"/>
          </w:tcPr>
          <w:p>
            <w:r>
              <w:rPr>
                <w:b/>
              </w:rPr>
              <w:t>Concepto</w:t>
            </w:r>
          </w:p>
        </w:tc>
        <w:tc>
          <w:tcPr>
            <w:tcW w:type="dxa" w:w="4986"/>
          </w:tcPr>
          <w:p>
            <w:r>
              <w:rPr>
                <w:b/>
              </w:rPr>
              <w:t>Monto</w:t>
            </w:r>
          </w:p>
        </w:tc>
      </w:tr>
      <w:tr>
        <w:tc>
          <w:tcPr>
            <w:tcW w:type="dxa" w:w="4986"/>
          </w:tcPr>
          <w:p>
            <w:r>
              <w:t>Internet, electricidad y oficina</w:t>
            </w:r>
          </w:p>
        </w:tc>
        <w:tc>
          <w:tcPr>
            <w:tcW w:type="dxa" w:w="4986"/>
          </w:tcPr>
          <w:p>
            <w:r>
              <w:t>0 Bs</w:t>
            </w:r>
          </w:p>
        </w:tc>
      </w:tr>
      <w:tr>
        <w:tc>
          <w:tcPr>
            <w:tcW w:type="dxa" w:w="4986"/>
          </w:tcPr>
          <w:p>
            <w:r>
              <w:t>Materiales</w:t>
            </w:r>
          </w:p>
        </w:tc>
        <w:tc>
          <w:tcPr>
            <w:tcW w:type="dxa" w:w="4986"/>
          </w:tcPr>
          <w:p>
            <w:r>
              <w:t>0 Bs</w:t>
            </w:r>
          </w:p>
        </w:tc>
      </w:tr>
      <w:tr>
        <w:tc>
          <w:tcPr>
            <w:tcW w:type="dxa" w:w="4986"/>
          </w:tcPr>
          <w:p>
            <w:r>
              <w:t>Suscripciones iniciales</w:t>
            </w:r>
          </w:p>
        </w:tc>
        <w:tc>
          <w:tcPr>
            <w:tcW w:type="dxa" w:w="4986"/>
          </w:tcPr>
          <w:p>
            <w:r>
              <w:t>0 Bs</w:t>
            </w:r>
          </w:p>
        </w:tc>
      </w:tr>
      <w:tr>
        <w:tc>
          <w:tcPr>
            <w:tcW w:type="dxa" w:w="4986"/>
          </w:tcPr>
          <w:p>
            <w:r>
              <w:t>Total</w:t>
            </w:r>
          </w:p>
        </w:tc>
        <w:tc>
          <w:tcPr>
            <w:tcW w:type="dxa" w:w="4986"/>
          </w:tcPr>
          <w:p>
            <w:r>
              <w:t>0 Bs</w:t>
            </w:r>
          </w:p>
        </w:tc>
      </w:tr>
    </w:tbl>
    <w:p>
      <w:r>
        <w:t>Estos servicios se consideran incluidos en el coworking. Si el contrato del coworking cambia, el análisis debe actualizarse antes de comprometer ventas o contrataciones.</w:t>
      </w:r>
    </w:p>
    <w:p>
      <w:pPr>
        <w:pStyle w:val="Heading1"/>
      </w:pPr>
      <w:r>
        <w:t>4. Resumen mensual</w:t>
      </w:r>
    </w:p>
    <w:tbl>
      <w:tblPr>
        <w:tblStyle w:val="TableGrid"/>
        <w:tblW w:type="auto" w:w="0"/>
        <w:tblLook w:firstColumn="1" w:firstRow="1" w:lastColumn="0" w:lastRow="0" w:noHBand="0" w:noVBand="1" w:val="04A0"/>
      </w:tblPr>
      <w:tblGrid>
        <w:gridCol w:w="4986"/>
        <w:gridCol w:w="4986"/>
      </w:tblGrid>
      <w:tr>
        <w:tc>
          <w:tcPr>
            <w:tcW w:type="dxa" w:w="4986"/>
          </w:tcPr>
          <w:p>
            <w:r>
              <w:rPr>
                <w:b/>
              </w:rPr>
              <w:t>Categoría</w:t>
            </w:r>
          </w:p>
        </w:tc>
        <w:tc>
          <w:tcPr>
            <w:tcW w:type="dxa" w:w="4986"/>
          </w:tcPr>
          <w:p>
            <w:r>
              <w:rPr>
                <w:b/>
              </w:rPr>
              <w:t>Monto</w:t>
            </w:r>
          </w:p>
        </w:tc>
      </w:tr>
      <w:tr>
        <w:tc>
          <w:tcPr>
            <w:tcW w:type="dxa" w:w="4986"/>
          </w:tcPr>
          <w:p>
            <w:r>
              <w:t>Mano de obra</w:t>
            </w:r>
          </w:p>
        </w:tc>
        <w:tc>
          <w:tcPr>
            <w:tcW w:type="dxa" w:w="4986"/>
          </w:tcPr>
          <w:p>
            <w:r>
              <w:t>27.098,60 Bs</w:t>
            </w:r>
          </w:p>
        </w:tc>
      </w:tr>
      <w:tr>
        <w:tc>
          <w:tcPr>
            <w:tcW w:type="dxa" w:w="4986"/>
          </w:tcPr>
          <w:p>
            <w:r>
              <w:t>Equipo</w:t>
            </w:r>
          </w:p>
        </w:tc>
        <w:tc>
          <w:tcPr>
            <w:tcW w:type="dxa" w:w="4986"/>
          </w:tcPr>
          <w:p>
            <w:r>
              <w:t>1.062,50 Bs</w:t>
            </w:r>
          </w:p>
        </w:tc>
      </w:tr>
      <w:tr>
        <w:tc>
          <w:tcPr>
            <w:tcW w:type="dxa" w:w="4986"/>
          </w:tcPr>
          <w:p>
            <w:r>
              <w:t>Materiales y servicios</w:t>
            </w:r>
          </w:p>
        </w:tc>
        <w:tc>
          <w:tcPr>
            <w:tcW w:type="dxa" w:w="4986"/>
          </w:tcPr>
          <w:p>
            <w:r>
              <w:t>0 Bs</w:t>
            </w:r>
          </w:p>
        </w:tc>
      </w:tr>
      <w:tr>
        <w:tc>
          <w:tcPr>
            <w:tcW w:type="dxa" w:w="4986"/>
          </w:tcPr>
          <w:p>
            <w:r>
              <w:t>Costo operativo mensual</w:t>
            </w:r>
          </w:p>
        </w:tc>
        <w:tc>
          <w:tcPr>
            <w:tcW w:type="dxa" w:w="4986"/>
          </w:tcPr>
          <w:p>
            <w:r>
              <w:t>28.161,10 Bs</w:t>
            </w:r>
          </w:p>
        </w:tc>
      </w:tr>
    </w:tbl>
    <w:p>
      <w:pPr>
        <w:pStyle w:val="Heading1"/>
      </w:pPr>
      <w:r>
        <w:t>5. Punto de equilibrio</w:t>
      </w:r>
    </w:p>
    <w:p>
      <w:r>
        <w:t>Con un precio de 80 Bs, una comisión de plataforma del 30% y un ingreso neto de 56 Bs por unidad:</w:t>
      </w:r>
    </w:p>
    <w:p>
      <w:pPr>
        <w:pStyle w:val="NoSpacing"/>
      </w:pPr>
      <w:r>
        <w:t>Punto de equilibrio = 28.161,10 Bs / 56 Bs</w:t>
        <w:br/>
        <w:t>Punto de equilibrio ≈ 503 unidades por mes</w:t>
      </w:r>
    </w:p>
    <w:p>
      <w:r>
        <w:t>La meta de estabilidad debe ser superior a 503 unidades mensuales para generar margen y formar una reserva.</w:t>
      </w:r>
    </w:p>
    <w:p>
      <w:pPr>
        <w:pStyle w:val="Heading1"/>
      </w:pPr>
      <w:r>
        <w:t>6. Reglas de control</w:t>
      </w:r>
    </w:p>
    <w:p>
      <w:pPr>
        <w:pStyle w:val="ListNumber"/>
      </w:pPr>
      <w:r>
        <w:t>No comprar activos adicionales si la inversión acumulada supera 15.000 Bs sin aprobación del CEO.</w:t>
      </w:r>
    </w:p>
    <w:p>
      <w:pPr>
        <w:pStyle w:val="ListNumber"/>
      </w:pPr>
      <w:r>
        <w:t>Registrar cada gasto con fecha, responsable, concepto y comprobante.</w:t>
      </w:r>
    </w:p>
    <w:p>
      <w:pPr>
        <w:pStyle w:val="ListNumber"/>
      </w:pPr>
      <w:r>
        <w:t>Revisar mensualmente el costo real frente al presupuesto.</w:t>
      </w:r>
    </w:p>
    <w:p>
      <w:pPr>
        <w:pStyle w:val="ListNumber"/>
      </w:pPr>
      <w:r>
        <w:t>Separar la caja del emprendimiento de los gastos personales.</w:t>
      </w:r>
    </w:p>
    <w:p>
      <w:pPr>
        <w:pStyle w:val="ListNumber"/>
      </w:pPr>
      <w:r>
        <w:t>Verificar obligaciones tributarias y laborales con un profesional boliviano antes de operar comercialmente.</w:t>
      </w:r>
    </w:p>
    <w:p>
      <w:pPr>
        <w:pStyle w:val="Heading1"/>
      </w:pPr>
      <w:r>
        <w:t>7. Conclusión</w:t>
      </w:r>
    </w:p>
    <w:p>
      <w:r>
        <w:t>El emprendimiento puede iniciar con un presupuesto de creación de 15.000 Bs, destinado exclusivamente a cuatro laptops. Sin embargo, la operación mensual requiere aproximadamente 28.161,10 Bs, principalmente por la mano de obra. Por ello, la estabilidad depende de alcanzar ventas recurrentes, conservar el coworking sin costos adicionales y no incorporar nuevos gastos antes de superar el punto de equilibrio.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