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Gestión para la Estabilidad</w:t>
      </w:r>
    </w:p>
    <w:p>
      <w:r>
        <w:t>Empresa: Magic Leaf Studios</w:t>
      </w:r>
    </w:p>
    <w:p>
      <w:r>
        <w:t>Producto: BREAKTHROUGH</w:t>
      </w:r>
    </w:p>
    <w:p>
      <w:r>
        <w:t>País: Bolivia</w:t>
      </w:r>
    </w:p>
    <w:p>
      <w:r>
        <w:t>Versión: 1.0 · Septiembre de 2026</w:t>
      </w:r>
    </w:p>
    <w:p>
      <w:pPr>
        <w:pStyle w:val="Heading1"/>
      </w:pPr>
      <w:r>
        <w:t>1. Propósito</w:t>
      </w:r>
    </w:p>
    <w:p>
      <w:r>
        <w:t>Establecer cómo Magic Leaf Studios mantendrá la continuidad del emprendimiento mediante ventas planificadas, control de caja, metas mensuales y decisiones basadas en indicadores.</w:t>
      </w:r>
    </w:p>
    <w:p>
      <w:r>
        <w:t>El plan utiliza como referencia el ciclo de mejora continua de NB/ISO 9001:2015, las buenas prácticas de gestión de proyectos de ISO/IEC/IEEE 16326 y los controles documentados de gestión de riesgos.</w:t>
      </w:r>
    </w:p>
    <w:p>
      <w:pPr>
        <w:pStyle w:val="Heading1"/>
      </w:pPr>
      <w:r>
        <w:t>2. Restricción financiera</w:t>
      </w:r>
    </w:p>
    <w:p>
      <w:r>
        <w:t>El presupuesto máximo para crear la empresa es de 15.000 Bs. Este monto se destina únicamente a la compra inicial de cuatro laptops: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Precio unitario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493"/>
          </w:tcPr>
          <w:p>
            <w:r>
              <w:t>Laptop de trabajo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3.750 Bs</w:t>
            </w:r>
          </w:p>
        </w:tc>
        <w:tc>
          <w:tcPr>
            <w:tcW w:type="dxa" w:w="2493"/>
          </w:tcPr>
          <w:p>
            <w:r>
              <w:t>15.000 Bs</w:t>
            </w:r>
          </w:p>
        </w:tc>
      </w:tr>
    </w:tbl>
    <w:p>
      <w:r>
        <w:t>No se presupuestan internet, oficina, electricidad ni otros servicios porque están incluidos en el espacio de coworking.</w:t>
      </w:r>
    </w:p>
    <w:p>
      <w:r>
        <w:t>Los salarios y cargas sociales son costos mensuales de operación; no forman parte de la inversión inicial de 15.000 Bs.</w:t>
      </w:r>
    </w:p>
    <w:p>
      <w:pPr>
        <w:pStyle w:val="Heading1"/>
      </w:pPr>
      <w:r>
        <w:t>3. Objetivos de estabilidad</w:t>
      </w:r>
    </w:p>
    <w:p>
      <w:pPr>
        <w:pStyle w:val="ListNumber"/>
      </w:pPr>
      <w:r>
        <w:t>Mantener la inversión inicial en 15.000 Bs o menos.</w:t>
      </w:r>
    </w:p>
    <w:p>
      <w:pPr>
        <w:pStyle w:val="ListNumber"/>
      </w:pPr>
      <w:r>
        <w:t>Alcanzar al menos **503 unidades vendidas por mes** para cubrir el costo operativo estimado.</w:t>
      </w:r>
    </w:p>
    <w:p>
      <w:pPr>
        <w:pStyle w:val="ListNumber"/>
      </w:pPr>
      <w:r>
        <w:t>Mantener un flujo de caja proyectado para tres meses.</w:t>
      </w:r>
    </w:p>
    <w:p>
      <w:pPr>
        <w:pStyle w:val="ListNumber"/>
      </w:pPr>
      <w:r>
        <w:t>No asumir nuevas suscripciones o servicios pagados durante la etapa inicial.</w:t>
      </w:r>
    </w:p>
    <w:p>
      <w:pPr>
        <w:pStyle w:val="ListNumber"/>
      </w:pPr>
      <w:r>
        <w:t>Reinvertir únicamente una parte de la utilidad después de superar el punto de equilibrio.</w:t>
      </w:r>
    </w:p>
    <w:p>
      <w:pPr>
        <w:pStyle w:val="Heading1"/>
      </w:pPr>
      <w:r>
        <w:t>4. Modelo de ventas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Supuesto</w:t>
            </w:r>
          </w:p>
        </w:tc>
        <w:tc>
          <w:tcPr>
            <w:tcW w:type="dxa" w:w="4986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t>Precio de venta estimado</w:t>
            </w:r>
          </w:p>
        </w:tc>
        <w:tc>
          <w:tcPr>
            <w:tcW w:type="dxa" w:w="4986"/>
          </w:tcPr>
          <w:p>
            <w:r>
              <w:t>80 Bs</w:t>
            </w:r>
          </w:p>
        </w:tc>
      </w:tr>
      <w:tr>
        <w:tc>
          <w:tcPr>
            <w:tcW w:type="dxa" w:w="4986"/>
          </w:tcPr>
          <w:p>
            <w:r>
              <w:t>Comisión de plataforma</w:t>
            </w:r>
          </w:p>
        </w:tc>
        <w:tc>
          <w:tcPr>
            <w:tcW w:type="dxa" w:w="4986"/>
          </w:tcPr>
          <w:p>
            <w:r>
              <w:t>30%</w:t>
            </w:r>
          </w:p>
        </w:tc>
      </w:tr>
      <w:tr>
        <w:tc>
          <w:tcPr>
            <w:tcW w:type="dxa" w:w="4986"/>
          </w:tcPr>
          <w:p>
            <w:r>
              <w:t>Ingreso neto por unidad</w:t>
            </w:r>
          </w:p>
        </w:tc>
        <w:tc>
          <w:tcPr>
            <w:tcW w:type="dxa" w:w="4986"/>
          </w:tcPr>
          <w:p>
            <w:r>
              <w:t>56 Bs</w:t>
            </w:r>
          </w:p>
        </w:tc>
      </w:tr>
      <w:tr>
        <w:tc>
          <w:tcPr>
            <w:tcW w:type="dxa" w:w="4986"/>
          </w:tcPr>
          <w:p>
            <w:r>
              <w:t>Costo operativo mensual estimado</w:t>
            </w:r>
          </w:p>
        </w:tc>
        <w:tc>
          <w:tcPr>
            <w:tcW w:type="dxa" w:w="4986"/>
          </w:tcPr>
          <w:p>
            <w:r>
              <w:t>28.161,10 Bs</w:t>
            </w:r>
          </w:p>
        </w:tc>
      </w:tr>
      <w:tr>
        <w:tc>
          <w:tcPr>
            <w:tcW w:type="dxa" w:w="4986"/>
          </w:tcPr>
          <w:p>
            <w:r>
              <w:t>Punto de equilibrio</w:t>
            </w:r>
          </w:p>
        </w:tc>
        <w:tc>
          <w:tcPr>
            <w:tcW w:type="dxa" w:w="4986"/>
          </w:tcPr>
          <w:p>
            <w:r>
              <w:t>503 unidades/mes</w:t>
            </w:r>
          </w:p>
        </w:tc>
      </w:tr>
    </w:tbl>
    <w:p>
      <w:r>
        <w:t>La primera meta comercial es llegar al punto de equilibrio. La segunda es mantener ventas superiores a 600 unidades mensuales durante tres meses consecutivos antes de ampliar gastos.</w:t>
      </w:r>
    </w:p>
    <w:p>
      <w:pPr>
        <w:pStyle w:val="Heading1"/>
      </w:pPr>
      <w:r>
        <w:t>5. Escalera de estabilidad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Condición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Decisión</w:t>
            </w:r>
          </w:p>
        </w:tc>
      </w:tr>
      <w:tr>
        <w:tc>
          <w:tcPr>
            <w:tcW w:type="dxa" w:w="3324"/>
          </w:tcPr>
          <w:p>
            <w:r>
              <w:t>Rojo</w:t>
            </w:r>
          </w:p>
        </w:tc>
        <w:tc>
          <w:tcPr>
            <w:tcW w:type="dxa" w:w="3324"/>
          </w:tcPr>
          <w:p>
            <w:r>
              <w:t>Menos de 503 unidades/mes</w:t>
            </w:r>
          </w:p>
        </w:tc>
        <w:tc>
          <w:tcPr>
            <w:tcW w:type="dxa" w:w="3324"/>
          </w:tcPr>
          <w:p>
            <w:r>
              <w:t>Congelar gastos, revisar producto y reforzar promoción orgánica.</w:t>
            </w:r>
          </w:p>
        </w:tc>
      </w:tr>
      <w:tr>
        <w:tc>
          <w:tcPr>
            <w:tcW w:type="dxa" w:w="3324"/>
          </w:tcPr>
          <w:p>
            <w:r>
              <w:t>Amarillo</w:t>
            </w:r>
          </w:p>
        </w:tc>
        <w:tc>
          <w:tcPr>
            <w:tcW w:type="dxa" w:w="3324"/>
          </w:tcPr>
          <w:p>
            <w:r>
              <w:t>503 a 599 unidades/mes</w:t>
            </w:r>
          </w:p>
        </w:tc>
        <w:tc>
          <w:tcPr>
            <w:tcW w:type="dxa" w:w="3324"/>
          </w:tcPr>
          <w:p>
            <w:r>
              <w:t>Mantener operación sin nuevas compras y corregir el plan de ventas.</w:t>
            </w:r>
          </w:p>
        </w:tc>
      </w:tr>
      <w:tr>
        <w:tc>
          <w:tcPr>
            <w:tcW w:type="dxa" w:w="3324"/>
          </w:tcPr>
          <w:p>
            <w:r>
              <w:t>Verde</w:t>
            </w:r>
          </w:p>
        </w:tc>
        <w:tc>
          <w:tcPr>
            <w:tcW w:type="dxa" w:w="3324"/>
          </w:tcPr>
          <w:p>
            <w:r>
              <w:t>600 o más unidades/mes durante 3 meses</w:t>
            </w:r>
          </w:p>
        </w:tc>
        <w:tc>
          <w:tcPr>
            <w:tcW w:type="dxa" w:w="3324"/>
          </w:tcPr>
          <w:p>
            <w:r>
              <w:t>Crear reserva y evaluar reinversión controlada.</w:t>
            </w:r>
          </w:p>
        </w:tc>
      </w:tr>
      <w:tr>
        <w:tc>
          <w:tcPr>
            <w:tcW w:type="dxa" w:w="3324"/>
          </w:tcPr>
          <w:p>
            <w:r>
              <w:t>Expansión</w:t>
            </w:r>
          </w:p>
        </w:tc>
        <w:tc>
          <w:tcPr>
            <w:tcW w:type="dxa" w:w="3324"/>
          </w:tcPr>
          <w:p>
            <w:r>
              <w:t>1.000 o más unidades/mes durante 3 meses</w:t>
            </w:r>
          </w:p>
        </w:tc>
        <w:tc>
          <w:tcPr>
            <w:tcW w:type="dxa" w:w="3324"/>
          </w:tcPr>
          <w:p>
            <w:r>
              <w:t>Presentar solicitud de inversión separada, sin comprometer la reserva.</w:t>
            </w:r>
          </w:p>
        </w:tc>
      </w:tr>
    </w:tbl>
    <w:p>
      <w:pPr>
        <w:pStyle w:val="Heading1"/>
      </w:pPr>
      <w:r>
        <w:t>6. Plan comercial de bajo costo</w:t>
      </w:r>
    </w:p>
    <w:p>
      <w:r>
        <w:t>La promoción inicial será orgánica para no superar el presupuesto de creación:</w:t>
      </w:r>
    </w:p>
    <w:p>
      <w:pPr>
        <w:pStyle w:val="ListBullet"/>
      </w:pPr>
      <w:r>
        <w:t>Página de tienda optimizada con descripción, capturas y tráiler.</w:t>
      </w:r>
    </w:p>
    <w:p>
      <w:pPr>
        <w:pStyle w:val="ListBullet"/>
      </w:pPr>
      <w:r>
        <w:t>Comunidad en Discord y redes sociales gratuitas.</w:t>
      </w:r>
    </w:p>
    <w:p>
      <w:pPr>
        <w:pStyle w:val="ListBullet"/>
      </w:pPr>
      <w:r>
        <w:t>Publicaciones semanales de avances del juego.</w:t>
      </w:r>
    </w:p>
    <w:p>
      <w:pPr>
        <w:pStyle w:val="ListBullet"/>
      </w:pPr>
      <w:r>
        <w:t>Contacto con creadores de contenido mediante claves de prueba.</w:t>
      </w:r>
    </w:p>
    <w:p>
      <w:pPr>
        <w:pStyle w:val="ListBullet"/>
      </w:pPr>
      <w:r>
        <w:t>Participación en ferias, eventos universitarios y comunidades de videojuegos.</w:t>
      </w:r>
    </w:p>
    <w:p>
      <w:pPr>
        <w:pStyle w:val="ListBullet"/>
      </w:pPr>
      <w:r>
        <w:t>Recolección de wishlists, comentarios y métricas de conversión.</w:t>
      </w:r>
    </w:p>
    <w:p>
      <w:r>
        <w:t>No se contratará publicidad pagada hasta que exista caja suficiente y aprobación del CEO y del responsable financiero.</w:t>
      </w:r>
    </w:p>
    <w:p>
      <w:pPr>
        <w:pStyle w:val="Heading1"/>
      </w:pPr>
      <w:r>
        <w:t>7. Control financiero mensual</w:t>
      </w:r>
    </w:p>
    <w:p>
      <w:r>
        <w:t>El responsable financiero debe registrar cada mes:</w:t>
      </w:r>
    </w:p>
    <w:p>
      <w:pPr>
        <w:pStyle w:val="ListBullet"/>
      </w:pPr>
      <w:r>
        <w:t>Unidades vendidas y devoluciones.</w:t>
      </w:r>
    </w:p>
    <w:p>
      <w:pPr>
        <w:pStyle w:val="ListBullet"/>
      </w:pPr>
      <w:r>
        <w:t>Ingreso bruto, comisión e ingreso neto.</w:t>
      </w:r>
    </w:p>
    <w:p>
      <w:pPr>
        <w:pStyle w:val="ListBullet"/>
      </w:pPr>
      <w:r>
        <w:t>Costos de personal y cargas sociales.</w:t>
      </w:r>
    </w:p>
    <w:p>
      <w:pPr>
        <w:pStyle w:val="ListBullet"/>
      </w:pPr>
      <w:r>
        <w:t>Saldo inicial, entradas, salidas y saldo final.</w:t>
      </w:r>
    </w:p>
    <w:p>
      <w:pPr>
        <w:pStyle w:val="ListBullet"/>
      </w:pPr>
      <w:r>
        <w:t>Diferencia entre presupuesto y gasto real.</w:t>
      </w:r>
    </w:p>
    <w:p>
      <w:r>
        <w:t>Se realizará una reunión mensual de revisión. Una desviación superior al 10% exige una acción correctiva documentada.</w:t>
      </w:r>
    </w:p>
    <w:p>
      <w:pPr>
        <w:pStyle w:val="Heading1"/>
      </w:pPr>
      <w:r>
        <w:t>8. Indicadores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3324"/>
          </w:tcPr>
          <w:p>
            <w:r>
              <w:rPr>
                <w:b/>
              </w:rPr>
              <w:t>Meta</w:t>
            </w:r>
          </w:p>
        </w:tc>
      </w:tr>
      <w:tr>
        <w:tc>
          <w:tcPr>
            <w:tcW w:type="dxa" w:w="3324"/>
          </w:tcPr>
          <w:p>
            <w:r>
              <w:t>Ventas mensuales</w:t>
            </w:r>
          </w:p>
        </w:tc>
        <w:tc>
          <w:tcPr>
            <w:tcW w:type="dxa" w:w="3324"/>
          </w:tcPr>
          <w:p>
            <w:r>
              <w:t>Unidades vendidas</w:t>
            </w:r>
          </w:p>
        </w:tc>
        <w:tc>
          <w:tcPr>
            <w:tcW w:type="dxa" w:w="3324"/>
          </w:tcPr>
          <w:p>
            <w:r>
              <w:t>≥503</w:t>
            </w:r>
          </w:p>
        </w:tc>
      </w:tr>
      <w:tr>
        <w:tc>
          <w:tcPr>
            <w:tcW w:type="dxa" w:w="3324"/>
          </w:tcPr>
          <w:p>
            <w:r>
              <w:t>Ingreso neto</w:t>
            </w:r>
          </w:p>
        </w:tc>
        <w:tc>
          <w:tcPr>
            <w:tcW w:type="dxa" w:w="3324"/>
          </w:tcPr>
          <w:p>
            <w:r>
              <w:t>Ventas × 56 Bs</w:t>
            </w:r>
          </w:p>
        </w:tc>
        <w:tc>
          <w:tcPr>
            <w:tcW w:type="dxa" w:w="3324"/>
          </w:tcPr>
          <w:p>
            <w:r>
              <w:t>≥28.161,10 Bs</w:t>
            </w:r>
          </w:p>
        </w:tc>
      </w:tr>
      <w:tr>
        <w:tc>
          <w:tcPr>
            <w:tcW w:type="dxa" w:w="3324"/>
          </w:tcPr>
          <w:p>
            <w:r>
              <w:t>Variación presupuestaria</w:t>
            </w:r>
          </w:p>
        </w:tc>
        <w:tc>
          <w:tcPr>
            <w:tcW w:type="dxa" w:w="3324"/>
          </w:tcPr>
          <w:p>
            <w:r>
              <w:t>(Real − planificado) / planificado</w:t>
            </w:r>
          </w:p>
        </w:tc>
        <w:tc>
          <w:tcPr>
            <w:tcW w:type="dxa" w:w="3324"/>
          </w:tcPr>
          <w:p>
            <w:r>
              <w:t>≤10%</w:t>
            </w:r>
          </w:p>
        </w:tc>
      </w:tr>
      <w:tr>
        <w:tc>
          <w:tcPr>
            <w:tcW w:type="dxa" w:w="3324"/>
          </w:tcPr>
          <w:p>
            <w:r>
              <w:t>Conversión de tienda</w:t>
            </w:r>
          </w:p>
        </w:tc>
        <w:tc>
          <w:tcPr>
            <w:tcW w:type="dxa" w:w="3324"/>
          </w:tcPr>
          <w:p>
            <w:r>
              <w:t>Compras / visitas</w:t>
            </w:r>
          </w:p>
        </w:tc>
        <w:tc>
          <w:tcPr>
            <w:tcW w:type="dxa" w:w="3324"/>
          </w:tcPr>
          <w:p>
            <w:r>
              <w:t>Mejorar mensualmente</w:t>
            </w:r>
          </w:p>
        </w:tc>
      </w:tr>
      <w:tr>
        <w:tc>
          <w:tcPr>
            <w:tcW w:type="dxa" w:w="3324"/>
          </w:tcPr>
          <w:p>
            <w:r>
              <w:t>Reserva de caja</w:t>
            </w:r>
          </w:p>
        </w:tc>
        <w:tc>
          <w:tcPr>
            <w:tcW w:type="dxa" w:w="3324"/>
          </w:tcPr>
          <w:p>
            <w:r>
              <w:t>Saldo disponible / costo mensual</w:t>
            </w:r>
          </w:p>
        </w:tc>
        <w:tc>
          <w:tcPr>
            <w:tcW w:type="dxa" w:w="3324"/>
          </w:tcPr>
          <w:p>
            <w:r>
              <w:t>1 mes mínimo inicial</w:t>
            </w:r>
          </w:p>
        </w:tc>
      </w:tr>
      <w:tr>
        <w:tc>
          <w:tcPr>
            <w:tcW w:type="dxa" w:w="3324"/>
          </w:tcPr>
          <w:p>
            <w:r>
              <w:t>Incidencias críticas</w:t>
            </w:r>
          </w:p>
        </w:tc>
        <w:tc>
          <w:tcPr>
            <w:tcW w:type="dxa" w:w="3324"/>
          </w:tcPr>
          <w:p>
            <w:r>
              <w:t>Incidencias abiertas sin resolver</w:t>
            </w:r>
          </w:p>
        </w:tc>
        <w:tc>
          <w:tcPr>
            <w:tcW w:type="dxa" w:w="3324"/>
          </w:tcPr>
          <w:p>
            <w:r>
              <w:t>0 al cierre</w:t>
            </w:r>
          </w:p>
        </w:tc>
      </w:tr>
    </w:tbl>
    <w:p>
      <w:pPr>
        <w:pStyle w:val="Heading1"/>
      </w:pPr>
      <w:r>
        <w:t>9. Responsables</w:t>
      </w:r>
    </w:p>
    <w:p>
      <w:pPr>
        <w:pStyle w:val="ListBullet"/>
      </w:pPr>
      <w:r>
        <w:t>**CEO:** aprueba gastos, metas y cambios de estrategia.</w:t>
      </w:r>
    </w:p>
    <w:p>
      <w:pPr>
        <w:pStyle w:val="ListBullet"/>
      </w:pPr>
      <w:r>
        <w:t>**Financiera:** actualiza ventas, caja, costos y punto de equilibrio.</w:t>
      </w:r>
    </w:p>
    <w:p>
      <w:pPr>
        <w:pStyle w:val="ListBullet"/>
      </w:pPr>
      <w:r>
        <w:t>**Marketing:** ejecuta promoción orgánica y reporta conversiones.</w:t>
      </w:r>
    </w:p>
    <w:p>
      <w:pPr>
        <w:pStyle w:val="ListBullet"/>
      </w:pPr>
      <w:r>
        <w:t>**Producción y Diseño:** priorizan mejoras que impacten retención y satisfacción.</w:t>
      </w:r>
    </w:p>
    <w:p>
      <w:pPr>
        <w:pStyle w:val="Heading1"/>
      </w:pPr>
      <w:r>
        <w:t>10. Revisión</w:t>
      </w:r>
    </w:p>
    <w:p>
      <w:r>
        <w:t>El plan se revisará mensualmente y se actualizará cuando cambie el precio, la comisión de plataforma, el número de trabajadores o el costo operativo. Toda modificación debe quedar registrada y aprobada por el CEO.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