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B3472B"/>
          <w:sz w:val="20"/>
        </w:rPr>
        <w:t>PROJET CULTUREL &amp; ÉCONOMIQUE</w:t>
      </w:r>
    </w:p>
    <w:p>
      <w:pPr>
        <w:pStyle w:val="Title"/>
      </w:pPr>
      <w:r>
        <w:t>Business plan</w:t>
        <w:br/>
        <w:t>du CCJAB</w:t>
      </w:r>
    </w:p>
    <w:p>
      <w:pPr>
        <w:spacing w:before="160"/>
      </w:pPr>
      <w:r>
        <w:rPr>
          <w:color w:val="5C6762"/>
          <w:sz w:val="30"/>
        </w:rPr>
        <w:t>Centre Culturel Jacques Aka  |  Bouaké, Côte d’Ivoire</w:t>
      </w:r>
    </w:p>
    <w:p>
      <w:pPr>
        <w:spacing w:before="400"/>
      </w:pPr>
      <w:r>
        <w:rPr>
          <w:b/>
          <w:sz w:val="24"/>
        </w:rPr>
        <w:t>Plan de développement sur 3 ans</w:t>
      </w:r>
    </w:p>
    <w:p>
      <w:pPr>
        <w:spacing w:before="2000"/>
      </w:pPr>
      <w:r>
        <w:rPr>
          <w:color w:val="6E7874"/>
          <w:sz w:val="18"/>
        </w:rPr>
        <w:t>Version de travail — octobre 2026</w:t>
      </w:r>
    </w:p>
    <w:p>
      <w:r>
        <w:t>Document de cadrage destiné aux partenaires, financeurs et à l’équipe de direction. Les projections financières sont des scénarios de planification et doivent être remplacées par les données comptables, les tarifs et les capacités réellement validés.</w:t>
      </w:r>
    </w:p>
    <w:p>
      <w:r>
        <w:br w:type="page"/>
      </w:r>
    </w:p>
    <w:p>
      <w:pPr>
        <w:pStyle w:val="Heading1"/>
        <w:keepNext/>
      </w:pPr>
      <w:r>
        <w:t>Résumé exécutif</w:t>
      </w:r>
    </w:p>
    <w:p>
      <w:r>
        <w:t>Le Centre Culturel Jacques Aka (CCJAB), situé à Bouaké, dispose d’un socle de services culturels et d’un outil numérique déjà engagé. Le projet combine programmation artistique, accueil d’événements, location d’espaces, médiathèque, ludothèque et communication au public. Le business plan vise à transformer ces actifs en un modèle durable : une mission culturelle accessible, soutenue par des revenus propres diversifiés et des financements partenaires.</w:t>
      </w:r>
    </w:p>
    <w:p>
      <w:r>
        <w:t>Le site et l’application observés comprennent un agenda public, des pages dédiées aux espaces, à la médiathèque et à la ludothèque, un back-office pour gérer les salles, les événements, les paiements, les actualités et les utilisateurs, ainsi qu’une billetterie avec paiement en ligne prévue via Genius Pay. Cette base réduit le coût de lancement numérique, mais ne prouve pas à elle seule que la billetterie est activée en production ni que les revenus proposés sont déjà réalisés.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83B36"/>
          </w:tcPr>
          <w:p>
            <w:pPr>
              <w:spacing w:after="40"/>
            </w:pPr>
            <w:r/>
            <w:r>
              <w:rPr>
                <w:rFonts w:ascii="Aptos" w:hAnsi="Aptos"/>
                <w:b/>
                <w:color w:val="FFFFFF"/>
                <w:sz w:val="16"/>
              </w:rPr>
              <w:t>Repère de décision</w:t>
            </w:r>
          </w:p>
        </w:tc>
        <w:tc>
          <w:tcPr>
            <w:tcW w:type="dxa" w:w="7056"/>
            <w:vAlign w:val="center"/>
            <w:shd w:fill="183B36"/>
          </w:tcPr>
          <w:p>
            <w:pPr>
              <w:spacing w:after="40"/>
            </w:pPr>
            <w:r/>
            <w:r>
              <w:rPr>
                <w:rFonts w:ascii="Aptos" w:hAnsi="Aptos"/>
                <w:b/>
                <w:color w:val="FFFFFF"/>
                <w:sz w:val="16"/>
              </w:rPr>
              <w:t>Scénario central proposé</w:t>
            </w:r>
          </w:p>
        </w:tc>
      </w:tr>
      <w:tr>
        <w:tc>
          <w:tcPr>
            <w:tcW w:type="dxa" w:w="2880"/>
            <w:vAlign w:val="center"/>
          </w:tcPr>
          <w:p>
            <w:pPr>
              <w:spacing w:after="40"/>
            </w:pPr>
            <w:r/>
            <w:r>
              <w:rPr>
                <w:rFonts w:ascii="Aptos" w:hAnsi="Aptos"/>
                <w:b/>
                <w:color w:val="30353A"/>
                <w:sz w:val="16"/>
              </w:rPr>
              <w:t>Horizon</w:t>
            </w:r>
          </w:p>
        </w:tc>
        <w:tc>
          <w:tcPr>
            <w:tcW w:type="dxa" w:w="7056"/>
            <w:vAlign w:val="center"/>
          </w:tcPr>
          <w:p>
            <w:pPr>
              <w:spacing w:after="40"/>
            </w:pPr>
            <w:r/>
            <w:r>
              <w:rPr>
                <w:rFonts w:ascii="Aptos" w:hAnsi="Aptos"/>
                <w:b w:val="0"/>
                <w:color w:val="30353A"/>
                <w:sz w:val="16"/>
              </w:rPr>
              <w:t>3 ans à compter de l’année de lancement opérationnel</w:t>
            </w:r>
          </w:p>
        </w:tc>
      </w:tr>
      <w:tr>
        <w:tc>
          <w:tcPr>
            <w:tcW w:type="dxa" w:w="2880"/>
            <w:vAlign w:val="center"/>
            <w:shd w:fill="F1F5F3"/>
          </w:tcPr>
          <w:p>
            <w:pPr>
              <w:spacing w:after="40"/>
            </w:pPr>
            <w:r/>
            <w:r>
              <w:rPr>
                <w:rFonts w:ascii="Aptos" w:hAnsi="Aptos"/>
                <w:b/>
                <w:color w:val="30353A"/>
                <w:sz w:val="16"/>
              </w:rPr>
              <w:t>Besoin initial indicatif</w:t>
            </w:r>
          </w:p>
        </w:tc>
        <w:tc>
          <w:tcPr>
            <w:tcW w:type="dxa" w:w="7056"/>
            <w:vAlign w:val="center"/>
            <w:shd w:fill="F1F5F3"/>
          </w:tcPr>
          <w:p>
            <w:pPr>
              <w:spacing w:after="40"/>
            </w:pPr>
            <w:r/>
            <w:r>
              <w:rPr>
                <w:rFonts w:ascii="Aptos" w:hAnsi="Aptos"/>
                <w:b w:val="0"/>
                <w:color w:val="30353A"/>
                <w:sz w:val="16"/>
              </w:rPr>
              <w:t>35 M FCFA : 18 M investissement, 12 M lancement de programmation, 5 M fonds de roulement</w:t>
            </w:r>
          </w:p>
        </w:tc>
      </w:tr>
      <w:tr>
        <w:tc>
          <w:tcPr>
            <w:tcW w:type="dxa" w:w="2880"/>
            <w:vAlign w:val="center"/>
          </w:tcPr>
          <w:p>
            <w:pPr>
              <w:spacing w:after="40"/>
            </w:pPr>
            <w:r/>
            <w:r>
              <w:rPr>
                <w:rFonts w:ascii="Aptos" w:hAnsi="Aptos"/>
                <w:b/>
                <w:color w:val="30353A"/>
                <w:sz w:val="16"/>
              </w:rPr>
              <w:t>Revenus visés</w:t>
            </w:r>
          </w:p>
        </w:tc>
        <w:tc>
          <w:tcPr>
            <w:tcW w:type="dxa" w:w="7056"/>
            <w:vAlign w:val="center"/>
          </w:tcPr>
          <w:p>
            <w:pPr>
              <w:spacing w:after="40"/>
            </w:pPr>
            <w:r/>
            <w:r>
              <w:rPr>
                <w:rFonts w:ascii="Aptos" w:hAnsi="Aptos"/>
                <w:b w:val="0"/>
                <w:color w:val="30353A"/>
                <w:sz w:val="16"/>
              </w:rPr>
              <w:t>45 M FCFA en année 1, 58 M en année 2, 72 M en année 3</w:t>
            </w:r>
          </w:p>
        </w:tc>
      </w:tr>
      <w:tr>
        <w:tc>
          <w:tcPr>
            <w:tcW w:type="dxa" w:w="2880"/>
            <w:vAlign w:val="center"/>
            <w:shd w:fill="F1F5F3"/>
          </w:tcPr>
          <w:p>
            <w:pPr>
              <w:spacing w:after="40"/>
            </w:pPr>
            <w:r/>
            <w:r>
              <w:rPr>
                <w:rFonts w:ascii="Aptos" w:hAnsi="Aptos"/>
                <w:b/>
                <w:color w:val="30353A"/>
                <w:sz w:val="16"/>
              </w:rPr>
              <w:t>Équilibre d’exploitation indicatif</w:t>
            </w:r>
          </w:p>
        </w:tc>
        <w:tc>
          <w:tcPr>
            <w:tcW w:type="dxa" w:w="7056"/>
            <w:vAlign w:val="center"/>
            <w:shd w:fill="F1F5F3"/>
          </w:tcPr>
          <w:p>
            <w:pPr>
              <w:spacing w:after="40"/>
            </w:pPr>
            <w:r/>
            <w:r>
              <w:rPr>
                <w:rFonts w:ascii="Aptos" w:hAnsi="Aptos"/>
                <w:b w:val="0"/>
                <w:color w:val="30353A"/>
                <w:sz w:val="16"/>
              </w:rPr>
              <w:t>Déficit de 7 M en année 1, proche de l’équilibre en année 2, excédent de 5 M en année 3</w:t>
            </w:r>
          </w:p>
        </w:tc>
      </w:tr>
      <w:tr>
        <w:tc>
          <w:tcPr>
            <w:tcW w:type="dxa" w:w="2880"/>
            <w:vAlign w:val="center"/>
          </w:tcPr>
          <w:p>
            <w:pPr>
              <w:spacing w:after="40"/>
            </w:pPr>
            <w:r/>
            <w:r>
              <w:rPr>
                <w:rFonts w:ascii="Aptos" w:hAnsi="Aptos"/>
                <w:b/>
                <w:color w:val="30353A"/>
                <w:sz w:val="16"/>
              </w:rPr>
              <w:t>Condition de réussite</w:t>
            </w:r>
          </w:p>
        </w:tc>
        <w:tc>
          <w:tcPr>
            <w:tcW w:type="dxa" w:w="7056"/>
            <w:vAlign w:val="center"/>
          </w:tcPr>
          <w:p>
            <w:pPr>
              <w:spacing w:after="40"/>
            </w:pPr>
            <w:r/>
            <w:r>
              <w:rPr>
                <w:rFonts w:ascii="Aptos" w:hAnsi="Aptos"/>
                <w:b w:val="0"/>
                <w:color w:val="30353A"/>
                <w:sz w:val="16"/>
              </w:rPr>
              <w:t>Valider la demande, les capacités, les tarifs, le budget RH et les engagements de financement avant adoption du scénario</w:t>
            </w:r>
          </w:p>
        </w:tc>
      </w:tr>
    </w:tbl>
    <w:p>
      <w:pPr>
        <w:spacing w:after="0"/>
      </w:pPr>
    </w:p>
    <w:p>
      <w:r>
        <w:t>Recommandation : lancer une phase de validation de 90 jours, puis déployer un programme annuel calibré sur les capacités et la trésorerie. La priorité est de mesurer les usages et la rentabilité par activité, d’ouvrir progressivement la billetterie et de formaliser des partenariats récurrents avec les entreprises, établissements scolaires, associations et acteurs publics.</w:t>
      </w:r>
    </w:p>
    <w:p>
      <w:pPr>
        <w:pStyle w:val="Heading1"/>
        <w:keepNext/>
      </w:pPr>
      <w:r>
        <w:t>1. Le projet et sa proposition de valeur</w:t>
      </w:r>
    </w:p>
    <w:p>
      <w:r>
        <w:t>Le CCJAB se positionne comme un équipement culturel de proximité à Bouaké, offrant un lieu de diffusion, de pratique, d’apprentissage et de rencontre. Sa valeur tient à la complémentarité entre les espaces physiques, la programmation et une présence numérique qui facilite la découverte, la réservation et la communication.</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183B36"/>
          </w:tcPr>
          <w:p>
            <w:pPr>
              <w:spacing w:after="40"/>
            </w:pPr>
            <w:r/>
            <w:r>
              <w:rPr>
                <w:rFonts w:ascii="Aptos" w:hAnsi="Aptos"/>
                <w:b/>
                <w:color w:val="FFFFFF"/>
                <w:sz w:val="16"/>
              </w:rPr>
              <w:t>Publics prioritaires</w:t>
            </w:r>
          </w:p>
        </w:tc>
        <w:tc>
          <w:tcPr>
            <w:tcW w:type="dxa" w:w="3168"/>
            <w:vAlign w:val="center"/>
            <w:shd w:fill="183B36"/>
          </w:tcPr>
          <w:p>
            <w:pPr>
              <w:spacing w:after="40"/>
            </w:pPr>
            <w:r/>
            <w:r>
              <w:rPr>
                <w:rFonts w:ascii="Aptos" w:hAnsi="Aptos"/>
                <w:b/>
                <w:color w:val="FFFFFF"/>
                <w:sz w:val="16"/>
              </w:rPr>
              <w:t>Besoin servi</w:t>
            </w:r>
          </w:p>
        </w:tc>
        <w:tc>
          <w:tcPr>
            <w:tcW w:type="dxa" w:w="4608"/>
            <w:vAlign w:val="center"/>
            <w:shd w:fill="183B36"/>
          </w:tcPr>
          <w:p>
            <w:pPr>
              <w:spacing w:after="40"/>
            </w:pPr>
            <w:r/>
            <w:r>
              <w:rPr>
                <w:rFonts w:ascii="Aptos" w:hAnsi="Aptos"/>
                <w:b/>
                <w:color w:val="FFFFFF"/>
                <w:sz w:val="16"/>
              </w:rPr>
              <w:t>Offre à structurer</w:t>
            </w:r>
          </w:p>
        </w:tc>
      </w:tr>
      <w:tr>
        <w:tc>
          <w:tcPr>
            <w:tcW w:type="dxa" w:w="2160"/>
            <w:vAlign w:val="center"/>
          </w:tcPr>
          <w:p>
            <w:pPr>
              <w:spacing w:after="40"/>
            </w:pPr>
            <w:r/>
            <w:r>
              <w:rPr>
                <w:rFonts w:ascii="Aptos" w:hAnsi="Aptos"/>
                <w:b/>
                <w:color w:val="30353A"/>
                <w:sz w:val="16"/>
              </w:rPr>
              <w:t>Habitants, familles et jeunes</w:t>
            </w:r>
          </w:p>
        </w:tc>
        <w:tc>
          <w:tcPr>
            <w:tcW w:type="dxa" w:w="3168"/>
            <w:vAlign w:val="center"/>
          </w:tcPr>
          <w:p>
            <w:pPr>
              <w:spacing w:after="40"/>
            </w:pPr>
            <w:r/>
            <w:r>
              <w:rPr>
                <w:rFonts w:ascii="Aptos" w:hAnsi="Aptos"/>
                <w:b w:val="0"/>
                <w:color w:val="30353A"/>
                <w:sz w:val="16"/>
              </w:rPr>
              <w:t>Accès régulier à des activités de qualité</w:t>
            </w:r>
          </w:p>
        </w:tc>
        <w:tc>
          <w:tcPr>
            <w:tcW w:type="dxa" w:w="4608"/>
            <w:vAlign w:val="center"/>
          </w:tcPr>
          <w:p>
            <w:pPr>
              <w:spacing w:after="40"/>
            </w:pPr>
            <w:r/>
            <w:r>
              <w:rPr>
                <w:rFonts w:ascii="Aptos" w:hAnsi="Aptos"/>
                <w:b w:val="0"/>
                <w:color w:val="30353A"/>
                <w:sz w:val="16"/>
              </w:rPr>
              <w:t>Spectacles, cinéma/débats si capacité, ateliers, jeux, médiation</w:t>
            </w:r>
          </w:p>
        </w:tc>
      </w:tr>
      <w:tr>
        <w:tc>
          <w:tcPr>
            <w:tcW w:type="dxa" w:w="2160"/>
            <w:vAlign w:val="center"/>
            <w:shd w:fill="F1F5F3"/>
          </w:tcPr>
          <w:p>
            <w:pPr>
              <w:spacing w:after="40"/>
            </w:pPr>
            <w:r/>
            <w:r>
              <w:rPr>
                <w:rFonts w:ascii="Aptos" w:hAnsi="Aptos"/>
                <w:b/>
                <w:color w:val="30353A"/>
                <w:sz w:val="16"/>
              </w:rPr>
              <w:t>Écoles, universités et associations</w:t>
            </w:r>
          </w:p>
        </w:tc>
        <w:tc>
          <w:tcPr>
            <w:tcW w:type="dxa" w:w="3168"/>
            <w:vAlign w:val="center"/>
            <w:shd w:fill="F1F5F3"/>
          </w:tcPr>
          <w:p>
            <w:pPr>
              <w:spacing w:after="40"/>
            </w:pPr>
            <w:r/>
            <w:r>
              <w:rPr>
                <w:rFonts w:ascii="Aptos" w:hAnsi="Aptos"/>
                <w:b w:val="0"/>
                <w:color w:val="30353A"/>
                <w:sz w:val="16"/>
              </w:rPr>
              <w:t>Activités collectives, apprentissage et accès aux équipements</w:t>
            </w:r>
          </w:p>
        </w:tc>
        <w:tc>
          <w:tcPr>
            <w:tcW w:type="dxa" w:w="4608"/>
            <w:vAlign w:val="center"/>
            <w:shd w:fill="F1F5F3"/>
          </w:tcPr>
          <w:p>
            <w:pPr>
              <w:spacing w:after="40"/>
            </w:pPr>
            <w:r/>
            <w:r>
              <w:rPr>
                <w:rFonts w:ascii="Aptos" w:hAnsi="Aptos"/>
                <w:b w:val="0"/>
                <w:color w:val="30353A"/>
                <w:sz w:val="16"/>
              </w:rPr>
              <w:t>Visites, ateliers, séances dédiées, conventions de groupe</w:t>
            </w:r>
          </w:p>
        </w:tc>
      </w:tr>
      <w:tr>
        <w:tc>
          <w:tcPr>
            <w:tcW w:type="dxa" w:w="2160"/>
            <w:vAlign w:val="center"/>
          </w:tcPr>
          <w:p>
            <w:pPr>
              <w:spacing w:after="40"/>
            </w:pPr>
            <w:r/>
            <w:r>
              <w:rPr>
                <w:rFonts w:ascii="Aptos" w:hAnsi="Aptos"/>
                <w:b/>
                <w:color w:val="30353A"/>
                <w:sz w:val="16"/>
              </w:rPr>
              <w:t>Artistes et opérateurs culturels</w:t>
            </w:r>
          </w:p>
        </w:tc>
        <w:tc>
          <w:tcPr>
            <w:tcW w:type="dxa" w:w="3168"/>
            <w:vAlign w:val="center"/>
          </w:tcPr>
          <w:p>
            <w:pPr>
              <w:spacing w:after="40"/>
            </w:pPr>
            <w:r/>
            <w:r>
              <w:rPr>
                <w:rFonts w:ascii="Aptos" w:hAnsi="Aptos"/>
                <w:b w:val="0"/>
                <w:color w:val="30353A"/>
                <w:sz w:val="16"/>
              </w:rPr>
              <w:t>Scène, visibilité, production et accueil</w:t>
            </w:r>
          </w:p>
        </w:tc>
        <w:tc>
          <w:tcPr>
            <w:tcW w:type="dxa" w:w="4608"/>
            <w:vAlign w:val="center"/>
          </w:tcPr>
          <w:p>
            <w:pPr>
              <w:spacing w:after="40"/>
            </w:pPr>
            <w:r/>
            <w:r>
              <w:rPr>
                <w:rFonts w:ascii="Aptos" w:hAnsi="Aptos"/>
                <w:b w:val="0"/>
                <w:color w:val="30353A"/>
                <w:sz w:val="16"/>
              </w:rPr>
              <w:t>Coproductions, résidences, locations et accompagnement</w:t>
            </w:r>
          </w:p>
        </w:tc>
      </w:tr>
      <w:tr>
        <w:tc>
          <w:tcPr>
            <w:tcW w:type="dxa" w:w="2160"/>
            <w:vAlign w:val="center"/>
            <w:shd w:fill="F1F5F3"/>
          </w:tcPr>
          <w:p>
            <w:pPr>
              <w:spacing w:after="40"/>
            </w:pPr>
            <w:r/>
            <w:r>
              <w:rPr>
                <w:rFonts w:ascii="Aptos" w:hAnsi="Aptos"/>
                <w:b/>
                <w:color w:val="30353A"/>
                <w:sz w:val="16"/>
              </w:rPr>
              <w:t>Entreprises et institutions</w:t>
            </w:r>
          </w:p>
        </w:tc>
        <w:tc>
          <w:tcPr>
            <w:tcW w:type="dxa" w:w="3168"/>
            <w:vAlign w:val="center"/>
            <w:shd w:fill="F1F5F3"/>
          </w:tcPr>
          <w:p>
            <w:pPr>
              <w:spacing w:after="40"/>
            </w:pPr>
            <w:r/>
            <w:r>
              <w:rPr>
                <w:rFonts w:ascii="Aptos" w:hAnsi="Aptos"/>
                <w:b w:val="0"/>
                <w:color w:val="30353A"/>
                <w:sz w:val="16"/>
              </w:rPr>
              <w:t>Lieu pour événements, visibilité et impact local</w:t>
            </w:r>
          </w:p>
        </w:tc>
        <w:tc>
          <w:tcPr>
            <w:tcW w:type="dxa" w:w="4608"/>
            <w:vAlign w:val="center"/>
            <w:shd w:fill="F1F5F3"/>
          </w:tcPr>
          <w:p>
            <w:pPr>
              <w:spacing w:after="40"/>
            </w:pPr>
            <w:r/>
            <w:r>
              <w:rPr>
                <w:rFonts w:ascii="Aptos" w:hAnsi="Aptos"/>
                <w:b w:val="0"/>
                <w:color w:val="30353A"/>
                <w:sz w:val="16"/>
              </w:rPr>
              <w:t>Location de salles, sponsoring, mécénat et événements partenaires</w:t>
            </w:r>
          </w:p>
        </w:tc>
      </w:tr>
      <w:tr>
        <w:tc>
          <w:tcPr>
            <w:tcW w:type="dxa" w:w="2160"/>
            <w:vAlign w:val="center"/>
          </w:tcPr>
          <w:p>
            <w:pPr>
              <w:spacing w:after="40"/>
            </w:pPr>
            <w:r/>
            <w:r>
              <w:rPr>
                <w:rFonts w:ascii="Aptos" w:hAnsi="Aptos"/>
                <w:b/>
                <w:color w:val="30353A"/>
                <w:sz w:val="16"/>
              </w:rPr>
              <w:t>Organisateurs privés</w:t>
            </w:r>
          </w:p>
        </w:tc>
        <w:tc>
          <w:tcPr>
            <w:tcW w:type="dxa" w:w="3168"/>
            <w:vAlign w:val="center"/>
          </w:tcPr>
          <w:p>
            <w:pPr>
              <w:spacing w:after="40"/>
            </w:pPr>
            <w:r/>
            <w:r>
              <w:rPr>
                <w:rFonts w:ascii="Aptos" w:hAnsi="Aptos"/>
                <w:b w:val="0"/>
                <w:color w:val="30353A"/>
                <w:sz w:val="16"/>
              </w:rPr>
              <w:t>Espaces et services fiables</w:t>
            </w:r>
          </w:p>
        </w:tc>
        <w:tc>
          <w:tcPr>
            <w:tcW w:type="dxa" w:w="4608"/>
            <w:vAlign w:val="center"/>
          </w:tcPr>
          <w:p>
            <w:pPr>
              <w:spacing w:after="40"/>
            </w:pPr>
            <w:r/>
            <w:r>
              <w:rPr>
                <w:rFonts w:ascii="Aptos" w:hAnsi="Aptos"/>
                <w:b w:val="0"/>
                <w:color w:val="30353A"/>
                <w:sz w:val="16"/>
              </w:rPr>
              <w:t>Réservation, équipement, accueil et facturation claire</w:t>
            </w:r>
          </w:p>
        </w:tc>
      </w:tr>
    </w:tbl>
    <w:p>
      <w:pPr>
        <w:spacing w:after="0"/>
      </w:pPr>
    </w:p>
    <w:p>
      <w:pPr>
        <w:pStyle w:val="Heading2"/>
        <w:keepNext/>
      </w:pPr>
      <w:r>
        <w:t>Mission et objectifs à trois ans</w:t>
      </w:r>
    </w:p>
    <w:p>
      <w:pPr>
        <w:pStyle w:val="ListBullet"/>
        <w:spacing w:after="40"/>
      </w:pPr>
      <w:r>
        <w:t>Accroître l’accès des publics de Bouaké à une offre culturelle, éducative et récréative régulière.</w:t>
      </w:r>
    </w:p>
    <w:p>
      <w:pPr>
        <w:pStyle w:val="ListBullet"/>
        <w:spacing w:after="40"/>
      </w:pPr>
      <w:r>
        <w:t>Améliorer l’utilisation des salles et la prévisibilité des recettes propres, sans réduire la programmation à sa rentabilité immédiate.</w:t>
      </w:r>
    </w:p>
    <w:p>
      <w:pPr>
        <w:pStyle w:val="ListBullet"/>
        <w:spacing w:after="40"/>
      </w:pPr>
      <w:r>
        <w:t>Constituer un réseau de partenaires financiers, éducatifs et artistiques renouvelés chaque année.</w:t>
      </w:r>
    </w:p>
    <w:p>
      <w:pPr>
        <w:pStyle w:val="ListBullet"/>
        <w:spacing w:after="40"/>
      </w:pPr>
      <w:r>
        <w:t>Installer un pilotage par indicateurs : fréquentation, remplissage, recettes nettes, coûts par activité, satisfaction et part des publics scolaires/jeunes.</w:t>
      </w:r>
    </w:p>
    <w:p>
      <w:pPr>
        <w:pStyle w:val="Heading1"/>
        <w:keepNext/>
      </w:pPr>
      <w:r>
        <w:t>2. Offre et modèle économique</w:t>
      </w:r>
    </w:p>
    <w:p>
      <w:r>
        <w:t>Le modèle recommandé est hybride. Les recettes marchandes financent une part croissante des coûts récurrents ; les subventions, conventions et contributions des partenaires financent l’accès, la médiation, les investissements et les activités à faible marge mais à forte valeur sociale. La billetterie ne doit pas être considérée comme un substitut aux financements culturels.</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183B36"/>
          </w:tcPr>
          <w:p>
            <w:pPr>
              <w:spacing w:after="40"/>
            </w:pPr>
            <w:r/>
            <w:r>
              <w:rPr>
                <w:rFonts w:ascii="Aptos" w:hAnsi="Aptos"/>
                <w:b/>
                <w:color w:val="FFFFFF"/>
                <w:sz w:val="16"/>
              </w:rPr>
              <w:t>Activité</w:t>
            </w:r>
          </w:p>
        </w:tc>
        <w:tc>
          <w:tcPr>
            <w:tcW w:type="dxa" w:w="3024"/>
            <w:vAlign w:val="center"/>
            <w:shd w:fill="183B36"/>
          </w:tcPr>
          <w:p>
            <w:pPr>
              <w:spacing w:after="40"/>
            </w:pPr>
            <w:r/>
            <w:r>
              <w:rPr>
                <w:rFonts w:ascii="Aptos" w:hAnsi="Aptos"/>
                <w:b/>
                <w:color w:val="FFFFFF"/>
                <w:sz w:val="16"/>
              </w:rPr>
              <w:t>Mécanisme de revenu</w:t>
            </w:r>
          </w:p>
        </w:tc>
        <w:tc>
          <w:tcPr>
            <w:tcW w:type="dxa" w:w="4896"/>
            <w:vAlign w:val="center"/>
            <w:shd w:fill="183B36"/>
          </w:tcPr>
          <w:p>
            <w:pPr>
              <w:spacing w:after="40"/>
            </w:pPr>
            <w:r/>
            <w:r>
              <w:rPr>
                <w:rFonts w:ascii="Aptos" w:hAnsi="Aptos"/>
                <w:b/>
                <w:color w:val="FFFFFF"/>
                <w:sz w:val="16"/>
              </w:rPr>
              <w:t>Principes de gestion</w:t>
            </w:r>
          </w:p>
        </w:tc>
      </w:tr>
      <w:tr>
        <w:tc>
          <w:tcPr>
            <w:tcW w:type="dxa" w:w="2016"/>
            <w:vAlign w:val="center"/>
          </w:tcPr>
          <w:p>
            <w:pPr>
              <w:spacing w:after="40"/>
            </w:pPr>
            <w:r/>
            <w:r>
              <w:rPr>
                <w:rFonts w:ascii="Aptos" w:hAnsi="Aptos"/>
                <w:b/>
                <w:color w:val="30353A"/>
                <w:sz w:val="16"/>
              </w:rPr>
              <w:t>Location des salles</w:t>
            </w:r>
          </w:p>
        </w:tc>
        <w:tc>
          <w:tcPr>
            <w:tcW w:type="dxa" w:w="3024"/>
            <w:vAlign w:val="center"/>
          </w:tcPr>
          <w:p>
            <w:pPr>
              <w:spacing w:after="40"/>
            </w:pPr>
            <w:r/>
            <w:r>
              <w:rPr>
                <w:rFonts w:ascii="Aptos" w:hAnsi="Aptos"/>
                <w:b w:val="0"/>
                <w:color w:val="30353A"/>
                <w:sz w:val="16"/>
              </w:rPr>
              <w:t>Frais de location, équipements et services associés</w:t>
            </w:r>
          </w:p>
        </w:tc>
        <w:tc>
          <w:tcPr>
            <w:tcW w:type="dxa" w:w="4896"/>
            <w:vAlign w:val="center"/>
          </w:tcPr>
          <w:p>
            <w:pPr>
              <w:spacing w:after="40"/>
            </w:pPr>
            <w:r/>
            <w:r>
              <w:rPr>
                <w:rFonts w:ascii="Aptos" w:hAnsi="Aptos"/>
                <w:b w:val="0"/>
                <w:color w:val="30353A"/>
                <w:sz w:val="16"/>
              </w:rPr>
              <w:t>Grille tarifaire par espace, durée, catégorie d’usager et services; acompte et contrat</w:t>
            </w:r>
          </w:p>
        </w:tc>
      </w:tr>
      <w:tr>
        <w:tc>
          <w:tcPr>
            <w:tcW w:type="dxa" w:w="2016"/>
            <w:vAlign w:val="center"/>
            <w:shd w:fill="F1F5F3"/>
          </w:tcPr>
          <w:p>
            <w:pPr>
              <w:spacing w:after="40"/>
            </w:pPr>
            <w:r/>
            <w:r>
              <w:rPr>
                <w:rFonts w:ascii="Aptos" w:hAnsi="Aptos"/>
                <w:b/>
                <w:color w:val="30353A"/>
                <w:sz w:val="16"/>
              </w:rPr>
              <w:t>Programmation CCJAB</w:t>
            </w:r>
          </w:p>
        </w:tc>
        <w:tc>
          <w:tcPr>
            <w:tcW w:type="dxa" w:w="3024"/>
            <w:vAlign w:val="center"/>
            <w:shd w:fill="F1F5F3"/>
          </w:tcPr>
          <w:p>
            <w:pPr>
              <w:spacing w:after="40"/>
            </w:pPr>
            <w:r/>
            <w:r>
              <w:rPr>
                <w:rFonts w:ascii="Aptos" w:hAnsi="Aptos"/>
                <w:b w:val="0"/>
                <w:color w:val="30353A"/>
                <w:sz w:val="16"/>
              </w:rPr>
              <w:t>Billetterie et coproduction</w:t>
            </w:r>
          </w:p>
        </w:tc>
        <w:tc>
          <w:tcPr>
            <w:tcW w:type="dxa" w:w="4896"/>
            <w:vAlign w:val="center"/>
            <w:shd w:fill="F1F5F3"/>
          </w:tcPr>
          <w:p>
            <w:pPr>
              <w:spacing w:after="40"/>
            </w:pPr>
            <w:r/>
            <w:r>
              <w:rPr>
                <w:rFonts w:ascii="Aptos" w:hAnsi="Aptos"/>
                <w:b w:val="0"/>
                <w:color w:val="30353A"/>
                <w:sz w:val="16"/>
              </w:rPr>
              <w:t>Budgets par événement; partage de recettes contractuel; politique tarifaire accessible</w:t>
            </w:r>
          </w:p>
        </w:tc>
      </w:tr>
      <w:tr>
        <w:tc>
          <w:tcPr>
            <w:tcW w:type="dxa" w:w="2016"/>
            <w:vAlign w:val="center"/>
          </w:tcPr>
          <w:p>
            <w:pPr>
              <w:spacing w:after="40"/>
            </w:pPr>
            <w:r/>
            <w:r>
              <w:rPr>
                <w:rFonts w:ascii="Aptos" w:hAnsi="Aptos"/>
                <w:b/>
                <w:color w:val="30353A"/>
                <w:sz w:val="16"/>
              </w:rPr>
              <w:t>Billetterie numérique</w:t>
            </w:r>
          </w:p>
        </w:tc>
        <w:tc>
          <w:tcPr>
            <w:tcW w:type="dxa" w:w="3024"/>
            <w:vAlign w:val="center"/>
          </w:tcPr>
          <w:p>
            <w:pPr>
              <w:spacing w:after="40"/>
            </w:pPr>
            <w:r/>
            <w:r>
              <w:rPr>
                <w:rFonts w:ascii="Aptos" w:hAnsi="Aptos"/>
                <w:b w:val="0"/>
                <w:color w:val="30353A"/>
                <w:sz w:val="16"/>
              </w:rPr>
              <w:t>Vente de billets en ligne et à l’accueil</w:t>
            </w:r>
          </w:p>
        </w:tc>
        <w:tc>
          <w:tcPr>
            <w:tcW w:type="dxa" w:w="4896"/>
            <w:vAlign w:val="center"/>
          </w:tcPr>
          <w:p>
            <w:pPr>
              <w:spacing w:after="40"/>
            </w:pPr>
            <w:r/>
            <w:r>
              <w:rPr>
                <w:rFonts w:ascii="Aptos" w:hAnsi="Aptos"/>
                <w:b w:val="0"/>
                <w:color w:val="30353A"/>
                <w:sz w:val="16"/>
              </w:rPr>
              <w:t>Frais de paiement intégrés aux prix; contrôle d’accès; rapprochement quotidien</w:t>
            </w:r>
          </w:p>
        </w:tc>
      </w:tr>
      <w:tr>
        <w:tc>
          <w:tcPr>
            <w:tcW w:type="dxa" w:w="2016"/>
            <w:vAlign w:val="center"/>
            <w:shd w:fill="F1F5F3"/>
          </w:tcPr>
          <w:p>
            <w:pPr>
              <w:spacing w:after="40"/>
            </w:pPr>
            <w:r/>
            <w:r>
              <w:rPr>
                <w:rFonts w:ascii="Aptos" w:hAnsi="Aptos"/>
                <w:b/>
                <w:color w:val="30353A"/>
                <w:sz w:val="16"/>
              </w:rPr>
              <w:t>Partenariats et sponsoring</w:t>
            </w:r>
          </w:p>
        </w:tc>
        <w:tc>
          <w:tcPr>
            <w:tcW w:type="dxa" w:w="3024"/>
            <w:vAlign w:val="center"/>
            <w:shd w:fill="F1F5F3"/>
          </w:tcPr>
          <w:p>
            <w:pPr>
              <w:spacing w:after="40"/>
            </w:pPr>
            <w:r/>
            <w:r>
              <w:rPr>
                <w:rFonts w:ascii="Aptos" w:hAnsi="Aptos"/>
                <w:b w:val="0"/>
                <w:color w:val="30353A"/>
                <w:sz w:val="16"/>
              </w:rPr>
              <w:t>Conventions annuelles, sponsoring d’événements, visibilité</w:t>
            </w:r>
          </w:p>
        </w:tc>
        <w:tc>
          <w:tcPr>
            <w:tcW w:type="dxa" w:w="4896"/>
            <w:vAlign w:val="center"/>
            <w:shd w:fill="F1F5F3"/>
          </w:tcPr>
          <w:p>
            <w:pPr>
              <w:spacing w:after="40"/>
            </w:pPr>
            <w:r/>
            <w:r>
              <w:rPr>
                <w:rFonts w:ascii="Aptos" w:hAnsi="Aptos"/>
                <w:b w:val="0"/>
                <w:color w:val="30353A"/>
                <w:sz w:val="16"/>
              </w:rPr>
              <w:t>Contreparties mesurables; portefeuille de prospects; renouvellement annuel</w:t>
            </w:r>
          </w:p>
        </w:tc>
      </w:tr>
      <w:tr>
        <w:tc>
          <w:tcPr>
            <w:tcW w:type="dxa" w:w="2016"/>
            <w:vAlign w:val="center"/>
          </w:tcPr>
          <w:p>
            <w:pPr>
              <w:spacing w:after="40"/>
            </w:pPr>
            <w:r/>
            <w:r>
              <w:rPr>
                <w:rFonts w:ascii="Aptos" w:hAnsi="Aptos"/>
                <w:b/>
                <w:color w:val="30353A"/>
                <w:sz w:val="16"/>
              </w:rPr>
              <w:t>Médiathèque et ludothèque</w:t>
            </w:r>
          </w:p>
        </w:tc>
        <w:tc>
          <w:tcPr>
            <w:tcW w:type="dxa" w:w="3024"/>
            <w:vAlign w:val="center"/>
          </w:tcPr>
          <w:p>
            <w:pPr>
              <w:spacing w:after="40"/>
            </w:pPr>
            <w:r/>
            <w:r>
              <w:rPr>
                <w:rFonts w:ascii="Aptos" w:hAnsi="Aptos"/>
                <w:b w:val="0"/>
                <w:color w:val="30353A"/>
                <w:sz w:val="16"/>
              </w:rPr>
              <w:t>Adhésions, ateliers, visites de groupes, appui de partenaires</w:t>
            </w:r>
          </w:p>
        </w:tc>
        <w:tc>
          <w:tcPr>
            <w:tcW w:type="dxa" w:w="4896"/>
            <w:vAlign w:val="center"/>
          </w:tcPr>
          <w:p>
            <w:pPr>
              <w:spacing w:after="40"/>
            </w:pPr>
            <w:r/>
            <w:r>
              <w:rPr>
                <w:rFonts w:ascii="Aptos" w:hAnsi="Aptos"/>
                <w:b w:val="0"/>
                <w:color w:val="30353A"/>
                <w:sz w:val="16"/>
              </w:rPr>
              <w:t>Tarification sociale et gratuités explicites; suivi de fréquentation</w:t>
            </w:r>
          </w:p>
        </w:tc>
      </w:tr>
      <w:tr>
        <w:tc>
          <w:tcPr>
            <w:tcW w:type="dxa" w:w="2016"/>
            <w:vAlign w:val="center"/>
            <w:shd w:fill="F1F5F3"/>
          </w:tcPr>
          <w:p>
            <w:pPr>
              <w:spacing w:after="40"/>
            </w:pPr>
            <w:r/>
            <w:r>
              <w:rPr>
                <w:rFonts w:ascii="Aptos" w:hAnsi="Aptos"/>
                <w:b/>
                <w:color w:val="30353A"/>
                <w:sz w:val="16"/>
              </w:rPr>
              <w:t>Financements publics et fondations</w:t>
            </w:r>
          </w:p>
        </w:tc>
        <w:tc>
          <w:tcPr>
            <w:tcW w:type="dxa" w:w="3024"/>
            <w:vAlign w:val="center"/>
            <w:shd w:fill="F1F5F3"/>
          </w:tcPr>
          <w:p>
            <w:pPr>
              <w:spacing w:after="40"/>
            </w:pPr>
            <w:r/>
            <w:r>
              <w:rPr>
                <w:rFonts w:ascii="Aptos" w:hAnsi="Aptos"/>
                <w:b w:val="0"/>
                <w:color w:val="30353A"/>
                <w:sz w:val="16"/>
              </w:rPr>
              <w:t>Subventions, appels à projets, conventions de service</w:t>
            </w:r>
          </w:p>
        </w:tc>
        <w:tc>
          <w:tcPr>
            <w:tcW w:type="dxa" w:w="4896"/>
            <w:vAlign w:val="center"/>
            <w:shd w:fill="F1F5F3"/>
          </w:tcPr>
          <w:p>
            <w:pPr>
              <w:spacing w:after="40"/>
            </w:pPr>
            <w:r/>
            <w:r>
              <w:rPr>
                <w:rFonts w:ascii="Aptos" w:hAnsi="Aptos"/>
                <w:b w:val="0"/>
                <w:color w:val="30353A"/>
                <w:sz w:val="16"/>
              </w:rPr>
              <w:t>Financement affecté à des objectifs, livrables et rapports d’impact</w:t>
            </w:r>
          </w:p>
        </w:tc>
      </w:tr>
    </w:tbl>
    <w:p>
      <w:pPr>
        <w:spacing w:after="0"/>
      </w:pPr>
    </w:p>
    <w:p>
      <w:r>
        <w:t>La plateforme actuellement visible peut soutenir la promotion des événements, la présentation des salles, les publications et la billetterie. Il reste à confirmer le déploiement de production, les frais du prestataire de paiement, le dispositif de scan à l’entrée, le service après-vente et les modalités de remboursement.</w:t>
      </w:r>
    </w:p>
    <w:p>
      <w:pPr>
        <w:pStyle w:val="Heading1"/>
        <w:keepNext/>
      </w:pPr>
      <w:r>
        <w:t>3. Marché et stratégie commerciale</w:t>
      </w:r>
    </w:p>
    <w:p>
      <w:r>
        <w:t>L’opportunité immédiate est locale : faire du CCJAB un réflexe culturel pour les habitants et un lieu professionnel pour les organisateurs. En l’absence d’étude de marché et de données de fréquentation dans les éléments consultés, ce plan ne chiffre pas la taille du marché. La validation doit s’appuyer sur des entretiens, des tests tarifaires et l’analyse des réservations passées.</w:t>
      </w:r>
    </w:p>
    <w:p>
      <w:pPr>
        <w:pStyle w:val="Heading2"/>
        <w:keepNext/>
      </w:pPr>
      <w:r>
        <w:t>Segments et acquisition</w:t>
      </w:r>
    </w:p>
    <w:p>
      <w:pPr>
        <w:pStyle w:val="ListBullet"/>
        <w:spacing w:after="40"/>
      </w:pPr>
      <w:r>
        <w:t>Public individuel : agenda éditorial régulier, relais sociaux et radios locaux, offres familles et abonnements saisonniers à tester.</w:t>
      </w:r>
    </w:p>
    <w:p>
      <w:pPr>
        <w:pStyle w:val="ListBullet"/>
        <w:spacing w:after="40"/>
      </w:pPr>
      <w:r>
        <w:t>Établissements scolaires et universitaires : offres de groupe, calendrier de visites et conventions avec enseignants/associations étudiantes.</w:t>
      </w:r>
    </w:p>
    <w:p>
      <w:pPr>
        <w:pStyle w:val="ListBullet"/>
        <w:spacing w:after="40"/>
      </w:pPr>
      <w:r>
        <w:t>Entreprises et administrations : dossier commercial de location, visite des espaces, devis sous 48 heures et calendrier de réservation.</w:t>
      </w:r>
    </w:p>
    <w:p>
      <w:pPr>
        <w:pStyle w:val="ListBullet"/>
        <w:spacing w:after="40"/>
      </w:pPr>
      <w:r>
        <w:t>Artistes et promoteurs : appels à propositions, conditions de coproduction lisibles et bilan de chaque événement.</w:t>
      </w:r>
    </w:p>
    <w:p>
      <w:pPr>
        <w:pStyle w:val="ListBullet"/>
        <w:spacing w:after="40"/>
      </w:pPr>
      <w:r>
        <w:t>Partenaires et mécènes : dossiers de sponsoring avec niveaux de contribution, audiences documentées et compte rendu d’impact.</w:t>
      </w:r>
    </w:p>
    <w:p>
      <w:pPr>
        <w:pStyle w:val="Heading2"/>
        <w:keepNext/>
      </w:pPr>
      <w:r>
        <w:t>Parcours commercial</w:t>
      </w:r>
    </w:p>
    <w:p>
      <w:r>
        <w:t>Découverte via le site, les réseaux et les relais locaux → consultation de l’agenda ou demande de devis → réservation et paiement → accueil et expérience sur site → enquête courte → relance et fidélisation. Chaque étape doit avoir un responsable et un indicateur simple. Les demandes de location et les ventes de billets doivent être suivies dans un tableau de bord mensuel.</w:t>
      </w:r>
    </w:p>
    <w:p>
      <w:pPr>
        <w:pStyle w:val="Heading1"/>
        <w:keepNext/>
      </w:pPr>
      <w:r>
        <w:t>4. Plan opérationnel</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83B36"/>
          </w:tcPr>
          <w:p>
            <w:pPr>
              <w:spacing w:after="40"/>
            </w:pPr>
            <w:r/>
            <w:r>
              <w:rPr>
                <w:rFonts w:ascii="Aptos" w:hAnsi="Aptos"/>
                <w:b/>
                <w:color w:val="FFFFFF"/>
                <w:sz w:val="16"/>
              </w:rPr>
              <w:t>Période</w:t>
            </w:r>
          </w:p>
        </w:tc>
        <w:tc>
          <w:tcPr>
            <w:tcW w:type="dxa" w:w="5256"/>
            <w:vAlign w:val="center"/>
            <w:shd w:fill="183B36"/>
          </w:tcPr>
          <w:p>
            <w:pPr>
              <w:spacing w:after="40"/>
            </w:pPr>
            <w:r/>
            <w:r>
              <w:rPr>
                <w:rFonts w:ascii="Aptos" w:hAnsi="Aptos"/>
                <w:b/>
                <w:color w:val="FFFFFF"/>
                <w:sz w:val="16"/>
              </w:rPr>
              <w:t>Actions prioritaires</w:t>
            </w:r>
          </w:p>
        </w:tc>
        <w:tc>
          <w:tcPr>
            <w:tcW w:type="dxa" w:w="3240"/>
            <w:vAlign w:val="center"/>
            <w:shd w:fill="183B36"/>
          </w:tcPr>
          <w:p>
            <w:pPr>
              <w:spacing w:after="40"/>
            </w:pPr>
            <w:r/>
            <w:r>
              <w:rPr>
                <w:rFonts w:ascii="Aptos" w:hAnsi="Aptos"/>
                <w:b/>
                <w:color w:val="FFFFFF"/>
                <w:sz w:val="16"/>
              </w:rPr>
              <w:t>Résultat attendu</w:t>
            </w:r>
          </w:p>
        </w:tc>
      </w:tr>
      <w:tr>
        <w:tc>
          <w:tcPr>
            <w:tcW w:type="dxa" w:w="1440"/>
            <w:vAlign w:val="center"/>
          </w:tcPr>
          <w:p>
            <w:pPr>
              <w:spacing w:after="40"/>
            </w:pPr>
            <w:r/>
            <w:r>
              <w:rPr>
                <w:rFonts w:ascii="Aptos" w:hAnsi="Aptos"/>
                <w:b/>
                <w:color w:val="30353A"/>
                <w:sz w:val="16"/>
              </w:rPr>
              <w:t>0–3 mois</w:t>
            </w:r>
          </w:p>
        </w:tc>
        <w:tc>
          <w:tcPr>
            <w:tcW w:type="dxa" w:w="5256"/>
            <w:vAlign w:val="center"/>
          </w:tcPr>
          <w:p>
            <w:pPr>
              <w:spacing w:after="40"/>
            </w:pPr>
            <w:r/>
            <w:r>
              <w:rPr>
                <w:rFonts w:ascii="Aptos" w:hAnsi="Aptos"/>
                <w:b w:val="0"/>
                <w:color w:val="30353A"/>
                <w:sz w:val="16"/>
              </w:rPr>
              <w:t>Audit des salles et équipements; coûts réels; enquête publics et organisateurs; grille de tarifs; calendrier pilote; tests billetterie</w:t>
            </w:r>
          </w:p>
        </w:tc>
        <w:tc>
          <w:tcPr>
            <w:tcW w:type="dxa" w:w="3240"/>
            <w:vAlign w:val="center"/>
          </w:tcPr>
          <w:p>
            <w:pPr>
              <w:spacing w:after="40"/>
            </w:pPr>
            <w:r/>
            <w:r>
              <w:rPr>
                <w:rFonts w:ascii="Aptos" w:hAnsi="Aptos"/>
                <w:b w:val="0"/>
                <w:color w:val="30353A"/>
                <w:sz w:val="16"/>
              </w:rPr>
              <w:t>Base de référence, capacité validée, premières offres et budget révisé</w:t>
            </w:r>
          </w:p>
        </w:tc>
      </w:tr>
      <w:tr>
        <w:tc>
          <w:tcPr>
            <w:tcW w:type="dxa" w:w="1440"/>
            <w:vAlign w:val="center"/>
            <w:shd w:fill="F1F5F3"/>
          </w:tcPr>
          <w:p>
            <w:pPr>
              <w:spacing w:after="40"/>
            </w:pPr>
            <w:r/>
            <w:r>
              <w:rPr>
                <w:rFonts w:ascii="Aptos" w:hAnsi="Aptos"/>
                <w:b/>
                <w:color w:val="30353A"/>
                <w:sz w:val="16"/>
              </w:rPr>
              <w:t>4–12 mois</w:t>
            </w:r>
          </w:p>
        </w:tc>
        <w:tc>
          <w:tcPr>
            <w:tcW w:type="dxa" w:w="5256"/>
            <w:vAlign w:val="center"/>
            <w:shd w:fill="F1F5F3"/>
          </w:tcPr>
          <w:p>
            <w:pPr>
              <w:spacing w:after="40"/>
            </w:pPr>
            <w:r/>
            <w:r>
              <w:rPr>
                <w:rFonts w:ascii="Aptos" w:hAnsi="Aptos"/>
                <w:b w:val="0"/>
                <w:color w:val="30353A"/>
                <w:sz w:val="16"/>
              </w:rPr>
              <w:t>Saison pilote; prospection commerciale; partenariats scolaires; procédure de réservation/paiement; reporting mensuel</w:t>
            </w:r>
          </w:p>
        </w:tc>
        <w:tc>
          <w:tcPr>
            <w:tcW w:type="dxa" w:w="3240"/>
            <w:vAlign w:val="center"/>
            <w:shd w:fill="F1F5F3"/>
          </w:tcPr>
          <w:p>
            <w:pPr>
              <w:spacing w:after="40"/>
            </w:pPr>
            <w:r/>
            <w:r>
              <w:rPr>
                <w:rFonts w:ascii="Aptos" w:hAnsi="Aptos"/>
                <w:b w:val="0"/>
                <w:color w:val="30353A"/>
                <w:sz w:val="16"/>
              </w:rPr>
              <w:t>Rythme de programmation maîtrisé et premières données de conversion/occupation</w:t>
            </w:r>
          </w:p>
        </w:tc>
      </w:tr>
      <w:tr>
        <w:tc>
          <w:tcPr>
            <w:tcW w:type="dxa" w:w="1440"/>
            <w:vAlign w:val="center"/>
          </w:tcPr>
          <w:p>
            <w:pPr>
              <w:spacing w:after="40"/>
            </w:pPr>
            <w:r/>
            <w:r>
              <w:rPr>
                <w:rFonts w:ascii="Aptos" w:hAnsi="Aptos"/>
                <w:b/>
                <w:color w:val="30353A"/>
                <w:sz w:val="16"/>
              </w:rPr>
              <w:t>Année 2</w:t>
            </w:r>
          </w:p>
        </w:tc>
        <w:tc>
          <w:tcPr>
            <w:tcW w:type="dxa" w:w="5256"/>
            <w:vAlign w:val="center"/>
          </w:tcPr>
          <w:p>
            <w:pPr>
              <w:spacing w:after="40"/>
            </w:pPr>
            <w:r/>
            <w:r>
              <w:rPr>
                <w:rFonts w:ascii="Aptos" w:hAnsi="Aptos"/>
                <w:b w:val="0"/>
                <w:color w:val="30353A"/>
                <w:sz w:val="16"/>
              </w:rPr>
              <w:t>Renouvellement des conventions; calendrier annuel; amélioration des espaces prioritaires; offres d’adhésion testées</w:t>
            </w:r>
          </w:p>
        </w:tc>
        <w:tc>
          <w:tcPr>
            <w:tcW w:type="dxa" w:w="3240"/>
            <w:vAlign w:val="center"/>
          </w:tcPr>
          <w:p>
            <w:pPr>
              <w:spacing w:after="40"/>
            </w:pPr>
            <w:r/>
            <w:r>
              <w:rPr>
                <w:rFonts w:ascii="Aptos" w:hAnsi="Aptos"/>
                <w:b w:val="0"/>
                <w:color w:val="30353A"/>
                <w:sz w:val="16"/>
              </w:rPr>
              <w:t>Hausse de l’occupation, de la récurrence des revenus et de la fidélité</w:t>
            </w:r>
          </w:p>
        </w:tc>
      </w:tr>
      <w:tr>
        <w:tc>
          <w:tcPr>
            <w:tcW w:type="dxa" w:w="1440"/>
            <w:vAlign w:val="center"/>
            <w:shd w:fill="F1F5F3"/>
          </w:tcPr>
          <w:p>
            <w:pPr>
              <w:spacing w:after="40"/>
            </w:pPr>
            <w:r/>
            <w:r>
              <w:rPr>
                <w:rFonts w:ascii="Aptos" w:hAnsi="Aptos"/>
                <w:b/>
                <w:color w:val="30353A"/>
                <w:sz w:val="16"/>
              </w:rPr>
              <w:t>Année 3</w:t>
            </w:r>
          </w:p>
        </w:tc>
        <w:tc>
          <w:tcPr>
            <w:tcW w:type="dxa" w:w="5256"/>
            <w:vAlign w:val="center"/>
            <w:shd w:fill="F1F5F3"/>
          </w:tcPr>
          <w:p>
            <w:pPr>
              <w:spacing w:after="40"/>
            </w:pPr>
            <w:r/>
            <w:r>
              <w:rPr>
                <w:rFonts w:ascii="Aptos" w:hAnsi="Aptos"/>
                <w:b w:val="0"/>
                <w:color w:val="30353A"/>
                <w:sz w:val="16"/>
              </w:rPr>
              <w:t>Consolidation des formats performants; extension des partenariats; investissements selon résultats</w:t>
            </w:r>
          </w:p>
        </w:tc>
        <w:tc>
          <w:tcPr>
            <w:tcW w:type="dxa" w:w="3240"/>
            <w:vAlign w:val="center"/>
            <w:shd w:fill="F1F5F3"/>
          </w:tcPr>
          <w:p>
            <w:pPr>
              <w:spacing w:after="40"/>
            </w:pPr>
            <w:r/>
            <w:r>
              <w:rPr>
                <w:rFonts w:ascii="Aptos" w:hAnsi="Aptos"/>
                <w:b w:val="0"/>
                <w:color w:val="30353A"/>
                <w:sz w:val="16"/>
              </w:rPr>
              <w:t>Équilibre récurrent et capacité accrue à financer la mission culturelle</w:t>
            </w:r>
          </w:p>
        </w:tc>
      </w:tr>
    </w:tbl>
    <w:p>
      <w:pPr>
        <w:spacing w:after="0"/>
      </w:pPr>
    </w:p>
    <w:p>
      <w:pPr>
        <w:pStyle w:val="Heading2"/>
        <w:keepNext/>
      </w:pPr>
      <w:r>
        <w:t>Organisation minimale</w:t>
      </w:r>
    </w:p>
    <w:p>
      <w:r>
        <w:t>La structure doit couvrir la direction et les partenariats, la programmation/médiation, l’exploitation des salles et l’accueil, la communication et la billetterie, ainsi que la gestion financière et administrative. Il s’agit de fonctions à couvrir, pas d’un effectif déjà constaté : l’organigramme, les salaires et les besoins de renfort restent à chiffrer avec la direction. Des prestations ponctuelles peuvent compléter l’équipe pour la technique, la sécurité, le nettoyage et la production événementielle.</w:t>
      </w:r>
    </w:p>
    <w:p>
      <w:pPr>
        <w:pStyle w:val="Heading1"/>
        <w:keepNext/>
      </w:pPr>
      <w:r>
        <w:t>5. Prévisionnel financier indicatif</w:t>
      </w:r>
    </w:p>
    <w:p>
      <w:r>
        <w:t>Les montants ci-dessous constituent un scénario de travail en millions de FCFA. Ils ne proviennent pas des comptes du CCJAB. Le calendrier, les tarifs, les capacités des salles, la fréquentation, les effectifs, les frais de paiement et les financements déjà acquis doivent être confirmés avant toute décision d’investissement.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4968"/>
            <w:vAlign w:val="center"/>
            <w:shd w:fill="183B36"/>
          </w:tcPr>
          <w:p>
            <w:pPr>
              <w:spacing w:after="40"/>
            </w:pPr>
            <w:r/>
            <w:r>
              <w:rPr>
                <w:rFonts w:ascii="Aptos" w:hAnsi="Aptos"/>
                <w:b/>
                <w:color w:val="FFFFFF"/>
                <w:sz w:val="16"/>
              </w:rPr>
              <w:t>Compte de résultat simplifié (M FCFA)</w:t>
            </w:r>
          </w:p>
        </w:tc>
        <w:tc>
          <w:tcPr>
            <w:tcW w:type="dxa" w:w="1656"/>
            <w:vAlign w:val="center"/>
            <w:shd w:fill="183B36"/>
          </w:tcPr>
          <w:p>
            <w:pPr>
              <w:spacing w:after="40"/>
            </w:pPr>
            <w:r/>
            <w:r>
              <w:rPr>
                <w:rFonts w:ascii="Aptos" w:hAnsi="Aptos"/>
                <w:b/>
                <w:color w:val="FFFFFF"/>
                <w:sz w:val="16"/>
              </w:rPr>
              <w:t>Année 1</w:t>
            </w:r>
          </w:p>
        </w:tc>
        <w:tc>
          <w:tcPr>
            <w:tcW w:type="dxa" w:w="1656"/>
            <w:vAlign w:val="center"/>
            <w:shd w:fill="183B36"/>
          </w:tcPr>
          <w:p>
            <w:pPr>
              <w:spacing w:after="40"/>
            </w:pPr>
            <w:r/>
            <w:r>
              <w:rPr>
                <w:rFonts w:ascii="Aptos" w:hAnsi="Aptos"/>
                <w:b/>
                <w:color w:val="FFFFFF"/>
                <w:sz w:val="16"/>
              </w:rPr>
              <w:t>Année 2</w:t>
            </w:r>
          </w:p>
        </w:tc>
        <w:tc>
          <w:tcPr>
            <w:tcW w:type="dxa" w:w="1656"/>
            <w:vAlign w:val="center"/>
            <w:shd w:fill="183B36"/>
          </w:tcPr>
          <w:p>
            <w:pPr>
              <w:spacing w:after="40"/>
            </w:pPr>
            <w:r/>
            <w:r>
              <w:rPr>
                <w:rFonts w:ascii="Aptos" w:hAnsi="Aptos"/>
                <w:b/>
                <w:color w:val="FFFFFF"/>
                <w:sz w:val="16"/>
              </w:rPr>
              <w:t>Année 3</w:t>
            </w:r>
          </w:p>
        </w:tc>
      </w:tr>
      <w:tr>
        <w:tc>
          <w:tcPr>
            <w:tcW w:type="dxa" w:w="4968"/>
            <w:vAlign w:val="center"/>
          </w:tcPr>
          <w:p>
            <w:pPr>
              <w:spacing w:after="40"/>
            </w:pPr>
            <w:r/>
            <w:r>
              <w:rPr>
                <w:rFonts w:ascii="Aptos" w:hAnsi="Aptos"/>
                <w:b/>
                <w:color w:val="30353A"/>
                <w:sz w:val="16"/>
              </w:rPr>
              <w:t>Location et services des espaces</w:t>
            </w:r>
          </w:p>
        </w:tc>
        <w:tc>
          <w:tcPr>
            <w:tcW w:type="dxa" w:w="1656"/>
            <w:vAlign w:val="center"/>
          </w:tcPr>
          <w:p>
            <w:pPr>
              <w:spacing w:after="40"/>
            </w:pPr>
            <w:r/>
            <w:r>
              <w:rPr>
                <w:rFonts w:ascii="Aptos" w:hAnsi="Aptos"/>
                <w:b w:val="0"/>
                <w:color w:val="30353A"/>
                <w:sz w:val="16"/>
              </w:rPr>
              <w:t>12</w:t>
            </w:r>
          </w:p>
        </w:tc>
        <w:tc>
          <w:tcPr>
            <w:tcW w:type="dxa" w:w="1656"/>
            <w:vAlign w:val="center"/>
          </w:tcPr>
          <w:p>
            <w:pPr>
              <w:spacing w:after="40"/>
            </w:pPr>
            <w:r/>
            <w:r>
              <w:rPr>
                <w:rFonts w:ascii="Aptos" w:hAnsi="Aptos"/>
                <w:b w:val="0"/>
                <w:color w:val="30353A"/>
                <w:sz w:val="16"/>
              </w:rPr>
              <w:t>15</w:t>
            </w:r>
          </w:p>
        </w:tc>
        <w:tc>
          <w:tcPr>
            <w:tcW w:type="dxa" w:w="1656"/>
            <w:vAlign w:val="center"/>
          </w:tcPr>
          <w:p>
            <w:pPr>
              <w:spacing w:after="40"/>
            </w:pPr>
            <w:r/>
            <w:r>
              <w:rPr>
                <w:rFonts w:ascii="Aptos" w:hAnsi="Aptos"/>
                <w:b w:val="0"/>
                <w:color w:val="30353A"/>
                <w:sz w:val="16"/>
              </w:rPr>
              <w:t>18</w:t>
            </w:r>
          </w:p>
        </w:tc>
      </w:tr>
      <w:tr>
        <w:tc>
          <w:tcPr>
            <w:tcW w:type="dxa" w:w="4968"/>
            <w:vAlign w:val="center"/>
            <w:shd w:fill="F1F5F3"/>
          </w:tcPr>
          <w:p>
            <w:pPr>
              <w:spacing w:after="40"/>
            </w:pPr>
            <w:r/>
            <w:r>
              <w:rPr>
                <w:rFonts w:ascii="Aptos" w:hAnsi="Aptos"/>
                <w:b/>
                <w:color w:val="30353A"/>
                <w:sz w:val="16"/>
              </w:rPr>
              <w:t>Billetterie et coproductions</w:t>
            </w:r>
          </w:p>
        </w:tc>
        <w:tc>
          <w:tcPr>
            <w:tcW w:type="dxa" w:w="1656"/>
            <w:vAlign w:val="center"/>
            <w:shd w:fill="F1F5F3"/>
          </w:tcPr>
          <w:p>
            <w:pPr>
              <w:spacing w:after="40"/>
            </w:pPr>
            <w:r/>
            <w:r>
              <w:rPr>
                <w:rFonts w:ascii="Aptos" w:hAnsi="Aptos"/>
                <w:b w:val="0"/>
                <w:color w:val="30353A"/>
                <w:sz w:val="16"/>
              </w:rPr>
              <w:t>8</w:t>
            </w:r>
          </w:p>
        </w:tc>
        <w:tc>
          <w:tcPr>
            <w:tcW w:type="dxa" w:w="1656"/>
            <w:vAlign w:val="center"/>
            <w:shd w:fill="F1F5F3"/>
          </w:tcPr>
          <w:p>
            <w:pPr>
              <w:spacing w:after="40"/>
            </w:pPr>
            <w:r/>
            <w:r>
              <w:rPr>
                <w:rFonts w:ascii="Aptos" w:hAnsi="Aptos"/>
                <w:b w:val="0"/>
                <w:color w:val="30353A"/>
                <w:sz w:val="16"/>
              </w:rPr>
              <w:t>11</w:t>
            </w:r>
          </w:p>
        </w:tc>
        <w:tc>
          <w:tcPr>
            <w:tcW w:type="dxa" w:w="1656"/>
            <w:vAlign w:val="center"/>
            <w:shd w:fill="F1F5F3"/>
          </w:tcPr>
          <w:p>
            <w:pPr>
              <w:spacing w:after="40"/>
            </w:pPr>
            <w:r/>
            <w:r>
              <w:rPr>
                <w:rFonts w:ascii="Aptos" w:hAnsi="Aptos"/>
                <w:b w:val="0"/>
                <w:color w:val="30353A"/>
                <w:sz w:val="16"/>
              </w:rPr>
              <w:t>14</w:t>
            </w:r>
          </w:p>
        </w:tc>
      </w:tr>
      <w:tr>
        <w:tc>
          <w:tcPr>
            <w:tcW w:type="dxa" w:w="4968"/>
            <w:vAlign w:val="center"/>
          </w:tcPr>
          <w:p>
            <w:pPr>
              <w:spacing w:after="40"/>
            </w:pPr>
            <w:r/>
            <w:r>
              <w:rPr>
                <w:rFonts w:ascii="Aptos" w:hAnsi="Aptos"/>
                <w:b/>
                <w:color w:val="30353A"/>
                <w:sz w:val="16"/>
              </w:rPr>
              <w:t>Partenariats et sponsoring</w:t>
            </w:r>
          </w:p>
        </w:tc>
        <w:tc>
          <w:tcPr>
            <w:tcW w:type="dxa" w:w="1656"/>
            <w:vAlign w:val="center"/>
          </w:tcPr>
          <w:p>
            <w:pPr>
              <w:spacing w:after="40"/>
            </w:pPr>
            <w:r/>
            <w:r>
              <w:rPr>
                <w:rFonts w:ascii="Aptos" w:hAnsi="Aptos"/>
                <w:b w:val="0"/>
                <w:color w:val="30353A"/>
                <w:sz w:val="16"/>
              </w:rPr>
              <w:t>8</w:t>
            </w:r>
          </w:p>
        </w:tc>
        <w:tc>
          <w:tcPr>
            <w:tcW w:type="dxa" w:w="1656"/>
            <w:vAlign w:val="center"/>
          </w:tcPr>
          <w:p>
            <w:pPr>
              <w:spacing w:after="40"/>
            </w:pPr>
            <w:r/>
            <w:r>
              <w:rPr>
                <w:rFonts w:ascii="Aptos" w:hAnsi="Aptos"/>
                <w:b w:val="0"/>
                <w:color w:val="30353A"/>
                <w:sz w:val="16"/>
              </w:rPr>
              <w:t>10</w:t>
            </w:r>
          </w:p>
        </w:tc>
        <w:tc>
          <w:tcPr>
            <w:tcW w:type="dxa" w:w="1656"/>
            <w:vAlign w:val="center"/>
          </w:tcPr>
          <w:p>
            <w:pPr>
              <w:spacing w:after="40"/>
            </w:pPr>
            <w:r/>
            <w:r>
              <w:rPr>
                <w:rFonts w:ascii="Aptos" w:hAnsi="Aptos"/>
                <w:b w:val="0"/>
                <w:color w:val="30353A"/>
                <w:sz w:val="16"/>
              </w:rPr>
              <w:t>12</w:t>
            </w:r>
          </w:p>
        </w:tc>
      </w:tr>
      <w:tr>
        <w:tc>
          <w:tcPr>
            <w:tcW w:type="dxa" w:w="4968"/>
            <w:vAlign w:val="center"/>
            <w:shd w:fill="F1F5F3"/>
          </w:tcPr>
          <w:p>
            <w:pPr>
              <w:spacing w:after="40"/>
            </w:pPr>
            <w:r/>
            <w:r>
              <w:rPr>
                <w:rFonts w:ascii="Aptos" w:hAnsi="Aptos"/>
                <w:b/>
                <w:color w:val="30353A"/>
                <w:sz w:val="16"/>
              </w:rPr>
              <w:t>Subventions/conventions de programme</w:t>
            </w:r>
          </w:p>
        </w:tc>
        <w:tc>
          <w:tcPr>
            <w:tcW w:type="dxa" w:w="1656"/>
            <w:vAlign w:val="center"/>
            <w:shd w:fill="F1F5F3"/>
          </w:tcPr>
          <w:p>
            <w:pPr>
              <w:spacing w:after="40"/>
            </w:pPr>
            <w:r/>
            <w:r>
              <w:rPr>
                <w:rFonts w:ascii="Aptos" w:hAnsi="Aptos"/>
                <w:b w:val="0"/>
                <w:color w:val="30353A"/>
                <w:sz w:val="16"/>
              </w:rPr>
              <w:t>14</w:t>
            </w:r>
          </w:p>
        </w:tc>
        <w:tc>
          <w:tcPr>
            <w:tcW w:type="dxa" w:w="1656"/>
            <w:vAlign w:val="center"/>
            <w:shd w:fill="F1F5F3"/>
          </w:tcPr>
          <w:p>
            <w:pPr>
              <w:spacing w:after="40"/>
            </w:pPr>
            <w:r/>
            <w:r>
              <w:rPr>
                <w:rFonts w:ascii="Aptos" w:hAnsi="Aptos"/>
                <w:b w:val="0"/>
                <w:color w:val="30353A"/>
                <w:sz w:val="16"/>
              </w:rPr>
              <w:t>17</w:t>
            </w:r>
          </w:p>
        </w:tc>
        <w:tc>
          <w:tcPr>
            <w:tcW w:type="dxa" w:w="1656"/>
            <w:vAlign w:val="center"/>
            <w:shd w:fill="F1F5F3"/>
          </w:tcPr>
          <w:p>
            <w:pPr>
              <w:spacing w:after="40"/>
            </w:pPr>
            <w:r/>
            <w:r>
              <w:rPr>
                <w:rFonts w:ascii="Aptos" w:hAnsi="Aptos"/>
                <w:b w:val="0"/>
                <w:color w:val="30353A"/>
                <w:sz w:val="16"/>
              </w:rPr>
              <w:t>20</w:t>
            </w:r>
          </w:p>
        </w:tc>
      </w:tr>
      <w:tr>
        <w:tc>
          <w:tcPr>
            <w:tcW w:type="dxa" w:w="4968"/>
            <w:vAlign w:val="center"/>
          </w:tcPr>
          <w:p>
            <w:pPr>
              <w:spacing w:after="40"/>
            </w:pPr>
            <w:r/>
            <w:r>
              <w:rPr>
                <w:rFonts w:ascii="Aptos" w:hAnsi="Aptos"/>
                <w:b/>
                <w:color w:val="30353A"/>
                <w:sz w:val="16"/>
              </w:rPr>
              <w:t>Médiathèque, ludothèque et ateliers</w:t>
            </w:r>
          </w:p>
        </w:tc>
        <w:tc>
          <w:tcPr>
            <w:tcW w:type="dxa" w:w="1656"/>
            <w:vAlign w:val="center"/>
          </w:tcPr>
          <w:p>
            <w:pPr>
              <w:spacing w:after="40"/>
            </w:pPr>
            <w:r/>
            <w:r>
              <w:rPr>
                <w:rFonts w:ascii="Aptos" w:hAnsi="Aptos"/>
                <w:b w:val="0"/>
                <w:color w:val="30353A"/>
                <w:sz w:val="16"/>
              </w:rPr>
              <w:t>3</w:t>
            </w:r>
          </w:p>
        </w:tc>
        <w:tc>
          <w:tcPr>
            <w:tcW w:type="dxa" w:w="1656"/>
            <w:vAlign w:val="center"/>
          </w:tcPr>
          <w:p>
            <w:pPr>
              <w:spacing w:after="40"/>
            </w:pPr>
            <w:r/>
            <w:r>
              <w:rPr>
                <w:rFonts w:ascii="Aptos" w:hAnsi="Aptos"/>
                <w:b w:val="0"/>
                <w:color w:val="30353A"/>
                <w:sz w:val="16"/>
              </w:rPr>
              <w:t>5</w:t>
            </w:r>
          </w:p>
        </w:tc>
        <w:tc>
          <w:tcPr>
            <w:tcW w:type="dxa" w:w="1656"/>
            <w:vAlign w:val="center"/>
          </w:tcPr>
          <w:p>
            <w:pPr>
              <w:spacing w:after="40"/>
            </w:pPr>
            <w:r/>
            <w:r>
              <w:rPr>
                <w:rFonts w:ascii="Aptos" w:hAnsi="Aptos"/>
                <w:b w:val="0"/>
                <w:color w:val="30353A"/>
                <w:sz w:val="16"/>
              </w:rPr>
              <w:t>8</w:t>
            </w:r>
          </w:p>
        </w:tc>
      </w:tr>
      <w:tr>
        <w:tc>
          <w:tcPr>
            <w:tcW w:type="dxa" w:w="4968"/>
            <w:vAlign w:val="center"/>
            <w:shd w:fill="F1F5F3"/>
          </w:tcPr>
          <w:p>
            <w:pPr>
              <w:spacing w:after="40"/>
            </w:pPr>
            <w:r/>
            <w:r>
              <w:rPr>
                <w:rFonts w:ascii="Aptos" w:hAnsi="Aptos"/>
                <w:b/>
                <w:color w:val="30353A"/>
                <w:sz w:val="16"/>
              </w:rPr>
              <w:t>Total produits</w:t>
            </w:r>
          </w:p>
        </w:tc>
        <w:tc>
          <w:tcPr>
            <w:tcW w:type="dxa" w:w="1656"/>
            <w:vAlign w:val="center"/>
            <w:shd w:fill="F1F5F3"/>
          </w:tcPr>
          <w:p>
            <w:pPr>
              <w:spacing w:after="40"/>
            </w:pPr>
            <w:r/>
            <w:r>
              <w:rPr>
                <w:rFonts w:ascii="Aptos" w:hAnsi="Aptos"/>
                <w:b w:val="0"/>
                <w:color w:val="30353A"/>
                <w:sz w:val="16"/>
              </w:rPr>
              <w:t>45</w:t>
            </w:r>
          </w:p>
        </w:tc>
        <w:tc>
          <w:tcPr>
            <w:tcW w:type="dxa" w:w="1656"/>
            <w:vAlign w:val="center"/>
            <w:shd w:fill="F1F5F3"/>
          </w:tcPr>
          <w:p>
            <w:pPr>
              <w:spacing w:after="40"/>
            </w:pPr>
            <w:r/>
            <w:r>
              <w:rPr>
                <w:rFonts w:ascii="Aptos" w:hAnsi="Aptos"/>
                <w:b w:val="0"/>
                <w:color w:val="30353A"/>
                <w:sz w:val="16"/>
              </w:rPr>
              <w:t>58</w:t>
            </w:r>
          </w:p>
        </w:tc>
        <w:tc>
          <w:tcPr>
            <w:tcW w:type="dxa" w:w="1656"/>
            <w:vAlign w:val="center"/>
            <w:shd w:fill="F1F5F3"/>
          </w:tcPr>
          <w:p>
            <w:pPr>
              <w:spacing w:after="40"/>
            </w:pPr>
            <w:r/>
            <w:r>
              <w:rPr>
                <w:rFonts w:ascii="Aptos" w:hAnsi="Aptos"/>
                <w:b w:val="0"/>
                <w:color w:val="30353A"/>
                <w:sz w:val="16"/>
              </w:rPr>
              <w:t>72</w:t>
            </w:r>
          </w:p>
        </w:tc>
      </w:tr>
      <w:tr>
        <w:tc>
          <w:tcPr>
            <w:tcW w:type="dxa" w:w="4968"/>
            <w:vAlign w:val="center"/>
          </w:tcPr>
          <w:p>
            <w:pPr>
              <w:spacing w:after="40"/>
            </w:pPr>
            <w:r/>
            <w:r>
              <w:rPr>
                <w:rFonts w:ascii="Aptos" w:hAnsi="Aptos"/>
                <w:b/>
                <w:color w:val="30353A"/>
                <w:sz w:val="16"/>
              </w:rPr>
              <w:t>Personnel et renforts</w:t>
            </w:r>
          </w:p>
        </w:tc>
        <w:tc>
          <w:tcPr>
            <w:tcW w:type="dxa" w:w="1656"/>
            <w:vAlign w:val="center"/>
          </w:tcPr>
          <w:p>
            <w:pPr>
              <w:spacing w:after="40"/>
            </w:pPr>
            <w:r/>
            <w:r>
              <w:rPr>
                <w:rFonts w:ascii="Aptos" w:hAnsi="Aptos"/>
                <w:b w:val="0"/>
                <w:color w:val="30353A"/>
                <w:sz w:val="16"/>
              </w:rPr>
              <w:t>22</w:t>
            </w:r>
          </w:p>
        </w:tc>
        <w:tc>
          <w:tcPr>
            <w:tcW w:type="dxa" w:w="1656"/>
            <w:vAlign w:val="center"/>
          </w:tcPr>
          <w:p>
            <w:pPr>
              <w:spacing w:after="40"/>
            </w:pPr>
            <w:r/>
            <w:r>
              <w:rPr>
                <w:rFonts w:ascii="Aptos" w:hAnsi="Aptos"/>
                <w:b w:val="0"/>
                <w:color w:val="30353A"/>
                <w:sz w:val="16"/>
              </w:rPr>
              <w:t>25</w:t>
            </w:r>
          </w:p>
        </w:tc>
        <w:tc>
          <w:tcPr>
            <w:tcW w:type="dxa" w:w="1656"/>
            <w:vAlign w:val="center"/>
          </w:tcPr>
          <w:p>
            <w:pPr>
              <w:spacing w:after="40"/>
            </w:pPr>
            <w:r/>
            <w:r>
              <w:rPr>
                <w:rFonts w:ascii="Aptos" w:hAnsi="Aptos"/>
                <w:b w:val="0"/>
                <w:color w:val="30353A"/>
                <w:sz w:val="16"/>
              </w:rPr>
              <w:t>28</w:t>
            </w:r>
          </w:p>
        </w:tc>
      </w:tr>
      <w:tr>
        <w:tc>
          <w:tcPr>
            <w:tcW w:type="dxa" w:w="4968"/>
            <w:vAlign w:val="center"/>
            <w:shd w:fill="F1F5F3"/>
          </w:tcPr>
          <w:p>
            <w:pPr>
              <w:spacing w:after="40"/>
            </w:pPr>
            <w:r/>
            <w:r>
              <w:rPr>
                <w:rFonts w:ascii="Aptos" w:hAnsi="Aptos"/>
                <w:b/>
                <w:color w:val="30353A"/>
                <w:sz w:val="16"/>
              </w:rPr>
              <w:t>Programmation et médiation</w:t>
            </w:r>
          </w:p>
        </w:tc>
        <w:tc>
          <w:tcPr>
            <w:tcW w:type="dxa" w:w="1656"/>
            <w:vAlign w:val="center"/>
            <w:shd w:fill="F1F5F3"/>
          </w:tcPr>
          <w:p>
            <w:pPr>
              <w:spacing w:after="40"/>
            </w:pPr>
            <w:r/>
            <w:r>
              <w:rPr>
                <w:rFonts w:ascii="Aptos" w:hAnsi="Aptos"/>
                <w:b w:val="0"/>
                <w:color w:val="30353A"/>
                <w:sz w:val="16"/>
              </w:rPr>
              <w:t>12</w:t>
            </w:r>
          </w:p>
        </w:tc>
        <w:tc>
          <w:tcPr>
            <w:tcW w:type="dxa" w:w="1656"/>
            <w:vAlign w:val="center"/>
            <w:shd w:fill="F1F5F3"/>
          </w:tcPr>
          <w:p>
            <w:pPr>
              <w:spacing w:after="40"/>
            </w:pPr>
            <w:r/>
            <w:r>
              <w:rPr>
                <w:rFonts w:ascii="Aptos" w:hAnsi="Aptos"/>
                <w:b w:val="0"/>
                <w:color w:val="30353A"/>
                <w:sz w:val="16"/>
              </w:rPr>
              <w:t>14</w:t>
            </w:r>
          </w:p>
        </w:tc>
        <w:tc>
          <w:tcPr>
            <w:tcW w:type="dxa" w:w="1656"/>
            <w:vAlign w:val="center"/>
            <w:shd w:fill="F1F5F3"/>
          </w:tcPr>
          <w:p>
            <w:pPr>
              <w:spacing w:after="40"/>
            </w:pPr>
            <w:r/>
            <w:r>
              <w:rPr>
                <w:rFonts w:ascii="Aptos" w:hAnsi="Aptos"/>
                <w:b w:val="0"/>
                <w:color w:val="30353A"/>
                <w:sz w:val="16"/>
              </w:rPr>
              <w:t>17</w:t>
            </w:r>
          </w:p>
        </w:tc>
      </w:tr>
      <w:tr>
        <w:tc>
          <w:tcPr>
            <w:tcW w:type="dxa" w:w="4968"/>
            <w:vAlign w:val="center"/>
          </w:tcPr>
          <w:p>
            <w:pPr>
              <w:spacing w:after="40"/>
            </w:pPr>
            <w:r/>
            <w:r>
              <w:rPr>
                <w:rFonts w:ascii="Aptos" w:hAnsi="Aptos"/>
                <w:b/>
                <w:color w:val="30353A"/>
                <w:sz w:val="16"/>
              </w:rPr>
              <w:t>Bâtiment, énergie et maintenance</w:t>
            </w:r>
          </w:p>
        </w:tc>
        <w:tc>
          <w:tcPr>
            <w:tcW w:type="dxa" w:w="1656"/>
            <w:vAlign w:val="center"/>
          </w:tcPr>
          <w:p>
            <w:pPr>
              <w:spacing w:after="40"/>
            </w:pPr>
            <w:r/>
            <w:r>
              <w:rPr>
                <w:rFonts w:ascii="Aptos" w:hAnsi="Aptos"/>
                <w:b w:val="0"/>
                <w:color w:val="30353A"/>
                <w:sz w:val="16"/>
              </w:rPr>
              <w:t>8</w:t>
            </w:r>
          </w:p>
        </w:tc>
        <w:tc>
          <w:tcPr>
            <w:tcW w:type="dxa" w:w="1656"/>
            <w:vAlign w:val="center"/>
          </w:tcPr>
          <w:p>
            <w:pPr>
              <w:spacing w:after="40"/>
            </w:pPr>
            <w:r/>
            <w:r>
              <w:rPr>
                <w:rFonts w:ascii="Aptos" w:hAnsi="Aptos"/>
                <w:b w:val="0"/>
                <w:color w:val="30353A"/>
                <w:sz w:val="16"/>
              </w:rPr>
              <w:t>9</w:t>
            </w:r>
          </w:p>
        </w:tc>
        <w:tc>
          <w:tcPr>
            <w:tcW w:type="dxa" w:w="1656"/>
            <w:vAlign w:val="center"/>
          </w:tcPr>
          <w:p>
            <w:pPr>
              <w:spacing w:after="40"/>
            </w:pPr>
            <w:r/>
            <w:r>
              <w:rPr>
                <w:rFonts w:ascii="Aptos" w:hAnsi="Aptos"/>
                <w:b w:val="0"/>
                <w:color w:val="30353A"/>
                <w:sz w:val="16"/>
              </w:rPr>
              <w:t>10</w:t>
            </w:r>
          </w:p>
        </w:tc>
      </w:tr>
      <w:tr>
        <w:tc>
          <w:tcPr>
            <w:tcW w:type="dxa" w:w="4968"/>
            <w:vAlign w:val="center"/>
            <w:shd w:fill="F1F5F3"/>
          </w:tcPr>
          <w:p>
            <w:pPr>
              <w:spacing w:after="40"/>
            </w:pPr>
            <w:r/>
            <w:r>
              <w:rPr>
                <w:rFonts w:ascii="Aptos" w:hAnsi="Aptos"/>
                <w:b/>
                <w:color w:val="30353A"/>
                <w:sz w:val="16"/>
              </w:rPr>
              <w:t>Communication, numérique et frais de paiement</w:t>
            </w:r>
          </w:p>
        </w:tc>
        <w:tc>
          <w:tcPr>
            <w:tcW w:type="dxa" w:w="1656"/>
            <w:vAlign w:val="center"/>
            <w:shd w:fill="F1F5F3"/>
          </w:tcPr>
          <w:p>
            <w:pPr>
              <w:spacing w:after="40"/>
            </w:pPr>
            <w:r/>
            <w:r>
              <w:rPr>
                <w:rFonts w:ascii="Aptos" w:hAnsi="Aptos"/>
                <w:b w:val="0"/>
                <w:color w:val="30353A"/>
                <w:sz w:val="16"/>
              </w:rPr>
              <w:t>3</w:t>
            </w:r>
          </w:p>
        </w:tc>
        <w:tc>
          <w:tcPr>
            <w:tcW w:type="dxa" w:w="1656"/>
            <w:vAlign w:val="center"/>
            <w:shd w:fill="F1F5F3"/>
          </w:tcPr>
          <w:p>
            <w:pPr>
              <w:spacing w:after="40"/>
            </w:pPr>
            <w:r/>
            <w:r>
              <w:rPr>
                <w:rFonts w:ascii="Aptos" w:hAnsi="Aptos"/>
                <w:b w:val="0"/>
                <w:color w:val="30353A"/>
                <w:sz w:val="16"/>
              </w:rPr>
              <w:t>4</w:t>
            </w:r>
          </w:p>
        </w:tc>
        <w:tc>
          <w:tcPr>
            <w:tcW w:type="dxa" w:w="1656"/>
            <w:vAlign w:val="center"/>
            <w:shd w:fill="F1F5F3"/>
          </w:tcPr>
          <w:p>
            <w:pPr>
              <w:spacing w:after="40"/>
            </w:pPr>
            <w:r/>
            <w:r>
              <w:rPr>
                <w:rFonts w:ascii="Aptos" w:hAnsi="Aptos"/>
                <w:b w:val="0"/>
                <w:color w:val="30353A"/>
                <w:sz w:val="16"/>
              </w:rPr>
              <w:t>5</w:t>
            </w:r>
          </w:p>
        </w:tc>
      </w:tr>
      <w:tr>
        <w:tc>
          <w:tcPr>
            <w:tcW w:type="dxa" w:w="4968"/>
            <w:vAlign w:val="center"/>
          </w:tcPr>
          <w:p>
            <w:pPr>
              <w:spacing w:after="40"/>
            </w:pPr>
            <w:r/>
            <w:r>
              <w:rPr>
                <w:rFonts w:ascii="Aptos" w:hAnsi="Aptos"/>
                <w:b/>
                <w:color w:val="30353A"/>
                <w:sz w:val="16"/>
              </w:rPr>
              <w:t>Administration, assurance et divers</w:t>
            </w:r>
          </w:p>
        </w:tc>
        <w:tc>
          <w:tcPr>
            <w:tcW w:type="dxa" w:w="1656"/>
            <w:vAlign w:val="center"/>
          </w:tcPr>
          <w:p>
            <w:pPr>
              <w:spacing w:after="40"/>
            </w:pPr>
            <w:r/>
            <w:r>
              <w:rPr>
                <w:rFonts w:ascii="Aptos" w:hAnsi="Aptos"/>
                <w:b w:val="0"/>
                <w:color w:val="30353A"/>
                <w:sz w:val="16"/>
              </w:rPr>
              <w:t>7</w:t>
            </w:r>
          </w:p>
        </w:tc>
        <w:tc>
          <w:tcPr>
            <w:tcW w:type="dxa" w:w="1656"/>
            <w:vAlign w:val="center"/>
          </w:tcPr>
          <w:p>
            <w:pPr>
              <w:spacing w:after="40"/>
            </w:pPr>
            <w:r/>
            <w:r>
              <w:rPr>
                <w:rFonts w:ascii="Aptos" w:hAnsi="Aptos"/>
                <w:b w:val="0"/>
                <w:color w:val="30353A"/>
                <w:sz w:val="16"/>
              </w:rPr>
              <w:t>7</w:t>
            </w:r>
          </w:p>
        </w:tc>
        <w:tc>
          <w:tcPr>
            <w:tcW w:type="dxa" w:w="1656"/>
            <w:vAlign w:val="center"/>
          </w:tcPr>
          <w:p>
            <w:pPr>
              <w:spacing w:after="40"/>
            </w:pPr>
            <w:r/>
            <w:r>
              <w:rPr>
                <w:rFonts w:ascii="Aptos" w:hAnsi="Aptos"/>
                <w:b w:val="0"/>
                <w:color w:val="30353A"/>
                <w:sz w:val="16"/>
              </w:rPr>
              <w:t>7</w:t>
            </w:r>
          </w:p>
        </w:tc>
      </w:tr>
      <w:tr>
        <w:tc>
          <w:tcPr>
            <w:tcW w:type="dxa" w:w="4968"/>
            <w:vAlign w:val="center"/>
            <w:shd w:fill="F1F5F3"/>
          </w:tcPr>
          <w:p>
            <w:pPr>
              <w:spacing w:after="40"/>
            </w:pPr>
            <w:r/>
            <w:r>
              <w:rPr>
                <w:rFonts w:ascii="Aptos" w:hAnsi="Aptos"/>
                <w:b/>
                <w:color w:val="30353A"/>
                <w:sz w:val="16"/>
              </w:rPr>
              <w:t>Total charges</w:t>
            </w:r>
          </w:p>
        </w:tc>
        <w:tc>
          <w:tcPr>
            <w:tcW w:type="dxa" w:w="1656"/>
            <w:vAlign w:val="center"/>
            <w:shd w:fill="F1F5F3"/>
          </w:tcPr>
          <w:p>
            <w:pPr>
              <w:spacing w:after="40"/>
            </w:pPr>
            <w:r/>
            <w:r>
              <w:rPr>
                <w:rFonts w:ascii="Aptos" w:hAnsi="Aptos"/>
                <w:b w:val="0"/>
                <w:color w:val="30353A"/>
                <w:sz w:val="16"/>
              </w:rPr>
              <w:t>52</w:t>
            </w:r>
          </w:p>
        </w:tc>
        <w:tc>
          <w:tcPr>
            <w:tcW w:type="dxa" w:w="1656"/>
            <w:vAlign w:val="center"/>
            <w:shd w:fill="F1F5F3"/>
          </w:tcPr>
          <w:p>
            <w:pPr>
              <w:spacing w:after="40"/>
            </w:pPr>
            <w:r/>
            <w:r>
              <w:rPr>
                <w:rFonts w:ascii="Aptos" w:hAnsi="Aptos"/>
                <w:b w:val="0"/>
                <w:color w:val="30353A"/>
                <w:sz w:val="16"/>
              </w:rPr>
              <w:t>59</w:t>
            </w:r>
          </w:p>
        </w:tc>
        <w:tc>
          <w:tcPr>
            <w:tcW w:type="dxa" w:w="1656"/>
            <w:vAlign w:val="center"/>
            <w:shd w:fill="F1F5F3"/>
          </w:tcPr>
          <w:p>
            <w:pPr>
              <w:spacing w:after="40"/>
            </w:pPr>
            <w:r/>
            <w:r>
              <w:rPr>
                <w:rFonts w:ascii="Aptos" w:hAnsi="Aptos"/>
                <w:b w:val="0"/>
                <w:color w:val="30353A"/>
                <w:sz w:val="16"/>
              </w:rPr>
              <w:t>67</w:t>
            </w:r>
          </w:p>
        </w:tc>
      </w:tr>
      <w:tr>
        <w:tc>
          <w:tcPr>
            <w:tcW w:type="dxa" w:w="4968"/>
            <w:vAlign w:val="center"/>
          </w:tcPr>
          <w:p>
            <w:pPr>
              <w:spacing w:after="40"/>
            </w:pPr>
            <w:r/>
            <w:r>
              <w:rPr>
                <w:rFonts w:ascii="Aptos" w:hAnsi="Aptos"/>
                <w:b/>
                <w:color w:val="30353A"/>
                <w:sz w:val="16"/>
              </w:rPr>
              <w:t>Résultat d’exploitation indicatif</w:t>
            </w:r>
          </w:p>
        </w:tc>
        <w:tc>
          <w:tcPr>
            <w:tcW w:type="dxa" w:w="1656"/>
            <w:vAlign w:val="center"/>
          </w:tcPr>
          <w:p>
            <w:pPr>
              <w:spacing w:after="40"/>
            </w:pPr>
            <w:r/>
            <w:r>
              <w:rPr>
                <w:rFonts w:ascii="Aptos" w:hAnsi="Aptos"/>
                <w:b w:val="0"/>
                <w:color w:val="30353A"/>
                <w:sz w:val="16"/>
              </w:rPr>
              <w:t>-7</w:t>
            </w:r>
          </w:p>
        </w:tc>
        <w:tc>
          <w:tcPr>
            <w:tcW w:type="dxa" w:w="1656"/>
            <w:vAlign w:val="center"/>
          </w:tcPr>
          <w:p>
            <w:pPr>
              <w:spacing w:after="40"/>
            </w:pPr>
            <w:r/>
            <w:r>
              <w:rPr>
                <w:rFonts w:ascii="Aptos" w:hAnsi="Aptos"/>
                <w:b w:val="0"/>
                <w:color w:val="30353A"/>
                <w:sz w:val="16"/>
              </w:rPr>
              <w:t>-1</w:t>
            </w:r>
          </w:p>
        </w:tc>
        <w:tc>
          <w:tcPr>
            <w:tcW w:type="dxa" w:w="1656"/>
            <w:vAlign w:val="center"/>
          </w:tcPr>
          <w:p>
            <w:pPr>
              <w:spacing w:after="40"/>
            </w:pPr>
            <w:r/>
            <w:r>
              <w:rPr>
                <w:rFonts w:ascii="Aptos" w:hAnsi="Aptos"/>
                <w:b w:val="0"/>
                <w:color w:val="30353A"/>
                <w:sz w:val="16"/>
              </w:rPr>
              <w:t>5</w:t>
            </w:r>
          </w:p>
        </w:tc>
      </w:tr>
    </w:tbl>
    <w:p>
      <w:pPr>
        <w:spacing w:after="0"/>
      </w:pPr>
    </w:p>
    <w:p>
      <w:r>
        <w:t>Les subventions et conventions représentent 31 % des produits en année 1 dans ce scénario; leur sécurisation est donc déterminante. La progression des recettes propres suppose une meilleure occupation et une programmation régulière, non une hausse automatique des tarifs. Le résultat est avant amortissements, impôts éventuels, charges financières et investissements; il ne constitue pas un compte de résultat prévisionnel certifié.</w:t>
      </w:r>
    </w:p>
    <w:p>
      <w:pPr>
        <w:pStyle w:val="Heading2"/>
        <w:keepNext/>
      </w:pPr>
      <w:r>
        <w:t>Besoin de financement initial proposé</w:t>
      </w:r>
    </w:p>
    <w:tbl>
      <w:tblPr>
        <w:tblStyle w:val="TableGrid"/>
        <w:tblW w:type="auto" w:w="0"/>
        <w:jc w:val="center"/>
        <w:tblLook w:firstColumn="1" w:firstRow="1" w:lastColumn="0" w:lastRow="0" w:noHBand="0" w:noVBand="1" w:val="04A0"/>
      </w:tblPr>
      <w:tblGrid>
        <w:gridCol w:w="3331"/>
        <w:gridCol w:w="3331"/>
        <w:gridCol w:w="3331"/>
      </w:tblGrid>
      <w:tr>
        <w:tc>
          <w:tcPr>
            <w:tcW w:type="dxa" w:w="3456"/>
            <w:vAlign w:val="center"/>
            <w:shd w:fill="183B36"/>
          </w:tcPr>
          <w:p>
            <w:pPr>
              <w:spacing w:after="40"/>
            </w:pPr>
            <w:r/>
            <w:r>
              <w:rPr>
                <w:rFonts w:ascii="Aptos" w:hAnsi="Aptos"/>
                <w:b/>
                <w:color w:val="FFFFFF"/>
                <w:sz w:val="16"/>
              </w:rPr>
              <w:t>Emploi des fonds</w:t>
            </w:r>
          </w:p>
        </w:tc>
        <w:tc>
          <w:tcPr>
            <w:tcW w:type="dxa" w:w="1224"/>
            <w:vAlign w:val="center"/>
            <w:shd w:fill="183B36"/>
          </w:tcPr>
          <w:p>
            <w:pPr>
              <w:spacing w:after="40"/>
            </w:pPr>
            <w:r/>
            <w:r>
              <w:rPr>
                <w:rFonts w:ascii="Aptos" w:hAnsi="Aptos"/>
                <w:b/>
                <w:color w:val="FFFFFF"/>
                <w:sz w:val="16"/>
              </w:rPr>
              <w:t>M FCFA</w:t>
            </w:r>
          </w:p>
        </w:tc>
        <w:tc>
          <w:tcPr>
            <w:tcW w:type="dxa" w:w="5256"/>
            <w:vAlign w:val="center"/>
            <w:shd w:fill="183B36"/>
          </w:tcPr>
          <w:p>
            <w:pPr>
              <w:spacing w:after="40"/>
            </w:pPr>
            <w:r/>
            <w:r>
              <w:rPr>
                <w:rFonts w:ascii="Aptos" w:hAnsi="Aptos"/>
                <w:b/>
                <w:color w:val="FFFFFF"/>
                <w:sz w:val="16"/>
              </w:rPr>
              <w:t>Objet</w:t>
            </w:r>
          </w:p>
        </w:tc>
      </w:tr>
      <w:tr>
        <w:tc>
          <w:tcPr>
            <w:tcW w:type="dxa" w:w="3456"/>
            <w:vAlign w:val="center"/>
          </w:tcPr>
          <w:p>
            <w:pPr>
              <w:spacing w:after="40"/>
            </w:pPr>
            <w:r/>
            <w:r>
              <w:rPr>
                <w:rFonts w:ascii="Aptos" w:hAnsi="Aptos"/>
                <w:b/>
                <w:color w:val="30353A"/>
                <w:sz w:val="16"/>
              </w:rPr>
              <w:t>Équipements et remise à niveau ciblée</w:t>
            </w:r>
          </w:p>
        </w:tc>
        <w:tc>
          <w:tcPr>
            <w:tcW w:type="dxa" w:w="1224"/>
            <w:vAlign w:val="center"/>
          </w:tcPr>
          <w:p>
            <w:pPr>
              <w:spacing w:after="40"/>
            </w:pPr>
            <w:r/>
            <w:r>
              <w:rPr>
                <w:rFonts w:ascii="Aptos" w:hAnsi="Aptos"/>
                <w:b w:val="0"/>
                <w:color w:val="30353A"/>
                <w:sz w:val="16"/>
              </w:rPr>
              <w:t>18</w:t>
            </w:r>
          </w:p>
        </w:tc>
        <w:tc>
          <w:tcPr>
            <w:tcW w:type="dxa" w:w="5256"/>
            <w:vAlign w:val="center"/>
          </w:tcPr>
          <w:p>
            <w:pPr>
              <w:spacing w:after="40"/>
            </w:pPr>
            <w:r/>
            <w:r>
              <w:rPr>
                <w:rFonts w:ascii="Aptos" w:hAnsi="Aptos"/>
                <w:b w:val="0"/>
                <w:color w:val="30353A"/>
                <w:sz w:val="16"/>
              </w:rPr>
              <w:t>Sonorisation/lumière, mobilier, signalétique, connectivité ou travaux après audit technique</w:t>
            </w:r>
          </w:p>
        </w:tc>
      </w:tr>
      <w:tr>
        <w:tc>
          <w:tcPr>
            <w:tcW w:type="dxa" w:w="3456"/>
            <w:vAlign w:val="center"/>
            <w:shd w:fill="F1F5F3"/>
          </w:tcPr>
          <w:p>
            <w:pPr>
              <w:spacing w:after="40"/>
            </w:pPr>
            <w:r/>
            <w:r>
              <w:rPr>
                <w:rFonts w:ascii="Aptos" w:hAnsi="Aptos"/>
                <w:b/>
                <w:color w:val="30353A"/>
                <w:sz w:val="16"/>
              </w:rPr>
              <w:t>Lancement de programmation et médiation</w:t>
            </w:r>
          </w:p>
        </w:tc>
        <w:tc>
          <w:tcPr>
            <w:tcW w:type="dxa" w:w="1224"/>
            <w:vAlign w:val="center"/>
            <w:shd w:fill="F1F5F3"/>
          </w:tcPr>
          <w:p>
            <w:pPr>
              <w:spacing w:after="40"/>
            </w:pPr>
            <w:r/>
            <w:r>
              <w:rPr>
                <w:rFonts w:ascii="Aptos" w:hAnsi="Aptos"/>
                <w:b w:val="0"/>
                <w:color w:val="30353A"/>
                <w:sz w:val="16"/>
              </w:rPr>
              <w:t>12</w:t>
            </w:r>
          </w:p>
        </w:tc>
        <w:tc>
          <w:tcPr>
            <w:tcW w:type="dxa" w:w="5256"/>
            <w:vAlign w:val="center"/>
            <w:shd w:fill="F1F5F3"/>
          </w:tcPr>
          <w:p>
            <w:pPr>
              <w:spacing w:after="40"/>
            </w:pPr>
            <w:r/>
            <w:r>
              <w:rPr>
                <w:rFonts w:ascii="Aptos" w:hAnsi="Aptos"/>
                <w:b w:val="0"/>
                <w:color w:val="30353A"/>
                <w:sz w:val="16"/>
              </w:rPr>
              <w:t>Coproductions, ateliers, communication de lancement et actions scolaires</w:t>
            </w:r>
          </w:p>
        </w:tc>
      </w:tr>
      <w:tr>
        <w:tc>
          <w:tcPr>
            <w:tcW w:type="dxa" w:w="3456"/>
            <w:vAlign w:val="center"/>
          </w:tcPr>
          <w:p>
            <w:pPr>
              <w:spacing w:after="40"/>
            </w:pPr>
            <w:r/>
            <w:r>
              <w:rPr>
                <w:rFonts w:ascii="Aptos" w:hAnsi="Aptos"/>
                <w:b/>
                <w:color w:val="30353A"/>
                <w:sz w:val="16"/>
              </w:rPr>
              <w:t>Fonds de roulement</w:t>
            </w:r>
          </w:p>
        </w:tc>
        <w:tc>
          <w:tcPr>
            <w:tcW w:type="dxa" w:w="1224"/>
            <w:vAlign w:val="center"/>
          </w:tcPr>
          <w:p>
            <w:pPr>
              <w:spacing w:after="40"/>
            </w:pPr>
            <w:r/>
            <w:r>
              <w:rPr>
                <w:rFonts w:ascii="Aptos" w:hAnsi="Aptos"/>
                <w:b w:val="0"/>
                <w:color w:val="30353A"/>
                <w:sz w:val="16"/>
              </w:rPr>
              <w:t>5</w:t>
            </w:r>
          </w:p>
        </w:tc>
        <w:tc>
          <w:tcPr>
            <w:tcW w:type="dxa" w:w="5256"/>
            <w:vAlign w:val="center"/>
          </w:tcPr>
          <w:p>
            <w:pPr>
              <w:spacing w:after="40"/>
            </w:pPr>
            <w:r/>
            <w:r>
              <w:rPr>
                <w:rFonts w:ascii="Aptos" w:hAnsi="Aptos"/>
                <w:b w:val="0"/>
                <w:color w:val="30353A"/>
                <w:sz w:val="16"/>
              </w:rPr>
              <w:t>Décalage de trésorerie, acomptes, dépenses de démarrage</w:t>
            </w:r>
          </w:p>
        </w:tc>
      </w:tr>
      <w:tr>
        <w:tc>
          <w:tcPr>
            <w:tcW w:type="dxa" w:w="3456"/>
            <w:vAlign w:val="center"/>
            <w:shd w:fill="F1F5F3"/>
          </w:tcPr>
          <w:p>
            <w:pPr>
              <w:spacing w:after="40"/>
            </w:pPr>
            <w:r/>
            <w:r>
              <w:rPr>
                <w:rFonts w:ascii="Aptos" w:hAnsi="Aptos"/>
                <w:b/>
                <w:color w:val="30353A"/>
                <w:sz w:val="16"/>
              </w:rPr>
              <w:t>Total indicatif</w:t>
            </w:r>
          </w:p>
        </w:tc>
        <w:tc>
          <w:tcPr>
            <w:tcW w:type="dxa" w:w="1224"/>
            <w:vAlign w:val="center"/>
            <w:shd w:fill="F1F5F3"/>
          </w:tcPr>
          <w:p>
            <w:pPr>
              <w:spacing w:after="40"/>
            </w:pPr>
            <w:r/>
            <w:r>
              <w:rPr>
                <w:rFonts w:ascii="Aptos" w:hAnsi="Aptos"/>
                <w:b w:val="0"/>
                <w:color w:val="30353A"/>
                <w:sz w:val="16"/>
              </w:rPr>
              <w:t>35</w:t>
            </w:r>
          </w:p>
        </w:tc>
        <w:tc>
          <w:tcPr>
            <w:tcW w:type="dxa" w:w="5256"/>
            <w:vAlign w:val="center"/>
            <w:shd w:fill="F1F5F3"/>
          </w:tcPr>
          <w:p>
            <w:pPr>
              <w:spacing w:after="40"/>
            </w:pPr>
            <w:r/>
            <w:r>
              <w:rPr>
                <w:rFonts w:ascii="Aptos" w:hAnsi="Aptos"/>
                <w:b w:val="0"/>
                <w:color w:val="30353A"/>
                <w:sz w:val="16"/>
              </w:rPr>
              <w:t>À financer par combinaison de subventions, conventions, mécénat et recettes propres</w:t>
            </w:r>
          </w:p>
        </w:tc>
      </w:tr>
    </w:tbl>
    <w:p>
      <w:pPr>
        <w:spacing w:after="0"/>
      </w:pPr>
    </w:p>
    <w:p>
      <w:r>
        <w:t>Le montant de 18 M FCFA pour les équipements est une enveloppe de planification et non un devis. Les achats doivent être priorisés après inventaire et chiffrage. Le besoin de trésorerie doit être recalculé à partir du calendrier d’encaissement des subventions, des réservations et des paiements fournisseurs.</w:t>
      </w:r>
    </w:p>
    <w:p>
      <w:pPr>
        <w:pStyle w:val="Heading1"/>
        <w:keepNext/>
      </w:pPr>
      <w:r>
        <w:t>6. Risques et mesures de maîtrise</w:t>
      </w:r>
    </w:p>
    <w:tbl>
      <w:tblPr>
        <w:tblStyle w:val="TableGrid"/>
        <w:tblW w:type="auto" w:w="0"/>
        <w:jc w:val="center"/>
        <w:tblLook w:firstColumn="1" w:firstRow="1" w:lastColumn="0" w:lastRow="0" w:noHBand="0" w:noVBand="1" w:val="04A0"/>
      </w:tblPr>
      <w:tblGrid>
        <w:gridCol w:w="4997"/>
        <w:gridCol w:w="4997"/>
      </w:tblGrid>
      <w:tr>
        <w:tc>
          <w:tcPr>
            <w:tcW w:type="dxa" w:w="3240"/>
            <w:vAlign w:val="center"/>
            <w:shd w:fill="183B36"/>
          </w:tcPr>
          <w:p>
            <w:pPr>
              <w:spacing w:after="40"/>
            </w:pPr>
            <w:r/>
            <w:r>
              <w:rPr>
                <w:rFonts w:ascii="Aptos" w:hAnsi="Aptos"/>
                <w:b/>
                <w:color w:val="FFFFFF"/>
                <w:sz w:val="16"/>
              </w:rPr>
              <w:t>Risque</w:t>
            </w:r>
          </w:p>
        </w:tc>
        <w:tc>
          <w:tcPr>
            <w:tcW w:type="dxa" w:w="6696"/>
            <w:vAlign w:val="center"/>
            <w:shd w:fill="183B36"/>
          </w:tcPr>
          <w:p>
            <w:pPr>
              <w:spacing w:after="40"/>
            </w:pPr>
            <w:r/>
            <w:r>
              <w:rPr>
                <w:rFonts w:ascii="Aptos" w:hAnsi="Aptos"/>
                <w:b/>
                <w:color w:val="FFFFFF"/>
                <w:sz w:val="16"/>
              </w:rPr>
              <w:t>Mesure de maîtrise proposée</w:t>
            </w:r>
          </w:p>
        </w:tc>
      </w:tr>
      <w:tr>
        <w:tc>
          <w:tcPr>
            <w:tcW w:type="dxa" w:w="3240"/>
            <w:vAlign w:val="center"/>
          </w:tcPr>
          <w:p>
            <w:pPr>
              <w:spacing w:after="40"/>
            </w:pPr>
            <w:r/>
            <w:r>
              <w:rPr>
                <w:rFonts w:ascii="Aptos" w:hAnsi="Aptos"/>
                <w:b/>
                <w:color w:val="30353A"/>
                <w:sz w:val="16"/>
              </w:rPr>
              <w:t>Fréquentation inférieure aux attentes</w:t>
            </w:r>
          </w:p>
        </w:tc>
        <w:tc>
          <w:tcPr>
            <w:tcW w:type="dxa" w:w="6696"/>
            <w:vAlign w:val="center"/>
          </w:tcPr>
          <w:p>
            <w:pPr>
              <w:spacing w:after="40"/>
            </w:pPr>
            <w:r/>
            <w:r>
              <w:rPr>
                <w:rFonts w:ascii="Aptos" w:hAnsi="Aptos"/>
                <w:b w:val="0"/>
                <w:color w:val="30353A"/>
                <w:sz w:val="16"/>
              </w:rPr>
              <w:t>Programmation pilote, préventes, partenariats de groupe, revue des formats et coûts après chaque cycle</w:t>
            </w:r>
          </w:p>
        </w:tc>
      </w:tr>
      <w:tr>
        <w:tc>
          <w:tcPr>
            <w:tcW w:type="dxa" w:w="3240"/>
            <w:vAlign w:val="center"/>
            <w:shd w:fill="F1F5F3"/>
          </w:tcPr>
          <w:p>
            <w:pPr>
              <w:spacing w:after="40"/>
            </w:pPr>
            <w:r/>
            <w:r>
              <w:rPr>
                <w:rFonts w:ascii="Aptos" w:hAnsi="Aptos"/>
                <w:b/>
                <w:color w:val="30353A"/>
                <w:sz w:val="16"/>
              </w:rPr>
              <w:t>Dépendance aux subventions</w:t>
            </w:r>
          </w:p>
        </w:tc>
        <w:tc>
          <w:tcPr>
            <w:tcW w:type="dxa" w:w="6696"/>
            <w:vAlign w:val="center"/>
            <w:shd w:fill="F1F5F3"/>
          </w:tcPr>
          <w:p>
            <w:pPr>
              <w:spacing w:after="40"/>
            </w:pPr>
            <w:r/>
            <w:r>
              <w:rPr>
                <w:rFonts w:ascii="Aptos" w:hAnsi="Aptos"/>
                <w:b w:val="0"/>
                <w:color w:val="30353A"/>
                <w:sz w:val="16"/>
              </w:rPr>
              <w:t>Pipeline de financement diversifié; conventions pluriannuelles; suivi des échéances et scénarios de trésorerie</w:t>
            </w:r>
          </w:p>
        </w:tc>
      </w:tr>
      <w:tr>
        <w:tc>
          <w:tcPr>
            <w:tcW w:type="dxa" w:w="3240"/>
            <w:vAlign w:val="center"/>
          </w:tcPr>
          <w:p>
            <w:pPr>
              <w:spacing w:after="40"/>
            </w:pPr>
            <w:r/>
            <w:r>
              <w:rPr>
                <w:rFonts w:ascii="Aptos" w:hAnsi="Aptos"/>
                <w:b/>
                <w:color w:val="30353A"/>
                <w:sz w:val="16"/>
              </w:rPr>
              <w:t>Sous-utilisation ou indisponibilité des espaces</w:t>
            </w:r>
          </w:p>
        </w:tc>
        <w:tc>
          <w:tcPr>
            <w:tcW w:type="dxa" w:w="6696"/>
            <w:vAlign w:val="center"/>
          </w:tcPr>
          <w:p>
            <w:pPr>
              <w:spacing w:after="40"/>
            </w:pPr>
            <w:r/>
            <w:r>
              <w:rPr>
                <w:rFonts w:ascii="Aptos" w:hAnsi="Aptos"/>
                <w:b w:val="0"/>
                <w:color w:val="30353A"/>
                <w:sz w:val="16"/>
              </w:rPr>
              <w:t>Inventaire technique, entretien préventif, règles de réservation, acompte et calendrier consolidé</w:t>
            </w:r>
          </w:p>
        </w:tc>
      </w:tr>
      <w:tr>
        <w:tc>
          <w:tcPr>
            <w:tcW w:type="dxa" w:w="3240"/>
            <w:vAlign w:val="center"/>
            <w:shd w:fill="F1F5F3"/>
          </w:tcPr>
          <w:p>
            <w:pPr>
              <w:spacing w:after="40"/>
            </w:pPr>
            <w:r/>
            <w:r>
              <w:rPr>
                <w:rFonts w:ascii="Aptos" w:hAnsi="Aptos"/>
                <w:b/>
                <w:color w:val="30353A"/>
                <w:sz w:val="16"/>
              </w:rPr>
              <w:t>Incident de paiement ou billetterie</w:t>
            </w:r>
          </w:p>
        </w:tc>
        <w:tc>
          <w:tcPr>
            <w:tcW w:type="dxa" w:w="6696"/>
            <w:vAlign w:val="center"/>
            <w:shd w:fill="F1F5F3"/>
          </w:tcPr>
          <w:p>
            <w:pPr>
              <w:spacing w:after="40"/>
            </w:pPr>
            <w:r/>
            <w:r>
              <w:rPr>
                <w:rFonts w:ascii="Aptos" w:hAnsi="Aptos"/>
                <w:b w:val="0"/>
                <w:color w:val="30353A"/>
                <w:sz w:val="16"/>
              </w:rPr>
              <w:t>Test de bout en bout, rapprochement des transactions, procédure de remboursement et solution de secours sur place</w:t>
            </w:r>
          </w:p>
        </w:tc>
      </w:tr>
      <w:tr>
        <w:tc>
          <w:tcPr>
            <w:tcW w:type="dxa" w:w="3240"/>
            <w:vAlign w:val="center"/>
          </w:tcPr>
          <w:p>
            <w:pPr>
              <w:spacing w:after="40"/>
            </w:pPr>
            <w:r/>
            <w:r>
              <w:rPr>
                <w:rFonts w:ascii="Aptos" w:hAnsi="Aptos"/>
                <w:b/>
                <w:color w:val="30353A"/>
                <w:sz w:val="16"/>
              </w:rPr>
              <w:t>Hausse des coûts d’énergie et de maintenance</w:t>
            </w:r>
          </w:p>
        </w:tc>
        <w:tc>
          <w:tcPr>
            <w:tcW w:type="dxa" w:w="6696"/>
            <w:vAlign w:val="center"/>
          </w:tcPr>
          <w:p>
            <w:pPr>
              <w:spacing w:after="40"/>
            </w:pPr>
            <w:r/>
            <w:r>
              <w:rPr>
                <w:rFonts w:ascii="Aptos" w:hAnsi="Aptos"/>
                <w:b w:val="0"/>
                <w:color w:val="30353A"/>
                <w:sz w:val="16"/>
              </w:rPr>
              <w:t>Suivi par événement, règles d’usage des équipements, devis comparatifs et enveloppe d’entretien</w:t>
            </w:r>
          </w:p>
        </w:tc>
      </w:tr>
      <w:tr>
        <w:tc>
          <w:tcPr>
            <w:tcW w:type="dxa" w:w="3240"/>
            <w:vAlign w:val="center"/>
            <w:shd w:fill="F1F5F3"/>
          </w:tcPr>
          <w:p>
            <w:pPr>
              <w:spacing w:after="40"/>
            </w:pPr>
            <w:r/>
            <w:r>
              <w:rPr>
                <w:rFonts w:ascii="Aptos" w:hAnsi="Aptos"/>
                <w:b/>
                <w:color w:val="30353A"/>
                <w:sz w:val="16"/>
              </w:rPr>
              <w:t>Faible capacité commerciale ou opérationnelle</w:t>
            </w:r>
          </w:p>
        </w:tc>
        <w:tc>
          <w:tcPr>
            <w:tcW w:type="dxa" w:w="6696"/>
            <w:vAlign w:val="center"/>
            <w:shd w:fill="F1F5F3"/>
          </w:tcPr>
          <w:p>
            <w:pPr>
              <w:spacing w:after="40"/>
            </w:pPr>
            <w:r/>
            <w:r>
              <w:rPr>
                <w:rFonts w:ascii="Aptos" w:hAnsi="Aptos"/>
                <w:b w:val="0"/>
                <w:color w:val="30353A"/>
                <w:sz w:val="16"/>
              </w:rPr>
              <w:t>Responsables nommés, modèles de devis/contrats, formation et suivi des demandes dans un registre commun</w:t>
            </w:r>
          </w:p>
        </w:tc>
      </w:tr>
    </w:tbl>
    <w:p>
      <w:pPr>
        <w:spacing w:after="0"/>
      </w:pPr>
    </w:p>
    <w:p>
      <w:pPr>
        <w:pStyle w:val="Heading1"/>
        <w:keepNext/>
      </w:pPr>
      <w:r>
        <w:t>7. Indicateurs de pilotage</w:t>
      </w:r>
    </w:p>
    <w:tbl>
      <w:tblPr>
        <w:tblStyle w:val="TableGrid"/>
        <w:tblW w:type="auto" w:w="0"/>
        <w:jc w:val="center"/>
        <w:tblLook w:firstColumn="1" w:firstRow="1" w:lastColumn="0" w:lastRow="0" w:noHBand="0" w:noVBand="1" w:val="04A0"/>
      </w:tblPr>
      <w:tblGrid>
        <w:gridCol w:w="3331"/>
        <w:gridCol w:w="3331"/>
        <w:gridCol w:w="3331"/>
      </w:tblGrid>
      <w:tr>
        <w:tc>
          <w:tcPr>
            <w:tcW w:type="dxa" w:w="4464"/>
            <w:vAlign w:val="center"/>
            <w:shd w:fill="183B36"/>
          </w:tcPr>
          <w:p>
            <w:pPr>
              <w:spacing w:after="40"/>
            </w:pPr>
            <w:r/>
            <w:r>
              <w:rPr>
                <w:rFonts w:ascii="Aptos" w:hAnsi="Aptos"/>
                <w:b/>
                <w:color w:val="FFFFFF"/>
                <w:sz w:val="16"/>
              </w:rPr>
              <w:t>Indicateur</w:t>
            </w:r>
          </w:p>
        </w:tc>
        <w:tc>
          <w:tcPr>
            <w:tcW w:type="dxa" w:w="1800"/>
            <w:vAlign w:val="center"/>
            <w:shd w:fill="183B36"/>
          </w:tcPr>
          <w:p>
            <w:pPr>
              <w:spacing w:after="40"/>
            </w:pPr>
            <w:r/>
            <w:r>
              <w:rPr>
                <w:rFonts w:ascii="Aptos" w:hAnsi="Aptos"/>
                <w:b/>
                <w:color w:val="FFFFFF"/>
                <w:sz w:val="16"/>
              </w:rPr>
              <w:t>Fréquence</w:t>
            </w:r>
          </w:p>
        </w:tc>
        <w:tc>
          <w:tcPr>
            <w:tcW w:type="dxa" w:w="3672"/>
            <w:vAlign w:val="center"/>
            <w:shd w:fill="183B36"/>
          </w:tcPr>
          <w:p>
            <w:pPr>
              <w:spacing w:after="40"/>
            </w:pPr>
            <w:r/>
            <w:r>
              <w:rPr>
                <w:rFonts w:ascii="Aptos" w:hAnsi="Aptos"/>
                <w:b/>
                <w:color w:val="FFFFFF"/>
                <w:sz w:val="16"/>
              </w:rPr>
              <w:t>Cible de démarrage à fixer</w:t>
            </w:r>
          </w:p>
        </w:tc>
      </w:tr>
      <w:tr>
        <w:tc>
          <w:tcPr>
            <w:tcW w:type="dxa" w:w="4464"/>
            <w:vAlign w:val="center"/>
          </w:tcPr>
          <w:p>
            <w:pPr>
              <w:spacing w:after="40"/>
            </w:pPr>
            <w:r/>
            <w:r>
              <w:rPr>
                <w:rFonts w:ascii="Aptos" w:hAnsi="Aptos"/>
                <w:b/>
                <w:color w:val="30353A"/>
                <w:sz w:val="16"/>
              </w:rPr>
              <w:t>Événements réalisés et annulés</w:t>
            </w:r>
          </w:p>
        </w:tc>
        <w:tc>
          <w:tcPr>
            <w:tcW w:type="dxa" w:w="1800"/>
            <w:vAlign w:val="center"/>
          </w:tcPr>
          <w:p>
            <w:pPr>
              <w:spacing w:after="40"/>
            </w:pPr>
            <w:r/>
            <w:r>
              <w:rPr>
                <w:rFonts w:ascii="Aptos" w:hAnsi="Aptos"/>
                <w:b w:val="0"/>
                <w:color w:val="30353A"/>
                <w:sz w:val="16"/>
              </w:rPr>
              <w:t>Mensuelle</w:t>
            </w:r>
          </w:p>
        </w:tc>
        <w:tc>
          <w:tcPr>
            <w:tcW w:type="dxa" w:w="3672"/>
            <w:vAlign w:val="center"/>
          </w:tcPr>
          <w:p>
            <w:pPr>
              <w:spacing w:after="40"/>
            </w:pPr>
            <w:r/>
            <w:r>
              <w:rPr>
                <w:rFonts w:ascii="Aptos" w:hAnsi="Aptos"/>
                <w:b w:val="0"/>
                <w:color w:val="30353A"/>
                <w:sz w:val="16"/>
              </w:rPr>
              <w:t>Selon calendrier validé</w:t>
            </w:r>
          </w:p>
        </w:tc>
      </w:tr>
      <w:tr>
        <w:tc>
          <w:tcPr>
            <w:tcW w:type="dxa" w:w="4464"/>
            <w:vAlign w:val="center"/>
            <w:shd w:fill="F1F5F3"/>
          </w:tcPr>
          <w:p>
            <w:pPr>
              <w:spacing w:after="40"/>
            </w:pPr>
            <w:r/>
            <w:r>
              <w:rPr>
                <w:rFonts w:ascii="Aptos" w:hAnsi="Aptos"/>
                <w:b/>
                <w:color w:val="30353A"/>
                <w:sz w:val="16"/>
              </w:rPr>
              <w:t>Taux d’occupation des espaces commercialisables</w:t>
            </w:r>
          </w:p>
        </w:tc>
        <w:tc>
          <w:tcPr>
            <w:tcW w:type="dxa" w:w="1800"/>
            <w:vAlign w:val="center"/>
            <w:shd w:fill="F1F5F3"/>
          </w:tcPr>
          <w:p>
            <w:pPr>
              <w:spacing w:after="40"/>
            </w:pPr>
            <w:r/>
            <w:r>
              <w:rPr>
                <w:rFonts w:ascii="Aptos" w:hAnsi="Aptos"/>
                <w:b w:val="0"/>
                <w:color w:val="30353A"/>
                <w:sz w:val="16"/>
              </w:rPr>
              <w:t>Mensuelle</w:t>
            </w:r>
          </w:p>
        </w:tc>
        <w:tc>
          <w:tcPr>
            <w:tcW w:type="dxa" w:w="3672"/>
            <w:vAlign w:val="center"/>
            <w:shd w:fill="F1F5F3"/>
          </w:tcPr>
          <w:p>
            <w:pPr>
              <w:spacing w:after="40"/>
            </w:pPr>
            <w:r/>
            <w:r>
              <w:rPr>
                <w:rFonts w:ascii="Aptos" w:hAnsi="Aptos"/>
                <w:b w:val="0"/>
                <w:color w:val="30353A"/>
                <w:sz w:val="16"/>
              </w:rPr>
              <w:t>Mesurer 3 mois puis fixer une cible</w:t>
            </w:r>
          </w:p>
        </w:tc>
      </w:tr>
      <w:tr>
        <w:tc>
          <w:tcPr>
            <w:tcW w:type="dxa" w:w="4464"/>
            <w:vAlign w:val="center"/>
          </w:tcPr>
          <w:p>
            <w:pPr>
              <w:spacing w:after="40"/>
            </w:pPr>
            <w:r/>
            <w:r>
              <w:rPr>
                <w:rFonts w:ascii="Aptos" w:hAnsi="Aptos"/>
                <w:b/>
                <w:color w:val="30353A"/>
                <w:sz w:val="16"/>
              </w:rPr>
              <w:t>Fréquentation par activité et segment</w:t>
            </w:r>
          </w:p>
        </w:tc>
        <w:tc>
          <w:tcPr>
            <w:tcW w:type="dxa" w:w="1800"/>
            <w:vAlign w:val="center"/>
          </w:tcPr>
          <w:p>
            <w:pPr>
              <w:spacing w:after="40"/>
            </w:pPr>
            <w:r/>
            <w:r>
              <w:rPr>
                <w:rFonts w:ascii="Aptos" w:hAnsi="Aptos"/>
                <w:b w:val="0"/>
                <w:color w:val="30353A"/>
                <w:sz w:val="16"/>
              </w:rPr>
              <w:t>Par événement</w:t>
            </w:r>
          </w:p>
        </w:tc>
        <w:tc>
          <w:tcPr>
            <w:tcW w:type="dxa" w:w="3672"/>
            <w:vAlign w:val="center"/>
          </w:tcPr>
          <w:p>
            <w:pPr>
              <w:spacing w:after="40"/>
            </w:pPr>
            <w:r/>
            <w:r>
              <w:rPr>
                <w:rFonts w:ascii="Aptos" w:hAnsi="Aptos"/>
                <w:b w:val="0"/>
                <w:color w:val="30353A"/>
                <w:sz w:val="16"/>
              </w:rPr>
              <w:t>Établir une base de référence</w:t>
            </w:r>
          </w:p>
        </w:tc>
      </w:tr>
      <w:tr>
        <w:tc>
          <w:tcPr>
            <w:tcW w:type="dxa" w:w="4464"/>
            <w:vAlign w:val="center"/>
            <w:shd w:fill="F1F5F3"/>
          </w:tcPr>
          <w:p>
            <w:pPr>
              <w:spacing w:after="40"/>
            </w:pPr>
            <w:r/>
            <w:r>
              <w:rPr>
                <w:rFonts w:ascii="Aptos" w:hAnsi="Aptos"/>
                <w:b/>
                <w:color w:val="30353A"/>
                <w:sz w:val="16"/>
              </w:rPr>
              <w:t>Recettes propres et part par source</w:t>
            </w:r>
          </w:p>
        </w:tc>
        <w:tc>
          <w:tcPr>
            <w:tcW w:type="dxa" w:w="1800"/>
            <w:vAlign w:val="center"/>
            <w:shd w:fill="F1F5F3"/>
          </w:tcPr>
          <w:p>
            <w:pPr>
              <w:spacing w:after="40"/>
            </w:pPr>
            <w:r/>
            <w:r>
              <w:rPr>
                <w:rFonts w:ascii="Aptos" w:hAnsi="Aptos"/>
                <w:b w:val="0"/>
                <w:color w:val="30353A"/>
                <w:sz w:val="16"/>
              </w:rPr>
              <w:t>Mensuelle</w:t>
            </w:r>
          </w:p>
        </w:tc>
        <w:tc>
          <w:tcPr>
            <w:tcW w:type="dxa" w:w="3672"/>
            <w:vAlign w:val="center"/>
            <w:shd w:fill="F1F5F3"/>
          </w:tcPr>
          <w:p>
            <w:pPr>
              <w:spacing w:after="40"/>
            </w:pPr>
            <w:r/>
            <w:r>
              <w:rPr>
                <w:rFonts w:ascii="Aptos" w:hAnsi="Aptos"/>
                <w:b w:val="0"/>
                <w:color w:val="30353A"/>
                <w:sz w:val="16"/>
              </w:rPr>
              <w:t>Comparer au budget révisé</w:t>
            </w:r>
          </w:p>
        </w:tc>
      </w:tr>
      <w:tr>
        <w:tc>
          <w:tcPr>
            <w:tcW w:type="dxa" w:w="4464"/>
            <w:vAlign w:val="center"/>
          </w:tcPr>
          <w:p>
            <w:pPr>
              <w:spacing w:after="40"/>
            </w:pPr>
            <w:r/>
            <w:r>
              <w:rPr>
                <w:rFonts w:ascii="Aptos" w:hAnsi="Aptos"/>
                <w:b/>
                <w:color w:val="30353A"/>
                <w:sz w:val="16"/>
              </w:rPr>
              <w:t>Marge directe par événement</w:t>
            </w:r>
          </w:p>
        </w:tc>
        <w:tc>
          <w:tcPr>
            <w:tcW w:type="dxa" w:w="1800"/>
            <w:vAlign w:val="center"/>
          </w:tcPr>
          <w:p>
            <w:pPr>
              <w:spacing w:after="40"/>
            </w:pPr>
            <w:r/>
            <w:r>
              <w:rPr>
                <w:rFonts w:ascii="Aptos" w:hAnsi="Aptos"/>
                <w:b w:val="0"/>
                <w:color w:val="30353A"/>
                <w:sz w:val="16"/>
              </w:rPr>
              <w:t>Par événement</w:t>
            </w:r>
          </w:p>
        </w:tc>
        <w:tc>
          <w:tcPr>
            <w:tcW w:type="dxa" w:w="3672"/>
            <w:vAlign w:val="center"/>
          </w:tcPr>
          <w:p>
            <w:pPr>
              <w:spacing w:after="40"/>
            </w:pPr>
            <w:r/>
            <w:r>
              <w:rPr>
                <w:rFonts w:ascii="Aptos" w:hAnsi="Aptos"/>
                <w:b w:val="0"/>
                <w:color w:val="30353A"/>
                <w:sz w:val="16"/>
              </w:rPr>
              <w:t>Recettes moins coûts directs</w:t>
            </w:r>
          </w:p>
        </w:tc>
      </w:tr>
      <w:tr>
        <w:tc>
          <w:tcPr>
            <w:tcW w:type="dxa" w:w="4464"/>
            <w:vAlign w:val="center"/>
            <w:shd w:fill="F1F5F3"/>
          </w:tcPr>
          <w:p>
            <w:pPr>
              <w:spacing w:after="40"/>
            </w:pPr>
            <w:r/>
            <w:r>
              <w:rPr>
                <w:rFonts w:ascii="Aptos" w:hAnsi="Aptos"/>
                <w:b/>
                <w:color w:val="30353A"/>
                <w:sz w:val="16"/>
              </w:rPr>
              <w:t>Conversion demandes de location en réservations</w:t>
            </w:r>
          </w:p>
        </w:tc>
        <w:tc>
          <w:tcPr>
            <w:tcW w:type="dxa" w:w="1800"/>
            <w:vAlign w:val="center"/>
            <w:shd w:fill="F1F5F3"/>
          </w:tcPr>
          <w:p>
            <w:pPr>
              <w:spacing w:after="40"/>
            </w:pPr>
            <w:r/>
            <w:r>
              <w:rPr>
                <w:rFonts w:ascii="Aptos" w:hAnsi="Aptos"/>
                <w:b w:val="0"/>
                <w:color w:val="30353A"/>
                <w:sz w:val="16"/>
              </w:rPr>
              <w:t>Mensuelle</w:t>
            </w:r>
          </w:p>
        </w:tc>
        <w:tc>
          <w:tcPr>
            <w:tcW w:type="dxa" w:w="3672"/>
            <w:vAlign w:val="center"/>
            <w:shd w:fill="F1F5F3"/>
          </w:tcPr>
          <w:p>
            <w:pPr>
              <w:spacing w:after="40"/>
            </w:pPr>
            <w:r/>
            <w:r>
              <w:rPr>
                <w:rFonts w:ascii="Aptos" w:hAnsi="Aptos"/>
                <w:b w:val="0"/>
                <w:color w:val="30353A"/>
                <w:sz w:val="16"/>
              </w:rPr>
              <w:t>Mesurer la base, puis améliorer</w:t>
            </w:r>
          </w:p>
        </w:tc>
      </w:tr>
      <w:tr>
        <w:tc>
          <w:tcPr>
            <w:tcW w:type="dxa" w:w="4464"/>
            <w:vAlign w:val="center"/>
          </w:tcPr>
          <w:p>
            <w:pPr>
              <w:spacing w:after="40"/>
            </w:pPr>
            <w:r/>
            <w:r>
              <w:rPr>
                <w:rFonts w:ascii="Aptos" w:hAnsi="Aptos"/>
                <w:b/>
                <w:color w:val="30353A"/>
                <w:sz w:val="16"/>
              </w:rPr>
              <w:t>Part des financements confirmés dans le budget annuel</w:t>
            </w:r>
          </w:p>
        </w:tc>
        <w:tc>
          <w:tcPr>
            <w:tcW w:type="dxa" w:w="1800"/>
            <w:vAlign w:val="center"/>
          </w:tcPr>
          <w:p>
            <w:pPr>
              <w:spacing w:after="40"/>
            </w:pPr>
            <w:r/>
            <w:r>
              <w:rPr>
                <w:rFonts w:ascii="Aptos" w:hAnsi="Aptos"/>
                <w:b w:val="0"/>
                <w:color w:val="30353A"/>
                <w:sz w:val="16"/>
              </w:rPr>
              <w:t>Trimestrielle</w:t>
            </w:r>
          </w:p>
        </w:tc>
        <w:tc>
          <w:tcPr>
            <w:tcW w:type="dxa" w:w="3672"/>
            <w:vAlign w:val="center"/>
          </w:tcPr>
          <w:p>
            <w:pPr>
              <w:spacing w:after="40"/>
            </w:pPr>
            <w:r/>
            <w:r>
              <w:rPr>
                <w:rFonts w:ascii="Aptos" w:hAnsi="Aptos"/>
                <w:b w:val="0"/>
                <w:color w:val="30353A"/>
                <w:sz w:val="16"/>
              </w:rPr>
              <w:t>Couverture suffisante avant engagement de dépenses</w:t>
            </w:r>
          </w:p>
        </w:tc>
      </w:tr>
      <w:tr>
        <w:tc>
          <w:tcPr>
            <w:tcW w:type="dxa" w:w="4464"/>
            <w:vAlign w:val="center"/>
            <w:shd w:fill="F1F5F3"/>
          </w:tcPr>
          <w:p>
            <w:pPr>
              <w:spacing w:after="40"/>
            </w:pPr>
            <w:r/>
            <w:r>
              <w:rPr>
                <w:rFonts w:ascii="Aptos" w:hAnsi="Aptos"/>
                <w:b/>
                <w:color w:val="30353A"/>
                <w:sz w:val="16"/>
              </w:rPr>
              <w:t>Satisfaction visiteurs et partenaires</w:t>
            </w:r>
          </w:p>
        </w:tc>
        <w:tc>
          <w:tcPr>
            <w:tcW w:type="dxa" w:w="1800"/>
            <w:vAlign w:val="center"/>
            <w:shd w:fill="F1F5F3"/>
          </w:tcPr>
          <w:p>
            <w:pPr>
              <w:spacing w:after="40"/>
            </w:pPr>
            <w:r/>
            <w:r>
              <w:rPr>
                <w:rFonts w:ascii="Aptos" w:hAnsi="Aptos"/>
                <w:b w:val="0"/>
                <w:color w:val="30353A"/>
                <w:sz w:val="16"/>
              </w:rPr>
              <w:t>Trimestrielle</w:t>
            </w:r>
          </w:p>
        </w:tc>
        <w:tc>
          <w:tcPr>
            <w:tcW w:type="dxa" w:w="3672"/>
            <w:vAlign w:val="center"/>
            <w:shd w:fill="F1F5F3"/>
          </w:tcPr>
          <w:p>
            <w:pPr>
              <w:spacing w:after="40"/>
            </w:pPr>
            <w:r/>
            <w:r>
              <w:rPr>
                <w:rFonts w:ascii="Aptos" w:hAnsi="Aptos"/>
                <w:b w:val="0"/>
                <w:color w:val="30353A"/>
                <w:sz w:val="16"/>
              </w:rPr>
              <w:t>Enquête courte avec suivi des retours</w:t>
            </w:r>
          </w:p>
        </w:tc>
      </w:tr>
    </w:tbl>
    <w:p>
      <w:pPr>
        <w:spacing w:after="0"/>
      </w:pPr>
    </w:p>
    <w:p>
      <w:pPr>
        <w:pStyle w:val="Heading1"/>
        <w:keepNext/>
      </w:pPr>
      <w:r>
        <w:t>8. Décisions à prendre et données à réunir</w:t>
      </w:r>
    </w:p>
    <w:p>
      <w:r>
        <w:t>Avant d’engager le scénario financier, la direction devrait valider les points suivants :</w:t>
      </w:r>
    </w:p>
    <w:p>
      <w:pPr>
        <w:pStyle w:val="ListBullet"/>
        <w:spacing w:after="40"/>
      </w:pPr>
      <w:r>
        <w:t>Statut juridique, mandat de gestion, gouvernance et règles applicables aux recettes commerciales et aux subventions.</w:t>
      </w:r>
    </w:p>
    <w:p>
      <w:pPr>
        <w:pStyle w:val="ListBullet"/>
        <w:spacing w:after="40"/>
      </w:pPr>
      <w:r>
        <w:t>Liste des espaces, capacités autorisées, équipements disponibles, jours d’ouverture et contraintes de sécurité/accessibilité.</w:t>
      </w:r>
    </w:p>
    <w:p>
      <w:pPr>
        <w:pStyle w:val="ListBullet"/>
        <w:spacing w:after="40"/>
      </w:pPr>
      <w:r>
        <w:t>Comptes des deux ou trois derniers exercices, budget annuel courant, dettes/engagements, coûts d’énergie et masse salariale.</w:t>
      </w:r>
    </w:p>
    <w:p>
      <w:pPr>
        <w:pStyle w:val="ListBullet"/>
        <w:spacing w:after="40"/>
      </w:pPr>
      <w:r>
        <w:t>Historique des événements, fréquentation, locations, tarifs réellement pratiqués, encaissements et taux d’annulation.</w:t>
      </w:r>
    </w:p>
    <w:p>
      <w:pPr>
        <w:pStyle w:val="ListBullet"/>
        <w:spacing w:after="40"/>
      </w:pPr>
      <w:r>
        <w:t>État de déploiement de la plateforme et de la billetterie, frais Genius Pay, responsabilités d’assistance, politique de données et modalités de remboursement.</w:t>
      </w:r>
    </w:p>
    <w:p>
      <w:pPr>
        <w:pStyle w:val="ListBullet"/>
        <w:spacing w:after="40"/>
      </w:pPr>
      <w:r>
        <w:t>Financements acquis ou sollicités, calendrier de versement et contreparties contractuelles.</w:t>
      </w:r>
    </w:p>
    <w:p>
      <w:r>
        <w:t>À l’issue de cette collecte, le scénario central pourra être remplacé par un budget mensuel de trésorerie, un compte de résultat par activité et trois scénarios (prudent, central et ambitieux). Une revue trimestrielle permettra d’ajuster la programmation, la prospection et les dépenses d’investissement.</w:t>
      </w:r>
    </w:p>
    <w:p>
      <w:pPr>
        <w:spacing w:before="240"/>
      </w:pPr>
      <w:r>
        <w:rPr>
          <w:b/>
          <w:color w:val="B3472B"/>
        </w:rPr>
        <w:t>Base de préparation</w:t>
      </w:r>
    </w:p>
    <w:p>
      <w:r>
        <w:t>Éléments du projet consultés : interface publique et espaces web du CCJAB, fonctionnalités visibles de gestion des événements, salles, paiements, publications et utilisateurs, schéma de données Prisma et documentation technique du dépôt. Aucune donnée comptable, étude de marché, fréquentation réelle ou tarification validée n’était fournie dans les documents du projet consultés.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74"/>
        <w:sz w:val="16"/>
      </w:rPr>
      <w:t>Document de travail stratégique  •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E7874"/>
        <w:sz w:val="16"/>
      </w:rPr>
      <w:t>CCJAB  |  BUSINESS PLAN  |  BOUAKÉ, CÔTE D’IVOIRE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B3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3472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B3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B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du CCJAB</dc:title>
  <dc:subject>Plan de développement culturel et économique sur trois ans</dc:subject>
  <dc:creator>CCJAB</dc:creator>
  <cp:keywords/>
  <dc:description>generated by python-docx</dc:description>
  <cp:lastModifiedBy/>
  <cp:revision>1</cp:revision>
  <dcterms:created xsi:type="dcterms:W3CDTF">2013-12-23T23:15:00Z</dcterms:created>
  <dcterms:modified xsi:type="dcterms:W3CDTF">2013-12-23T23:15:00Z</dcterms:modified>
  <cp:category/>
</cp:coreProperties>
</file>