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001">
      <w:pPr>
        <w:spacing w:after="80" w:line="276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Сервис автоматизации онбординга сотрудников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spacing w:after="240" w:line="276" w:lineRule="auto"/>
        <w:ind w:left="4320" w:firstLine="0"/>
        <w:rPr/>
      </w:pPr>
      <w:r w:rsidDel="00000000" w:rsidR="00000000" w:rsidRPr="00000000">
        <w:rPr>
          <w:color w:val="000000"/>
          <w:rtl w:val="0"/>
        </w:rPr>
        <w:t xml:space="preserve">Выполнили: Слаутина Екатерина, Белоус Анастасия, Волков Никита, Романов Артём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 Инновационная идея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Сервис для автоматизации онбординга сотрудников, как со стороны нового сотрудника, так и со стороны действующих работников.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В большинстве компаний онбординг разбит между несколькими подразделениями. Сам новый сотрудник при этом не видит, что уже сделано и к кому обращаться дальше. В такой схеме нет ответственного за весь процесс.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Наше решение собирает эти действия в один процесс с общим статусом. Система определяет роль нового сотрудника и разворачивает чек-листы сразу для всех участников, а задачи связаны между собой зависимостями. HR, руководитель и IT видят свои шаги и не ждут, пока кто-то напомнит. Порядок при этом соблюдается сам.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Отдельные элементы такого решения на рынке уже есть. Чек-листы, курсы для новичков, кадровый электронный документооборот и системы контроля доступа работают давно. Новизна состоит не в отдельной функции, а в том, что сквозная оркестрация онбординга предлагается как тиражируемый продукт. В таблице 1 показано, какие категории продуктов закрывают части процесса и что остается незакрытым.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spacing w:after="60" w:before="120" w:line="276" w:lineRule="auto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Таблица 1. Покрытие процесса онбординга существующими категориями продуктов</w:t>
      </w:r>
      <w:r w:rsidDel="00000000" w:rsidR="00000000" w:rsidRPr="00000000">
        <w:rPr>
          <w:rtl w:val="0"/>
        </w:rPr>
      </w:r>
    </w:p>
    <w:tbl>
      <w:tblPr>
        <w:tblStyle w:val="Table1"/>
        <w:tblW w:w="9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6"/>
        <w:gridCol w:w="3335"/>
        <w:gridCol w:w="3334"/>
      </w:tblGrid>
      <w:tr>
        <w:trPr>
          <w:cantSplit w:val="1"/>
          <w:tblHeader w:val="1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09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Категория продуктов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335" w:type="dxa"/>
            <w:vAlign w:val="center"/>
          </w:tcPr>
          <w:p w:rsidR="00000000" w:rsidDel="00000000" w:rsidP="00000000" w:rsidRDefault="00000000" w:rsidRPr="00000000" w14:paraId="0000100A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Что закрывает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334" w:type="dxa"/>
            <w:vAlign w:val="center"/>
          </w:tcPr>
          <w:p w:rsidR="00000000" w:rsidDel="00000000" w:rsidP="00000000" w:rsidRDefault="00000000" w:rsidRPr="00000000" w14:paraId="0000100B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Чего не закрывает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0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Платформы адаптации и корпоративного обучения (Websoft, Mirapolis, Motivity, Эквио)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335" w:type="dxa"/>
            <w:vAlign w:val="center"/>
          </w:tcPr>
          <w:p w:rsidR="00000000" w:rsidDel="00000000" w:rsidP="00000000" w:rsidRDefault="00000000" w:rsidRPr="00000000" w14:paraId="0000100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Задачи и курсы для самого новичка, программы адаптации, проверка знаний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334" w:type="dxa"/>
            <w:vAlign w:val="center"/>
          </w:tcPr>
          <w:p w:rsidR="00000000" w:rsidDel="00000000" w:rsidP="00000000" w:rsidRDefault="00000000" w:rsidRPr="00000000" w14:paraId="0000100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Задачи смежных подразделений, выдачу доступов, зависимости между задачами разных служб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0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HR-платформы с модулями адаптации (Поток, крупные HRM-решения, продукты 1С)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335" w:type="dxa"/>
            <w:vAlign w:val="center"/>
          </w:tcPr>
          <w:p w:rsidR="00000000" w:rsidDel="00000000" w:rsidP="00000000" w:rsidRDefault="00000000" w:rsidRPr="00000000" w14:paraId="0000101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Кадровое оформление, ведение профиля сотрудника, отчетность по найму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334" w:type="dxa"/>
            <w:vAlign w:val="center"/>
          </w:tcPr>
          <w:p w:rsidR="00000000" w:rsidDel="00000000" w:rsidP="00000000" w:rsidRDefault="00000000" w:rsidRPr="00000000" w14:paraId="00001011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Единый статус процесса для всех участников, автоматическое закрытие задач по событиям смежных систем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12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Системы кадрового электронного документооборота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335" w:type="dxa"/>
            <w:vAlign w:val="center"/>
          </w:tcPr>
          <w:p w:rsidR="00000000" w:rsidDel="00000000" w:rsidP="00000000" w:rsidRDefault="00000000" w:rsidRPr="00000000" w14:paraId="00001013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Подписание трудового договора и приказов, ознакомление с локальными актами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334" w:type="dxa"/>
            <w:vAlign w:val="center"/>
          </w:tcPr>
          <w:p w:rsidR="00000000" w:rsidDel="00000000" w:rsidP="00000000" w:rsidRDefault="00000000" w:rsidRPr="00000000" w14:paraId="00001014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Все, что лежит за пределами документооборота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15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Системы контроля доступа и системы управления ИТ-услугами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335" w:type="dxa"/>
            <w:vAlign w:val="center"/>
          </w:tcPr>
          <w:p w:rsidR="00000000" w:rsidDel="00000000" w:rsidP="00000000" w:rsidRDefault="00000000" w:rsidRPr="00000000" w14:paraId="00001016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Выдачу пропусков, создание учетных записей и прав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334" w:type="dxa"/>
            <w:vAlign w:val="center"/>
          </w:tcPr>
          <w:p w:rsidR="00000000" w:rsidDel="00000000" w:rsidP="00000000" w:rsidRDefault="00000000" w:rsidRPr="00000000" w14:paraId="00001017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Связь с кадровыми событиями, видимость статуса для HR и для самого новичка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8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Ни одна из категорий не ведет процесс целиком. Там, где сквозной процесс все же построен, он реализован как внутренняя интеграция под конкретный ИТ-ландшафт компании. Такие решения не тиражируются, не поддерживаются вендором и теряются при смене команды разработки, поэтому на рынке программных продуктов они не представлены. Именно этот разрыв закрывает проект. Сравнение составлено по открытым описаниям продуктов перечисленных вендоров и по обзору российского рынка HR Tech [6].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Результатом для компании-пользователя является сокращение срока выхода нового сотрудника на рабочий режим, снижение нагрузки на HR и уменьшение числа увольнений в первые месяцы по причине плохой адаптации. В качестве целевого ориентира на первый год эксплуатации принято сокращение срока онбординга на 20-30% и снижение доли увольнений в первые три месяца на четверть относительно исходного уровня компании.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 Соответствие актуальным трендам Гартнера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Проект опирается на два тренда из списка ключевых стратегических технологических трендов Гартнера на 2026 год [1].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Языковые модели для конкретных доменов (Domain-Specific Language Models)</w:t>
      </w:r>
    </w:p>
    <w:p w:rsidR="00000000" w:rsidDel="00000000" w:rsidP="00000000" w:rsidRDefault="00000000" w:rsidRPr="00000000" w14:paraId="0000101E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Гартнер относит этот тренд к роли «Синтезатор» и к горизонту внедрения «Сейчас», то есть 1-3 года [1]. Тренд означает переход от универсальных больших моделей к моделям, настроенным на данных конкретной предметной области или отдельной компании.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В нашем продукте тренд реализован в виде ИИ-ассистента нового сотрудника. Ассистент работает только на внутренних документах компании-пользователя, отвечает по ее регламентам и помогает HR собрать чек-лист под новую должность. На кривой зрелости технологий Гартнера технология Domain-Specific GenAI Models находится на подъеме у пика завышенных ожиданий, ожидаемый выход на плато продуктивности через 2-5 лет [2]. Это соответствует горизонту проекта, поскольку ассистент не является единственной функцией продукта и его развитие идет параллельно с основным процессом.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Конфиденциальные вычисления (Confidential Computing)</w:t>
      </w:r>
    </w:p>
    <w:p w:rsidR="00000000" w:rsidDel="00000000" w:rsidP="00000000" w:rsidRDefault="00000000" w:rsidRPr="00000000" w14:paraId="00001021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Гартнер относит этот тренд к роли «Архитектор» и к горизонту внедрения «Скоро», то есть 3-5 лет [1]. Тренд означает изоляцию обработки данных в защищенной аппаратной среде.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Продукт обрабатывает персональные данные сотрудников и сведения о выданных доступах, что подпадает под требования 152-ФЗ [3], а служба безопасности компании-пользователя отнесена нами к потенциальным блокерам внедрения. Горизонт тренда 3-5 лет означает, что закладывать его в стартовую архитектуру нельзя, иначе внедрение подорожает и продукт перестанет быть доступным для среднего бизнеса. Поэтому требование изоляции данных закрывается поэтапно.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на первом этапе используются организационные и инфраструктурные меры, то есть размещение в российском контуре, шифрование данных при хранении и передаче, разграничение прав и изоляция данных разных компаний-пользователей;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переход к обработке в доверенной аппаратной среде заложен в дорожную карту продукта на горизонте 3-5 лет, что совпадает с оценкой Гартнера.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Такая последовательность не удорожает внедрение на старте и при этом дает службе безопасности проверяемую техническую гарантию в перспективе.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spacing w:before="1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0425" cy="346207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spacing w:after="240" w:line="276" w:lineRule="auto"/>
        <w:jc w:val="center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Рисунок 1. Hype Cycle for the Future of Work, Gartner, по состоянию на июль 2026 года. Технология Domain-Specific GenAI Models, на которой построен ассистент нового сотрудника, находится на подъеме у пика завышенных ожиданий, ожидаемый выход на плато продуктивности через 2-5 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 Описание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Продукт представляет собой отдельное программное обеспечение для систематизации и отслеживания процесса онбординга. При регистрации профиля нового сотрудника сотрудником HR система по его роли выдает всем участникам онбординга интерактивные чек-листы. Их состав зависит от роли участника.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новый сотрудник подписывает документы и проходит инструктажи;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HR проводит кадровый документооборот и оформляет сотрудника в смежных системах;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сотрудник службы безопасности выдает пропуск и настраивает доступ к помещениям;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тимлид оформляет доступ к рабочим чатам и назначает наставника.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Каждый участник видит свою часть задач, процент их выполнения и сроки, может отмечать выполненные. Новичок в свою очередь отслеживает статус получения доступов и знает, какие точки еще предстоит пройти, видит глобальный процент пройденного онбординга и может пройти квест по офису в первый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Также внутри системы возможно пройти онлайн-обучение, необходимое для данной должности в процессе онбординга. Для полностью удаленных сотрудников предусмотрен отдельный сценарий, без получения пропуска и других видов физического доступа.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Внутри системы работает ИИ-ассистент нового сотрудника. Он отвечает на вопросы по внутренним документам конкретного работодателя, то есть по регламентам, инструкциям, положению о пропускном режиме и правилам оформления заявок. Ассистент работает только на документах компании-пользователя, загруженных при внедрении, и при ответе показывает, из какого документа взята информация. Если ответа в загруженных документах нет, ассистент сообщает об этом и передает вопрос ответственному сотруднику HR. Помимо ответов ассистент помогает HR собрать чек-лист под новую должность, предлагая набор задач на основе уже настроенных сценариев для похожих ролей.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Пошаговое описание работы системы</w:t>
      </w:r>
    </w:p>
    <w:p w:rsidR="00000000" w:rsidDel="00000000" w:rsidP="00000000" w:rsidRDefault="00000000" w:rsidRPr="00000000" w14:paraId="00001032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HR заводит профиль нового сотрудника и указывает должность, подразделение, дату выхода и формат работы, то есть офис, гибрид или полностью удаленный режим;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система разворачивает сценарий онбординга по роли и рассылает задачи новому сотруднику, HR, службе безопасности, ИТ-отделу и тимлиду;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каждый участник видит свою часть задач, сроки и процент выполнения, а ответственный за процесс видит общую картину;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часть задач закрывается автоматически по событиям смежных систем, таким как активация пропуска в системе контроля доступа, подписание документа в кадровом электронном документообороте или создание учетной записи в корпоративных сервисах;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новый сотрудник в первый день проходит квест по офису, получает доступ к обязательным курсам по своей должности и видит текущий статус своего онбординга;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после закрытия всех чек-листов система фиксирует фактический срок онбординга и собирает обратную связь от сотрудника и его руководителя;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накопленная статистика показывает шаги, на которых процесс задерживается чаще всего, и позволяет компании-пользователю скорректировать сценарий.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Внедрение, настройка и стоимость владения</w:t>
      </w:r>
    </w:p>
    <w:p w:rsidR="00000000" w:rsidDel="00000000" w:rsidP="00000000" w:rsidRDefault="00000000" w:rsidRPr="00000000" w14:paraId="0000103A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Продукт требует настройки под процессы, документы и информационные системы конкретной компании. Это объективное ограничение любого решения такого класса, и оно учтено в архитектуре продукта следующим образом.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типовые сценарии онбординга поставляются в комплекте и настраиваются сотрудником HR без программирования;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готовые коннекторы закрывают системы, наиболее распространенные у среднего бизнеса, то есть кадровый учет на базе 1С, сервисы кадрового электронного документооборота, корпоративные мессенджеры и почтовые сервисы, типовые системы контроля доступа;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система работоспособна и без интеграций, в этом режиме задачи закрываются участниками вручную, а интеграции подключаются по мере готовности ИТ-службы;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пилот разворачивается на одном подразделении за 2-4 недели, что позволяет проверить ценность до полномасштабного внедрения.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Альтернативой покупке является собственная доработка уже имеющихся у компании систем. По нашей оценке такая доработка требует команды из 2-3 разработчиков на 4-6 месяцев. При полной стоимости одного разработчика 300-400 тыс. руб. в месяц только запуск обойдется в 2,4-7,2 млн руб., к которым добавляются постоянная поддержка и развитие. Подписка на продукт при годовой стоимости 300-400 тыс. руб. дает сопоставимую функциональность за 0,9-1,2 млн руб. за три года.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Из этого следует ограничение применимости. Для компаний с сильным собственным ИТ-подразделением и нетиповыми процессами собственная доработка остается более выгодной, поскольку у них уже есть команда, компетенции и полный контроль над ИТ-ландшафтом. Целевым сегментом продукта является средний бизнес, у которого таких ресурсов нет. Это ограничение учтено в разделе 6 при расчете доступного объема рынка.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 Классификация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Классификация как инновационного проекта</w:t>
      </w:r>
    </w:p>
    <w:p w:rsidR="00000000" w:rsidDel="00000000" w:rsidP="00000000" w:rsidRDefault="00000000" w:rsidRPr="00000000" w14:paraId="00001043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 уровню научно-технической значимости проект является новаторским. Новой технологии он не создает. Чек-листы, системы дистанционного обучения и системы контроля доступа существуют по отдельности, но в единый процесс онбординга с общим статусом и зависимостями между задачами они не объединены. Новизна состоит в объединении нескольких существующих решений в одно и в смещении фокуса с кадрового оформления на управление процессом.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 предметно-содержательной структуре проект является научно-техническим. Для компании-пользователя внедрение при этом становится проектом системного обновления предприятия, поскольку затрагивает регламенты HR, службы безопасности и ИТ-отдела.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 типу проект одновременно технический и организационный. Техническая часть включает разработку системы и интеграционного слоя, организационная состоит в изменении процесса онбординга у компании-пользователя. Социальная составляющая выражена через качество опыта нового сотрудника и является вторичной.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 результату проект коммерческий. Монетизация предполагает продажу лицензий и подписки компаниям.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 характеру целей проект конечный. Результатом является готовый к использованию продукт для конечных пользователей, а не промежуточный этап более крупной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 классу проект относится к монопроектам с возможностью развития до мультипроекта. Сейчас его выполняет одна команда. При масштабировании модули адаптации, обучения, интеграционного слоя и аналитики сроков онбординга могут выделиться в отдельные связанные проекты.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Классификация как ИТ-проекта</w:t>
      </w:r>
    </w:p>
    <w:p w:rsidR="00000000" w:rsidDel="00000000" w:rsidP="00000000" w:rsidRDefault="00000000" w:rsidRPr="00000000" w14:paraId="0000104A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 функциональному назначению проект относится к проектам по управлению персоналом.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 стадии жизненного цикла проект находится на этапе оформления замысла и концепции.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 виду продукта проект относится к программным продуктам.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 глубине взаимного проникновения бизнеса заказчика и подрядчика проект представляет собой решение под ключ с элементами сервисной модели. Для компаний с большим числом интеграций формат смещается к совместному проекту, поскольку настройка автоматического закрытия задач требует участия их ИТ-отдела. Такие компании относятся к крупному бизнесу и не входят в целевой сегмент, обоснование приведено в разделе 6, поэтому основным форматом остается решение под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 виду автоматизируемых процессов проект охватывает вспомогательные и управленческие процессы с элементами аналитических процессов, передачи данных и обеспечения безопасности. Онбординг не относится к основным процессам компании-пользователя, но требует обмена данными между корпоративными сервисами, накопления статистики по срокам и затрагивает управление доступами.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5. Внешние стейкхолдеры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Проект выполняется командой по собственной инициативе, продукт является тиражируемым. Заказчик, то есть сторона, которая заказывает и оплачивает разработку, в проекте отсутствует. Компании, которые проводят онбординг сотрудников, приобретают готовый продукт и поэтому относятся к категории конечных пользователей. Инициатор, команда проекта, руководитель проекта и инвесторы являются внутренними стейкхолдерами и в настоящем разделе не рассматриваются.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Влияние оценивается по тому, может ли стейкхолдер остановить проект или существенно изменить продукт. Высокое означает, что без него проект не состоится или теряет ключевую функциональность. Среднее означает влияние на условия и скорость без возможности заблокировать. Низкое означает косвенное влияние в отдельных случаях. По этому критерию в итоговый состав вошли только группы с высоким влиянием, остальные рассмотренные нами группы под критерий не подошли, обоснование приведено после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spacing w:after="60" w:before="120" w:line="276" w:lineRule="auto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Таблица 2. Интересы и влияние внешних стейкхолдеров</w:t>
      </w:r>
      <w:r w:rsidDel="00000000" w:rsidR="00000000" w:rsidRPr="00000000">
        <w:rPr>
          <w:rtl w:val="0"/>
        </w:rPr>
      </w:r>
    </w:p>
    <w:tbl>
      <w:tblPr>
        <w:tblStyle w:val="Table1"/>
        <w:tblW w:w="9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0"/>
        <w:gridCol w:w="3772"/>
        <w:gridCol w:w="3413"/>
      </w:tblGrid>
      <w:tr>
        <w:trPr>
          <w:cantSplit w:val="1"/>
          <w:tblHeader w:val="1"/>
        </w:trPr>
        <w:tc>
          <w:tcPr>
            <w:tcW w:w="2290" w:type="dxa"/>
            <w:vAlign w:val="center"/>
          </w:tcPr>
          <w:p w:rsidR="00000000" w:rsidDel="00000000" w:rsidP="00000000" w:rsidRDefault="00000000" w:rsidRPr="00000000" w14:paraId="00001053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Внешний стейкхолдер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772" w:type="dxa"/>
            <w:vAlign w:val="center"/>
          </w:tcPr>
          <w:p w:rsidR="00000000" w:rsidDel="00000000" w:rsidP="00000000" w:rsidRDefault="00000000" w:rsidRPr="00000000" w14:paraId="00001054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Интересы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13" w:type="dxa"/>
            <w:vAlign w:val="center"/>
          </w:tcPr>
          <w:p w:rsidR="00000000" w:rsidDel="00000000" w:rsidP="00000000" w:rsidRDefault="00000000" w:rsidRPr="00000000" w14:paraId="00001055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290" w:type="dxa"/>
            <w:vAlign w:val="center"/>
          </w:tcPr>
          <w:p w:rsidR="00000000" w:rsidDel="00000000" w:rsidP="00000000" w:rsidRDefault="00000000" w:rsidRPr="00000000" w14:paraId="00001056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Конечные пользователи, компании, которые проводят онбординг сотрудников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772" w:type="dxa"/>
            <w:vAlign w:val="center"/>
          </w:tcPr>
          <w:p w:rsidR="00000000" w:rsidDel="00000000" w:rsidP="00000000" w:rsidRDefault="00000000" w:rsidRPr="00000000" w14:paraId="00001057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Сократить срок выхода нового сотрудника на рабочий режим, снять ручную нагрузку с HR, уменьшить долю увольнений в первые месяцы, сохранить контроль над выдачей доступов и обработкой персональных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13" w:type="dxa"/>
            <w:vAlign w:val="center"/>
          </w:tcPr>
          <w:p w:rsidR="00000000" w:rsidDel="00000000" w:rsidP="00000000" w:rsidRDefault="00000000" w:rsidRPr="00000000" w14:paraId="00001058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Высокое. Источник выручки, формируют требования к функционалу, принимают решение о покупке и о продлении подписки. Продление зависит в том числе от того, насколько продукт принят самими новыми сотрудниками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290" w:type="dxa"/>
            <w:vAlign w:val="center"/>
          </w:tcPr>
          <w:p w:rsidR="00000000" w:rsidDel="00000000" w:rsidP="00000000" w:rsidRDefault="00000000" w:rsidRPr="00000000" w14:paraId="00001059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Партнеры и подрядчики, вендоры смежных систем и интеграторы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772" w:type="dxa"/>
            <w:vAlign w:val="center"/>
          </w:tcPr>
          <w:p w:rsidR="00000000" w:rsidDel="00000000" w:rsidP="00000000" w:rsidRDefault="00000000" w:rsidRPr="00000000" w14:paraId="0000105A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Расширить сценарии использования своих продуктов и получить выручку от совместных внедрений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13" w:type="dxa"/>
            <w:vAlign w:val="center"/>
          </w:tcPr>
          <w:p w:rsidR="00000000" w:rsidDel="00000000" w:rsidP="00000000" w:rsidRDefault="00000000" w:rsidRPr="00000000" w14:paraId="0000105B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Высокое. Автоматическое закрытие задач работает только при наличии открытых интерфейсов у кадрового учета, кадрового электронного документооборота и систем контроля доступа. Без них ключевая функциональность вырождается в ручные отметки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290" w:type="dxa"/>
            <w:vAlign w:val="center"/>
          </w:tcPr>
          <w:p w:rsidR="00000000" w:rsidDel="00000000" w:rsidP="00000000" w:rsidRDefault="00000000" w:rsidRPr="00000000" w14:paraId="0000105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Государство и регуляторы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772" w:type="dxa"/>
            <w:vAlign w:val="center"/>
          </w:tcPr>
          <w:p w:rsidR="00000000" w:rsidDel="00000000" w:rsidP="00000000" w:rsidRDefault="00000000" w:rsidRPr="00000000" w14:paraId="0000105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Соблюдение 152-ФЗ при обработке персональных данных сотрудников, соблюдение статей 22.1-22.3 Трудового кодекса об электронном кадровом документообороте [4], наличие согласий работников на обработку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13" w:type="dxa"/>
            <w:vAlign w:val="center"/>
          </w:tcPr>
          <w:p w:rsidR="00000000" w:rsidDel="00000000" w:rsidP="00000000" w:rsidRDefault="00000000" w:rsidRPr="00000000" w14:paraId="0000105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Высокое косвенное. Формируют рамки, несоблюдение закрывает корпоративный сегмент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F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Внутри компании-пользователя решение принимается несколькими ролями, интересы которых различаются.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HR-директор и служба персонала выступают инициатором покупки, их интерес состоит в сокращении ручной работы и срока адаптации;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ИТ-служба отвечает за интеграции и оценивает нагрузку на себя, ее интерес состоит в минимальном объеме доработок;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служба безопасности контролирует выдачу доступов и обработку персональных данных и является наиболее вероятным блокером внедрения;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финансовая функция утверждает бюджет и сравнивает стоимость подписки с затратами на собственную доработку.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Конкуренты в состав стейкхолдеров не включены. Они не участвуют в проекте, не могут его остановить и не меняют продукт напрямую, а влияют только на планку ожиданий рынка. Их анализ вынесен в раздел 6 и используется при расчете достижимого объема рынка.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Новые сотрудники компаний-пользователей также не выделены в отдельного стейкхолдера. Они не принимают решения о покупке и взаимодействуют с продуктом внутри контура компании-пользователя, поэтому их отношение к продукту учтено как фактор продления подписки в строке конечных пользователей. По этой же причине отдельно не выделены профсоюзы и представители работников, их требования к объему собираемых данных реализуются через законодательство о персональных данных и учтены в строке государства и регуляторов.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6. Анализ емкости инновационного рынка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Расчет выполнен по методологии PAM/TAM/SAM/SOM, страна запуска Россия. За базу взят рынок программных решений, за бюджет которого конкурирует продукт. Исходные данные для расчета приведены в таблице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spacing w:after="60" w:before="120" w:line="276" w:lineRule="auto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Таблица 3. Исходные данные для расчета емкости рынка</w:t>
      </w:r>
      <w:r w:rsidDel="00000000" w:rsidR="00000000" w:rsidRPr="00000000">
        <w:rPr>
          <w:rtl w:val="0"/>
        </w:rPr>
      </w:r>
    </w:p>
    <w:tbl>
      <w:tblPr>
        <w:tblStyle w:val="Table2"/>
        <w:tblW w:w="9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6"/>
        <w:gridCol w:w="3929"/>
        <w:gridCol w:w="2740"/>
      </w:tblGrid>
      <w:tr>
        <w:trPr>
          <w:cantSplit w:val="1"/>
          <w:tblHeader w:val="1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6A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929" w:type="dxa"/>
            <w:vAlign w:val="center"/>
          </w:tcPr>
          <w:p w:rsidR="00000000" w:rsidDel="00000000" w:rsidP="00000000" w:rsidRDefault="00000000" w:rsidRPr="00000000" w14:paraId="0000106B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40" w:type="dxa"/>
            <w:vAlign w:val="center"/>
          </w:tcPr>
          <w:p w:rsidR="00000000" w:rsidDel="00000000" w:rsidP="00000000" w:rsidRDefault="00000000" w:rsidRPr="00000000" w14:paraId="0000106C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6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Рынок HRtech России,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929" w:type="dxa"/>
            <w:vAlign w:val="center"/>
          </w:tcPr>
          <w:p w:rsidR="00000000" w:rsidDel="00000000" w:rsidP="00000000" w:rsidRDefault="00000000" w:rsidRPr="00000000" w14:paraId="0000106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94 млрд руб., рост 9,32%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40" w:type="dxa"/>
            <w:vAlign w:val="center"/>
          </w:tcPr>
          <w:p w:rsidR="00000000" w:rsidDel="00000000" w:rsidP="00000000" w:rsidRDefault="00000000" w:rsidRPr="00000000" w14:paraId="0000106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Smart Ranking 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7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Рынок HRtech России,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929" w:type="dxa"/>
            <w:vAlign w:val="center"/>
          </w:tcPr>
          <w:p w:rsidR="00000000" w:rsidDel="00000000" w:rsidP="00000000" w:rsidRDefault="00000000" w:rsidRPr="00000000" w14:paraId="00001071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85,8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40" w:type="dxa"/>
            <w:vAlign w:val="center"/>
          </w:tcPr>
          <w:p w:rsidR="00000000" w:rsidDel="00000000" w:rsidP="00000000" w:rsidRDefault="00000000" w:rsidRPr="00000000" w14:paraId="00001072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Smart Ranking 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73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Сегмент комплексных HRM/HCM-решений,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929" w:type="dxa"/>
            <w:vAlign w:val="center"/>
          </w:tcPr>
          <w:p w:rsidR="00000000" w:rsidDel="00000000" w:rsidP="00000000" w:rsidRDefault="00000000" w:rsidRPr="00000000" w14:paraId="00001074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9,66 млрд руб., рост 19,9%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40" w:type="dxa"/>
            <w:vAlign w:val="center"/>
          </w:tcPr>
          <w:p w:rsidR="00000000" w:rsidDel="00000000" w:rsidP="00000000" w:rsidRDefault="00000000" w:rsidRPr="00000000" w14:paraId="00001075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Smart Ranking 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76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Сегмент кадрового ЭДО,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929" w:type="dxa"/>
            <w:vAlign w:val="center"/>
          </w:tcPr>
          <w:p w:rsidR="00000000" w:rsidDel="00000000" w:rsidP="00000000" w:rsidRDefault="00000000" w:rsidRPr="00000000" w14:paraId="00001077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5,3 млрд руб., рост 40,7%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40" w:type="dxa"/>
            <w:vAlign w:val="center"/>
          </w:tcPr>
          <w:p w:rsidR="00000000" w:rsidDel="00000000" w:rsidP="00000000" w:rsidRDefault="00000000" w:rsidRPr="00000000" w14:paraId="00001078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Smart Ranking 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79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Сегмент рекрутмента,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929" w:type="dxa"/>
            <w:vAlign w:val="center"/>
          </w:tcPr>
          <w:p w:rsidR="00000000" w:rsidDel="00000000" w:rsidP="00000000" w:rsidRDefault="00000000" w:rsidRPr="00000000" w14:paraId="0000107A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57,6 млрд руб., рост 2,71%, более 61% рынка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40" w:type="dxa"/>
            <w:vAlign w:val="center"/>
          </w:tcPr>
          <w:p w:rsidR="00000000" w:rsidDel="00000000" w:rsidP="00000000" w:rsidRDefault="00000000" w:rsidRPr="00000000" w14:paraId="0000107B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Smart Ranking 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7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Рынок HR Tech в узком определении, без работных площадок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929" w:type="dxa"/>
            <w:vAlign w:val="center"/>
          </w:tcPr>
          <w:p w:rsidR="00000000" w:rsidDel="00000000" w:rsidP="00000000" w:rsidRDefault="00000000" w:rsidRPr="00000000" w14:paraId="0000107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42 млрд руб. в 2025, прогноз 45,2 млрд руб. на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40" w:type="dxa"/>
            <w:vAlign w:val="center"/>
          </w:tcPr>
          <w:p w:rsidR="00000000" w:rsidDel="00000000" w:rsidP="00000000" w:rsidRDefault="00000000" w:rsidRPr="00000000" w14:paraId="0000107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Рексофт Консалтинг [6]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7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Число уникальных HR Tech-продуктов в России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929" w:type="dxa"/>
            <w:vAlign w:val="center"/>
          </w:tcPr>
          <w:p w:rsidR="00000000" w:rsidDel="00000000" w:rsidP="00000000" w:rsidRDefault="00000000" w:rsidRPr="00000000" w14:paraId="0000108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около 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40" w:type="dxa"/>
            <w:vAlign w:val="center"/>
          </w:tcPr>
          <w:p w:rsidR="00000000" w:rsidDel="00000000" w:rsidP="00000000" w:rsidRDefault="00000000" w:rsidRPr="00000000" w14:paraId="00001081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Рексофт Консалтинг [6]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82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Средние компании в России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929" w:type="dxa"/>
            <w:vAlign w:val="center"/>
          </w:tcPr>
          <w:p w:rsidR="00000000" w:rsidDel="00000000" w:rsidP="00000000" w:rsidRDefault="00000000" w:rsidRPr="00000000" w14:paraId="00001083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21 тыс. на март 2025, Москва 24%, Санкт-Петербург 8%, Московская область 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40" w:type="dxa"/>
            <w:vAlign w:val="center"/>
          </w:tcPr>
          <w:p w:rsidR="00000000" w:rsidDel="00000000" w:rsidP="00000000" w:rsidRDefault="00000000" w:rsidRPr="00000000" w14:paraId="00001084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Минэкономразвития [7]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85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Действующие юридические лица в России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929" w:type="dxa"/>
            <w:vAlign w:val="center"/>
          </w:tcPr>
          <w:p w:rsidR="00000000" w:rsidDel="00000000" w:rsidP="00000000" w:rsidRDefault="00000000" w:rsidRPr="00000000" w14:paraId="00001086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3,19 млн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40" w:type="dxa"/>
            <w:vAlign w:val="center"/>
          </w:tcPr>
          <w:p w:rsidR="00000000" w:rsidDel="00000000" w:rsidP="00000000" w:rsidRDefault="00000000" w:rsidRPr="00000000" w14:paraId="00001087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СПАРК-Интерфакс [8]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88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Проникновение кадрового ЭДО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929" w:type="dxa"/>
            <w:vAlign w:val="center"/>
          </w:tcPr>
          <w:p w:rsidR="00000000" w:rsidDel="00000000" w:rsidP="00000000" w:rsidRDefault="00000000" w:rsidRPr="00000000" w14:paraId="00001089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более 20% предприятий, 6 млн работников подписывают документы удаленно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40" w:type="dxa"/>
            <w:vAlign w:val="center"/>
          </w:tcPr>
          <w:p w:rsidR="00000000" w:rsidDel="00000000" w:rsidP="00000000" w:rsidRDefault="00000000" w:rsidRPr="00000000" w14:paraId="0000108A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HRlink [9]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8B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Мировой рынок ПО для онбординга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929" w:type="dxa"/>
            <w:vAlign w:val="center"/>
          </w:tcPr>
          <w:p w:rsidR="00000000" w:rsidDel="00000000" w:rsidP="00000000" w:rsidRDefault="00000000" w:rsidRPr="00000000" w14:paraId="0000108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2,11 млрд долл. в 2025, 2,53 млрд долл. в 2026, среднегодовой рост 19,7% до 2029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40" w:type="dxa"/>
            <w:vAlign w:val="center"/>
          </w:tcPr>
          <w:p w:rsidR="00000000" w:rsidDel="00000000" w:rsidP="00000000" w:rsidRDefault="00000000" w:rsidRPr="00000000" w14:paraId="0000108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The Business Research Company [10]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806" w:type="dxa"/>
            <w:vAlign w:val="center"/>
          </w:tcPr>
          <w:p w:rsidR="00000000" w:rsidDel="00000000" w:rsidP="00000000" w:rsidRDefault="00000000" w:rsidRPr="00000000" w14:paraId="0000108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Средний годовой чек платформенного HR-решения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929" w:type="dxa"/>
            <w:vAlign w:val="center"/>
          </w:tcPr>
          <w:p w:rsidR="00000000" w:rsidDel="00000000" w:rsidP="00000000" w:rsidRDefault="00000000" w:rsidRPr="00000000" w14:paraId="0000108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от 300 тыс. до 1,5 млн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40" w:type="dxa"/>
            <w:vAlign w:val="center"/>
          </w:tcPr>
          <w:p w:rsidR="00000000" w:rsidDel="00000000" w:rsidP="00000000" w:rsidRDefault="00000000" w:rsidRPr="00000000" w14:paraId="0000109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VC.ru [12]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1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Оценки Smart Ranking и Рексофт Консалтинг расходятся из-за разных методологий. Smart Ranking считает совокупную выручку HRtech-компаний, включая выручку работных площадок. Рексофт Консалтинг считает рынок программных продуктов без работных площадок. Далее используется оценка Smart Ranking, поскольку она содержит разбивку по сегментам.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 темпам роста кадрового электронного документооборота источники также расходятся. Smart Ranking оценивает рост сегмента в 40,7% [5], HRlink сообщает о росте на 80% [9]. Smart Ranking считает выручку всех вендоров сегмента, HRlink приводит оценку по собственной клиентской базе и охватывает более узкий круг компаний. В расчете объема используется оценка Smart Ranking, данные HRlink используются только как показатель проникновения кадрового ЭДО.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6.1. PAM, потенциально доступный объем рынка</w:t>
      </w:r>
    </w:p>
    <w:p w:rsidR="00000000" w:rsidDel="00000000" w:rsidP="00000000" w:rsidRDefault="00000000" w:rsidRPr="00000000" w14:paraId="00001095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PAM равен сумме сегментов российского рынка HRtech, в бюджете которых оплачивается функциональность онбординга. Это верхняя граница при условии, что продукт занял бы всю функциональность этих сегментов целиком.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комплексные HRM/HCM-решения, 9,66 млрд руб. [5];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кадровый электронный документооборот, 5,3 млрд руб. [5];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обязательное вводное обучение и инструктажи, 1-2 млрд руб. по нашей оценке.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Оценка последнего сегмента выполнена так. За вычетом рекрутмента (57,6 млрд руб.), комплексных решений (9,66 млрд руб.) и кадрового ЭДО (5,3 млрд руб.) на прочие направления HRtech приходится 21,4 млрд руб. Корпоративное обучение занимает порядка трети этого остатка, то есть около 7 млрд руб., а обязательные вводные курсы и инструктажи составляют, по нашей оценке, 15-25% его объема, что дает 1,05-1,75 млрд руб. В расчете используется округленный диапазон 1-2 млрд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PAM ≈ 16-17 млрд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Весь российский рынок HRtech объемом 94 млрд руб. в пирамиду не включен. Более 61% этого объема, то есть 57,6 млрд руб., приходится на рекрутмент [5], а продукт не закрывает подбор персонала и не конкурирует за эти бюджеты. Цифра 94 млрд руб. используется только как характеристика масштаба отрасли.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Полученная величина является верхней границей еще и потому, что комплексные HRM/HCM-решения часто включают модули кадрового электронного документооборота, поэтому объемы двух сегментов могут частично пересекаться.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6.2. TAM, общий объем целевого рынка</w:t>
      </w:r>
    </w:p>
    <w:p w:rsidR="00000000" w:rsidDel="00000000" w:rsidP="00000000" w:rsidRDefault="00000000" w:rsidRPr="00000000" w14:paraId="0000109E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TAM представляет собой ту часть перечисленных сегментов, которая приходится именно на прием и адаптацию сотрудника, а не на весь функционал соответствующих продуктов. Приняты следующие доли.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в комплексных HRM/HCM-решениях на модули найма и адаптации приходится, по нашей оценке, 15-25% стоимости, что дает 1,45-2,42 млрд руб.;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в кадровом ЭДО на документы, оформляемые при приеме сотрудника, приходится, по нашей оценке, 30-40% объема, что дает 1,59-2,12 млрд руб.;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обязательное вводное обучение относится к онбордингу целиком, 1-2 млрд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TAM ≈ 4-6,3 млрд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Проверка сверху. Мировой рынок программного обеспечения для онбординга составляет 2,11 млрд долл. в 2025 году [10], что при принятом в расчете курсе 85 руб. за доллар дает около 180 млрд руб. Доля России в мировых расходах на программное обеспечение принята в расчете равной 1-2%, это наше допущение. Оно дает 1,8-3,6 млрд руб. Результат ниже оценки снизу. Расхождение объясняется тем, что мировая оценка учитывает только специализированные продукты для онбординга, тогда как в России те же задачи в значительной части оплачиваются внутри более крупных HRM-решений и систем кадрового ЭДО. Для дальнейшего расчета используется нижняя часть диапазона, TAM ≈ 4-5 млрд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6.3. SAM, доступный объем обслуживаемого рынка</w:t>
      </w:r>
    </w:p>
    <w:p w:rsidR="00000000" w:rsidDel="00000000" w:rsidP="00000000" w:rsidRDefault="00000000" w:rsidRPr="00000000" w14:paraId="000010A5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TAM сужается по двум отсекающим ограничениям.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Размер компании. Автоматизация окупается там, где найм регулярный и в процессе участвуют минимум три подразделения. Нижняя граница проходит по компаниям примерно от 100 сотрудников. При штате 100-250 человек и текучести офисного персонала 16-25% [11] компания нанимает примерно от 16 до 60 человек в год, и при годовой стоимости подписки 300-400 тыс. руб. затраты на одного нанятого составляют от 5 до 25 тыс. руб., что сопоставимо со стоимостью нескольких часов работы HR и руководителя. Верхнюю границу задает крупный бизнес, который в расчет не включается. Крупные компании располагают собственными ИТ-подразделениями, и, как показано в разделе 3, для них доработка имеющихся систем выгоднее покупки тиражируемого продукта. Из 3,19 млн действующих юридических лиц [8] к средним компаниям относится 21 тыс. [7], эта величина и взята за базу расчета.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Цифровая готовность. Наличие кадрового электронного документооборота у компании обязательно, без него автоматическое закрытие задач работать не будет. Кадровый ЭДО полностью или частично внедрен более чем у 20% предприятий [9], при этом у среднего и крупного бизнеса проникновение выше, чем в среднем по всем предприятиям, поэтому для среднего бизнеса принимается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Расчет снизу. 21 тыс. компаний, умноженные на 25%, дают 5,25 тыс. целевых компаний. Средний годовой чек платформенного HR-решения по опубликованным тарифам российских вендоров составляет от 300 тыс. до 1,5 млн руб. [12], для компаний со штатом 100-250 человек используется нижняя часть диапазона, 300-400 тыс. руб. Получаем 1,58-2,1 млрд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Проверка сверху. На средний бизнес с цифровым HR-контуром приходится, по нашей оценке, 30-40% бюджета на прием и адаптацию, что от TAM 4-5 млрд руб. дает 1,2-2 млрд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Обе оценки сходятся, SAM ≈ 1,5-2 млрд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Еще два фактора учтены не как отсечка, а как приоритет при выходе на рынок, поскольку они не уменьшают число потенциальных клиентов, а определяют очередность работы с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География. Среди средних компаний 24% приходится на Москву, 8% на Санкт-Петербург и 6% на Московскую область [7], то есть почти 40% сосредоточено в трех регионах, что снижает стоимость продаж на старте;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Отрасли. Приоритет у отраслей с высокой текучестью. По данным исследования Antal Talent за 2025 год, охватившего 194 компании, текучесть офисного персонала в розничной торговле составляет 25%, в банках и логистике по 16%, наиболее высокие показатели в HoReCa, рознице, ИТ и логистике [11].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Крупный бизнес в SAM не включен и рассматривается как возможный рост за пределами базового расчета. Формат работы с ним смещается от решения под ключ к совместному проекту, что отмечено в разделе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6.4. SOM, достижимый объем обслуживаемого рынка</w:t>
      </w:r>
    </w:p>
    <w:p w:rsidR="00000000" w:rsidDel="00000000" w:rsidP="00000000" w:rsidRDefault="00000000" w:rsidRPr="00000000" w14:paraId="000010B0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SOM рассчитан снизу, от пропускной способности продаж, а не как доля от SAM, поскольку на старте ограничением является не размер рынка, а число сделок, которые команда способна закрыть.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Длинный цикл B2B-продажи. Продукт требует интеграций и согласования с ИТ-отделом и службой безопасности компании-пользователя, цикл сделки составляет 6-9 месяцев;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Ограниченный ресурс продаж. На стадии концепции продажи ведет сама команда проекта, реалистично 1-2 человека, занятых продажами;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Конкуренция. На российском рынке HR Tech около 220 уникальных продуктов [6]. В нише адаптации работают Websoft, Mirapolis, Motivity, Эквио и Поток, базовые функции онбординга встроены в крупные HRM-платформы и в продукты 1С;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Замедление рынка. Рост снизился до 9,32% в 2025 году против двузначных темпов прошлых лет [5], а бюджеты компаний ограничены.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При этих ограничениях реалистично закрыть 15-30 контрактов за первые два года. При среднем чеке 300-400 тыс. руб. это дает SOM ≈ 5-12 млн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Результат согласуется со структурой рынка. Половина вендоров HR Tech зарабатывает менее 55 млн руб. в год, четверть менее 5 млн руб. [6], поэтому выручка нового игрока в первые два года измеряется единицами и десятками миллионов рублей. В долях от SAM полученный результат составляет 0,25-0,8%, что соответствует типичной позиции продукта без бренда и с ограниченным маркетинговым бюджетом.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Итоговая модель</w:t>
      </w:r>
    </w:p>
    <w:p w:rsidR="00000000" w:rsidDel="00000000" w:rsidP="00000000" w:rsidRDefault="00000000" w:rsidRPr="00000000" w14:paraId="000010B8">
      <w:pPr>
        <w:spacing w:after="60" w:before="120" w:line="276" w:lineRule="auto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Таблица 4. Итоговая модель емкости рынка</w:t>
      </w:r>
      <w:r w:rsidDel="00000000" w:rsidR="00000000" w:rsidRPr="00000000">
        <w:rPr>
          <w:rtl w:val="0"/>
        </w:rPr>
      </w:r>
    </w:p>
    <w:tbl>
      <w:tblPr>
        <w:tblStyle w:val="Table3"/>
        <w:tblW w:w="9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7"/>
        <w:gridCol w:w="2432"/>
        <w:gridCol w:w="5546"/>
      </w:tblGrid>
      <w:tr>
        <w:trPr>
          <w:cantSplit w:val="1"/>
          <w:tblHeader w:val="1"/>
        </w:trPr>
        <w:tc>
          <w:tcPr>
            <w:tcW w:w="1497" w:type="dxa"/>
            <w:vAlign w:val="center"/>
          </w:tcPr>
          <w:p w:rsidR="00000000" w:rsidDel="00000000" w:rsidP="00000000" w:rsidRDefault="00000000" w:rsidRPr="00000000" w14:paraId="000010B9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32" w:type="dxa"/>
            <w:vAlign w:val="center"/>
          </w:tcPr>
          <w:p w:rsidR="00000000" w:rsidDel="00000000" w:rsidP="00000000" w:rsidRDefault="00000000" w:rsidRPr="00000000" w14:paraId="000010BA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Объем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546" w:type="dxa"/>
            <w:vAlign w:val="center"/>
          </w:tcPr>
          <w:p w:rsidR="00000000" w:rsidDel="00000000" w:rsidP="00000000" w:rsidRDefault="00000000" w:rsidRPr="00000000" w14:paraId="000010BB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Ключевые 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497" w:type="dxa"/>
            <w:vAlign w:val="center"/>
          </w:tcPr>
          <w:p w:rsidR="00000000" w:rsidDel="00000000" w:rsidP="00000000" w:rsidRDefault="00000000" w:rsidRPr="00000000" w14:paraId="000010B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32" w:type="dxa"/>
            <w:vAlign w:val="center"/>
          </w:tcPr>
          <w:p w:rsidR="00000000" w:rsidDel="00000000" w:rsidP="00000000" w:rsidRDefault="00000000" w:rsidRPr="00000000" w14:paraId="000010B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16-17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546" w:type="dxa"/>
            <w:vAlign w:val="center"/>
          </w:tcPr>
          <w:p w:rsidR="00000000" w:rsidDel="00000000" w:rsidP="00000000" w:rsidRDefault="00000000" w:rsidRPr="00000000" w14:paraId="000010B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Сегменты российского HRtech, в которых оплачивается функциональность онбординга. Рекрутмент объемом 57,6 млрд руб. исключен, продукт его не закрывает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497" w:type="dxa"/>
            <w:vAlign w:val="center"/>
          </w:tcPr>
          <w:p w:rsidR="00000000" w:rsidDel="00000000" w:rsidP="00000000" w:rsidRDefault="00000000" w:rsidRPr="00000000" w14:paraId="000010B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32" w:type="dxa"/>
            <w:vAlign w:val="center"/>
          </w:tcPr>
          <w:p w:rsidR="00000000" w:rsidDel="00000000" w:rsidP="00000000" w:rsidRDefault="00000000" w:rsidRPr="00000000" w14:paraId="000010C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4-5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546" w:type="dxa"/>
            <w:vAlign w:val="center"/>
          </w:tcPr>
          <w:p w:rsidR="00000000" w:rsidDel="00000000" w:rsidP="00000000" w:rsidRDefault="00000000" w:rsidRPr="00000000" w14:paraId="000010C1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Только доля этих сегментов, приходящаяся на прием и адаптацию сотрудника, а не весь функционал HRM-решений и кадрового ЭДО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497" w:type="dxa"/>
            <w:vAlign w:val="center"/>
          </w:tcPr>
          <w:p w:rsidR="00000000" w:rsidDel="00000000" w:rsidP="00000000" w:rsidRDefault="00000000" w:rsidRPr="00000000" w14:paraId="000010C2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32" w:type="dxa"/>
            <w:vAlign w:val="center"/>
          </w:tcPr>
          <w:p w:rsidR="00000000" w:rsidDel="00000000" w:rsidP="00000000" w:rsidRDefault="00000000" w:rsidRPr="00000000" w14:paraId="000010C3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1,5-2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546" w:type="dxa"/>
            <w:vAlign w:val="center"/>
          </w:tcPr>
          <w:p w:rsidR="00000000" w:rsidDel="00000000" w:rsidP="00000000" w:rsidRDefault="00000000" w:rsidRPr="00000000" w14:paraId="000010C4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Средние компании от 100 сотрудников с внедренным кадровым ЭДО. Крупный бизнес исключен, он закрывает задачу собственной доработкой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497" w:type="dxa"/>
            <w:vAlign w:val="center"/>
          </w:tcPr>
          <w:p w:rsidR="00000000" w:rsidDel="00000000" w:rsidP="00000000" w:rsidRDefault="00000000" w:rsidRPr="00000000" w14:paraId="000010C5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32" w:type="dxa"/>
            <w:vAlign w:val="center"/>
          </w:tcPr>
          <w:p w:rsidR="00000000" w:rsidDel="00000000" w:rsidP="00000000" w:rsidRDefault="00000000" w:rsidRPr="00000000" w14:paraId="000010C6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5-12 млн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546" w:type="dxa"/>
            <w:vAlign w:val="center"/>
          </w:tcPr>
          <w:p w:rsidR="00000000" w:rsidDel="00000000" w:rsidP="00000000" w:rsidRDefault="00000000" w:rsidRPr="00000000" w14:paraId="000010C7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Пропускная способность продаж, цикл сделки 6-9 месяцев, около 220 конкурирующих продуктов, отсутствие бренда и маркетингового бюджета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8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Потребность в продукте подтверждается независимыми исследованиями. По опросу Русской Школы Управления среди 1094 респондентов, 72% работодателей сталкивались с увольнением новых сотрудников в первые три месяца работы, из них 11% сталкиваются с этим часто [13]. По совместному исследованию hh.ru и Dream Job, 64% россиян хотя бы раз увольнялись с новой работы в течение первых шести месяцев, и каждый четвертый назвал причиной отсутствие адаптации со стороны руководителя [14]. При этом 89% компаний ожидают роста числа цифровых HR-решений в 2026 году [13].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7. Тенденции рынка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Раздел 6 построен на итогах 2025 года, поскольку это последний полный год, по которому есть разбивка по сегментам. В настоящем разделе положение рынка уточняется данными за 2026 год и рассматривается динамика появления новых игроков за последние три года.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7.1. Мировой рынок в 2025-2026 годах</w:t>
      </w:r>
    </w:p>
    <w:p w:rsidR="00000000" w:rsidDel="00000000" w:rsidP="00000000" w:rsidRDefault="00000000" w:rsidRPr="00000000" w14:paraId="000010CD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Мировой рынок HR-технологий вырос с 43,42 млрд долл. в 2025 году до 46,30 млрд долл. в 2026 году, прогнозный среднегодовой рост до 2034 года составляет 8,1% [15]. Альтернативная оценка дает 47,51 млрд долл. в 2026 году при среднегодовом росте 10,35% [16]. Расхождение объясняется разным составом рынка, поэтому далее используется первая оценка как более консервативная.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Структура рынка устойчива. На Северную Америку приходится 40,4% объема, то есть 17,54 млрд долл. в 2025 году, на Европу 12,06 млрд долл., на Азиатско-Тихоокеанский регион 9,17 млрд долл. при самом высоком темпе роста 11,2%. Крупнейший функциональный сегмент, это управление талантами с долей 30,3% [15].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Для проекта существенны два наблюдения из той же оценки. Первое, облачные решения растут быстрее локальных, 10,0% против рынка в целом. Второе, сегмент малого и среднего бизнеса растет быстрее крупных предприятий, 9,70% против общего темпа 8,1% [15]. Второе наблюдение прямо поддерживает выбор среднего бизнеса как целевого сегмента, сделанный в разделе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Ниша онбординга растет значительно быстрее рынка HR-технологий в целом. Мировой рынок программного обеспечения для онбординга вырос с 2,11 млрд долл. в 2025 году до 2,53 млрд долл. в 2026 году и, по прогнозу, достигнет 4,36 млрд долл. к 2029 году при среднегодовом росте 19,7% [10]. Это примерно в два с половиной раза выше темпа рынка HR-технологий. Драйвером названа замена ручных процедур цифровыми, на нее перешли около 65% организаций [10].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Конкурентная среда при этом ужесточается. Крупные вендоры корпоративного программного обеспечения, среди которых Workday, Oracle, SAP и ADP, встраивают функциональность онбординга в свои комплексные HR-пакеты, что создает давление на самостоятельных поставщиков [10]. Это подтверждает риск, заложенный в расчет SOM в разделе 6, и ограничивает срок, в течение которого продукт может закрепиться на рынке.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7.2. Российский рынок в 2025-2026 годах</w:t>
      </w:r>
    </w:p>
    <w:p w:rsidR="00000000" w:rsidDel="00000000" w:rsidP="00000000" w:rsidRDefault="00000000" w:rsidRPr="00000000" w14:paraId="000010D3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Российский рынок HRtech последовательно замедляется. По итогам 2025 года его объем составил 94 млрд руб. при росте 9,32% [5]. В I полугодии 2025 года топ-85 компаний заработали 40,6 млрд руб. при росте 12% [21], в I полугодии 2026 года топ-90 компаний заработали 45 млрд руб. при росте 8% [22]. Внутри 2026 года динамика ровная, I квартал дал 21 млрд руб. и рост 9% [20], II квартал 23,6 млрд руб. [22].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Структура роста во II квартале 2026 года объясняет, почему замедление рынка в целом не означает замедления в нише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spacing w:after="60" w:before="120" w:line="276" w:lineRule="auto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Таблица 5. Российский рынок HRtech по сегментам, II квартал 2026 года [22]</w:t>
      </w:r>
      <w:r w:rsidDel="00000000" w:rsidR="00000000" w:rsidRPr="00000000">
        <w:rPr>
          <w:rtl w:val="0"/>
        </w:rPr>
      </w:r>
    </w:p>
    <w:tbl>
      <w:tblPr>
        <w:tblStyle w:val="Table2"/>
        <w:tblW w:w="9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2600"/>
        <w:gridCol w:w="3475"/>
      </w:tblGrid>
      <w:tr>
        <w:trPr>
          <w:cantSplit w:val="1"/>
          <w:tblHeader w:val="1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D6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Сегмент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D7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Выручка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D8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Рост год к году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D9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Подбор персонала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DA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13,79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DB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D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Комплексные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D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2,48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D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D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Альтернативная занятость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E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2,36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E1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E2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Обучение и развитие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E3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1,46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E4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E5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Кадровый ЭДО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E6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1,25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E7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E8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Оценка персонала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E9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1,22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EA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EB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Интеграция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E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525 млн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E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E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Контроль сотрудников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E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476 млн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F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1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Рынок тормозит подбор персонала. На него приходится 13,79 млрд руб. из 23,6 млрд руб., то есть 58% объема, а растет он всего на 2% [22]. Сегменты, в которых работает продукт, растут заметно быстрее. Комплексные решения прибавляют 19%, обучение и развитие 11%, кадровый ЭДО 11%. Отдельно отметим сегмент интеграции программного обеспечения, он вырос на 22% при объеме 525 млн руб. [22]. Это прямое подтверждение спроса на интеграционный слой, который является ядром продукта.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Один вывод для расчета SAM требует уточнения. Кадровый ЭДО в 2025 году был самым быстрорастущим сегментом с темпом 40,7% [5], в I квартале 2026 года он вырос на 33% [20], а во II квартале уже на 11% [22]. Принятая в разделе 6 доля компаний с внедренным кадровым ЭДО, 25%, будет расти медленнее, чем можно было предполагать по данным 2025 года, поэтому расширение SAM за счет цифровизации в ближайшие два года ожидается умеренным.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 узкому определению, без работных площадок, рынок оценивается в 42 млрд руб. за 2025 год с прогнозом 45,2 млрд руб. на 2026 год, то есть рост 7,5%. Карта отечественных HR-решений содержит более 200 продуктов, а весь рынок HR Tech занимает около 1% ИТ-рынка России и 2,8% рынка программного обеспечения [6]. Драйверами названы импортозамещение, государственное регулирование и дефицит кадров, сдерживающими факторами, узость внутреннего рынка и нехватка финансирования [6].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7.3. Появление стартапов в мире за последние три года</w:t>
      </w:r>
    </w:p>
    <w:p w:rsidR="00000000" w:rsidDel="00000000" w:rsidP="00000000" w:rsidRDefault="00000000" w:rsidRPr="00000000" w14:paraId="000010F6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Сектор HRTech насчитывает около 53-55 тыс. компаний, из которых 8,82 тыс. привлекали финансирование, суммарно 129 млрд долл. За всю историю сектора создано 94 компании со стоимостью выше миллиарда долларов [17]. При этом приток нового капитала третий год подряд держится на уровне, кратно ниже пикового.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spacing w:after="60" w:before="120" w:line="276" w:lineRule="auto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Таблица 6. Финансирование HRtech-стартапов в мире</w:t>
      </w:r>
      <w:r w:rsidDel="00000000" w:rsidR="00000000" w:rsidRPr="00000000">
        <w:rPr>
          <w:rtl w:val="0"/>
        </w:rPr>
      </w:r>
    </w:p>
    <w:tbl>
      <w:tblPr>
        <w:tblStyle w:val="Table3"/>
        <w:tblW w:w="9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2600"/>
        <w:gridCol w:w="1600"/>
        <w:gridCol w:w="2400"/>
        <w:gridCol w:w="1575"/>
      </w:tblGrid>
      <w:tr>
        <w:trPr>
          <w:cantSplit w:val="1"/>
          <w:tblHeader w:val="1"/>
        </w:trPr>
        <w:tc>
          <w:tcPr>
            <w:tcW w:w="1300" w:type="dxa"/>
            <w:vAlign w:val="center"/>
          </w:tcPr>
          <w:p w:rsidR="00000000" w:rsidDel="00000000" w:rsidP="00000000" w:rsidRDefault="00000000" w:rsidRPr="00000000" w14:paraId="000010F8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F9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Объем, Tracxn [17]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600" w:type="dxa"/>
            <w:vAlign w:val="center"/>
          </w:tcPr>
          <w:p w:rsidR="00000000" w:rsidDel="00000000" w:rsidP="00000000" w:rsidRDefault="00000000" w:rsidRPr="00000000" w14:paraId="000010FA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Раунды [17]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00" w:type="dxa"/>
            <w:vAlign w:val="center"/>
          </w:tcPr>
          <w:p w:rsidR="00000000" w:rsidDel="00000000" w:rsidP="00000000" w:rsidRDefault="00000000" w:rsidRPr="00000000" w14:paraId="000010FB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Объем, Crunchbase [18]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575" w:type="dxa"/>
            <w:vAlign w:val="center"/>
          </w:tcPr>
          <w:p w:rsidR="00000000" w:rsidDel="00000000" w:rsidP="00000000" w:rsidRDefault="00000000" w:rsidRPr="00000000" w14:paraId="000010FC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Сделки [18]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vAlign w:val="center"/>
          </w:tcPr>
          <w:p w:rsidR="00000000" w:rsidDel="00000000" w:rsidP="00000000" w:rsidRDefault="00000000" w:rsidRPr="00000000" w14:paraId="000010F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F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25,1 млрд долл.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600" w:type="dxa"/>
            <w:vAlign w:val="center"/>
          </w:tcPr>
          <w:p w:rsidR="00000000" w:rsidDel="00000000" w:rsidP="00000000" w:rsidRDefault="00000000" w:rsidRPr="00000000" w14:paraId="000010F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00" w:type="dxa"/>
            <w:vAlign w:val="center"/>
          </w:tcPr>
          <w:p w:rsidR="00000000" w:rsidDel="00000000" w:rsidP="00000000" w:rsidRDefault="00000000" w:rsidRPr="00000000" w14:paraId="0000110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10,5 млрд долл.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575" w:type="dxa"/>
            <w:vAlign w:val="center"/>
          </w:tcPr>
          <w:p w:rsidR="00000000" w:rsidDel="00000000" w:rsidP="00000000" w:rsidRDefault="00000000" w:rsidRPr="00000000" w14:paraId="00001101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vAlign w:val="center"/>
          </w:tcPr>
          <w:p w:rsidR="00000000" w:rsidDel="00000000" w:rsidP="00000000" w:rsidRDefault="00000000" w:rsidRPr="00000000" w14:paraId="00001102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103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14,8 млрд долл.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600" w:type="dxa"/>
            <w:vAlign w:val="center"/>
          </w:tcPr>
          <w:p w:rsidR="00000000" w:rsidDel="00000000" w:rsidP="00000000" w:rsidRDefault="00000000" w:rsidRPr="00000000" w14:paraId="00001104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00" w:type="dxa"/>
            <w:vAlign w:val="center"/>
          </w:tcPr>
          <w:p w:rsidR="00000000" w:rsidDel="00000000" w:rsidP="00000000" w:rsidRDefault="00000000" w:rsidRPr="00000000" w14:paraId="00001105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575" w:type="dxa"/>
            <w:vAlign w:val="center"/>
          </w:tcPr>
          <w:p w:rsidR="00000000" w:rsidDel="00000000" w:rsidP="00000000" w:rsidRDefault="00000000" w:rsidRPr="00000000" w14:paraId="00001106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vAlign w:val="center"/>
          </w:tcPr>
          <w:p w:rsidR="00000000" w:rsidDel="00000000" w:rsidP="00000000" w:rsidRDefault="00000000" w:rsidRPr="00000000" w14:paraId="00001107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108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5,3 млрд долл.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600" w:type="dxa"/>
            <w:vAlign w:val="center"/>
          </w:tcPr>
          <w:p w:rsidR="00000000" w:rsidDel="00000000" w:rsidP="00000000" w:rsidRDefault="00000000" w:rsidRPr="00000000" w14:paraId="00001109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00" w:type="dxa"/>
            <w:vAlign w:val="center"/>
          </w:tcPr>
          <w:p w:rsidR="00000000" w:rsidDel="00000000" w:rsidP="00000000" w:rsidRDefault="00000000" w:rsidRPr="00000000" w14:paraId="0000110A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575" w:type="dxa"/>
            <w:vAlign w:val="center"/>
          </w:tcPr>
          <w:p w:rsidR="00000000" w:rsidDel="00000000" w:rsidP="00000000" w:rsidRDefault="00000000" w:rsidRPr="00000000" w14:paraId="0000110B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vAlign w:val="center"/>
          </w:tcPr>
          <w:p w:rsidR="00000000" w:rsidDel="00000000" w:rsidP="00000000" w:rsidRDefault="00000000" w:rsidRPr="00000000" w14:paraId="0000110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10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3,54 млрд долл. за январь-сентябрь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600" w:type="dxa"/>
            <w:vAlign w:val="center"/>
          </w:tcPr>
          <w:p w:rsidR="00000000" w:rsidDel="00000000" w:rsidP="00000000" w:rsidRDefault="00000000" w:rsidRPr="00000000" w14:paraId="0000110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00" w:type="dxa"/>
            <w:vAlign w:val="center"/>
          </w:tcPr>
          <w:p w:rsidR="00000000" w:rsidDel="00000000" w:rsidP="00000000" w:rsidRDefault="00000000" w:rsidRPr="00000000" w14:paraId="0000110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2,0 млрд долл. за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575" w:type="dxa"/>
            <w:vAlign w:val="center"/>
          </w:tcPr>
          <w:p w:rsidR="00000000" w:rsidDel="00000000" w:rsidP="00000000" w:rsidRDefault="00000000" w:rsidRPr="00000000" w14:paraId="0000111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vAlign w:val="center"/>
          </w:tcPr>
          <w:p w:rsidR="00000000" w:rsidDel="00000000" w:rsidP="00000000" w:rsidRDefault="00000000" w:rsidRPr="00000000" w14:paraId="00001111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112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3,91 млрд долл. за январь-сентябрь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600" w:type="dxa"/>
            <w:vAlign w:val="center"/>
          </w:tcPr>
          <w:p w:rsidR="00000000" w:rsidDel="00000000" w:rsidP="00000000" w:rsidRDefault="00000000" w:rsidRPr="00000000" w14:paraId="00001113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00" w:type="dxa"/>
            <w:vAlign w:val="center"/>
          </w:tcPr>
          <w:p w:rsidR="00000000" w:rsidDel="00000000" w:rsidP="00000000" w:rsidRDefault="00000000" w:rsidRPr="00000000" w14:paraId="00001114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1,9 млрд долл. за январь-сентябрь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575" w:type="dxa"/>
            <w:vAlign w:val="center"/>
          </w:tcPr>
          <w:p w:rsidR="00000000" w:rsidDel="00000000" w:rsidP="00000000" w:rsidRDefault="00000000" w:rsidRPr="00000000" w14:paraId="00001115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6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Две оценки расходятся по абсолютной величине, поскольку Tracxn относит к сектору более широкий круг компаний и учитывает поздние раунды с участием фондов прямых инвестиций, а Crunchbase считает венчурные раунды в более узкой категории HR-софта. Еще шире считает Drake Star, у которого за январь-сентябрь 2025 года зафиксировано более 650 сделок и 22,3 млрд долл. с учетом слияний и поглощений против более 900 сделок и 10,5 млрд долл. за 2024 год [27]. Направление динамики у всех трех источников совпадает.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Главная тенденция видна не в деньгах, а в числе сделок. Объем финансирования в 2025 году практически не изменился, прибавив 10,64% по данным Tracxn, тогда как число раундов сократилось с 467 до 313, то есть на треть [17]. У Crunchbase та же картина, 419 сделок за весь 2024 год против 236 за девять месяцев 2025 года [18]. Деньги концентрируются в меньшем числе более крупных чеков.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В 2026 году сжатие продолжилось. В I квартале в мировом HRtech состоялось всего три раунда Series A, это минимум с 2018 года, посевная стадия также сократилась, а ни одна компания не привлекла раунд свыше 50 млн долл., хотя в предыдущие кварталы таких раундов было от двух до четырех [19].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Параллельно ускоряется консолидация. В 2024 году в секторе прошло 225 сделок по поглощению, за январь-сентябрь 2025 года еще 130 [17]. В 2025 году Workday приобрела Sana за 1,1 млрд долл. и Paradox, Intuit приобрела GoCo.io [18]. Крупные платформы предпочитают покупать готовую функциональность, а не разрабатывать ее самостоятельно.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Для проекта это означает следующее. Расчет на венчурное финансирование на стадии концепции нереалистичен, окно для новых игроков сузилось, а деньги идут в поздние стадии. Вместе с тем активные поглощения показывают, что готовый продукт с работающими интеграциями имеет спрос со стороны крупных платформ, и это является реалистичным сценарием выхода.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7.4. Появление стартапов в России за последние три года</w:t>
      </w:r>
    </w:p>
    <w:p w:rsidR="00000000" w:rsidDel="00000000" w:rsidP="00000000" w:rsidRDefault="00000000" w:rsidRPr="00000000" w14:paraId="0000111D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Российский венчурный рынок за три года сократился по числу сделок более чем вдвое, а в 2026 году сжатие ускорилось.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spacing w:after="60" w:before="120" w:line="276" w:lineRule="auto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Таблица 7. Венчурный рынок России</w:t>
      </w:r>
      <w:r w:rsidDel="00000000" w:rsidR="00000000" w:rsidRPr="00000000">
        <w:rPr>
          <w:rtl w:val="0"/>
        </w:rPr>
      </w:r>
    </w:p>
    <w:tbl>
      <w:tblPr>
        <w:tblStyle w:val="Table1"/>
        <w:tblW w:w="9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1900"/>
        <w:gridCol w:w="2700"/>
        <w:gridCol w:w="2775"/>
      </w:tblGrid>
      <w:tr>
        <w:trPr>
          <w:cantSplit w:val="1"/>
          <w:tblHeader w:val="1"/>
        </w:trPr>
        <w:tc>
          <w:tcPr>
            <w:tcW w:w="2100" w:type="dxa"/>
            <w:vAlign w:val="center"/>
          </w:tcPr>
          <w:p w:rsidR="00000000" w:rsidDel="00000000" w:rsidP="00000000" w:rsidRDefault="00000000" w:rsidRPr="00000000" w14:paraId="0000111F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  <w:vAlign w:val="center"/>
          </w:tcPr>
          <w:p w:rsidR="00000000" w:rsidDel="00000000" w:rsidP="00000000" w:rsidRDefault="00000000" w:rsidRPr="00000000" w14:paraId="00001120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Число сделок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00" w:type="dxa"/>
            <w:vAlign w:val="center"/>
          </w:tcPr>
          <w:p w:rsidR="00000000" w:rsidDel="00000000" w:rsidP="00000000" w:rsidRDefault="00000000" w:rsidRPr="00000000" w14:paraId="00001121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Объем инвестиций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75" w:type="dxa"/>
            <w:vAlign w:val="center"/>
          </w:tcPr>
          <w:p w:rsidR="00000000" w:rsidDel="00000000" w:rsidP="00000000" w:rsidRDefault="00000000" w:rsidRPr="00000000" w14:paraId="00001122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Средний чек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vAlign w:val="center"/>
          </w:tcPr>
          <w:p w:rsidR="00000000" w:rsidDel="00000000" w:rsidP="00000000" w:rsidRDefault="00000000" w:rsidRPr="00000000" w14:paraId="00001123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  <w:vAlign w:val="center"/>
          </w:tcPr>
          <w:p w:rsidR="00000000" w:rsidDel="00000000" w:rsidP="00000000" w:rsidRDefault="00000000" w:rsidRPr="00000000" w14:paraId="00001124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00" w:type="dxa"/>
            <w:vAlign w:val="center"/>
          </w:tcPr>
          <w:p w:rsidR="00000000" w:rsidDel="00000000" w:rsidP="00000000" w:rsidRDefault="00000000" w:rsidRPr="00000000" w14:paraId="00001125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оценки в источнике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75" w:type="dxa"/>
            <w:vAlign w:val="center"/>
          </w:tcPr>
          <w:p w:rsidR="00000000" w:rsidDel="00000000" w:rsidP="00000000" w:rsidRDefault="00000000" w:rsidRPr="00000000" w14:paraId="00001126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0,84 млн долл. [26]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vAlign w:val="center"/>
          </w:tcPr>
          <w:p w:rsidR="00000000" w:rsidDel="00000000" w:rsidP="00000000" w:rsidRDefault="00000000" w:rsidRPr="00000000" w14:paraId="00001127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  <w:vAlign w:val="center"/>
          </w:tcPr>
          <w:p w:rsidR="00000000" w:rsidDel="00000000" w:rsidP="00000000" w:rsidRDefault="00000000" w:rsidRPr="00000000" w14:paraId="00001128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00" w:type="dxa"/>
            <w:vAlign w:val="center"/>
          </w:tcPr>
          <w:p w:rsidR="00000000" w:rsidDel="00000000" w:rsidP="00000000" w:rsidRDefault="00000000" w:rsidRPr="00000000" w14:paraId="00001129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около 177 млн долл.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75" w:type="dxa"/>
            <w:vAlign w:val="center"/>
          </w:tcPr>
          <w:p w:rsidR="00000000" w:rsidDel="00000000" w:rsidP="00000000" w:rsidRDefault="00000000" w:rsidRPr="00000000" w14:paraId="0000112A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1,01 млн долл. [23]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vAlign w:val="center"/>
          </w:tcPr>
          <w:p w:rsidR="00000000" w:rsidDel="00000000" w:rsidP="00000000" w:rsidRDefault="00000000" w:rsidRPr="00000000" w14:paraId="0000112B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  <w:vAlign w:val="center"/>
          </w:tcPr>
          <w:p w:rsidR="00000000" w:rsidDel="00000000" w:rsidP="00000000" w:rsidRDefault="00000000" w:rsidRPr="00000000" w14:paraId="0000112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00" w:type="dxa"/>
            <w:vAlign w:val="center"/>
          </w:tcPr>
          <w:p w:rsidR="00000000" w:rsidDel="00000000" w:rsidP="00000000" w:rsidRDefault="00000000" w:rsidRPr="00000000" w14:paraId="0000112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159 млн долл.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75" w:type="dxa"/>
            <w:vAlign w:val="center"/>
          </w:tcPr>
          <w:p w:rsidR="00000000" w:rsidDel="00000000" w:rsidP="00000000" w:rsidRDefault="00000000" w:rsidRPr="00000000" w14:paraId="0000112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1,69 млн долл. [23]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vAlign w:val="center"/>
          </w:tcPr>
          <w:p w:rsidR="00000000" w:rsidDel="00000000" w:rsidP="00000000" w:rsidRDefault="00000000" w:rsidRPr="00000000" w14:paraId="0000112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 полугодие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  <w:vAlign w:val="center"/>
          </w:tcPr>
          <w:p w:rsidR="00000000" w:rsidDel="00000000" w:rsidP="00000000" w:rsidRDefault="00000000" w:rsidRPr="00000000" w14:paraId="0000113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00" w:type="dxa"/>
            <w:vAlign w:val="center"/>
          </w:tcPr>
          <w:p w:rsidR="00000000" w:rsidDel="00000000" w:rsidP="00000000" w:rsidRDefault="00000000" w:rsidRPr="00000000" w14:paraId="00001131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29,3 млн долл.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75" w:type="dxa"/>
            <w:vAlign w:val="center"/>
          </w:tcPr>
          <w:p w:rsidR="00000000" w:rsidDel="00000000" w:rsidP="00000000" w:rsidRDefault="00000000" w:rsidRPr="00000000" w14:paraId="00001132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оценки в источнике [24]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33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Сильнее всего пострадала посевная стадия, на которой находятся проекты, сопоставимые с нашим. Объем посевных инвестиций сократился с 27 млн долл. в 2024 году до 9 млн долл. в 2025 году, то есть на 67% [23]. В I полугодии 2026 года на посевной стадии прошло 15 сделок на 2,2 млн долл., что на 56% меньше, чем годом ранее [24]. Отраслевые приоритеты сместились, в I полугодии 2026 года лидируют промышленные технологии с 11,4 млн долл. и четырьмя раундами, а также программное обеспечение для бизнеса с пятью раундами, отдельной строкой HRtech не выделяется [24].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В самом российском HRtech ситуация соответствует общей. В конце 2025 года несколько проектов, построенных вокруг ИИ-функциональности, закрыли инвестиционные сделки, но уже в I квартале 2026 года в сегменте не зафиксировано ни одной венчурной сделки [20].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Приток новых игроков при этом не прекратился, он просто идет без венчурных денег. В рейтинге HR Tech по итогам 2023 года было 40 компаний, из них девять дебютантов, а две компании-новичка сразу вошли в первую пятерку [25]. В рейтинге Smart Ranking число участников выросло с 85 компаний в I полугодии 2025 года [21] до 90 компаний в I полугодии 2026 года [22]. Карта отечественных HR-решений насчитывает более 200 продуктов [6]. Рейтинги ведутся по разным методикам, поэтому сравнивать их напрямую нельзя, но каждый из них показывает пополнение состава участников.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Вывод для проекта состоит в том, что вход на российский рынок HRtech остается открытым, однако источником финансирования на старте будет не венчурный капитал, а собственные средства и выручка от первых контрактов. Это согласуется с расчетом SOM в разделе 6, где достижимый объем получен из пропускной способности продаж, а не из объема привлеченных инвестиций.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pStyle w:val="Heading3"/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7.5. Влияние тенденций на оценки проекта</w:t>
      </w:r>
    </w:p>
    <w:p w:rsidR="00000000" w:rsidDel="00000000" w:rsidP="00000000" w:rsidRDefault="00000000" w:rsidRPr="00000000" w14:paraId="00001139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Данные 2026 года не требуют пересчета пирамиды из раздела 6, но уточняют три позиции.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Выбор среднего бизнеса подтверждается. Сегмент малого и среднего бизнеса растет быстрее крупных предприятий на мировом рынке [15], а в России сегменты, в которых работает продукт, растут в пять-десять раз быстрее стагнирующего подбора персонала [22];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Ставка на интеграционный слой подтверждается отдельной статистикой. Сегмент интеграции программного обеспечения вырос на 22% год к году, это второй результат на российском рынке после оценки персонала [22];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Расширение SAM за счет цифровизации будет медленнее. Темп роста кадрового ЭДО снизился с 40,7% в 2025 году до 11% во II квартале 2026 года [5, 22], поэтому доля компаний, пригодных для автоматического закрытия задач, увеличивается умереннее, чем в 2025 году.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Два риска усилились по сравнению с редакцией раздела 6. Первый, встраивание онбординга в комплексные HR-пакеты крупных вендоров сокращает окно выхода [10]. Второй, отсутствие венчурного финансирования в сегменте означает, что продукт должен выходить на самоокупаемость на первых 15-30 контрактах без внешнего капитала.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Список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1. Gartner. Top Strategic Technology Trends for 2026. URL: https://www.gartner.com/en/articles/top-technology-trends-2026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2. Gartner. Hype Cycle for the Future of Work, 2026. Gartner Identifies Four Shifts Shaping the Future of Work. URL: https://www.gartner.com/en/newsroom/press-releases/2026-09-09-gartner-identifies-four-shifts-shaping-the-future-of-work (дата обращения: 14.09.2026).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3. Федеральный закон от 27.07.2006 № 152-ФЗ «О персональных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4. Трудовой кодекс Российской Федерации, статьи 22.1-22.3 об электронном документообороте в сфере трудовых отношений.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5. Smart Ranking. Оптимизация, автоматизация, экосистемы: как компании на рынке HRtech завершили 2025 год. URL: https://smartranking.ru/ru/analytics/hrtech/optimizaciya-avtomatizaciya-ekosistemy-kak-kompanii-na-rynke-hrtech-zavershili-2025-god/ (дата обращения: 13.09.2026).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6. Рексофт Консалтинг: рынок HR Tech может вырасти в 2026 году до 45 млрд рублей. Новости ИТ-канала. URL: https://www.novostiitkanala.ru/news/detail.php?ID=198065 (дата обращения: 13.09.2026).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7. Минэкономразвития России. Количество средних компаний в России достигло рекордного показателя 21 тыс. URL: https://www.economy.gov.ru/material/news/kolichestvo_srednih_kompaniy_v_rossii_dostiglo_rekordnogo_pokazatelya_21_tys.html (дата обращения: 13.09.2026).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8. СПАРК-Интерфакс. Статистика компаний и организаций России. URL: https://spark-interfax.ru/statistics (дата обращения: 13.09.2026).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9. HRlink: в 2025 году рынок кадрового ЭДО вырос на 80%, превысив 5 млрд рублей. CNews. URL: https://www.cnews.ru/news/line/2026-01-15_hrlink_v_2025_godu_rynok_kadrovogo (дата обращения: 13.09.2026).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10. The Business Research Company. Employee Onboarding Software Global Market Report. URL: https://www.thebusinessresearchcompany.com/report/employee-onboarding-software-global-market-report (дата обращения: 13.09.2026).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11. Antal Talent. Текучесть персонала в компаниях в России по итогам 2025 года. URL: https://antaltalent.ru/news/tekuchest-personala-v-kompaniyah-v-rossii-po-itogam-2025-goda/ (дата обращения: 13.09.2026).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12. HRM-системы управления персоналом в 2026: топ-10 российских платформ, сравнение цен и функций. VC.ru. URL: https://vc.ru/hr/2767746-hrm-sistemy-upravleniya-personalom-2026-top-10-platform (дата обращения: 13.09.2026).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13. Русская Школа Управления: больше половины работодателей приукрашивают вакансии, 72% теряют новичков в первые три месяца. CNews. URL: https://www.cnews.ru/news/line/2026-08-27_bolshe_poloviny_rabotodatelej (дата обращения: 13.09.2026).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14. hh.ru и Dream Job: 64% россиян хотя бы раз уходили с новой работы в первые полгода. CNews. URL: https://www.cnews.ru/news/line/2026-07-15_64_rossiyan_hotya_by_raz_uhodili (дата обращения: 13.09.2026).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15. Fortune Business Insights. Human Resource (HR) Technology Market Size, Share and Industry Analysis. URL: https://www.fortunebusinessinsights.com/human-resource-hr-technology-market-105437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16. Mordor Intelligence. HR Tech Market Size, Growth Drivers and Industry Outlook 2031. URL: https://www.mordorintelligence.com/industry-reports/hr-tech-market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17. Tracxn. HRTech Sector. Market and Investments Trends. URL: https://tracxn.com/d/sectors/hrtech/__-9CyAMwXLVC-0NLb8tF4ve8hl5FGey2DPYGk9dEAOwY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18. Crunchbase News. Обзор финансирования и сделок слияний и поглощений в сегменте HR-софта, 19.09.2025. URL: https://news.crunchbase.com/venture/ai-hr-software-startup-funding-ma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19. Alpha Work. HR Tech 2026 Q1 Funding Review, 06.05.2026. URL: https://kylegetsiv.substack.com/p/hr-tech-2026-q1-funding-review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20. Smart Ranking. Эйчартех-рынок вырос на 9% в I квартале: рост сдерживается стагнацией подбора персонала, 11.06.2026. URL: https://smartranking.ru/ru/analytics/hrtech/ejcharteh-rynok-vyros-na-9-v-i-kvartale-rost-sderzhivaetsya-stagnaciej-podbora-personala/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21. Smart Ranking. В I полугодии 2025 года рынок HRtech вырос на 12%, до 40,6 млрд рублей. URL: https://smartranking.ru/ru/analytics/hrtech/v-i-polugodii-2025-goda-rynok-hrtech-vyros-na-12-do-406-mlrd-rublej-odnako-tempy-rosta-ostayutsya/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22. RB.RU. HRtech-рынок России вырос на 8% в I полугодии 2026 года, 23.08.2026. URL: https://rb.ru/news/obyom-rossijskogo-hrtech-rynka-dostig-45-mlrd-v-2026-godu-lider-otrasli-headhunter/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23. Б1 и Dsight. Венчурная Евразия: итоги 2025 года. URL: https://b1.ru/analytics/b1-dsight-venture-eurasia-2025-results-review/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24. CNews. В России рухнули венчурные инвестиции. За полгода обвал более 60%, 03.09.2026. URL: https://www.cnews.ru/news/top/2026-09-03_rossijskij_venchurnyj_rynok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25. CNews Analytics. Топ-40 крупнейших игроков в сфере HR Tech по итогам 2023 года, 31.10.2024. URL: https://www.cnews.ru/reviews/rynok_hr_tech/articles/top-40_krupnejshih_igrokov_v_sfere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26. Б1 и Dsight. Венчурная Евразия: итоги 2023 года. URL: https://b1.ru/analytics/b1-dsight-venture-eurasia-research-2023-results/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27. STARTUP RESEARCH. HR Tech Startup Statistics, сводка данных Drake Star и HRO Today, обновление 06.05.2026. URL: https://blog.mean.ceo/hr-tech-startup-statistics/ (дата обращения: 21.09.2026).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link w:val="70"/>
    <w:uiPriority w:val="9"/>
    <w:semiHidden w:val="1"/>
    <w:unhideWhenUsed w:val="1"/>
    <w:qFormat w:val="1"/>
    <w:rsid w:val="00682CF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link w:val="80"/>
    <w:uiPriority w:val="9"/>
    <w:semiHidden w:val="1"/>
    <w:unhideWhenUsed w:val="1"/>
    <w:qFormat w:val="1"/>
    <w:rsid w:val="00682CF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link w:val="90"/>
    <w:uiPriority w:val="9"/>
    <w:semiHidden w:val="1"/>
    <w:unhideWhenUsed w:val="1"/>
    <w:qFormat w:val="1"/>
    <w:rsid w:val="00682CF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10" w:customStyle="1">
    <w:name w:val="Заголовок 1 Знак"/>
    <w:basedOn w:val="a0"/>
    <w:uiPriority w:val="9"/>
    <w:rsid w:val="00682CF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uiPriority w:val="9"/>
    <w:semiHidden w:val="1"/>
    <w:rsid w:val="00682CF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uiPriority w:val="9"/>
    <w:semiHidden w:val="1"/>
    <w:rsid w:val="00682CF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uiPriority w:val="9"/>
    <w:semiHidden w:val="1"/>
    <w:rsid w:val="00682CF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uiPriority w:val="9"/>
    <w:semiHidden w:val="1"/>
    <w:rsid w:val="00682CF2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uiPriority w:val="9"/>
    <w:semiHidden w:val="1"/>
    <w:rsid w:val="00682CF2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682CF2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682CF2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682CF2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uiPriority w:val="10"/>
    <w:rsid w:val="00682CF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5" w:customStyle="1">
    <w:name w:val="Подзаголовок Знак"/>
    <w:basedOn w:val="a0"/>
    <w:uiPriority w:val="11"/>
    <w:rsid w:val="00682CF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link w:val="22"/>
    <w:uiPriority w:val="29"/>
    <w:qFormat w:val="1"/>
    <w:rsid w:val="00682CF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682CF2"/>
    <w:rPr>
      <w:i w:val="1"/>
      <w:iCs w:val="1"/>
      <w:color w:val="404040" w:themeColor="text1" w:themeTint="0000BF"/>
    </w:rPr>
  </w:style>
  <w:style w:type="paragraph" w:styleId="a6">
    <w:name w:val="List Paragraph"/>
    <w:uiPriority w:val="34"/>
    <w:qFormat w:val="1"/>
    <w:rsid w:val="00682CF2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682CF2"/>
    <w:rPr>
      <w:i w:val="1"/>
      <w:iCs w:val="1"/>
      <w:color w:val="0f4761" w:themeColor="accent1" w:themeShade="0000BF"/>
    </w:rPr>
  </w:style>
  <w:style w:type="paragraph" w:styleId="a8">
    <w:name w:val="Intense Quote"/>
    <w:link w:val="a9"/>
    <w:uiPriority w:val="30"/>
    <w:qFormat w:val="1"/>
    <w:rsid w:val="00682CF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9" w:customStyle="1">
    <w:name w:val="Выделенная цитата Знак"/>
    <w:basedOn w:val="a0"/>
    <w:link w:val="a8"/>
    <w:uiPriority w:val="30"/>
    <w:rsid w:val="00682CF2"/>
    <w:rPr>
      <w:i w:val="1"/>
      <w:iCs w:val="1"/>
      <w:color w:val="0f4761" w:themeColor="accent1" w:themeShade="0000BF"/>
    </w:rPr>
  </w:style>
  <w:style w:type="character" w:styleId="aa">
    <w:name w:val="Intense Reference"/>
    <w:basedOn w:val="a0"/>
    <w:uiPriority w:val="32"/>
    <w:qFormat w:val="1"/>
    <w:rsid w:val="00682CF2"/>
    <w:rPr>
      <w:b w:val="1"/>
      <w:bCs w:val="1"/>
      <w:smallCaps w:val="1"/>
      <w:color w:val="0f4761" w:themeColor="accent1" w:themeShade="0000BF"/>
      <w:spacing w:val="5"/>
    </w:rPr>
  </w:style>
  <w:style w:type="paragraph" w:styleId="ac">
    <w:name w:val="Normal (Web)"/>
    <w:basedOn w:val="a"/>
    <w:uiPriority w:val="99"/>
    <w:semiHidden w:val="1"/>
    <w:unhideWhenUsed w:val="1"/>
    <w:rsid w:val="0011382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val="ru-RU"/>
    </w:rPr>
  </w:style>
  <w:style w:type="character" w:styleId="ad">
    <w:name w:val="Strong"/>
    <w:basedOn w:val="a0"/>
    <w:uiPriority w:val="22"/>
    <w:qFormat w:val="1"/>
    <w:rsid w:val="00113825"/>
    <w:rPr>
      <w:b w:val="1"/>
      <w:bCs w:val="1"/>
    </w:rPr>
  </w:style>
  <w:style w:type="character" w:styleId="ae">
    <w:name w:val="Emphasis"/>
    <w:basedOn w:val="a0"/>
    <w:uiPriority w:val="20"/>
    <w:qFormat w:val="1"/>
    <w:rsid w:val="00113825"/>
    <w:rPr>
      <w:i w:val="1"/>
      <w:i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CyRiqyo5LQtSEjsbHheNZ0fBQ==">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2026-09-14T00:37:00Z</dcterms:created>
  <dc:creator>Слаутина Екатерина Анатольевна</dc:creator>
</cp:coreProperties>
</file>