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001">
      <w:pPr>
        <w:spacing w:after="80" w:line="276" w:lineRule="auto"/>
        <w:jc w:val="center"/>
        <w:rPr/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Сервис автоматизации онбординга сотрудников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2">
      <w:pPr>
        <w:spacing w:after="240" w:line="276" w:lineRule="auto"/>
        <w:ind w:left="4320" w:firstLine="0"/>
        <w:rPr/>
      </w:pPr>
      <w:r w:rsidDel="00000000" w:rsidR="00000000" w:rsidRPr="00000000">
        <w:rPr>
          <w:color w:val="000000"/>
          <w:rtl w:val="0"/>
        </w:rPr>
        <w:t xml:space="preserve">Выполнили: Слаутина Екатерина, Белоус Анастасия, Волков Никита, Романов Артём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3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1. Инновационная идея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Сервис для автоматизации онбординга сотрудников, как со стороны нового сотрудника, так и со стороны действующих работников.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большинстве компаний онбординг разбит между несколькими подразделениями. Сам новый сотрудник при этом не видит, что уже сделано и к кому обращаться дальше. В такой схеме нет ответственного за весь процесс.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Наше решение собирает эти действия в один процесс с общим статусом. Система определяет роль нового сотрудника и разворачивает чек-листы сразу для всех участников, а задачи связаны между собой зависимостями. HR, руководитель и IT видят свои шаги и не ждут, пока кто-то напомнит. Порядок при этом соблюдается сам.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Отдельные элементы такого решения на рынке уже есть. Чек-листы, курсы для новичков, кадровый электронный документооборот и системы контроля доступа работают давно. Новизна состоит не в отдельной функции, а в том, что сквозная оркестрация онбординга предлагается как тиражируемый продукт. В таблице 1 показано, какие категории продуктов закрывают части процесса и что остается незакрытым.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1. Покрытие процесса онбординга существующими категориями продуктов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335"/>
        <w:gridCol w:w="3334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Категория продуктов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0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Что закрывает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0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Чего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Платформы адаптации и корпоративного обучения (Websoft, Mirapolis, Motivity, Эквио)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0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Задачи и курсы для самого новичка, программы адаптации, проверка знаний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0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Задачи смежных подразделений, выдачу доступов, зависимости между задачами разных служб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0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HR-платформы с модулями адаптации (Поток, крупные HRM-решения, продукты 1С)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Кадровое оформление, ведение профиля сотрудника, отчетность по найму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Единый статус процесса для всех участников, автоматическое закрытие задач по событиям смежных систем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1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Системы кадрового электронного документооборота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Подписание трудового договора и приказов, ознакомление с локальными актами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Все, что лежит за пределами документооборота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1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Системы контроля доступа и системы управления ИТ-услугами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5" w:type="dxa"/>
            <w:vAlign w:val="center"/>
          </w:tcPr>
          <w:p w:rsidR="00000000" w:rsidDel="00000000" w:rsidP="00000000" w:rsidRDefault="00000000" w:rsidRPr="00000000" w14:paraId="0000101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Выдачу пропусков, создание учетных записей и прав доступа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334" w:type="dxa"/>
            <w:vAlign w:val="center"/>
          </w:tcPr>
          <w:p w:rsidR="00000000" w:rsidDel="00000000" w:rsidP="00000000" w:rsidRDefault="00000000" w:rsidRPr="00000000" w14:paraId="0000101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Связь с кадровыми событиями, видимость статуса для HR и для самого новичка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1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Ни одна из категорий не ведет процесс целиком. Там, где сквозной процесс все же построен, он реализован как внутренняя интеграция под конкретный ИТ-ландшафт компании. Такие решения не тиражируются, не поддерживаются вендором и теряются при смене команды разработки, поэтому на рынке программных продуктов они не представлены. Именно этот разрыв закрывает проект. Сравнение составлено по открытым описаниям продуктов перечисленных вендоров и по обзору российского рынка HR Tech [6].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Результатом для компании-пользователя является сокращение срока выхода нового сотрудника на рабочий режим, снижение нагрузки на HR и уменьшение числа увольнений в первые месяцы по причине плохой адаптации. В качестве целевого ориентира на первый год эксплуатации принято сокращение срока онбординга на 20-30% и снижение доли увольнений в первые три месяца на четверть относительно исходного уровня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B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2. Соответствие актуальным трендам Гартнера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опирается на два тренда из списка ключевых стратегических технологических трендов Гартнера на 2026 год [1].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Языковые модели для конкретных доменов (Domain-Specific Language Models)</w:t>
      </w:r>
    </w:p>
    <w:p w:rsidR="00000000" w:rsidDel="00000000" w:rsidP="00000000" w:rsidRDefault="00000000" w:rsidRPr="00000000" w14:paraId="0000101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«Синтезатор» и к горизонту внедрения «Сейчас», то есть 1-3 года [1]. Тренд означает переход от универсальных больших моделей к моделям, настроенным на данных конкретной предметной области или отдельной компании.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 нашем продукте тренд реализован в виде ИИ-ассистента нового сотрудника. Ассистент работает только на внутренних документах компании-пользователя, отвечает по ее регламентам и помогает HR собрать чек-лист под новую должность. На кривой зрелости технологий Гартнера технология Domain-Specific GenAI Models находится на подъеме у пика завышенных ожиданий, ожидаемый выход на плато продуктивности через 2-5 лет [2]. Это соответствует горизонту проекта, поскольку ассистент не является единственной функцией продукта и его развитие идет параллельно с основным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0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Конфиденциальные вычисления (Confidential Computing)</w:t>
      </w:r>
    </w:p>
    <w:p w:rsidR="00000000" w:rsidDel="00000000" w:rsidP="00000000" w:rsidRDefault="00000000" w:rsidRPr="00000000" w14:paraId="0000102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Гартнер относит этот тренд к роли «Архитектор» и к горизонту внедрения «Скоро», то есть 3-5 лет [1]. Тренд означает изоляцию обработки данных в защищенной аппаратной среде.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обрабатывает персональные данные сотрудников и сведения о выданных доступах, что подпадает под требования 152-ФЗ [3], а служба безопасности компании-пользователя отнесена нами к потенциальным блокерам внедрения. Горизонт тренда 3-5 лет означает, что закладывать его в стартовую архитектуру нельзя, иначе внедрение подорожает и продукт перестанет быть доступным для среднего бизнеса. Поэтому требование изоляции данных закрывается поэтапно.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 первом этапе используются организационные и инфраструктурные меры, то есть размещение в российском контуре, шифрование данных при хранении и передаче, разграничение прав и изоляция данных разных компаний-пользователей;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переход к обработке в доверенной аппаратной среде заложен в дорожную карту продукта на горизонте 3-5 лет, что совпадает с оценкой Гартнера.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Такая последовательность не удорожает внедрение на старте и при этом дает службе безопасности проверяемую техническую гарантию в перспективе.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6">
      <w:pPr>
        <w:spacing w:before="16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40425" cy="346207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0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7">
      <w:pPr>
        <w:spacing w:after="240" w:line="276" w:lineRule="auto"/>
        <w:jc w:val="center"/>
        <w:rPr/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Рисунок 1. Hype Cycle for the Future of Work, Gartner, по состоянию на июль 2026 года. Технология Domain-Specific GenAI Models, на которой построен ассистент нового сотрудника, находится на подъеме у пика завышенных ожиданий, ожидаемый выход на плато продуктивности через 2-5 лет.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8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3. Описание продукта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представляет собой отдельное программное обеспечение для систематизации и отслеживания процесса онбординга. При регистрации профиля нового сотрудника сотрудником HR система по его роли выдает всем участникам онбординга интерактивные чек-листы. Их состав зависит от роли участника.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A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подписывает документы и проходит инструктажи;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проводит кадровый документооборот и оформляет сотрудника в смежных системах;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сотрудник службы безопасности выдает пропуск и настраивает доступ к помещениям;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тимлид оформляет доступ к рабочим чатам и назначает наставника.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процент их выполнения и сроки, может отмечать выполненные. Новичок в свою очередь отслеживает статус получения доступов и знает, какие точки еще предстоит пройти, видит глобальный процент пройденного онбординга и может пройти квест по офису в первый 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Также внутри системы возможно пройти онлайн-обучение, необходимое для данной должности в процессе онбординга. Для полностью удаленных сотрудников предусмотрен отдельный сценарий, без получения пропуска и других видов физического доступа.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системы работает ИИ-ассистент нового сотрудника. Он отвечает на вопросы по внутренним документам конкретного работодателя, то есть по регламентам, инструкциям, положению о пропускном режиме и правилам оформления заявок. Ассистент работает только на документах компании-пользователя, загруженных при внедрении, и при ответе показывает, из какого документа взята информация. Если ответа в загруженных документах нет, ассистент сообщает об этом и передает вопрос ответственному сотруднику HR. Помимо ответов ассистент помогает HR собрать чек-лист под новую должность, предлагая набор задач на основе уже настроенных сценариев для похожих ролей.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Пошаговое описание работы системы</w:t>
      </w:r>
    </w:p>
    <w:p w:rsidR="00000000" w:rsidDel="00000000" w:rsidP="00000000" w:rsidRDefault="00000000" w:rsidRPr="00000000" w14:paraId="0000103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 заводит профиль нового сотрудника и указывает должность, подразделение, дату выхода и формат работы, то есть офис, гибрид или полностью удаленный режим;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разворачивает сценарий онбординга по роли и рассылает задачи новому сотруднику, HR, службе безопасности, ИТ-отделу и тимлиду;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каждый участник видит свою часть задач, сроки и процент выполнения, а ответственный за процесс видит общую картину;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5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часть задач закрывается автоматически по событиям смежных систем, таким как активация пропуска в системе контроля доступа, подписание документа в кадровом электронном документообороте или создание учетной записи в корпоративных сервисах;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новый сотрудник в первый день проходит квест по офису, получает доступ к обязательным курсам по своей должности и видит текущий статус своего онбординга;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после закрытия всех чек-листов система фиксирует фактический срок онбординга и собирает обратную связь от сотрудника и его руководителя;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накопленная статистика показывает шаги, на которых процесс задерживается чаще всего, и позволяет компании-пользователю скорректировать сценарий.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9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Внедрение, настройка и стоимость владения</w:t>
      </w:r>
    </w:p>
    <w:p w:rsidR="00000000" w:rsidDel="00000000" w:rsidP="00000000" w:rsidRDefault="00000000" w:rsidRPr="00000000" w14:paraId="0000103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Продукт требует настройки под процессы, документы и информационные системы конкретной компании. Это объективное ограничение любого решения такого класса, и оно учтено в архитектуре продукта следующим образом.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B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типовые сценарии онбординга поставляются в комплекте и настраиваются сотрудником HR без программирования;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готовые коннекторы закрывают системы, наиболее распространенные у среднего бизнеса, то есть кадровый учет на базе 1С, сервисы кадрового электронного документооборота, корпоративные мессенджеры и почтовые сервисы, типовые системы контроля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система работоспособна и без интеграций, в этом режиме задачи закрываются участниками вручную, а интеграции подключаются по мере готовности ИТ-службы;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E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пилот разворачивается на одном подразделении за 2-4 недели, что позволяет проверить ценность до полномасштабного внедрения.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F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Альтернативой покупке является собственная доработка уже имеющихся у компании систем. По нашей оценке такая доработка требует команды из 2-3 разработчиков на 4-6 месяцев. При полной стоимости одного разработчика 300-400 тыс. руб. в месяц только запуск обойдется в 2,4-7,2 млн руб., к которым добавляются постоянная поддержка и развитие. Подписка на продукт при годовой стоимости 300-400 тыс. руб. дает сопоставимую функциональность за 0,9-1,2 млн руб. за три года.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Из этого следует ограничение применимости. Для компаний с сильным собственным ИТ-подразделением и нетиповыми процессами собственная доработка остается более выгодной, поскольку у них уже есть команда, компетенции и полный контроль над ИТ-ландшафтом. Целевым сегментом продукта является средний бизнес, у которого таких ресурсов нет. Это ограничение учтено в разделе 6 при расчете доступного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1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4. Классификация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2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инновационного проекта</w:t>
      </w:r>
    </w:p>
    <w:p w:rsidR="00000000" w:rsidDel="00000000" w:rsidP="00000000" w:rsidRDefault="00000000" w:rsidRPr="00000000" w14:paraId="0000104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уровню научно-технической значимости проект является новаторским. Новой технологии он не создает. Чек-листы, системы дистанционного обучения и системы контроля доступа существуют по отдельности, но в единый процесс онбординга с общим статусом и зависимостями между задачами они не объединены. Новизна состоит в объединении нескольких существующих решений в одно и в смещении фокуса с кадрового оформления на управление процессом.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4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предметно-содержательной структуре проект является научно-техническим. Для компании-пользователя внедрение при этом становится проектом системного обновления предприятия, поскольку затрагивает регламенты HR, службы безопасности и ИТ-отдела.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типу проект одновременно технический и организационный. Техническая часть включает разработку системы и интеграционного слоя, организационная состоит в изменении процесса онбординга у компании-пользователя. Социальная составляющая выражена через качество опыта нового сотрудника и является вторичной.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результату проект коммерческий. Монетизация предполагает продажу лицензий и подписки компаниям.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характеру целей проект конечный. Результатом является готовый к использованию продукт для конечных пользователей, а не промежуточный этап более крупной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классу проект относится к монопроектам с возможностью развития до мультипроекта. Сейчас его выполняет одна команда. При масштабировании модули адаптации, обучения, интеграционного слоя и аналитики сроков онбординга могут выделиться в отдельные связанные проекты.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9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Классификация как ИТ-проекта</w:t>
      </w:r>
    </w:p>
    <w:p w:rsidR="00000000" w:rsidDel="00000000" w:rsidP="00000000" w:rsidRDefault="00000000" w:rsidRPr="00000000" w14:paraId="0000104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функциональному назначению проект относится к проектам по управлению персоналом.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стадии жизненного цикла проект находится на этапе оформления замысла и концепции.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продукта проект относится к программным продуктам.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D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глубине взаимного проникновения бизнеса заказчика и подрядчика проект представляет собой решение под ключ с элементами сервисной модели. Для компаний с большим числом интеграций формат смещается к совместному проекту, поскольку настройка автоматического закрытия задач требует участия их ИТ-отдела. Такие компании относятся к крупному бизнесу и не входят в целевой сегмент, обоснование приведено в разделе 6, поэтому основным форматом остается решение под ключ.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виду автоматизируемых процессов проект охватывает вспомогательные и управленческие процессы с элементами аналитических процессов, передачи данных и обеспечения безопасности. Онбординг не относится к основным процессам компании-пользователя, но требует обмена данными между корпоративными сервисами, накопления статистики по срокам и затрагивает управление доступами.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F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5. Внешние стейкхолдеры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Проект выполняется командой по собственной инициативе, продукт является тиражируемым. Заказчик, то есть сторона, которая заказывает и оплачивает разработку, в проекте отсутствует. Компании, которые проводят онбординг сотрудников, приобретают готовый продукт и поэтому относятся к категории конечных пользователей. Инициатор, команда проекта, руководитель проекта и инвесторы являются внутренними стейкхолдерами и в настоящем разделе не рассматриваются.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1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Влияние оценивается по тому, может ли стейкхолдер остановить проект или существенно изменить продукт. Высокое означает, что без него проект не состоится или теряет ключевую функциональность. Среднее означает влияние на условия и скорость без возможности заблокировать. Низкое означает косвенное влияние в отдельных случаях. По этому критерию в итоговый состав вошли только группы с высоким влиянием, остальные рассмотренные нами группы под критерий не подошли, обоснование приведено после таблицы.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2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2. Интересы и влияние внешних стейкхолдеров</w:t>
      </w:r>
      <w:r w:rsidDel="00000000" w:rsidR="00000000" w:rsidRPr="00000000">
        <w:rPr>
          <w:rtl w:val="0"/>
        </w:rPr>
      </w:r>
    </w:p>
    <w:tbl>
      <w:tblPr>
        <w:tblStyle w:val="Table1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90"/>
        <w:gridCol w:w="3772"/>
        <w:gridCol w:w="3413"/>
      </w:tblGrid>
      <w:tr>
        <w:trPr>
          <w:cantSplit w:val="1"/>
          <w:tblHeader w:val="1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3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Внешний стейкхолдер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4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Интересы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5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Влияние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Конечные пользователи, компании, которые проводят онбординг сотрудников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Сократить срок выхода нового сотрудника на рабочий режим, снять ручную нагрузку с HR, уменьшить долю увольнений в первые месяцы, сохранить контроль над выдачей доступов и обработкой персональных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Источник выручки, формируют требования к функционалу, принимают решение о покупке и о продлении подписки. Продление зависит в том числе от того, насколько продукт принят самими новыми сотрудниками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Партнеры и подрядчики, вендоры смежных систем и интеграторы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Расширить сценарии использования своих продуктов и получить выручку от совместных внедрений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Высокое. Автоматическое закрытие задач работает только при наличии открытых интерфейсов у кадрового учета, кадрового электронного документооборота и систем контроля доступа. Без них ключевая функциональность вырождается в ручные отметки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290" w:type="dxa"/>
            <w:vAlign w:val="center"/>
          </w:tcPr>
          <w:p w:rsidR="00000000" w:rsidDel="00000000" w:rsidP="00000000" w:rsidRDefault="00000000" w:rsidRPr="00000000" w14:paraId="0000105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Государство и регуляторы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772" w:type="dxa"/>
            <w:vAlign w:val="center"/>
          </w:tcPr>
          <w:p w:rsidR="00000000" w:rsidDel="00000000" w:rsidP="00000000" w:rsidRDefault="00000000" w:rsidRPr="00000000" w14:paraId="0000105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Соблюдение 152-ФЗ при обработке персональных данных сотрудников, соблюдение статей 22.1-22.3 Трудового кодекса об электронном кадровом документообороте [4], наличие согласий работников на обработку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413" w:type="dxa"/>
            <w:vAlign w:val="center"/>
          </w:tcPr>
          <w:p w:rsidR="00000000" w:rsidDel="00000000" w:rsidP="00000000" w:rsidRDefault="00000000" w:rsidRPr="00000000" w14:paraId="0000105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Высокое косвенное. Формируют рамки, несоблюдение закрывает корпоративный сегмент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5F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Внутри компании-пользователя решение принимается несколькими ролями, интересы которых различаются.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HR-директор и служба персонала выступают инициатором покупки, их интерес состоит в сокращении ручной работы и срока адаптации;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ИТ-служба отвечает за интеграции и оценивает нагрузку на себя, ее интерес состоит в минимальном объеме доработок;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служба безопасности контролирует выдачу доступов и обработку персональных данных и является наиболее вероятным блокером внедрения;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финансовая функция утверждает бюджет и сравнивает стоимость подписки с затратами на собственную доработку.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Конкуренты в состав стейкхолдеров не включены. Они не участвуют в проекте, не могут его остановить и не меняют продукт напрямую, а влияют только на планку ожиданий рынка. Их анализ вынесен в раздел 6 и используется при расчете достижимого объема рынка.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Новые сотрудники компаний-пользователей также не выделены в отдельного стейкхолдера. Они не принимают решения о покупке и взаимодействуют с продуктом внутри контура компании-пользователя, поэтому их отношение к продукту учтено как фактор продления подписки в строке конечных пользователей. По этой же причине отдельно не выделены профсоюзы и представители работников, их требования к объему собираемых данных реализуются через законодательство о персональных данных и учтены в строке государства и регуляторов.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7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6. Анализ емкости инновационного рынка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выполнен по методологии PAM/TAM/SAM/SOM, страна запуска Россия. За базу взят рынок программных решений, за бюджет которого конкурирует продукт. Исходные данные для расчета приведены в таблице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9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3. Исходные данные для расчета емкости рынка</w:t>
      </w:r>
      <w:r w:rsidDel="00000000" w:rsidR="00000000" w:rsidRPr="00000000">
        <w:rPr>
          <w:rtl w:val="0"/>
        </w:rPr>
      </w:r>
    </w:p>
    <w:tbl>
      <w:tblPr>
        <w:tblStyle w:val="Table2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6"/>
        <w:gridCol w:w="3929"/>
        <w:gridCol w:w="2740"/>
      </w:tblGrid>
      <w:tr>
        <w:trPr>
          <w:cantSplit w:val="1"/>
          <w:tblHeader w:val="1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Показатель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C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6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6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94 млрд руб., рост 9,32%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6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HRtech России, 2024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85,8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комплексных HRM/HCM-решений,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9,66 млрд руб., рост 19,9%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кадрового ЭДО,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5,3 млрд руб., рост 40,7%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 рекрутмента,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57,6 млрд руб., рост 2,71%, более 61% рынка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Smart Ranking [5]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Рынок HR Tech в узком определении, без работных площадок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7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42 млрд руб. в 2025, прогноз 45,2 млрд руб. на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7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7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Число уникальных HR Tech-продуктов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около 220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Рексофт Консалтинг [6]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21 тыс. на март 2025, Москва 24%, Санкт-Петербург 8%, Московская область 6%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Минэкономразвития [7]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Действующие юридические лица в России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3,19 млн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СПАРК-Интерфакс [8]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8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Проникновение кадрового ЭДО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9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более 20% предприятий, 6 млн работников подписывают документы удаленно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A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HRlink [9]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B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Мировой рынок ПО для онбординга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2,11 млрд долл. в 2025, 2,53 млрд долл. в 2026, среднегодовой рост 19,7% до 2029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8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The Business Research Company [10]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2806" w:type="dxa"/>
            <w:vAlign w:val="center"/>
          </w:tcPr>
          <w:p w:rsidR="00000000" w:rsidDel="00000000" w:rsidP="00000000" w:rsidRDefault="00000000" w:rsidRPr="00000000" w14:paraId="0000108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Средний годовой чек платформенного HR-решения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3929" w:type="dxa"/>
            <w:vAlign w:val="center"/>
          </w:tcPr>
          <w:p w:rsidR="00000000" w:rsidDel="00000000" w:rsidP="00000000" w:rsidRDefault="00000000" w:rsidRPr="00000000" w14:paraId="0000108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от 300 тыс. до 1,5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740" w:type="dxa"/>
            <w:vAlign w:val="center"/>
          </w:tcPr>
          <w:p w:rsidR="00000000" w:rsidDel="00000000" w:rsidP="00000000" w:rsidRDefault="00000000" w:rsidRPr="00000000" w14:paraId="0000109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VC.ru [12]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91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Оценки Smart Ranking и Рексофт Консалтинг расходятся из-за разных методологий. Smart Ranking считает совокупную выручку HRtech-компаний, включая выручку работных площадок. Рексофт Консалтинг считает рынок программных продуктов без работных площадок. Далее используется оценка Smart Ranking, поскольку она содержит разбивку по сегментам.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 темпам роста кадрового электронного документооборота источники также расходятся. Smart Ranking оценивает рост сегмента в 40,7% [5], HRlink сообщает о росте на 80% [9]. Smart Ranking считает выручку всех вендоров сегмента, HRlink приводит оценку по собственной клиентской базе и охватывает более узкий круг компаний. В расчете объема используется оценка Smart Ranking, данные HRlink используются только как показатель проникновения кадрового ЭДО.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4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6.1. PAM, потенциально доступный объем рынка</w:t>
      </w:r>
    </w:p>
    <w:p w:rsidR="00000000" w:rsidDel="00000000" w:rsidP="00000000" w:rsidRDefault="00000000" w:rsidRPr="00000000" w14:paraId="0000109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равен сумме сегментов российского рынка HRtech, в бюджете которых оплачивается функциональность онбординга. Это верхняя граница при условии, что продукт занял бы всю функциональность этих сегментов целиком.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6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комплексные HRM/HCM-решения, 9,66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7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кадровый электронный документооборот, 5,3 млрд руб. [5];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8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и инструктажи, 1-2 млрд руб. по нашей оценке.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Оценка последнего сегмента выполнена так. За вычетом рекрутмента (57,6 млрд руб.), комплексных решений (9,66 млрд руб.) и кадрового ЭДО (5,3 млрд руб.) на прочие направления HRtech приходится 21,4 млрд руб. Корпоративное обучение занимает порядка трети этого остатка, то есть около 7 млрд руб., а обязательные вводные курсы и инструктажи составляют, по нашей оценке, 15-25% его объема, что дает 1,05-1,75 млрд руб. В расчете используется округленный диапазон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PAM ≈ 16-17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Весь российский рынок HRtech объемом 94 млрд руб. в пирамиду не включен. Более 61% этого объема, то есть 57,6 млрд руб., приходится на рекрутмент [5], а продукт не закрывает подбор персонала и не конкурирует за эти бюджеты. Цифра 94 млрд руб. используется только как характеристика масштаба отрасли.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C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Полученная величина является верхней границей еще и потому, что комплексные HRM/HCM-решения часто включают модули кадрового электронного документооборота, поэтому объемы двух сегментов могут частично пересекаться.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D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6.2. TAM, общий объем целевого рынка</w:t>
      </w:r>
    </w:p>
    <w:p w:rsidR="00000000" w:rsidDel="00000000" w:rsidP="00000000" w:rsidRDefault="00000000" w:rsidRPr="00000000" w14:paraId="0000109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представляет собой ту часть перечисленных сегментов, которая приходится именно на прием и адаптацию сотрудника, а не на весь функционал соответствующих продуктов. Приняты следующие доли.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F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комплексных HRM/HCM-решениях на модули найма и адаптации приходится, по нашей оценке, 15-25% стоимости, что дает 1,45-2,42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0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в кадровом ЭДО на документы, оформляемые при приеме сотрудника, приходится, по нашей оценке, 30-40% объема, что дает 1,59-2,12 млрд руб.;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обязательное вводное обучение относится к онбордингу целиком, 1-2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2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≈ 4-6,3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3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Мировой рынок программного обеспечения для онбординга составляет 2,11 млрд долл. в 2025 году [10], что при принятом в расчете курсе 85 руб. за доллар дает около 180 млрд руб. Доля России в мировых расходах на программное обеспечение принята в расчете равной 1-2%, это наше допущение. Оно дает 1,8-3,6 млрд руб. Результат ниже оценки снизу. Расхождение объясняется тем, что мировая оценка учитывает только специализированные продукты для онбординга, тогда как в России те же задачи в значительной части оплачиваются внутри более крупных HRM-решений и систем кадрового ЭДО. Для дальнейшего расчета используется нижняя часть диапазона, TAM ≈ 4-5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4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6.3. SAM, доступный объем обслуживаемого рынка</w:t>
      </w:r>
    </w:p>
    <w:p w:rsidR="00000000" w:rsidDel="00000000" w:rsidP="00000000" w:rsidRDefault="00000000" w:rsidRPr="00000000" w14:paraId="000010A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TAM сужается по двум отсекающим ограничениям.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Размер компании. Автоматизация окупается там, где найм регулярный и в процессе участвуют минимум три подразделения. Нижняя граница проходит по компаниям примерно от 100 сотрудников. При штате 100-250 человек и текучести офисного персонала 16-25% [11] компания нанимает примерно от 16 до 60 человек в год, и при годовой стоимости подписки 300-400 тыс. руб. затраты на одного нанятого составляют от 5 до 25 тыс. руб., что сопоставимо со стоимостью нескольких часов работы HR и руководителя. Верхнюю границу задает крупный бизнес, который в расчет не включается. Крупные компании располагают собственными ИТ-подразделениями, и, как показано в разделе 3, для них доработка имеющихся систем выгоднее покупки тиражируемого продукта. Из 3,19 млн действующих юридических лиц [8] к средним компаниям относится 21 тыс. [7], эта величина и взята за базу расчета.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7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Цифровая готовность. Наличие кадрового электронного документооборота у компании обязательно, без него автоматическое закрытие задач работать не будет. Кадровый ЭДО полностью или частично внедрен более чем у 20% предприятий [9], при этом у среднего и крупного бизнеса проникновение выше, чем в среднем по всем предприятиям, поэтому для среднего бизнеса принимается 25%.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8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Расчет снизу. 21 тыс. компаний, умноженные на 25%, дают 5,25 тыс. целевых компаний. Средний годовой чек платформенного HR-решения по опубликованным тарифам российских вендоров составляет от 300 тыс. до 1,5 млн руб. [12], для компаний со штатом 100-250 человек используется нижняя часть диапазона, 300-400 тыс. руб. Получаем 1,58-2,1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Проверка сверху. На средний бизнес с цифровым HR-контуром приходится, по нашей оценке, 30-40% бюджета на прием и адаптацию, что от TAM 4-5 млрд руб. дает 1,2-2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A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Обе оценки сходятся, SAM ≈ 1,5-2 млрд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B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Еще два фактора учтены не как отсечка, а как приоритет при выходе на рынок, поскольку они не уменьшают число потенциальных клиентов, а определяют очередность работы с 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C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География. Среди средних компаний 24% приходится на Москву, 8% на Санкт-Петербург и 6% на Московскую область [7], то есть почти 40% сосредоточено в трех регионах, что снижает стоимость продаж на старте;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D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Отрасли. Приоритет у отраслей с высокой текучестью. По данным исследования Antal Talent за 2025 год, охватившего 194 компании, текучесть офисного персонала в розничной торговле составляет 25%, в банках и логистике по 16%, наиболее высокие показатели в HoReCa, рознице, ИТ и логистике [11].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E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Крупный бизнес в SAM не включен и рассматривается как возможный рост за пределами базового расчета. Формат работы с ним смещается от решения под ключ к совместному проекту, что отмечено в разделе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F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6.4. SOM, достижимый объем обслуживаемого рынка</w:t>
      </w:r>
    </w:p>
    <w:p w:rsidR="00000000" w:rsidDel="00000000" w:rsidP="00000000" w:rsidRDefault="00000000" w:rsidRPr="00000000" w14:paraId="000010B0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SOM рассчитан снизу, от пропускной способности продаж, а не как доля от SAM, поскольку на старте ограничением является не размер рынка, а число сделок, которые команда способна закрыть.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1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Длинный цикл B2B-продажи. Продукт требует интеграций и согласования с ИТ-отделом и службой безопасности компании-пользователя, цикл сделки составляет 6-9 месяцев;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2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Ограниченный ресурс продаж. На стадии концепции продажи ведет сама команда проекта, реалистично 1-2 человека, занятых продажами;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3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Конкуренция. На российском рынке HR Tech около 220 уникальных продуктов [6]. В нише адаптации работают Websoft, Mirapolis, Motivity, Эквио и Поток, базовые функции онбординга встроены в крупные HRM-платформы и в продукты 1С;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4">
      <w:pPr>
        <w:spacing w:after="60" w:line="276" w:lineRule="auto"/>
        <w:ind w:left="567" w:hanging="283"/>
        <w:jc w:val="both"/>
        <w:rPr/>
      </w:pPr>
      <w:r w:rsidDel="00000000" w:rsidR="00000000" w:rsidRPr="00000000">
        <w:rPr>
          <w:color w:val="000000"/>
          <w:rtl w:val="0"/>
        </w:rPr>
        <w:t xml:space="preserve">•</w:t>
        <w:tab/>
      </w:r>
      <w:r w:rsidDel="00000000" w:rsidR="00000000" w:rsidRPr="00000000">
        <w:rPr>
          <w:color w:val="000000"/>
          <w:rtl w:val="0"/>
        </w:rPr>
        <w:t xml:space="preserve">Замедление рынка. Рост снизился до 9,32% в 2025 году против двузначных темпов прошлых лет [5], а бюджеты компаний ограничены.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5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При этих ограничениях реалистично закрыть 15-30 контрактов за первые два года. При среднем чеке 300-400 тыс. руб. это дает SOM ≈ 5-12 млн руб.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6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Результат согласуется со структурой рынка. Половина вендоров HR Tech зарабатывает менее 55 млн руб. в год, четверть менее 5 млн руб. [6], поэтому выручка нового игрока в первые два года измеряется единицами и десятками миллионов рублей. В долях от SAM полученный результат составляет 0,25-0,8%, что соответствует типичной позиции продукта без бренда и с ограниченным маркетинговым бюджетом.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7">
      <w:pPr>
        <w:pStyle w:val="Heading3"/>
        <w:spacing w:after="120" w:before="240" w:line="276" w:lineRule="auto"/>
        <w:rPr/>
      </w:pPr>
      <w:r w:rsidDel="00000000" w:rsidR="00000000" w:rsidRPr="00000000">
        <w:rPr>
          <w:rtl w:val="0"/>
        </w:rPr>
        <w:t xml:space="preserve">Итоговая модель</w:t>
      </w:r>
    </w:p>
    <w:p w:rsidR="00000000" w:rsidDel="00000000" w:rsidP="00000000" w:rsidRDefault="00000000" w:rsidRPr="00000000" w14:paraId="000010B8">
      <w:pPr>
        <w:spacing w:after="60" w:before="120" w:line="276" w:lineRule="auto"/>
        <w:rPr/>
      </w:pPr>
      <w:r w:rsidDel="00000000" w:rsidR="00000000" w:rsidRPr="00000000">
        <w:rPr>
          <w:i w:val="1"/>
          <w:iCs w:val="1"/>
          <w:color w:val="000000"/>
          <w:sz w:val="20"/>
          <w:szCs w:val="20"/>
          <w:rtl w:val="0"/>
        </w:rPr>
        <w:t xml:space="preserve">Таблица 4. Итоговая модель емкости рынка</w:t>
      </w:r>
      <w:r w:rsidDel="00000000" w:rsidR="00000000" w:rsidRPr="00000000">
        <w:rPr>
          <w:rtl w:val="0"/>
        </w:rPr>
      </w:r>
    </w:p>
    <w:tbl>
      <w:tblPr>
        <w:tblStyle w:val="Table3"/>
        <w:tblW w:w="94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97"/>
        <w:gridCol w:w="2432"/>
        <w:gridCol w:w="5546"/>
      </w:tblGrid>
      <w:tr>
        <w:trPr>
          <w:cantSplit w:val="1"/>
          <w:tblHeader w:val="1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9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BA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Объем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BB">
            <w:pPr>
              <w:spacing w:after="40" w:before="4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Ключевые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C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BD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16-17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BE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Сегменты российского HRtech, в которых оплачивается функциональность онбординга. Рекрутмент объемом 57,6 млрд руб. исключен, продукт его не закрывает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BF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TAM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0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4-5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1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Только доля этих сегментов, приходящаяся на прием и адаптацию сотрудника, а не весь функционал HRM-решений и кадрового ЭДО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C2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3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1,5-2 млрд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4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Средние компании от 100 сотрудников с внедренным кадровым ЭДО. Крупный бизнес исключен, он закрывает задачу собственной доработкой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W w:w="1497" w:type="dxa"/>
            <w:vAlign w:val="center"/>
          </w:tcPr>
          <w:p w:rsidR="00000000" w:rsidDel="00000000" w:rsidP="00000000" w:rsidRDefault="00000000" w:rsidRPr="00000000" w14:paraId="000010C5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2432" w:type="dxa"/>
            <w:vAlign w:val="center"/>
          </w:tcPr>
          <w:p w:rsidR="00000000" w:rsidDel="00000000" w:rsidP="00000000" w:rsidRDefault="00000000" w:rsidRPr="00000000" w14:paraId="000010C6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5-12 млн руб.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W w:w="5546" w:type="dxa"/>
            <w:vAlign w:val="center"/>
          </w:tcPr>
          <w:p w:rsidR="00000000" w:rsidDel="00000000" w:rsidP="00000000" w:rsidRDefault="00000000" w:rsidRPr="00000000" w14:paraId="000010C7">
            <w:pPr>
              <w:spacing w:after="40" w:before="40" w:line="240" w:lineRule="auto"/>
              <w:rPr/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Пропускная способность продаж, цикл сделки 6-9 месяцев, около 220 конкурирующих продуктов, отсутствие бренда и маркетингового бюджета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10C8">
      <w:pPr>
        <w:spacing w:after="12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9">
      <w:pP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Потребность в продукте подтверждается независимыми исследованиями. По опросу Русской Школы Управления среди 1094 респондентов, 72% работодателей сталкивались с увольнением новых сотрудников в первые три месяца работы, из них 11% сталкиваются с этим часто [13]. По совместному исследованию hh.ru и Dream Job, 64% россиян хотя бы раз увольнялись с новой работы в течение первых шести месяцев, и каждый четвертый назвал причиной отсутствие адаптации со стороны руководителя [14]. При этом 89% компаний ожидают роста числа цифровых HR-решений в 2026 году [13].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A">
      <w:pPr>
        <w:keepNext w:val="1"/>
        <w:spacing w:before="360" w:after="80" w:line="276" w:lineRule="auto"/>
        <w:rPr/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Список источников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B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1. Gartner. Top Strategic Technology Trends for 2026. URL: https://www.gartner.com/en/articles/top-technology-trends-2026 (дата обращения: 21.09.2026).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C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2. Gartner. Hype Cycle for the Future of Work, 2026. Gartner Identifies Four Shifts Shaping the Future of Work. URL: https://www.gartner.com/en/newsroom/press-releases/2026-09-09-gartner-identifies-four-shifts-shaping-the-future-of-work (дата обращения: 14.09.2026).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D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3. Федеральный закон от 27.07.2006 № 152-ФЗ «О персональных данных».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E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4. Трудовой кодекс Российской Федерации, статьи 22.1-22.3 об электронном документообороте в сфере трудовых отношений.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F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5. Smart Ranking. Оптимизация, автоматизация, экосистемы: как компании на рынке HRtech завершили 2025 год. URL: https://smartranking.ru/ru/analytics/hrtech/optimizaciya-avtomatizaciya-ekosistemy-kak-kompanii-na-rynke-hrtech-zavershili-2025-god/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0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6. Рексофт Консалтинг: рынок HR Tech может вырасти в 2026 году до 45 млрд рублей. Новости ИТ-канала. URL: https://www.novostiitkanala.ru/news/detail.php?ID=198065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1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7. Минэкономразвития России. Количество средних компаний в России достигло рекордного показателя 21 тыс. URL: https://www.economy.gov.ru/material/news/kolichestvo_srednih_kompaniy_v_rossii_dostiglo_rekordnogo_pokazatelya_21_tys.html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2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8. СПАРК-Интерфакс. Статистика компаний и организаций России. URL: https://spark-interfax.ru/statistics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3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9. HRlink: в 2025 году рынок кадрового ЭДО вырос на 80%, превысив 5 млрд рублей. CNews. URL: https://www.cnews.ru/news/line/2026-01-15_hrlink_v_2025_godu_rynok_kadrovogo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4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10. The Business Research Company. Employee Onboarding Software Global Market Report. URL: https://www.thebusinessresearchcompany.com/report/employee-onboarding-software-global-market-report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5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11. Antal Talent. Текучесть персонала в компаниях в России по итогам 2025 года. URL: https://antaltalent.ru/news/tekuchest-personala-v-kompaniyah-v-rossii-po-itogam-2025-goda/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6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12. HRM-системы управления персоналом в 2026: топ-10 российских платформ, сравнение цен и функций. VC.ru. URL: https://vc.ru/hr/2767746-hrm-sistemy-upravleniya-personalom-2026-top-10-platform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7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13. Русская Школа Управления: больше половины работодателей приукрашивают вакансии, 72% теряют новичков в первые три месяца. CNews. URL: https://www.cnews.ru/news/line/2026-08-27_bolshe_poloviny_rabotodatelej (дата обращения: 13.09.2026).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8">
      <w:pPr>
        <w:spacing w:after="80" w:line="276" w:lineRule="auto"/>
        <w:rPr/>
      </w:pPr>
      <w:r w:rsidDel="00000000" w:rsidR="00000000" w:rsidRPr="00000000">
        <w:rPr>
          <w:color w:val="000000"/>
          <w:rtl w:val="0"/>
        </w:rPr>
        <w:t xml:space="preserve">14. hh.ru и Dream Job: 64% россиян хотя бы раз уходили с новой работы в первые полгода. CNews. URL: https://www.cnews.ru/news/line/2026-07-15_64_rossiyan_hotya_by_raz_uhodili (дата обращения: 13.09.2026).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7">
    <w:name w:val="heading 7"/>
    <w:link w:val="70"/>
    <w:uiPriority w:val="9"/>
    <w:semiHidden w:val="1"/>
    <w:unhideWhenUsed w:val="1"/>
    <w:qFormat w:val="1"/>
    <w:rsid w:val="00682CF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8">
    <w:name w:val="heading 8"/>
    <w:link w:val="8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9">
    <w:name w:val="heading 9"/>
    <w:link w:val="90"/>
    <w:uiPriority w:val="9"/>
    <w:semiHidden w:val="1"/>
    <w:unhideWhenUsed w:val="1"/>
    <w:qFormat w:val="1"/>
    <w:rsid w:val="00682CF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10" w:customStyle="1">
    <w:name w:val="Заголовок 1 Знак"/>
    <w:basedOn w:val="a0"/>
    <w:uiPriority w:val="9"/>
    <w:rsid w:val="00682CF2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20" w:customStyle="1">
    <w:name w:val="Заголовок 2 Знак"/>
    <w:basedOn w:val="a0"/>
    <w:uiPriority w:val="9"/>
    <w:semiHidden w:val="1"/>
    <w:rsid w:val="00682CF2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30" w:customStyle="1">
    <w:name w:val="Заголовок 3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40" w:customStyle="1">
    <w:name w:val="Заголовок 4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50" w:customStyle="1">
    <w:name w:val="Заголовок 5 Знак"/>
    <w:basedOn w:val="a0"/>
    <w:uiPriority w:val="9"/>
    <w:semiHidden w:val="1"/>
    <w:rsid w:val="00682CF2"/>
    <w:rPr>
      <w:rFonts w:cstheme="majorBidi" w:eastAsiaTheme="majorEastAsia"/>
      <w:color w:val="0f4761" w:themeColor="accent1" w:themeShade="0000BF"/>
    </w:rPr>
  </w:style>
  <w:style w:type="character" w:styleId="60" w:customStyle="1">
    <w:name w:val="Заголовок 6 Знак"/>
    <w:basedOn w:val="a0"/>
    <w:uiPriority w:val="9"/>
    <w:semiHidden w:val="1"/>
    <w:rsid w:val="00682CF2"/>
    <w:rPr>
      <w:rFonts w:cstheme="majorBidi" w:eastAsiaTheme="majorEastAsia"/>
      <w:i w:val="1"/>
      <w:iCs w:val="1"/>
      <w:color w:val="595959" w:themeColor="text1" w:themeTint="0000A6"/>
    </w:rPr>
  </w:style>
  <w:style w:type="character" w:styleId="70" w:customStyle="1">
    <w:name w:val="Заголовок 7 Знак"/>
    <w:basedOn w:val="a0"/>
    <w:link w:val="7"/>
    <w:uiPriority w:val="9"/>
    <w:semiHidden w:val="1"/>
    <w:rsid w:val="00682CF2"/>
    <w:rPr>
      <w:rFonts w:cstheme="majorBidi" w:eastAsiaTheme="majorEastAsia"/>
      <w:color w:val="595959" w:themeColor="text1" w:themeTint="0000A6"/>
    </w:rPr>
  </w:style>
  <w:style w:type="character" w:styleId="80" w:customStyle="1">
    <w:name w:val="Заголовок 8 Знак"/>
    <w:basedOn w:val="a0"/>
    <w:link w:val="8"/>
    <w:uiPriority w:val="9"/>
    <w:semiHidden w:val="1"/>
    <w:rsid w:val="00682CF2"/>
    <w:rPr>
      <w:rFonts w:cstheme="majorBidi" w:eastAsiaTheme="majorEastAsia"/>
      <w:i w:val="1"/>
      <w:iCs w:val="1"/>
      <w:color w:val="272727" w:themeColor="text1" w:themeTint="0000D8"/>
    </w:rPr>
  </w:style>
  <w:style w:type="character" w:styleId="90" w:customStyle="1">
    <w:name w:val="Заголовок 9 Знак"/>
    <w:basedOn w:val="a0"/>
    <w:link w:val="9"/>
    <w:uiPriority w:val="9"/>
    <w:semiHidden w:val="1"/>
    <w:rsid w:val="00682CF2"/>
    <w:rPr>
      <w:rFonts w:cstheme="majorBidi" w:eastAsiaTheme="majorEastAsia"/>
      <w:color w:val="272727" w:themeColor="text1" w:themeTint="0000D8"/>
    </w:rPr>
  </w:style>
  <w:style w:type="character" w:styleId="a4" w:customStyle="1">
    <w:name w:val="Заголовок Знак"/>
    <w:basedOn w:val="a0"/>
    <w:uiPriority w:val="10"/>
    <w:rsid w:val="00682CF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a5" w:customStyle="1">
    <w:name w:val="Подзаголовок Знак"/>
    <w:basedOn w:val="a0"/>
    <w:uiPriority w:val="11"/>
    <w:rsid w:val="00682CF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21">
    <w:name w:val="Quote"/>
    <w:link w:val="22"/>
    <w:uiPriority w:val="29"/>
    <w:qFormat w:val="1"/>
    <w:rsid w:val="00682CF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22" w:customStyle="1">
    <w:name w:val="Цитата 2 Знак"/>
    <w:basedOn w:val="a0"/>
    <w:link w:val="21"/>
    <w:uiPriority w:val="29"/>
    <w:rsid w:val="00682CF2"/>
    <w:rPr>
      <w:i w:val="1"/>
      <w:iCs w:val="1"/>
      <w:color w:val="404040" w:themeColor="text1" w:themeTint="0000BF"/>
    </w:rPr>
  </w:style>
  <w:style w:type="paragraph" w:styleId="a6">
    <w:name w:val="List Paragraph"/>
    <w:uiPriority w:val="34"/>
    <w:qFormat w:val="1"/>
    <w:rsid w:val="00682CF2"/>
    <w:pPr>
      <w:ind w:left="720"/>
      <w:contextualSpacing w:val="1"/>
    </w:pPr>
  </w:style>
  <w:style w:type="character" w:styleId="a7">
    <w:name w:val="Intense Emphasis"/>
    <w:basedOn w:val="a0"/>
    <w:uiPriority w:val="21"/>
    <w:qFormat w:val="1"/>
    <w:rsid w:val="00682CF2"/>
    <w:rPr>
      <w:i w:val="1"/>
      <w:iCs w:val="1"/>
      <w:color w:val="0f4761" w:themeColor="accent1" w:themeShade="0000BF"/>
    </w:rPr>
  </w:style>
  <w:style w:type="paragraph" w:styleId="a8">
    <w:name w:val="Intense Quote"/>
    <w:link w:val="a9"/>
    <w:uiPriority w:val="30"/>
    <w:qFormat w:val="1"/>
    <w:rsid w:val="00682CF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a9" w:customStyle="1">
    <w:name w:val="Выделенная цитата Знак"/>
    <w:basedOn w:val="a0"/>
    <w:link w:val="a8"/>
    <w:uiPriority w:val="30"/>
    <w:rsid w:val="00682CF2"/>
    <w:rPr>
      <w:i w:val="1"/>
      <w:iCs w:val="1"/>
      <w:color w:val="0f4761" w:themeColor="accent1" w:themeShade="0000BF"/>
    </w:rPr>
  </w:style>
  <w:style w:type="character" w:styleId="aa">
    <w:name w:val="Intense Reference"/>
    <w:basedOn w:val="a0"/>
    <w:uiPriority w:val="32"/>
    <w:qFormat w:val="1"/>
    <w:rsid w:val="00682CF2"/>
    <w:rPr>
      <w:b w:val="1"/>
      <w:bCs w:val="1"/>
      <w:smallCaps w:val="1"/>
      <w:color w:val="0f4761" w:themeColor="accent1" w:themeShade="0000BF"/>
      <w:spacing w:val="5"/>
    </w:rPr>
  </w:style>
  <w:style w:type="paragraph" w:styleId="ac">
    <w:name w:val="Normal (Web)"/>
    <w:basedOn w:val="a"/>
    <w:uiPriority w:val="99"/>
    <w:semiHidden w:val="1"/>
    <w:unhideWhenUsed w:val="1"/>
    <w:rsid w:val="00113825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val="ru-RU"/>
    </w:rPr>
  </w:style>
  <w:style w:type="character" w:styleId="ad">
    <w:name w:val="Strong"/>
    <w:basedOn w:val="a0"/>
    <w:uiPriority w:val="22"/>
    <w:qFormat w:val="1"/>
    <w:rsid w:val="00113825"/>
    <w:rPr>
      <w:b w:val="1"/>
      <w:bCs w:val="1"/>
    </w:rPr>
  </w:style>
  <w:style w:type="character" w:styleId="ae">
    <w:name w:val="Emphasis"/>
    <w:basedOn w:val="a0"/>
    <w:uiPriority w:val="20"/>
    <w:qFormat w:val="1"/>
    <w:rsid w:val="00113825"/>
    <w:rPr>
      <w:i w:val="1"/>
      <w:iCs w:val="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rCyRiqyo5LQtSEjsbHheNZ0fBQ==">CgMxLjAaJwoBMBIiCiAIBCocCgtBQUFDSE03aE4yVRAIGgtBQUFDSE03aE4yVRonCgExEiIKIAgEKhwKC0FBQUNITTdoTjJjEAgaC0FBQUNITTdoTjJjGicKATISIgogCAQqHAoLQUFBQ0hNN2hOMnMQCBoLQUFBQ0hNN2hOMnMaJwoBMxIiCiAIBCocCgtBQUFDSE03aE4ycxAIGgtBQUFDSE03aE4ycxonCgE0EiIKIAgEKhwKC0FBQUNITTdoTjJvEAgaC0FBQUNITTdoTjJvGicKATUSIgogCAQqHAoLQUFBQ0hNN2hOMm8QCBoLQUFBQ0RIbW51RDgaJwoBNhIiCiAIBCocCgtBQUFDSE03aE4ybxAIGgtBQUFDREhtbnVFQRonCgE3EiIKIAgEKhwKC0FBQUNITTdoTjIwEAgaC0FBQUNITTdoTjIwGicKATgSIgogCAQqHAoLQUFBQ0hNN2hOMjQQCBoLQUFBQ0hNN2hOMjQaJwoBORIiCiAIBCocCgtBQUFDSE03aE4zQRAIGgtBQUFDSE03aE4zQSK1BQoLQUFBQ0hNN2hOMm8SgwUKC0FBQUNITTdoTjJvEgtBQUFDSE03aE4ybxpBCgl0ZXh0L2h0bWwSNNC60L7QvdC60YPRgNC10L3RgtGLIC0g0L3QtSDRgdGC0LXQudC60YXQvtC70LTQtdGA0YsiQgoKdGV4dC9wbGFpbhI00LrQvtC90LrRg9GA0LXQvdGC0YsgLSDQvdC1INGB0YLQtdC50LrRhdC+0LvQtNC10YDRiyobIhUxMTc0NjAyNDI5NDU4OTkwNzM1NDIoADgAMJK8hYGLNDjUkcSFizRClwEKC0FBQUNESG1udUQ4EgtBQUFDSE03aE4ybxoNCgl0ZXh0L2h0bWwSACIOCgp0ZXh0L3BsYWluEgAqGyIVMTA3MDE1MzQxNDc2MDc1NzY5NTM4KAA4ADCS88OFizQ4kvPDhYs0UABaIGMyOWRjNDcxMWU0MzUxNWMxZjA1ZGU0NmVjZTgxYjE0cgIgAHgAmgEGCAAQABgAQpcBCgtBQUFDREhtbnVFQRILQUFBQ0hNN2hOMm8aDQoJdGV4dC9odG1sEgAiDgoKdGV4dC9wbGFpbhIAKhsiFTEwNzAxNTM0MTQ3NjA3NTc2OTUzOCgAOAAw1JHEhYs0ONSRxIWLNFABWiA1Y2M1NjljMTAwNmM0NjMwNzdmOTUyYTc2NGYzZWQ3OXICIAB4AJoBBggAEAAYAEoiCgp0ZXh0L3BsYWluEhTQmtC+0L3QutGD0YDQtdC90YLRi1oMam4yMnBhNWpzYXR6cgIgAHgAmgEGCAAQABgAqgE2EjTQutC+0L3QutGD0YDQtdC90YLRiyAtINC90LUg0YHRgtC10LnQutGF0L7Qu9C00LXRgNGLsAEAuAEAyAEAGJK8hYGLNCDUkcSFizQwAEIQa2l4LjN4enduZTl5czltZCLCFQoLQUFBQ0hNN2hOMnMSkBUKC0FBQUNITTdoTjJzEgtBQUFDSE03aE4ycxrMBgoJdGV4dC9odG1sEr4G0YHQvNC+0YLRgNC40YLQtSwg0LfQsNC60LDQt9GH0LjQuiAtINGN0YLQviDRgtC+0YIsINC60YLQviDQt9Cw0LrQsNC30YvQstCw0LXRgiDQstCw0Lwg0YDQsNC30YDQsNCx0L7RgtC60YMg0L/RgNC+0LXQutGC0LAsINC90LDQv9GA0LjQvNC10YAsINCf0J4sINC90L4g0LXRgdC70Lgg0L7QvSDQv9C+0YLQvtC8INC/0YDQvtC00LDQtdGCINGN0YLQviDQn9CeINGB0LDQvCwg0YLQvtCz0LTQsCDQvtC9INC+0YLQtNC10LvRjNC90YvQuSDRgdGC0LXQudC60YXQvtC70LTQtdGALiDQkCDQtdGB0LvQuCDQstGLINGB0YfQuNGC0LDQtdGC0LUg0LfQsNC60LDQt9GH0LjQutC+0Lwg0LrQvtC80L/QsNC90LjRjiwg0LrQvtGC0L7RgNCw0Y8g0YHQsNC80LAg0LHRg9C00LXRgiDQv9C+0LvRjNC30L7QstCw0YLRjNGB0Y8g0LLQsNGI0LjQvCDRgNC10YjQtdC90LjQtdC8LCDRgtC+INGN0YLQsCDQutC+0LzQv9Cw0L3QuNGPINC90LDQt9GL0LLQsNC10YLRgdGPINC90LUg0LfQsNC60LDQt9GH0LjQuiwg0LAg0L/QvtC70YzQt9C+0LLQsNGC0LXQu9GMLiDQn9C+0Y3RgtC+0LzRgyDQsiDQstCw0YjQtdC8INGB0LvRg9GH0LDQtSDQt9Cw0LrQsNC30YfQuNC60L7QsiDQutCw0Log0LHRiyDQvdC10YIsINC10YHRgtGMINC60L7QvdC10YfQvdGL0LUg0L/QvtC70YzQt9C+0LLQsNGC0LXQu9C4IC0g0LrQvtC80L/QsNC90LjQuCwg0LrQvtGC0L7RgNGL0LUg0L/RgNC+0LLQvtC00Y/RgiDQvtC90LHQvtGA0LTQuNC90LMg0YHQvtGC0YDRg9C00L3QuNC60L7QsiDQuCDQstGB0LUuINCQINGB0L7RgtGA0YPQtNC90LjQutC4IC0g0L3QtSDRgdGC0LXQudC60YXQvtC70LTQtdGA0YsizQYKCnRleHQvcGxhaW4SvgbRgdC80L7RgtGA0LjRgtC1LCDQt9Cw0LrQsNC30YfQuNC6IC0g0Y3RgtC+INGC0L7Rgiwg0LrRgtC+INC30LDQutCw0LfRi9Cy0LDQtdGCINCy0LDQvCDRgNCw0LfRgNCw0LHQvtGC0LrRgyDQv9GA0L7QtdC60YLQsCwg0L3QsNC/0YDQuNC80LXRgCwg0J/Qniwg0L3QviDQtdGB0LvQuCDQvtC9INC/0L7RgtC+0Lwg0L/RgNC+0LTQsNC10YIg0Y3RgtC+INCf0J4g0YHQsNC8LCDRgtC+0LPQtNCwINC+0L0g0L7RgtC00LXQu9GM0L3Ri9C5INGB0YLQtdC50LrRhdC+0LvQtNC10YAuINCQINC10YHQu9C4INCy0Ysg0YHRh9C40YLQsNC10YLQtSDQt9Cw0LrQsNC30YfQuNC60L7QvCDQutC+0LzQv9Cw0L3QuNGOLCDQutC+0YLQvtGA0LDRjyDRgdCw0LzQsCDQsdGD0LTQtdGCINC/0L7Qu9GM0LfQvtCy0LDRgtGM0YHRjyDQstCw0YjQuNC8INGA0LXRiNC10L3QuNC10LwsINGC0L4g0Y3RgtCwINC60L7QvNC/0LDQvdC40Y8g0L3QsNC30YvQstCw0LXRgtGB0Y8g0L3QtSDQt9Cw0LrQsNC30YfQuNC6LCDQsCDQv9C+0LvRjNC30L7QstCw0YLQtdC70YwuINCf0L7RjdGC0L7QvNGDINCyINCy0LDRiNC10Lwg0YHQu9GD0YfQsNC1INC30LDQutCw0LfRh9C40LrQvtCyINC60LDQuiDQsdGLINC90LXRgiwg0LXRgdGC0Ywg0LrQvtC90LXRh9C90YvQtSDQv9C+0LvRjNC30L7QstCw0YLQtdC70LggLSDQutC+0LzQv9Cw0L3QuNC4LCDQutC+0YLQvtGA0YvQtSDQv9GA0L7QstC+0LTRj9GCINC+0L3QsdC+0YDQtNC40L3QsyDRgdC+0YLRgNGD0LTQvdC40LrQvtCyINC4INCy0YHQtS4g0JAg0YHQvtGC0YDRg9C00L3QuNC60LggLSDQvdC1INGB0YLQtdC50LrRhdC+0LvQtNC10YDRiyobIhUxMTc0NjAyNDI5NDU4OTkwNzM1NDIoADgAMIePkYGLNDiHj5GBizRKPwoKdGV4dC9wbGFpbhIx0JfQsNC60LDQt9GH0LjQuiwg0LrQvtC80L/QsNC90LjQuC3QutC70LjQtdC90YLRi1oMM3Rtc2JqOGE3dzdocgIgAHgAmgEGCAAQABgAqgHBBhK+BtGB0LzQvtGC0YDQuNGC0LUsINC30LDQutCw0LfRh9C40LogLSDRjdGC0L4g0YLQvtGCLCDQutGC0L4g0LfQsNC60LDQt9GL0LLQsNC10YIg0LLQsNC8INGA0LDQt9GA0LDQsdC+0YLQutGDINC/0YDQvtC10LrRgtCwLCDQvdCw0L/RgNC40LzQtdGALCDQn9CeLCDQvdC+INC10YHQu9C4INC+0L0g0L/QvtGC0L7QvCDQv9GA0L7QtNCw0LXRgiDRjdGC0L4g0J/QniDRgdCw0LwsINGC0L7Qs9C00LAg0L7QvSDQvtGC0LTQtdC70YzQvdGL0Lkg0YHRgtC10LnQutGF0L7Qu9C00LXRgC4g0JAg0LXRgdC70Lgg0LLRiyDRgdGH0LjRgtCw0LXRgtC1INC30LDQutCw0LfRh9C40LrQvtC8INC60L7QvNC/0LDQvdC40Y4sINC60L7RgtC+0YDQsNGPINGB0LDQvNCwINCx0YPQtNC10YIg0L/QvtC70YzQt9C+0LLQsNGC0YzRgdGPINCy0LDRiNC40Lwg0YDQtdGI0LXQvdC40LXQvCwg0YLQviDRjdGC0LAg0LrQvtC80L/QsNC90LjRjyDQvdCw0LfRi9Cy0LDQtdGC0YHRjyDQvdC1INC30LDQutCw0LfRh9C40LosINCwINC/0L7Qu9GM0LfQvtCy0LDRgtC10LvRjC4g0J/QvtGN0YLQvtC80YMg0LIg0LLQsNGI0LXQvCDRgdC70YPRh9Cw0LUg0LfQsNC60LDQt9GH0LjQutC+0LIg0LrQsNC6INCx0Ysg0L3QtdGCLCDQtdGB0YLRjCDQutC+0L3QtdGH0L3Ri9C1INC/0L7Qu9GM0LfQvtCy0LDRgtC10LvQuCAtINC60L7QvNC/0LDQvdC40LgsINC60L7RgtC+0YDRi9C1INC/0YDQvtCy0L7QtNGP0YIg0L7QvdCx0L7RgNC00LjQvdCzINGB0L7RgtGA0YPQtNC90LjQutC+0LIg0Lgg0LLRgdC1LiDQkCDRgdC+0YLRgNGD0LTQvdC40LrQuCAtINC90LUg0YHRgtC10LnQutGF0L7Qu9C00LXRgNGLsAEAuAEAyAEAGIePkYGLNCCHj5GBizQwAEIQa2l4LnhxNGMzbnRiY2kzciKwFAoLQUFBQ0hNN2hOMmMS/hMKC0FBQUNITTdoTjJjEgtBQUFDSE03aE4yYxqlBgoJdGV4dC9odG1sEpcG0LLQvtGCINGB0LzQvtGC0YDQuNGC0LUsINCy0Ysg0L3QsNGC0LDQu9C60LjQstCw0LXRgtC10YHRjCDQvdCwINC+0LPRgNCw0L3QuNGH0LXQvdC40LUgLSDQstCw0Ygg0L/RgNC+0LTRg9C60YIg0LzQvtC20L3QviDQutGD0L/QuNGC0YwsINC90L4g0LXQs9C+INC90LDQtNC+INCx0YPQtNC10YIg0L3QsNC70LDQttC40LLQsNGC0Ywg0Lgg0L/QvtC00YHRgtGA0LDQuNCy0LDRgtGMINC/0L7QtCDQv9GA0L7RhtC10YHRgdGLINC60L7QvNC/0LDQvdC40LgsINC10ZEg0LTQvtC60YPQvNC10L3RgtGLLCDQtdGRINCY0KHQoyDQuCDRgi7Qvy4sINGBINC+0LTQvdC+0Lkg0YHRgtC+0YDQvtC90YssINGBINC00YDRg9Cz0L7QuSDRgdGC0L7RgNC+0L3Riywg0LrRgNGD0L/QvdGL0LUg0LrQvtC80L/QsNC90LjQuCDRgdC60L7RgNC10LUg0LLRgdC10LPQviDRg9C20LUg0LTQtdC70LDRjtGCINC00L7RgNCw0LHQvtGC0LrQuCDRgdCy0L7QuNGFINGB0L7QsdGB0YLQstC10L3QvdGL0YUg0YHQuNGB0YLQtdC8INC/0L7QtNC+0LHQvdGL0LzQuCDQuNC90YLQtdCz0YDQuNGA0YPRjtGJ0LjQvNC4INC80L7QtNGD0LvRj9C80LgsINC4INGPINGC0LDQuiDQv9C+0L3QuNC80LDRjiwg0YfRgtC+INCy0LDRiNC1INGA0LXRiNC10L3QuNC1INC80L7QttC10YIg0LLRi9C50YLQuCDQtNC+0YDQvtC20LUsINGH0LXQvCDRgNCw0LHQvtGC0LAg0YHQvtCx0YHRgtCy0LXQvdC90YvRhSDQsNC50YLQuNGI0L3QuNC60L7QsiDQv9C+INC00L7Qv9C40LvRgyDQuNC80LXRjtGJ0LXQudGB0Y8g0YHQuNGB0YLQtdC80YsuLi4ipgYKCnRleHQvcGxhaW4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iobIhUxMTc0NjAyNDI5NDU4OTkwNzM1NDIoADgAMJLX/YCLNDiS1/2AizRKIgoKdGV4dC9wbGFpbhIU0L7QvdCx0L7RgNC00LjQvdCz0LBaDGUyendmcjFuejFjb3ICIAB4AJoBBggAEAAYAKoBmgYSlwbQstC+0YIg0YHQvNC+0YLRgNC40YLQtSwg0LLRiyDQvdCw0YLQsNC70LrQuNCy0LDQtdGC0LXRgdGMINC90LAg0L7Qs9GA0LDQvdC40YfQtdC90LjQtSAtINCy0LDRiCDQv9GA0L7QtNGD0LrRgiDQvNC+0LbQvdC+INC60YPQv9C40YLRjCwg0L3QviDQtdCz0L4g0L3QsNC00L4g0LHRg9C00LXRgiDQvdCw0LvQsNC20LjQstCw0YLRjCDQuCDQv9C+0LTRgdGC0YDQsNC40LLQsNGC0Ywg0L/QvtC0INC/0YDQvtGG0LXRgdGB0Ysg0LrQvtC80L/QsNC90LjQuCwg0LXRkSDQtNC+0LrRg9C80LXQvdGC0YssINC10ZEg0JjQodCjINC4INGCLtC/Liwg0YEg0L7QtNC90L7QuSDRgdGC0L7RgNC+0L3Riywg0YEg0LTRgNGD0LPQvtC5INGB0YLQvtGA0L7QvdGLLCDQutGA0YPQv9C90YvQtSDQutC+0LzQv9Cw0L3QuNC4INGB0LrQvtGA0LXQtSDQstGB0LXQs9C+INGD0LbQtSDQtNC10LvQsNGO0YIg0LTQvtGA0LDQsdC+0YLQutC4INGB0LLQvtC40YUg0YHQvtCx0YHRgtCy0LXQvdC90YvRhSDRgdC40YHRgtC10Lwg0L/QvtC00L7QsdC90YvQvNC4INC40L3RgtC10LPRgNC40YDRg9GO0YnQuNC80Lgg0LzQvtC00YPQu9GP0LzQuCwg0Lgg0Y8g0YLQsNC6INC/0L7QvdC40LzQsNGOLCDRh9GC0L4g0LLQsNGI0LUg0YDQtdGI0LXQvdC40LUg0LzQvtC20LXRgiDQstGL0LnRgtC4INC00L7RgNC+0LbQtSwg0YfQtdC8INGA0LDQsdC+0YLQsCDRgdC+0LHRgdGC0LLQtdC90L3Ri9GFINCw0LnRgtC40YjQvdC40LrQvtCyINC/0L4g0LTQvtC/0LjQu9GDINC40LzQtdGO0YnQtdC50YHRjyDRgdC40YHRgtC10LzRiy4uLrABALgBAMgBABiS1/2AizQgktf9gIs0MABCEGtpeC5zY2I5aDFyeDkzdHMipAsKC0FBQUNITTdoTjNBEvIKCgtBQUFDSE03aE4zQRILQUFBQ0hNN2hOM0EaogMKCXRleHQvaHRtbBKUA9CyINC60YDRg9C/0L3Ri9C5INCx0LjQt9C90LXRgSDQstGLINGB0LrQvtGA0LXQtSDQvdC1INC/0L7Qv9Cw0LTQtdGC0LUsINC/0L7RgtC+0LzRgyDRh9GC0L4g0L7QvdC4INCx0YPQtNGD0YIg0YHQsNC80Lgg0YDQsNC30YDQsNCx0LDRgtGL0LLQsNGC0Ywg0YHQstC+0Lgg0YDQtdGI0LXQvdC40Y8sINC00LvRjyDQvtC/0YLQuNC80LjQt9Cw0YbQuNC4INCy0L3Rg9GC0YDQtdC90L3QuNGFINGB0LjRgdGC0LXQvCwg0L/QvtGN0YLQvtC80YMg0LvRg9GH0YjQtSDRgNCw0YHRgdGH0LjRgtGL0LLQsNGC0Ywg0L3QsCDRgdGA0LXQtNC90LjQuSDQsdC40LfQvdC10YEsINCz0LTQtSDQvdC10YIg0LTQvtGB0YLQsNGC0L7Rh9C90YvRhSAmcXVvdDvRg9C80LXQvdC40LkmcXVvdDsg0LTQvtC/0LjQu9C40YLRjCDQmNChIpkDCgp0ZXh0L3BsYWluEoo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LRg9C80LXQvdC40LkiINC00L7Qv9C40LvQuNGC0Ywg0JjQoSobIhUxMTc0NjAyNDI5NDU4OTkwNzM1NDIoADgAMJngoYGLNDiZ4KGBizRKKQoKdGV4dC9wbGFpbhIb0LrRgNGD0L/QvdGL0Lkg0LHQuNC30L3QtdGBWgx2MDN2ZTlrbG82N2pyAiAAeACaAQYIABAAGACqAZcDEpQD0LIg0LrRgNGD0L/QvdGL0Lkg0LHQuNC30L3QtdGBINCy0Ysg0YHQutC+0YDQtdC1INC90LUg0L/QvtC/0LDQtNC10YLQtSwg0L/QvtGC0L7QvNGDINGH0YLQviDQvtC90Lgg0LHRg9C00YPRgiDRgdCw0LzQuCDRgNCw0LfRgNCw0LHQsNGC0YvQstCw0YLRjCDRgdCy0L7QuCDRgNC10YjQtdC90LjRjywg0LTQu9GPINC+0L/RgtC40LzQuNC30LDRhtC40Lgg0LLQvdGD0YLRgNC10L3QvdC40YUg0YHQuNGB0YLQtdC8LCDQv9C+0Y3RgtC+0LzRgyDQu9GD0YfRiNC1INGA0LDRgdGB0YfQuNGC0YvQstCw0YLRjCDQvdCwINGB0YDQtdC00L3QuNC5INCx0LjQt9C90LXRgSwg0LPQtNC1INC90LXRgiDQtNC+0YHRgtCw0YLQvtGH0L3Ri9GFICZxdW90O9GD0LzQtdC90LjQuSZxdW90OyDQtNC+0L/QuNC70LjRgtGMINCY0KGwAQC4AQDIAQAYmeChgYs0IJngoYGLNDAAQhBraXguZWZhN21vcXJuc2MwIr0GCgtBQUFDSE03aE4yMBKLBgoLQUFBQ0hNN2hOMjASC0FBQUNITTdoTjIwGqwBCgl0ZXh0L2h0bWwSngHQvdGDINGC0LDQuiDQstGLINC4INC90LUg0LTQvtC70LbQvdGLINGC0L7Qs9C00LAg0LHRgNCw0YLRjCBQQU1vbSA5NCDQvNC70YDQtC4g0YDRg9CxLiwg0YDQsNC3INCy0Ysg0YLQvtC70YzQutC+INC+0L3QsdC+0YDQtNC40L3Qs9C+0Lwg0LfQsNC90LjQvNCw0LXRgtC10YHRjCKtAQoKdGV4dC9wbGFpbhKeAdC90YMg0YLQsNC6INCy0Ysg0Lgg0L3QtSDQtNC+0LvQttC90Ysg0YLQvtCz0LTQsCDQsdGA0LDRgtGMIFBBTW9tIDk0INC80LvRgNC0LiDRgNGD0LEuLCDRgNCw0Lcg0LLRiyDRgtC+0LvRjNC60L4g0L7QvdCx0L7RgNC00LjQvdCz0L7QvCDQt9Cw0L3QuNC80LDQtdGC0LXRgdGMKhsiFTExNzQ2MDI0Mjk0NTg5OTA3MzU0MigAOAAwmrmZgYs0OJq5mYGLNEqaAQoKdGV4dC9wbGFpbhKLAdC30LDQutGA0YvQstCw0Lsg0LHRiyDQstC10YHRjCDRhtC40LrQuyDRgNCw0LHQvtGC0Ysg0YEg0L/QtdGA0YHQvtC90LDQu9C+0Lwg0L7RgiDQv9C+0LjRgdC60LAg0LrQsNC90LTQuNC00LDRgtCwINC00L4g0YPQstC+0LvRjNC90LXQvdC40Y9aCzRnMDBpNTFwdGtzcgIgAHgAmgEGCAAQABgAqgGhARKeAdC90YMg0YLQsNC6INCy0Ysg0Lgg0L3QtSDQtNC+0LvQttC90Ysg0YLQvtCz0LTQsCDQsdGA0LDRgtGMIFBBTW9tIDk0INC80LvRgNC0LiDRgNGD0LEuLCDRgNCw0Lcg0LLRiyDRgtC+0LvRjNC60L4g0L7QvdCx0L7RgNC00LjQvdCz0L7QvCDQt9Cw0L3QuNC80LDQtdGC0LXRgdGMsAEAuAEAyAEAGJq5mYGLNCCauZmBizQwAEIQa2l4LnBucXAzc3E2MHZuNSLbBwoLQUFBQ0hNN2hOMlUSqQcKC0FBQUNITTdoTjJVEgtBQUFDSE03aE4yVRqIAgoJdGV4dC9odG1sEvoB0J7RgtC60YPQtNCwINC40L3RhNC+0YDQvNCw0YbQuNGPPyDQstC+0LfQvNC+0LbQvdC+INGC0LDQutC40LUg0YDQtdGI0LXQvdC40Y8g0YPQttC1INC10YHRgtGMLCDQv9GA0L7RgdGC0L4g0L7QvdC4INCy0L3Rg9GC0YDQtdC90L3QuNC1LCDQtNC+0YDQsNCx0L7RgtCw0L3QvdGL0LUg0L3QsCDQvNC10YHRgtCw0YUsINC/0L7RjdGC0L7QvNGDINC60LDQuiDQn9CeINC90LUg0L/RgNC+0LTQsNGO0YLRgdGPINC90LAg0YDRi9C90LrQtS4uLiKJAgoKdGV4dC9wbGFpbhL6AdCe0YLQutGD0LTQsCDQuNC90YTQvtGA0LzQsNGG0LjRjz8g0LLQvtC30LzQvtC20L3QviDRgtCw0LrQuNC1INGA0LXRiNC10L3QuNGPINGD0LbQtSDQtdGB0YLRjCwg0L/RgNC+0YHRgtC+INC+0L3QuCDQstC90YPRgtGA0LXQvdC90LjQtSwg0LTQvtGA0LDQsdC+0YLQsNC90L3Ri9C1INC90LAg0LzQtdGB0YLQsNGFLCDQv9C+0Y3RgtC+0LzRgyDQutCw0Log0J/QniDQvdC1INC/0YDQvtC00LDRjtGC0YHRjyDQvdCwINGA0YvQvdC60LUuLi4qGyIVMTE3NDYwMjQyOTQ1ODk5MDczNTQyKAA4ADDL3e2AizQ4y93tgIs0SiQKCnRleHQvcGxhaW4SFtCy0YvQv9C+0LvQvdGP0LXRgtGB0Y9aDHh6b3ZxbTF4c2owMXICIAB4AJoBBggAEAAYAKoB/QES+gHQntGC0LrRg9C00LAg0LjQvdGE0L7RgNC80LDRhtC40Y8/INCy0L7Qt9C80L7QttC90L4g0YLQsNC60LjQtSDRgNC10YjQtdC90LjRjyDRg9C20LUg0LXRgdGC0YwsINC/0YDQvtGB0YLQviDQvtC90Lgg0LLQvdGD0YLRgNC10L3QvdC40LUsINC00L7RgNCw0LHQvtGC0LDQvdC90YvQtSDQvdCwINC80LXRgdGC0LDRhSwg0L/QvtGN0YLQvtC80YMg0LrQsNC6INCf0J4g0L3QtSDQv9GA0L7QtNCw0Y7RgtGB0Y8g0L3QsCDRgNGL0L3QutC1Li4usAEAuAEAyAEAGMvd7YCLNCDL3e2AizQwAEIQa2l4LjFxdWRpdTUzNXp2YyLYAgoLQUFBQ0hNN2hOMjQSpgIKC0FBQUNITTdoTjI0EgtBQUFDSE03aE4yNBo4Cgl0ZXh0L2h0bWwSK9C/0L4g0YTQsNC60YLRgyDQstC+0YIg0Y3RgtC+INGDINCy0LDRgSBQQU0iOQoKdGV4dC9wbGFpbhIr0L/QviDRhNCw0LrRgtGDINCy0L7RgiDRjdGC0L4g0YMg0LLQsNGBIFBBTSobIhUxMTc0NjAyNDI5NDU4OTkwNzM1NDIoADgAMNmpnIGLNDjZqZyBizRKFAoKdGV4dC9wbGFpbhIG0YDRg9CxWgxnOXY3aGU2djduYmhyAiAAeACaAQYIABAAGACqAS0SK9C/0L4g0YTQsNC60YLRgyDQstC+0YIg0Y3RgtC+INGDINCy0LDRgSBQQU2wAQC4AQDIAQAY2amcgYs0INmpnIGLNDAAQhBraXgucmxkNmtjYzJlc2NiMg5oLnBhOGQwaTluY2c4ajgAciExQmRFWktSeERZRWE1bl9ucTU2amhRNUhKWGNvNGxkMF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2026-09-14T00:37:00Z</dcterms:created>
  <dc:creator>Слаутина Екатерина Анатольевна</dc:creator>
</cp:coreProperties>
</file>