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001">
      <w:pPr>
        <w:spacing w:after="80" w:line="276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Сервис автоматизации онбординга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spacing w:after="80" w:line="276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Исследование тенденций рынка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spacing w:after="240" w:line="276" w:lineRule="auto"/>
        <w:ind w:left="4320" w:firstLine="0"/>
        <w:rPr/>
      </w:pPr>
      <w:r w:rsidDel="00000000" w:rsidR="00000000" w:rsidRPr="00000000">
        <w:rPr>
          <w:color w:val="000000"/>
          <w:rtl w:val="0"/>
        </w:rPr>
        <w:t xml:space="preserve">Выполнили: Слаутина Екатерина, Белоус Анастасия, Волков Никита, Романов Артём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Предмет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Работа выполнена для проекта сервиса автоматизации онбординга сотрудников. Продукт объединяет действия нового сотрудника, HR, ИТ-службы, службы безопасности и руководителя в один процесс с общим статусом, связанными задачами и автоматическим закрытием шагов по событиям смежных систем. Целевым сегментом являются средние компании в России со штатом примерно от 100 сотрудников и внедренным кадровым электронным документооборотом.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Рассматривается положение мирового и российского рынка в 2025-2026 годах и динамика появления новых игроков за последние три года. Оценка емкости рынка, на которую ссылается текст, выполнена ранее по методологии PAM/TAM/SAM/SOM на данных 2025 года, поскольку это последний полный год с разбивкой по сегментам. Ее результаты приведены в таблице 1 и используются здесь как точка отсчета.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1. Ранее полученная оценка емкости рынка, данные 2025 года</w:t>
      </w:r>
      <w:r w:rsidDel="00000000" w:rsidR="00000000" w:rsidRPr="00000000">
        <w:rPr>
          <w:rtl w:val="0"/>
        </w:rPr>
      </w:r>
    </w:p>
    <w:tbl>
      <w:tblPr>
        <w:tblStyle w:val="Table1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7"/>
        <w:gridCol w:w="2432"/>
        <w:gridCol w:w="5546"/>
      </w:tblGrid>
      <w:tr>
        <w:trPr>
          <w:cantSplit w:val="1"/>
          <w:tblHeader w:val="1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08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09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0A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0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0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16-17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0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Сегменты российского HRtech, в которых оплачивается функциональность онбординга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0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0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4-5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1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Доля этих сегментов, приходящаяся на прием и адаптацию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1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1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1,5-2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1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Средние компании от 100 сотрудников с внедренным кадровым ЭДО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497" w:type="dxa"/>
            <w:vAlign w:val="center"/>
          </w:tcPr>
          <w:p w:rsidR="00000000" w:rsidDel="00000000" w:rsidP="00000000" w:rsidRDefault="00000000" w:rsidRPr="00000000" w14:paraId="0000101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32" w:type="dxa"/>
            <w:vAlign w:val="center"/>
          </w:tcPr>
          <w:p w:rsidR="00000000" w:rsidDel="00000000" w:rsidP="00000000" w:rsidRDefault="00000000" w:rsidRPr="00000000" w14:paraId="0000101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5-12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5546" w:type="dxa"/>
            <w:vAlign w:val="center"/>
          </w:tcPr>
          <w:p w:rsidR="00000000" w:rsidDel="00000000" w:rsidP="00000000" w:rsidRDefault="00000000" w:rsidRPr="00000000" w14:paraId="0000101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15-30 контрактов за первые два года исходя из пропускной способности продаж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1. Мировой рынок в 2025-2026 годах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Мировой рынок HR-технологий вырос с 43,42 млрд долл. в 2025 году до 46,30 млрд долл. в 2026 году, прогнозный среднегодовой рост до 2034 года составляет 8,1% [4]. Альтернативная оценка дает 47,51 млрд долл. в 2026 году при среднегодовом росте 10,35% [5]. Расхождение объясняется разным составом рынка, далее используется первая оценка как более консервативная.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Структура рынка устойчива. На Северную Америку приходится 40,4% объема, то есть 17,54 млрд долл. в 2025 году, на Европу 12,06 млрд долл., на Азиатско-Тихоокеанский регион 9,17 млрд долл. при самом высоком темпе роста 11,2%. Крупнейший функциональный сегмент, это управление талантами с долей 30,3%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Для проекта существенны два наблюдения из той же оценки. Первое, облачные решения растут быстрее локальных, 10,0% против рынка в целом. Второе, сегмент малого и среднего бизнеса растет быстрее крупных предприятий, 9,70% против общего темпа 8,1% [4]. Второе наблюдение прямо поддерживает выбор среднего бизнеса как целевого сегмента.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Ниша онбординга растет значительно быстрее рынка HR-технологий в целом. Мировой рынок программного обеспечения для онбординга вырос с 2,11 млрд долл. в 2025 году до 2,53 млрд долл. в 2026 году и, по прогнозу, достигнет 4,36 млрд долл. к 2029 году при среднегодовом росте 19,7% [3]. Это примерно в два с половиной раза выше темпа рынка HR-технологий. Драйвером названа замена ручных процедур цифровыми, на нее перешли около 65% организаций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Конкурентная среда при этом ужесточается. Крупные вендоры корпоративного программного обеспечения, среди которых Workday, Oracle, SAP и ADP, встраивают функциональность онбординга в свои комплексные HR-пакеты, что создает давление на самостоятельных поставщиков [3]. Это подтверждает риск, заложенный в расчет SOM, и ограничивает срок, в течение которого продукт может закрепиться на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Российский рынок в 2025-2026 годах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Российский рынок HRtech последовательно замедляется. По итогам 2025 года его объем составил 94 млрд руб. при росте 9,32% [1]. В I полугодии 2025 года топ-85 компаний заработали 40,6 млрд руб. при росте 12% [10], в I полугодии 2026 года топ-90 компаний заработали 45 млрд руб. при росте 8% [11]. Внутри 2026 года динамика ровная, I квартал дал 21 млрд руб. и рост 9% [9], II квартал 23,6 млрд руб. [11].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Структура роста во II квартале 2026 года объясняет, почему замедление рынка в целом не означает замедления в нише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2. Российский рынок HRtech по сегментам, II квартал 2026 года [11]</w:t>
      </w:r>
      <w:r w:rsidDel="00000000" w:rsidR="00000000" w:rsidRPr="00000000">
        <w:rPr>
          <w:rtl w:val="0"/>
        </w:rPr>
      </w:r>
    </w:p>
    <w:tbl>
      <w:tblPr>
        <w:tblStyle w:val="Table2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600"/>
        <w:gridCol w:w="3475"/>
      </w:tblGrid>
      <w:tr>
        <w:trPr>
          <w:cantSplit w:val="1"/>
          <w:tblHeader w:val="1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22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23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Выручка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24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Рост год к году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2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Подбор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2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13,79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2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2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Комплексные решения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2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2,48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2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2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Альтернативная занятость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2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2,36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2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2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Обучение и 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2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1,46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3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3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Кадровый ЭДО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3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1,25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3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3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Оценка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3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1,22 млрд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3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3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Интеграция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3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525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3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400" w:type="dxa"/>
            <w:vAlign w:val="center"/>
          </w:tcPr>
          <w:p w:rsidR="00000000" w:rsidDel="00000000" w:rsidP="00000000" w:rsidRDefault="00000000" w:rsidRPr="00000000" w14:paraId="0000103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Контроль сотрудников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3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476 млн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3475" w:type="dxa"/>
            <w:vAlign w:val="center"/>
          </w:tcPr>
          <w:p w:rsidR="00000000" w:rsidDel="00000000" w:rsidP="00000000" w:rsidRDefault="00000000" w:rsidRPr="00000000" w14:paraId="0000103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Рынок тормозит подбор персонала. На него приходится 13,79 млрд руб. из 23,6 млрд руб., то есть 58% объема, а растет он всего на 2% [11]. Сегменты, в которых работает продукт, растут заметно быстрее. Комплексные решения прибавляют 19%, обучение и развитие 11%, кадровый ЭДО 11%. Отдельно отметим сегмент интеграции программного обеспечения, он вырос на 22% при объеме 525 млн руб. [11]. Это прямое подтверждение спроса на интеграционный слой, который является ядром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Один вывод для расчета SAM требует уточнения. Кадровый ЭДО в 2025 году был самым быстрорастущим сегментом с темпом 40,7% [1], в I квартале 2026 года он вырос на 33% [9], а во II квартале уже на 11% [11]. Принятая в расчете SAM доля компаний с внедренным кадровым ЭДО, 25%, будет расти медленнее, чем можно было предполагать по данным 2025 года, поэтому расширение SAM за счет цифровизации в ближайшие два года ожидается умеренным.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По узкому определению, без работных площадок, рынок оценивается в 42 млрд руб. за 2025 год с прогнозом 45,2 млрд руб. на 2026 год, то есть рост 7,5%. Карта отечественных HR-решений содержит более 200 продуктов, а весь рынок HR Tech занимает около 1% ИТ-рынка России и 2,8% рынка программного обеспечения [2]. Драйверами названы импортозамещение, государственное регулирование и дефицит кадров, сдерживающими факторами, узость внутреннего рынка и нехватка финансирования [2].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Появление стартапов в мире за последние три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Сектор HRTech насчитывает около 53-55 тыс. компаний, из которых 8,82 тыс. привлекали финансирование, суммарно 129 млрд долл. За всю историю сектора создано 94 компании со стоимостью выше миллиарда долларов [6]. При этом приток нового капитала третий год подряд держится на уровне, кратно ниже пикового.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3. Финансирование HRtech-стартапов в мире</w:t>
      </w:r>
      <w:r w:rsidDel="00000000" w:rsidR="00000000" w:rsidRPr="00000000">
        <w:rPr>
          <w:rtl w:val="0"/>
        </w:rPr>
      </w:r>
    </w:p>
    <w:tbl>
      <w:tblPr>
        <w:tblStyle w:val="Table3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600"/>
        <w:gridCol w:w="1600"/>
        <w:gridCol w:w="2400"/>
        <w:gridCol w:w="1575"/>
      </w:tblGrid>
      <w:tr>
        <w:trPr>
          <w:cantSplit w:val="1"/>
          <w:tblHeader w:val="1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44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45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Объем, Tracxn 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46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Раунды 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47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Объем, Crunchbase 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48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Сделки 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4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4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25,1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4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4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10,5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4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4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4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14,8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5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5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5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5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5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5,3 млрд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5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5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5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5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5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3,54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5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5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2,0 млрд долл. за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5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300" w:type="dxa"/>
            <w:vAlign w:val="center"/>
          </w:tcPr>
          <w:p w:rsidR="00000000" w:rsidDel="00000000" w:rsidP="00000000" w:rsidRDefault="00000000" w:rsidRPr="00000000" w14:paraId="0000105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600" w:type="dxa"/>
            <w:vAlign w:val="center"/>
          </w:tcPr>
          <w:p w:rsidR="00000000" w:rsidDel="00000000" w:rsidP="00000000" w:rsidRDefault="00000000" w:rsidRPr="00000000" w14:paraId="0000105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3,91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600" w:type="dxa"/>
            <w:vAlign w:val="center"/>
          </w:tcPr>
          <w:p w:rsidR="00000000" w:rsidDel="00000000" w:rsidP="00000000" w:rsidRDefault="00000000" w:rsidRPr="00000000" w14:paraId="0000105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400" w:type="dxa"/>
            <w:vAlign w:val="center"/>
          </w:tcPr>
          <w:p w:rsidR="00000000" w:rsidDel="00000000" w:rsidP="00000000" w:rsidRDefault="00000000" w:rsidRPr="00000000" w14:paraId="0000106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1,9 млрд долл. за январь-сентябрь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575" w:type="dxa"/>
            <w:vAlign w:val="center"/>
          </w:tcPr>
          <w:p w:rsidR="00000000" w:rsidDel="00000000" w:rsidP="00000000" w:rsidRDefault="00000000" w:rsidRPr="00000000" w14:paraId="0000106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Две оценки расходятся по абсолютной величине, поскольку Tracxn относит к сектору более широкий круг компаний и учитывает поздние раунды с участием фондов прямых инвестиций, а Crunchbase считает венчурные раунды в более узкой категории HR-софта. Еще шире считает Drake Star, у которого за январь-сентябрь 2025 года зафиксировано более 650 сделок и 22,3 млрд долл. с учетом слияний и поглощений против более 900 сделок и 10,5 млрд долл. за 2024 год [16]. Направление динамики у всех трех источников совпадает.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Главная тенденция видна не в деньгах, а в числе сделок. Объем финансирования в 2025 году практически не изменился, прибавив 10,64% по данным Tracxn, тогда как число раундов сократилось с 467 до 313, то есть на треть [6]. У Crunchbase та же картина, 419 сделок за весь 2024 год против 236 за девять месяцев 2025 года [7]. Деньги концентрируются в меньшем числе более крупных чеков.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2026 году сжатие продолжилось. В I квартале в мировом HRtech состоялось всего три раунда Series A, это минимум с 2018 года, посевная стадия также сократилась, а ни одна компания не привлекла раунд свыше 50 млн долл., хотя в предыдущие кварталы таких раундов было от двух до четырех [8].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Параллельно ускоряется консолидация. В 2024 году в секторе прошло 225 сделок по поглощению, за январь-сентябрь 2025 года еще 130 [6]. В 2025 году Workday приобрела Sana за 1,1 млрд долл. и Paradox, Intuit приобрела GoCo.io [7]. Крупные платформы предпочитают покупать готовую функциональность, а не разрабатывать ее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Для проекта это означает следующее. Расчет на венчурное финансирование на стадии концепции нереалистичен, окно для новых игроков сузилось, а деньги идут в поздние стадии. Вместе с тем активные поглощения показывают, что готовый продукт с работающими интеграциями имеет спрос со стороны крупных платформ, и это является реалистичным сценарием выхода.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Появление стартапов в России за последние три года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Российский венчурный рынок за три года сократился по числу сделок более чем вдвое, а в 2026 году сжатие ускорилось.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spacing w:after="60" w:before="120" w:line="276" w:lineRule="auto"/>
        <w:rPr/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Таблица 4. Венчурный рынок России</w:t>
      </w:r>
      <w:r w:rsidDel="00000000" w:rsidR="00000000" w:rsidRPr="00000000">
        <w:rPr>
          <w:rtl w:val="0"/>
        </w:rPr>
      </w:r>
    </w:p>
    <w:tbl>
      <w:tblPr>
        <w:tblStyle w:val="Table1"/>
        <w:tblW w:w="9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1900"/>
        <w:gridCol w:w="2700"/>
        <w:gridCol w:w="2775"/>
      </w:tblGrid>
      <w:tr>
        <w:trPr>
          <w:cantSplit w:val="1"/>
          <w:tblHeader w:val="1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06B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06C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Число сделок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06D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Объем инвестиций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06E">
            <w:pPr>
              <w:spacing w:after="40" w:before="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Средний чек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06F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070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071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оценки в источнике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072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0,84 млн долл. [15]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073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074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075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около 177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076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1,01 млн долл. [12]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077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078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079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159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07A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1,69 млн долл. [12]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vAlign w:val="center"/>
          </w:tcPr>
          <w:p w:rsidR="00000000" w:rsidDel="00000000" w:rsidP="00000000" w:rsidRDefault="00000000" w:rsidRPr="00000000" w14:paraId="0000107B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 полугодие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1900" w:type="dxa"/>
            <w:vAlign w:val="center"/>
          </w:tcPr>
          <w:p w:rsidR="00000000" w:rsidDel="00000000" w:rsidP="00000000" w:rsidRDefault="00000000" w:rsidRPr="00000000" w14:paraId="0000107C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00" w:type="dxa"/>
            <w:vAlign w:val="center"/>
          </w:tcPr>
          <w:p w:rsidR="00000000" w:rsidDel="00000000" w:rsidP="00000000" w:rsidRDefault="00000000" w:rsidRPr="00000000" w14:paraId="0000107D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29,3 млн долл.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2775" w:type="dxa"/>
            <w:vAlign w:val="center"/>
          </w:tcPr>
          <w:p w:rsidR="00000000" w:rsidDel="00000000" w:rsidP="00000000" w:rsidRDefault="00000000" w:rsidRPr="00000000" w14:paraId="0000107E">
            <w:pPr>
              <w:spacing w:after="40" w:before="4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нет оценки в источнике [13]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Сильнее всего пострадала посевная стадия, на которой находятся проекты, сопоставимые с нашим. Объем посевных инвестиций сократился с 27 млн долл. в 2024 году до 9 млн долл. в 2025 году, то есть на 67% [12]. В I полугодии 2026 года на посевной стадии прошло 15 сделок на 2,2 млн долл., что на 56% меньше, чем годом ранее [13]. Отраслевые приоритеты сместились, в I полугодии 2026 года лидируют промышленные технологии с 11,4 млн долл. и четырьмя раундами, а также программное обеспечение для бизнеса с пятью раундами, отдельной строкой HRtech не выделяется [13].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 самом российском HRtech ситуация соответствует общей. В конце 2025 года несколько проектов, построенных вокруг ИИ-функциональности, закрыли инвестиционные сделки, но уже в I квартале 2026 года в сегменте не зафиксировано ни одной венчурной сделки [9].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Приток новых игроков при этом не прекратился, он просто идет без венчурных денег. В рейтинге HR Tech по итогам 2023 года было 40 компаний, из них девять дебютантов, а две компании-новичка сразу вошли в первую пятерку [14]. В рейтинге Smart Ranking число участников выросло с 85 компаний в I полугодии 2025 года [10] до 90 компаний в I полугодии 2026 года [11]. Карта отечественных HR-решений насчитывает более 200 продуктов [2]. Рейтинги ведутся по разным методикам, поэтому сравнивать их напрямую нельзя, но каждый из них показывает пополнение состава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Вывод для проекта состоит в том, что вход на российский рынок HRtech остается открытым, однако источником финансирования на старте будет не венчурный капитал, а собственные средства и выручка от первых контрактов. Это согласуется с расчетом SOM, в котором достижимый объем получен из пропускной способности продаж, а не из объема привлеченных инвестиций.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5. Влияние тенденций на оценки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Данные 2026 года не требуют пересчета пирамиды PAM/TAM/SAM/SOM, приведенной в таблице 1, но уточняют три позиции.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Выбор среднего бизнеса подтверждается. Сегмент малого и среднего бизнеса растет быстрее крупных предприятий на мировом рынке [4], а в России сегменты, в которых работает продукт, растут в пять-десять раз быстрее стагнирующего подбора персонала [11];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Ставка на интеграционный слой подтверждается отдельной статистикой. Сегмент интеграции программного обеспечения вырос на 22% год к году, это второй результат на российском рынке после оценки персонала [11];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spacing w:after="60" w:line="276" w:lineRule="auto"/>
        <w:ind w:left="567" w:hanging="283"/>
        <w:jc w:val="both"/>
        <w:rPr/>
      </w:pPr>
      <w:r w:rsidDel="00000000" w:rsidR="00000000" w:rsidRPr="00000000">
        <w:rPr>
          <w:color w:val="000000"/>
          <w:rtl w:val="0"/>
        </w:rPr>
        <w:t xml:space="preserve">•</w:t>
        <w:tab/>
      </w:r>
      <w:r w:rsidDel="00000000" w:rsidR="00000000" w:rsidRPr="00000000">
        <w:rPr>
          <w:color w:val="000000"/>
          <w:rtl w:val="0"/>
        </w:rPr>
        <w:t xml:space="preserve">Расширение SAM за счет цифровизации будет медленнее. Темп роста кадрового ЭДО снизился с 40,7% в 2025 году до 11% во II квартале 2026 года [1, 11], поэтому доля компаний, пригодных для автоматического закрытия задач, увеличивается умереннее, чем в 2025 году.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spacing w:after="120" w:line="276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Два риска усилились по сравнению с исходной оценкой. Первый, встраивание онбординга в комплексные HR-пакеты крупных вендоров сокращает окно выхода [3]. Второй, отсутствие венчурного финансирования в сегменте означает, что продукт должен выходить на самоокупаемость на первых 15-30 контрактах без внешнего капитала.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keepNext w:val="1"/>
        <w:spacing w:before="360" w:after="80" w:line="276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Список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1. Smart Ranking. Оптимизация, автоматизация, экосистемы: как компании на рынке HRtech завершили 2025 год. URL: https://smartranking.ru/ru/analytics/hrtech/optimizaciya-avtomatizaciya-ekosistemy-kak-kompanii-na-rynke-hrtech-zavershili-2025-god/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2. Рексофт Консалтинг: рынок HR Tech может вырасти в 2026 году до 45 млрд рублей. Новости ИТ-канала. URL: https://www.novostiitkanala.ru/news/detail.php?ID=198065 (дата обращения: 13.09.2026).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3. The Business Research Company. Employee Onboarding Software Global Market Report. URL: https://www.thebusinessresearchcompany.com/report/employee-onboarding-software-global-market-report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4. Fortune Business Insights. Human Resource (HR) Technology Market Size, Share and Industry Analysis. URL: https://www.fortunebusinessinsights.com/human-resource-hr-technology-market-105437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5. Mordor Intelligence. HR Tech Market Size, Growth Drivers and Industry Outlook 2031. URL: https://www.mordorintelligence.com/industry-reports/hr-tech-market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6. Tracxn. HRTech Sector. Market and Investments Trends. URL: https://tracxn.com/d/sectors/hrtech/__-9CyAMwXLVC-0NLb8tF4ve8hl5FGey2DPYGk9dEAOwY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7. Crunchbase News. Обзор финансирования и сделок слияний и поглощений в сегменте HR-софта, 19.09.2025. URL: https://news.crunchbase.com/venture/ai-hr-software-startup-funding-ma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8. Alpha Work. HR Tech 2026 Q1 Funding Review, 06.05.2026. URL: https://kylegetsiv.substack.com/p/hr-tech-2026-q1-funding-review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9. Smart Ranking. Эйчартех-рынок вырос на 9% в I квартале: рост сдерживается стагнацией подбора персонала, 11.06.2026. URL: https://smartranking.ru/ru/analytics/hrtech/ejcharteh-rynok-vyros-na-9-v-i-kvartale-rost-sderzhivaetsya-stagnaciej-podbora-personala/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10. Smart Ranking. В I полугодии 2025 года рынок HRtech вырос на 12%, до 40,6 млрд рублей. URL: https://smartranking.ru/ru/analytics/hrtech/v-i-polugodii-2025-goda-rynok-hrtech-vyros-na-12-do-406-mlrd-rublej-odnako-tempy-rosta-ostayutsya/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11. RB.RU. HRtech-рынок России вырос на 8% в I полугодии 2026 года, 23.08.2026. URL: https://rb.ru/news/obyom-rossijskogo-hrtech-rynka-dostig-45-mlrd-v-2026-godu-lider-otrasli-headhunter/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12. Б1 и Dsight. Венчурная Евразия: итоги 2025 года. URL: https://b1.ru/analytics/b1-dsight-venture-eurasia-2025-results-review/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13. CNews. В России рухнули венчурные инвестиции. За полгода обвал более 60%, 03.09.2026. URL: https://www.cnews.ru/news/top/2026-09-03_rossijskij_venchurnyj_rynok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14. CNews Analytics. Топ-40 крупнейших игроков в сфере HR Tech по итогам 2023 года, 31.10.2024. URL: https://www.cnews.ru/reviews/rynok_hr_tech/articles/top-40_krupnejshih_igrokov_v_sfere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15. Б1 и Dsight. Венчурная Евразия: итоги 2023 года. URL: https://b1.ru/analytics/b1-dsight-venture-eurasia-research-2023-results/ (дата обращения: 21.09.2026).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80" w:line="276" w:lineRule="auto"/>
        <w:rPr/>
      </w:pPr>
      <w:r w:rsidDel="00000000" w:rsidR="00000000" w:rsidRPr="00000000">
        <w:rPr>
          <w:color w:val="000000"/>
          <w:rtl w:val="0"/>
        </w:rPr>
        <w:t xml:space="preserve">16. STARTUP RESEARCH. HR Tech Startup Statistics, сводка данных Drake Star и HRO Today, обновление 06.05.2026. URL: https://blog.mean.ceo/hr-tech-startup-statistics/ (дата обращения: 21.09.2026).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link w:val="70"/>
    <w:uiPriority w:val="9"/>
    <w:semiHidden w:val="1"/>
    <w:unhideWhenUsed w:val="1"/>
    <w:qFormat w:val="1"/>
    <w:rsid w:val="00682C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link w:val="80"/>
    <w:uiPriority w:val="9"/>
    <w:semiHidden w:val="1"/>
    <w:unhideWhenUsed w:val="1"/>
    <w:qFormat w:val="1"/>
    <w:rsid w:val="00682C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link w:val="90"/>
    <w:uiPriority w:val="9"/>
    <w:semiHidden w:val="1"/>
    <w:unhideWhenUsed w:val="1"/>
    <w:qFormat w:val="1"/>
    <w:rsid w:val="00682C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0" w:customStyle="1">
    <w:name w:val="Заголовок 1 Знак"/>
    <w:basedOn w:val="a0"/>
    <w:uiPriority w:val="9"/>
    <w:rsid w:val="00682CF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uiPriority w:val="9"/>
    <w:semiHidden w:val="1"/>
    <w:rsid w:val="00682CF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uiPriority w:val="9"/>
    <w:semiHidden w:val="1"/>
    <w:rsid w:val="00682CF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uiPriority w:val="9"/>
    <w:semiHidden w:val="1"/>
    <w:rsid w:val="00682CF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uiPriority w:val="9"/>
    <w:semiHidden w:val="1"/>
    <w:rsid w:val="00682CF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uiPriority w:val="9"/>
    <w:semiHidden w:val="1"/>
    <w:rsid w:val="00682CF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682CF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682CF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682CF2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uiPriority w:val="10"/>
    <w:rsid w:val="00682C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Подзаголовок Знак"/>
    <w:basedOn w:val="a0"/>
    <w:uiPriority w:val="11"/>
    <w:rsid w:val="00682C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link w:val="22"/>
    <w:uiPriority w:val="29"/>
    <w:qFormat w:val="1"/>
    <w:rsid w:val="00682C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682CF2"/>
    <w:rPr>
      <w:i w:val="1"/>
      <w:iCs w:val="1"/>
      <w:color w:val="404040" w:themeColor="text1" w:themeTint="0000BF"/>
    </w:rPr>
  </w:style>
  <w:style w:type="paragraph" w:styleId="a6">
    <w:name w:val="List Paragraph"/>
    <w:uiPriority w:val="34"/>
    <w:qFormat w:val="1"/>
    <w:rsid w:val="00682CF2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682CF2"/>
    <w:rPr>
      <w:i w:val="1"/>
      <w:iCs w:val="1"/>
      <w:color w:val="0f4761" w:themeColor="accent1" w:themeShade="0000BF"/>
    </w:rPr>
  </w:style>
  <w:style w:type="paragraph" w:styleId="a8">
    <w:name w:val="Intense Quote"/>
    <w:link w:val="a9"/>
    <w:uiPriority w:val="30"/>
    <w:qFormat w:val="1"/>
    <w:rsid w:val="00682CF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9" w:customStyle="1">
    <w:name w:val="Выделенная цитата Знак"/>
    <w:basedOn w:val="a0"/>
    <w:link w:val="a8"/>
    <w:uiPriority w:val="30"/>
    <w:rsid w:val="00682CF2"/>
    <w:rPr>
      <w:i w:val="1"/>
      <w:iCs w:val="1"/>
      <w:color w:val="0f4761" w:themeColor="accent1" w:themeShade="0000BF"/>
    </w:rPr>
  </w:style>
  <w:style w:type="character" w:styleId="aa">
    <w:name w:val="Intense Reference"/>
    <w:basedOn w:val="a0"/>
    <w:uiPriority w:val="32"/>
    <w:qFormat w:val="1"/>
    <w:rsid w:val="00682CF2"/>
    <w:rPr>
      <w:b w:val="1"/>
      <w:bCs w:val="1"/>
      <w:smallCaps w:val="1"/>
      <w:color w:val="0f4761" w:themeColor="accent1" w:themeShade="0000BF"/>
      <w:spacing w:val="5"/>
    </w:rPr>
  </w:style>
  <w:style w:type="paragraph" w:styleId="ac">
    <w:name w:val="Normal (Web)"/>
    <w:basedOn w:val="a"/>
    <w:uiPriority w:val="99"/>
    <w:semiHidden w:val="1"/>
    <w:unhideWhenUsed w:val="1"/>
    <w:rsid w:val="0011382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val="ru-RU"/>
    </w:rPr>
  </w:style>
  <w:style w:type="character" w:styleId="ad">
    <w:name w:val="Strong"/>
    <w:basedOn w:val="a0"/>
    <w:uiPriority w:val="22"/>
    <w:qFormat w:val="1"/>
    <w:rsid w:val="00113825"/>
    <w:rPr>
      <w:b w:val="1"/>
      <w:bCs w:val="1"/>
    </w:rPr>
  </w:style>
  <w:style w:type="character" w:styleId="ae">
    <w:name w:val="Emphasis"/>
    <w:basedOn w:val="a0"/>
    <w:uiPriority w:val="20"/>
    <w:qFormat w:val="1"/>
    <w:rsid w:val="00113825"/>
    <w:rPr>
      <w:i w:val="1"/>
      <w:i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CyRiqyo5LQtSEjsbHheNZ0fBQ==">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2026-09-14T00:37:00Z</dcterms:created>
  <dc:creator>Слаутина Екатерина Анатольевна</dc:creator>
</cp:coreProperties>
</file>