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B89" w:rsidRPr="00EC0B60" w:rsidRDefault="00E42B89" w:rsidP="00EC0B60">
      <w:pPr>
        <w:spacing w:beforeLines="50" w:before="180" w:afterLines="50" w:after="180"/>
        <w:ind w:left="364"/>
        <w:jc w:val="center"/>
      </w:pPr>
      <w:r w:rsidRPr="00EC0B60">
        <w:rPr>
          <w:rFonts w:eastAsia="標楷體"/>
          <w:b/>
          <w:sz w:val="32"/>
          <w:szCs w:val="32"/>
        </w:rPr>
        <w:t>附錄一</w:t>
      </w:r>
      <w:r w:rsidRPr="00EC0B60">
        <w:rPr>
          <w:rFonts w:eastAsia="標楷體"/>
          <w:b/>
          <w:sz w:val="32"/>
          <w:szCs w:val="32"/>
        </w:rPr>
        <w:t xml:space="preserve"> </w:t>
      </w:r>
      <w:r w:rsidRPr="00EC0B60">
        <w:rPr>
          <w:rFonts w:eastAsia="標楷體"/>
          <w:b/>
          <w:sz w:val="32"/>
          <w:szCs w:val="32"/>
        </w:rPr>
        <w:t>研究方法</w:t>
      </w:r>
    </w:p>
    <w:p w:rsidR="00E42B89" w:rsidRPr="00EC0B60" w:rsidRDefault="00E42B89" w:rsidP="001B3C67">
      <w:pPr>
        <w:pStyle w:val="-1"/>
        <w:spacing w:beforeLines="50" w:before="180" w:afterLines="50" w:after="180"/>
        <w:rPr>
          <w:rFonts w:ascii="Times New Roman" w:eastAsia="標楷體" w:hAnsi="Times New Roman"/>
        </w:rPr>
      </w:pPr>
      <w:r w:rsidRPr="00EC0B60">
        <w:rPr>
          <w:rFonts w:ascii="Times New Roman" w:eastAsia="標楷體" w:hAnsi="Times New Roman"/>
        </w:rPr>
        <w:t>一、調查對象</w:t>
      </w:r>
    </w:p>
    <w:p w:rsidR="00E42B89" w:rsidRPr="001B3C67" w:rsidRDefault="00E42B89" w:rsidP="001B3C67">
      <w:pPr>
        <w:spacing w:beforeLines="50" w:before="180"/>
        <w:ind w:firstLineChars="200" w:firstLine="480"/>
        <w:jc w:val="both"/>
        <w:rPr>
          <w:rFonts w:eastAsia="標楷體"/>
        </w:rPr>
      </w:pPr>
      <w:r w:rsidRPr="001B3C67">
        <w:rPr>
          <w:rFonts w:eastAsia="標楷體"/>
        </w:rPr>
        <w:t>以設籍在</w:t>
      </w:r>
      <w:r w:rsidR="0001089B" w:rsidRPr="001B3C67">
        <w:rPr>
          <w:rFonts w:eastAsia="標楷體"/>
        </w:rPr>
        <w:t>臺</w:t>
      </w:r>
      <w:r w:rsidR="00FA3415" w:rsidRPr="001B3C67">
        <w:rPr>
          <w:rFonts w:eastAsia="標楷體"/>
        </w:rPr>
        <w:t>灣地區</w:t>
      </w:r>
      <w:r w:rsidRPr="001B3C67">
        <w:rPr>
          <w:rFonts w:eastAsia="標楷體"/>
        </w:rPr>
        <w:t>且年滿二十歲以上的成年人為本次調查的訪問對象。</w:t>
      </w:r>
    </w:p>
    <w:p w:rsidR="00E42B89" w:rsidRPr="00EC0B60" w:rsidRDefault="00E42B89" w:rsidP="001B3C67">
      <w:pPr>
        <w:pStyle w:val="-1"/>
        <w:spacing w:beforeLines="50" w:before="180" w:afterLines="50" w:after="180"/>
        <w:rPr>
          <w:rFonts w:ascii="Times New Roman" w:eastAsia="標楷體" w:hAnsi="Times New Roman"/>
        </w:rPr>
      </w:pPr>
      <w:r w:rsidRPr="00EC0B60">
        <w:rPr>
          <w:rFonts w:ascii="Times New Roman" w:eastAsia="標楷體" w:hAnsi="Times New Roman"/>
        </w:rPr>
        <w:t>二、抽樣方法</w:t>
      </w:r>
    </w:p>
    <w:p w:rsidR="006E038C" w:rsidRPr="00EC0B60" w:rsidRDefault="006E038C" w:rsidP="001B3C67">
      <w:pPr>
        <w:spacing w:beforeLines="50" w:before="180"/>
        <w:jc w:val="both"/>
        <w:rPr>
          <w:rFonts w:eastAsia="標楷體"/>
        </w:rPr>
      </w:pPr>
      <w:r w:rsidRPr="00EC0B60">
        <w:rPr>
          <w:rFonts w:eastAsia="標楷體"/>
        </w:rPr>
        <w:t xml:space="preserve">    </w:t>
      </w:r>
      <w:r w:rsidRPr="00EC0B60">
        <w:rPr>
          <w:rFonts w:eastAsia="標楷體"/>
        </w:rPr>
        <w:t>本次電話訪問的樣本主要有兩種，一部分是以「中華電信住宅部</w:t>
      </w:r>
      <w:r w:rsidR="0017274E">
        <w:rPr>
          <w:rFonts w:eastAsia="標楷體" w:hint="eastAsia"/>
        </w:rPr>
        <w:t>102</w:t>
      </w:r>
      <w:r w:rsidRPr="00EC0B60">
        <w:rPr>
          <w:rFonts w:eastAsia="標楷體"/>
        </w:rPr>
        <w:t>-10</w:t>
      </w:r>
      <w:r w:rsidR="0017274E">
        <w:rPr>
          <w:rFonts w:eastAsia="標楷體" w:hint="eastAsia"/>
        </w:rPr>
        <w:t>3</w:t>
      </w:r>
      <w:r w:rsidRPr="00EC0B60">
        <w:rPr>
          <w:rFonts w:eastAsia="標楷體"/>
        </w:rPr>
        <w:t>年版電話號碼簿」為母體清冊，依據各縣市電話簿所刊電話數佔</w:t>
      </w:r>
      <w:r w:rsidR="0001089B">
        <w:rPr>
          <w:rFonts w:eastAsia="標楷體"/>
        </w:rPr>
        <w:t>臺</w:t>
      </w:r>
      <w:r w:rsidRPr="00EC0B60">
        <w:rPr>
          <w:rFonts w:eastAsia="標楷體"/>
        </w:rPr>
        <w:t>灣地區所刊電話總數比例，決定各縣市抽出之電話數比例，以等距抽樣法抽出各縣市電話樣本後，為求涵蓋的完整性，再以隨機亂數修正電話號碼的最後二碼或四碼，以求接觸到未登錄電話的住宅戶。在開始訪問之前，訪員將按照（洪式）戶中抽樣的原則，抽出應受訪的對象再進行訪問。</w:t>
      </w:r>
      <w:r w:rsidR="0017274E">
        <w:rPr>
          <w:rFonts w:eastAsia="標楷體"/>
        </w:rPr>
        <w:t>另一部分的電話樣本則是來自政治大</w:t>
      </w:r>
      <w:r w:rsidR="0017274E">
        <w:rPr>
          <w:rFonts w:eastAsia="標楷體" w:hint="eastAsia"/>
        </w:rPr>
        <w:t>學</w:t>
      </w:r>
      <w:r w:rsidR="0017274E" w:rsidRPr="00EF72C6">
        <w:rPr>
          <w:rFonts w:eastAsia="標楷體"/>
        </w:rPr>
        <w:t>選舉研究中心所累積的電訪資料庫，以隨機亂數修正電話號碼的最後四碼來製作電話樣本。在開始訪問之前，訪員將按照（洪式）戶中抽樣的原則，抽出應受訪的對象再進行訪問。</w:t>
      </w:r>
    </w:p>
    <w:p w:rsidR="00E42B89" w:rsidRPr="00EC0B60" w:rsidRDefault="00E42B89" w:rsidP="001B3C67">
      <w:pPr>
        <w:pStyle w:val="-1"/>
        <w:spacing w:beforeLines="50" w:before="180" w:afterLines="50" w:after="180"/>
        <w:rPr>
          <w:rFonts w:ascii="Times New Roman" w:eastAsia="標楷體" w:hAnsi="Times New Roman"/>
        </w:rPr>
      </w:pPr>
      <w:r w:rsidRPr="00EC0B60">
        <w:rPr>
          <w:rFonts w:ascii="Times New Roman" w:eastAsia="標楷體" w:hAnsi="Times New Roman"/>
        </w:rPr>
        <w:t>三、調查方法</w:t>
      </w:r>
    </w:p>
    <w:p w:rsidR="00E42B89" w:rsidRDefault="00E42B89" w:rsidP="001B3C67">
      <w:pPr>
        <w:spacing w:beforeLines="50" w:before="180"/>
        <w:jc w:val="both"/>
        <w:rPr>
          <w:rFonts w:eastAsia="標楷體"/>
        </w:rPr>
      </w:pPr>
      <w:r w:rsidRPr="00EC0B60">
        <w:rPr>
          <w:rFonts w:eastAsia="標楷體"/>
        </w:rPr>
        <w:t xml:space="preserve">　　以電話訪問之方式進行獨立樣本訪問。訪問期間自</w:t>
      </w:r>
      <w:r w:rsidR="00FA3415" w:rsidRPr="00EC0B60">
        <w:rPr>
          <w:rFonts w:eastAsia="標楷體"/>
        </w:rPr>
        <w:t>10</w:t>
      </w:r>
      <w:r w:rsidR="0017274E">
        <w:rPr>
          <w:rFonts w:eastAsia="標楷體"/>
        </w:rPr>
        <w:t>4</w:t>
      </w:r>
      <w:r w:rsidRPr="00EC0B60">
        <w:rPr>
          <w:rFonts w:eastAsia="標楷體"/>
        </w:rPr>
        <w:t>年</w:t>
      </w:r>
      <w:r w:rsidR="0017274E">
        <w:rPr>
          <w:rFonts w:eastAsia="標楷體"/>
        </w:rPr>
        <w:t>03</w:t>
      </w:r>
      <w:r w:rsidRPr="00EC0B60">
        <w:rPr>
          <w:rFonts w:eastAsia="標楷體"/>
        </w:rPr>
        <w:t>月</w:t>
      </w:r>
      <w:r w:rsidR="00A72214">
        <w:rPr>
          <w:rFonts w:eastAsia="標楷體" w:hint="eastAsia"/>
        </w:rPr>
        <w:t>0</w:t>
      </w:r>
      <w:r w:rsidR="0017274E">
        <w:rPr>
          <w:rFonts w:eastAsia="標楷體"/>
        </w:rPr>
        <w:t>2</w:t>
      </w:r>
      <w:r w:rsidRPr="00EC0B60">
        <w:rPr>
          <w:rFonts w:eastAsia="標楷體"/>
        </w:rPr>
        <w:t>日（星期</w:t>
      </w:r>
      <w:r w:rsidR="0017274E">
        <w:rPr>
          <w:rFonts w:eastAsia="標楷體" w:hint="eastAsia"/>
        </w:rPr>
        <w:t>一</w:t>
      </w:r>
      <w:r w:rsidRPr="00EC0B60">
        <w:rPr>
          <w:rFonts w:eastAsia="標楷體"/>
        </w:rPr>
        <w:t>）至</w:t>
      </w:r>
      <w:r w:rsidR="0017274E">
        <w:rPr>
          <w:rFonts w:eastAsia="標楷體"/>
        </w:rPr>
        <w:t>03</w:t>
      </w:r>
      <w:r w:rsidRPr="00EC0B60">
        <w:rPr>
          <w:rFonts w:eastAsia="標楷體"/>
        </w:rPr>
        <w:t>月</w:t>
      </w:r>
      <w:r w:rsidR="007077A0">
        <w:rPr>
          <w:rFonts w:eastAsia="標楷體"/>
        </w:rPr>
        <w:t>0</w:t>
      </w:r>
      <w:r w:rsidR="00B71D3A">
        <w:rPr>
          <w:rFonts w:eastAsia="標楷體"/>
        </w:rPr>
        <w:t>9</w:t>
      </w:r>
      <w:r w:rsidRPr="00EC0B60">
        <w:rPr>
          <w:rFonts w:eastAsia="標楷體"/>
        </w:rPr>
        <w:t>日（星期</w:t>
      </w:r>
      <w:r w:rsidR="00B71D3A">
        <w:rPr>
          <w:rFonts w:eastAsia="標楷體" w:hint="eastAsia"/>
        </w:rPr>
        <w:t>一</w:t>
      </w:r>
      <w:r w:rsidRPr="00EC0B60">
        <w:rPr>
          <w:rFonts w:eastAsia="標楷體"/>
        </w:rPr>
        <w:t>）於政治大學選舉研究中心執行，本次訪問預定完成</w:t>
      </w:r>
      <w:r w:rsidRPr="00EC0B60">
        <w:rPr>
          <w:rFonts w:eastAsia="標楷體"/>
        </w:rPr>
        <w:t>1,</w:t>
      </w:r>
      <w:r w:rsidR="0017274E">
        <w:rPr>
          <w:rFonts w:eastAsia="標楷體"/>
        </w:rPr>
        <w:t>300</w:t>
      </w:r>
      <w:r w:rsidRPr="00EC0B60">
        <w:rPr>
          <w:rFonts w:eastAsia="標楷體"/>
        </w:rPr>
        <w:t>個樣本，經實際訪問完</w:t>
      </w:r>
      <w:r w:rsidRPr="009872ED">
        <w:rPr>
          <w:rFonts w:eastAsia="標楷體"/>
        </w:rPr>
        <w:t>成</w:t>
      </w:r>
      <w:r w:rsidRPr="009872ED">
        <w:rPr>
          <w:rFonts w:eastAsia="標楷體"/>
        </w:rPr>
        <w:t>1,</w:t>
      </w:r>
      <w:r w:rsidR="00C7033E">
        <w:rPr>
          <w:rFonts w:eastAsia="標楷體"/>
        </w:rPr>
        <w:t>980</w:t>
      </w:r>
      <w:r w:rsidRPr="009872ED">
        <w:rPr>
          <w:rFonts w:eastAsia="標楷體"/>
        </w:rPr>
        <w:t>個有效樣本</w:t>
      </w:r>
      <w:r w:rsidRPr="00EC0B60">
        <w:rPr>
          <w:rFonts w:eastAsia="標楷體"/>
        </w:rPr>
        <w:t>。</w:t>
      </w:r>
    </w:p>
    <w:p w:rsidR="00B71D3A" w:rsidRDefault="00B71D3A">
      <w:pPr>
        <w:widowControl/>
        <w:rPr>
          <w:rFonts w:eastAsia="標楷體"/>
          <w:b/>
          <w:kern w:val="0"/>
          <w:sz w:val="32"/>
          <w:szCs w:val="32"/>
        </w:rPr>
      </w:pPr>
      <w:r>
        <w:rPr>
          <w:rFonts w:eastAsia="標楷體"/>
        </w:rPr>
        <w:br w:type="page"/>
      </w:r>
    </w:p>
    <w:p w:rsidR="00E42B89" w:rsidRPr="00EC0B60" w:rsidRDefault="00E42B89" w:rsidP="00E42B89">
      <w:pPr>
        <w:pStyle w:val="1"/>
        <w:rPr>
          <w:rFonts w:eastAsia="標楷體" w:hAnsi="Times New Roman"/>
        </w:rPr>
      </w:pPr>
      <w:r w:rsidRPr="00EC0B60">
        <w:rPr>
          <w:rFonts w:eastAsia="標楷體" w:hAnsi="Times New Roman"/>
        </w:rPr>
        <w:lastRenderedPageBreak/>
        <w:t>附錄二</w:t>
      </w:r>
      <w:r w:rsidRPr="00EC0B60">
        <w:rPr>
          <w:rFonts w:eastAsia="標楷體" w:hAnsi="Times New Roman"/>
        </w:rPr>
        <w:t xml:space="preserve">  </w:t>
      </w:r>
      <w:r w:rsidRPr="00EC0B60">
        <w:rPr>
          <w:rFonts w:eastAsia="標楷體" w:hAnsi="Times New Roman"/>
        </w:rPr>
        <w:t>樣本分配表</w:t>
      </w:r>
    </w:p>
    <w:p w:rsidR="00E42B89" w:rsidRPr="00EC0B60" w:rsidRDefault="00E42B89" w:rsidP="00E42B89">
      <w:pPr>
        <w:ind w:firstLineChars="100" w:firstLine="240"/>
        <w:rPr>
          <w:rFonts w:eastAsia="標楷體"/>
        </w:rPr>
      </w:pPr>
      <w:r w:rsidRPr="00EC0B60">
        <w:rPr>
          <w:rFonts w:eastAsia="標楷體"/>
        </w:rPr>
        <w:t>表</w:t>
      </w:r>
      <w:r w:rsidRPr="00EC0B60">
        <w:rPr>
          <w:rFonts w:eastAsia="標楷體"/>
        </w:rPr>
        <w:t xml:space="preserve">B.1  </w:t>
      </w:r>
      <w:r w:rsidRPr="00EC0B60">
        <w:rPr>
          <w:rFonts w:eastAsia="標楷體"/>
        </w:rPr>
        <w:t>樣本分配表</w:t>
      </w:r>
    </w:p>
    <w:tbl>
      <w:tblPr>
        <w:tblW w:w="5000" w:type="pct"/>
        <w:jc w:val="center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56"/>
        <w:gridCol w:w="1916"/>
        <w:gridCol w:w="1598"/>
        <w:gridCol w:w="320"/>
      </w:tblGrid>
      <w:tr w:rsidR="00E42B89" w:rsidRPr="00EB5B07" w:rsidTr="00EB5B07">
        <w:trPr>
          <w:trHeight w:val="223"/>
          <w:jc w:val="center"/>
        </w:trPr>
        <w:tc>
          <w:tcPr>
            <w:tcW w:w="28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B89" w:rsidRPr="00EB5B07" w:rsidRDefault="00E42B89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09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B89" w:rsidRPr="00EB5B07" w:rsidRDefault="00E42B89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次</w:t>
            </w:r>
            <w:r w:rsidRPr="00EB5B07">
              <w:rPr>
                <w:rFonts w:eastAsia="標楷體"/>
                <w:sz w:val="20"/>
                <w:szCs w:val="20"/>
              </w:rPr>
              <w:t xml:space="preserve">  </w:t>
            </w:r>
            <w:r w:rsidRPr="00EB5B07">
              <w:rPr>
                <w:rFonts w:eastAsia="標楷體"/>
                <w:sz w:val="20"/>
                <w:szCs w:val="20"/>
              </w:rPr>
              <w:t>數</w:t>
            </w:r>
          </w:p>
        </w:tc>
        <w:tc>
          <w:tcPr>
            <w:tcW w:w="109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42B89" w:rsidRPr="00EB5B07" w:rsidRDefault="00F14FB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center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 xml:space="preserve">       </w:t>
            </w:r>
            <w:r w:rsidR="00E42B89" w:rsidRPr="00EB5B07">
              <w:rPr>
                <w:rFonts w:eastAsia="標楷體"/>
                <w:sz w:val="20"/>
                <w:szCs w:val="20"/>
              </w:rPr>
              <w:t>百分比</w:t>
            </w:r>
          </w:p>
        </w:tc>
      </w:tr>
      <w:tr w:rsidR="00E42B89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42B89" w:rsidRPr="00EB5B07" w:rsidRDefault="00E42B89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性別</w:t>
            </w:r>
          </w:p>
        </w:tc>
        <w:tc>
          <w:tcPr>
            <w:tcW w:w="1090" w:type="pct"/>
            <w:vAlign w:val="center"/>
          </w:tcPr>
          <w:p w:rsidR="00E42B89" w:rsidRPr="00EB5B07" w:rsidRDefault="00E42B89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091" w:type="pct"/>
            <w:gridSpan w:val="2"/>
            <w:vAlign w:val="center"/>
          </w:tcPr>
          <w:p w:rsidR="00E42B89" w:rsidRPr="00EB5B07" w:rsidRDefault="00E42B89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男性</w:t>
            </w:r>
          </w:p>
        </w:tc>
        <w:tc>
          <w:tcPr>
            <w:tcW w:w="1090" w:type="pct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905</w:t>
            </w:r>
          </w:p>
        </w:tc>
        <w:tc>
          <w:tcPr>
            <w:tcW w:w="909" w:type="pct"/>
            <w:vAlign w:val="center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45.7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女性</w:t>
            </w:r>
          </w:p>
        </w:tc>
        <w:tc>
          <w:tcPr>
            <w:tcW w:w="1090" w:type="pct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1075</w:t>
            </w:r>
          </w:p>
        </w:tc>
        <w:tc>
          <w:tcPr>
            <w:tcW w:w="909" w:type="pct"/>
            <w:vAlign w:val="center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54.3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1E0358" w:rsidRPr="00EB5B07" w:rsidTr="00EB5B07">
        <w:trPr>
          <w:trHeight w:hRule="exact" w:val="163"/>
          <w:jc w:val="center"/>
        </w:trPr>
        <w:tc>
          <w:tcPr>
            <w:tcW w:w="2819" w:type="pct"/>
            <w:vAlign w:val="center"/>
          </w:tcPr>
          <w:p w:rsidR="001E0358" w:rsidRPr="00EB5B07" w:rsidRDefault="001E035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090" w:type="pct"/>
            <w:vAlign w:val="center"/>
          </w:tcPr>
          <w:p w:rsidR="001E0358" w:rsidRPr="00EB5B07" w:rsidRDefault="001E0358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1E0358" w:rsidRPr="00EB5B07" w:rsidRDefault="001E0358" w:rsidP="00EB5B07">
            <w:pPr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vAlign w:val="center"/>
          </w:tcPr>
          <w:p w:rsidR="001E0358" w:rsidRPr="00EB5B07" w:rsidRDefault="001E0358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</w:p>
        </w:tc>
      </w:tr>
      <w:tr w:rsidR="001E0358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1E0358" w:rsidRPr="00EB5B07" w:rsidRDefault="001E035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年齡</w:t>
            </w:r>
          </w:p>
        </w:tc>
        <w:tc>
          <w:tcPr>
            <w:tcW w:w="1090" w:type="pct"/>
            <w:vAlign w:val="center"/>
          </w:tcPr>
          <w:p w:rsidR="001E0358" w:rsidRPr="00EB5B07" w:rsidRDefault="001E0358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1E0358" w:rsidRPr="00EB5B07" w:rsidRDefault="001E0358" w:rsidP="00EB5B07">
            <w:pPr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vAlign w:val="center"/>
          </w:tcPr>
          <w:p w:rsidR="001E0358" w:rsidRPr="00EB5B07" w:rsidRDefault="001E0358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20</w:t>
            </w:r>
            <w:r w:rsidRPr="00EB5B07">
              <w:rPr>
                <w:rFonts w:eastAsia="標楷體"/>
                <w:sz w:val="20"/>
                <w:szCs w:val="20"/>
              </w:rPr>
              <w:t>至</w:t>
            </w:r>
            <w:r w:rsidRPr="00EB5B07">
              <w:rPr>
                <w:rFonts w:eastAsia="標楷體"/>
                <w:sz w:val="20"/>
                <w:szCs w:val="20"/>
              </w:rPr>
              <w:t>29</w:t>
            </w:r>
            <w:r w:rsidRPr="00EB5B07">
              <w:rPr>
                <w:rFonts w:eastAsia="標楷體"/>
                <w:sz w:val="20"/>
                <w:szCs w:val="20"/>
              </w:rPr>
              <w:t>歲</w:t>
            </w:r>
          </w:p>
        </w:tc>
        <w:tc>
          <w:tcPr>
            <w:tcW w:w="1090" w:type="pct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285</w:t>
            </w:r>
          </w:p>
        </w:tc>
        <w:tc>
          <w:tcPr>
            <w:tcW w:w="909" w:type="pct"/>
            <w:vAlign w:val="center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14.6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30</w:t>
            </w:r>
            <w:r w:rsidRPr="00EB5B07">
              <w:rPr>
                <w:rFonts w:eastAsia="標楷體"/>
                <w:sz w:val="20"/>
                <w:szCs w:val="20"/>
              </w:rPr>
              <w:t>至</w:t>
            </w:r>
            <w:r w:rsidRPr="00EB5B07">
              <w:rPr>
                <w:rFonts w:eastAsia="標楷體"/>
                <w:sz w:val="20"/>
                <w:szCs w:val="20"/>
              </w:rPr>
              <w:t>39</w:t>
            </w:r>
            <w:r w:rsidRPr="00EB5B07">
              <w:rPr>
                <w:rFonts w:eastAsia="標楷體"/>
                <w:sz w:val="20"/>
                <w:szCs w:val="20"/>
              </w:rPr>
              <w:t>歲</w:t>
            </w:r>
          </w:p>
        </w:tc>
        <w:tc>
          <w:tcPr>
            <w:tcW w:w="1090" w:type="pct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378</w:t>
            </w:r>
          </w:p>
        </w:tc>
        <w:tc>
          <w:tcPr>
            <w:tcW w:w="909" w:type="pct"/>
            <w:vAlign w:val="center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19.4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40</w:t>
            </w:r>
            <w:r w:rsidRPr="00EB5B07">
              <w:rPr>
                <w:rFonts w:eastAsia="標楷體"/>
                <w:sz w:val="20"/>
                <w:szCs w:val="20"/>
              </w:rPr>
              <w:t>至</w:t>
            </w:r>
            <w:r w:rsidRPr="00EB5B07">
              <w:rPr>
                <w:rFonts w:eastAsia="標楷體"/>
                <w:sz w:val="20"/>
                <w:szCs w:val="20"/>
              </w:rPr>
              <w:t>49</w:t>
            </w:r>
            <w:r w:rsidRPr="00EB5B07">
              <w:rPr>
                <w:rFonts w:eastAsia="標楷體"/>
                <w:sz w:val="20"/>
                <w:szCs w:val="20"/>
              </w:rPr>
              <w:t>歲</w:t>
            </w:r>
          </w:p>
        </w:tc>
        <w:tc>
          <w:tcPr>
            <w:tcW w:w="1090" w:type="pct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454</w:t>
            </w:r>
          </w:p>
        </w:tc>
        <w:tc>
          <w:tcPr>
            <w:tcW w:w="909" w:type="pct"/>
            <w:vAlign w:val="center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23.3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50</w:t>
            </w:r>
            <w:r w:rsidRPr="00EB5B07">
              <w:rPr>
                <w:rFonts w:eastAsia="標楷體"/>
                <w:sz w:val="20"/>
                <w:szCs w:val="20"/>
              </w:rPr>
              <w:t>至</w:t>
            </w:r>
            <w:r w:rsidRPr="00EB5B07">
              <w:rPr>
                <w:rFonts w:eastAsia="標楷體"/>
                <w:sz w:val="20"/>
                <w:szCs w:val="20"/>
              </w:rPr>
              <w:t>59</w:t>
            </w:r>
            <w:r w:rsidRPr="00EB5B07">
              <w:rPr>
                <w:rFonts w:eastAsia="標楷體"/>
                <w:sz w:val="20"/>
                <w:szCs w:val="20"/>
              </w:rPr>
              <w:t>歲</w:t>
            </w:r>
          </w:p>
        </w:tc>
        <w:tc>
          <w:tcPr>
            <w:tcW w:w="1090" w:type="pct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424</w:t>
            </w:r>
          </w:p>
        </w:tc>
        <w:tc>
          <w:tcPr>
            <w:tcW w:w="909" w:type="pct"/>
            <w:vAlign w:val="center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21.8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60</w:t>
            </w:r>
            <w:r w:rsidRPr="00EB5B07">
              <w:rPr>
                <w:rFonts w:eastAsia="標楷體"/>
                <w:sz w:val="20"/>
                <w:szCs w:val="20"/>
              </w:rPr>
              <w:t>歲及以上</w:t>
            </w:r>
          </w:p>
        </w:tc>
        <w:tc>
          <w:tcPr>
            <w:tcW w:w="1090" w:type="pct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408</w:t>
            </w:r>
          </w:p>
        </w:tc>
        <w:tc>
          <w:tcPr>
            <w:tcW w:w="909" w:type="pct"/>
            <w:vAlign w:val="center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20.9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1E0358" w:rsidRPr="00EB5B07" w:rsidTr="00EB5B07">
        <w:trPr>
          <w:trHeight w:hRule="exact" w:val="163"/>
          <w:jc w:val="center"/>
        </w:trPr>
        <w:tc>
          <w:tcPr>
            <w:tcW w:w="2819" w:type="pct"/>
            <w:vAlign w:val="center"/>
          </w:tcPr>
          <w:p w:rsidR="001E0358" w:rsidRPr="00EB5B07" w:rsidRDefault="001E035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090" w:type="pct"/>
            <w:vAlign w:val="center"/>
          </w:tcPr>
          <w:p w:rsidR="001E0358" w:rsidRPr="00EB5B07" w:rsidRDefault="001E0358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1E0358" w:rsidRPr="00EB5B07" w:rsidRDefault="001E0358" w:rsidP="00EB5B07">
            <w:pPr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vAlign w:val="center"/>
          </w:tcPr>
          <w:p w:rsidR="001E0358" w:rsidRPr="00EB5B07" w:rsidRDefault="001E0358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</w:p>
        </w:tc>
      </w:tr>
      <w:tr w:rsidR="001E0358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1E0358" w:rsidRPr="00EB5B07" w:rsidRDefault="001E035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教育程度</w:t>
            </w:r>
          </w:p>
        </w:tc>
        <w:tc>
          <w:tcPr>
            <w:tcW w:w="1090" w:type="pct"/>
            <w:vAlign w:val="center"/>
          </w:tcPr>
          <w:p w:rsidR="001E0358" w:rsidRPr="00EB5B07" w:rsidRDefault="001E0358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1E0358" w:rsidRPr="00EB5B07" w:rsidRDefault="001E0358" w:rsidP="00EB5B07">
            <w:pPr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vAlign w:val="center"/>
          </w:tcPr>
          <w:p w:rsidR="001E0358" w:rsidRPr="00EB5B07" w:rsidRDefault="001E0358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小學及以下</w:t>
            </w:r>
          </w:p>
        </w:tc>
        <w:tc>
          <w:tcPr>
            <w:tcW w:w="1090" w:type="pct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192</w:t>
            </w:r>
          </w:p>
        </w:tc>
        <w:tc>
          <w:tcPr>
            <w:tcW w:w="909" w:type="pct"/>
            <w:vAlign w:val="center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9</w:t>
            </w:r>
            <w:r>
              <w:rPr>
                <w:rFonts w:eastAsia="標楷體"/>
                <w:sz w:val="20"/>
                <w:szCs w:val="20"/>
              </w:rPr>
              <w:t>.7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國、初中</w:t>
            </w:r>
          </w:p>
        </w:tc>
        <w:tc>
          <w:tcPr>
            <w:tcW w:w="1090" w:type="pct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163</w:t>
            </w:r>
          </w:p>
        </w:tc>
        <w:tc>
          <w:tcPr>
            <w:tcW w:w="909" w:type="pct"/>
            <w:vAlign w:val="center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8.3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高中、職</w:t>
            </w:r>
          </w:p>
        </w:tc>
        <w:tc>
          <w:tcPr>
            <w:tcW w:w="1090" w:type="pct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602</w:t>
            </w:r>
          </w:p>
        </w:tc>
        <w:tc>
          <w:tcPr>
            <w:tcW w:w="909" w:type="pct"/>
            <w:vAlign w:val="center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30.5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專科</w:t>
            </w:r>
          </w:p>
        </w:tc>
        <w:tc>
          <w:tcPr>
            <w:tcW w:w="1090" w:type="pct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275</w:t>
            </w:r>
          </w:p>
        </w:tc>
        <w:tc>
          <w:tcPr>
            <w:tcW w:w="909" w:type="pct"/>
            <w:vAlign w:val="center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13.9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大學及以上</w:t>
            </w:r>
          </w:p>
        </w:tc>
        <w:tc>
          <w:tcPr>
            <w:tcW w:w="1090" w:type="pct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740</w:t>
            </w:r>
          </w:p>
        </w:tc>
        <w:tc>
          <w:tcPr>
            <w:tcW w:w="909" w:type="pct"/>
            <w:vAlign w:val="center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37.5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1E0358" w:rsidRPr="00EB5B07" w:rsidTr="00EB5B07">
        <w:trPr>
          <w:trHeight w:hRule="exact" w:val="163"/>
          <w:jc w:val="center"/>
        </w:trPr>
        <w:tc>
          <w:tcPr>
            <w:tcW w:w="2819" w:type="pct"/>
            <w:vAlign w:val="center"/>
          </w:tcPr>
          <w:p w:rsidR="001E0358" w:rsidRPr="00EB5B07" w:rsidRDefault="001E035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090" w:type="pct"/>
            <w:vAlign w:val="center"/>
          </w:tcPr>
          <w:p w:rsidR="001E0358" w:rsidRPr="00EB5B07" w:rsidRDefault="001E0358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1E0358" w:rsidRPr="00EB5B07" w:rsidRDefault="001E0358" w:rsidP="00EB5B07">
            <w:pPr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vAlign w:val="center"/>
          </w:tcPr>
          <w:p w:rsidR="001E0358" w:rsidRPr="00EB5B07" w:rsidRDefault="001E0358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</w:p>
        </w:tc>
      </w:tr>
      <w:tr w:rsidR="001E0358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1E0358" w:rsidRPr="00EB5B07" w:rsidRDefault="001E035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父親省籍</w:t>
            </w:r>
          </w:p>
        </w:tc>
        <w:tc>
          <w:tcPr>
            <w:tcW w:w="1090" w:type="pct"/>
            <w:vAlign w:val="center"/>
          </w:tcPr>
          <w:p w:rsidR="001E0358" w:rsidRPr="00EB5B07" w:rsidRDefault="001E0358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1E0358" w:rsidRPr="00EB5B07" w:rsidRDefault="001E0358" w:rsidP="00EB5B07">
            <w:pPr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vAlign w:val="center"/>
          </w:tcPr>
          <w:p w:rsidR="001E0358" w:rsidRPr="00EB5B07" w:rsidRDefault="001E0358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</w:p>
        </w:tc>
      </w:tr>
      <w:tr w:rsidR="00302678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302678" w:rsidRPr="00EB5B07" w:rsidRDefault="0030267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本省客家人</w:t>
            </w:r>
          </w:p>
        </w:tc>
        <w:tc>
          <w:tcPr>
            <w:tcW w:w="1090" w:type="pct"/>
            <w:vAlign w:val="center"/>
          </w:tcPr>
          <w:p w:rsidR="00302678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242</w:t>
            </w:r>
          </w:p>
        </w:tc>
        <w:tc>
          <w:tcPr>
            <w:tcW w:w="909" w:type="pct"/>
            <w:vAlign w:val="center"/>
          </w:tcPr>
          <w:p w:rsidR="00302678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12.6</w:t>
            </w:r>
          </w:p>
        </w:tc>
        <w:tc>
          <w:tcPr>
            <w:tcW w:w="182" w:type="pct"/>
            <w:vAlign w:val="center"/>
          </w:tcPr>
          <w:p w:rsidR="00302678" w:rsidRPr="00EB5B07" w:rsidRDefault="00302678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302678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302678" w:rsidRPr="00EB5B07" w:rsidRDefault="0030267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本省閩南人</w:t>
            </w:r>
          </w:p>
        </w:tc>
        <w:tc>
          <w:tcPr>
            <w:tcW w:w="1090" w:type="pct"/>
            <w:vAlign w:val="center"/>
          </w:tcPr>
          <w:p w:rsidR="00302678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1431</w:t>
            </w:r>
          </w:p>
        </w:tc>
        <w:tc>
          <w:tcPr>
            <w:tcW w:w="909" w:type="pct"/>
            <w:vAlign w:val="center"/>
          </w:tcPr>
          <w:p w:rsidR="00302678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74.8</w:t>
            </w:r>
          </w:p>
        </w:tc>
        <w:tc>
          <w:tcPr>
            <w:tcW w:w="182" w:type="pct"/>
            <w:vAlign w:val="center"/>
          </w:tcPr>
          <w:p w:rsidR="00302678" w:rsidRPr="00EB5B07" w:rsidRDefault="00302678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302678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302678" w:rsidRPr="00EB5B07" w:rsidRDefault="0030267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大陸各省市人</w:t>
            </w:r>
          </w:p>
        </w:tc>
        <w:tc>
          <w:tcPr>
            <w:tcW w:w="1090" w:type="pct"/>
            <w:vAlign w:val="center"/>
          </w:tcPr>
          <w:p w:rsidR="00302678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214</w:t>
            </w:r>
          </w:p>
        </w:tc>
        <w:tc>
          <w:tcPr>
            <w:tcW w:w="909" w:type="pct"/>
            <w:vAlign w:val="center"/>
          </w:tcPr>
          <w:p w:rsidR="00302678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11.2</w:t>
            </w:r>
          </w:p>
        </w:tc>
        <w:tc>
          <w:tcPr>
            <w:tcW w:w="182" w:type="pct"/>
            <w:vAlign w:val="center"/>
          </w:tcPr>
          <w:p w:rsidR="00302678" w:rsidRPr="00EB5B07" w:rsidRDefault="00302678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302678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302678" w:rsidRPr="00EB5B07" w:rsidRDefault="0030267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原住民</w:t>
            </w:r>
          </w:p>
        </w:tc>
        <w:tc>
          <w:tcPr>
            <w:tcW w:w="1090" w:type="pct"/>
            <w:vAlign w:val="center"/>
          </w:tcPr>
          <w:p w:rsidR="00302678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27</w:t>
            </w:r>
          </w:p>
        </w:tc>
        <w:tc>
          <w:tcPr>
            <w:tcW w:w="909" w:type="pct"/>
            <w:vAlign w:val="center"/>
          </w:tcPr>
          <w:p w:rsidR="00302678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1.4</w:t>
            </w:r>
          </w:p>
        </w:tc>
        <w:tc>
          <w:tcPr>
            <w:tcW w:w="182" w:type="pct"/>
            <w:vAlign w:val="center"/>
          </w:tcPr>
          <w:p w:rsidR="00302678" w:rsidRPr="00EB5B07" w:rsidRDefault="00302678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1E0358" w:rsidRPr="00EB5B07" w:rsidTr="00EB5B07">
        <w:trPr>
          <w:trHeight w:hRule="exact" w:val="163"/>
          <w:jc w:val="center"/>
        </w:trPr>
        <w:tc>
          <w:tcPr>
            <w:tcW w:w="2819" w:type="pct"/>
            <w:vAlign w:val="center"/>
          </w:tcPr>
          <w:p w:rsidR="001E0358" w:rsidRPr="00EB5B07" w:rsidRDefault="001E035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090" w:type="pct"/>
            <w:vAlign w:val="center"/>
          </w:tcPr>
          <w:p w:rsidR="001E0358" w:rsidRPr="00EB5B07" w:rsidRDefault="001E0358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1E0358" w:rsidRPr="00EB5B07" w:rsidRDefault="001E0358" w:rsidP="00EB5B07">
            <w:pPr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vAlign w:val="center"/>
          </w:tcPr>
          <w:p w:rsidR="001E0358" w:rsidRPr="00EB5B07" w:rsidRDefault="001E0358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 w:hint="eastAsia"/>
                <w:sz w:val="20"/>
                <w:szCs w:val="20"/>
              </w:rPr>
              <w:t>母</w:t>
            </w:r>
            <w:r w:rsidRPr="00EB5B07">
              <w:rPr>
                <w:rFonts w:eastAsia="標楷體"/>
                <w:sz w:val="20"/>
                <w:szCs w:val="20"/>
              </w:rPr>
              <w:t>親省籍</w:t>
            </w:r>
          </w:p>
        </w:tc>
        <w:tc>
          <w:tcPr>
            <w:tcW w:w="1090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本省客家人</w:t>
            </w:r>
          </w:p>
        </w:tc>
        <w:tc>
          <w:tcPr>
            <w:tcW w:w="1090" w:type="pct"/>
            <w:vAlign w:val="center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267</w:t>
            </w:r>
          </w:p>
        </w:tc>
        <w:tc>
          <w:tcPr>
            <w:tcW w:w="909" w:type="pct"/>
            <w:vAlign w:val="center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</w:t>
            </w:r>
            <w:r>
              <w:rPr>
                <w:rFonts w:eastAsia="標楷體"/>
                <w:sz w:val="20"/>
                <w:szCs w:val="20"/>
              </w:rPr>
              <w:t>4.0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本省閩南人</w:t>
            </w:r>
          </w:p>
        </w:tc>
        <w:tc>
          <w:tcPr>
            <w:tcW w:w="1090" w:type="pct"/>
            <w:vAlign w:val="center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1495</w:t>
            </w:r>
          </w:p>
        </w:tc>
        <w:tc>
          <w:tcPr>
            <w:tcW w:w="909" w:type="pct"/>
            <w:vAlign w:val="center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78.2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大陸各省市人</w:t>
            </w:r>
          </w:p>
        </w:tc>
        <w:tc>
          <w:tcPr>
            <w:tcW w:w="1090" w:type="pct"/>
            <w:vAlign w:val="center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110</w:t>
            </w:r>
          </w:p>
        </w:tc>
        <w:tc>
          <w:tcPr>
            <w:tcW w:w="909" w:type="pct"/>
            <w:vAlign w:val="center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5.8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原住民</w:t>
            </w:r>
          </w:p>
        </w:tc>
        <w:tc>
          <w:tcPr>
            <w:tcW w:w="1090" w:type="pct"/>
            <w:vAlign w:val="center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40</w:t>
            </w:r>
          </w:p>
        </w:tc>
        <w:tc>
          <w:tcPr>
            <w:tcW w:w="909" w:type="pct"/>
            <w:vAlign w:val="center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2.1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163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090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</w:p>
        </w:tc>
      </w:tr>
      <w:tr w:rsidR="001E0358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1E0358" w:rsidRPr="00EB5B07" w:rsidRDefault="001E035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職業</w:t>
            </w:r>
          </w:p>
        </w:tc>
        <w:tc>
          <w:tcPr>
            <w:tcW w:w="1090" w:type="pct"/>
            <w:vAlign w:val="center"/>
          </w:tcPr>
          <w:p w:rsidR="001E0358" w:rsidRPr="00EB5B07" w:rsidRDefault="001E0358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1E0358" w:rsidRPr="00EB5B07" w:rsidRDefault="001E0358" w:rsidP="00EB5B07">
            <w:pPr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vAlign w:val="center"/>
          </w:tcPr>
          <w:p w:rsidR="001E0358" w:rsidRPr="00EB5B07" w:rsidRDefault="001E0358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軍公教人員</w:t>
            </w:r>
          </w:p>
        </w:tc>
        <w:tc>
          <w:tcPr>
            <w:tcW w:w="1090" w:type="pct"/>
            <w:vAlign w:val="center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281</w:t>
            </w:r>
          </w:p>
        </w:tc>
        <w:tc>
          <w:tcPr>
            <w:tcW w:w="909" w:type="pct"/>
            <w:vAlign w:val="center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14.2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私部門管理階層及專業人員</w:t>
            </w:r>
          </w:p>
        </w:tc>
        <w:tc>
          <w:tcPr>
            <w:tcW w:w="1090" w:type="pct"/>
            <w:vAlign w:val="center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460</w:t>
            </w:r>
          </w:p>
        </w:tc>
        <w:tc>
          <w:tcPr>
            <w:tcW w:w="909" w:type="pct"/>
            <w:vAlign w:val="center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23.2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私部門職員</w:t>
            </w:r>
          </w:p>
        </w:tc>
        <w:tc>
          <w:tcPr>
            <w:tcW w:w="1090" w:type="pct"/>
            <w:vAlign w:val="center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358</w:t>
            </w:r>
          </w:p>
        </w:tc>
        <w:tc>
          <w:tcPr>
            <w:tcW w:w="909" w:type="pct"/>
            <w:vAlign w:val="center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18.1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私部門勞工</w:t>
            </w:r>
          </w:p>
        </w:tc>
        <w:tc>
          <w:tcPr>
            <w:tcW w:w="1090" w:type="pct"/>
            <w:vAlign w:val="center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417</w:t>
            </w:r>
          </w:p>
        </w:tc>
        <w:tc>
          <w:tcPr>
            <w:tcW w:w="909" w:type="pct"/>
            <w:vAlign w:val="center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21.1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農林漁牧</w:t>
            </w:r>
          </w:p>
        </w:tc>
        <w:tc>
          <w:tcPr>
            <w:tcW w:w="1090" w:type="pct"/>
            <w:vAlign w:val="center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78</w:t>
            </w:r>
          </w:p>
        </w:tc>
        <w:tc>
          <w:tcPr>
            <w:tcW w:w="909" w:type="pct"/>
            <w:vAlign w:val="center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3.9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學生</w:t>
            </w:r>
          </w:p>
        </w:tc>
        <w:tc>
          <w:tcPr>
            <w:tcW w:w="1090" w:type="pct"/>
            <w:vAlign w:val="center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76</w:t>
            </w:r>
          </w:p>
        </w:tc>
        <w:tc>
          <w:tcPr>
            <w:tcW w:w="909" w:type="pct"/>
            <w:vAlign w:val="center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3.8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家管</w:t>
            </w:r>
          </w:p>
        </w:tc>
        <w:tc>
          <w:tcPr>
            <w:tcW w:w="1090" w:type="pct"/>
            <w:vAlign w:val="center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287</w:t>
            </w:r>
          </w:p>
        </w:tc>
        <w:tc>
          <w:tcPr>
            <w:tcW w:w="909" w:type="pct"/>
            <w:vAlign w:val="center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14.5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其他</w:t>
            </w:r>
          </w:p>
        </w:tc>
        <w:tc>
          <w:tcPr>
            <w:tcW w:w="1090" w:type="pct"/>
            <w:vAlign w:val="center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23</w:t>
            </w:r>
          </w:p>
        </w:tc>
        <w:tc>
          <w:tcPr>
            <w:tcW w:w="909" w:type="pct"/>
            <w:vAlign w:val="center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1.2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1E0358" w:rsidRPr="00EB5B07" w:rsidTr="00EB5B07">
        <w:trPr>
          <w:trHeight w:hRule="exact" w:val="163"/>
          <w:jc w:val="center"/>
        </w:trPr>
        <w:tc>
          <w:tcPr>
            <w:tcW w:w="2819" w:type="pct"/>
            <w:vAlign w:val="center"/>
          </w:tcPr>
          <w:p w:rsidR="001E0358" w:rsidRPr="00EB5B07" w:rsidRDefault="001E035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090" w:type="pct"/>
            <w:vAlign w:val="center"/>
          </w:tcPr>
          <w:p w:rsidR="001E0358" w:rsidRPr="00EB5B07" w:rsidRDefault="001E0358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1E0358" w:rsidRPr="00EB5B07" w:rsidRDefault="001E0358" w:rsidP="00EB5B07">
            <w:pPr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vAlign w:val="center"/>
          </w:tcPr>
          <w:p w:rsidR="001E0358" w:rsidRPr="00EB5B07" w:rsidRDefault="001E0358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</w:p>
        </w:tc>
      </w:tr>
      <w:tr w:rsidR="001E0358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1E0358" w:rsidRPr="00EB5B07" w:rsidRDefault="001E0358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居住地區</w:t>
            </w:r>
          </w:p>
        </w:tc>
        <w:tc>
          <w:tcPr>
            <w:tcW w:w="1090" w:type="pct"/>
            <w:vAlign w:val="center"/>
          </w:tcPr>
          <w:p w:rsidR="001E0358" w:rsidRPr="00EB5B07" w:rsidRDefault="001E0358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1E0358" w:rsidRPr="00EB5B07" w:rsidRDefault="001E0358" w:rsidP="00EB5B07">
            <w:pPr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vAlign w:val="center"/>
          </w:tcPr>
          <w:p w:rsidR="001E0358" w:rsidRPr="00EB5B07" w:rsidRDefault="001E0358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大臺北都會區</w:t>
            </w:r>
          </w:p>
        </w:tc>
        <w:tc>
          <w:tcPr>
            <w:tcW w:w="1090" w:type="pct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370</w:t>
            </w:r>
          </w:p>
        </w:tc>
        <w:tc>
          <w:tcPr>
            <w:tcW w:w="909" w:type="pct"/>
            <w:vAlign w:val="center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18.8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新北市基隆</w:t>
            </w:r>
          </w:p>
        </w:tc>
        <w:tc>
          <w:tcPr>
            <w:tcW w:w="1090" w:type="pct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164</w:t>
            </w:r>
          </w:p>
        </w:tc>
        <w:tc>
          <w:tcPr>
            <w:tcW w:w="909" w:type="pct"/>
            <w:vAlign w:val="center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8.3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桃竹苗</w:t>
            </w:r>
          </w:p>
        </w:tc>
        <w:tc>
          <w:tcPr>
            <w:tcW w:w="1090" w:type="pct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300</w:t>
            </w:r>
          </w:p>
        </w:tc>
        <w:tc>
          <w:tcPr>
            <w:tcW w:w="909" w:type="pct"/>
            <w:vAlign w:val="center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15.2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中彰投</w:t>
            </w:r>
          </w:p>
        </w:tc>
        <w:tc>
          <w:tcPr>
            <w:tcW w:w="1090" w:type="pct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403</w:t>
            </w:r>
          </w:p>
        </w:tc>
        <w:tc>
          <w:tcPr>
            <w:tcW w:w="909" w:type="pct"/>
            <w:vAlign w:val="center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20.4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雲嘉南</w:t>
            </w:r>
          </w:p>
        </w:tc>
        <w:tc>
          <w:tcPr>
            <w:tcW w:w="1090" w:type="pct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351</w:t>
            </w:r>
          </w:p>
        </w:tc>
        <w:tc>
          <w:tcPr>
            <w:tcW w:w="909" w:type="pct"/>
            <w:vAlign w:val="center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17.8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高屏澎</w:t>
            </w:r>
          </w:p>
        </w:tc>
        <w:tc>
          <w:tcPr>
            <w:tcW w:w="1090" w:type="pct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292</w:t>
            </w:r>
          </w:p>
        </w:tc>
        <w:tc>
          <w:tcPr>
            <w:tcW w:w="909" w:type="pct"/>
            <w:vAlign w:val="center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14.8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宜花東</w:t>
            </w:r>
          </w:p>
        </w:tc>
        <w:tc>
          <w:tcPr>
            <w:tcW w:w="1090" w:type="pct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91</w:t>
            </w:r>
          </w:p>
        </w:tc>
        <w:tc>
          <w:tcPr>
            <w:tcW w:w="909" w:type="pct"/>
            <w:vAlign w:val="center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4.6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7872E1" w:rsidRPr="00EB5B07" w:rsidTr="00EB5B07">
        <w:trPr>
          <w:trHeight w:hRule="exact" w:val="163"/>
          <w:jc w:val="center"/>
        </w:trPr>
        <w:tc>
          <w:tcPr>
            <w:tcW w:w="2819" w:type="pct"/>
            <w:vAlign w:val="center"/>
          </w:tcPr>
          <w:p w:rsidR="007872E1" w:rsidRPr="00EB5B07" w:rsidRDefault="007872E1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090" w:type="pct"/>
            <w:vAlign w:val="center"/>
          </w:tcPr>
          <w:p w:rsidR="007872E1" w:rsidRPr="00EB5B07" w:rsidRDefault="007872E1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7872E1" w:rsidRPr="00EB5B07" w:rsidRDefault="007872E1" w:rsidP="00EB5B07">
            <w:pPr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vAlign w:val="center"/>
          </w:tcPr>
          <w:p w:rsidR="007872E1" w:rsidRPr="00EB5B07" w:rsidRDefault="007872E1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</w:p>
        </w:tc>
      </w:tr>
      <w:tr w:rsidR="007872E1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7872E1" w:rsidRPr="00EB5B07" w:rsidRDefault="007872E1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政黨認同</w:t>
            </w:r>
          </w:p>
        </w:tc>
        <w:tc>
          <w:tcPr>
            <w:tcW w:w="1090" w:type="pct"/>
            <w:vAlign w:val="center"/>
          </w:tcPr>
          <w:p w:rsidR="007872E1" w:rsidRPr="00EB5B07" w:rsidRDefault="007872E1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vAlign w:val="center"/>
          </w:tcPr>
          <w:p w:rsidR="007872E1" w:rsidRPr="00EB5B07" w:rsidRDefault="007872E1" w:rsidP="00EB5B07">
            <w:pPr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vAlign w:val="center"/>
          </w:tcPr>
          <w:p w:rsidR="007872E1" w:rsidRPr="00EB5B07" w:rsidRDefault="007872E1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國民黨</w:t>
            </w:r>
          </w:p>
        </w:tc>
        <w:tc>
          <w:tcPr>
            <w:tcW w:w="1090" w:type="pct"/>
            <w:vAlign w:val="center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367</w:t>
            </w:r>
          </w:p>
        </w:tc>
        <w:tc>
          <w:tcPr>
            <w:tcW w:w="909" w:type="pct"/>
            <w:vAlign w:val="center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18.5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民進黨</w:t>
            </w:r>
          </w:p>
        </w:tc>
        <w:tc>
          <w:tcPr>
            <w:tcW w:w="1090" w:type="pct"/>
            <w:vAlign w:val="center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594</w:t>
            </w:r>
          </w:p>
        </w:tc>
        <w:tc>
          <w:tcPr>
            <w:tcW w:w="909" w:type="pct"/>
            <w:vAlign w:val="center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30.0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新黨</w:t>
            </w:r>
          </w:p>
        </w:tc>
        <w:tc>
          <w:tcPr>
            <w:tcW w:w="1090" w:type="pct"/>
            <w:vAlign w:val="center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20</w:t>
            </w:r>
          </w:p>
        </w:tc>
        <w:tc>
          <w:tcPr>
            <w:tcW w:w="909" w:type="pct"/>
            <w:vAlign w:val="center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1.1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親民黨</w:t>
            </w:r>
          </w:p>
        </w:tc>
        <w:tc>
          <w:tcPr>
            <w:tcW w:w="1090" w:type="pct"/>
            <w:vAlign w:val="center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63</w:t>
            </w:r>
          </w:p>
        </w:tc>
        <w:tc>
          <w:tcPr>
            <w:tcW w:w="909" w:type="pct"/>
            <w:vAlign w:val="center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3.2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臺灣團結聯盟</w:t>
            </w:r>
          </w:p>
        </w:tc>
        <w:tc>
          <w:tcPr>
            <w:tcW w:w="1090" w:type="pct"/>
            <w:vAlign w:val="center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25</w:t>
            </w:r>
          </w:p>
        </w:tc>
        <w:tc>
          <w:tcPr>
            <w:tcW w:w="909" w:type="pct"/>
            <w:vAlign w:val="center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1.3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中立及看情形</w:t>
            </w:r>
          </w:p>
        </w:tc>
        <w:tc>
          <w:tcPr>
            <w:tcW w:w="1090" w:type="pct"/>
            <w:vAlign w:val="center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865</w:t>
            </w:r>
          </w:p>
        </w:tc>
        <w:tc>
          <w:tcPr>
            <w:tcW w:w="909" w:type="pct"/>
            <w:vAlign w:val="center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43.7</w:t>
            </w:r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EB5B07" w:rsidRPr="00EB5B07" w:rsidTr="00EB5B07">
        <w:trPr>
          <w:trHeight w:hRule="exact" w:val="241"/>
          <w:jc w:val="center"/>
        </w:trPr>
        <w:tc>
          <w:tcPr>
            <w:tcW w:w="2819" w:type="pct"/>
            <w:vAlign w:val="center"/>
          </w:tcPr>
          <w:p w:rsidR="00EB5B07" w:rsidRPr="00EB5B07" w:rsidRDefault="00EB5B07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無反應及其他政黨</w:t>
            </w:r>
          </w:p>
        </w:tc>
        <w:tc>
          <w:tcPr>
            <w:tcW w:w="1090" w:type="pct"/>
            <w:vAlign w:val="center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46</w:t>
            </w:r>
          </w:p>
        </w:tc>
        <w:tc>
          <w:tcPr>
            <w:tcW w:w="909" w:type="pct"/>
            <w:vAlign w:val="center"/>
          </w:tcPr>
          <w:p w:rsidR="00EB5B07" w:rsidRPr="00EB5B07" w:rsidRDefault="004820AA" w:rsidP="00EB5B07">
            <w:pPr>
              <w:spacing w:line="0" w:lineRule="atLeast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2.3</w:t>
            </w:r>
            <w:bookmarkStart w:id="0" w:name="_GoBack"/>
            <w:bookmarkEnd w:id="0"/>
          </w:p>
        </w:tc>
        <w:tc>
          <w:tcPr>
            <w:tcW w:w="182" w:type="pct"/>
            <w:vAlign w:val="center"/>
          </w:tcPr>
          <w:p w:rsidR="00EB5B07" w:rsidRPr="00EB5B07" w:rsidRDefault="00EB5B07" w:rsidP="00EB5B07">
            <w:pPr>
              <w:snapToGrid w:val="0"/>
              <w:spacing w:line="0" w:lineRule="atLeast"/>
              <w:rPr>
                <w:rFonts w:eastAsia="標楷體"/>
                <w:sz w:val="20"/>
                <w:szCs w:val="20"/>
              </w:rPr>
            </w:pPr>
            <w:r w:rsidRPr="00EB5B07">
              <w:rPr>
                <w:rFonts w:eastAsia="標楷體"/>
                <w:sz w:val="20"/>
                <w:szCs w:val="20"/>
              </w:rPr>
              <w:t>%</w:t>
            </w:r>
          </w:p>
        </w:tc>
      </w:tr>
      <w:tr w:rsidR="007872E1" w:rsidRPr="00EB5B07" w:rsidTr="00EB5B07">
        <w:trPr>
          <w:trHeight w:hRule="exact" w:val="241"/>
          <w:jc w:val="center"/>
        </w:trPr>
        <w:tc>
          <w:tcPr>
            <w:tcW w:w="2819" w:type="pct"/>
            <w:tcBorders>
              <w:bottom w:val="single" w:sz="4" w:space="0" w:color="auto"/>
            </w:tcBorders>
            <w:vAlign w:val="center"/>
          </w:tcPr>
          <w:p w:rsidR="007872E1" w:rsidRPr="00EB5B07" w:rsidRDefault="007872E1" w:rsidP="00EB5B07">
            <w:pPr>
              <w:autoSpaceDE w:val="0"/>
              <w:autoSpaceDN w:val="0"/>
              <w:adjustRightInd w:val="0"/>
              <w:snapToGrid w:val="0"/>
              <w:spacing w:line="0" w:lineRule="atLeast"/>
              <w:jc w:val="both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090" w:type="pct"/>
            <w:tcBorders>
              <w:bottom w:val="single" w:sz="4" w:space="0" w:color="auto"/>
            </w:tcBorders>
            <w:vAlign w:val="center"/>
          </w:tcPr>
          <w:p w:rsidR="007872E1" w:rsidRPr="00EB5B07" w:rsidRDefault="007872E1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909" w:type="pct"/>
            <w:tcBorders>
              <w:bottom w:val="single" w:sz="4" w:space="0" w:color="auto"/>
            </w:tcBorders>
            <w:vAlign w:val="center"/>
          </w:tcPr>
          <w:p w:rsidR="007872E1" w:rsidRPr="00EB5B07" w:rsidRDefault="007872E1" w:rsidP="00EB5B07">
            <w:pPr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182" w:type="pct"/>
            <w:tcBorders>
              <w:bottom w:val="single" w:sz="4" w:space="0" w:color="auto"/>
            </w:tcBorders>
            <w:vAlign w:val="center"/>
          </w:tcPr>
          <w:p w:rsidR="007872E1" w:rsidRPr="00EB5B07" w:rsidRDefault="007872E1" w:rsidP="00EB5B07">
            <w:pPr>
              <w:snapToGrid w:val="0"/>
              <w:spacing w:line="0" w:lineRule="atLeast"/>
              <w:jc w:val="right"/>
              <w:rPr>
                <w:rFonts w:eastAsia="標楷體"/>
                <w:sz w:val="20"/>
                <w:szCs w:val="20"/>
              </w:rPr>
            </w:pPr>
          </w:p>
        </w:tc>
      </w:tr>
    </w:tbl>
    <w:p w:rsidR="00D4182D" w:rsidRPr="00D4182D" w:rsidRDefault="00D4182D" w:rsidP="00D4182D">
      <w:pPr>
        <w:snapToGrid w:val="0"/>
        <w:jc w:val="both"/>
        <w:rPr>
          <w:rFonts w:eastAsia="標楷體"/>
          <w:sz w:val="20"/>
          <w:szCs w:val="20"/>
        </w:rPr>
      </w:pPr>
      <w:r w:rsidRPr="00D4182D">
        <w:rPr>
          <w:rFonts w:eastAsia="標楷體"/>
          <w:sz w:val="20"/>
          <w:szCs w:val="20"/>
        </w:rPr>
        <w:t>註：</w:t>
      </w:r>
      <w:r w:rsidRPr="00D4182D">
        <w:rPr>
          <w:rFonts w:eastAsia="標楷體"/>
          <w:sz w:val="20"/>
          <w:szCs w:val="20"/>
        </w:rPr>
        <w:t>1.</w:t>
      </w:r>
      <w:r w:rsidRPr="00D4182D">
        <w:rPr>
          <w:rFonts w:eastAsia="標楷體"/>
          <w:sz w:val="20"/>
          <w:szCs w:val="20"/>
        </w:rPr>
        <w:t>百分比計採小數點第</w:t>
      </w:r>
      <w:r w:rsidRPr="00D4182D">
        <w:rPr>
          <w:rFonts w:eastAsia="標楷體"/>
          <w:sz w:val="20"/>
          <w:szCs w:val="20"/>
        </w:rPr>
        <w:t>1</w:t>
      </w:r>
      <w:r w:rsidRPr="00D4182D">
        <w:rPr>
          <w:rFonts w:eastAsia="標楷體"/>
          <w:sz w:val="20"/>
          <w:szCs w:val="20"/>
        </w:rPr>
        <w:t>位後四捨五入呈現，故各百分比之加總可能產生非</w:t>
      </w:r>
      <w:r w:rsidRPr="00D4182D">
        <w:rPr>
          <w:rFonts w:eastAsia="標楷體"/>
          <w:sz w:val="20"/>
          <w:szCs w:val="20"/>
        </w:rPr>
        <w:t>100%</w:t>
      </w:r>
      <w:r w:rsidRPr="00D4182D">
        <w:rPr>
          <w:rFonts w:eastAsia="標楷體"/>
          <w:sz w:val="20"/>
          <w:szCs w:val="20"/>
        </w:rPr>
        <w:t>之情形。</w:t>
      </w:r>
    </w:p>
    <w:p w:rsidR="00F14FB8" w:rsidRPr="00D4182D" w:rsidRDefault="00D4182D" w:rsidP="00556470">
      <w:pPr>
        <w:snapToGrid w:val="0"/>
        <w:ind w:firstLineChars="200" w:firstLine="400"/>
        <w:jc w:val="both"/>
        <w:rPr>
          <w:rFonts w:eastAsia="標楷體"/>
        </w:rPr>
      </w:pPr>
      <w:r w:rsidRPr="00D4182D">
        <w:rPr>
          <w:rFonts w:eastAsia="標楷體"/>
          <w:sz w:val="20"/>
          <w:szCs w:val="20"/>
        </w:rPr>
        <w:t>2.</w:t>
      </w:r>
      <w:r w:rsidRPr="00D4182D">
        <w:rPr>
          <w:rFonts w:eastAsia="標楷體"/>
          <w:sz w:val="20"/>
          <w:szCs w:val="20"/>
        </w:rPr>
        <w:t>本表之各百分比並未計算無反應之選項。</w:t>
      </w:r>
    </w:p>
    <w:sectPr w:rsidR="00F14FB8" w:rsidRPr="00D4182D" w:rsidSect="00EB5B07">
      <w:pgSz w:w="11906" w:h="16838" w:code="9"/>
      <w:pgMar w:top="851" w:right="1588" w:bottom="567" w:left="1588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D4E" w:rsidRDefault="00545D4E" w:rsidP="000A4EBA">
      <w:r>
        <w:separator/>
      </w:r>
    </w:p>
  </w:endnote>
  <w:endnote w:type="continuationSeparator" w:id="0">
    <w:p w:rsidR="00545D4E" w:rsidRDefault="00545D4E" w:rsidP="000A4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D4E" w:rsidRDefault="00545D4E" w:rsidP="000A4EBA">
      <w:r>
        <w:separator/>
      </w:r>
    </w:p>
  </w:footnote>
  <w:footnote w:type="continuationSeparator" w:id="0">
    <w:p w:rsidR="00545D4E" w:rsidRDefault="00545D4E" w:rsidP="000A4E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42B89"/>
    <w:rsid w:val="0001089B"/>
    <w:rsid w:val="00011B87"/>
    <w:rsid w:val="00011D3B"/>
    <w:rsid w:val="000127FB"/>
    <w:rsid w:val="0001722E"/>
    <w:rsid w:val="000220D1"/>
    <w:rsid w:val="00022263"/>
    <w:rsid w:val="0003253D"/>
    <w:rsid w:val="00033273"/>
    <w:rsid w:val="0003476D"/>
    <w:rsid w:val="00034B4A"/>
    <w:rsid w:val="00035DF5"/>
    <w:rsid w:val="00037325"/>
    <w:rsid w:val="00056FB0"/>
    <w:rsid w:val="00061057"/>
    <w:rsid w:val="00063765"/>
    <w:rsid w:val="00064B98"/>
    <w:rsid w:val="0006550D"/>
    <w:rsid w:val="00075F25"/>
    <w:rsid w:val="00080A93"/>
    <w:rsid w:val="00081500"/>
    <w:rsid w:val="000A0274"/>
    <w:rsid w:val="000A0B5F"/>
    <w:rsid w:val="000A1E39"/>
    <w:rsid w:val="000A4EBA"/>
    <w:rsid w:val="000B0AEC"/>
    <w:rsid w:val="000B4E34"/>
    <w:rsid w:val="000B61B4"/>
    <w:rsid w:val="000C16CE"/>
    <w:rsid w:val="000C3B83"/>
    <w:rsid w:val="000C590F"/>
    <w:rsid w:val="000D3953"/>
    <w:rsid w:val="000E1740"/>
    <w:rsid w:val="000E3D41"/>
    <w:rsid w:val="000E78A3"/>
    <w:rsid w:val="000F0F09"/>
    <w:rsid w:val="000F26BB"/>
    <w:rsid w:val="000F59B0"/>
    <w:rsid w:val="000F6397"/>
    <w:rsid w:val="001061E3"/>
    <w:rsid w:val="00113347"/>
    <w:rsid w:val="00123D4B"/>
    <w:rsid w:val="001407C4"/>
    <w:rsid w:val="00145FB9"/>
    <w:rsid w:val="001505AA"/>
    <w:rsid w:val="001579EC"/>
    <w:rsid w:val="0016234C"/>
    <w:rsid w:val="0017045D"/>
    <w:rsid w:val="0017274E"/>
    <w:rsid w:val="00176EB5"/>
    <w:rsid w:val="00180872"/>
    <w:rsid w:val="001818C1"/>
    <w:rsid w:val="00187A8F"/>
    <w:rsid w:val="001A494B"/>
    <w:rsid w:val="001B3C67"/>
    <w:rsid w:val="001C0A98"/>
    <w:rsid w:val="001C6D23"/>
    <w:rsid w:val="001D768A"/>
    <w:rsid w:val="001E0358"/>
    <w:rsid w:val="001E2F2D"/>
    <w:rsid w:val="001E6EB8"/>
    <w:rsid w:val="001F3D93"/>
    <w:rsid w:val="001F4CDE"/>
    <w:rsid w:val="00204BB9"/>
    <w:rsid w:val="00205612"/>
    <w:rsid w:val="00211454"/>
    <w:rsid w:val="00213A2D"/>
    <w:rsid w:val="00214895"/>
    <w:rsid w:val="0024596C"/>
    <w:rsid w:val="00254ADB"/>
    <w:rsid w:val="00254E1B"/>
    <w:rsid w:val="00255441"/>
    <w:rsid w:val="00255F25"/>
    <w:rsid w:val="00256114"/>
    <w:rsid w:val="002667DD"/>
    <w:rsid w:val="00273B2C"/>
    <w:rsid w:val="00273D34"/>
    <w:rsid w:val="0027453B"/>
    <w:rsid w:val="00286FA3"/>
    <w:rsid w:val="0028725B"/>
    <w:rsid w:val="002A7414"/>
    <w:rsid w:val="002B2742"/>
    <w:rsid w:val="002C647C"/>
    <w:rsid w:val="002D5758"/>
    <w:rsid w:val="002E690D"/>
    <w:rsid w:val="002E6B41"/>
    <w:rsid w:val="002F5F13"/>
    <w:rsid w:val="00302678"/>
    <w:rsid w:val="00302A1E"/>
    <w:rsid w:val="00304D49"/>
    <w:rsid w:val="0030552B"/>
    <w:rsid w:val="0031349B"/>
    <w:rsid w:val="00317190"/>
    <w:rsid w:val="00323A93"/>
    <w:rsid w:val="003314AB"/>
    <w:rsid w:val="00335B93"/>
    <w:rsid w:val="003376AA"/>
    <w:rsid w:val="0035295B"/>
    <w:rsid w:val="00354A0E"/>
    <w:rsid w:val="00356B44"/>
    <w:rsid w:val="00374767"/>
    <w:rsid w:val="0038596E"/>
    <w:rsid w:val="00385B5C"/>
    <w:rsid w:val="003A4094"/>
    <w:rsid w:val="003A5F74"/>
    <w:rsid w:val="003A679F"/>
    <w:rsid w:val="003B2EB6"/>
    <w:rsid w:val="003B4772"/>
    <w:rsid w:val="003C4D06"/>
    <w:rsid w:val="003D68F7"/>
    <w:rsid w:val="003E0F81"/>
    <w:rsid w:val="003E439A"/>
    <w:rsid w:val="003E551E"/>
    <w:rsid w:val="003F4689"/>
    <w:rsid w:val="00405B54"/>
    <w:rsid w:val="004069B9"/>
    <w:rsid w:val="00406FE1"/>
    <w:rsid w:val="00414599"/>
    <w:rsid w:val="0042141C"/>
    <w:rsid w:val="00437E78"/>
    <w:rsid w:val="0045674E"/>
    <w:rsid w:val="00464EDF"/>
    <w:rsid w:val="0047619A"/>
    <w:rsid w:val="004820AA"/>
    <w:rsid w:val="00497728"/>
    <w:rsid w:val="004B0162"/>
    <w:rsid w:val="004B36D4"/>
    <w:rsid w:val="004B4571"/>
    <w:rsid w:val="004D019C"/>
    <w:rsid w:val="004E67DF"/>
    <w:rsid w:val="004F3F76"/>
    <w:rsid w:val="00506332"/>
    <w:rsid w:val="00510700"/>
    <w:rsid w:val="005122B0"/>
    <w:rsid w:val="00513C77"/>
    <w:rsid w:val="005149BC"/>
    <w:rsid w:val="00520F42"/>
    <w:rsid w:val="005266A6"/>
    <w:rsid w:val="00545D4E"/>
    <w:rsid w:val="005466D0"/>
    <w:rsid w:val="00556470"/>
    <w:rsid w:val="005641E3"/>
    <w:rsid w:val="005775CE"/>
    <w:rsid w:val="00583A05"/>
    <w:rsid w:val="005845E5"/>
    <w:rsid w:val="00591992"/>
    <w:rsid w:val="00595A09"/>
    <w:rsid w:val="005A064E"/>
    <w:rsid w:val="005A5B2A"/>
    <w:rsid w:val="005B26EB"/>
    <w:rsid w:val="005B2FDE"/>
    <w:rsid w:val="005C36C0"/>
    <w:rsid w:val="005D17E1"/>
    <w:rsid w:val="005D6161"/>
    <w:rsid w:val="005E2DA5"/>
    <w:rsid w:val="005F28EB"/>
    <w:rsid w:val="005F3E97"/>
    <w:rsid w:val="00603579"/>
    <w:rsid w:val="00605002"/>
    <w:rsid w:val="00610D8A"/>
    <w:rsid w:val="00612142"/>
    <w:rsid w:val="00613CD8"/>
    <w:rsid w:val="00615D4B"/>
    <w:rsid w:val="00627B44"/>
    <w:rsid w:val="00630F65"/>
    <w:rsid w:val="006372F9"/>
    <w:rsid w:val="00644830"/>
    <w:rsid w:val="0065737B"/>
    <w:rsid w:val="00663A38"/>
    <w:rsid w:val="00663C03"/>
    <w:rsid w:val="00665CA2"/>
    <w:rsid w:val="00667142"/>
    <w:rsid w:val="006706D1"/>
    <w:rsid w:val="00675BE1"/>
    <w:rsid w:val="006764D7"/>
    <w:rsid w:val="00682ADD"/>
    <w:rsid w:val="00684CE2"/>
    <w:rsid w:val="006907B8"/>
    <w:rsid w:val="00690938"/>
    <w:rsid w:val="00690BE7"/>
    <w:rsid w:val="006A2A06"/>
    <w:rsid w:val="006B4E83"/>
    <w:rsid w:val="006C2BB0"/>
    <w:rsid w:val="006C7B7B"/>
    <w:rsid w:val="006C7D8F"/>
    <w:rsid w:val="006D24E2"/>
    <w:rsid w:val="006D29FE"/>
    <w:rsid w:val="006D6C6F"/>
    <w:rsid w:val="006E038C"/>
    <w:rsid w:val="006E1F30"/>
    <w:rsid w:val="006F3EDA"/>
    <w:rsid w:val="0070529B"/>
    <w:rsid w:val="007077A0"/>
    <w:rsid w:val="00710B03"/>
    <w:rsid w:val="007166FF"/>
    <w:rsid w:val="00720CE8"/>
    <w:rsid w:val="007219F6"/>
    <w:rsid w:val="0072250B"/>
    <w:rsid w:val="0072290E"/>
    <w:rsid w:val="0072297D"/>
    <w:rsid w:val="00722CFD"/>
    <w:rsid w:val="007425B0"/>
    <w:rsid w:val="00752FA0"/>
    <w:rsid w:val="00755CBC"/>
    <w:rsid w:val="0075623E"/>
    <w:rsid w:val="007576B8"/>
    <w:rsid w:val="0076091F"/>
    <w:rsid w:val="00761C48"/>
    <w:rsid w:val="00761FAC"/>
    <w:rsid w:val="00764FD2"/>
    <w:rsid w:val="00771505"/>
    <w:rsid w:val="00785712"/>
    <w:rsid w:val="007872E1"/>
    <w:rsid w:val="00793DF8"/>
    <w:rsid w:val="00796C49"/>
    <w:rsid w:val="007D435C"/>
    <w:rsid w:val="007D4AED"/>
    <w:rsid w:val="007E63D1"/>
    <w:rsid w:val="007E6AB9"/>
    <w:rsid w:val="007F0AD2"/>
    <w:rsid w:val="00801742"/>
    <w:rsid w:val="0081046D"/>
    <w:rsid w:val="00817385"/>
    <w:rsid w:val="0082146D"/>
    <w:rsid w:val="00824255"/>
    <w:rsid w:val="00827C0C"/>
    <w:rsid w:val="008314D2"/>
    <w:rsid w:val="00835C8D"/>
    <w:rsid w:val="00846778"/>
    <w:rsid w:val="008800FF"/>
    <w:rsid w:val="00880636"/>
    <w:rsid w:val="00882DB8"/>
    <w:rsid w:val="008912D0"/>
    <w:rsid w:val="008A1FC7"/>
    <w:rsid w:val="008B5AB4"/>
    <w:rsid w:val="008C4F7D"/>
    <w:rsid w:val="008D4616"/>
    <w:rsid w:val="008F10BB"/>
    <w:rsid w:val="008F3360"/>
    <w:rsid w:val="008F5212"/>
    <w:rsid w:val="009017B3"/>
    <w:rsid w:val="009055CE"/>
    <w:rsid w:val="0090695B"/>
    <w:rsid w:val="00907387"/>
    <w:rsid w:val="0093505D"/>
    <w:rsid w:val="00937C35"/>
    <w:rsid w:val="00940E3D"/>
    <w:rsid w:val="00950D55"/>
    <w:rsid w:val="00964A71"/>
    <w:rsid w:val="00965011"/>
    <w:rsid w:val="00974DE8"/>
    <w:rsid w:val="009872ED"/>
    <w:rsid w:val="009913B7"/>
    <w:rsid w:val="009933E8"/>
    <w:rsid w:val="009A04FE"/>
    <w:rsid w:val="009A2E75"/>
    <w:rsid w:val="009A4C9C"/>
    <w:rsid w:val="009B3C20"/>
    <w:rsid w:val="009D17A7"/>
    <w:rsid w:val="00A009CE"/>
    <w:rsid w:val="00A01065"/>
    <w:rsid w:val="00A0437A"/>
    <w:rsid w:val="00A10A67"/>
    <w:rsid w:val="00A11B11"/>
    <w:rsid w:val="00A315F8"/>
    <w:rsid w:val="00A31B99"/>
    <w:rsid w:val="00A50F88"/>
    <w:rsid w:val="00A60DCA"/>
    <w:rsid w:val="00A639A3"/>
    <w:rsid w:val="00A67257"/>
    <w:rsid w:val="00A72214"/>
    <w:rsid w:val="00A84ACF"/>
    <w:rsid w:val="00A85E58"/>
    <w:rsid w:val="00A92F8E"/>
    <w:rsid w:val="00AC0242"/>
    <w:rsid w:val="00AC1F21"/>
    <w:rsid w:val="00AC5B92"/>
    <w:rsid w:val="00AD5CAA"/>
    <w:rsid w:val="00AE142F"/>
    <w:rsid w:val="00AF5290"/>
    <w:rsid w:val="00B05878"/>
    <w:rsid w:val="00B306DF"/>
    <w:rsid w:val="00B37073"/>
    <w:rsid w:val="00B40992"/>
    <w:rsid w:val="00B4382E"/>
    <w:rsid w:val="00B43D32"/>
    <w:rsid w:val="00B4478C"/>
    <w:rsid w:val="00B5131F"/>
    <w:rsid w:val="00B54DA2"/>
    <w:rsid w:val="00B54FF7"/>
    <w:rsid w:val="00B60E52"/>
    <w:rsid w:val="00B713A8"/>
    <w:rsid w:val="00B71ACA"/>
    <w:rsid w:val="00B71D3A"/>
    <w:rsid w:val="00B724B2"/>
    <w:rsid w:val="00B833E0"/>
    <w:rsid w:val="00B845B0"/>
    <w:rsid w:val="00B86E84"/>
    <w:rsid w:val="00B87F9B"/>
    <w:rsid w:val="00B96274"/>
    <w:rsid w:val="00BA19A4"/>
    <w:rsid w:val="00BA2307"/>
    <w:rsid w:val="00BA73F4"/>
    <w:rsid w:val="00BA7D4E"/>
    <w:rsid w:val="00BB1822"/>
    <w:rsid w:val="00BC43DE"/>
    <w:rsid w:val="00BC7132"/>
    <w:rsid w:val="00BC7E95"/>
    <w:rsid w:val="00BD359E"/>
    <w:rsid w:val="00BE2FEB"/>
    <w:rsid w:val="00BE7836"/>
    <w:rsid w:val="00BF3E1B"/>
    <w:rsid w:val="00C063BF"/>
    <w:rsid w:val="00C127DD"/>
    <w:rsid w:val="00C13943"/>
    <w:rsid w:val="00C24549"/>
    <w:rsid w:val="00C403C6"/>
    <w:rsid w:val="00C54931"/>
    <w:rsid w:val="00C5545A"/>
    <w:rsid w:val="00C655EB"/>
    <w:rsid w:val="00C7033E"/>
    <w:rsid w:val="00C739C3"/>
    <w:rsid w:val="00C84707"/>
    <w:rsid w:val="00C85071"/>
    <w:rsid w:val="00C86900"/>
    <w:rsid w:val="00C900EC"/>
    <w:rsid w:val="00C93D3A"/>
    <w:rsid w:val="00C97657"/>
    <w:rsid w:val="00CA27B5"/>
    <w:rsid w:val="00CA6A31"/>
    <w:rsid w:val="00CB0707"/>
    <w:rsid w:val="00CC32FC"/>
    <w:rsid w:val="00CD657B"/>
    <w:rsid w:val="00CE09D5"/>
    <w:rsid w:val="00CE17A4"/>
    <w:rsid w:val="00CE2022"/>
    <w:rsid w:val="00CF410F"/>
    <w:rsid w:val="00CF43E3"/>
    <w:rsid w:val="00CF4C9C"/>
    <w:rsid w:val="00D00DE6"/>
    <w:rsid w:val="00D161D7"/>
    <w:rsid w:val="00D20A78"/>
    <w:rsid w:val="00D2135F"/>
    <w:rsid w:val="00D22F26"/>
    <w:rsid w:val="00D4182D"/>
    <w:rsid w:val="00D535A8"/>
    <w:rsid w:val="00D75DAE"/>
    <w:rsid w:val="00D859A4"/>
    <w:rsid w:val="00D90958"/>
    <w:rsid w:val="00DA68E2"/>
    <w:rsid w:val="00DB1EED"/>
    <w:rsid w:val="00DC3FBC"/>
    <w:rsid w:val="00DC5EBE"/>
    <w:rsid w:val="00DE2B95"/>
    <w:rsid w:val="00DF61B2"/>
    <w:rsid w:val="00DF6AC2"/>
    <w:rsid w:val="00E05B92"/>
    <w:rsid w:val="00E15660"/>
    <w:rsid w:val="00E239AE"/>
    <w:rsid w:val="00E34428"/>
    <w:rsid w:val="00E35852"/>
    <w:rsid w:val="00E41C0C"/>
    <w:rsid w:val="00E42B89"/>
    <w:rsid w:val="00E6299A"/>
    <w:rsid w:val="00E65329"/>
    <w:rsid w:val="00E6541E"/>
    <w:rsid w:val="00E6578E"/>
    <w:rsid w:val="00E73B69"/>
    <w:rsid w:val="00E8177C"/>
    <w:rsid w:val="00E8326F"/>
    <w:rsid w:val="00E872D2"/>
    <w:rsid w:val="00E93294"/>
    <w:rsid w:val="00EA03D4"/>
    <w:rsid w:val="00EA116B"/>
    <w:rsid w:val="00EA4726"/>
    <w:rsid w:val="00EB5B07"/>
    <w:rsid w:val="00EC0B60"/>
    <w:rsid w:val="00EC448F"/>
    <w:rsid w:val="00EF1E04"/>
    <w:rsid w:val="00EF4216"/>
    <w:rsid w:val="00EF5BD5"/>
    <w:rsid w:val="00F00093"/>
    <w:rsid w:val="00F0398B"/>
    <w:rsid w:val="00F0685E"/>
    <w:rsid w:val="00F14FB8"/>
    <w:rsid w:val="00F20509"/>
    <w:rsid w:val="00F31D13"/>
    <w:rsid w:val="00F32466"/>
    <w:rsid w:val="00F36CDF"/>
    <w:rsid w:val="00F45DF2"/>
    <w:rsid w:val="00F50E65"/>
    <w:rsid w:val="00F51D12"/>
    <w:rsid w:val="00F53C84"/>
    <w:rsid w:val="00F560E2"/>
    <w:rsid w:val="00F57A5A"/>
    <w:rsid w:val="00F62717"/>
    <w:rsid w:val="00F65BA6"/>
    <w:rsid w:val="00F6731C"/>
    <w:rsid w:val="00F721EC"/>
    <w:rsid w:val="00F732AA"/>
    <w:rsid w:val="00F85DF0"/>
    <w:rsid w:val="00FA3415"/>
    <w:rsid w:val="00FA7197"/>
    <w:rsid w:val="00FB4E28"/>
    <w:rsid w:val="00FC0C30"/>
    <w:rsid w:val="00FE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BE2974-4162-44D8-A668-3825D788B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2B89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目1"/>
    <w:basedOn w:val="a"/>
    <w:link w:val="10"/>
    <w:rsid w:val="00E42B89"/>
    <w:pPr>
      <w:jc w:val="center"/>
    </w:pPr>
    <w:rPr>
      <w:rFonts w:hAnsi="新細明體"/>
      <w:b/>
      <w:kern w:val="0"/>
      <w:sz w:val="32"/>
      <w:szCs w:val="32"/>
    </w:rPr>
  </w:style>
  <w:style w:type="character" w:customStyle="1" w:styleId="10">
    <w:name w:val="目1 字元"/>
    <w:basedOn w:val="a0"/>
    <w:link w:val="1"/>
    <w:rsid w:val="00E42B89"/>
    <w:rPr>
      <w:rFonts w:ascii="Times New Roman" w:eastAsia="新細明體" w:hAnsi="新細明體" w:cs="Times New Roman"/>
      <w:b/>
      <w:kern w:val="0"/>
      <w:sz w:val="32"/>
      <w:szCs w:val="32"/>
    </w:rPr>
  </w:style>
  <w:style w:type="paragraph" w:styleId="a3">
    <w:name w:val="Plain Text"/>
    <w:basedOn w:val="a"/>
    <w:link w:val="a4"/>
    <w:uiPriority w:val="99"/>
    <w:rsid w:val="00E42B89"/>
    <w:rPr>
      <w:rFonts w:ascii="細明體" w:eastAsia="細明體" w:hAnsi="Courier New" w:cs="Courier New"/>
    </w:rPr>
  </w:style>
  <w:style w:type="character" w:customStyle="1" w:styleId="a4">
    <w:name w:val="純文字 字元"/>
    <w:basedOn w:val="a0"/>
    <w:link w:val="a3"/>
    <w:uiPriority w:val="99"/>
    <w:rsid w:val="00E42B89"/>
    <w:rPr>
      <w:rFonts w:ascii="細明體" w:eastAsia="細明體" w:hAnsi="Courier New" w:cs="Courier New"/>
      <w:szCs w:val="24"/>
    </w:rPr>
  </w:style>
  <w:style w:type="paragraph" w:customStyle="1" w:styleId="a5">
    <w:name w:val="陸委會內文"/>
    <w:basedOn w:val="a"/>
    <w:autoRedefine/>
    <w:rsid w:val="00F45DF2"/>
    <w:pPr>
      <w:spacing w:before="120" w:after="120"/>
      <w:ind w:firstLine="482"/>
    </w:pPr>
    <w:rPr>
      <w:rFonts w:ascii="標楷體" w:eastAsia="標楷體" w:hAnsi="標楷體"/>
    </w:rPr>
  </w:style>
  <w:style w:type="paragraph" w:customStyle="1" w:styleId="-1">
    <w:name w:val="陸委會小結標題-1"/>
    <w:basedOn w:val="a"/>
    <w:rsid w:val="00E42B89"/>
    <w:pPr>
      <w:tabs>
        <w:tab w:val="left" w:pos="540"/>
      </w:tabs>
      <w:jc w:val="both"/>
    </w:pPr>
    <w:rPr>
      <w:rFonts w:ascii="華康中黑體" w:eastAsia="華康中黑體" w:hAnsi="新細明體"/>
      <w:b/>
    </w:rPr>
  </w:style>
  <w:style w:type="paragraph" w:styleId="a6">
    <w:name w:val="header"/>
    <w:basedOn w:val="a"/>
    <w:link w:val="a7"/>
    <w:uiPriority w:val="99"/>
    <w:unhideWhenUsed/>
    <w:rsid w:val="000A4E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A4EBA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A4E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A4EBA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2</Pages>
  <Words>205</Words>
  <Characters>1175</Characters>
  <Application>Microsoft Office Word</Application>
  <DocSecurity>0</DocSecurity>
  <Lines>9</Lines>
  <Paragraphs>2</Paragraphs>
  <ScaleCrop>false</ScaleCrop>
  <Company>NONE</Company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yartostella Chen</cp:lastModifiedBy>
  <cp:revision>65</cp:revision>
  <cp:lastPrinted>2014-04-15T03:40:00Z</cp:lastPrinted>
  <dcterms:created xsi:type="dcterms:W3CDTF">2010-11-30T09:19:00Z</dcterms:created>
  <dcterms:modified xsi:type="dcterms:W3CDTF">2015-03-11T10:52:00Z</dcterms:modified>
</cp:coreProperties>
</file>