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ind w:left="0"/>
        <w:rPr>
          <w:rFonts w:ascii="Times New Roman"/>
          <w:sz w:val="5"/>
        </w:rPr>
      </w:pPr>
    </w:p>
    <w:p>
      <w:pPr>
        <w:pStyle w:val="BodyText"/>
        <w:spacing w:line="20" w:lineRule="exact"/>
        <w:ind w:left="4872"/>
        <w:rPr>
          <w:rFonts w:ascii="Times New Roman"/>
          <w:sz w:val="2"/>
        </w:rPr>
      </w:pPr>
      <w:r>
        <w:rPr>
          <w:rFonts w:ascii="Times New Roman"/>
          <w:sz w:val="2"/>
        </w:rPr>
        <mc:AlternateContent>
          <mc:Choice Requires="wps">
            <w:drawing>
              <wp:inline distT="0" distB="0" distL="0" distR="0">
                <wp:extent cx="2614295" cy="9525"/>
                <wp:effectExtent l="0" t="0" r="0" b="0"/>
                <wp:docPr id="5" name="Group 5"/>
                <wp:cNvGraphicFramePr>
                  <a:graphicFrameLocks/>
                </wp:cNvGraphicFramePr>
                <a:graphic>
                  <a:graphicData uri="http://schemas.microsoft.com/office/word/2010/wordprocessingGroup">
                    <wpg:wgp>
                      <wpg:cNvPr id="5" name="Group 5"/>
                      <wpg:cNvGrpSpPr/>
                      <wpg:grpSpPr>
                        <a:xfrm>
                          <a:off x="0" y="0"/>
                          <a:ext cx="2614295" cy="9525"/>
                          <a:chExt cx="2614295" cy="9525"/>
                        </a:xfrm>
                      </wpg:grpSpPr>
                      <wps:wsp>
                        <wps:cNvPr id="6" name="Graphic 6"/>
                        <wps:cNvSpPr/>
                        <wps:spPr>
                          <a:xfrm>
                            <a:off x="0" y="0"/>
                            <a:ext cx="2614295" cy="9525"/>
                          </a:xfrm>
                          <a:custGeom>
                            <a:avLst/>
                            <a:gdLst/>
                            <a:ahLst/>
                            <a:cxnLst/>
                            <a:rect l="l" t="t" r="r" b="b"/>
                            <a:pathLst>
                              <a:path w="2614295" h="9525">
                                <a:moveTo>
                                  <a:pt x="2613914" y="0"/>
                                </a:moveTo>
                                <a:lnTo>
                                  <a:pt x="0" y="0"/>
                                </a:lnTo>
                                <a:lnTo>
                                  <a:pt x="0" y="9144"/>
                                </a:lnTo>
                                <a:lnTo>
                                  <a:pt x="2613914" y="9144"/>
                                </a:lnTo>
                                <a:lnTo>
                                  <a:pt x="261391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85pt;height:.75pt;mso-position-horizontal-relative:char;mso-position-vertical-relative:line" id="docshapegroup5" coordorigin="0,0" coordsize="4117,15">
                <v:rect style="position:absolute;left:0;top:0;width:4117;height:15" id="docshape6" filled="true" fillcolor="#000000" stroked="false">
                  <v:fill type="solid"/>
                </v:rect>
              </v:group>
            </w:pict>
          </mc:Fallback>
        </mc:AlternateContent>
      </w:r>
      <w:r>
        <w:rPr>
          <w:rFonts w:ascii="Times New Roman"/>
          <w:sz w:val="2"/>
        </w:rPr>
      </w:r>
    </w:p>
    <w:p>
      <w:pPr>
        <w:spacing w:before="56"/>
        <w:ind w:left="4978" w:right="0" w:firstLine="0"/>
        <w:jc w:val="left"/>
        <w:rPr>
          <w:b/>
          <w:sz w:val="21"/>
        </w:rPr>
      </w:pPr>
      <w:bookmarkStart w:name="标题页" w:id="1"/>
      <w:bookmarkEnd w:id="1"/>
      <w:r>
        <w:rPr/>
      </w:r>
      <w:r>
        <w:rPr>
          <w:b/>
          <w:spacing w:val="-4"/>
          <w:sz w:val="21"/>
        </w:rPr>
        <w:t>临床研究方案</w:t>
      </w:r>
    </w:p>
    <w:p>
      <w:pPr>
        <w:tabs>
          <w:tab w:pos="6895" w:val="left" w:leader="none"/>
        </w:tabs>
        <w:spacing w:before="78"/>
        <w:ind w:left="4978" w:right="0" w:firstLine="0"/>
        <w:jc w:val="left"/>
        <w:rPr>
          <w:rFonts w:ascii="Times New Roman" w:eastAsia="Times New Roman"/>
          <w:sz w:val="21"/>
        </w:rPr>
      </w:pPr>
      <w:r>
        <w:rPr>
          <w:sz w:val="21"/>
        </w:rPr>
        <w:t>研究药</w:t>
      </w:r>
      <w:r>
        <w:rPr>
          <w:spacing w:val="-10"/>
          <w:sz w:val="21"/>
        </w:rPr>
        <w:t>物</w:t>
      </w:r>
      <w:r>
        <w:rPr>
          <w:sz w:val="21"/>
        </w:rPr>
        <w:tab/>
      </w:r>
      <w:r>
        <w:rPr>
          <w:rFonts w:ascii="Times New Roman" w:eastAsia="Times New Roman"/>
          <w:spacing w:val="-2"/>
          <w:sz w:val="21"/>
        </w:rPr>
        <w:t>Tozorakimab</w:t>
      </w:r>
    </w:p>
    <w:p>
      <w:pPr>
        <w:tabs>
          <w:tab w:pos="6895" w:val="left" w:leader="none"/>
        </w:tabs>
        <w:spacing w:before="83"/>
        <w:ind w:left="4978" w:right="0" w:firstLine="0"/>
        <w:jc w:val="left"/>
        <w:rPr>
          <w:rFonts w:ascii="Times New Roman" w:eastAsia="Times New Roman"/>
          <w:sz w:val="21"/>
        </w:rPr>
      </w:pPr>
      <w:r>
        <w:rPr>
          <w:sz w:val="21"/>
        </w:rPr>
        <w:t>研究代</w:t>
      </w:r>
      <w:r>
        <w:rPr>
          <w:spacing w:val="-10"/>
          <w:sz w:val="21"/>
        </w:rPr>
        <w:t>码</w:t>
      </w:r>
      <w:r>
        <w:rPr>
          <w:sz w:val="21"/>
        </w:rPr>
        <w:tab/>
      </w:r>
      <w:r>
        <w:rPr>
          <w:rFonts w:ascii="Times New Roman" w:eastAsia="Times New Roman"/>
          <w:spacing w:val="-2"/>
          <w:sz w:val="21"/>
        </w:rPr>
        <w:t>D9180C00008</w:t>
      </w:r>
    </w:p>
    <w:p>
      <w:pPr>
        <w:tabs>
          <w:tab w:pos="6895" w:val="left" w:leader="none"/>
        </w:tabs>
        <w:spacing w:before="85"/>
        <w:ind w:left="4978" w:right="0" w:firstLine="0"/>
        <w:jc w:val="left"/>
        <w:rPr>
          <w:rFonts w:ascii="Times New Roman" w:eastAsia="Times New Roman"/>
          <w:sz w:val="21"/>
        </w:rPr>
      </w:pPr>
      <w:r>
        <w:rPr>
          <w:sz w:val="21"/>
        </w:rPr>
        <w:t>版</w:t>
      </w:r>
      <w:r>
        <w:rPr>
          <w:spacing w:val="-10"/>
          <w:sz w:val="21"/>
        </w:rPr>
        <w:t>本</w:t>
      </w:r>
      <w:r>
        <w:rPr>
          <w:rFonts w:ascii="Times New Roman" w:eastAsia="Times New Roman"/>
          <w:b/>
          <w:sz w:val="21"/>
        </w:rPr>
        <w:tab/>
      </w:r>
      <w:r>
        <w:rPr>
          <w:rFonts w:ascii="Times New Roman" w:eastAsia="Times New Roman"/>
          <w:spacing w:val="-5"/>
          <w:sz w:val="21"/>
        </w:rPr>
        <w:t>4.0</w:t>
      </w:r>
    </w:p>
    <w:p>
      <w:pPr>
        <w:tabs>
          <w:tab w:pos="6895" w:val="left" w:leader="none"/>
        </w:tabs>
        <w:spacing w:before="74"/>
        <w:ind w:left="4978" w:right="0" w:firstLine="0"/>
        <w:jc w:val="left"/>
        <w:rPr>
          <w:sz w:val="21"/>
        </w:rPr>
      </w:pPr>
      <w:r>
        <w:rPr/>
        <mc:AlternateContent>
          <mc:Choice Requires="wps">
            <w:drawing>
              <wp:anchor distT="0" distB="0" distL="0" distR="0" allowOverlap="1" layoutInCell="1" locked="0" behindDoc="1" simplePos="0" relativeHeight="487588352">
                <wp:simplePos x="0" y="0"/>
                <wp:positionH relativeFrom="page">
                  <wp:posOffset>4033520</wp:posOffset>
                </wp:positionH>
                <wp:positionV relativeFrom="paragraph">
                  <wp:posOffset>236328</wp:posOffset>
                </wp:positionV>
                <wp:extent cx="2614295"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614295" cy="6350"/>
                        </a:xfrm>
                        <a:custGeom>
                          <a:avLst/>
                          <a:gdLst/>
                          <a:ahLst/>
                          <a:cxnLst/>
                          <a:rect l="l" t="t" r="r" b="b"/>
                          <a:pathLst>
                            <a:path w="2614295" h="6350">
                              <a:moveTo>
                                <a:pt x="1223251" y="0"/>
                              </a:moveTo>
                              <a:lnTo>
                                <a:pt x="1217168" y="0"/>
                              </a:lnTo>
                              <a:lnTo>
                                <a:pt x="0" y="0"/>
                              </a:lnTo>
                              <a:lnTo>
                                <a:pt x="0" y="6096"/>
                              </a:lnTo>
                              <a:lnTo>
                                <a:pt x="1217168" y="6096"/>
                              </a:lnTo>
                              <a:lnTo>
                                <a:pt x="1223251" y="6096"/>
                              </a:lnTo>
                              <a:lnTo>
                                <a:pt x="1223251" y="0"/>
                              </a:lnTo>
                              <a:close/>
                            </a:path>
                            <a:path w="2614295" h="6350">
                              <a:moveTo>
                                <a:pt x="2613914" y="0"/>
                              </a:moveTo>
                              <a:lnTo>
                                <a:pt x="1223264" y="0"/>
                              </a:lnTo>
                              <a:lnTo>
                                <a:pt x="1223264" y="6096"/>
                              </a:lnTo>
                              <a:lnTo>
                                <a:pt x="2613914" y="6096"/>
                              </a:lnTo>
                              <a:lnTo>
                                <a:pt x="26139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7.600006pt;margin-top:18.608572pt;width:205.85pt;height:.5pt;mso-position-horizontal-relative:page;mso-position-vertical-relative:paragraph;z-index:-15728128;mso-wrap-distance-left:0;mso-wrap-distance-right:0" id="docshape7" coordorigin="6352,372" coordsize="4117,10" path="m8278,372l8269,372,6352,372,6352,382,8269,382,8278,382,8278,372xm10468,372l8278,372,8278,382,10468,382,10468,372xe" filled="true" fillcolor="#000000" stroked="false">
                <v:path arrowok="t"/>
                <v:fill type="solid"/>
                <w10:wrap type="topAndBottom"/>
              </v:shape>
            </w:pict>
          </mc:Fallback>
        </mc:AlternateContent>
      </w:r>
      <w:r>
        <w:rPr>
          <w:sz w:val="21"/>
        </w:rPr>
        <w:t>日</w:t>
      </w:r>
      <w:r>
        <w:rPr>
          <w:spacing w:val="-10"/>
          <w:sz w:val="21"/>
        </w:rPr>
        <w:t>期</w:t>
      </w:r>
      <w:r>
        <w:rPr>
          <w:sz w:val="21"/>
        </w:rPr>
        <w:tab/>
      </w:r>
      <w:r>
        <w:rPr>
          <w:rFonts w:ascii="Times New Roman" w:eastAsia="Times New Roman"/>
          <w:position w:val="1"/>
          <w:sz w:val="21"/>
        </w:rPr>
        <w:t>2025</w:t>
      </w:r>
      <w:r>
        <w:rPr>
          <w:rFonts w:ascii="Times New Roman" w:eastAsia="Times New Roman"/>
          <w:spacing w:val="-10"/>
          <w:position w:val="1"/>
          <w:sz w:val="21"/>
        </w:rPr>
        <w:t> </w:t>
      </w:r>
      <w:r>
        <w:rPr>
          <w:position w:val="1"/>
          <w:sz w:val="21"/>
        </w:rPr>
        <w:t>年</w:t>
      </w:r>
      <w:r>
        <w:rPr>
          <w:spacing w:val="-54"/>
          <w:position w:val="1"/>
          <w:sz w:val="21"/>
        </w:rPr>
        <w:t> </w:t>
      </w:r>
      <w:r>
        <w:rPr>
          <w:rFonts w:ascii="Times New Roman" w:eastAsia="Times New Roman"/>
          <w:position w:val="1"/>
          <w:sz w:val="21"/>
        </w:rPr>
        <w:t>7</w:t>
      </w:r>
      <w:r>
        <w:rPr>
          <w:rFonts w:ascii="Times New Roman" w:eastAsia="Times New Roman"/>
          <w:spacing w:val="-10"/>
          <w:position w:val="1"/>
          <w:sz w:val="21"/>
        </w:rPr>
        <w:t> </w:t>
      </w:r>
      <w:r>
        <w:rPr>
          <w:position w:val="1"/>
          <w:sz w:val="21"/>
        </w:rPr>
        <w:t>月</w:t>
      </w:r>
      <w:r>
        <w:rPr>
          <w:spacing w:val="-54"/>
          <w:position w:val="1"/>
          <w:sz w:val="21"/>
        </w:rPr>
        <w:t> </w:t>
      </w:r>
      <w:r>
        <w:rPr>
          <w:rFonts w:ascii="Times New Roman" w:eastAsia="Times New Roman"/>
          <w:position w:val="1"/>
          <w:sz w:val="21"/>
        </w:rPr>
        <w:t>1</w:t>
      </w:r>
      <w:r>
        <w:rPr>
          <w:rFonts w:ascii="Times New Roman" w:eastAsia="Times New Roman"/>
          <w:spacing w:val="-10"/>
          <w:position w:val="1"/>
          <w:sz w:val="21"/>
        </w:rPr>
        <w:t> </w:t>
      </w:r>
      <w:r>
        <w:rPr>
          <w:spacing w:val="-10"/>
          <w:position w:val="1"/>
          <w:sz w:val="21"/>
        </w:rPr>
        <w:t>日</w:t>
      </w:r>
    </w:p>
    <w:p>
      <w:pPr>
        <w:tabs>
          <w:tab w:pos="6895" w:val="left" w:leader="none"/>
        </w:tabs>
        <w:spacing w:before="59"/>
        <w:ind w:left="4978" w:right="0" w:firstLine="0"/>
        <w:jc w:val="left"/>
        <w:rPr>
          <w:rFonts w:ascii="Times New Roman" w:eastAsia="Times New Roman"/>
          <w:sz w:val="21"/>
        </w:rPr>
      </w:pPr>
      <w:r>
        <w:rPr>
          <w:rFonts w:ascii="Times New Roman" w:eastAsia="Times New Roman"/>
          <w:position w:val="-1"/>
          <w:sz w:val="21"/>
        </w:rPr>
        <w:t>EU</w:t>
      </w:r>
      <w:r>
        <w:rPr>
          <w:rFonts w:ascii="Times New Roman" w:eastAsia="Times New Roman"/>
          <w:spacing w:val="-2"/>
          <w:position w:val="-1"/>
          <w:sz w:val="21"/>
        </w:rPr>
        <w:t> </w:t>
      </w:r>
      <w:r>
        <w:rPr>
          <w:rFonts w:ascii="Times New Roman" w:eastAsia="Times New Roman"/>
          <w:position w:val="-1"/>
          <w:sz w:val="21"/>
        </w:rPr>
        <w:t>CT</w:t>
      </w:r>
      <w:r>
        <w:rPr>
          <w:rFonts w:ascii="Times New Roman" w:eastAsia="Times New Roman"/>
          <w:spacing w:val="-11"/>
          <w:position w:val="-1"/>
          <w:sz w:val="21"/>
        </w:rPr>
        <w:t> </w:t>
      </w:r>
      <w:r>
        <w:rPr>
          <w:spacing w:val="-10"/>
          <w:position w:val="-1"/>
          <w:sz w:val="21"/>
        </w:rPr>
        <w:t>号</w:t>
      </w:r>
      <w:r>
        <w:rPr>
          <w:rFonts w:ascii="Times New Roman" w:eastAsia="Times New Roman"/>
          <w:b/>
          <w:position w:val="-1"/>
          <w:sz w:val="21"/>
        </w:rPr>
        <w:tab/>
      </w:r>
      <w:r>
        <w:rPr>
          <w:rFonts w:ascii="Times New Roman" w:eastAsia="Times New Roman"/>
          <w:spacing w:val="-2"/>
          <w:sz w:val="21"/>
        </w:rPr>
        <w:t>2022-501063-41-</w:t>
      </w:r>
      <w:r>
        <w:rPr>
          <w:rFonts w:ascii="Times New Roman" w:eastAsia="Times New Roman"/>
          <w:spacing w:val="-5"/>
          <w:sz w:val="21"/>
        </w:rPr>
        <w:t>00</w:t>
      </w:r>
    </w:p>
    <w:p>
      <w:pPr>
        <w:pStyle w:val="BodyText"/>
        <w:ind w:left="0"/>
        <w:rPr>
          <w:rFonts w:ascii="Times New Roman"/>
          <w:sz w:val="20"/>
        </w:rPr>
      </w:pPr>
    </w:p>
    <w:p>
      <w:pPr>
        <w:pStyle w:val="BodyText"/>
        <w:ind w:left="0"/>
        <w:rPr>
          <w:rFonts w:ascii="Times New Roman"/>
          <w:sz w:val="20"/>
        </w:rPr>
      </w:pPr>
    </w:p>
    <w:p>
      <w:pPr>
        <w:pStyle w:val="BodyText"/>
        <w:spacing w:before="12"/>
        <w:ind w:left="0"/>
        <w:rPr>
          <w:rFonts w:ascii="Times New Roman"/>
          <w:sz w:val="20"/>
        </w:rPr>
      </w:pPr>
      <w:r>
        <w:rPr/>
        <mc:AlternateContent>
          <mc:Choice Requires="wps">
            <w:drawing>
              <wp:anchor distT="0" distB="0" distL="0" distR="0" allowOverlap="1" layoutInCell="1" locked="0" behindDoc="1" simplePos="0" relativeHeight="487588864">
                <wp:simplePos x="0" y="0"/>
                <wp:positionH relativeFrom="page">
                  <wp:posOffset>1080516</wp:posOffset>
                </wp:positionH>
                <wp:positionV relativeFrom="paragraph">
                  <wp:posOffset>169368</wp:posOffset>
                </wp:positionV>
                <wp:extent cx="5567045" cy="3810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67045" cy="38100"/>
                        </a:xfrm>
                        <a:custGeom>
                          <a:avLst/>
                          <a:gdLst/>
                          <a:ahLst/>
                          <a:cxnLst/>
                          <a:rect l="l" t="t" r="r" b="b"/>
                          <a:pathLst>
                            <a:path w="5567045" h="38100">
                              <a:moveTo>
                                <a:pt x="5566918" y="0"/>
                              </a:moveTo>
                              <a:lnTo>
                                <a:pt x="0" y="0"/>
                              </a:lnTo>
                              <a:lnTo>
                                <a:pt x="0" y="38100"/>
                              </a:lnTo>
                              <a:lnTo>
                                <a:pt x="5566918" y="38100"/>
                              </a:lnTo>
                              <a:lnTo>
                                <a:pt x="55669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3.336094pt;width:438.34pt;height:3pt;mso-position-horizontal-relative:page;mso-position-vertical-relative:paragraph;z-index:-15727616;mso-wrap-distance-left:0;mso-wrap-distance-right:0" id="docshape8" filled="true" fillcolor="#000000" stroked="false">
                <v:fill type="solid"/>
                <w10:wrap type="topAndBottom"/>
              </v:rect>
            </w:pict>
          </mc:Fallback>
        </mc:AlternateContent>
      </w:r>
    </w:p>
    <w:p>
      <w:pPr>
        <w:pStyle w:val="Title"/>
      </w:pPr>
      <w:bookmarkStart w:name="_bookmark0" w:id="2"/>
      <w:bookmarkEnd w:id="2"/>
      <w:r>
        <w:rPr>
          <w:b w:val="0"/>
        </w:rPr>
      </w:r>
      <w:r>
        <w:rPr>
          <w:spacing w:val="-2"/>
        </w:rPr>
        <w:t>一项在具有急性加重史的慢性阻塞性肺疾病（</w:t>
      </w:r>
      <w:r>
        <w:rPr>
          <w:rFonts w:ascii="Times New Roman" w:hAnsi="Times New Roman" w:eastAsia="Times New Roman"/>
          <w:spacing w:val="-2"/>
        </w:rPr>
        <w:t>COPD</w:t>
      </w:r>
      <w:r>
        <w:rPr>
          <w:spacing w:val="-2"/>
        </w:rPr>
        <w:t>）受试</w:t>
      </w:r>
      <w:r>
        <w:rPr>
          <w:spacing w:val="-5"/>
        </w:rPr>
        <w:t>者中评估 </w:t>
      </w:r>
      <w:r>
        <w:rPr>
          <w:rFonts w:ascii="Times New Roman" w:hAnsi="Times New Roman" w:eastAsia="Times New Roman"/>
        </w:rPr>
        <w:t>Tozorakimab </w:t>
      </w:r>
      <w:r>
        <w:rPr/>
        <w:t>长期有效性和安全性的多中心、随</w:t>
      </w:r>
      <w:r>
        <w:rPr/>
        <w:t> </w:t>
      </w:r>
      <w:r>
        <w:rPr>
          <w:spacing w:val="-2"/>
        </w:rPr>
        <w:t>机、双盲、长期给药、平行分组、安慰剂对照、</w:t>
      </w:r>
      <w:r>
        <w:rPr>
          <w:rFonts w:ascii="Times New Roman" w:hAnsi="Times New Roman" w:eastAsia="Times New Roman"/>
          <w:spacing w:val="-2"/>
        </w:rPr>
        <w:t>Ⅲ</w:t>
      </w:r>
      <w:r>
        <w:rPr>
          <w:spacing w:val="-2"/>
        </w:rPr>
        <w:t>期扩展研究（</w:t>
      </w:r>
      <w:r>
        <w:rPr>
          <w:rFonts w:ascii="Times New Roman" w:hAnsi="Times New Roman" w:eastAsia="Times New Roman"/>
          <w:spacing w:val="-2"/>
        </w:rPr>
        <w:t>PROSPERO</w:t>
      </w:r>
      <w:r>
        <w:rPr>
          <w:spacing w:val="-2"/>
        </w:rPr>
        <w:t>）</w:t>
      </w:r>
    </w:p>
    <w:p>
      <w:pPr>
        <w:pStyle w:val="BodyText"/>
        <w:spacing w:before="257"/>
        <w:ind w:left="0"/>
        <w:rPr>
          <w:b/>
          <w:sz w:val="20"/>
        </w:rPr>
      </w:pPr>
      <w:r>
        <w:rPr/>
        <mc:AlternateContent>
          <mc:Choice Requires="wps">
            <w:drawing>
              <wp:anchor distT="0" distB="0" distL="0" distR="0" allowOverlap="1" layoutInCell="1" locked="0" behindDoc="1" simplePos="0" relativeHeight="487589376">
                <wp:simplePos x="0" y="0"/>
                <wp:positionH relativeFrom="page">
                  <wp:posOffset>1080516</wp:posOffset>
                </wp:positionH>
                <wp:positionV relativeFrom="paragraph">
                  <wp:posOffset>344043</wp:posOffset>
                </wp:positionV>
                <wp:extent cx="5567045" cy="3810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67045" cy="38100"/>
                        </a:xfrm>
                        <a:custGeom>
                          <a:avLst/>
                          <a:gdLst/>
                          <a:ahLst/>
                          <a:cxnLst/>
                          <a:rect l="l" t="t" r="r" b="b"/>
                          <a:pathLst>
                            <a:path w="5567045" h="38100">
                              <a:moveTo>
                                <a:pt x="5566918" y="0"/>
                              </a:moveTo>
                              <a:lnTo>
                                <a:pt x="0" y="0"/>
                              </a:lnTo>
                              <a:lnTo>
                                <a:pt x="0" y="38100"/>
                              </a:lnTo>
                              <a:lnTo>
                                <a:pt x="5566918" y="38100"/>
                              </a:lnTo>
                              <a:lnTo>
                                <a:pt x="55669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7.09pt;width:438.34pt;height:3pt;mso-position-horizontal-relative:page;mso-position-vertical-relative:paragraph;z-index:-15727104;mso-wrap-distance-left:0;mso-wrap-distance-right:0" id="docshape9" filled="true" fillcolor="#000000" stroked="false">
                <v:fill type="solid"/>
                <w10:wrap type="topAndBottom"/>
              </v:rect>
            </w:pict>
          </mc:Fallback>
        </mc:AlternateContent>
      </w:r>
    </w:p>
    <w:p>
      <w:pPr>
        <w:pStyle w:val="BodyText"/>
        <w:spacing w:before="138"/>
        <w:ind w:left="0"/>
        <w:rPr>
          <w:b/>
          <w:sz w:val="32"/>
        </w:rPr>
      </w:pPr>
    </w:p>
    <w:p>
      <w:pPr>
        <w:pStyle w:val="Heading3"/>
        <w:spacing w:line="331" w:lineRule="auto"/>
        <w:ind w:left="328" w:right="7332"/>
      </w:pPr>
      <w:r>
        <w:rPr>
          <w:spacing w:val="-2"/>
        </w:rPr>
        <w:t>申办者名称：</w:t>
      </w:r>
      <w:r>
        <w:rPr>
          <w:spacing w:val="-2"/>
        </w:rPr>
        <w:t> 法定注册地址：</w:t>
      </w:r>
    </w:p>
    <w:p>
      <w:pPr>
        <w:pStyle w:val="BodyText"/>
        <w:spacing w:line="276" w:lineRule="auto" w:before="5"/>
        <w:ind w:left="328" w:right="7279"/>
        <w:rPr>
          <w:rFonts w:ascii="Times New Roman" w:hAnsi="Times New Roman"/>
        </w:rPr>
      </w:pPr>
      <w:r>
        <w:rPr>
          <w:rFonts w:ascii="Times New Roman" w:hAnsi="Times New Roman"/>
        </w:rPr>
        <w:t>AstraZeneca AB 151</w:t>
      </w:r>
      <w:r>
        <w:rPr>
          <w:rFonts w:ascii="Times New Roman" w:hAnsi="Times New Roman"/>
          <w:spacing w:val="-15"/>
        </w:rPr>
        <w:t> </w:t>
      </w:r>
      <w:r>
        <w:rPr>
          <w:rFonts w:ascii="Times New Roman" w:hAnsi="Times New Roman"/>
        </w:rPr>
        <w:t>85</w:t>
      </w:r>
      <w:r>
        <w:rPr>
          <w:rFonts w:ascii="Times New Roman" w:hAnsi="Times New Roman"/>
          <w:spacing w:val="-15"/>
        </w:rPr>
        <w:t> </w:t>
      </w:r>
      <w:r>
        <w:rPr>
          <w:rFonts w:ascii="Times New Roman" w:hAnsi="Times New Roman"/>
        </w:rPr>
        <w:t>Södertälje </w:t>
      </w:r>
      <w:r>
        <w:rPr>
          <w:rFonts w:ascii="Times New Roman" w:hAnsi="Times New Roman"/>
          <w:spacing w:val="-2"/>
        </w:rPr>
        <w:t>Sweden</w:t>
      </w:r>
    </w:p>
    <w:p>
      <w:pPr>
        <w:pStyle w:val="BodyText"/>
        <w:spacing w:line="276" w:lineRule="auto" w:before="239"/>
        <w:ind w:left="328" w:right="7279"/>
        <w:rPr>
          <w:rFonts w:ascii="Times New Roman"/>
        </w:rPr>
      </w:pPr>
      <w:r>
        <w:rPr>
          <w:rFonts w:ascii="Times New Roman"/>
        </w:rPr>
        <w:t>AstraZeneca</w:t>
      </w:r>
      <w:r>
        <w:rPr>
          <w:rFonts w:ascii="Times New Roman"/>
          <w:spacing w:val="-15"/>
        </w:rPr>
        <w:t> </w:t>
      </w:r>
      <w:r>
        <w:rPr>
          <w:rFonts w:ascii="Times New Roman"/>
        </w:rPr>
        <w:t>K.K. 3-1, Ofuka-cho </w:t>
      </w:r>
      <w:r>
        <w:rPr>
          <w:rFonts w:ascii="Times New Roman"/>
          <w:spacing w:val="-2"/>
        </w:rPr>
        <w:t>Kita-ku</w:t>
      </w:r>
    </w:p>
    <w:p>
      <w:pPr>
        <w:pStyle w:val="BodyText"/>
        <w:spacing w:line="276" w:lineRule="auto" w:before="1"/>
        <w:ind w:left="328" w:right="7332"/>
        <w:rPr>
          <w:rFonts w:ascii="Times New Roman"/>
        </w:rPr>
      </w:pPr>
      <w:r>
        <w:rPr>
          <w:rFonts w:ascii="Times New Roman"/>
        </w:rPr>
        <w:t>Osaka</w:t>
      </w:r>
      <w:r>
        <w:rPr>
          <w:rFonts w:ascii="Times New Roman"/>
          <w:spacing w:val="-15"/>
        </w:rPr>
        <w:t> </w:t>
      </w:r>
      <w:r>
        <w:rPr>
          <w:rFonts w:ascii="Times New Roman"/>
        </w:rPr>
        <w:t>530-0011 </w:t>
      </w:r>
      <w:r>
        <w:rPr>
          <w:rFonts w:ascii="Times New Roman"/>
          <w:spacing w:val="-2"/>
        </w:rPr>
        <w:t>Japan</w:t>
      </w:r>
    </w:p>
    <w:p>
      <w:pPr>
        <w:pStyle w:val="BodyText"/>
        <w:ind w:left="0"/>
        <w:rPr>
          <w:rFonts w:ascii="Times New Roman"/>
        </w:rPr>
      </w:pPr>
    </w:p>
    <w:p>
      <w:pPr>
        <w:pStyle w:val="BodyText"/>
        <w:spacing w:before="242"/>
        <w:ind w:left="0"/>
        <w:rPr>
          <w:rFonts w:ascii="Times New Roman"/>
        </w:rPr>
      </w:pPr>
    </w:p>
    <w:p>
      <w:pPr>
        <w:pStyle w:val="Heading3"/>
        <w:spacing w:before="1"/>
        <w:ind w:left="328"/>
      </w:pPr>
      <w:r>
        <w:rPr>
          <w:spacing w:val="-5"/>
        </w:rPr>
        <w:t>监管机构识别号：</w:t>
      </w:r>
    </w:p>
    <w:p>
      <w:pPr>
        <w:pStyle w:val="BodyText"/>
        <w:spacing w:before="120"/>
        <w:ind w:left="328"/>
        <w:rPr>
          <w:rFonts w:ascii="Times New Roman" w:eastAsia="Times New Roman"/>
        </w:rPr>
      </w:pPr>
      <w:r>
        <w:rPr>
          <w:rFonts w:ascii="Times New Roman" w:eastAsia="Times New Roman"/>
        </w:rPr>
        <w:t>EU</w:t>
      </w:r>
      <w:r>
        <w:rPr>
          <w:rFonts w:ascii="Times New Roman" w:eastAsia="Times New Roman"/>
          <w:spacing w:val="-2"/>
        </w:rPr>
        <w:t> </w:t>
      </w:r>
      <w:r>
        <w:rPr>
          <w:rFonts w:ascii="Times New Roman" w:eastAsia="Times New Roman"/>
        </w:rPr>
        <w:t>CT</w:t>
      </w:r>
      <w:r>
        <w:rPr>
          <w:rFonts w:ascii="Times New Roman" w:eastAsia="Times New Roman"/>
          <w:spacing w:val="-13"/>
        </w:rPr>
        <w:t> </w:t>
      </w:r>
      <w:r>
        <w:rPr/>
        <w:t>编号：</w:t>
      </w:r>
      <w:r>
        <w:rPr>
          <w:rFonts w:ascii="Times New Roman" w:eastAsia="Times New Roman"/>
        </w:rPr>
        <w:t>2022-501063-41-</w:t>
      </w:r>
      <w:r>
        <w:rPr>
          <w:rFonts w:ascii="Times New Roman" w:eastAsia="Times New Roman"/>
          <w:spacing w:val="-5"/>
        </w:rPr>
        <w:t>00</w:t>
      </w:r>
    </w:p>
    <w:p>
      <w:pPr>
        <w:spacing w:after="0"/>
        <w:rPr>
          <w:rFonts w:ascii="Times New Roman" w:eastAsia="Times New Roman"/>
        </w:rPr>
        <w:sectPr>
          <w:headerReference w:type="default" r:id="rId5"/>
          <w:footerReference w:type="default" r:id="rId6"/>
          <w:type w:val="continuous"/>
          <w:pgSz w:w="11910" w:h="16840"/>
          <w:pgMar w:header="590" w:footer="784" w:top="1360" w:bottom="980" w:left="1480" w:right="1080"/>
          <w:pgNumType w:start="1"/>
        </w:sectPr>
      </w:pPr>
    </w:p>
    <w:p>
      <w:pPr>
        <w:pStyle w:val="BodyText"/>
        <w:spacing w:line="276" w:lineRule="auto" w:before="60"/>
        <w:ind w:right="117" w:firstLine="480"/>
      </w:pPr>
      <w:r>
        <w:rPr>
          <w:spacing w:val="-3"/>
        </w:rPr>
        <w:t>按照阿斯利康标准规程，本 </w:t>
      </w:r>
      <w:r>
        <w:rPr>
          <w:rFonts w:ascii="Times New Roman" w:eastAsia="Times New Roman"/>
        </w:rPr>
        <w:t>CSP</w:t>
      </w:r>
      <w:r>
        <w:rPr>
          <w:rFonts w:ascii="Times New Roman" w:eastAsia="Times New Roman"/>
          <w:spacing w:val="-6"/>
        </w:rPr>
        <w:t> </w:t>
      </w:r>
      <w:r>
        <w:rPr/>
        <w:t>已经过同行审核。本临床研究方案已公开登记，</w:t>
      </w:r>
      <w:r>
        <w:rPr>
          <w:spacing w:val="-2"/>
        </w:rPr>
        <w:t>并根据阿斯利康有关生物伦理学的全球标准以及相关法律法规，已对研究结果进行</w:t>
      </w:r>
      <w:r>
        <w:rPr>
          <w:spacing w:val="80"/>
          <w:w w:val="150"/>
        </w:rPr>
        <w:t> </w:t>
      </w:r>
      <w:r>
        <w:rPr>
          <w:spacing w:val="-2"/>
        </w:rPr>
        <w:t>披露和</w:t>
      </w:r>
      <w:r>
        <w:rPr>
          <w:rFonts w:ascii="Times New Roman" w:eastAsia="Times New Roman"/>
          <w:spacing w:val="-2"/>
        </w:rPr>
        <w:t>/</w:t>
      </w:r>
      <w:r>
        <w:rPr>
          <w:spacing w:val="-2"/>
        </w:rPr>
        <w:t>或发表。</w:t>
      </w:r>
    </w:p>
    <w:p>
      <w:pPr>
        <w:pStyle w:val="BodyText"/>
        <w:spacing w:before="238"/>
        <w:ind w:left="701"/>
      </w:pPr>
      <w:r>
        <w:rPr>
          <w:spacing w:val="-2"/>
        </w:rPr>
        <w:t>版本适用范围：全球</w:t>
      </w:r>
    </w:p>
    <w:p>
      <w:pPr>
        <w:pStyle w:val="BodyText"/>
        <w:spacing w:line="276" w:lineRule="auto" w:before="286"/>
        <w:ind w:right="357"/>
      </w:pPr>
      <w:r>
        <w:rPr>
          <w:b/>
          <w:spacing w:val="-2"/>
        </w:rPr>
        <w:t>标题：</w:t>
      </w:r>
      <w:r>
        <w:rPr>
          <w:rFonts w:ascii="Times New Roman" w:eastAsia="Times New Roman"/>
          <w:spacing w:val="-2"/>
        </w:rPr>
        <w:t>Tozorakimab</w:t>
      </w:r>
      <w:r>
        <w:rPr>
          <w:rFonts w:ascii="Times New Roman" w:eastAsia="Times New Roman"/>
          <w:spacing w:val="-15"/>
        </w:rPr>
        <w:t> </w:t>
      </w:r>
      <w:r>
        <w:rPr>
          <w:spacing w:val="-2"/>
        </w:rPr>
        <w:t>治疗具有急性加重病史的慢性阻塞性肺疾病受试者的长期有效性</w:t>
      </w:r>
      <w:r>
        <w:rPr>
          <w:spacing w:val="-4"/>
        </w:rPr>
        <w:t>和安全性</w:t>
      </w:r>
    </w:p>
    <w:p>
      <w:pPr>
        <w:pStyle w:val="Heading3"/>
        <w:spacing w:before="239"/>
      </w:pPr>
      <w:r>
        <w:rPr>
          <w:spacing w:val="-2"/>
        </w:rPr>
        <w:t>研究分期：</w:t>
      </w:r>
      <w:r>
        <w:rPr>
          <w:rFonts w:ascii="Times New Roman" w:hAnsi="Times New Roman" w:eastAsia="Times New Roman"/>
          <w:spacing w:val="-2"/>
        </w:rPr>
        <w:t>Ⅲ</w:t>
      </w:r>
      <w:r>
        <w:rPr>
          <w:spacing w:val="-10"/>
        </w:rPr>
        <w:t>期</w:t>
      </w:r>
    </w:p>
    <w:p>
      <w:pPr>
        <w:spacing w:before="285"/>
        <w:ind w:left="221" w:right="0" w:firstLine="0"/>
        <w:jc w:val="left"/>
        <w:rPr>
          <w:rFonts w:ascii="Times New Roman" w:eastAsia="Times New Roman"/>
          <w:sz w:val="24"/>
        </w:rPr>
      </w:pPr>
      <w:r>
        <w:rPr>
          <w:b/>
          <w:spacing w:val="-2"/>
          <w:sz w:val="24"/>
        </w:rPr>
        <w:t>首字母缩写</w:t>
      </w:r>
      <w:r>
        <w:rPr>
          <w:spacing w:val="-2"/>
          <w:sz w:val="24"/>
        </w:rPr>
        <w:t>：</w:t>
      </w:r>
      <w:r>
        <w:rPr>
          <w:rFonts w:ascii="Times New Roman" w:eastAsia="Times New Roman"/>
          <w:spacing w:val="-2"/>
          <w:sz w:val="24"/>
        </w:rPr>
        <w:t>PROSPERO</w:t>
      </w:r>
    </w:p>
    <w:p>
      <w:pPr>
        <w:pStyle w:val="Heading3"/>
        <w:spacing w:line="598" w:lineRule="exact" w:before="52"/>
        <w:ind w:right="4546"/>
      </w:pPr>
      <w:r>
        <w:rPr>
          <w:spacing w:val="-2"/>
        </w:rPr>
        <w:t>将单独提供研究临床负责人姓名和联系信息国际协调研究者</w:t>
      </w:r>
    </w:p>
    <w:p>
      <w:pPr>
        <w:pStyle w:val="BodyText"/>
        <w:spacing w:before="70"/>
        <w:rPr>
          <w:rFonts w:ascii="Times New Roman"/>
        </w:rPr>
      </w:pPr>
      <w:r>
        <w:rPr>
          <w:rFonts w:ascii="Times New Roman"/>
        </w:rPr>
        <w:t>Henrik</w:t>
      </w:r>
      <w:r>
        <w:rPr>
          <w:rFonts w:ascii="Times New Roman"/>
          <w:spacing w:val="-2"/>
        </w:rPr>
        <w:t> </w:t>
      </w:r>
      <w:r>
        <w:rPr>
          <w:rFonts w:ascii="Times New Roman"/>
          <w:spacing w:val="-4"/>
        </w:rPr>
        <w:t>Watz</w:t>
      </w:r>
    </w:p>
    <w:p>
      <w:pPr>
        <w:pStyle w:val="BodyText"/>
        <w:spacing w:line="276" w:lineRule="auto" w:before="41"/>
        <w:ind w:right="2516"/>
        <w:rPr>
          <w:rFonts w:ascii="Times New Roman"/>
        </w:rPr>
      </w:pPr>
      <w:r>
        <w:rPr>
          <w:rFonts w:ascii="Times New Roman"/>
        </w:rPr>
        <w:t>Pulmonary</w:t>
      </w:r>
      <w:r>
        <w:rPr>
          <w:rFonts w:ascii="Times New Roman"/>
          <w:spacing w:val="-8"/>
        </w:rPr>
        <w:t> </w:t>
      </w:r>
      <w:r>
        <w:rPr>
          <w:rFonts w:ascii="Times New Roman"/>
        </w:rPr>
        <w:t>Research</w:t>
      </w:r>
      <w:r>
        <w:rPr>
          <w:rFonts w:ascii="Times New Roman"/>
          <w:spacing w:val="-8"/>
        </w:rPr>
        <w:t> </w:t>
      </w:r>
      <w:r>
        <w:rPr>
          <w:rFonts w:ascii="Times New Roman"/>
        </w:rPr>
        <w:t>Institute</w:t>
      </w:r>
      <w:r>
        <w:rPr>
          <w:rFonts w:ascii="Times New Roman"/>
          <w:spacing w:val="-7"/>
        </w:rPr>
        <w:t> </w:t>
      </w:r>
      <w:r>
        <w:rPr>
          <w:rFonts w:ascii="Times New Roman"/>
        </w:rPr>
        <w:t>at</w:t>
      </w:r>
      <w:r>
        <w:rPr>
          <w:rFonts w:ascii="Times New Roman"/>
          <w:spacing w:val="-7"/>
        </w:rPr>
        <w:t> </w:t>
      </w:r>
      <w:r>
        <w:rPr>
          <w:rFonts w:ascii="Times New Roman"/>
        </w:rPr>
        <w:t>LungenClinic</w:t>
      </w:r>
      <w:r>
        <w:rPr>
          <w:rFonts w:ascii="Times New Roman"/>
          <w:spacing w:val="-8"/>
        </w:rPr>
        <w:t> </w:t>
      </w:r>
      <w:r>
        <w:rPr>
          <w:rFonts w:ascii="Times New Roman"/>
        </w:rPr>
        <w:t>Grosshansdorf Woehrendamm 80</w:t>
      </w:r>
    </w:p>
    <w:p>
      <w:pPr>
        <w:pStyle w:val="BodyText"/>
        <w:rPr>
          <w:rFonts w:ascii="Times New Roman"/>
        </w:rPr>
      </w:pPr>
      <w:r>
        <w:rPr>
          <w:rFonts w:ascii="Times New Roman"/>
        </w:rPr>
        <w:t>D-22927</w:t>
      </w:r>
      <w:r>
        <w:rPr>
          <w:rFonts w:ascii="Times New Roman"/>
          <w:spacing w:val="-1"/>
        </w:rPr>
        <w:t> </w:t>
      </w:r>
      <w:r>
        <w:rPr>
          <w:rFonts w:ascii="Times New Roman"/>
        </w:rPr>
        <w:t>Grosshansdorf</w:t>
      </w:r>
      <w:r>
        <w:rPr>
          <w:rFonts w:ascii="Times New Roman"/>
          <w:spacing w:val="-2"/>
        </w:rPr>
        <w:t> Germany</w:t>
      </w:r>
    </w:p>
    <w:p>
      <w:pPr>
        <w:spacing w:after="0"/>
        <w:rPr>
          <w:rFonts w:ascii="Times New Roman"/>
        </w:rPr>
        <w:sectPr>
          <w:pgSz w:w="11910" w:h="16840"/>
          <w:pgMar w:header="590" w:footer="784" w:top="1360" w:bottom="980" w:left="1480" w:right="1080"/>
        </w:sectPr>
      </w:pPr>
    </w:p>
    <w:p>
      <w:pPr>
        <w:pStyle w:val="Heading1"/>
        <w:spacing w:before="60"/>
        <w:ind w:left="221" w:firstLine="0"/>
      </w:pPr>
      <w:bookmarkStart w:name="变更汇总表" w:id="3"/>
      <w:bookmarkEnd w:id="3"/>
      <w:r>
        <w:rPr>
          <w:b w:val="0"/>
        </w:rPr>
      </w:r>
      <w:bookmarkStart w:name="_bookmark1" w:id="4"/>
      <w:bookmarkEnd w:id="4"/>
      <w:r>
        <w:rPr>
          <w:b w:val="0"/>
        </w:rPr>
      </w:r>
      <w:r>
        <w:rPr>
          <w:spacing w:val="-6"/>
        </w:rPr>
        <w:t>变更汇总表</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2"/>
        <w:gridCol w:w="4424"/>
      </w:tblGrid>
      <w:tr>
        <w:trPr>
          <w:trHeight w:val="352" w:hRule="atLeast"/>
        </w:trPr>
        <w:tc>
          <w:tcPr>
            <w:tcW w:w="8756" w:type="dxa"/>
            <w:gridSpan w:val="2"/>
          </w:tcPr>
          <w:p>
            <w:pPr>
              <w:pStyle w:val="TableParagraph"/>
              <w:spacing w:before="38"/>
              <w:ind w:left="107"/>
              <w:rPr>
                <w:b/>
                <w:sz w:val="21"/>
              </w:rPr>
            </w:pPr>
            <w:r>
              <w:rPr>
                <w:b/>
                <w:spacing w:val="-4"/>
                <w:sz w:val="21"/>
              </w:rPr>
              <w:t>文件历史</w:t>
            </w:r>
          </w:p>
        </w:tc>
      </w:tr>
      <w:tr>
        <w:trPr>
          <w:trHeight w:val="352" w:hRule="atLeast"/>
        </w:trPr>
        <w:tc>
          <w:tcPr>
            <w:tcW w:w="4332" w:type="dxa"/>
          </w:tcPr>
          <w:p>
            <w:pPr>
              <w:pStyle w:val="TableParagraph"/>
              <w:spacing w:before="38"/>
              <w:ind w:left="107"/>
              <w:rPr>
                <w:b/>
                <w:sz w:val="21"/>
              </w:rPr>
            </w:pPr>
            <w:r>
              <w:rPr>
                <w:b/>
                <w:spacing w:val="-6"/>
                <w:sz w:val="21"/>
              </w:rPr>
              <w:t>文件</w:t>
            </w:r>
          </w:p>
        </w:tc>
        <w:tc>
          <w:tcPr>
            <w:tcW w:w="4424" w:type="dxa"/>
          </w:tcPr>
          <w:p>
            <w:pPr>
              <w:pStyle w:val="TableParagraph"/>
              <w:spacing w:before="38"/>
              <w:ind w:left="108"/>
              <w:rPr>
                <w:b/>
                <w:sz w:val="21"/>
              </w:rPr>
            </w:pPr>
            <w:r>
              <w:rPr>
                <w:b/>
                <w:spacing w:val="-6"/>
                <w:sz w:val="21"/>
              </w:rPr>
              <w:t>日期</w:t>
            </w:r>
          </w:p>
        </w:tc>
      </w:tr>
      <w:tr>
        <w:trPr>
          <w:trHeight w:val="393" w:hRule="atLeast"/>
        </w:trPr>
        <w:tc>
          <w:tcPr>
            <w:tcW w:w="4332" w:type="dxa"/>
          </w:tcPr>
          <w:p>
            <w:pPr>
              <w:pStyle w:val="TableParagraph"/>
              <w:spacing w:before="38"/>
              <w:ind w:left="107"/>
              <w:rPr>
                <w:sz w:val="21"/>
              </w:rPr>
            </w:pPr>
            <w:r>
              <w:rPr>
                <w:rFonts w:ascii="Times New Roman" w:eastAsia="Times New Roman"/>
                <w:sz w:val="21"/>
              </w:rPr>
              <w:t>CSP</w:t>
            </w:r>
            <w:r>
              <w:rPr>
                <w:rFonts w:ascii="Times New Roman" w:eastAsia="Times New Roman"/>
                <w:spacing w:val="-13"/>
                <w:sz w:val="21"/>
              </w:rPr>
              <w:t> </w:t>
            </w:r>
            <w:r>
              <w:rPr>
                <w:spacing w:val="-26"/>
                <w:sz w:val="21"/>
              </w:rPr>
              <w:t>第 </w:t>
            </w:r>
            <w:r>
              <w:rPr>
                <w:rFonts w:ascii="Times New Roman" w:eastAsia="Times New Roman"/>
                <w:sz w:val="21"/>
              </w:rPr>
              <w:t>4.0</w:t>
            </w:r>
            <w:r>
              <w:rPr>
                <w:rFonts w:ascii="Times New Roman" w:eastAsia="Times New Roman"/>
                <w:spacing w:val="-10"/>
                <w:sz w:val="21"/>
              </w:rPr>
              <w:t> </w:t>
            </w:r>
            <w:r>
              <w:rPr>
                <w:spacing w:val="-12"/>
                <w:sz w:val="21"/>
              </w:rPr>
              <w:t>版</w:t>
            </w:r>
          </w:p>
        </w:tc>
        <w:tc>
          <w:tcPr>
            <w:tcW w:w="4424" w:type="dxa"/>
          </w:tcPr>
          <w:p>
            <w:pPr>
              <w:pStyle w:val="TableParagraph"/>
              <w:spacing w:before="58"/>
              <w:ind w:left="108"/>
              <w:rPr>
                <w:sz w:val="21"/>
              </w:rPr>
            </w:pPr>
            <w:r>
              <w:rPr>
                <w:rFonts w:ascii="Times New Roman" w:eastAsia="Times New Roman"/>
                <w:sz w:val="21"/>
              </w:rPr>
              <w:t>2025</w:t>
            </w:r>
            <w:r>
              <w:rPr>
                <w:rFonts w:ascii="Times New Roman" w:eastAsia="Times New Roman"/>
                <w:spacing w:val="-10"/>
                <w:sz w:val="21"/>
              </w:rPr>
              <w:t> </w:t>
            </w:r>
            <w:r>
              <w:rPr>
                <w:spacing w:val="-27"/>
                <w:sz w:val="21"/>
              </w:rPr>
              <w:t>年 </w:t>
            </w:r>
            <w:r>
              <w:rPr>
                <w:rFonts w:ascii="Times New Roman" w:eastAsia="Times New Roman"/>
                <w:sz w:val="21"/>
              </w:rPr>
              <w:t>7</w:t>
            </w:r>
            <w:r>
              <w:rPr>
                <w:rFonts w:ascii="Times New Roman" w:eastAsia="Times New Roman"/>
                <w:spacing w:val="-10"/>
                <w:sz w:val="21"/>
              </w:rPr>
              <w:t> </w:t>
            </w:r>
            <w:r>
              <w:rPr>
                <w:spacing w:val="-27"/>
                <w:sz w:val="21"/>
              </w:rPr>
              <w:t>月 </w:t>
            </w:r>
            <w:r>
              <w:rPr>
                <w:rFonts w:ascii="Times New Roman" w:eastAsia="Times New Roman"/>
                <w:sz w:val="21"/>
              </w:rPr>
              <w:t>1</w:t>
            </w:r>
            <w:r>
              <w:rPr>
                <w:rFonts w:ascii="Times New Roman" w:eastAsia="Times New Roman"/>
                <w:spacing w:val="-10"/>
                <w:sz w:val="21"/>
              </w:rPr>
              <w:t> </w:t>
            </w:r>
            <w:r>
              <w:rPr>
                <w:spacing w:val="-10"/>
                <w:sz w:val="21"/>
              </w:rPr>
              <w:t>日</w:t>
            </w:r>
          </w:p>
        </w:tc>
      </w:tr>
      <w:tr>
        <w:trPr>
          <w:trHeight w:val="392" w:hRule="atLeast"/>
        </w:trPr>
        <w:tc>
          <w:tcPr>
            <w:tcW w:w="4332" w:type="dxa"/>
          </w:tcPr>
          <w:p>
            <w:pPr>
              <w:pStyle w:val="TableParagraph"/>
              <w:spacing w:before="38"/>
              <w:ind w:left="107"/>
              <w:rPr>
                <w:sz w:val="21"/>
              </w:rPr>
            </w:pPr>
            <w:r>
              <w:rPr>
                <w:rFonts w:ascii="Times New Roman" w:eastAsia="Times New Roman"/>
                <w:sz w:val="21"/>
              </w:rPr>
              <w:t>CSP</w:t>
            </w:r>
            <w:r>
              <w:rPr>
                <w:rFonts w:ascii="Times New Roman" w:eastAsia="Times New Roman"/>
                <w:spacing w:val="-13"/>
                <w:sz w:val="21"/>
              </w:rPr>
              <w:t> </w:t>
            </w:r>
            <w:r>
              <w:rPr>
                <w:spacing w:val="-26"/>
                <w:sz w:val="21"/>
              </w:rPr>
              <w:t>第 </w:t>
            </w:r>
            <w:r>
              <w:rPr>
                <w:rFonts w:ascii="Times New Roman" w:eastAsia="Times New Roman"/>
                <w:sz w:val="21"/>
              </w:rPr>
              <w:t>3.0</w:t>
            </w:r>
            <w:r>
              <w:rPr>
                <w:rFonts w:ascii="Times New Roman" w:eastAsia="Times New Roman"/>
                <w:spacing w:val="-10"/>
                <w:sz w:val="21"/>
              </w:rPr>
              <w:t> </w:t>
            </w:r>
            <w:r>
              <w:rPr>
                <w:spacing w:val="-12"/>
                <w:sz w:val="21"/>
              </w:rPr>
              <w:t>版</w:t>
            </w:r>
          </w:p>
        </w:tc>
        <w:tc>
          <w:tcPr>
            <w:tcW w:w="4424" w:type="dxa"/>
          </w:tcPr>
          <w:p>
            <w:pPr>
              <w:pStyle w:val="TableParagraph"/>
              <w:spacing w:before="58"/>
              <w:ind w:left="108"/>
              <w:rPr>
                <w:sz w:val="21"/>
              </w:rPr>
            </w:pPr>
            <w:r>
              <w:rPr>
                <w:rFonts w:ascii="Times New Roman" w:eastAsia="Times New Roman"/>
                <w:sz w:val="21"/>
              </w:rPr>
              <w:t>2024</w:t>
            </w:r>
            <w:r>
              <w:rPr>
                <w:rFonts w:ascii="Times New Roman" w:eastAsia="Times New Roman"/>
                <w:spacing w:val="-10"/>
                <w:sz w:val="21"/>
              </w:rPr>
              <w:t> </w:t>
            </w:r>
            <w:r>
              <w:rPr>
                <w:spacing w:val="-27"/>
                <w:sz w:val="21"/>
              </w:rPr>
              <w:t>年 </w:t>
            </w:r>
            <w:r>
              <w:rPr>
                <w:rFonts w:ascii="Times New Roman" w:eastAsia="Times New Roman"/>
                <w:sz w:val="21"/>
              </w:rPr>
              <w:t>3</w:t>
            </w:r>
            <w:r>
              <w:rPr>
                <w:rFonts w:ascii="Times New Roman" w:eastAsia="Times New Roman"/>
                <w:spacing w:val="-10"/>
                <w:sz w:val="21"/>
              </w:rPr>
              <w:t> </w:t>
            </w:r>
            <w:r>
              <w:rPr>
                <w:spacing w:val="-27"/>
                <w:sz w:val="21"/>
              </w:rPr>
              <w:t>月 </w:t>
            </w:r>
            <w:r>
              <w:rPr>
                <w:rFonts w:ascii="Times New Roman" w:eastAsia="Times New Roman"/>
                <w:sz w:val="21"/>
              </w:rPr>
              <w:t>26</w:t>
            </w:r>
            <w:r>
              <w:rPr>
                <w:rFonts w:ascii="Times New Roman" w:eastAsia="Times New Roman"/>
                <w:spacing w:val="-10"/>
                <w:sz w:val="21"/>
              </w:rPr>
              <w:t> </w:t>
            </w:r>
            <w:r>
              <w:rPr>
                <w:spacing w:val="-10"/>
                <w:sz w:val="21"/>
              </w:rPr>
              <w:t>日</w:t>
            </w:r>
          </w:p>
        </w:tc>
      </w:tr>
      <w:tr>
        <w:trPr>
          <w:trHeight w:val="393" w:hRule="atLeast"/>
        </w:trPr>
        <w:tc>
          <w:tcPr>
            <w:tcW w:w="4332" w:type="dxa"/>
          </w:tcPr>
          <w:p>
            <w:pPr>
              <w:pStyle w:val="TableParagraph"/>
              <w:spacing w:before="39"/>
              <w:ind w:left="107"/>
              <w:rPr>
                <w:sz w:val="21"/>
              </w:rPr>
            </w:pPr>
            <w:r>
              <w:rPr>
                <w:rFonts w:ascii="Times New Roman" w:eastAsia="Times New Roman"/>
                <w:sz w:val="21"/>
              </w:rPr>
              <w:t>CSP</w:t>
            </w:r>
            <w:r>
              <w:rPr>
                <w:rFonts w:ascii="Times New Roman" w:eastAsia="Times New Roman"/>
                <w:spacing w:val="-13"/>
                <w:sz w:val="21"/>
              </w:rPr>
              <w:t> </w:t>
            </w:r>
            <w:r>
              <w:rPr>
                <w:spacing w:val="-26"/>
                <w:sz w:val="21"/>
              </w:rPr>
              <w:t>第 </w:t>
            </w:r>
            <w:r>
              <w:rPr>
                <w:rFonts w:ascii="Times New Roman" w:eastAsia="Times New Roman"/>
                <w:sz w:val="21"/>
              </w:rPr>
              <w:t>2.0</w:t>
            </w:r>
            <w:r>
              <w:rPr>
                <w:rFonts w:ascii="Times New Roman" w:eastAsia="Times New Roman"/>
                <w:spacing w:val="-10"/>
                <w:sz w:val="21"/>
              </w:rPr>
              <w:t> </w:t>
            </w:r>
            <w:r>
              <w:rPr>
                <w:spacing w:val="-12"/>
                <w:sz w:val="21"/>
              </w:rPr>
              <w:t>版</w:t>
            </w:r>
          </w:p>
        </w:tc>
        <w:tc>
          <w:tcPr>
            <w:tcW w:w="4424" w:type="dxa"/>
          </w:tcPr>
          <w:p>
            <w:pPr>
              <w:pStyle w:val="TableParagraph"/>
              <w:spacing w:before="59"/>
              <w:ind w:left="108"/>
              <w:rPr>
                <w:sz w:val="21"/>
              </w:rPr>
            </w:pPr>
            <w:r>
              <w:rPr>
                <w:rFonts w:ascii="Times New Roman" w:eastAsia="Times New Roman"/>
                <w:sz w:val="21"/>
              </w:rPr>
              <w:t>2023</w:t>
            </w:r>
            <w:r>
              <w:rPr>
                <w:rFonts w:ascii="Times New Roman" w:eastAsia="Times New Roman"/>
                <w:spacing w:val="-10"/>
                <w:sz w:val="21"/>
              </w:rPr>
              <w:t> </w:t>
            </w:r>
            <w:r>
              <w:rPr>
                <w:spacing w:val="-27"/>
                <w:sz w:val="21"/>
              </w:rPr>
              <w:t>年 </w:t>
            </w:r>
            <w:r>
              <w:rPr>
                <w:rFonts w:ascii="Times New Roman" w:eastAsia="Times New Roman"/>
                <w:sz w:val="21"/>
              </w:rPr>
              <w:t>7</w:t>
            </w:r>
            <w:r>
              <w:rPr>
                <w:rFonts w:ascii="Times New Roman" w:eastAsia="Times New Roman"/>
                <w:spacing w:val="-10"/>
                <w:sz w:val="21"/>
              </w:rPr>
              <w:t> </w:t>
            </w:r>
            <w:r>
              <w:rPr>
                <w:spacing w:val="-27"/>
                <w:sz w:val="21"/>
              </w:rPr>
              <w:t>月 </w:t>
            </w:r>
            <w:r>
              <w:rPr>
                <w:rFonts w:ascii="Times New Roman" w:eastAsia="Times New Roman"/>
                <w:sz w:val="21"/>
              </w:rPr>
              <w:t>27</w:t>
            </w:r>
            <w:r>
              <w:rPr>
                <w:rFonts w:ascii="Times New Roman" w:eastAsia="Times New Roman"/>
                <w:spacing w:val="-10"/>
                <w:sz w:val="21"/>
              </w:rPr>
              <w:t> </w:t>
            </w:r>
            <w:r>
              <w:rPr>
                <w:spacing w:val="-10"/>
                <w:sz w:val="21"/>
              </w:rPr>
              <w:t>日</w:t>
            </w:r>
          </w:p>
        </w:tc>
      </w:tr>
      <w:tr>
        <w:trPr>
          <w:trHeight w:val="394" w:hRule="atLeast"/>
        </w:trPr>
        <w:tc>
          <w:tcPr>
            <w:tcW w:w="4332" w:type="dxa"/>
          </w:tcPr>
          <w:p>
            <w:pPr>
              <w:pStyle w:val="TableParagraph"/>
              <w:spacing w:before="39"/>
              <w:ind w:left="107"/>
              <w:rPr>
                <w:sz w:val="21"/>
              </w:rPr>
            </w:pPr>
            <w:r>
              <w:rPr>
                <w:spacing w:val="-3"/>
                <w:sz w:val="21"/>
              </w:rPr>
              <w:t>原始方案</w:t>
            </w:r>
          </w:p>
        </w:tc>
        <w:tc>
          <w:tcPr>
            <w:tcW w:w="4424" w:type="dxa"/>
          </w:tcPr>
          <w:p>
            <w:pPr>
              <w:pStyle w:val="TableParagraph"/>
              <w:spacing w:before="59"/>
              <w:ind w:left="108"/>
              <w:rPr>
                <w:sz w:val="21"/>
              </w:rPr>
            </w:pPr>
            <w:r>
              <w:rPr>
                <w:rFonts w:ascii="Times New Roman" w:eastAsia="Times New Roman"/>
                <w:sz w:val="21"/>
              </w:rPr>
              <w:t>2022</w:t>
            </w:r>
            <w:r>
              <w:rPr>
                <w:rFonts w:ascii="Times New Roman" w:eastAsia="Times New Roman"/>
                <w:spacing w:val="-10"/>
                <w:sz w:val="21"/>
              </w:rPr>
              <w:t> </w:t>
            </w:r>
            <w:r>
              <w:rPr>
                <w:spacing w:val="-27"/>
                <w:sz w:val="21"/>
              </w:rPr>
              <w:t>年 </w:t>
            </w:r>
            <w:r>
              <w:rPr>
                <w:rFonts w:ascii="Times New Roman" w:eastAsia="Times New Roman"/>
                <w:sz w:val="21"/>
              </w:rPr>
              <w:t>8</w:t>
            </w:r>
            <w:r>
              <w:rPr>
                <w:rFonts w:ascii="Times New Roman" w:eastAsia="Times New Roman"/>
                <w:spacing w:val="-10"/>
                <w:sz w:val="21"/>
              </w:rPr>
              <w:t> </w:t>
            </w:r>
            <w:r>
              <w:rPr>
                <w:spacing w:val="-27"/>
                <w:sz w:val="21"/>
              </w:rPr>
              <w:t>月 </w:t>
            </w:r>
            <w:r>
              <w:rPr>
                <w:rFonts w:ascii="Times New Roman" w:eastAsia="Times New Roman"/>
                <w:sz w:val="21"/>
              </w:rPr>
              <w:t>9</w:t>
            </w:r>
            <w:r>
              <w:rPr>
                <w:rFonts w:ascii="Times New Roman" w:eastAsia="Times New Roman"/>
                <w:spacing w:val="-10"/>
                <w:sz w:val="21"/>
              </w:rPr>
              <w:t> </w:t>
            </w:r>
            <w:r>
              <w:rPr>
                <w:spacing w:val="-10"/>
                <w:sz w:val="21"/>
              </w:rPr>
              <w:t>日</w:t>
            </w:r>
          </w:p>
        </w:tc>
      </w:tr>
    </w:tbl>
    <w:p>
      <w:pPr>
        <w:pStyle w:val="BodyText"/>
        <w:spacing w:before="31"/>
        <w:ind w:left="0"/>
        <w:rPr>
          <w:b/>
          <w:sz w:val="28"/>
        </w:rPr>
      </w:pPr>
    </w:p>
    <w:p>
      <w:pPr>
        <w:pStyle w:val="Heading3"/>
      </w:pPr>
      <w:r>
        <w:rPr>
          <w:rFonts w:ascii="Times New Roman" w:eastAsia="Times New Roman"/>
        </w:rPr>
        <w:t>CSP</w:t>
      </w:r>
      <w:r>
        <w:rPr>
          <w:rFonts w:ascii="Times New Roman" w:eastAsia="Times New Roman"/>
          <w:spacing w:val="-15"/>
        </w:rPr>
        <w:t> </w:t>
      </w:r>
      <w:r>
        <w:rPr>
          <w:spacing w:val="-12"/>
        </w:rPr>
        <w:t>版本：第 </w:t>
      </w:r>
      <w:r>
        <w:rPr>
          <w:rFonts w:ascii="Times New Roman" w:eastAsia="Times New Roman"/>
        </w:rPr>
        <w:t>4.0</w:t>
      </w:r>
      <w:r>
        <w:rPr>
          <w:rFonts w:ascii="Times New Roman" w:eastAsia="Times New Roman"/>
          <w:spacing w:val="-15"/>
        </w:rPr>
        <w:t> </w:t>
      </w:r>
      <w:r>
        <w:rPr/>
        <w:t>版，</w:t>
      </w:r>
      <w:r>
        <w:rPr>
          <w:rFonts w:ascii="Times New Roman" w:eastAsia="Times New Roman"/>
        </w:rPr>
        <w:t>2025</w:t>
      </w:r>
      <w:r>
        <w:rPr>
          <w:rFonts w:ascii="Times New Roman" w:eastAsia="Times New Roman"/>
          <w:spacing w:val="-11"/>
        </w:rPr>
        <w:t> </w:t>
      </w:r>
      <w:r>
        <w:rPr>
          <w:spacing w:val="-30"/>
        </w:rPr>
        <w:t>年 </w:t>
      </w:r>
      <w:r>
        <w:rPr>
          <w:rFonts w:ascii="Times New Roman" w:eastAsia="Times New Roman"/>
        </w:rPr>
        <w:t>7</w:t>
      </w:r>
      <w:r>
        <w:rPr>
          <w:rFonts w:ascii="Times New Roman" w:eastAsia="Times New Roman"/>
          <w:spacing w:val="-12"/>
        </w:rPr>
        <w:t> </w:t>
      </w:r>
      <w:r>
        <w:rPr>
          <w:spacing w:val="-30"/>
        </w:rPr>
        <w:t>月 </w:t>
      </w:r>
      <w:r>
        <w:rPr>
          <w:rFonts w:ascii="Times New Roman" w:eastAsia="Times New Roman"/>
        </w:rPr>
        <w:t>1</w:t>
      </w:r>
      <w:r>
        <w:rPr>
          <w:rFonts w:ascii="Times New Roman" w:eastAsia="Times New Roman"/>
          <w:spacing w:val="-11"/>
        </w:rPr>
        <w:t> </w:t>
      </w:r>
      <w:r>
        <w:rPr>
          <w:spacing w:val="-10"/>
        </w:rPr>
        <w:t>日</w:t>
      </w:r>
    </w:p>
    <w:p>
      <w:pPr>
        <w:pStyle w:val="BodyText"/>
        <w:spacing w:line="276" w:lineRule="auto" w:before="119"/>
        <w:ind w:right="356" w:firstLine="480"/>
        <w:jc w:val="both"/>
      </w:pPr>
      <w:r>
        <w:rPr>
          <w:spacing w:val="-2"/>
        </w:rPr>
        <w:t>根据欧洲议会（</w:t>
      </w:r>
      <w:r>
        <w:rPr>
          <w:rFonts w:ascii="Times New Roman" w:eastAsia="Times New Roman"/>
          <w:spacing w:val="-2"/>
        </w:rPr>
        <w:t>EU</w:t>
      </w:r>
      <w:r>
        <w:rPr>
          <w:spacing w:val="-2"/>
        </w:rPr>
        <w:t>）</w:t>
      </w:r>
      <w:r>
        <w:rPr>
          <w:spacing w:val="-15"/>
        </w:rPr>
        <w:t>第 </w:t>
      </w:r>
      <w:r>
        <w:rPr>
          <w:rFonts w:ascii="Times New Roman" w:eastAsia="Times New Roman"/>
          <w:spacing w:val="-2"/>
        </w:rPr>
        <w:t>536/2014</w:t>
      </w:r>
      <w:r>
        <w:rPr>
          <w:rFonts w:ascii="Times New Roman" w:eastAsia="Times New Roman"/>
          <w:spacing w:val="-8"/>
        </w:rPr>
        <w:t> </w:t>
      </w:r>
      <w:r>
        <w:rPr>
          <w:spacing w:val="-2"/>
        </w:rPr>
        <w:t>号法规中规定的标准，认为本修订案属于实质</w:t>
      </w:r>
      <w:r>
        <w:rPr>
          <w:spacing w:val="-4"/>
        </w:rPr>
        <w:t>性修订。</w:t>
      </w:r>
    </w:p>
    <w:p>
      <w:pPr>
        <w:pStyle w:val="Heading3"/>
        <w:spacing w:before="239"/>
      </w:pPr>
      <w:r>
        <w:rPr>
          <w:spacing w:val="-5"/>
        </w:rPr>
        <w:t>修订的总体依据：</w:t>
      </w:r>
    </w:p>
    <w:p>
      <w:pPr>
        <w:pStyle w:val="BodyText"/>
        <w:spacing w:line="276" w:lineRule="auto" w:before="119"/>
        <w:ind w:right="353" w:firstLine="480"/>
        <w:jc w:val="both"/>
      </w:pPr>
      <w:r>
        <w:rPr>
          <w:spacing w:val="-1"/>
        </w:rPr>
        <w:t>更新了 </w:t>
      </w:r>
      <w:r>
        <w:rPr>
          <w:rFonts w:ascii="Times New Roman" w:eastAsia="Times New Roman"/>
        </w:rPr>
        <w:t>1 </w:t>
      </w:r>
      <w:r>
        <w:rPr/>
        <w:t>个关键次要目的，因此本方案修订案属于实质性修订。此外，本修订</w:t>
      </w:r>
      <w:r>
        <w:rPr>
          <w:spacing w:val="-2"/>
        </w:rPr>
        <w:t>案还规定，至本研究的主要报告时间，将中止给药，并要求处于治疗期的受试者在</w:t>
      </w:r>
      <w:r>
        <w:rPr>
          <w:spacing w:val="-8"/>
        </w:rPr>
        <w:t>其末次 </w:t>
      </w:r>
      <w:r>
        <w:rPr>
          <w:rFonts w:ascii="Times New Roman" w:eastAsia="Times New Roman"/>
        </w:rPr>
        <w:t>IP </w:t>
      </w:r>
      <w:r>
        <w:rPr>
          <w:spacing w:val="-8"/>
        </w:rPr>
        <w:t>给药后 </w:t>
      </w:r>
      <w:r>
        <w:rPr>
          <w:rFonts w:ascii="Times New Roman" w:eastAsia="Times New Roman"/>
        </w:rPr>
        <w:t>12 </w:t>
      </w:r>
      <w:r>
        <w:rPr>
          <w:spacing w:val="-6"/>
        </w:rPr>
        <w:t>周继续参与 </w:t>
      </w:r>
      <w:r>
        <w:rPr>
          <w:rFonts w:ascii="Times New Roman" w:eastAsia="Times New Roman"/>
        </w:rPr>
        <w:t>E/D </w:t>
      </w:r>
      <w:r>
        <w:rPr/>
        <w:t>访视，并完成研究。</w:t>
      </w:r>
    </w:p>
    <w:p>
      <w:pPr>
        <w:spacing w:before="237"/>
        <w:ind w:left="221" w:right="0" w:firstLine="0"/>
        <w:jc w:val="left"/>
        <w:rPr>
          <w:b/>
          <w:sz w:val="24"/>
        </w:rPr>
      </w:pPr>
      <w:r>
        <w:rPr>
          <w:b/>
          <w:spacing w:val="-4"/>
          <w:sz w:val="24"/>
        </w:rPr>
        <w:t>变更总结：</w:t>
      </w:r>
    </w:p>
    <w:p>
      <w:pPr>
        <w:spacing w:before="119"/>
        <w:ind w:left="221" w:right="0" w:firstLine="0"/>
        <w:jc w:val="left"/>
        <w:rPr>
          <w:b/>
          <w:sz w:val="24"/>
        </w:rPr>
      </w:pPr>
      <w:r>
        <w:rPr>
          <w:b/>
          <w:spacing w:val="-5"/>
          <w:sz w:val="24"/>
        </w:rPr>
        <w:t>实质性修订列表</w:t>
      </w:r>
    </w:p>
    <w:p>
      <w:pPr>
        <w:pStyle w:val="BodyText"/>
        <w:spacing w:before="5"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03"/>
        <w:gridCol w:w="3163"/>
      </w:tblGrid>
      <w:tr>
        <w:trPr>
          <w:trHeight w:val="352" w:hRule="atLeast"/>
        </w:trPr>
        <w:tc>
          <w:tcPr>
            <w:tcW w:w="2591" w:type="dxa"/>
          </w:tcPr>
          <w:p>
            <w:pPr>
              <w:pStyle w:val="TableParagraph"/>
              <w:spacing w:before="38"/>
              <w:ind w:left="345"/>
              <w:rPr>
                <w:b/>
                <w:sz w:val="21"/>
              </w:rPr>
            </w:pPr>
            <w:r>
              <w:rPr>
                <w:b/>
                <w:spacing w:val="-3"/>
                <w:sz w:val="21"/>
              </w:rPr>
              <w:t>章节编号和标题名称</w:t>
            </w:r>
          </w:p>
        </w:tc>
        <w:tc>
          <w:tcPr>
            <w:tcW w:w="3003" w:type="dxa"/>
          </w:tcPr>
          <w:p>
            <w:pPr>
              <w:pStyle w:val="TableParagraph"/>
              <w:spacing w:before="38"/>
              <w:ind w:left="9"/>
              <w:jc w:val="center"/>
              <w:rPr>
                <w:b/>
                <w:sz w:val="21"/>
              </w:rPr>
            </w:pPr>
            <w:r>
              <w:rPr>
                <w:b/>
                <w:spacing w:val="-4"/>
                <w:sz w:val="21"/>
              </w:rPr>
              <w:t>变更描述</w:t>
            </w:r>
          </w:p>
        </w:tc>
        <w:tc>
          <w:tcPr>
            <w:tcW w:w="3163" w:type="dxa"/>
          </w:tcPr>
          <w:p>
            <w:pPr>
              <w:pStyle w:val="TableParagraph"/>
              <w:spacing w:before="38"/>
              <w:ind w:left="7"/>
              <w:jc w:val="center"/>
              <w:rPr>
                <w:b/>
                <w:sz w:val="21"/>
              </w:rPr>
            </w:pPr>
            <w:r>
              <w:rPr>
                <w:b/>
                <w:spacing w:val="-4"/>
                <w:sz w:val="21"/>
              </w:rPr>
              <w:t>简要依据</w:t>
            </w:r>
          </w:p>
        </w:tc>
      </w:tr>
      <w:tr>
        <w:trPr>
          <w:trHeight w:val="1411" w:hRule="atLeast"/>
        </w:trPr>
        <w:tc>
          <w:tcPr>
            <w:tcW w:w="2591" w:type="dxa"/>
          </w:tcPr>
          <w:p>
            <w:pPr>
              <w:pStyle w:val="TableParagraph"/>
              <w:spacing w:before="38"/>
              <w:ind w:left="107"/>
              <w:rPr>
                <w:sz w:val="21"/>
              </w:rPr>
            </w:pPr>
            <w:r>
              <w:rPr>
                <w:rFonts w:ascii="Times New Roman" w:eastAsia="Times New Roman"/>
                <w:sz w:val="21"/>
              </w:rPr>
              <w:t>1.1</w:t>
            </w:r>
            <w:r>
              <w:rPr>
                <w:rFonts w:ascii="Times New Roman" w:eastAsia="Times New Roman"/>
                <w:spacing w:val="-12"/>
                <w:sz w:val="21"/>
              </w:rPr>
              <w:t> </w:t>
            </w:r>
            <w:r>
              <w:rPr>
                <w:spacing w:val="-2"/>
                <w:sz w:val="21"/>
              </w:rPr>
              <w:t>研究概要，</w:t>
            </w:r>
          </w:p>
          <w:p>
            <w:pPr>
              <w:pStyle w:val="TableParagraph"/>
              <w:spacing w:before="79"/>
              <w:ind w:left="107"/>
              <w:rPr>
                <w:sz w:val="21"/>
              </w:rPr>
            </w:pPr>
            <w:r>
              <w:rPr>
                <w:rFonts w:ascii="Times New Roman" w:eastAsia="Times New Roman"/>
                <w:sz w:val="21"/>
              </w:rPr>
              <w:t>3</w:t>
            </w:r>
            <w:r>
              <w:rPr>
                <w:rFonts w:ascii="Times New Roman" w:eastAsia="Times New Roman"/>
                <w:spacing w:val="-10"/>
                <w:sz w:val="21"/>
              </w:rPr>
              <w:t> </w:t>
            </w:r>
            <w:r>
              <w:rPr>
                <w:spacing w:val="-2"/>
                <w:sz w:val="21"/>
              </w:rPr>
              <w:t>研究目的和终点，</w:t>
            </w:r>
          </w:p>
          <w:p>
            <w:pPr>
              <w:pStyle w:val="TableParagraph"/>
              <w:spacing w:before="80"/>
              <w:ind w:left="107"/>
              <w:rPr>
                <w:sz w:val="21"/>
              </w:rPr>
            </w:pPr>
            <w:r>
              <w:rPr>
                <w:rFonts w:ascii="Times New Roman" w:eastAsia="Times New Roman"/>
                <w:sz w:val="21"/>
              </w:rPr>
              <w:t>9.1.2</w:t>
            </w:r>
            <w:r>
              <w:rPr>
                <w:rFonts w:ascii="Times New Roman" w:eastAsia="Times New Roman"/>
                <w:spacing w:val="-2"/>
                <w:sz w:val="21"/>
              </w:rPr>
              <w:t> </w:t>
            </w:r>
            <w:r>
              <w:rPr>
                <w:rFonts w:ascii="Times New Roman" w:eastAsia="Times New Roman"/>
                <w:sz w:val="21"/>
              </w:rPr>
              <w:t>I</w:t>
            </w:r>
            <w:r>
              <w:rPr>
                <w:rFonts w:ascii="Times New Roman" w:eastAsia="Times New Roman"/>
                <w:spacing w:val="-11"/>
                <w:sz w:val="21"/>
              </w:rPr>
              <w:t> </w:t>
            </w:r>
            <w:r>
              <w:rPr>
                <w:spacing w:val="-2"/>
                <w:sz w:val="21"/>
              </w:rPr>
              <w:t>类错误控制和</w:t>
            </w:r>
          </w:p>
          <w:p>
            <w:pPr>
              <w:pStyle w:val="TableParagraph"/>
              <w:spacing w:before="40"/>
              <w:ind w:left="107"/>
              <w:rPr>
                <w:sz w:val="21"/>
              </w:rPr>
            </w:pPr>
            <w:r>
              <w:rPr>
                <w:rFonts w:ascii="Times New Roman" w:eastAsia="Times New Roman"/>
                <w:sz w:val="21"/>
              </w:rPr>
              <w:t>9.4.2.2</w:t>
            </w:r>
            <w:r>
              <w:rPr>
                <w:rFonts w:ascii="Times New Roman" w:eastAsia="Times New Roman"/>
                <w:spacing w:val="-13"/>
                <w:sz w:val="21"/>
              </w:rPr>
              <w:t> </w:t>
            </w:r>
            <w:r>
              <w:rPr>
                <w:spacing w:val="-3"/>
                <w:sz w:val="21"/>
              </w:rPr>
              <w:t>次要终点</w:t>
            </w:r>
          </w:p>
        </w:tc>
        <w:tc>
          <w:tcPr>
            <w:tcW w:w="3003" w:type="dxa"/>
          </w:tcPr>
          <w:p>
            <w:pPr>
              <w:pStyle w:val="TableParagraph"/>
              <w:spacing w:line="276" w:lineRule="auto" w:before="36"/>
              <w:ind w:left="106" w:right="94"/>
              <w:jc w:val="both"/>
              <w:rPr>
                <w:sz w:val="21"/>
              </w:rPr>
            </w:pPr>
            <w:r>
              <w:rPr>
                <w:spacing w:val="-9"/>
                <w:sz w:val="21"/>
              </w:rPr>
              <w:t>增加 </w:t>
            </w:r>
            <w:r>
              <w:rPr>
                <w:rFonts w:ascii="Times New Roman" w:eastAsia="Times New Roman"/>
                <w:sz w:val="21"/>
              </w:rPr>
              <w:t>1</w:t>
            </w:r>
            <w:r>
              <w:rPr>
                <w:rFonts w:ascii="Times New Roman" w:eastAsia="Times New Roman"/>
                <w:spacing w:val="-3"/>
                <w:sz w:val="21"/>
              </w:rPr>
              <w:t> </w:t>
            </w:r>
            <w:r>
              <w:rPr>
                <w:sz w:val="21"/>
              </w:rPr>
              <w:t>个关键次要终点，即需</w:t>
            </w:r>
            <w:r>
              <w:rPr>
                <w:sz w:val="21"/>
              </w:rPr>
              <w:t>要住院治疗和</w:t>
            </w:r>
            <w:r>
              <w:rPr>
                <w:rFonts w:ascii="Times New Roman" w:eastAsia="Times New Roman"/>
                <w:sz w:val="21"/>
              </w:rPr>
              <w:t>/</w:t>
            </w:r>
            <w:r>
              <w:rPr>
                <w:sz w:val="21"/>
              </w:rPr>
              <w:t>或 </w:t>
            </w:r>
            <w:r>
              <w:rPr>
                <w:rFonts w:ascii="Times New Roman" w:eastAsia="Times New Roman"/>
                <w:sz w:val="21"/>
              </w:rPr>
              <w:t>ER/ED </w:t>
            </w:r>
            <w:r>
              <w:rPr>
                <w:sz w:val="21"/>
              </w:rPr>
              <w:t>就诊</w:t>
            </w:r>
            <w:r>
              <w:rPr>
                <w:spacing w:val="-27"/>
                <w:sz w:val="21"/>
              </w:rPr>
              <w:t>的 </w:t>
            </w:r>
            <w:r>
              <w:rPr>
                <w:rFonts w:ascii="Times New Roman" w:eastAsia="Times New Roman"/>
                <w:sz w:val="21"/>
              </w:rPr>
              <w:t>COPD</w:t>
            </w:r>
            <w:r>
              <w:rPr>
                <w:rFonts w:ascii="Times New Roman" w:eastAsia="Times New Roman"/>
                <w:spacing w:val="-12"/>
                <w:sz w:val="21"/>
              </w:rPr>
              <w:t> </w:t>
            </w:r>
            <w:r>
              <w:rPr>
                <w:sz w:val="21"/>
              </w:rPr>
              <w:t>急性加重年发生率。</w:t>
            </w:r>
          </w:p>
        </w:tc>
        <w:tc>
          <w:tcPr>
            <w:tcW w:w="3163" w:type="dxa"/>
          </w:tcPr>
          <w:p>
            <w:pPr>
              <w:pStyle w:val="TableParagraph"/>
              <w:spacing w:line="276" w:lineRule="auto" w:before="36"/>
              <w:ind w:left="106" w:right="99"/>
              <w:jc w:val="both"/>
              <w:rPr>
                <w:sz w:val="21"/>
              </w:rPr>
            </w:pPr>
            <w:r>
              <w:rPr>
                <w:spacing w:val="-2"/>
                <w:sz w:val="21"/>
              </w:rPr>
              <w:t>该变更反映了这些事件的临床重要性，从而可以对急性加重进行全面评估。</w:t>
            </w:r>
          </w:p>
        </w:tc>
      </w:tr>
      <w:tr>
        <w:trPr>
          <w:trHeight w:val="4466" w:hRule="atLeast"/>
        </w:trPr>
        <w:tc>
          <w:tcPr>
            <w:tcW w:w="2591" w:type="dxa"/>
          </w:tcPr>
          <w:p>
            <w:pPr>
              <w:pStyle w:val="TableParagraph"/>
              <w:spacing w:before="39"/>
              <w:ind w:left="107"/>
              <w:rPr>
                <w:sz w:val="21"/>
              </w:rPr>
            </w:pPr>
            <w:r>
              <w:rPr>
                <w:rFonts w:ascii="Times New Roman" w:eastAsia="Times New Roman"/>
                <w:sz w:val="21"/>
              </w:rPr>
              <w:t>1.1</w:t>
            </w:r>
            <w:r>
              <w:rPr>
                <w:rFonts w:ascii="Times New Roman" w:eastAsia="Times New Roman"/>
                <w:spacing w:val="-12"/>
                <w:sz w:val="21"/>
              </w:rPr>
              <w:t> </w:t>
            </w:r>
            <w:r>
              <w:rPr>
                <w:spacing w:val="-2"/>
                <w:sz w:val="21"/>
              </w:rPr>
              <w:t>研究概要，</w:t>
            </w:r>
          </w:p>
          <w:p>
            <w:pPr>
              <w:pStyle w:val="TableParagraph"/>
              <w:spacing w:line="276" w:lineRule="auto" w:before="78"/>
              <w:ind w:left="107" w:right="276"/>
              <w:rPr>
                <w:sz w:val="21"/>
              </w:rPr>
            </w:pPr>
            <w:r>
              <w:rPr>
                <w:rFonts w:ascii="Times New Roman" w:hAnsi="Times New Roman" w:eastAsia="Times New Roman"/>
                <w:spacing w:val="-2"/>
                <w:sz w:val="21"/>
              </w:rPr>
              <w:t>1.3</w:t>
            </w:r>
            <w:r>
              <w:rPr>
                <w:rFonts w:ascii="Times New Roman" w:hAnsi="Times New Roman" w:eastAsia="Times New Roman"/>
                <w:spacing w:val="-12"/>
                <w:sz w:val="21"/>
              </w:rPr>
              <w:t> </w:t>
            </w:r>
            <w:r>
              <w:rPr>
                <w:spacing w:val="-2"/>
                <w:sz w:val="21"/>
              </w:rPr>
              <w:t>研究活动时间计划表</w:t>
            </w:r>
            <w:r>
              <w:rPr>
                <w:spacing w:val="-2"/>
                <w:sz w:val="21"/>
              </w:rPr>
              <w:t>脚注“</w:t>
            </w:r>
            <w:r>
              <w:rPr>
                <w:rFonts w:ascii="Times New Roman" w:hAnsi="Times New Roman" w:eastAsia="Times New Roman"/>
                <w:spacing w:val="-2"/>
                <w:sz w:val="21"/>
              </w:rPr>
              <w:t>a</w:t>
            </w:r>
            <w:r>
              <w:rPr>
                <w:spacing w:val="-2"/>
                <w:sz w:val="21"/>
              </w:rPr>
              <w:t>”，</w:t>
            </w:r>
          </w:p>
          <w:p>
            <w:pPr>
              <w:pStyle w:val="TableParagraph"/>
              <w:spacing w:before="40"/>
              <w:ind w:left="107"/>
              <w:rPr>
                <w:sz w:val="21"/>
              </w:rPr>
            </w:pPr>
            <w:r>
              <w:rPr>
                <w:rFonts w:ascii="Times New Roman" w:eastAsia="Times New Roman"/>
                <w:sz w:val="21"/>
              </w:rPr>
              <w:t>4.1</w:t>
            </w:r>
            <w:r>
              <w:rPr>
                <w:rFonts w:ascii="Times New Roman" w:eastAsia="Times New Roman"/>
                <w:spacing w:val="-12"/>
                <w:sz w:val="21"/>
              </w:rPr>
              <w:t> </w:t>
            </w:r>
            <w:r>
              <w:rPr>
                <w:spacing w:val="-2"/>
                <w:sz w:val="21"/>
              </w:rPr>
              <w:t>总体研究设计，</w:t>
            </w:r>
          </w:p>
          <w:p>
            <w:pPr>
              <w:pStyle w:val="TableParagraph"/>
              <w:spacing w:before="79"/>
              <w:ind w:left="107"/>
              <w:rPr>
                <w:sz w:val="21"/>
              </w:rPr>
            </w:pPr>
            <w:r>
              <w:rPr>
                <w:rFonts w:ascii="Times New Roman" w:eastAsia="Times New Roman"/>
                <w:sz w:val="21"/>
              </w:rPr>
              <w:t>4.4</w:t>
            </w:r>
            <w:r>
              <w:rPr>
                <w:rFonts w:ascii="Times New Roman" w:eastAsia="Times New Roman"/>
                <w:spacing w:val="-12"/>
                <w:sz w:val="21"/>
              </w:rPr>
              <w:t> </w:t>
            </w:r>
            <w:r>
              <w:rPr>
                <w:spacing w:val="-2"/>
                <w:sz w:val="21"/>
              </w:rPr>
              <w:t>研究结束的定义，</w:t>
            </w:r>
          </w:p>
          <w:p>
            <w:pPr>
              <w:pStyle w:val="TableParagraph"/>
              <w:spacing w:before="80"/>
              <w:ind w:left="107"/>
              <w:rPr>
                <w:sz w:val="21"/>
              </w:rPr>
            </w:pPr>
            <w:r>
              <w:rPr>
                <w:rFonts w:ascii="Times New Roman" w:eastAsia="Times New Roman"/>
                <w:sz w:val="21"/>
              </w:rPr>
              <w:t>7.1.1</w:t>
            </w:r>
            <w:r>
              <w:rPr>
                <w:rFonts w:ascii="Times New Roman" w:eastAsia="Times New Roman"/>
                <w:spacing w:val="-13"/>
                <w:sz w:val="21"/>
              </w:rPr>
              <w:t> </w:t>
            </w:r>
            <w:r>
              <w:rPr>
                <w:spacing w:val="-2"/>
                <w:sz w:val="21"/>
              </w:rPr>
              <w:t>中止研究药物的程序</w:t>
            </w:r>
          </w:p>
        </w:tc>
        <w:tc>
          <w:tcPr>
            <w:tcW w:w="3003" w:type="dxa"/>
          </w:tcPr>
          <w:p>
            <w:pPr>
              <w:pStyle w:val="TableParagraph"/>
              <w:spacing w:line="276" w:lineRule="auto" w:before="38"/>
              <w:ind w:left="106" w:right="85"/>
              <w:jc w:val="both"/>
              <w:rPr>
                <w:sz w:val="21"/>
              </w:rPr>
            </w:pPr>
            <w:r>
              <w:rPr>
                <w:spacing w:val="-18"/>
                <w:sz w:val="21"/>
              </w:rPr>
              <w:t>增 加 文 本 ： 为 确 保 研 究 </w:t>
            </w:r>
            <w:r>
              <w:rPr>
                <w:rFonts w:ascii="Times New Roman" w:eastAsia="Times New Roman"/>
                <w:sz w:val="21"/>
              </w:rPr>
              <w:t>PROSPERO</w:t>
            </w:r>
            <w:r>
              <w:rPr>
                <w:rFonts w:ascii="Times New Roman" w:eastAsia="Times New Roman"/>
                <w:spacing w:val="-14"/>
                <w:sz w:val="21"/>
              </w:rPr>
              <w:t> </w:t>
            </w:r>
            <w:r>
              <w:rPr>
                <w:sz w:val="21"/>
              </w:rPr>
              <w:t>与其前身研究在同</w:t>
            </w:r>
            <w:r>
              <w:rPr>
                <w:spacing w:val="-2"/>
                <w:sz w:val="21"/>
              </w:rPr>
              <w:t>一时间内报告，部分受试者可</w:t>
            </w:r>
            <w:r>
              <w:rPr>
                <w:sz w:val="21"/>
              </w:rPr>
              <w:t>能无法完成完整的 </w:t>
            </w:r>
            <w:r>
              <w:rPr>
                <w:rFonts w:ascii="Times New Roman" w:eastAsia="Times New Roman"/>
                <w:sz w:val="21"/>
              </w:rPr>
              <w:t>28</w:t>
            </w:r>
            <w:r>
              <w:rPr>
                <w:rFonts w:ascii="Times New Roman" w:eastAsia="Times New Roman"/>
                <w:spacing w:val="40"/>
                <w:sz w:val="21"/>
              </w:rPr>
              <w:t> </w:t>
            </w:r>
            <w:r>
              <w:rPr>
                <w:sz w:val="21"/>
              </w:rPr>
              <w:t>周治疗</w:t>
            </w:r>
            <w:r>
              <w:rPr>
                <w:spacing w:val="1"/>
                <w:sz w:val="21"/>
              </w:rPr>
              <w:t>期。至 </w:t>
            </w:r>
            <w:r>
              <w:rPr>
                <w:rFonts w:ascii="Times New Roman" w:eastAsia="Times New Roman"/>
                <w:sz w:val="21"/>
              </w:rPr>
              <w:t>PROSPERO</w:t>
            </w:r>
            <w:r>
              <w:rPr>
                <w:rFonts w:ascii="Times New Roman" w:eastAsia="Times New Roman"/>
                <w:spacing w:val="10"/>
                <w:sz w:val="21"/>
              </w:rPr>
              <w:t> </w:t>
            </w:r>
            <w:r>
              <w:rPr>
                <w:spacing w:val="10"/>
                <w:sz w:val="21"/>
              </w:rPr>
              <w:t>研究的主</w:t>
            </w:r>
            <w:r>
              <w:rPr>
                <w:spacing w:val="-2"/>
                <w:sz w:val="21"/>
              </w:rPr>
              <w:t>要报告时间，所有受试者将中</w:t>
            </w:r>
            <w:r>
              <w:rPr>
                <w:spacing w:val="-14"/>
                <w:sz w:val="21"/>
              </w:rPr>
              <w:t>止 </w:t>
            </w:r>
            <w:r>
              <w:rPr>
                <w:rFonts w:ascii="Times New Roman" w:eastAsia="Times New Roman"/>
                <w:spacing w:val="-4"/>
                <w:sz w:val="21"/>
              </w:rPr>
              <w:t>IP</w:t>
            </w:r>
            <w:r>
              <w:rPr>
                <w:rFonts w:ascii="Times New Roman" w:eastAsia="Times New Roman"/>
                <w:spacing w:val="-9"/>
                <w:sz w:val="21"/>
              </w:rPr>
              <w:t> </w:t>
            </w:r>
            <w:r>
              <w:rPr>
                <w:spacing w:val="-4"/>
                <w:sz w:val="21"/>
              </w:rPr>
              <w:t>给药。因此，部分受试者</w:t>
            </w:r>
            <w:r>
              <w:rPr>
                <w:spacing w:val="-2"/>
                <w:sz w:val="21"/>
              </w:rPr>
              <w:t>可能在完成全部治疗期之前结束研究。受试者将在知情同意过程中获知这个情况。将要求未完成完整治疗期的受试者在</w:t>
            </w:r>
            <w:r>
              <w:rPr>
                <w:spacing w:val="-7"/>
                <w:sz w:val="21"/>
              </w:rPr>
              <w:t>其末次 </w:t>
            </w:r>
            <w:r>
              <w:rPr>
                <w:rFonts w:ascii="Times New Roman" w:eastAsia="Times New Roman"/>
                <w:sz w:val="21"/>
              </w:rPr>
              <w:t>IP</w:t>
            </w:r>
            <w:r>
              <w:rPr>
                <w:rFonts w:ascii="Times New Roman" w:eastAsia="Times New Roman"/>
                <w:spacing w:val="-4"/>
                <w:sz w:val="21"/>
              </w:rPr>
              <w:t> </w:t>
            </w:r>
            <w:r>
              <w:rPr>
                <w:spacing w:val="-7"/>
                <w:sz w:val="21"/>
              </w:rPr>
              <w:t>给药后 </w:t>
            </w:r>
            <w:r>
              <w:rPr>
                <w:rFonts w:ascii="Times New Roman" w:eastAsia="Times New Roman"/>
                <w:sz w:val="21"/>
              </w:rPr>
              <w:t>12</w:t>
            </w:r>
            <w:r>
              <w:rPr>
                <w:rFonts w:ascii="Times New Roman" w:eastAsia="Times New Roman"/>
                <w:spacing w:val="7"/>
                <w:sz w:val="21"/>
              </w:rPr>
              <w:t> </w:t>
            </w:r>
            <w:r>
              <w:rPr>
                <w:sz w:val="21"/>
              </w:rPr>
              <w:t>周按计划</w:t>
            </w:r>
            <w:r>
              <w:rPr>
                <w:spacing w:val="-9"/>
                <w:sz w:val="21"/>
              </w:rPr>
              <w:t>参与 </w:t>
            </w:r>
            <w:r>
              <w:rPr>
                <w:rFonts w:ascii="Times New Roman" w:eastAsia="Times New Roman"/>
                <w:sz w:val="21"/>
              </w:rPr>
              <w:t>E/D</w:t>
            </w:r>
            <w:r>
              <w:rPr>
                <w:rFonts w:ascii="Times New Roman" w:eastAsia="Times New Roman"/>
                <w:spacing w:val="-13"/>
                <w:sz w:val="21"/>
              </w:rPr>
              <w:t> </w:t>
            </w:r>
            <w:r>
              <w:rPr>
                <w:sz w:val="21"/>
              </w:rPr>
              <w:t>访视，以完成其研究</w:t>
            </w:r>
            <w:r>
              <w:rPr>
                <w:spacing w:val="-4"/>
                <w:sz w:val="21"/>
              </w:rPr>
              <w:t>参与。</w:t>
            </w:r>
          </w:p>
        </w:tc>
        <w:tc>
          <w:tcPr>
            <w:tcW w:w="3163" w:type="dxa"/>
          </w:tcPr>
          <w:p>
            <w:pPr>
              <w:pStyle w:val="TableParagraph"/>
              <w:spacing w:line="276" w:lineRule="auto" w:before="38"/>
              <w:ind w:left="106" w:right="97"/>
              <w:jc w:val="both"/>
              <w:rPr>
                <w:sz w:val="21"/>
              </w:rPr>
            </w:pPr>
            <w:r>
              <w:rPr>
                <w:spacing w:val="-2"/>
                <w:sz w:val="21"/>
              </w:rPr>
              <w:t>确保前身研究和 </w:t>
            </w:r>
            <w:r>
              <w:rPr>
                <w:rFonts w:ascii="Times New Roman" w:eastAsia="Times New Roman"/>
                <w:sz w:val="21"/>
              </w:rPr>
              <w:t>PROSPERO</w:t>
            </w:r>
            <w:r>
              <w:rPr>
                <w:rFonts w:ascii="Times New Roman" w:eastAsia="Times New Roman"/>
                <w:spacing w:val="22"/>
                <w:sz w:val="21"/>
              </w:rPr>
              <w:t> </w:t>
            </w:r>
            <w:r>
              <w:rPr>
                <w:sz w:val="21"/>
              </w:rPr>
              <w:t>研</w:t>
            </w:r>
            <w:r>
              <w:rPr>
                <w:spacing w:val="-2"/>
                <w:sz w:val="21"/>
              </w:rPr>
              <w:t>究的主要报告在相似的时间范围</w:t>
            </w:r>
            <w:r>
              <w:rPr>
                <w:spacing w:val="-1"/>
                <w:sz w:val="21"/>
              </w:rPr>
              <w:t>内进行，以便同时提交注册申请</w:t>
            </w:r>
          </w:p>
          <w:p>
            <w:pPr>
              <w:pStyle w:val="TableParagraph"/>
              <w:spacing w:line="276" w:lineRule="auto"/>
              <w:ind w:left="106" w:right="97" w:hanging="105"/>
              <w:rPr>
                <w:sz w:val="21"/>
              </w:rPr>
            </w:pPr>
            <w:r>
              <w:rPr>
                <w:sz w:val="21"/>
              </w:rPr>
              <w:t>（纳入末例受试者末次给药时的</w:t>
            </w:r>
            <w:r>
              <w:rPr>
                <w:spacing w:val="-2"/>
                <w:sz w:val="21"/>
              </w:rPr>
              <w:t>所有数据）。</w:t>
            </w:r>
          </w:p>
        </w:tc>
      </w:tr>
    </w:tbl>
    <w:p>
      <w:pPr>
        <w:spacing w:after="0" w:line="276" w:lineRule="auto"/>
        <w:rPr>
          <w:sz w:val="21"/>
        </w:rPr>
        <w:sectPr>
          <w:pgSz w:w="11910" w:h="16840"/>
          <w:pgMar w:header="590" w:footer="784" w:top="1360" w:bottom="980" w:left="1480" w:right="1080"/>
        </w:sectPr>
      </w:pPr>
    </w:p>
    <w:p>
      <w:pPr>
        <w:spacing w:before="60"/>
        <w:ind w:left="221" w:right="0" w:firstLine="0"/>
        <w:jc w:val="left"/>
        <w:rPr>
          <w:b/>
          <w:sz w:val="24"/>
        </w:rPr>
      </w:pPr>
      <w:r>
        <w:rPr>
          <w:b/>
          <w:spacing w:val="-5"/>
          <w:sz w:val="24"/>
        </w:rPr>
        <w:t>非实质性修订列表</w:t>
      </w:r>
    </w:p>
    <w:p>
      <w:pPr>
        <w:pStyle w:val="BodyText"/>
        <w:spacing w:before="4"/>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21"/>
        <w:gridCol w:w="3145"/>
      </w:tblGrid>
      <w:tr>
        <w:trPr>
          <w:trHeight w:val="352" w:hRule="atLeast"/>
        </w:trPr>
        <w:tc>
          <w:tcPr>
            <w:tcW w:w="2591" w:type="dxa"/>
          </w:tcPr>
          <w:p>
            <w:pPr>
              <w:pStyle w:val="TableParagraph"/>
              <w:spacing w:before="39"/>
              <w:ind w:left="345"/>
              <w:rPr>
                <w:b/>
                <w:sz w:val="21"/>
              </w:rPr>
            </w:pPr>
            <w:r>
              <w:rPr>
                <w:b/>
                <w:spacing w:val="-3"/>
                <w:sz w:val="21"/>
              </w:rPr>
              <w:t>章节编号和标题名称</w:t>
            </w:r>
          </w:p>
        </w:tc>
        <w:tc>
          <w:tcPr>
            <w:tcW w:w="3021" w:type="dxa"/>
          </w:tcPr>
          <w:p>
            <w:pPr>
              <w:pStyle w:val="TableParagraph"/>
              <w:spacing w:before="39"/>
              <w:ind w:left="8"/>
              <w:jc w:val="center"/>
              <w:rPr>
                <w:b/>
                <w:sz w:val="21"/>
              </w:rPr>
            </w:pPr>
            <w:r>
              <w:rPr>
                <w:b/>
                <w:spacing w:val="-4"/>
                <w:sz w:val="21"/>
              </w:rPr>
              <w:t>变更描述</w:t>
            </w:r>
          </w:p>
        </w:tc>
        <w:tc>
          <w:tcPr>
            <w:tcW w:w="3145" w:type="dxa"/>
          </w:tcPr>
          <w:p>
            <w:pPr>
              <w:pStyle w:val="TableParagraph"/>
              <w:spacing w:before="39"/>
              <w:ind w:left="11"/>
              <w:jc w:val="center"/>
              <w:rPr>
                <w:b/>
                <w:sz w:val="21"/>
              </w:rPr>
            </w:pPr>
            <w:r>
              <w:rPr>
                <w:b/>
                <w:spacing w:val="-4"/>
                <w:sz w:val="21"/>
              </w:rPr>
              <w:t>简要依据</w:t>
            </w:r>
          </w:p>
        </w:tc>
      </w:tr>
      <w:tr>
        <w:trPr>
          <w:trHeight w:val="1170" w:hRule="atLeast"/>
        </w:trPr>
        <w:tc>
          <w:tcPr>
            <w:tcW w:w="2591" w:type="dxa"/>
          </w:tcPr>
          <w:p>
            <w:pPr>
              <w:pStyle w:val="TableParagraph"/>
              <w:spacing w:before="39"/>
              <w:ind w:left="107"/>
              <w:rPr>
                <w:sz w:val="21"/>
              </w:rPr>
            </w:pPr>
            <w:r>
              <w:rPr>
                <w:spacing w:val="-4"/>
                <w:sz w:val="21"/>
              </w:rPr>
              <w:t>标题页</w:t>
            </w:r>
          </w:p>
        </w:tc>
        <w:tc>
          <w:tcPr>
            <w:tcW w:w="3021" w:type="dxa"/>
          </w:tcPr>
          <w:p>
            <w:pPr>
              <w:pStyle w:val="TableParagraph"/>
              <w:spacing w:before="38"/>
              <w:ind w:left="106" w:right="97"/>
              <w:jc w:val="both"/>
              <w:rPr>
                <w:sz w:val="21"/>
              </w:rPr>
            </w:pPr>
            <w:r>
              <w:rPr>
                <w:sz w:val="21"/>
              </w:rPr>
              <w:t>更 新 相 关 内 容 ， 更 正 </w:t>
            </w:r>
            <w:r>
              <w:rPr>
                <w:rFonts w:ascii="Times New Roman" w:eastAsia="Times New Roman"/>
                <w:sz w:val="21"/>
              </w:rPr>
              <w:t>AstraZeneca</w:t>
            </w:r>
            <w:r>
              <w:rPr>
                <w:rFonts w:ascii="Times New Roman" w:eastAsia="Times New Roman"/>
                <w:spacing w:val="-14"/>
                <w:sz w:val="21"/>
              </w:rPr>
              <w:t> </w:t>
            </w:r>
            <w:r>
              <w:rPr>
                <w:rFonts w:ascii="Times New Roman" w:eastAsia="Times New Roman"/>
                <w:sz w:val="21"/>
              </w:rPr>
              <w:t>AB</w:t>
            </w:r>
            <w:r>
              <w:rPr>
                <w:rFonts w:ascii="Times New Roman" w:eastAsia="Times New Roman"/>
                <w:spacing w:val="-13"/>
                <w:sz w:val="21"/>
              </w:rPr>
              <w:t> </w:t>
            </w:r>
            <w:r>
              <w:rPr>
                <w:spacing w:val="-13"/>
                <w:sz w:val="21"/>
              </w:rPr>
              <w:t>和 </w:t>
            </w:r>
            <w:r>
              <w:rPr>
                <w:rFonts w:ascii="Times New Roman" w:eastAsia="Times New Roman"/>
                <w:sz w:val="21"/>
              </w:rPr>
              <w:t>AstraZeneca </w:t>
            </w:r>
            <w:r>
              <w:rPr>
                <w:rFonts w:ascii="Times New Roman" w:eastAsia="Times New Roman"/>
                <w:spacing w:val="-2"/>
                <w:sz w:val="21"/>
              </w:rPr>
              <w:t>K.K.</w:t>
            </w:r>
            <w:r>
              <w:rPr>
                <w:spacing w:val="-2"/>
                <w:sz w:val="21"/>
              </w:rPr>
              <w:t>的地址错误，并纳入监管机构识别号。</w:t>
            </w:r>
          </w:p>
        </w:tc>
        <w:tc>
          <w:tcPr>
            <w:tcW w:w="3145" w:type="dxa"/>
          </w:tcPr>
          <w:p>
            <w:pPr>
              <w:pStyle w:val="TableParagraph"/>
              <w:spacing w:before="38"/>
              <w:ind w:left="107" w:right="97"/>
              <w:rPr>
                <w:sz w:val="21"/>
              </w:rPr>
            </w:pPr>
            <w:r>
              <w:rPr>
                <w:sz w:val="21"/>
              </w:rPr>
              <w:t>更正排印错误，并符合 </w:t>
            </w:r>
            <w:r>
              <w:rPr>
                <w:rFonts w:ascii="Times New Roman" w:eastAsia="Times New Roman"/>
                <w:sz w:val="21"/>
              </w:rPr>
              <w:t>CSP</w:t>
            </w:r>
            <w:r>
              <w:rPr>
                <w:rFonts w:ascii="Times New Roman" w:eastAsia="Times New Roman"/>
                <w:spacing w:val="39"/>
                <w:sz w:val="21"/>
              </w:rPr>
              <w:t> </w:t>
            </w:r>
            <w:r>
              <w:rPr>
                <w:sz w:val="21"/>
              </w:rPr>
              <w:t>模</w:t>
            </w:r>
            <w:r>
              <w:rPr>
                <w:spacing w:val="-4"/>
                <w:sz w:val="21"/>
              </w:rPr>
              <w:t>板要求。</w:t>
            </w:r>
          </w:p>
        </w:tc>
      </w:tr>
      <w:tr>
        <w:trPr>
          <w:trHeight w:val="1685" w:hRule="atLeast"/>
        </w:trPr>
        <w:tc>
          <w:tcPr>
            <w:tcW w:w="2591" w:type="dxa"/>
          </w:tcPr>
          <w:p>
            <w:pPr>
              <w:pStyle w:val="TableParagraph"/>
              <w:numPr>
                <w:ilvl w:val="2"/>
                <w:numId w:val="1"/>
              </w:numPr>
              <w:tabs>
                <w:tab w:pos="579" w:val="left" w:leader="none"/>
              </w:tabs>
              <w:spacing w:line="276" w:lineRule="auto" w:before="36" w:after="0"/>
              <w:ind w:left="107" w:right="276" w:firstLine="0"/>
              <w:jc w:val="left"/>
              <w:rPr>
                <w:sz w:val="21"/>
              </w:rPr>
            </w:pPr>
            <w:r>
              <w:rPr>
                <w:rFonts w:ascii="Times New Roman" w:eastAsia="Times New Roman"/>
                <w:spacing w:val="-2"/>
                <w:sz w:val="21"/>
              </w:rPr>
              <w:t>52</w:t>
            </w:r>
            <w:r>
              <w:rPr>
                <w:rFonts w:ascii="Times New Roman" w:eastAsia="Times New Roman"/>
                <w:spacing w:val="-12"/>
                <w:sz w:val="21"/>
              </w:rPr>
              <w:t> </w:t>
            </w:r>
            <w:r>
              <w:rPr>
                <w:spacing w:val="-2"/>
                <w:sz w:val="21"/>
              </w:rPr>
              <w:t>周治疗期的研究活动时间表，</w:t>
            </w:r>
          </w:p>
          <w:p>
            <w:pPr>
              <w:pStyle w:val="TableParagraph"/>
              <w:numPr>
                <w:ilvl w:val="2"/>
                <w:numId w:val="1"/>
              </w:numPr>
              <w:tabs>
                <w:tab w:pos="579" w:val="left" w:leader="none"/>
              </w:tabs>
              <w:spacing w:line="276" w:lineRule="auto" w:before="40" w:after="0"/>
              <w:ind w:left="107" w:right="276" w:firstLine="0"/>
              <w:jc w:val="left"/>
              <w:rPr>
                <w:sz w:val="21"/>
              </w:rPr>
            </w:pPr>
            <w:r>
              <w:rPr>
                <w:rFonts w:ascii="Times New Roman" w:eastAsia="Times New Roman"/>
                <w:spacing w:val="-2"/>
                <w:sz w:val="21"/>
              </w:rPr>
              <w:t>28</w:t>
            </w:r>
            <w:r>
              <w:rPr>
                <w:rFonts w:ascii="Times New Roman" w:eastAsia="Times New Roman"/>
                <w:spacing w:val="-12"/>
                <w:sz w:val="21"/>
              </w:rPr>
              <w:t> </w:t>
            </w:r>
            <w:r>
              <w:rPr>
                <w:spacing w:val="-2"/>
                <w:sz w:val="21"/>
              </w:rPr>
              <w:t>周治疗期的研究活动时间表，</w:t>
            </w:r>
          </w:p>
          <w:p>
            <w:pPr>
              <w:pStyle w:val="TableParagraph"/>
              <w:spacing w:before="38"/>
              <w:ind w:left="107"/>
              <w:rPr>
                <w:sz w:val="21"/>
              </w:rPr>
            </w:pPr>
            <w:r>
              <w:rPr>
                <w:rFonts w:ascii="Times New Roman" w:eastAsia="Times New Roman"/>
                <w:sz w:val="21"/>
              </w:rPr>
              <w:t>9.5</w:t>
            </w:r>
            <w:r>
              <w:rPr>
                <w:rFonts w:ascii="Times New Roman" w:eastAsia="Times New Roman"/>
                <w:spacing w:val="-10"/>
                <w:sz w:val="21"/>
              </w:rPr>
              <w:t> </w:t>
            </w:r>
            <w:r>
              <w:rPr>
                <w:spacing w:val="-3"/>
                <w:sz w:val="21"/>
              </w:rPr>
              <w:t>中期分析</w:t>
            </w:r>
          </w:p>
        </w:tc>
        <w:tc>
          <w:tcPr>
            <w:tcW w:w="3021" w:type="dxa"/>
          </w:tcPr>
          <w:p>
            <w:pPr>
              <w:pStyle w:val="TableParagraph"/>
              <w:spacing w:before="36"/>
              <w:ind w:left="106" w:right="99"/>
              <w:rPr>
                <w:sz w:val="21"/>
              </w:rPr>
            </w:pPr>
            <w:r>
              <w:rPr>
                <w:spacing w:val="-2"/>
                <w:sz w:val="21"/>
              </w:rPr>
              <w:t>更新相关内容，更正交叉链接</w:t>
            </w:r>
            <w:r>
              <w:rPr>
                <w:spacing w:val="-4"/>
                <w:sz w:val="21"/>
              </w:rPr>
              <w:t>错误。</w:t>
            </w:r>
          </w:p>
        </w:tc>
        <w:tc>
          <w:tcPr>
            <w:tcW w:w="3145" w:type="dxa"/>
          </w:tcPr>
          <w:p>
            <w:pPr>
              <w:pStyle w:val="TableParagraph"/>
              <w:spacing w:before="38"/>
              <w:ind w:left="107"/>
              <w:rPr>
                <w:sz w:val="21"/>
              </w:rPr>
            </w:pPr>
            <w:r>
              <w:rPr>
                <w:spacing w:val="-2"/>
                <w:sz w:val="21"/>
              </w:rPr>
              <w:t>更正排印错误。</w:t>
            </w:r>
          </w:p>
        </w:tc>
      </w:tr>
      <w:tr>
        <w:trPr>
          <w:trHeight w:val="2258" w:hRule="atLeast"/>
        </w:trPr>
        <w:tc>
          <w:tcPr>
            <w:tcW w:w="2591" w:type="dxa"/>
          </w:tcPr>
          <w:p>
            <w:pPr>
              <w:pStyle w:val="TableParagraph"/>
              <w:spacing w:line="276" w:lineRule="auto" w:before="36"/>
              <w:ind w:left="107" w:right="292"/>
              <w:rPr>
                <w:sz w:val="21"/>
              </w:rPr>
            </w:pPr>
            <w:r>
              <w:rPr>
                <w:rFonts w:ascii="Times New Roman" w:eastAsia="Times New Roman"/>
                <w:spacing w:val="-2"/>
                <w:sz w:val="21"/>
              </w:rPr>
              <w:t>10</w:t>
            </w:r>
            <w:r>
              <w:rPr>
                <w:rFonts w:ascii="Times New Roman" w:eastAsia="Times New Roman"/>
                <w:spacing w:val="-12"/>
                <w:sz w:val="21"/>
              </w:rPr>
              <w:t> </w:t>
            </w:r>
            <w:r>
              <w:rPr>
                <w:spacing w:val="-19"/>
                <w:sz w:val="21"/>
              </w:rPr>
              <w:t>附录 </w:t>
            </w:r>
            <w:r>
              <w:rPr>
                <w:rFonts w:ascii="Times New Roman" w:eastAsia="Times New Roman"/>
                <w:spacing w:val="-2"/>
                <w:sz w:val="21"/>
              </w:rPr>
              <w:t>A</w:t>
            </w:r>
            <w:r>
              <w:rPr>
                <w:rFonts w:ascii="Times New Roman" w:eastAsia="Times New Roman"/>
                <w:spacing w:val="-11"/>
                <w:sz w:val="21"/>
              </w:rPr>
              <w:t> </w:t>
            </w:r>
            <w:r>
              <w:rPr>
                <w:spacing w:val="-2"/>
                <w:sz w:val="21"/>
              </w:rPr>
              <w:t>药政监管、伦</w:t>
            </w:r>
            <w:r>
              <w:rPr>
                <w:spacing w:val="-2"/>
                <w:sz w:val="21"/>
              </w:rPr>
              <w:t>理学和研究监管考察因</w:t>
            </w:r>
            <w:r>
              <w:rPr>
                <w:spacing w:val="-6"/>
                <w:sz w:val="21"/>
              </w:rPr>
              <w:t>素，</w:t>
            </w:r>
          </w:p>
          <w:p>
            <w:pPr>
              <w:pStyle w:val="TableParagraph"/>
              <w:spacing w:before="39"/>
              <w:ind w:left="107" w:right="97"/>
              <w:rPr>
                <w:sz w:val="21"/>
              </w:rPr>
            </w:pPr>
            <w:r>
              <w:rPr>
                <w:rFonts w:ascii="Times New Roman" w:eastAsia="Times New Roman"/>
                <w:sz w:val="21"/>
              </w:rPr>
              <w:t>A1</w:t>
            </w:r>
            <w:r>
              <w:rPr>
                <w:rFonts w:ascii="Times New Roman" w:eastAsia="Times New Roman"/>
                <w:spacing w:val="11"/>
                <w:sz w:val="21"/>
              </w:rPr>
              <w:t> </w:t>
            </w:r>
            <w:r>
              <w:rPr>
                <w:spacing w:val="13"/>
                <w:sz w:val="21"/>
              </w:rPr>
              <w:t>药政监管和伦理学考</w:t>
            </w:r>
            <w:r>
              <w:rPr>
                <w:spacing w:val="-4"/>
                <w:sz w:val="21"/>
              </w:rPr>
              <w:t>察因素</w:t>
            </w:r>
          </w:p>
          <w:p>
            <w:pPr>
              <w:pStyle w:val="TableParagraph"/>
              <w:spacing w:before="38"/>
              <w:ind w:left="107"/>
              <w:rPr>
                <w:sz w:val="21"/>
              </w:rPr>
            </w:pPr>
            <w:r>
              <w:rPr>
                <w:rFonts w:ascii="Times New Roman" w:eastAsia="Times New Roman"/>
                <w:sz w:val="21"/>
              </w:rPr>
              <w:t>SAE</w:t>
            </w:r>
            <w:r>
              <w:rPr>
                <w:rFonts w:ascii="Times New Roman" w:eastAsia="Times New Roman"/>
                <w:spacing w:val="-14"/>
                <w:sz w:val="21"/>
              </w:rPr>
              <w:t> </w:t>
            </w:r>
            <w:r>
              <w:rPr>
                <w:spacing w:val="-2"/>
                <w:sz w:val="21"/>
              </w:rPr>
              <w:t>药政监管报告要求</w:t>
            </w:r>
          </w:p>
        </w:tc>
        <w:tc>
          <w:tcPr>
            <w:tcW w:w="3021" w:type="dxa"/>
          </w:tcPr>
          <w:p>
            <w:pPr>
              <w:pStyle w:val="TableParagraph"/>
              <w:spacing w:before="36"/>
              <w:ind w:left="106" w:right="91"/>
              <w:jc w:val="both"/>
              <w:rPr>
                <w:sz w:val="21"/>
              </w:rPr>
            </w:pPr>
            <w:r>
              <w:rPr>
                <w:spacing w:val="-2"/>
                <w:sz w:val="21"/>
              </w:rPr>
              <w:t>增加文本“在欧盟，申办者将遵守欧盟临床试验法规（</w:t>
            </w:r>
            <w:r>
              <w:rPr>
                <w:rFonts w:ascii="Times New Roman" w:hAnsi="Times New Roman" w:eastAsia="Times New Roman"/>
                <w:spacing w:val="-2"/>
                <w:sz w:val="21"/>
              </w:rPr>
              <w:t>EU</w:t>
            </w:r>
            <w:r>
              <w:rPr>
                <w:spacing w:val="-2"/>
                <w:sz w:val="21"/>
              </w:rPr>
              <w:t>） </w:t>
            </w:r>
            <w:r>
              <w:rPr>
                <w:rFonts w:ascii="Times New Roman" w:hAnsi="Times New Roman" w:eastAsia="Times New Roman"/>
                <w:sz w:val="21"/>
              </w:rPr>
              <w:t>536/2014 </w:t>
            </w:r>
            <w:r>
              <w:rPr>
                <w:sz w:val="21"/>
              </w:rPr>
              <w:t>所述的安全性报告要</w:t>
            </w:r>
            <w:r>
              <w:rPr>
                <w:spacing w:val="-2"/>
                <w:sz w:val="21"/>
              </w:rPr>
              <w:t>求和程序。针对试验用药品的所有可疑且非预期严重不良反应（</w:t>
            </w:r>
            <w:r>
              <w:rPr>
                <w:rFonts w:ascii="Times New Roman" w:hAnsi="Times New Roman" w:eastAsia="Times New Roman"/>
                <w:spacing w:val="-2"/>
                <w:sz w:val="21"/>
              </w:rPr>
              <w:t>SUSAR</w:t>
            </w:r>
            <w:r>
              <w:rPr>
                <w:spacing w:val="-2"/>
                <w:sz w:val="21"/>
              </w:rPr>
              <w:t>）将在规定的监管</w:t>
            </w:r>
            <w:r>
              <w:rPr>
                <w:spacing w:val="12"/>
                <w:sz w:val="21"/>
              </w:rPr>
              <w:t>时限内报告至 </w:t>
            </w:r>
            <w:r>
              <w:rPr>
                <w:rFonts w:ascii="Times New Roman" w:hAnsi="Times New Roman" w:eastAsia="Times New Roman"/>
                <w:sz w:val="21"/>
              </w:rPr>
              <w:t>EudraVigilance</w:t>
            </w:r>
            <w:r>
              <w:rPr>
                <w:spacing w:val="-2"/>
                <w:sz w:val="21"/>
              </w:rPr>
              <w:t>数据库。”</w:t>
            </w:r>
          </w:p>
        </w:tc>
        <w:tc>
          <w:tcPr>
            <w:tcW w:w="3145" w:type="dxa"/>
          </w:tcPr>
          <w:p>
            <w:pPr>
              <w:pStyle w:val="TableParagraph"/>
              <w:spacing w:before="36"/>
              <w:ind w:left="107" w:right="97"/>
              <w:rPr>
                <w:sz w:val="21"/>
              </w:rPr>
            </w:pPr>
            <w:r>
              <w:rPr>
                <w:spacing w:val="15"/>
                <w:sz w:val="21"/>
              </w:rPr>
              <w:t>根据</w:t>
            </w:r>
            <w:r>
              <w:rPr>
                <w:rFonts w:ascii="Times New Roman" w:eastAsia="Times New Roman"/>
                <w:sz w:val="21"/>
              </w:rPr>
              <w:t>EU-CTR</w:t>
            </w:r>
            <w:r>
              <w:rPr>
                <w:rFonts w:ascii="Times New Roman" w:eastAsia="Times New Roman"/>
                <w:spacing w:val="-21"/>
                <w:sz w:val="21"/>
              </w:rPr>
              <w:t> </w:t>
            </w:r>
            <w:r>
              <w:rPr>
                <w:sz w:val="21"/>
              </w:rPr>
              <w:t>安全性报告指南进</w:t>
            </w:r>
            <w:r>
              <w:rPr>
                <w:spacing w:val="-4"/>
                <w:sz w:val="21"/>
              </w:rPr>
              <w:t>行更新。</w:t>
            </w:r>
          </w:p>
        </w:tc>
      </w:tr>
      <w:tr>
        <w:trPr>
          <w:trHeight w:val="1442" w:hRule="atLeast"/>
        </w:trPr>
        <w:tc>
          <w:tcPr>
            <w:tcW w:w="2591" w:type="dxa"/>
          </w:tcPr>
          <w:p>
            <w:pPr>
              <w:pStyle w:val="TableParagraph"/>
              <w:spacing w:before="38"/>
              <w:ind w:left="107" w:right="97"/>
              <w:jc w:val="both"/>
              <w:rPr>
                <w:sz w:val="21"/>
              </w:rPr>
            </w:pPr>
            <w:r>
              <w:rPr>
                <w:spacing w:val="-10"/>
                <w:sz w:val="21"/>
              </w:rPr>
              <w:t>附录 </w:t>
            </w:r>
            <w:r>
              <w:rPr>
                <w:rFonts w:ascii="Times New Roman" w:hAnsi="Times New Roman" w:eastAsia="Times New Roman"/>
                <w:spacing w:val="-2"/>
                <w:sz w:val="21"/>
              </w:rPr>
              <w:t>D</w:t>
            </w:r>
            <w:r>
              <w:rPr>
                <w:rFonts w:ascii="Times New Roman" w:hAnsi="Times New Roman" w:eastAsia="Times New Roman"/>
                <w:spacing w:val="-11"/>
                <w:sz w:val="21"/>
              </w:rPr>
              <w:t> </w:t>
            </w:r>
            <w:r>
              <w:rPr>
                <w:spacing w:val="-2"/>
                <w:sz w:val="21"/>
              </w:rPr>
              <w:t>肝生化指标升高及</w:t>
            </w:r>
            <w:r>
              <w:rPr>
                <w:spacing w:val="-2"/>
                <w:sz w:val="21"/>
              </w:rPr>
              <w:t>海氏法则评价所需采取的</w:t>
            </w:r>
            <w:r>
              <w:rPr>
                <w:spacing w:val="10"/>
                <w:sz w:val="21"/>
              </w:rPr>
              <w:t>措施，</w:t>
            </w:r>
            <w:r>
              <w:rPr>
                <w:rFonts w:ascii="Times New Roman" w:hAnsi="Times New Roman" w:eastAsia="Times New Roman"/>
                <w:sz w:val="21"/>
              </w:rPr>
              <w:t>D6 </w:t>
            </w:r>
            <w:r>
              <w:rPr>
                <w:spacing w:val="12"/>
                <w:sz w:val="21"/>
              </w:rPr>
              <w:t>实验室检查，</w:t>
            </w:r>
            <w:r>
              <w:rPr>
                <w:spacing w:val="-2"/>
                <w:sz w:val="21"/>
              </w:rPr>
              <w:t>表“中心实验室海氏法则实验室试剂盒”</w:t>
            </w:r>
          </w:p>
        </w:tc>
        <w:tc>
          <w:tcPr>
            <w:tcW w:w="3021" w:type="dxa"/>
          </w:tcPr>
          <w:p>
            <w:pPr>
              <w:pStyle w:val="TableParagraph"/>
              <w:spacing w:before="38"/>
              <w:ind w:left="106" w:right="96"/>
              <w:jc w:val="both"/>
              <w:rPr>
                <w:sz w:val="21"/>
              </w:rPr>
            </w:pPr>
            <w:r>
              <w:rPr>
                <w:spacing w:val="-7"/>
                <w:sz w:val="21"/>
              </w:rPr>
              <w:t>删除“抗 </w:t>
            </w:r>
            <w:r>
              <w:rPr>
                <w:rFonts w:ascii="Times New Roman" w:hAnsi="Times New Roman" w:eastAsia="Times New Roman"/>
                <w:spacing w:val="-2"/>
                <w:sz w:val="21"/>
              </w:rPr>
              <w:t>HSV</w:t>
            </w:r>
            <w:r>
              <w:rPr>
                <w:rFonts w:ascii="Times New Roman" w:hAnsi="Times New Roman" w:eastAsia="Times New Roman"/>
                <w:spacing w:val="-11"/>
                <w:sz w:val="21"/>
              </w:rPr>
              <w:t> </w:t>
            </w:r>
            <w:r>
              <w:rPr>
                <w:rFonts w:ascii="Times New Roman" w:hAnsi="Times New Roman" w:eastAsia="Times New Roman"/>
                <w:spacing w:val="-2"/>
                <w:sz w:val="21"/>
              </w:rPr>
              <w:t>IgM</w:t>
            </w:r>
            <w:r>
              <w:rPr>
                <w:rFonts w:ascii="Times New Roman" w:hAnsi="Times New Roman" w:eastAsia="Times New Roman"/>
                <w:spacing w:val="-11"/>
                <w:sz w:val="21"/>
              </w:rPr>
              <w:t> </w:t>
            </w:r>
            <w:r>
              <w:rPr>
                <w:spacing w:val="-13"/>
                <w:sz w:val="21"/>
              </w:rPr>
              <w:t>和 </w:t>
            </w:r>
            <w:r>
              <w:rPr>
                <w:rFonts w:ascii="Times New Roman" w:hAnsi="Times New Roman" w:eastAsia="Times New Roman"/>
                <w:spacing w:val="-2"/>
                <w:sz w:val="21"/>
              </w:rPr>
              <w:t>IgG</w:t>
            </w:r>
            <w:r>
              <w:rPr>
                <w:spacing w:val="-2"/>
                <w:sz w:val="21"/>
              </w:rPr>
              <w:t>”，</w:t>
            </w:r>
            <w:r>
              <w:rPr>
                <w:spacing w:val="-6"/>
                <w:sz w:val="21"/>
              </w:rPr>
              <w:t>增加“抗 </w:t>
            </w:r>
            <w:r>
              <w:rPr>
                <w:rFonts w:ascii="Times New Roman" w:hAnsi="Times New Roman" w:eastAsia="Times New Roman"/>
                <w:sz w:val="21"/>
              </w:rPr>
              <w:t>HSV</w:t>
            </w:r>
            <w:r>
              <w:rPr>
                <w:rFonts w:ascii="Times New Roman" w:hAnsi="Times New Roman" w:eastAsia="Times New Roman"/>
                <w:spacing w:val="-13"/>
                <w:sz w:val="21"/>
              </w:rPr>
              <w:t> </w:t>
            </w:r>
            <w:r>
              <w:rPr>
                <w:rFonts w:ascii="Times New Roman" w:hAnsi="Times New Roman" w:eastAsia="Times New Roman"/>
                <w:sz w:val="21"/>
              </w:rPr>
              <w:t>IgG</w:t>
            </w:r>
            <w:r>
              <w:rPr>
                <w:rFonts w:ascii="Times New Roman" w:hAnsi="Times New Roman" w:eastAsia="Times New Roman"/>
                <w:spacing w:val="-13"/>
                <w:sz w:val="21"/>
              </w:rPr>
              <w:t> </w:t>
            </w:r>
            <w:r>
              <w:rPr>
                <w:spacing w:val="-13"/>
                <w:sz w:val="21"/>
              </w:rPr>
              <w:t>和 </w:t>
            </w:r>
            <w:r>
              <w:rPr>
                <w:rFonts w:ascii="Times New Roman" w:hAnsi="Times New Roman" w:eastAsia="Times New Roman"/>
                <w:sz w:val="21"/>
              </w:rPr>
              <w:t>HSV</w:t>
            </w:r>
            <w:r>
              <w:rPr>
                <w:rFonts w:ascii="Times New Roman" w:hAnsi="Times New Roman" w:eastAsia="Times New Roman"/>
                <w:spacing w:val="-5"/>
                <w:sz w:val="21"/>
              </w:rPr>
              <w:t> </w:t>
            </w:r>
            <w:r>
              <w:rPr>
                <w:rFonts w:ascii="Times New Roman" w:hAnsi="Times New Roman" w:eastAsia="Times New Roman"/>
                <w:sz w:val="21"/>
              </w:rPr>
              <w:t>1/2 IgM </w:t>
            </w:r>
            <w:r>
              <w:rPr>
                <w:sz w:val="21"/>
              </w:rPr>
              <w:t>或 </w:t>
            </w:r>
            <w:r>
              <w:rPr>
                <w:rFonts w:ascii="Times New Roman" w:hAnsi="Times New Roman" w:eastAsia="Times New Roman"/>
                <w:sz w:val="21"/>
              </w:rPr>
              <w:t>HSV PCR</w:t>
            </w:r>
            <w:r>
              <w:rPr>
                <w:spacing w:val="8"/>
                <w:sz w:val="21"/>
              </w:rPr>
              <w:t>”及相应脚</w:t>
            </w:r>
            <w:r>
              <w:rPr>
                <w:spacing w:val="-6"/>
                <w:sz w:val="21"/>
              </w:rPr>
              <w:t>注。</w:t>
            </w:r>
          </w:p>
        </w:tc>
        <w:tc>
          <w:tcPr>
            <w:tcW w:w="3145" w:type="dxa"/>
          </w:tcPr>
          <w:p>
            <w:pPr>
              <w:pStyle w:val="TableParagraph"/>
              <w:spacing w:before="38"/>
              <w:ind w:left="107" w:right="79"/>
              <w:jc w:val="both"/>
              <w:rPr>
                <w:sz w:val="21"/>
              </w:rPr>
            </w:pPr>
            <w:r>
              <w:rPr>
                <w:spacing w:val="14"/>
                <w:sz w:val="21"/>
              </w:rPr>
              <w:t>由于阿斯利康研究中的海氏法</w:t>
            </w:r>
            <w:r>
              <w:rPr>
                <w:spacing w:val="12"/>
                <w:sz w:val="21"/>
              </w:rPr>
              <w:t>则检测方法变更，因此进行更</w:t>
            </w:r>
            <w:r>
              <w:rPr>
                <w:spacing w:val="-6"/>
                <w:sz w:val="21"/>
              </w:rPr>
              <w:t>新。</w:t>
            </w:r>
          </w:p>
        </w:tc>
      </w:tr>
      <w:tr>
        <w:trPr>
          <w:trHeight w:val="897" w:hRule="atLeast"/>
        </w:trPr>
        <w:tc>
          <w:tcPr>
            <w:tcW w:w="2591" w:type="dxa"/>
          </w:tcPr>
          <w:p>
            <w:pPr>
              <w:pStyle w:val="TableParagraph"/>
              <w:spacing w:before="38"/>
              <w:ind w:left="107"/>
              <w:rPr>
                <w:sz w:val="21"/>
              </w:rPr>
            </w:pPr>
            <w:r>
              <w:rPr>
                <w:spacing w:val="-18"/>
                <w:sz w:val="21"/>
              </w:rPr>
              <w:t>附录 </w:t>
            </w:r>
            <w:r>
              <w:rPr>
                <w:rFonts w:ascii="Times New Roman" w:eastAsia="Times New Roman"/>
                <w:sz w:val="21"/>
              </w:rPr>
              <w:t>L</w:t>
            </w:r>
            <w:r>
              <w:rPr>
                <w:rFonts w:ascii="Times New Roman" w:eastAsia="Times New Roman"/>
                <w:spacing w:val="-10"/>
                <w:sz w:val="21"/>
              </w:rPr>
              <w:t> </w:t>
            </w:r>
            <w:r>
              <w:rPr>
                <w:spacing w:val="-2"/>
                <w:sz w:val="21"/>
              </w:rPr>
              <w:t>方案版本历史</w:t>
            </w:r>
          </w:p>
        </w:tc>
        <w:tc>
          <w:tcPr>
            <w:tcW w:w="3021" w:type="dxa"/>
          </w:tcPr>
          <w:p>
            <w:pPr>
              <w:pStyle w:val="TableParagraph"/>
              <w:spacing w:before="36"/>
              <w:ind w:left="106"/>
              <w:rPr>
                <w:rFonts w:ascii="Times New Roman" w:eastAsia="Times New Roman"/>
                <w:sz w:val="21"/>
              </w:rPr>
            </w:pPr>
            <w:r>
              <w:rPr>
                <w:spacing w:val="-12"/>
                <w:sz w:val="21"/>
              </w:rPr>
              <w:t>将 </w:t>
            </w:r>
            <w:r>
              <w:rPr>
                <w:rFonts w:ascii="Times New Roman" w:eastAsia="Times New Roman"/>
                <w:sz w:val="21"/>
              </w:rPr>
              <w:t>CSP</w:t>
            </w:r>
            <w:r>
              <w:rPr>
                <w:sz w:val="21"/>
              </w:rPr>
              <w:t>（</w:t>
            </w:r>
            <w:r>
              <w:rPr>
                <w:spacing w:val="-11"/>
                <w:sz w:val="21"/>
              </w:rPr>
              <w:t>第 </w:t>
            </w:r>
            <w:r>
              <w:rPr>
                <w:rFonts w:ascii="Times New Roman" w:eastAsia="Times New Roman"/>
                <w:sz w:val="21"/>
              </w:rPr>
              <w:t>3.0</w:t>
            </w:r>
            <w:r>
              <w:rPr>
                <w:rFonts w:ascii="Times New Roman" w:eastAsia="Times New Roman"/>
                <w:spacing w:val="15"/>
                <w:sz w:val="21"/>
              </w:rPr>
              <w:t> </w:t>
            </w:r>
            <w:r>
              <w:rPr>
                <w:sz w:val="21"/>
              </w:rPr>
              <w:t>版，</w:t>
            </w:r>
            <w:r>
              <w:rPr>
                <w:rFonts w:ascii="Times New Roman" w:eastAsia="Times New Roman"/>
                <w:sz w:val="21"/>
              </w:rPr>
              <w:t>2024</w:t>
            </w:r>
            <w:r>
              <w:rPr>
                <w:rFonts w:ascii="Times New Roman" w:eastAsia="Times New Roman"/>
                <w:spacing w:val="13"/>
                <w:sz w:val="21"/>
              </w:rPr>
              <w:t> </w:t>
            </w:r>
            <w:r>
              <w:rPr>
                <w:spacing w:val="-12"/>
                <w:sz w:val="21"/>
              </w:rPr>
              <w:t>年 </w:t>
            </w:r>
            <w:r>
              <w:rPr>
                <w:rFonts w:ascii="Times New Roman" w:eastAsia="Times New Roman"/>
                <w:spacing w:val="-10"/>
                <w:sz w:val="21"/>
              </w:rPr>
              <w:t>3</w:t>
            </w:r>
          </w:p>
          <w:p>
            <w:pPr>
              <w:pStyle w:val="TableParagraph"/>
              <w:spacing w:before="1"/>
              <w:ind w:left="106" w:right="88"/>
              <w:rPr>
                <w:sz w:val="21"/>
              </w:rPr>
            </w:pPr>
            <w:r>
              <w:rPr>
                <w:sz w:val="21"/>
              </w:rPr>
              <w:t>月 </w:t>
            </w:r>
            <w:r>
              <w:rPr>
                <w:rFonts w:ascii="Times New Roman" w:eastAsia="Times New Roman"/>
                <w:sz w:val="21"/>
              </w:rPr>
              <w:t>26</w:t>
            </w:r>
            <w:r>
              <w:rPr>
                <w:rFonts w:ascii="Times New Roman" w:eastAsia="Times New Roman"/>
                <w:spacing w:val="40"/>
                <w:sz w:val="21"/>
              </w:rPr>
              <w:t> </w:t>
            </w:r>
            <w:r>
              <w:rPr>
                <w:sz w:val="21"/>
              </w:rPr>
              <w:t>日）的变更总结移至附</w:t>
            </w:r>
            <w:r>
              <w:rPr>
                <w:spacing w:val="-6"/>
                <w:sz w:val="21"/>
              </w:rPr>
              <w:t>录。</w:t>
            </w:r>
          </w:p>
        </w:tc>
        <w:tc>
          <w:tcPr>
            <w:tcW w:w="3145" w:type="dxa"/>
          </w:tcPr>
          <w:p>
            <w:pPr>
              <w:pStyle w:val="TableParagraph"/>
              <w:spacing w:before="38"/>
              <w:ind w:left="107"/>
              <w:rPr>
                <w:sz w:val="21"/>
              </w:rPr>
            </w:pPr>
            <w:r>
              <w:rPr>
                <w:rFonts w:ascii="Times New Roman" w:eastAsia="Times New Roman"/>
                <w:sz w:val="21"/>
              </w:rPr>
              <w:t>CSP</w:t>
            </w:r>
            <w:r>
              <w:rPr>
                <w:rFonts w:ascii="Times New Roman" w:eastAsia="Times New Roman"/>
                <w:spacing w:val="-13"/>
                <w:sz w:val="21"/>
              </w:rPr>
              <w:t> </w:t>
            </w:r>
            <w:r>
              <w:rPr>
                <w:spacing w:val="-2"/>
                <w:sz w:val="21"/>
              </w:rPr>
              <w:t>模板要求。</w:t>
            </w:r>
          </w:p>
        </w:tc>
      </w:tr>
    </w:tbl>
    <w:p>
      <w:pPr>
        <w:spacing w:after="0"/>
        <w:rPr>
          <w:sz w:val="21"/>
        </w:rPr>
        <w:sectPr>
          <w:pgSz w:w="11910" w:h="16840"/>
          <w:pgMar w:header="590" w:footer="784" w:top="1360" w:bottom="980" w:left="1480" w:right="1080"/>
        </w:sectPr>
      </w:pPr>
    </w:p>
    <w:p>
      <w:pPr>
        <w:pStyle w:val="Heading1"/>
        <w:spacing w:before="60"/>
        <w:ind w:left="221" w:firstLine="0"/>
      </w:pPr>
      <w:bookmarkStart w:name="目录" w:id="5"/>
      <w:bookmarkEnd w:id="5"/>
      <w:r>
        <w:rPr>
          <w:b w:val="0"/>
        </w:rPr>
      </w:r>
      <w:bookmarkStart w:name="_bookmark2" w:id="6"/>
      <w:bookmarkEnd w:id="6"/>
      <w:r>
        <w:rPr>
          <w:b w:val="0"/>
        </w:rPr>
      </w:r>
      <w:r>
        <w:rPr>
          <w:spacing w:val="-6"/>
        </w:rPr>
        <w:t>目录</w:t>
      </w:r>
    </w:p>
    <w:p>
      <w:pPr>
        <w:spacing w:after="0"/>
        <w:sectPr>
          <w:pgSz w:w="11910" w:h="16840"/>
          <w:pgMar w:header="590" w:footer="784" w:top="1360" w:bottom="1449" w:left="1480" w:right="1080"/>
        </w:sectPr>
      </w:pPr>
    </w:p>
    <w:sdt>
      <w:sdtPr>
        <w:docPartObj>
          <w:docPartGallery w:val="Table of Contents"/>
          <w:docPartUnique/>
        </w:docPartObj>
      </w:sdtPr>
      <w:sdtEndPr/>
      <w:sdtContent>
        <w:p>
          <w:pPr>
            <w:pStyle w:val="TOC1"/>
            <w:tabs>
              <w:tab w:pos="8630" w:val="right" w:leader="dot"/>
            </w:tabs>
            <w:spacing w:line="240" w:lineRule="auto" w:before="119"/>
            <w:ind w:left="221" w:firstLine="0"/>
            <w:rPr>
              <w:rFonts w:ascii="Times New Roman" w:eastAsia="Times New Roman"/>
            </w:rPr>
          </w:pPr>
          <w:hyperlink w:history="true" w:anchor="_bookmark0">
            <w:r>
              <w:rPr/>
              <w:t>标题</w:t>
            </w:r>
            <w:r>
              <w:rPr>
                <w:spacing w:val="-10"/>
              </w:rPr>
              <w:t>页</w:t>
            </w:r>
            <w:r>
              <w:rPr>
                <w:rFonts w:ascii="Times New Roman" w:eastAsia="Times New Roman"/>
                <w:b/>
              </w:rPr>
              <w:tab/>
            </w:r>
            <w:r>
              <w:rPr>
                <w:rFonts w:ascii="Times New Roman" w:eastAsia="Times New Roman"/>
                <w:spacing w:val="-10"/>
              </w:rPr>
              <w:t>1</w:t>
            </w:r>
          </w:hyperlink>
        </w:p>
        <w:p>
          <w:pPr>
            <w:pStyle w:val="TOC1"/>
            <w:tabs>
              <w:tab w:pos="8630" w:val="right" w:leader="dot"/>
            </w:tabs>
            <w:spacing w:line="240" w:lineRule="auto" w:before="118"/>
            <w:ind w:left="221" w:firstLine="0"/>
            <w:rPr>
              <w:rFonts w:ascii="Times New Roman" w:eastAsia="Times New Roman"/>
            </w:rPr>
          </w:pPr>
          <w:hyperlink w:history="true" w:anchor="_bookmark1">
            <w:r>
              <w:rPr/>
              <w:t>变更汇总</w:t>
            </w:r>
            <w:r>
              <w:rPr>
                <w:spacing w:val="-10"/>
              </w:rPr>
              <w:t>表</w:t>
            </w:r>
            <w:r>
              <w:rPr>
                <w:rFonts w:ascii="Times New Roman" w:eastAsia="Times New Roman"/>
                <w:b/>
              </w:rPr>
              <w:tab/>
            </w:r>
            <w:r>
              <w:rPr>
                <w:rFonts w:ascii="Times New Roman" w:eastAsia="Times New Roman"/>
                <w:spacing w:val="-10"/>
              </w:rPr>
              <w:t>3</w:t>
            </w:r>
          </w:hyperlink>
        </w:p>
        <w:p>
          <w:pPr>
            <w:pStyle w:val="TOC2"/>
            <w:tabs>
              <w:tab w:pos="8630" w:val="right" w:leader="dot"/>
            </w:tabs>
            <w:rPr>
              <w:rFonts w:ascii="Times New Roman" w:eastAsia="Times New Roman"/>
              <w:b w:val="0"/>
              <w:i w:val="0"/>
              <w:sz w:val="24"/>
            </w:rPr>
          </w:pPr>
          <w:hyperlink w:history="true" w:anchor="_bookmark2">
            <w:r>
              <w:rPr>
                <w:b w:val="0"/>
                <w:i w:val="0"/>
                <w:sz w:val="24"/>
              </w:rPr>
              <w:t>目</w:t>
            </w:r>
            <w:r>
              <w:rPr>
                <w:b w:val="0"/>
                <w:i w:val="0"/>
                <w:spacing w:val="-10"/>
                <w:sz w:val="24"/>
              </w:rPr>
              <w:t>录</w:t>
            </w:r>
            <w:r>
              <w:rPr>
                <w:rFonts w:ascii="Times New Roman" w:eastAsia="Times New Roman"/>
                <w:i w:val="0"/>
                <w:sz w:val="24"/>
              </w:rPr>
              <w:tab/>
            </w:r>
            <w:r>
              <w:rPr>
                <w:rFonts w:ascii="Times New Roman" w:eastAsia="Times New Roman"/>
                <w:b w:val="0"/>
                <w:i w:val="0"/>
                <w:spacing w:val="-10"/>
                <w:sz w:val="24"/>
              </w:rPr>
              <w:t>5</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3">
            <w:r>
              <w:rPr/>
              <w:t>研究方案总</w:t>
            </w:r>
            <w:r>
              <w:rPr>
                <w:spacing w:val="-10"/>
              </w:rPr>
              <w:t>结</w:t>
            </w:r>
            <w:r>
              <w:rPr>
                <w:rFonts w:ascii="Times New Roman" w:eastAsia="Times New Roman"/>
                <w:b/>
              </w:rPr>
              <w:tab/>
            </w:r>
            <w:r>
              <w:rPr>
                <w:rFonts w:ascii="Times New Roman" w:eastAsia="Times New Roman"/>
                <w:spacing w:val="-5"/>
              </w:rPr>
              <w:t>10</w:t>
            </w:r>
          </w:hyperlink>
        </w:p>
        <w:p>
          <w:pPr>
            <w:pStyle w:val="TOC1"/>
            <w:numPr>
              <w:ilvl w:val="1"/>
              <w:numId w:val="2"/>
            </w:numPr>
            <w:tabs>
              <w:tab w:pos="1355" w:val="left" w:leader="none"/>
              <w:tab w:pos="8630" w:val="right" w:leader="dot"/>
            </w:tabs>
            <w:spacing w:line="240" w:lineRule="auto" w:before="58" w:after="0"/>
            <w:ind w:left="1355" w:right="0" w:hanging="1134"/>
            <w:jc w:val="left"/>
            <w:rPr>
              <w:rFonts w:ascii="Times New Roman" w:eastAsia="Times New Roman"/>
            </w:rPr>
          </w:pPr>
          <w:hyperlink w:history="true" w:anchor="_bookmark4">
            <w:r>
              <w:rPr/>
              <w:t>研究概</w:t>
            </w:r>
            <w:r>
              <w:rPr>
                <w:spacing w:val="-10"/>
              </w:rPr>
              <w:t>要</w:t>
            </w:r>
            <w:r>
              <w:rPr>
                <w:rFonts w:ascii="Times New Roman" w:eastAsia="Times New Roman"/>
                <w:b/>
              </w:rPr>
              <w:tab/>
            </w:r>
            <w:r>
              <w:rPr>
                <w:rFonts w:ascii="Times New Roman" w:eastAsia="Times New Roman"/>
                <w:spacing w:val="-5"/>
              </w:rPr>
              <w:t>10</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5">
            <w:r>
              <w:rPr/>
              <w:t>研究示意</w:t>
            </w:r>
            <w:r>
              <w:rPr>
                <w:spacing w:val="-10"/>
              </w:rPr>
              <w:t>图</w:t>
            </w:r>
            <w:r>
              <w:rPr>
                <w:rFonts w:ascii="Times New Roman" w:eastAsia="Times New Roman"/>
                <w:b/>
              </w:rPr>
              <w:tab/>
            </w:r>
            <w:r>
              <w:rPr>
                <w:rFonts w:ascii="Times New Roman" w:eastAsia="Times New Roman"/>
                <w:spacing w:val="-5"/>
              </w:rPr>
              <w:t>16</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7">
            <w:r>
              <w:rPr/>
              <w:t>研究活动时间计划</w:t>
            </w:r>
            <w:r>
              <w:rPr>
                <w:spacing w:val="-10"/>
              </w:rPr>
              <w:t>表</w:t>
            </w:r>
            <w:r>
              <w:rPr>
                <w:rFonts w:ascii="Times New Roman" w:eastAsia="Times New Roman"/>
                <w:b/>
              </w:rPr>
              <w:tab/>
            </w:r>
            <w:r>
              <w:rPr>
                <w:rFonts w:ascii="Times New Roman" w:eastAsia="Times New Roman"/>
                <w:spacing w:val="-5"/>
              </w:rPr>
              <w:t>16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
            <w:r>
              <w:rPr>
                <w:rFonts w:ascii="Times New Roman" w:eastAsia="Times New Roman"/>
              </w:rPr>
              <w:t>52</w:t>
            </w:r>
            <w:r>
              <w:rPr>
                <w:rFonts w:ascii="Times New Roman" w:eastAsia="Times New Roman"/>
                <w:spacing w:val="-12"/>
              </w:rPr>
              <w:t> </w:t>
            </w:r>
            <w:r>
              <w:rPr/>
              <w:t>周治疗期的研究活动时间</w:t>
            </w:r>
            <w:r>
              <w:rPr>
                <w:spacing w:val="-10"/>
              </w:rPr>
              <w:t>表</w:t>
            </w:r>
            <w:r>
              <w:rPr>
                <w:rFonts w:ascii="Times New Roman" w:eastAsia="Times New Roman"/>
                <w:b/>
              </w:rPr>
              <w:tab/>
            </w:r>
            <w:r>
              <w:rPr>
                <w:rFonts w:ascii="Times New Roman" w:eastAsia="Times New Roman"/>
                <w:spacing w:val="-5"/>
              </w:rPr>
              <w:t>16</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10">
            <w:r>
              <w:rPr>
                <w:rFonts w:ascii="Times New Roman" w:eastAsia="Times New Roman"/>
              </w:rPr>
              <w:t>28</w:t>
            </w:r>
            <w:r>
              <w:rPr>
                <w:rFonts w:ascii="Times New Roman" w:eastAsia="Times New Roman"/>
                <w:spacing w:val="-12"/>
              </w:rPr>
              <w:t> </w:t>
            </w:r>
            <w:r>
              <w:rPr/>
              <w:t>周治疗期的研究活动时间</w:t>
            </w:r>
            <w:r>
              <w:rPr>
                <w:spacing w:val="-10"/>
              </w:rPr>
              <w:t>表</w:t>
            </w:r>
            <w:r>
              <w:rPr>
                <w:rFonts w:ascii="Times New Roman" w:eastAsia="Times New Roman"/>
                <w:b/>
              </w:rPr>
              <w:tab/>
            </w:r>
            <w:r>
              <w:rPr>
                <w:rFonts w:ascii="Times New Roman" w:eastAsia="Times New Roman"/>
                <w:spacing w:val="-5"/>
              </w:rPr>
              <w:t>23</w:t>
            </w:r>
          </w:hyperlink>
        </w:p>
        <w:p>
          <w:pPr>
            <w:pStyle w:val="TOC1"/>
            <w:numPr>
              <w:ilvl w:val="0"/>
              <w:numId w:val="2"/>
            </w:numPr>
            <w:tabs>
              <w:tab w:pos="1355" w:val="left" w:leader="none"/>
              <w:tab w:pos="8630" w:val="right" w:leader="dot"/>
            </w:tabs>
            <w:spacing w:line="240" w:lineRule="auto" w:before="119" w:after="0"/>
            <w:ind w:left="1355" w:right="0" w:hanging="1134"/>
            <w:jc w:val="left"/>
            <w:rPr>
              <w:rFonts w:ascii="Times New Roman" w:eastAsia="Times New Roman"/>
            </w:rPr>
          </w:pPr>
          <w:hyperlink w:history="true" w:anchor="_bookmark12">
            <w:r>
              <w:rPr/>
              <w:t>前</w:t>
            </w:r>
            <w:r>
              <w:rPr>
                <w:spacing w:val="-10"/>
              </w:rPr>
              <w:t>言</w:t>
            </w:r>
            <w:r>
              <w:rPr>
                <w:rFonts w:ascii="Times New Roman" w:eastAsia="Times New Roman"/>
                <w:b/>
              </w:rPr>
              <w:tab/>
            </w:r>
            <w:r>
              <w:rPr>
                <w:rFonts w:ascii="Times New Roman" w:eastAsia="Times New Roman"/>
                <w:spacing w:val="-5"/>
              </w:rPr>
              <w:t>29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3">
            <w:r>
              <w:rPr/>
              <w:t>研究依</w:t>
            </w:r>
            <w:r>
              <w:rPr>
                <w:spacing w:val="-10"/>
              </w:rPr>
              <w:t>据</w:t>
            </w:r>
            <w:r>
              <w:rPr>
                <w:rFonts w:ascii="Times New Roman" w:eastAsia="Times New Roman"/>
                <w:b/>
              </w:rPr>
              <w:tab/>
            </w:r>
            <w:r>
              <w:rPr>
                <w:rFonts w:ascii="Times New Roman" w:eastAsia="Times New Roman"/>
                <w:spacing w:val="-5"/>
              </w:rPr>
              <w:t>29</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14">
            <w:r>
              <w:rPr/>
              <w:t>背景信</w:t>
            </w:r>
            <w:r>
              <w:rPr>
                <w:spacing w:val="-10"/>
              </w:rPr>
              <w:t>息</w:t>
            </w:r>
            <w:r>
              <w:rPr>
                <w:rFonts w:ascii="Times New Roman" w:eastAsia="Times New Roman"/>
                <w:b/>
              </w:rPr>
              <w:tab/>
            </w:r>
            <w:r>
              <w:rPr>
                <w:rFonts w:ascii="Times New Roman" w:eastAsia="Times New Roman"/>
                <w:spacing w:val="-5"/>
              </w:rPr>
              <w:t>30</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15">
            <w:r>
              <w:rPr/>
              <w:t>获益</w:t>
            </w:r>
            <w:r>
              <w:rPr>
                <w:rFonts w:ascii="Times New Roman" w:eastAsia="Times New Roman"/>
              </w:rPr>
              <w:t>/</w:t>
            </w:r>
            <w:r>
              <w:rPr/>
              <w:t>风险评</w:t>
            </w:r>
            <w:r>
              <w:rPr>
                <w:spacing w:val="-10"/>
              </w:rPr>
              <w:t>估</w:t>
            </w:r>
            <w:r>
              <w:rPr>
                <w:rFonts w:ascii="Times New Roman" w:eastAsia="Times New Roman"/>
                <w:b/>
              </w:rPr>
              <w:tab/>
            </w:r>
            <w:r>
              <w:rPr>
                <w:rFonts w:ascii="Times New Roman" w:eastAsia="Times New Roman"/>
                <w:spacing w:val="-5"/>
              </w:rPr>
              <w:t>31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6">
            <w:r>
              <w:rPr/>
              <w:t>风险评</w:t>
            </w:r>
            <w:r>
              <w:rPr>
                <w:spacing w:val="-10"/>
              </w:rPr>
              <w:t>估</w:t>
            </w:r>
            <w:r>
              <w:rPr>
                <w:rFonts w:ascii="Times New Roman" w:eastAsia="Times New Roman"/>
                <w:b/>
              </w:rPr>
              <w:tab/>
            </w:r>
            <w:r>
              <w:rPr>
                <w:rFonts w:ascii="Times New Roman" w:eastAsia="Times New Roman"/>
                <w:spacing w:val="-5"/>
              </w:rPr>
              <w:t>31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7">
            <w:r>
              <w:rPr/>
              <w:t>获益评</w:t>
            </w:r>
            <w:r>
              <w:rPr>
                <w:spacing w:val="-10"/>
              </w:rPr>
              <w:t>估</w:t>
            </w:r>
            <w:r>
              <w:rPr>
                <w:rFonts w:ascii="Times New Roman" w:eastAsia="Times New Roman"/>
                <w:b/>
              </w:rPr>
              <w:tab/>
            </w:r>
            <w:r>
              <w:rPr>
                <w:rFonts w:ascii="Times New Roman" w:eastAsia="Times New Roman"/>
                <w:spacing w:val="-5"/>
              </w:rPr>
              <w:t>32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8">
            <w:r>
              <w:rPr/>
              <w:t>总体获益：风险结</w:t>
            </w:r>
            <w:r>
              <w:rPr>
                <w:spacing w:val="-10"/>
              </w:rPr>
              <w:t>论</w:t>
            </w:r>
            <w:r>
              <w:rPr>
                <w:rFonts w:ascii="Times New Roman" w:eastAsia="Times New Roman"/>
                <w:b/>
              </w:rPr>
              <w:tab/>
            </w:r>
            <w:r>
              <w:rPr>
                <w:rFonts w:ascii="Times New Roman" w:eastAsia="Times New Roman"/>
                <w:spacing w:val="-5"/>
              </w:rPr>
              <w:t>32</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19">
            <w:r>
              <w:rPr/>
              <w:t>研究目的和终</w:t>
            </w:r>
            <w:r>
              <w:rPr>
                <w:spacing w:val="-10"/>
              </w:rPr>
              <w:t>点</w:t>
            </w:r>
            <w:r>
              <w:rPr>
                <w:rFonts w:ascii="Times New Roman" w:eastAsia="Times New Roman"/>
                <w:b/>
              </w:rPr>
              <w:tab/>
            </w:r>
            <w:r>
              <w:rPr>
                <w:rFonts w:ascii="Times New Roman" w:eastAsia="Times New Roman"/>
                <w:spacing w:val="-5"/>
              </w:rPr>
              <w:t>33</w:t>
            </w:r>
          </w:hyperlink>
        </w:p>
        <w:p>
          <w:pPr>
            <w:pStyle w:val="TOC1"/>
            <w:numPr>
              <w:ilvl w:val="0"/>
              <w:numId w:val="2"/>
            </w:numPr>
            <w:tabs>
              <w:tab w:pos="1355" w:val="left" w:leader="none"/>
              <w:tab w:pos="8630" w:val="right" w:leader="dot"/>
            </w:tabs>
            <w:spacing w:line="240" w:lineRule="auto" w:before="119" w:after="0"/>
            <w:ind w:left="1355" w:right="0" w:hanging="1134"/>
            <w:jc w:val="left"/>
            <w:rPr>
              <w:rFonts w:ascii="Times New Roman" w:eastAsia="Times New Roman"/>
            </w:rPr>
          </w:pPr>
          <w:hyperlink w:history="true" w:anchor="_bookmark21">
            <w:r>
              <w:rPr/>
              <w:t>研究设</w:t>
            </w:r>
            <w:r>
              <w:rPr>
                <w:spacing w:val="-10"/>
              </w:rPr>
              <w:t>计</w:t>
            </w:r>
            <w:r>
              <w:rPr>
                <w:rFonts w:ascii="Times New Roman" w:eastAsia="Times New Roman"/>
                <w:b/>
              </w:rPr>
              <w:tab/>
            </w:r>
            <w:r>
              <w:rPr>
                <w:rFonts w:ascii="Times New Roman" w:eastAsia="Times New Roman"/>
                <w:spacing w:val="-5"/>
              </w:rPr>
              <w:t>36</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22">
            <w:r>
              <w:rPr/>
              <w:t>总体研究设</w:t>
            </w:r>
            <w:r>
              <w:rPr>
                <w:spacing w:val="-10"/>
              </w:rPr>
              <w:t>计</w:t>
            </w:r>
            <w:r>
              <w:rPr>
                <w:rFonts w:ascii="Times New Roman" w:eastAsia="Times New Roman"/>
                <w:b/>
              </w:rPr>
              <w:tab/>
            </w:r>
            <w:r>
              <w:rPr>
                <w:rFonts w:ascii="Times New Roman" w:eastAsia="Times New Roman"/>
                <w:spacing w:val="-5"/>
              </w:rPr>
              <w:t>36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24">
            <w:r>
              <w:rPr/>
              <w:t>入</w:t>
            </w:r>
            <w:r>
              <w:rPr>
                <w:spacing w:val="-10"/>
              </w:rPr>
              <w:t>选</w:t>
            </w:r>
            <w:r>
              <w:rPr>
                <w:rFonts w:ascii="Times New Roman" w:eastAsia="Times New Roman"/>
                <w:b/>
              </w:rPr>
              <w:tab/>
            </w:r>
            <w:r>
              <w:rPr>
                <w:rFonts w:ascii="Times New Roman" w:eastAsia="Times New Roman"/>
                <w:spacing w:val="-5"/>
              </w:rPr>
              <w:t>38</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25">
            <w:r>
              <w:rPr/>
              <w:t>治疗</w:t>
            </w:r>
            <w:r>
              <w:rPr>
                <w:spacing w:val="-10"/>
              </w:rPr>
              <w:t>期</w:t>
            </w:r>
            <w:r>
              <w:rPr>
                <w:rFonts w:ascii="Times New Roman" w:eastAsia="Times New Roman"/>
                <w:b/>
              </w:rPr>
              <w:tab/>
            </w:r>
            <w:r>
              <w:rPr>
                <w:rFonts w:ascii="Times New Roman" w:eastAsia="Times New Roman"/>
                <w:spacing w:val="-5"/>
              </w:rPr>
              <w:t>39</w:t>
            </w:r>
          </w:hyperlink>
        </w:p>
        <w:p>
          <w:pPr>
            <w:pStyle w:val="TOC1"/>
            <w:numPr>
              <w:ilvl w:val="2"/>
              <w:numId w:val="2"/>
            </w:numPr>
            <w:tabs>
              <w:tab w:pos="1355" w:val="left" w:leader="none"/>
            </w:tabs>
            <w:spacing w:line="311" w:lineRule="exact" w:before="0" w:after="0"/>
            <w:ind w:left="1355" w:right="0" w:hanging="1134"/>
            <w:jc w:val="left"/>
          </w:pPr>
          <w:hyperlink w:history="true" w:anchor="_bookmark26">
            <w:r>
              <w:rPr>
                <w:spacing w:val="-1"/>
              </w:rPr>
              <w:t>因民事危机、自然灾害或公共卫生危机导致研究中断期间的研究风险</w:t>
            </w:r>
          </w:hyperlink>
        </w:p>
        <w:p>
          <w:pPr>
            <w:pStyle w:val="TOC3"/>
            <w:tabs>
              <w:tab w:pos="8630" w:val="right" w:leader="dot"/>
            </w:tabs>
          </w:pPr>
          <w:hyperlink w:history="true" w:anchor="_bookmark26">
            <w:r>
              <w:rPr>
                <w:rFonts w:ascii="SimSun" w:eastAsia="SimSun" w:hint="eastAsia"/>
              </w:rPr>
              <w:t>规</w:t>
            </w:r>
            <w:r>
              <w:rPr>
                <w:rFonts w:ascii="SimSun" w:eastAsia="SimSun" w:hint="eastAsia"/>
                <w:spacing w:val="-10"/>
              </w:rPr>
              <w:t>避</w:t>
            </w:r>
            <w:r>
              <w:rPr>
                <w:b/>
              </w:rPr>
              <w:tab/>
            </w:r>
            <w:r>
              <w:rPr>
                <w:spacing w:val="-5"/>
              </w:rPr>
              <w:t>40</w:t>
            </w:r>
          </w:hyperlink>
        </w:p>
        <w:p>
          <w:pPr>
            <w:pStyle w:val="TOC1"/>
            <w:numPr>
              <w:ilvl w:val="1"/>
              <w:numId w:val="2"/>
            </w:numPr>
            <w:tabs>
              <w:tab w:pos="1355" w:val="left" w:leader="none"/>
              <w:tab w:pos="8630" w:val="right" w:leader="dot"/>
            </w:tabs>
            <w:spacing w:line="240" w:lineRule="auto" w:before="58" w:after="0"/>
            <w:ind w:left="1355" w:right="0" w:hanging="1134"/>
            <w:jc w:val="left"/>
            <w:rPr>
              <w:rFonts w:ascii="Times New Roman" w:eastAsia="Times New Roman"/>
            </w:rPr>
          </w:pPr>
          <w:hyperlink w:history="true" w:anchor="_bookmark27">
            <w:r>
              <w:rPr/>
              <w:t>研究设计的科学依</w:t>
            </w:r>
            <w:r>
              <w:rPr>
                <w:spacing w:val="-10"/>
              </w:rPr>
              <w:t>据</w:t>
            </w:r>
            <w:r>
              <w:rPr>
                <w:rFonts w:ascii="Times New Roman" w:eastAsia="Times New Roman"/>
                <w:b/>
              </w:rPr>
              <w:tab/>
            </w:r>
            <w:r>
              <w:rPr>
                <w:rFonts w:ascii="Times New Roman" w:eastAsia="Times New Roman"/>
                <w:spacing w:val="-5"/>
              </w:rPr>
              <w:t>41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28">
            <w:r>
              <w:rPr/>
              <w:t>参与人群的选择依</w:t>
            </w:r>
            <w:r>
              <w:rPr>
                <w:spacing w:val="-10"/>
              </w:rPr>
              <w:t>据</w:t>
            </w:r>
            <w:r>
              <w:rPr>
                <w:rFonts w:ascii="Times New Roman" w:eastAsia="Times New Roman"/>
                <w:b/>
              </w:rPr>
              <w:tab/>
            </w:r>
            <w:r>
              <w:rPr>
                <w:rFonts w:ascii="Times New Roman" w:eastAsia="Times New Roman"/>
                <w:spacing w:val="-5"/>
              </w:rPr>
              <w:t>41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29">
            <w:r>
              <w:rPr/>
              <w:t>主要终点的选择依</w:t>
            </w:r>
            <w:r>
              <w:rPr>
                <w:spacing w:val="-10"/>
              </w:rPr>
              <w:t>据</w:t>
            </w:r>
            <w:r>
              <w:rPr>
                <w:rFonts w:ascii="Times New Roman" w:eastAsia="Times New Roman"/>
                <w:b/>
              </w:rPr>
              <w:tab/>
            </w:r>
            <w:r>
              <w:rPr>
                <w:rFonts w:ascii="Times New Roman" w:eastAsia="Times New Roman"/>
                <w:spacing w:val="-5"/>
              </w:rPr>
              <w:t>41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30">
            <w:r>
              <w:rPr/>
              <w:t>对照药物选择依</w:t>
            </w:r>
            <w:r>
              <w:rPr>
                <w:spacing w:val="-10"/>
              </w:rPr>
              <w:t>据</w:t>
            </w:r>
            <w:r>
              <w:rPr>
                <w:rFonts w:ascii="Times New Roman" w:eastAsia="Times New Roman"/>
                <w:b/>
              </w:rPr>
              <w:tab/>
            </w:r>
            <w:r>
              <w:rPr>
                <w:rFonts w:ascii="Times New Roman" w:eastAsia="Times New Roman"/>
                <w:spacing w:val="-5"/>
              </w:rPr>
              <w:t>41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31">
            <w:r>
              <w:rPr/>
              <w:t>研究期限选择依</w:t>
            </w:r>
            <w:r>
              <w:rPr>
                <w:spacing w:val="-10"/>
              </w:rPr>
              <w:t>据</w:t>
            </w:r>
            <w:r>
              <w:rPr>
                <w:rFonts w:ascii="Times New Roman" w:eastAsia="Times New Roman"/>
                <w:b/>
              </w:rPr>
              <w:tab/>
            </w:r>
            <w:r>
              <w:rPr>
                <w:rFonts w:ascii="Times New Roman" w:eastAsia="Times New Roman"/>
                <w:spacing w:val="-5"/>
              </w:rPr>
              <w:t>42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32">
            <w:r>
              <w:rPr/>
              <w:t>受试者对研究设计的意</w:t>
            </w:r>
            <w:r>
              <w:rPr>
                <w:spacing w:val="-10"/>
              </w:rPr>
              <w:t>见</w:t>
            </w:r>
            <w:r>
              <w:rPr>
                <w:rFonts w:ascii="Times New Roman" w:eastAsia="Times New Roman"/>
                <w:b/>
              </w:rPr>
              <w:tab/>
            </w:r>
            <w:r>
              <w:rPr>
                <w:rFonts w:ascii="Times New Roman" w:eastAsia="Times New Roman"/>
                <w:spacing w:val="-5"/>
              </w:rPr>
              <w:t>42</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33">
            <w:r>
              <w:rPr/>
              <w:t>剂量选择依</w:t>
            </w:r>
            <w:r>
              <w:rPr>
                <w:spacing w:val="-10"/>
              </w:rPr>
              <w:t>据</w:t>
            </w:r>
            <w:r>
              <w:rPr>
                <w:rFonts w:ascii="Times New Roman" w:eastAsia="Times New Roman"/>
                <w:b/>
              </w:rPr>
              <w:tab/>
            </w:r>
            <w:r>
              <w:rPr>
                <w:rFonts w:ascii="Times New Roman" w:eastAsia="Times New Roman"/>
                <w:spacing w:val="-5"/>
              </w:rPr>
              <w:t>42</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34">
            <w:r>
              <w:rPr/>
              <w:t>研究结束的定</w:t>
            </w:r>
            <w:r>
              <w:rPr>
                <w:spacing w:val="-10"/>
              </w:rPr>
              <w:t>义</w:t>
            </w:r>
            <w:r>
              <w:rPr>
                <w:rFonts w:ascii="Times New Roman" w:eastAsia="Times New Roman"/>
                <w:b/>
              </w:rPr>
              <w:tab/>
            </w:r>
            <w:r>
              <w:rPr>
                <w:rFonts w:ascii="Times New Roman" w:eastAsia="Times New Roman"/>
                <w:spacing w:val="-5"/>
              </w:rPr>
              <w:t>43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35">
            <w:r>
              <w:rPr/>
              <w:t>研究停止标</w:t>
            </w:r>
            <w:r>
              <w:rPr>
                <w:spacing w:val="-10"/>
              </w:rPr>
              <w:t>准</w:t>
            </w:r>
            <w:r>
              <w:rPr>
                <w:rFonts w:ascii="Times New Roman" w:eastAsia="Times New Roman"/>
                <w:b/>
              </w:rPr>
              <w:tab/>
            </w:r>
            <w:r>
              <w:rPr>
                <w:rFonts w:ascii="Times New Roman" w:eastAsia="Times New Roman"/>
                <w:spacing w:val="-5"/>
              </w:rPr>
              <w:t>43</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36">
            <w:r>
              <w:rPr/>
              <w:t>研究人</w:t>
            </w:r>
            <w:r>
              <w:rPr>
                <w:spacing w:val="-10"/>
              </w:rPr>
              <w:t>群</w:t>
            </w:r>
            <w:r>
              <w:rPr>
                <w:rFonts w:ascii="Times New Roman" w:eastAsia="Times New Roman"/>
                <w:b/>
              </w:rPr>
              <w:tab/>
            </w:r>
            <w:r>
              <w:rPr>
                <w:rFonts w:ascii="Times New Roman" w:eastAsia="Times New Roman"/>
                <w:spacing w:val="-5"/>
              </w:rPr>
              <w:t>44</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37">
            <w:r>
              <w:rPr/>
              <w:t>纳入标</w:t>
            </w:r>
            <w:r>
              <w:rPr>
                <w:spacing w:val="-10"/>
              </w:rPr>
              <w:t>准</w:t>
            </w:r>
            <w:r>
              <w:rPr>
                <w:rFonts w:ascii="Times New Roman" w:eastAsia="Times New Roman"/>
                <w:b/>
              </w:rPr>
              <w:tab/>
            </w:r>
            <w:r>
              <w:rPr>
                <w:rFonts w:ascii="Times New Roman" w:eastAsia="Times New Roman"/>
                <w:spacing w:val="-5"/>
              </w:rPr>
              <w:t>44</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38">
            <w:r>
              <w:rPr/>
              <w:t>排除标</w:t>
            </w:r>
            <w:r>
              <w:rPr>
                <w:spacing w:val="-10"/>
              </w:rPr>
              <w:t>准</w:t>
            </w:r>
            <w:r>
              <w:rPr>
                <w:rFonts w:ascii="Times New Roman" w:eastAsia="Times New Roman"/>
                <w:b/>
              </w:rPr>
              <w:tab/>
            </w:r>
            <w:r>
              <w:rPr>
                <w:rFonts w:ascii="Times New Roman" w:eastAsia="Times New Roman"/>
                <w:spacing w:val="-5"/>
              </w:rPr>
              <w:t>45</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39">
            <w:r>
              <w:rPr/>
              <w:t>生活方式考虑因</w:t>
            </w:r>
            <w:r>
              <w:rPr>
                <w:spacing w:val="-10"/>
              </w:rPr>
              <w:t>素</w:t>
            </w:r>
            <w:r>
              <w:rPr>
                <w:rFonts w:ascii="Times New Roman" w:eastAsia="Times New Roman"/>
                <w:b/>
              </w:rPr>
              <w:tab/>
            </w:r>
            <w:r>
              <w:rPr>
                <w:rFonts w:ascii="Times New Roman" w:eastAsia="Times New Roman"/>
                <w:spacing w:val="-5"/>
              </w:rPr>
              <w:t>46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40">
            <w:r>
              <w:rPr/>
              <w:t>避</w:t>
            </w:r>
            <w:r>
              <w:rPr>
                <w:spacing w:val="-10"/>
              </w:rPr>
              <w:t>孕</w:t>
            </w:r>
            <w:r>
              <w:rPr>
                <w:rFonts w:ascii="Times New Roman" w:eastAsia="Times New Roman"/>
                <w:b/>
              </w:rPr>
              <w:tab/>
            </w:r>
            <w:r>
              <w:rPr>
                <w:rFonts w:ascii="Times New Roman" w:eastAsia="Times New Roman"/>
                <w:spacing w:val="-5"/>
              </w:rPr>
              <w:t>46</w:t>
            </w:r>
          </w:hyperlink>
        </w:p>
        <w:p>
          <w:pPr>
            <w:pStyle w:val="TOC1"/>
            <w:numPr>
              <w:ilvl w:val="2"/>
              <w:numId w:val="2"/>
            </w:numPr>
            <w:tabs>
              <w:tab w:pos="1355" w:val="left" w:leader="none"/>
              <w:tab w:pos="8630" w:val="right" w:leader="dot"/>
            </w:tabs>
            <w:spacing w:line="311" w:lineRule="exact" w:before="0" w:after="20"/>
            <w:ind w:left="1355" w:right="0" w:hanging="1134"/>
            <w:jc w:val="left"/>
            <w:rPr>
              <w:rFonts w:ascii="Times New Roman" w:eastAsia="Times New Roman"/>
            </w:rPr>
          </w:pPr>
          <w:hyperlink w:history="true" w:anchor="_bookmark41">
            <w:r>
              <w:rPr/>
              <w:t>血液或血浆捐</w:t>
            </w:r>
            <w:r>
              <w:rPr>
                <w:spacing w:val="-10"/>
              </w:rPr>
              <w:t>献</w:t>
            </w:r>
            <w:r>
              <w:rPr>
                <w:rFonts w:ascii="Times New Roman" w:eastAsia="Times New Roman"/>
                <w:b/>
              </w:rPr>
              <w:tab/>
            </w:r>
            <w:r>
              <w:rPr>
                <w:rFonts w:ascii="Times New Roman" w:eastAsia="Times New Roman"/>
                <w:spacing w:val="-5"/>
              </w:rPr>
              <w:t>46</w:t>
            </w:r>
          </w:hyperlink>
        </w:p>
        <w:p>
          <w:pPr>
            <w:pStyle w:val="TOC1"/>
            <w:numPr>
              <w:ilvl w:val="2"/>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42">
            <w:r>
              <w:rPr/>
              <w:t>饮食限</w:t>
            </w:r>
            <w:r>
              <w:rPr>
                <w:spacing w:val="-10"/>
              </w:rPr>
              <w:t>制</w:t>
            </w:r>
            <w:r>
              <w:rPr>
                <w:rFonts w:ascii="Times New Roman" w:eastAsia="Times New Roman"/>
                <w:b/>
              </w:rPr>
              <w:tab/>
            </w:r>
            <w:r>
              <w:rPr>
                <w:rFonts w:ascii="Times New Roman" w:eastAsia="Times New Roman"/>
                <w:spacing w:val="-5"/>
              </w:rPr>
              <w:t>46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43">
            <w:r>
              <w:rPr/>
              <w:t>烟草、电子烟和蒸汽电子烟产</w:t>
            </w:r>
            <w:r>
              <w:rPr>
                <w:spacing w:val="-10"/>
              </w:rPr>
              <w:t>品</w:t>
            </w:r>
            <w:r>
              <w:rPr>
                <w:rFonts w:ascii="Times New Roman" w:eastAsia="Times New Roman"/>
                <w:b/>
              </w:rPr>
              <w:tab/>
            </w:r>
            <w:r>
              <w:rPr>
                <w:rFonts w:ascii="Times New Roman" w:eastAsia="Times New Roman"/>
                <w:spacing w:val="-5"/>
              </w:rPr>
              <w:t>46</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44">
            <w:r>
              <w:rPr/>
              <w:t>活</w:t>
            </w:r>
            <w:r>
              <w:rPr>
                <w:spacing w:val="-10"/>
              </w:rPr>
              <w:t>动</w:t>
            </w:r>
            <w:r>
              <w:rPr>
                <w:rFonts w:ascii="Times New Roman" w:eastAsia="Times New Roman"/>
                <w:b/>
              </w:rPr>
              <w:tab/>
            </w:r>
            <w:r>
              <w:rPr>
                <w:rFonts w:ascii="Times New Roman" w:eastAsia="Times New Roman"/>
                <w:spacing w:val="-5"/>
              </w:rPr>
              <w:t>46</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45">
            <w:r>
              <w:rPr/>
              <w:t>入选失</w:t>
            </w:r>
            <w:r>
              <w:rPr>
                <w:spacing w:val="-10"/>
              </w:rPr>
              <w:t>败</w:t>
            </w:r>
            <w:r>
              <w:rPr>
                <w:rFonts w:ascii="Times New Roman" w:eastAsia="Times New Roman"/>
                <w:b/>
              </w:rPr>
              <w:tab/>
            </w:r>
            <w:r>
              <w:rPr>
                <w:rFonts w:ascii="Times New Roman" w:eastAsia="Times New Roman"/>
                <w:spacing w:val="-5"/>
              </w:rPr>
              <w:t>47</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46">
            <w:r>
              <w:rPr/>
              <w:t>研究干</w:t>
            </w:r>
            <w:r>
              <w:rPr>
                <w:spacing w:val="-10"/>
              </w:rPr>
              <w:t>预</w:t>
            </w:r>
            <w:r>
              <w:rPr>
                <w:rFonts w:ascii="Times New Roman" w:eastAsia="Times New Roman"/>
                <w:b/>
              </w:rPr>
              <w:tab/>
            </w:r>
            <w:r>
              <w:rPr>
                <w:rFonts w:ascii="Times New Roman" w:eastAsia="Times New Roman"/>
                <w:spacing w:val="-5"/>
              </w:rPr>
              <w:t>47</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47">
            <w:r>
              <w:rPr/>
              <w:t>研究干预给</w:t>
            </w:r>
            <w:r>
              <w:rPr>
                <w:spacing w:val="-10"/>
              </w:rPr>
              <w:t>药</w:t>
            </w:r>
            <w:r>
              <w:rPr>
                <w:rFonts w:ascii="Times New Roman" w:eastAsia="Times New Roman"/>
                <w:b/>
              </w:rPr>
              <w:tab/>
            </w:r>
            <w:r>
              <w:rPr>
                <w:rFonts w:ascii="Times New Roman" w:eastAsia="Times New Roman"/>
                <w:spacing w:val="-5"/>
              </w:rPr>
              <w:t>47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48">
            <w:r>
              <w:rPr/>
              <w:t>研究干</w:t>
            </w:r>
            <w:r>
              <w:rPr>
                <w:spacing w:val="-10"/>
              </w:rPr>
              <w:t>预</w:t>
            </w:r>
            <w:r>
              <w:rPr>
                <w:rFonts w:ascii="Times New Roman" w:eastAsia="Times New Roman"/>
                <w:b/>
              </w:rPr>
              <w:tab/>
            </w:r>
            <w:r>
              <w:rPr>
                <w:rFonts w:ascii="Times New Roman" w:eastAsia="Times New Roman"/>
                <w:spacing w:val="-5"/>
              </w:rPr>
              <w:t>47</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50">
            <w:r>
              <w:rPr/>
              <w:t>研究药物给药的重新安</w:t>
            </w:r>
            <w:r>
              <w:rPr>
                <w:spacing w:val="-10"/>
              </w:rPr>
              <w:t>排</w:t>
            </w:r>
            <w:r>
              <w:rPr>
                <w:rFonts w:ascii="Times New Roman" w:eastAsia="Times New Roman"/>
                <w:b/>
              </w:rPr>
              <w:tab/>
            </w:r>
            <w:r>
              <w:rPr>
                <w:rFonts w:ascii="Times New Roman" w:eastAsia="Times New Roman"/>
                <w:spacing w:val="-5"/>
              </w:rPr>
              <w:t>48</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51">
            <w:r>
              <w:rPr/>
              <w:t>干预药物的制备、处理、贮藏和计</w:t>
            </w:r>
            <w:r>
              <w:rPr>
                <w:spacing w:val="-10"/>
              </w:rPr>
              <w:t>数</w:t>
            </w:r>
            <w:r>
              <w:rPr>
                <w:rFonts w:ascii="Times New Roman" w:eastAsia="Times New Roman"/>
                <w:b/>
              </w:rPr>
              <w:tab/>
            </w:r>
            <w:r>
              <w:rPr>
                <w:rFonts w:ascii="Times New Roman" w:eastAsia="Times New Roman"/>
                <w:spacing w:val="-5"/>
              </w:rPr>
              <w:t>49</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2">
            <w:r>
              <w:rPr/>
              <w:t>研究干预药物的贮藏：</w:t>
            </w:r>
            <w:r>
              <w:rPr>
                <w:rFonts w:ascii="Times New Roman" w:eastAsia="Times New Roman"/>
              </w:rPr>
              <w:t>Tozorakimab</w:t>
            </w:r>
            <w:r>
              <w:rPr>
                <w:rFonts w:ascii="Times New Roman" w:eastAsia="Times New Roman"/>
                <w:spacing w:val="-13"/>
              </w:rPr>
              <w:t> </w:t>
            </w:r>
            <w:r>
              <w:rPr/>
              <w:t>和安慰</w:t>
            </w:r>
            <w:r>
              <w:rPr>
                <w:spacing w:val="-10"/>
              </w:rPr>
              <w:t>剂</w:t>
            </w:r>
            <w:r>
              <w:rPr>
                <w:rFonts w:ascii="Times New Roman" w:eastAsia="Times New Roman"/>
                <w:b/>
              </w:rPr>
              <w:tab/>
            </w:r>
            <w:r>
              <w:rPr>
                <w:rFonts w:ascii="Times New Roman" w:eastAsia="Times New Roman"/>
                <w:spacing w:val="-5"/>
              </w:rPr>
              <w:t>49</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3">
            <w:r>
              <w:rPr>
                <w:rFonts w:ascii="Times New Roman" w:eastAsia="Times New Roman"/>
              </w:rPr>
              <w:t>Tozorakimab</w:t>
            </w:r>
            <w:r>
              <w:rPr>
                <w:rFonts w:ascii="Times New Roman" w:eastAsia="Times New Roman"/>
                <w:spacing w:val="-14"/>
              </w:rPr>
              <w:t> </w:t>
            </w:r>
            <w:r>
              <w:rPr/>
              <w:t>和安慰剂</w:t>
            </w:r>
            <w:r>
              <w:rPr>
                <w:spacing w:val="-60"/>
              </w:rPr>
              <w:t> </w:t>
            </w:r>
            <w:r>
              <w:rPr>
                <w:rFonts w:ascii="Times New Roman" w:eastAsia="Times New Roman"/>
              </w:rPr>
              <w:t>SC</w:t>
            </w:r>
            <w:r>
              <w:rPr>
                <w:rFonts w:ascii="Times New Roman" w:eastAsia="Times New Roman"/>
                <w:spacing w:val="-13"/>
              </w:rPr>
              <w:t> </w:t>
            </w:r>
            <w:r>
              <w:rPr/>
              <w:t>注射液的制备和给</w:t>
            </w:r>
            <w:r>
              <w:rPr>
                <w:spacing w:val="-10"/>
              </w:rPr>
              <w:t>药</w:t>
            </w:r>
            <w:r>
              <w:rPr>
                <w:rFonts w:ascii="Times New Roman" w:eastAsia="Times New Roman"/>
                <w:b/>
              </w:rPr>
              <w:tab/>
            </w:r>
            <w:r>
              <w:rPr>
                <w:rFonts w:ascii="Times New Roman" w:eastAsia="Times New Roman"/>
                <w:spacing w:val="-5"/>
              </w:rPr>
              <w:t>49</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4">
            <w:r>
              <w:rPr/>
              <w:t>制</w:t>
            </w:r>
            <w:r>
              <w:rPr>
                <w:spacing w:val="-10"/>
              </w:rPr>
              <w:t>备</w:t>
            </w:r>
            <w:r>
              <w:rPr>
                <w:rFonts w:ascii="Times New Roman" w:eastAsia="Times New Roman"/>
                <w:b/>
              </w:rPr>
              <w:tab/>
            </w:r>
            <w:r>
              <w:rPr>
                <w:rFonts w:ascii="Times New Roman" w:eastAsia="Times New Roman"/>
                <w:spacing w:val="-5"/>
              </w:rPr>
              <w:t>49</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5">
            <w:r>
              <w:rPr/>
              <w:t>给</w:t>
            </w:r>
            <w:r>
              <w:rPr>
                <w:spacing w:val="-10"/>
              </w:rPr>
              <w:t>药</w:t>
            </w:r>
            <w:r>
              <w:rPr>
                <w:rFonts w:ascii="Times New Roman" w:eastAsia="Times New Roman"/>
                <w:b/>
              </w:rPr>
              <w:tab/>
            </w:r>
            <w:r>
              <w:rPr>
                <w:rFonts w:ascii="Times New Roman" w:eastAsia="Times New Roman"/>
                <w:spacing w:val="-5"/>
              </w:rPr>
              <w:t>50</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6">
            <w:r>
              <w:rPr/>
              <w:t>可选</w:t>
            </w:r>
            <w:r>
              <w:rPr>
                <w:spacing w:val="-60"/>
              </w:rPr>
              <w:t> </w:t>
            </w:r>
            <w:r>
              <w:rPr>
                <w:rFonts w:ascii="Times New Roman" w:eastAsia="Times New Roman"/>
              </w:rPr>
              <w:t>IP</w:t>
            </w:r>
            <w:r>
              <w:rPr>
                <w:rFonts w:ascii="Times New Roman" w:eastAsia="Times New Roman"/>
                <w:spacing w:val="-13"/>
              </w:rPr>
              <w:t> </w:t>
            </w:r>
            <w:r>
              <w:rPr/>
              <w:t>自行给</w:t>
            </w:r>
            <w:r>
              <w:rPr>
                <w:spacing w:val="-10"/>
              </w:rPr>
              <w:t>药</w:t>
            </w:r>
            <w:r>
              <w:rPr>
                <w:rFonts w:ascii="Times New Roman" w:eastAsia="Times New Roman"/>
                <w:b/>
              </w:rPr>
              <w:tab/>
            </w:r>
            <w:r>
              <w:rPr>
                <w:rFonts w:ascii="Times New Roman" w:eastAsia="Times New Roman"/>
                <w:spacing w:val="-5"/>
              </w:rPr>
              <w:t>51</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57">
            <w:r>
              <w:rPr/>
              <w:t>给药监</w:t>
            </w:r>
            <w:r>
              <w:rPr>
                <w:spacing w:val="-10"/>
              </w:rPr>
              <w:t>测</w:t>
            </w:r>
            <w:r>
              <w:rPr>
                <w:rFonts w:ascii="Times New Roman" w:eastAsia="Times New Roman"/>
                <w:b/>
              </w:rPr>
              <w:tab/>
            </w:r>
            <w:r>
              <w:rPr>
                <w:rFonts w:ascii="Times New Roman" w:eastAsia="Times New Roman"/>
                <w:spacing w:val="-5"/>
              </w:rPr>
              <w:t>51</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58">
            <w:r>
              <w:rPr/>
              <w:t>药物计</w:t>
            </w:r>
            <w:r>
              <w:rPr>
                <w:spacing w:val="-10"/>
              </w:rPr>
              <w:t>数</w:t>
            </w:r>
            <w:r>
              <w:rPr>
                <w:rFonts w:ascii="Times New Roman" w:eastAsia="Times New Roman"/>
                <w:b/>
              </w:rPr>
              <w:tab/>
            </w:r>
            <w:r>
              <w:rPr>
                <w:rFonts w:ascii="Times New Roman" w:eastAsia="Times New Roman"/>
                <w:spacing w:val="-5"/>
              </w:rPr>
              <w:t>52</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59">
            <w:r>
              <w:rPr/>
              <w:t>偏倚最小化措施：随机分组和设</w:t>
            </w:r>
            <w:r>
              <w:rPr>
                <w:spacing w:val="-10"/>
              </w:rPr>
              <w:t>盲</w:t>
            </w:r>
            <w:r>
              <w:rPr>
                <w:rFonts w:ascii="Times New Roman" w:eastAsia="Times New Roman"/>
                <w:b/>
              </w:rPr>
              <w:tab/>
            </w:r>
            <w:r>
              <w:rPr>
                <w:rFonts w:ascii="Times New Roman" w:eastAsia="Times New Roman"/>
                <w:spacing w:val="-5"/>
              </w:rPr>
              <w:t>52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0">
            <w:r>
              <w:rPr/>
              <w:t>治疗组分配方</w:t>
            </w:r>
            <w:r>
              <w:rPr>
                <w:spacing w:val="-10"/>
              </w:rPr>
              <w:t>法</w:t>
            </w:r>
            <w:r>
              <w:rPr>
                <w:rFonts w:ascii="Times New Roman" w:eastAsia="Times New Roman"/>
                <w:b/>
              </w:rPr>
              <w:tab/>
            </w:r>
            <w:r>
              <w:rPr>
                <w:rFonts w:ascii="Times New Roman" w:eastAsia="Times New Roman"/>
                <w:spacing w:val="-5"/>
              </w:rPr>
              <w:t>52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1">
            <w:r>
              <w:rPr/>
              <w:t>确保盲态方</w:t>
            </w:r>
            <w:r>
              <w:rPr>
                <w:spacing w:val="-10"/>
              </w:rPr>
              <w:t>法</w:t>
            </w:r>
            <w:r>
              <w:rPr>
                <w:rFonts w:ascii="Times New Roman" w:eastAsia="Times New Roman"/>
                <w:b/>
              </w:rPr>
              <w:tab/>
            </w:r>
            <w:r>
              <w:rPr>
                <w:rFonts w:ascii="Times New Roman" w:eastAsia="Times New Roman"/>
                <w:spacing w:val="-5"/>
              </w:rPr>
              <w:t>53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2">
            <w:r>
              <w:rPr/>
              <w:t>揭盲方</w:t>
            </w:r>
            <w:r>
              <w:rPr>
                <w:spacing w:val="-10"/>
              </w:rPr>
              <w:t>法</w:t>
            </w:r>
            <w:r>
              <w:rPr>
                <w:rFonts w:ascii="Times New Roman" w:eastAsia="Times New Roman"/>
                <w:b/>
              </w:rPr>
              <w:tab/>
            </w:r>
            <w:r>
              <w:rPr>
                <w:rFonts w:ascii="Times New Roman" w:eastAsia="Times New Roman"/>
                <w:spacing w:val="-5"/>
              </w:rPr>
              <w:t>54</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63">
            <w:r>
              <w:rPr/>
              <w:t>研究药物依从</w:t>
            </w:r>
            <w:r>
              <w:rPr>
                <w:spacing w:val="-10"/>
              </w:rPr>
              <w:t>性</w:t>
            </w:r>
            <w:r>
              <w:rPr>
                <w:rFonts w:ascii="Times New Roman" w:eastAsia="Times New Roman"/>
                <w:b/>
              </w:rPr>
              <w:tab/>
            </w:r>
            <w:r>
              <w:rPr>
                <w:rFonts w:ascii="Times New Roman" w:eastAsia="Times New Roman"/>
                <w:spacing w:val="-5"/>
              </w:rPr>
              <w:t>54</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64">
            <w:r>
              <w:rPr/>
              <w:t>合并治</w:t>
            </w:r>
            <w:r>
              <w:rPr>
                <w:spacing w:val="-10"/>
              </w:rPr>
              <w:t>疗</w:t>
            </w:r>
            <w:r>
              <w:rPr>
                <w:rFonts w:ascii="Times New Roman" w:eastAsia="Times New Roman"/>
                <w:b/>
              </w:rPr>
              <w:tab/>
            </w:r>
            <w:r>
              <w:rPr>
                <w:rFonts w:ascii="Times New Roman" w:eastAsia="Times New Roman"/>
                <w:spacing w:val="-5"/>
              </w:rPr>
              <w:t>54</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5">
            <w:r>
              <w:rPr/>
              <w:t>缓解药</w:t>
            </w:r>
            <w:r>
              <w:rPr>
                <w:spacing w:val="-10"/>
              </w:rPr>
              <w:t>物</w:t>
            </w:r>
            <w:r>
              <w:rPr>
                <w:rFonts w:ascii="Times New Roman" w:eastAsia="Times New Roman"/>
                <w:b/>
              </w:rPr>
              <w:tab/>
            </w:r>
            <w:r>
              <w:rPr>
                <w:rFonts w:ascii="Times New Roman" w:eastAsia="Times New Roman"/>
                <w:spacing w:val="-5"/>
              </w:rPr>
              <w:t>55</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6">
            <w:r>
              <w:rPr/>
              <w:t>维持治</w:t>
            </w:r>
            <w:r>
              <w:rPr>
                <w:spacing w:val="-10"/>
              </w:rPr>
              <w:t>疗</w:t>
            </w:r>
            <w:r>
              <w:rPr>
                <w:rFonts w:ascii="Times New Roman" w:eastAsia="Times New Roman"/>
                <w:b/>
              </w:rPr>
              <w:tab/>
            </w:r>
            <w:r>
              <w:rPr>
                <w:rFonts w:ascii="Times New Roman" w:eastAsia="Times New Roman"/>
                <w:spacing w:val="-5"/>
              </w:rPr>
              <w:t>55</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7">
            <w:r>
              <w:rPr/>
              <w:t>药物暂停</w:t>
            </w:r>
            <w:r>
              <w:rPr>
                <w:spacing w:val="-10"/>
              </w:rPr>
              <w:t>期</w:t>
            </w:r>
            <w:r>
              <w:rPr>
                <w:rFonts w:ascii="Times New Roman" w:eastAsia="Times New Roman"/>
                <w:b/>
              </w:rPr>
              <w:tab/>
            </w:r>
            <w:r>
              <w:rPr>
                <w:rFonts w:ascii="Times New Roman" w:eastAsia="Times New Roman"/>
                <w:spacing w:val="-5"/>
              </w:rPr>
              <w:t>55</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68">
            <w:r>
              <w:rPr/>
              <w:t>允许、限制和禁用</w:t>
            </w:r>
            <w:r>
              <w:rPr>
                <w:spacing w:val="-10"/>
              </w:rPr>
              <w:t>药</w:t>
            </w:r>
            <w:r>
              <w:rPr>
                <w:rFonts w:ascii="Times New Roman" w:eastAsia="Times New Roman"/>
                <w:b/>
              </w:rPr>
              <w:tab/>
            </w:r>
            <w:r>
              <w:rPr>
                <w:rFonts w:ascii="Times New Roman" w:eastAsia="Times New Roman"/>
                <w:spacing w:val="-5"/>
              </w:rPr>
              <w:t>56</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70">
            <w:r>
              <w:rPr>
                <w:rFonts w:ascii="Times New Roman" w:eastAsia="Times New Roman"/>
                <w:spacing w:val="-2"/>
              </w:rPr>
              <w:t>COVID-19</w:t>
            </w:r>
            <w:r>
              <w:rPr>
                <w:rFonts w:ascii="Times New Roman" w:eastAsia="Times New Roman"/>
                <w:spacing w:val="4"/>
              </w:rPr>
              <w:t> </w:t>
            </w:r>
            <w:r>
              <w:rPr>
                <w:spacing w:val="-2"/>
              </w:rPr>
              <w:t>疫苗接</w:t>
            </w:r>
            <w:r>
              <w:rPr>
                <w:spacing w:val="-10"/>
              </w:rPr>
              <w:t>种</w:t>
            </w:r>
            <w:r>
              <w:rPr>
                <w:rFonts w:ascii="Times New Roman" w:eastAsia="Times New Roman"/>
                <w:b/>
              </w:rPr>
              <w:tab/>
            </w:r>
            <w:r>
              <w:rPr>
                <w:rFonts w:ascii="Times New Roman" w:eastAsia="Times New Roman"/>
                <w:spacing w:val="-5"/>
              </w:rPr>
              <w:t>58</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71">
            <w:r>
              <w:rPr/>
              <w:t>剂量调整</w:t>
            </w:r>
            <w:r>
              <w:rPr>
                <w:rFonts w:ascii="Times New Roman" w:eastAsia="Times New Roman"/>
              </w:rPr>
              <w:t>-</w:t>
            </w:r>
            <w:r>
              <w:rPr/>
              <w:t>不适</w:t>
            </w:r>
            <w:r>
              <w:rPr>
                <w:spacing w:val="-10"/>
              </w:rPr>
              <w:t>用</w:t>
            </w:r>
            <w:r>
              <w:rPr>
                <w:rFonts w:ascii="Times New Roman" w:eastAsia="Times New Roman"/>
                <w:b/>
              </w:rPr>
              <w:tab/>
            </w:r>
            <w:r>
              <w:rPr>
                <w:rFonts w:ascii="Times New Roman" w:eastAsia="Times New Roman"/>
                <w:spacing w:val="-5"/>
              </w:rPr>
              <w:t>59</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72">
            <w:r>
              <w:rPr/>
              <w:t>研究结束后的干预治</w:t>
            </w:r>
            <w:r>
              <w:rPr>
                <w:spacing w:val="-10"/>
              </w:rPr>
              <w:t>疗</w:t>
            </w:r>
            <w:r>
              <w:rPr>
                <w:rFonts w:ascii="Times New Roman" w:eastAsia="Times New Roman"/>
                <w:b/>
              </w:rPr>
              <w:tab/>
            </w:r>
            <w:r>
              <w:rPr>
                <w:rFonts w:ascii="Times New Roman" w:eastAsia="Times New Roman"/>
                <w:spacing w:val="-5"/>
              </w:rPr>
              <w:t>59</w:t>
            </w:r>
          </w:hyperlink>
        </w:p>
        <w:p>
          <w:pPr>
            <w:pStyle w:val="TOC1"/>
            <w:numPr>
              <w:ilvl w:val="0"/>
              <w:numId w:val="2"/>
            </w:numPr>
            <w:tabs>
              <w:tab w:pos="1355" w:val="left" w:leader="none"/>
              <w:tab w:pos="8630" w:val="right" w:leader="dot"/>
            </w:tabs>
            <w:spacing w:line="240" w:lineRule="auto" w:before="118" w:after="0"/>
            <w:ind w:left="1355" w:right="0" w:hanging="1134"/>
            <w:jc w:val="left"/>
            <w:rPr>
              <w:rFonts w:ascii="Times New Roman" w:eastAsia="Times New Roman"/>
            </w:rPr>
          </w:pPr>
          <w:hyperlink w:history="true" w:anchor="_bookmark73">
            <w:r>
              <w:rPr/>
              <w:t>中止研究药物和受试者终止</w:t>
            </w:r>
            <w:r>
              <w:rPr>
                <w:rFonts w:ascii="Times New Roman" w:eastAsia="Times New Roman"/>
              </w:rPr>
              <w:t>/</w:t>
            </w:r>
            <w:r>
              <w:rPr/>
              <w:t>退出研</w:t>
            </w:r>
            <w:r>
              <w:rPr>
                <w:spacing w:val="-10"/>
              </w:rPr>
              <w:t>究</w:t>
            </w:r>
            <w:r>
              <w:rPr>
                <w:rFonts w:ascii="Times New Roman" w:eastAsia="Times New Roman"/>
                <w:b/>
              </w:rPr>
              <w:tab/>
            </w:r>
            <w:r>
              <w:rPr>
                <w:rFonts w:ascii="Times New Roman" w:eastAsia="Times New Roman"/>
                <w:spacing w:val="-5"/>
              </w:rPr>
              <w:t>59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74">
            <w:r>
              <w:rPr/>
              <w:t>中止研究药</w:t>
            </w:r>
            <w:r>
              <w:rPr>
                <w:spacing w:val="-10"/>
              </w:rPr>
              <w:t>物</w:t>
            </w:r>
            <w:r>
              <w:rPr>
                <w:rFonts w:ascii="Times New Roman" w:eastAsia="Times New Roman"/>
                <w:b/>
              </w:rPr>
              <w:tab/>
            </w:r>
            <w:r>
              <w:rPr>
                <w:rFonts w:ascii="Times New Roman" w:eastAsia="Times New Roman"/>
                <w:spacing w:val="-5"/>
              </w:rPr>
              <w:t>59</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75">
            <w:r>
              <w:rPr/>
              <w:t>中止研究药物的程</w:t>
            </w:r>
            <w:r>
              <w:rPr>
                <w:spacing w:val="-10"/>
              </w:rPr>
              <w:t>序</w:t>
            </w:r>
            <w:r>
              <w:rPr>
                <w:rFonts w:ascii="Times New Roman" w:eastAsia="Times New Roman"/>
                <w:b/>
              </w:rPr>
              <w:tab/>
            </w:r>
            <w:r>
              <w:rPr>
                <w:rFonts w:ascii="Times New Roman" w:eastAsia="Times New Roman"/>
                <w:spacing w:val="-5"/>
              </w:rPr>
              <w:t>60</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76">
            <w:r>
              <w:rPr/>
              <w:t>受试者退出研</w:t>
            </w:r>
            <w:r>
              <w:rPr>
                <w:spacing w:val="-10"/>
              </w:rPr>
              <w:t>究</w:t>
            </w:r>
            <w:r>
              <w:rPr>
                <w:rFonts w:ascii="Times New Roman" w:eastAsia="Times New Roman"/>
                <w:b/>
              </w:rPr>
              <w:tab/>
            </w:r>
            <w:r>
              <w:rPr>
                <w:rFonts w:ascii="Times New Roman" w:eastAsia="Times New Roman"/>
                <w:spacing w:val="-5"/>
              </w:rPr>
              <w:t>61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77">
            <w:r>
              <w:rPr/>
              <w:t>撤回捐献生物样本的知情同意</w:t>
            </w:r>
            <w:r>
              <w:rPr>
                <w:spacing w:val="-10"/>
              </w:rPr>
              <w:t>书</w:t>
            </w:r>
            <w:r>
              <w:rPr>
                <w:rFonts w:ascii="Times New Roman" w:eastAsia="Times New Roman"/>
                <w:b/>
              </w:rPr>
              <w:tab/>
            </w:r>
            <w:r>
              <w:rPr>
                <w:rFonts w:ascii="Times New Roman" w:eastAsia="Times New Roman"/>
                <w:spacing w:val="-5"/>
              </w:rPr>
              <w:t>61</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78">
            <w:r>
              <w:rPr/>
              <w:t>失</w:t>
            </w:r>
            <w:r>
              <w:rPr>
                <w:spacing w:val="-10"/>
              </w:rPr>
              <w:t>访</w:t>
            </w:r>
            <w:r>
              <w:rPr>
                <w:rFonts w:ascii="Times New Roman" w:eastAsia="Times New Roman"/>
                <w:b/>
              </w:rPr>
              <w:tab/>
            </w:r>
            <w:r>
              <w:rPr>
                <w:rFonts w:ascii="Times New Roman" w:eastAsia="Times New Roman"/>
                <w:spacing w:val="-5"/>
              </w:rPr>
              <w:t>62</w:t>
            </w:r>
          </w:hyperlink>
        </w:p>
        <w:p>
          <w:pPr>
            <w:pStyle w:val="TOC1"/>
            <w:numPr>
              <w:ilvl w:val="0"/>
              <w:numId w:val="2"/>
            </w:numPr>
            <w:tabs>
              <w:tab w:pos="1355" w:val="left" w:leader="none"/>
              <w:tab w:pos="8630" w:val="right" w:leader="dot"/>
            </w:tabs>
            <w:spacing w:line="240" w:lineRule="auto" w:before="119" w:after="0"/>
            <w:ind w:left="1355" w:right="0" w:hanging="1134"/>
            <w:jc w:val="left"/>
            <w:rPr>
              <w:rFonts w:ascii="Times New Roman" w:eastAsia="Times New Roman"/>
            </w:rPr>
          </w:pPr>
          <w:hyperlink w:history="true" w:anchor="_bookmark79">
            <w:r>
              <w:rPr/>
              <w:t>研究评估和操作步</w:t>
            </w:r>
            <w:r>
              <w:rPr>
                <w:spacing w:val="-10"/>
              </w:rPr>
              <w:t>骤</w:t>
            </w:r>
            <w:r>
              <w:rPr>
                <w:rFonts w:ascii="Times New Roman" w:eastAsia="Times New Roman"/>
                <w:b/>
              </w:rPr>
              <w:tab/>
            </w:r>
            <w:r>
              <w:rPr>
                <w:rFonts w:ascii="Times New Roman" w:eastAsia="Times New Roman"/>
                <w:spacing w:val="-5"/>
              </w:rPr>
              <w:t>62</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80">
            <w:r>
              <w:rPr/>
              <w:t>有效性评</w:t>
            </w:r>
            <w:r>
              <w:rPr>
                <w:spacing w:val="-10"/>
              </w:rPr>
              <w:t>估</w:t>
            </w:r>
            <w:r>
              <w:rPr>
                <w:rFonts w:ascii="Times New Roman" w:eastAsia="Times New Roman"/>
                <w:b/>
              </w:rPr>
              <w:tab/>
            </w:r>
            <w:r>
              <w:rPr>
                <w:rFonts w:ascii="Times New Roman" w:eastAsia="Times New Roman"/>
                <w:spacing w:val="-5"/>
              </w:rPr>
              <w:t>63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1">
            <w:r>
              <w:rPr>
                <w:rFonts w:ascii="Times New Roman" w:eastAsia="Times New Roman"/>
              </w:rPr>
              <w:t>COPD</w:t>
            </w:r>
            <w:r>
              <w:rPr>
                <w:rFonts w:ascii="Times New Roman" w:eastAsia="Times New Roman"/>
                <w:spacing w:val="-15"/>
              </w:rPr>
              <w:t> </w:t>
            </w:r>
            <w:r>
              <w:rPr/>
              <w:t>急性加重评</w:t>
            </w:r>
            <w:r>
              <w:rPr>
                <w:spacing w:val="-10"/>
              </w:rPr>
              <w:t>估</w:t>
            </w:r>
            <w:r>
              <w:rPr>
                <w:rFonts w:ascii="Times New Roman" w:eastAsia="Times New Roman"/>
                <w:b/>
              </w:rPr>
              <w:tab/>
            </w:r>
            <w:r>
              <w:rPr>
                <w:rFonts w:ascii="Times New Roman" w:eastAsia="Times New Roman"/>
                <w:spacing w:val="-5"/>
              </w:rPr>
              <w:t>63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2">
            <w:r>
              <w:rPr/>
              <w:t>药物</w:t>
            </w:r>
            <w:r>
              <w:rPr>
                <w:rFonts w:ascii="Times New Roman" w:eastAsia="Times New Roman"/>
              </w:rPr>
              <w:t>/</w:t>
            </w:r>
            <w:r>
              <w:rPr/>
              <w:t>治疗使用情况评</w:t>
            </w:r>
            <w:r>
              <w:rPr>
                <w:spacing w:val="-10"/>
              </w:rPr>
              <w:t>估</w:t>
            </w:r>
            <w:r>
              <w:rPr>
                <w:rFonts w:ascii="Times New Roman" w:eastAsia="Times New Roman"/>
                <w:b/>
              </w:rPr>
              <w:tab/>
            </w:r>
            <w:r>
              <w:rPr>
                <w:rFonts w:ascii="Times New Roman" w:eastAsia="Times New Roman"/>
                <w:spacing w:val="-5"/>
              </w:rPr>
              <w:t>64</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3">
            <w:r>
              <w:rPr/>
              <w:t>肺量计测定（支气管扩张剂给药前和给药后</w:t>
            </w:r>
            <w:r>
              <w:rPr>
                <w:spacing w:val="-10"/>
              </w:rPr>
              <w:t>）</w:t>
            </w:r>
            <w:r>
              <w:rPr>
                <w:rFonts w:ascii="Times New Roman" w:eastAsia="Times New Roman"/>
                <w:b/>
              </w:rPr>
              <w:tab/>
            </w:r>
            <w:r>
              <w:rPr>
                <w:rFonts w:ascii="Times New Roman" w:eastAsia="Times New Roman"/>
                <w:spacing w:val="-5"/>
              </w:rPr>
              <w:t>64</w:t>
            </w:r>
          </w:hyperlink>
        </w:p>
        <w:p>
          <w:pPr>
            <w:pStyle w:val="TOC1"/>
            <w:numPr>
              <w:ilvl w:val="2"/>
              <w:numId w:val="2"/>
            </w:numPr>
            <w:tabs>
              <w:tab w:pos="1355" w:val="left" w:leader="none"/>
              <w:tab w:pos="8630" w:val="right" w:leader="dot"/>
            </w:tabs>
            <w:spacing w:line="311" w:lineRule="exact" w:before="0" w:after="108"/>
            <w:ind w:left="1355" w:right="0" w:hanging="1134"/>
            <w:jc w:val="left"/>
            <w:rPr>
              <w:rFonts w:ascii="Times New Roman" w:eastAsia="Times New Roman"/>
            </w:rPr>
          </w:pPr>
          <w:hyperlink w:history="true" w:anchor="_bookmark84">
            <w:r>
              <w:rPr/>
              <w:t>定量计算机断层扫描评</w:t>
            </w:r>
            <w:r>
              <w:rPr>
                <w:spacing w:val="-10"/>
              </w:rPr>
              <w:t>估</w:t>
            </w:r>
            <w:r>
              <w:rPr>
                <w:rFonts w:ascii="Times New Roman" w:eastAsia="Times New Roman"/>
                <w:b/>
              </w:rPr>
              <w:tab/>
            </w:r>
            <w:r>
              <w:rPr>
                <w:rFonts w:ascii="Times New Roman" w:eastAsia="Times New Roman"/>
                <w:spacing w:val="-5"/>
              </w:rPr>
              <w:t>66</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85">
            <w:r>
              <w:rPr/>
              <w:t>安全性评</w:t>
            </w:r>
            <w:r>
              <w:rPr>
                <w:spacing w:val="-10"/>
              </w:rPr>
              <w:t>估</w:t>
            </w:r>
            <w:r>
              <w:rPr>
                <w:rFonts w:ascii="Times New Roman" w:eastAsia="Times New Roman"/>
                <w:b/>
              </w:rPr>
              <w:tab/>
            </w:r>
            <w:r>
              <w:rPr>
                <w:rFonts w:ascii="Times New Roman" w:eastAsia="Times New Roman"/>
                <w:spacing w:val="-5"/>
              </w:rPr>
              <w:t>67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6">
            <w:r>
              <w:rPr/>
              <w:t>体格检查、体重和吸氧状</w:t>
            </w:r>
            <w:r>
              <w:rPr>
                <w:spacing w:val="-10"/>
              </w:rPr>
              <w:t>态</w:t>
            </w:r>
            <w:r>
              <w:rPr>
                <w:rFonts w:ascii="Times New Roman" w:eastAsia="Times New Roman"/>
                <w:b/>
              </w:rPr>
              <w:tab/>
            </w:r>
            <w:r>
              <w:rPr>
                <w:rFonts w:ascii="Times New Roman" w:eastAsia="Times New Roman"/>
                <w:spacing w:val="-5"/>
              </w:rPr>
              <w:t>67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7">
            <w:r>
              <w:rPr/>
              <w:t>吸烟状</w:t>
            </w:r>
            <w:r>
              <w:rPr>
                <w:spacing w:val="-10"/>
              </w:rPr>
              <w:t>况</w:t>
            </w:r>
            <w:r>
              <w:rPr>
                <w:rFonts w:ascii="Times New Roman" w:eastAsia="Times New Roman"/>
                <w:b/>
              </w:rPr>
              <w:tab/>
            </w:r>
            <w:r>
              <w:rPr>
                <w:rFonts w:ascii="Times New Roman" w:eastAsia="Times New Roman"/>
                <w:spacing w:val="-5"/>
              </w:rPr>
              <w:t>67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8">
            <w:r>
              <w:rPr/>
              <w:t>生命体</w:t>
            </w:r>
            <w:r>
              <w:rPr>
                <w:spacing w:val="-10"/>
              </w:rPr>
              <w:t>征</w:t>
            </w:r>
            <w:r>
              <w:rPr>
                <w:rFonts w:ascii="Times New Roman" w:eastAsia="Times New Roman"/>
                <w:b/>
              </w:rPr>
              <w:tab/>
            </w:r>
            <w:r>
              <w:rPr>
                <w:rFonts w:ascii="Times New Roman" w:eastAsia="Times New Roman"/>
                <w:spacing w:val="-5"/>
              </w:rPr>
              <w:t>67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89">
            <w:r>
              <w:rPr/>
              <w:t>心电</w:t>
            </w:r>
            <w:r>
              <w:rPr>
                <w:spacing w:val="-10"/>
              </w:rPr>
              <w:t>图</w:t>
            </w:r>
            <w:r>
              <w:rPr>
                <w:rFonts w:ascii="Times New Roman" w:eastAsia="Times New Roman"/>
                <w:b/>
              </w:rPr>
              <w:tab/>
            </w:r>
            <w:r>
              <w:rPr>
                <w:rFonts w:ascii="Times New Roman" w:eastAsia="Times New Roman"/>
                <w:spacing w:val="-5"/>
              </w:rPr>
              <w:t>68</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0">
            <w:r>
              <w:rPr/>
              <w:t>超声心动</w:t>
            </w:r>
            <w:r>
              <w:rPr>
                <w:spacing w:val="-10"/>
              </w:rPr>
              <w:t>图</w:t>
            </w:r>
            <w:r>
              <w:rPr>
                <w:rFonts w:ascii="Times New Roman" w:eastAsia="Times New Roman"/>
                <w:b/>
              </w:rPr>
              <w:tab/>
            </w:r>
            <w:r>
              <w:rPr>
                <w:rFonts w:ascii="Times New Roman" w:eastAsia="Times New Roman"/>
                <w:spacing w:val="-5"/>
              </w:rPr>
              <w:t>68</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1">
            <w:r>
              <w:rPr/>
              <w:t>临床安全性实验室评</w:t>
            </w:r>
            <w:r>
              <w:rPr>
                <w:spacing w:val="-10"/>
              </w:rPr>
              <w:t>估</w:t>
            </w:r>
            <w:r>
              <w:rPr>
                <w:rFonts w:ascii="Times New Roman" w:eastAsia="Times New Roman"/>
                <w:b/>
              </w:rPr>
              <w:tab/>
            </w:r>
            <w:r>
              <w:rPr>
                <w:rFonts w:ascii="Times New Roman" w:eastAsia="Times New Roman"/>
                <w:spacing w:val="-5"/>
              </w:rPr>
              <w:t>69</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93">
            <w:r>
              <w:rPr/>
              <w:t>不良事件及严重不良事</w:t>
            </w:r>
            <w:r>
              <w:rPr>
                <w:spacing w:val="-10"/>
              </w:rPr>
              <w:t>件</w:t>
            </w:r>
            <w:r>
              <w:rPr>
                <w:rFonts w:ascii="Times New Roman" w:eastAsia="Times New Roman"/>
                <w:b/>
              </w:rPr>
              <w:tab/>
            </w:r>
            <w:r>
              <w:rPr>
                <w:rFonts w:ascii="Times New Roman" w:eastAsia="Times New Roman"/>
                <w:spacing w:val="-5"/>
              </w:rPr>
              <w:t>70</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4">
            <w:r>
              <w:rPr>
                <w:rFonts w:ascii="Times New Roman" w:eastAsia="Times New Roman"/>
              </w:rPr>
              <w:t>AE</w:t>
            </w:r>
            <w:r>
              <w:rPr>
                <w:rFonts w:ascii="Times New Roman" w:eastAsia="Times New Roman"/>
                <w:spacing w:val="-14"/>
              </w:rPr>
              <w:t> </w:t>
            </w:r>
            <w:r>
              <w:rPr/>
              <w:t>和</w:t>
            </w:r>
            <w:r>
              <w:rPr>
                <w:spacing w:val="-60"/>
              </w:rPr>
              <w:t> </w:t>
            </w:r>
            <w:r>
              <w:rPr>
                <w:rFonts w:ascii="Times New Roman" w:eastAsia="Times New Roman"/>
              </w:rPr>
              <w:t>SAE</w:t>
            </w:r>
            <w:r>
              <w:rPr>
                <w:rFonts w:ascii="Times New Roman" w:eastAsia="Times New Roman"/>
                <w:spacing w:val="-11"/>
              </w:rPr>
              <w:t> </w:t>
            </w:r>
            <w:r>
              <w:rPr/>
              <w:t>信息采集时限和频</w:t>
            </w:r>
            <w:r>
              <w:rPr>
                <w:spacing w:val="-10"/>
              </w:rPr>
              <w:t>率</w:t>
            </w:r>
            <w:r>
              <w:rPr>
                <w:rFonts w:ascii="Times New Roman" w:eastAsia="Times New Roman"/>
                <w:b/>
              </w:rPr>
              <w:tab/>
            </w:r>
            <w:r>
              <w:rPr>
                <w:rFonts w:ascii="Times New Roman" w:eastAsia="Times New Roman"/>
                <w:spacing w:val="-5"/>
              </w:rPr>
              <w:t>71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5">
            <w:r>
              <w:rPr>
                <w:rFonts w:ascii="Times New Roman" w:eastAsia="Times New Roman"/>
              </w:rPr>
              <w:t>AE</w:t>
            </w:r>
            <w:r>
              <w:rPr>
                <w:rFonts w:ascii="Times New Roman" w:eastAsia="Times New Roman"/>
                <w:spacing w:val="-14"/>
              </w:rPr>
              <w:t> </w:t>
            </w:r>
            <w:r>
              <w:rPr/>
              <w:t>和</w:t>
            </w:r>
            <w:r>
              <w:rPr>
                <w:spacing w:val="-60"/>
              </w:rPr>
              <w:t> </w:t>
            </w:r>
            <w:r>
              <w:rPr>
                <w:rFonts w:ascii="Times New Roman" w:eastAsia="Times New Roman"/>
              </w:rPr>
              <w:t>SAE</w:t>
            </w:r>
            <w:r>
              <w:rPr>
                <w:rFonts w:ascii="Times New Roman" w:eastAsia="Times New Roman"/>
                <w:spacing w:val="-11"/>
              </w:rPr>
              <w:t> </w:t>
            </w:r>
            <w:r>
              <w:rPr/>
              <w:t>随</w:t>
            </w:r>
            <w:r>
              <w:rPr>
                <w:spacing w:val="-10"/>
              </w:rPr>
              <w:t>访</w:t>
            </w:r>
            <w:r>
              <w:rPr>
                <w:rFonts w:ascii="Times New Roman" w:eastAsia="Times New Roman"/>
                <w:b/>
              </w:rPr>
              <w:tab/>
            </w:r>
            <w:r>
              <w:rPr>
                <w:rFonts w:ascii="Times New Roman" w:eastAsia="Times New Roman"/>
                <w:spacing w:val="-5"/>
              </w:rPr>
              <w:t>71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6">
            <w:r>
              <w:rPr/>
              <w:t>因果关系收</w:t>
            </w:r>
            <w:r>
              <w:rPr>
                <w:spacing w:val="-10"/>
              </w:rPr>
              <w:t>集</w:t>
            </w:r>
            <w:r>
              <w:rPr>
                <w:rFonts w:ascii="Times New Roman" w:eastAsia="Times New Roman"/>
                <w:b/>
              </w:rPr>
              <w:tab/>
            </w:r>
            <w:r>
              <w:rPr>
                <w:rFonts w:ascii="Times New Roman" w:eastAsia="Times New Roman"/>
                <w:spacing w:val="-5"/>
              </w:rPr>
              <w:t>72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7">
            <w:r>
              <w:rPr/>
              <w:t>基于体征和症状的不良事</w:t>
            </w:r>
            <w:r>
              <w:rPr>
                <w:spacing w:val="-10"/>
              </w:rPr>
              <w:t>件</w:t>
            </w:r>
            <w:r>
              <w:rPr>
                <w:rFonts w:ascii="Times New Roman" w:eastAsia="Times New Roman"/>
                <w:b/>
              </w:rPr>
              <w:tab/>
            </w:r>
            <w:r>
              <w:rPr>
                <w:rFonts w:ascii="Times New Roman" w:eastAsia="Times New Roman"/>
                <w:spacing w:val="-5"/>
              </w:rPr>
              <w:t>72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8">
            <w:r>
              <w:rPr/>
              <w:t>基于检查和检测发现的不良事</w:t>
            </w:r>
            <w:r>
              <w:rPr>
                <w:spacing w:val="-10"/>
              </w:rPr>
              <w:t>件</w:t>
            </w:r>
            <w:r>
              <w:rPr>
                <w:rFonts w:ascii="Times New Roman" w:eastAsia="Times New Roman"/>
                <w:b/>
              </w:rPr>
              <w:tab/>
            </w:r>
            <w:r>
              <w:rPr>
                <w:rFonts w:ascii="Times New Roman" w:eastAsia="Times New Roman"/>
                <w:spacing w:val="-5"/>
              </w:rPr>
              <w:t>72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99">
            <w:r>
              <w:rPr/>
              <w:t>特别关注的不良事</w:t>
            </w:r>
            <w:r>
              <w:rPr>
                <w:spacing w:val="-10"/>
              </w:rPr>
              <w:t>件</w:t>
            </w:r>
            <w:r>
              <w:rPr>
                <w:rFonts w:ascii="Times New Roman" w:eastAsia="Times New Roman"/>
                <w:b/>
              </w:rPr>
              <w:tab/>
            </w:r>
            <w:r>
              <w:rPr>
                <w:rFonts w:ascii="Times New Roman" w:eastAsia="Times New Roman"/>
                <w:spacing w:val="-5"/>
              </w:rPr>
              <w:t>73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0">
            <w:r>
              <w:rPr/>
              <w:t>海氏法</w:t>
            </w:r>
            <w:r>
              <w:rPr>
                <w:spacing w:val="-10"/>
              </w:rPr>
              <w:t>则</w:t>
            </w:r>
            <w:r>
              <w:rPr>
                <w:rFonts w:ascii="Times New Roman" w:eastAsia="Times New Roman"/>
                <w:b/>
              </w:rPr>
              <w:tab/>
            </w:r>
            <w:r>
              <w:rPr>
                <w:rFonts w:ascii="Times New Roman" w:eastAsia="Times New Roman"/>
                <w:spacing w:val="-5"/>
              </w:rPr>
              <w:t>73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1">
            <w:r>
              <w:rPr/>
              <w:t>研究疾</w:t>
            </w:r>
            <w:r>
              <w:rPr>
                <w:spacing w:val="-10"/>
              </w:rPr>
              <w:t>病</w:t>
            </w:r>
            <w:r>
              <w:rPr>
                <w:rFonts w:ascii="Times New Roman" w:eastAsia="Times New Roman"/>
                <w:b/>
              </w:rPr>
              <w:tab/>
            </w:r>
            <w:r>
              <w:rPr>
                <w:rFonts w:ascii="Times New Roman" w:eastAsia="Times New Roman"/>
                <w:spacing w:val="-5"/>
              </w:rPr>
              <w:t>73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2">
            <w:r>
              <w:rPr/>
              <w:t>严重不良事件报</w:t>
            </w:r>
            <w:r>
              <w:rPr>
                <w:spacing w:val="-10"/>
              </w:rPr>
              <w:t>告</w:t>
            </w:r>
            <w:r>
              <w:rPr>
                <w:rFonts w:ascii="Times New Roman" w:eastAsia="Times New Roman"/>
                <w:b/>
              </w:rPr>
              <w:tab/>
            </w:r>
            <w:r>
              <w:rPr>
                <w:rFonts w:ascii="Times New Roman" w:eastAsia="Times New Roman"/>
                <w:spacing w:val="-5"/>
              </w:rPr>
              <w:t>73</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3">
            <w:r>
              <w:rPr/>
              <w:t>妊</w:t>
            </w:r>
            <w:r>
              <w:rPr>
                <w:spacing w:val="-10"/>
              </w:rPr>
              <w:t>娠</w:t>
            </w:r>
            <w:r>
              <w:rPr>
                <w:rFonts w:ascii="Times New Roman" w:eastAsia="Times New Roman"/>
                <w:b/>
              </w:rPr>
              <w:tab/>
            </w:r>
            <w:r>
              <w:rPr>
                <w:rFonts w:ascii="Times New Roman" w:eastAsia="Times New Roman"/>
                <w:spacing w:val="-5"/>
              </w:rPr>
              <w:t>74</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4">
            <w:r>
              <w:rPr/>
              <w:t>母亲暴</w:t>
            </w:r>
            <w:r>
              <w:rPr>
                <w:spacing w:val="-10"/>
              </w:rPr>
              <w:t>露</w:t>
            </w:r>
            <w:r>
              <w:rPr>
                <w:rFonts w:ascii="Times New Roman" w:eastAsia="Times New Roman"/>
                <w:b/>
              </w:rPr>
              <w:tab/>
            </w:r>
            <w:r>
              <w:rPr>
                <w:rFonts w:ascii="Times New Roman" w:eastAsia="Times New Roman"/>
                <w:spacing w:val="-5"/>
              </w:rPr>
              <w:t>74</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5">
            <w:r>
              <w:rPr/>
              <w:t>父亲暴</w:t>
            </w:r>
            <w:r>
              <w:rPr>
                <w:spacing w:val="-10"/>
              </w:rPr>
              <w:t>露</w:t>
            </w:r>
            <w:r>
              <w:rPr>
                <w:rFonts w:ascii="Times New Roman" w:eastAsia="Times New Roman"/>
                <w:b/>
              </w:rPr>
              <w:tab/>
            </w:r>
            <w:r>
              <w:rPr>
                <w:rFonts w:ascii="Times New Roman" w:eastAsia="Times New Roman"/>
                <w:spacing w:val="-5"/>
              </w:rPr>
              <w:t>75</w:t>
            </w:r>
          </w:hyperlink>
        </w:p>
        <w:p>
          <w:pPr>
            <w:pStyle w:val="TOC1"/>
            <w:numPr>
              <w:ilvl w:val="2"/>
              <w:numId w:val="2"/>
            </w:numPr>
            <w:tabs>
              <w:tab w:pos="1355" w:val="left" w:leader="none"/>
              <w:tab w:pos="8630" w:val="right" w:leader="dot"/>
            </w:tabs>
            <w:spacing w:line="312" w:lineRule="exact" w:before="0" w:after="0"/>
            <w:ind w:left="1355" w:right="0" w:hanging="1134"/>
            <w:jc w:val="left"/>
            <w:rPr>
              <w:rFonts w:ascii="Times New Roman" w:eastAsia="Times New Roman"/>
            </w:rPr>
          </w:pPr>
          <w:hyperlink w:history="true" w:anchor="_bookmark106">
            <w:r>
              <w:rPr/>
              <w:t>用药错误、药物滥用和药物误</w:t>
            </w:r>
            <w:r>
              <w:rPr>
                <w:spacing w:val="-10"/>
              </w:rPr>
              <w:t>用</w:t>
            </w:r>
            <w:r>
              <w:rPr>
                <w:rFonts w:ascii="Times New Roman" w:eastAsia="Times New Roman"/>
                <w:b/>
              </w:rPr>
              <w:tab/>
            </w:r>
            <w:r>
              <w:rPr>
                <w:rFonts w:ascii="Times New Roman" w:eastAsia="Times New Roman"/>
                <w:spacing w:val="-5"/>
              </w:rPr>
              <w:t>75</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7">
            <w:r>
              <w:rPr/>
              <w:t>时间</w:t>
            </w:r>
            <w:r>
              <w:rPr>
                <w:spacing w:val="-10"/>
              </w:rPr>
              <w:t>线</w:t>
            </w:r>
            <w:r>
              <w:rPr>
                <w:rFonts w:ascii="Times New Roman" w:eastAsia="Times New Roman"/>
                <w:b/>
              </w:rPr>
              <w:tab/>
            </w:r>
            <w:r>
              <w:rPr>
                <w:rFonts w:ascii="Times New Roman" w:eastAsia="Times New Roman"/>
                <w:spacing w:val="-5"/>
              </w:rPr>
              <w:t>75</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8">
            <w:r>
              <w:rPr/>
              <w:t>用药错</w:t>
            </w:r>
            <w:r>
              <w:rPr>
                <w:spacing w:val="-10"/>
              </w:rPr>
              <w:t>误</w:t>
            </w:r>
            <w:r>
              <w:rPr>
                <w:rFonts w:ascii="Times New Roman" w:eastAsia="Times New Roman"/>
                <w:b/>
              </w:rPr>
              <w:tab/>
            </w:r>
            <w:r>
              <w:rPr>
                <w:rFonts w:ascii="Times New Roman" w:eastAsia="Times New Roman"/>
                <w:spacing w:val="-5"/>
              </w:rPr>
              <w:t>75</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09">
            <w:r>
              <w:rPr/>
              <w:t>药物滥</w:t>
            </w:r>
            <w:r>
              <w:rPr>
                <w:spacing w:val="-10"/>
              </w:rPr>
              <w:t>用</w:t>
            </w:r>
            <w:r>
              <w:rPr>
                <w:rFonts w:ascii="Times New Roman" w:eastAsia="Times New Roman"/>
                <w:b/>
              </w:rPr>
              <w:tab/>
            </w:r>
            <w:r>
              <w:rPr>
                <w:rFonts w:ascii="Times New Roman" w:eastAsia="Times New Roman"/>
                <w:spacing w:val="-5"/>
              </w:rPr>
              <w:t>75</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0">
            <w:r>
              <w:rPr/>
              <w:t>药物误</w:t>
            </w:r>
            <w:r>
              <w:rPr>
                <w:spacing w:val="-10"/>
              </w:rPr>
              <w:t>用</w:t>
            </w:r>
            <w:r>
              <w:rPr>
                <w:rFonts w:ascii="Times New Roman" w:eastAsia="Times New Roman"/>
                <w:b/>
              </w:rPr>
              <w:tab/>
            </w:r>
            <w:r>
              <w:rPr>
                <w:rFonts w:ascii="Times New Roman" w:eastAsia="Times New Roman"/>
                <w:spacing w:val="-5"/>
              </w:rPr>
              <w:t>75</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1">
            <w:r>
              <w:rPr/>
              <w:t>用药过量报</w:t>
            </w:r>
            <w:r>
              <w:rPr>
                <w:spacing w:val="-10"/>
              </w:rPr>
              <w:t>告</w:t>
            </w:r>
            <w:r>
              <w:rPr>
                <w:rFonts w:ascii="Times New Roman" w:eastAsia="Times New Roman"/>
                <w:b/>
              </w:rPr>
              <w:tab/>
            </w:r>
            <w:r>
              <w:rPr>
                <w:rFonts w:ascii="Times New Roman" w:eastAsia="Times New Roman"/>
                <w:spacing w:val="-5"/>
              </w:rPr>
              <w:t>76</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2">
            <w:r>
              <w:rPr/>
              <w:t>器械组件和第三方医疗器械缺</w:t>
            </w:r>
            <w:r>
              <w:rPr>
                <w:spacing w:val="-10"/>
              </w:rPr>
              <w:t>陷</w:t>
            </w:r>
            <w:r>
              <w:rPr>
                <w:rFonts w:ascii="Times New Roman" w:eastAsia="Times New Roman"/>
                <w:b/>
              </w:rPr>
              <w:tab/>
            </w:r>
            <w:r>
              <w:rPr>
                <w:rFonts w:ascii="Times New Roman" w:eastAsia="Times New Roman"/>
                <w:spacing w:val="-5"/>
              </w:rPr>
              <w:t>76</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3">
            <w:r>
              <w:rPr/>
              <w:t>检测器械缺陷的时</w:t>
            </w:r>
            <w:r>
              <w:rPr>
                <w:spacing w:val="-10"/>
              </w:rPr>
              <w:t>限</w:t>
            </w:r>
            <w:r>
              <w:rPr>
                <w:rFonts w:ascii="Times New Roman" w:eastAsia="Times New Roman"/>
                <w:b/>
              </w:rPr>
              <w:tab/>
            </w:r>
            <w:r>
              <w:rPr>
                <w:rFonts w:ascii="Times New Roman" w:eastAsia="Times New Roman"/>
                <w:spacing w:val="-5"/>
              </w:rPr>
              <w:t>76</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4">
            <w:r>
              <w:rPr/>
              <w:t>器械缺陷随</w:t>
            </w:r>
            <w:r>
              <w:rPr>
                <w:spacing w:val="-10"/>
              </w:rPr>
              <w:t>访</w:t>
            </w:r>
            <w:r>
              <w:rPr>
                <w:rFonts w:ascii="Times New Roman" w:eastAsia="Times New Roman"/>
                <w:b/>
              </w:rPr>
              <w:tab/>
            </w:r>
            <w:r>
              <w:rPr>
                <w:rFonts w:ascii="Times New Roman" w:eastAsia="Times New Roman"/>
                <w:spacing w:val="-5"/>
              </w:rPr>
              <w:t>77</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5">
            <w:r>
              <w:rPr/>
              <w:t>立即向申办者报告器械缺</w:t>
            </w:r>
            <w:r>
              <w:rPr>
                <w:spacing w:val="-10"/>
              </w:rPr>
              <w:t>陷</w:t>
            </w:r>
            <w:r>
              <w:rPr>
                <w:rFonts w:ascii="Times New Roman" w:eastAsia="Times New Roman"/>
                <w:b/>
              </w:rPr>
              <w:tab/>
            </w:r>
            <w:r>
              <w:rPr>
                <w:rFonts w:ascii="Times New Roman" w:eastAsia="Times New Roman"/>
                <w:spacing w:val="-5"/>
              </w:rPr>
              <w:t>77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6">
            <w:r>
              <w:rPr/>
              <w:t>独立数据监查委员</w:t>
            </w:r>
            <w:r>
              <w:rPr>
                <w:spacing w:val="-10"/>
              </w:rPr>
              <w:t>会</w:t>
            </w:r>
            <w:r>
              <w:rPr>
                <w:rFonts w:ascii="Times New Roman" w:eastAsia="Times New Roman"/>
                <w:b/>
              </w:rPr>
              <w:tab/>
            </w:r>
            <w:r>
              <w:rPr>
                <w:rFonts w:ascii="Times New Roman" w:eastAsia="Times New Roman"/>
                <w:spacing w:val="-5"/>
              </w:rPr>
              <w:t>77</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117">
            <w:r>
              <w:rPr/>
              <w:t>独立裁定委员</w:t>
            </w:r>
            <w:r>
              <w:rPr>
                <w:spacing w:val="-10"/>
              </w:rPr>
              <w:t>会</w:t>
            </w:r>
            <w:r>
              <w:rPr>
                <w:rFonts w:ascii="Times New Roman" w:eastAsia="Times New Roman"/>
                <w:b/>
              </w:rPr>
              <w:tab/>
            </w:r>
            <w:r>
              <w:rPr>
                <w:rFonts w:ascii="Times New Roman" w:eastAsia="Times New Roman"/>
                <w:spacing w:val="-5"/>
              </w:rPr>
              <w:t>77</w:t>
            </w:r>
          </w:hyperlink>
        </w:p>
        <w:p>
          <w:pPr>
            <w:pStyle w:val="TOC1"/>
            <w:numPr>
              <w:ilvl w:val="1"/>
              <w:numId w:val="2"/>
            </w:numPr>
            <w:tabs>
              <w:tab w:pos="1355" w:val="left" w:leader="none"/>
              <w:tab w:pos="8630" w:val="right" w:leader="dot"/>
            </w:tabs>
            <w:spacing w:line="311" w:lineRule="exact" w:before="59" w:after="0"/>
            <w:ind w:left="1355" w:right="0" w:hanging="1134"/>
            <w:jc w:val="left"/>
            <w:rPr>
              <w:rFonts w:ascii="Times New Roman" w:eastAsia="Times New Roman"/>
            </w:rPr>
          </w:pPr>
          <w:hyperlink w:history="true" w:anchor="_bookmark118">
            <w:r>
              <w:rPr/>
              <w:t>人体生物样</w:t>
            </w:r>
            <w:r>
              <w:rPr>
                <w:spacing w:val="-10"/>
              </w:rPr>
              <w:t>本</w:t>
            </w:r>
            <w:r>
              <w:rPr>
                <w:rFonts w:ascii="Times New Roman" w:eastAsia="Times New Roman"/>
                <w:b/>
              </w:rPr>
              <w:tab/>
            </w:r>
            <w:r>
              <w:rPr>
                <w:rFonts w:ascii="Times New Roman" w:eastAsia="Times New Roman"/>
                <w:spacing w:val="-5"/>
              </w:rPr>
              <w:t>77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19">
            <w:r>
              <w:rPr/>
              <w:t>药代动力</w:t>
            </w:r>
            <w:r>
              <w:rPr>
                <w:spacing w:val="-10"/>
              </w:rPr>
              <w:t>学</w:t>
            </w:r>
            <w:r>
              <w:rPr>
                <w:rFonts w:ascii="Times New Roman" w:eastAsia="Times New Roman"/>
                <w:b/>
              </w:rPr>
              <w:tab/>
            </w:r>
            <w:r>
              <w:rPr>
                <w:rFonts w:ascii="Times New Roman" w:eastAsia="Times New Roman"/>
                <w:spacing w:val="-5"/>
              </w:rPr>
              <w:t>78</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20">
            <w:r>
              <w:rPr/>
              <w:t>药物浓度测</w:t>
            </w:r>
            <w:r>
              <w:rPr>
                <w:spacing w:val="-10"/>
              </w:rPr>
              <w:t>定</w:t>
            </w:r>
            <w:r>
              <w:rPr>
                <w:rFonts w:ascii="Times New Roman" w:eastAsia="Times New Roman"/>
                <w:b/>
              </w:rPr>
              <w:tab/>
            </w:r>
            <w:r>
              <w:rPr>
                <w:rFonts w:ascii="Times New Roman" w:eastAsia="Times New Roman"/>
                <w:spacing w:val="-5"/>
              </w:rPr>
              <w:t>78</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21">
            <w:r>
              <w:rPr/>
              <w:t>免疫原性评</w:t>
            </w:r>
            <w:r>
              <w:rPr>
                <w:spacing w:val="-10"/>
              </w:rPr>
              <w:t>估</w:t>
            </w:r>
            <w:r>
              <w:rPr>
                <w:rFonts w:ascii="Times New Roman" w:eastAsia="Times New Roman"/>
                <w:b/>
              </w:rPr>
              <w:tab/>
            </w:r>
            <w:r>
              <w:rPr>
                <w:rFonts w:ascii="Times New Roman" w:eastAsia="Times New Roman"/>
                <w:spacing w:val="-5"/>
              </w:rPr>
              <w:t>78</w:t>
            </w:r>
          </w:hyperlink>
        </w:p>
        <w:p>
          <w:pPr>
            <w:pStyle w:val="TOC1"/>
            <w:numPr>
              <w:ilvl w:val="2"/>
              <w:numId w:val="2"/>
            </w:numPr>
            <w:tabs>
              <w:tab w:pos="1355" w:val="left" w:leader="none"/>
              <w:tab w:pos="8630" w:val="right" w:leader="dot"/>
            </w:tabs>
            <w:spacing w:line="240" w:lineRule="auto" w:before="0" w:after="0"/>
            <w:ind w:left="1355" w:right="0" w:hanging="1134"/>
            <w:jc w:val="left"/>
            <w:rPr>
              <w:rFonts w:ascii="Times New Roman" w:eastAsia="Times New Roman"/>
            </w:rPr>
          </w:pPr>
          <w:hyperlink w:history="true" w:anchor="_bookmark122">
            <w:r>
              <w:rPr/>
              <w:t>药效</w:t>
            </w:r>
            <w:r>
              <w:rPr>
                <w:spacing w:val="-10"/>
              </w:rPr>
              <w:t>学</w:t>
            </w:r>
            <w:r>
              <w:rPr>
                <w:rFonts w:ascii="Times New Roman" w:eastAsia="Times New Roman"/>
                <w:b/>
              </w:rPr>
              <w:tab/>
            </w:r>
            <w:r>
              <w:rPr>
                <w:rFonts w:ascii="Times New Roman" w:eastAsia="Times New Roman"/>
                <w:spacing w:val="-5"/>
              </w:rPr>
              <w:t>79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hAnsi="Times New Roman" w:eastAsia="Times New Roman"/>
            </w:rPr>
          </w:pPr>
          <w:hyperlink w:history="true" w:anchor="_bookmark123">
            <w:r>
              <w:rPr/>
              <w:t>人体生物样本生物标志物</w:t>
            </w:r>
            <w:r>
              <w:rPr>
                <w:rFonts w:ascii="Times New Roman" w:hAnsi="Times New Roman" w:eastAsia="Times New Roman"/>
              </w:rPr>
              <w:t>–</w:t>
            </w:r>
            <w:r>
              <w:rPr/>
              <w:t>不适</w:t>
            </w:r>
            <w:r>
              <w:rPr>
                <w:spacing w:val="-10"/>
              </w:rPr>
              <w:t>用</w:t>
            </w:r>
            <w:r>
              <w:rPr>
                <w:rFonts w:ascii="Times New Roman" w:hAnsi="Times New Roman" w:eastAsia="Times New Roman"/>
                <w:b/>
              </w:rPr>
              <w:tab/>
            </w:r>
            <w:r>
              <w:rPr>
                <w:rFonts w:ascii="Times New Roman" w:hAnsi="Times New Roman" w:eastAsia="Times New Roman"/>
                <w:spacing w:val="-5"/>
              </w:rPr>
              <w:t>79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hAnsi="Times New Roman" w:eastAsia="Times New Roman"/>
            </w:rPr>
          </w:pPr>
          <w:hyperlink w:history="true" w:anchor="_bookmark124">
            <w:r>
              <w:rPr/>
              <w:t>可选基因组学整合计划样本</w:t>
            </w:r>
            <w:r>
              <w:rPr>
                <w:rFonts w:ascii="Times New Roman" w:hAnsi="Times New Roman" w:eastAsia="Times New Roman"/>
              </w:rPr>
              <w:t>–</w:t>
            </w:r>
            <w:r>
              <w:rPr/>
              <w:t>不适</w:t>
            </w:r>
            <w:r>
              <w:rPr>
                <w:spacing w:val="-10"/>
              </w:rPr>
              <w:t>用</w:t>
            </w:r>
            <w:r>
              <w:rPr>
                <w:rFonts w:ascii="Times New Roman" w:hAnsi="Times New Roman" w:eastAsia="Times New Roman"/>
                <w:b/>
              </w:rPr>
              <w:tab/>
            </w:r>
            <w:r>
              <w:rPr>
                <w:rFonts w:ascii="Times New Roman" w:hAnsi="Times New Roman" w:eastAsia="Times New Roman"/>
                <w:spacing w:val="-5"/>
              </w:rPr>
              <w:t>79</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125">
            <w:r>
              <w:rPr/>
              <w:t>医疗保健资源使</w:t>
            </w:r>
            <w:r>
              <w:rPr>
                <w:spacing w:val="-10"/>
              </w:rPr>
              <w:t>用</w:t>
            </w:r>
            <w:r>
              <w:rPr>
                <w:rFonts w:ascii="Times New Roman" w:eastAsia="Times New Roman"/>
                <w:b/>
              </w:rPr>
              <w:tab/>
            </w:r>
            <w:r>
              <w:rPr>
                <w:rFonts w:ascii="Times New Roman" w:eastAsia="Times New Roman"/>
                <w:spacing w:val="-5"/>
              </w:rPr>
              <w:t>79</w:t>
            </w:r>
          </w:hyperlink>
        </w:p>
        <w:p>
          <w:pPr>
            <w:pStyle w:val="TOC1"/>
            <w:numPr>
              <w:ilvl w:val="0"/>
              <w:numId w:val="2"/>
            </w:numPr>
            <w:tabs>
              <w:tab w:pos="1355" w:val="left" w:leader="none"/>
              <w:tab w:pos="8630" w:val="right" w:leader="dot"/>
            </w:tabs>
            <w:spacing w:line="240" w:lineRule="auto" w:before="119" w:after="0"/>
            <w:ind w:left="1355" w:right="0" w:hanging="1134"/>
            <w:jc w:val="left"/>
            <w:rPr>
              <w:rFonts w:ascii="Times New Roman" w:eastAsia="Times New Roman"/>
            </w:rPr>
          </w:pPr>
          <w:hyperlink w:history="true" w:anchor="_bookmark126">
            <w:r>
              <w:rPr/>
              <w:t>统计学考</w:t>
            </w:r>
            <w:r>
              <w:rPr>
                <w:spacing w:val="-10"/>
              </w:rPr>
              <w:t>量</w:t>
            </w:r>
            <w:r>
              <w:rPr>
                <w:rFonts w:ascii="Times New Roman" w:eastAsia="Times New Roman"/>
                <w:b/>
              </w:rPr>
              <w:tab/>
            </w:r>
            <w:r>
              <w:rPr>
                <w:rFonts w:ascii="Times New Roman" w:eastAsia="Times New Roman"/>
                <w:spacing w:val="-5"/>
              </w:rPr>
              <w:t>79</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27">
            <w:r>
              <w:rPr/>
              <w:t>统计假</w:t>
            </w:r>
            <w:r>
              <w:rPr>
                <w:spacing w:val="-10"/>
              </w:rPr>
              <w:t>设</w:t>
            </w:r>
            <w:r>
              <w:rPr>
                <w:rFonts w:ascii="Times New Roman" w:eastAsia="Times New Roman"/>
                <w:b/>
              </w:rPr>
              <w:tab/>
            </w:r>
            <w:r>
              <w:rPr>
                <w:rFonts w:ascii="Times New Roman" w:eastAsia="Times New Roman"/>
                <w:spacing w:val="-5"/>
              </w:rPr>
              <w:t>79</w:t>
            </w:r>
          </w:hyperlink>
        </w:p>
        <w:p>
          <w:pPr>
            <w:pStyle w:val="TOC1"/>
            <w:numPr>
              <w:ilvl w:val="2"/>
              <w:numId w:val="2"/>
            </w:numPr>
            <w:tabs>
              <w:tab w:pos="1355" w:val="left" w:leader="none"/>
              <w:tab w:pos="8630" w:val="right" w:leader="dot"/>
            </w:tabs>
            <w:spacing w:line="240" w:lineRule="auto" w:before="0" w:after="86"/>
            <w:ind w:left="1355" w:right="0" w:hanging="1134"/>
            <w:jc w:val="left"/>
            <w:rPr>
              <w:rFonts w:ascii="Times New Roman" w:eastAsia="Times New Roman"/>
            </w:rPr>
          </w:pPr>
          <w:hyperlink w:history="true" w:anchor="_bookmark128">
            <w:r>
              <w:rPr/>
              <w:t>估计目标中的分析方</w:t>
            </w:r>
            <w:r>
              <w:rPr>
                <w:spacing w:val="-10"/>
              </w:rPr>
              <w:t>法</w:t>
            </w:r>
            <w:r>
              <w:rPr>
                <w:rFonts w:ascii="Times New Roman" w:eastAsia="Times New Roman"/>
                <w:b/>
              </w:rPr>
              <w:tab/>
            </w:r>
            <w:r>
              <w:rPr>
                <w:rFonts w:ascii="Times New Roman" w:eastAsia="Times New Roman"/>
                <w:spacing w:val="-5"/>
              </w:rPr>
              <w:t>80</w:t>
            </w:r>
          </w:hyperlink>
        </w:p>
        <w:p>
          <w:pPr>
            <w:pStyle w:val="TOC1"/>
            <w:numPr>
              <w:ilvl w:val="2"/>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29">
            <w:r>
              <w:rPr>
                <w:rFonts w:ascii="Times New Roman" w:eastAsia="Times New Roman"/>
              </w:rPr>
              <w:t>I</w:t>
            </w:r>
            <w:r>
              <w:rPr>
                <w:rFonts w:ascii="Times New Roman" w:eastAsia="Times New Roman"/>
                <w:spacing w:val="-12"/>
              </w:rPr>
              <w:t> </w:t>
            </w:r>
            <w:r>
              <w:rPr/>
              <w:t>类错误控</w:t>
            </w:r>
            <w:r>
              <w:rPr>
                <w:spacing w:val="-10"/>
              </w:rPr>
              <w:t>制</w:t>
            </w:r>
            <w:r>
              <w:rPr>
                <w:rFonts w:ascii="Times New Roman" w:eastAsia="Times New Roman"/>
                <w:b/>
              </w:rPr>
              <w:tab/>
            </w:r>
            <w:r>
              <w:rPr>
                <w:rFonts w:ascii="Times New Roman" w:eastAsia="Times New Roman"/>
                <w:spacing w:val="-5"/>
              </w:rPr>
              <w:t>80</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31">
            <w:r>
              <w:rPr/>
              <w:t>样本量确</w:t>
            </w:r>
            <w:r>
              <w:rPr>
                <w:spacing w:val="-10"/>
              </w:rPr>
              <w:t>定</w:t>
            </w:r>
            <w:r>
              <w:rPr>
                <w:rFonts w:ascii="Times New Roman" w:eastAsia="Times New Roman"/>
                <w:b/>
              </w:rPr>
              <w:tab/>
            </w:r>
            <w:r>
              <w:rPr>
                <w:rFonts w:ascii="Times New Roman" w:eastAsia="Times New Roman"/>
                <w:spacing w:val="-5"/>
              </w:rPr>
              <w:t>82</w:t>
            </w:r>
          </w:hyperlink>
        </w:p>
        <w:p>
          <w:pPr>
            <w:pStyle w:val="TOC1"/>
            <w:numPr>
              <w:ilvl w:val="1"/>
              <w:numId w:val="2"/>
            </w:numPr>
            <w:tabs>
              <w:tab w:pos="1355" w:val="left" w:leader="none"/>
              <w:tab w:pos="8630" w:val="right" w:leader="dot"/>
            </w:tabs>
            <w:spacing w:line="312" w:lineRule="exact" w:before="60" w:after="0"/>
            <w:ind w:left="1355" w:right="0" w:hanging="1134"/>
            <w:jc w:val="left"/>
            <w:rPr>
              <w:rFonts w:ascii="Times New Roman" w:eastAsia="Times New Roman"/>
            </w:rPr>
          </w:pPr>
          <w:hyperlink w:history="true" w:anchor="_bookmark132">
            <w:r>
              <w:rPr/>
              <w:t>分析人</w:t>
            </w:r>
            <w:r>
              <w:rPr>
                <w:spacing w:val="-10"/>
              </w:rPr>
              <w:t>群</w:t>
            </w:r>
            <w:r>
              <w:rPr>
                <w:rFonts w:ascii="Times New Roman" w:eastAsia="Times New Roman"/>
                <w:b/>
              </w:rPr>
              <w:tab/>
            </w:r>
            <w:r>
              <w:rPr>
                <w:rFonts w:ascii="Times New Roman" w:eastAsia="Times New Roman"/>
                <w:spacing w:val="-5"/>
              </w:rPr>
              <w:t>82</w:t>
            </w:r>
          </w:hyperlink>
        </w:p>
        <w:p>
          <w:pPr>
            <w:pStyle w:val="TOC1"/>
            <w:numPr>
              <w:ilvl w:val="2"/>
              <w:numId w:val="2"/>
            </w:numPr>
            <w:tabs>
              <w:tab w:pos="1355" w:val="left" w:leader="none"/>
              <w:tab w:pos="8630" w:val="right" w:leader="dot"/>
            </w:tabs>
            <w:spacing w:line="312" w:lineRule="exact" w:before="0" w:after="0"/>
            <w:ind w:left="1355" w:right="0" w:hanging="1134"/>
            <w:jc w:val="left"/>
            <w:rPr>
              <w:rFonts w:ascii="Times New Roman" w:eastAsia="Times New Roman"/>
            </w:rPr>
          </w:pPr>
          <w:hyperlink w:history="true" w:anchor="_bookmark134">
            <w:r>
              <w:rPr/>
              <w:t>用于分析的治疗</w:t>
            </w:r>
            <w:r>
              <w:rPr>
                <w:spacing w:val="-10"/>
              </w:rPr>
              <w:t>组</w:t>
            </w:r>
            <w:r>
              <w:rPr>
                <w:rFonts w:ascii="Times New Roman" w:eastAsia="Times New Roman"/>
                <w:b/>
              </w:rPr>
              <w:tab/>
            </w:r>
            <w:r>
              <w:rPr>
                <w:rFonts w:ascii="Times New Roman" w:eastAsia="Times New Roman"/>
                <w:spacing w:val="-5"/>
              </w:rPr>
              <w:t>83</w:t>
            </w:r>
          </w:hyperlink>
        </w:p>
        <w:p>
          <w:pPr>
            <w:pStyle w:val="TOC1"/>
            <w:numPr>
              <w:ilvl w:val="1"/>
              <w:numId w:val="2"/>
            </w:numPr>
            <w:tabs>
              <w:tab w:pos="1355" w:val="left" w:leader="none"/>
              <w:tab w:pos="8630" w:val="right" w:leader="dot"/>
            </w:tabs>
            <w:spacing w:line="311" w:lineRule="exact" w:before="60" w:after="0"/>
            <w:ind w:left="1355" w:right="0" w:hanging="1134"/>
            <w:jc w:val="left"/>
            <w:rPr>
              <w:rFonts w:ascii="Times New Roman" w:eastAsia="Times New Roman"/>
            </w:rPr>
          </w:pPr>
          <w:hyperlink w:history="true" w:anchor="_bookmark138">
            <w:r>
              <w:rPr/>
              <w:t>统计分</w:t>
            </w:r>
            <w:r>
              <w:rPr>
                <w:spacing w:val="-10"/>
              </w:rPr>
              <w:t>析</w:t>
            </w:r>
            <w:r>
              <w:rPr>
                <w:rFonts w:ascii="Times New Roman" w:eastAsia="Times New Roman"/>
                <w:b/>
              </w:rPr>
              <w:tab/>
            </w:r>
            <w:r>
              <w:rPr>
                <w:rFonts w:ascii="Times New Roman" w:eastAsia="Times New Roman"/>
                <w:spacing w:val="-5"/>
              </w:rPr>
              <w:t>87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39">
            <w:r>
              <w:rPr/>
              <w:t>一般考察因</w:t>
            </w:r>
            <w:r>
              <w:rPr>
                <w:spacing w:val="-10"/>
              </w:rPr>
              <w:t>素</w:t>
            </w:r>
            <w:r>
              <w:rPr>
                <w:rFonts w:ascii="Times New Roman" w:eastAsia="Times New Roman"/>
                <w:b/>
              </w:rPr>
              <w:tab/>
            </w:r>
            <w:r>
              <w:rPr>
                <w:rFonts w:ascii="Times New Roman" w:eastAsia="Times New Roman"/>
                <w:spacing w:val="-5"/>
              </w:rPr>
              <w:t>87</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0">
            <w:r>
              <w:rPr/>
              <w:t>有效</w:t>
            </w:r>
            <w:r>
              <w:rPr>
                <w:spacing w:val="-10"/>
              </w:rPr>
              <w:t>性</w:t>
            </w:r>
            <w:r>
              <w:rPr>
                <w:rFonts w:ascii="Times New Roman" w:eastAsia="Times New Roman"/>
                <w:b/>
              </w:rPr>
              <w:tab/>
            </w:r>
            <w:r>
              <w:rPr>
                <w:rFonts w:ascii="Times New Roman" w:eastAsia="Times New Roman"/>
                <w:spacing w:val="-5"/>
              </w:rPr>
              <w:t>88</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1">
            <w:r>
              <w:rPr/>
              <w:t>主要终</w:t>
            </w:r>
            <w:r>
              <w:rPr>
                <w:spacing w:val="-10"/>
              </w:rPr>
              <w:t>点</w:t>
            </w:r>
            <w:r>
              <w:rPr>
                <w:rFonts w:ascii="Times New Roman" w:eastAsia="Times New Roman"/>
                <w:b/>
              </w:rPr>
              <w:tab/>
            </w:r>
            <w:r>
              <w:rPr>
                <w:rFonts w:ascii="Times New Roman" w:eastAsia="Times New Roman"/>
                <w:spacing w:val="-5"/>
              </w:rPr>
              <w:t>88</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2">
            <w:r>
              <w:rPr/>
              <w:t>次要终</w:t>
            </w:r>
            <w:r>
              <w:rPr>
                <w:spacing w:val="-10"/>
              </w:rPr>
              <w:t>点</w:t>
            </w:r>
            <w:r>
              <w:rPr>
                <w:rFonts w:ascii="Times New Roman" w:eastAsia="Times New Roman"/>
                <w:b/>
              </w:rPr>
              <w:tab/>
            </w:r>
            <w:r>
              <w:rPr>
                <w:rFonts w:ascii="Times New Roman" w:eastAsia="Times New Roman"/>
                <w:spacing w:val="-5"/>
              </w:rPr>
              <w:t>89</w:t>
            </w:r>
          </w:hyperlink>
        </w:p>
        <w:p>
          <w:pPr>
            <w:pStyle w:val="TOC1"/>
            <w:numPr>
              <w:ilvl w:val="3"/>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3">
            <w:r>
              <w:rPr/>
              <w:t>探索性终</w:t>
            </w:r>
            <w:r>
              <w:rPr>
                <w:spacing w:val="-10"/>
              </w:rPr>
              <w:t>点</w:t>
            </w:r>
            <w:r>
              <w:rPr>
                <w:rFonts w:ascii="Times New Roman" w:eastAsia="Times New Roman"/>
                <w:b/>
              </w:rPr>
              <w:tab/>
            </w:r>
            <w:r>
              <w:rPr>
                <w:rFonts w:ascii="Times New Roman" w:eastAsia="Times New Roman"/>
                <w:spacing w:val="-5"/>
              </w:rPr>
              <w:t>91</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4">
            <w:r>
              <w:rPr/>
              <w:t>安全性终</w:t>
            </w:r>
            <w:r>
              <w:rPr>
                <w:spacing w:val="-10"/>
              </w:rPr>
              <w:t>点</w:t>
            </w:r>
            <w:r>
              <w:rPr>
                <w:rFonts w:ascii="Times New Roman" w:eastAsia="Times New Roman"/>
                <w:b/>
              </w:rPr>
              <w:tab/>
            </w:r>
            <w:r>
              <w:rPr>
                <w:rFonts w:ascii="Times New Roman" w:eastAsia="Times New Roman"/>
                <w:spacing w:val="-5"/>
              </w:rPr>
              <w:t>92</w:t>
            </w:r>
          </w:hyperlink>
        </w:p>
        <w:p>
          <w:pPr>
            <w:pStyle w:val="TOC1"/>
            <w:numPr>
              <w:ilvl w:val="2"/>
              <w:numId w:val="2"/>
            </w:numPr>
            <w:tabs>
              <w:tab w:pos="1355" w:val="left" w:leader="none"/>
              <w:tab w:pos="8630" w:val="right" w:leader="dot"/>
            </w:tabs>
            <w:spacing w:line="311" w:lineRule="exact" w:before="0" w:after="0"/>
            <w:ind w:left="1355" w:right="0" w:hanging="1134"/>
            <w:jc w:val="left"/>
            <w:rPr>
              <w:rFonts w:ascii="Times New Roman" w:eastAsia="Times New Roman"/>
            </w:rPr>
          </w:pPr>
          <w:hyperlink w:history="true" w:anchor="_bookmark145">
            <w:r>
              <w:rPr/>
              <w:t>其他分</w:t>
            </w:r>
            <w:r>
              <w:rPr>
                <w:spacing w:val="-10"/>
              </w:rPr>
              <w:t>析</w:t>
            </w:r>
            <w:r>
              <w:rPr>
                <w:rFonts w:ascii="Times New Roman" w:eastAsia="Times New Roman"/>
                <w:b/>
              </w:rPr>
              <w:tab/>
            </w:r>
            <w:r>
              <w:rPr>
                <w:rFonts w:ascii="Times New Roman" w:eastAsia="Times New Roman"/>
                <w:spacing w:val="-5"/>
              </w:rPr>
              <w:t>93</w:t>
            </w:r>
          </w:hyperlink>
        </w:p>
        <w:p>
          <w:pPr>
            <w:pStyle w:val="TOC1"/>
            <w:numPr>
              <w:ilvl w:val="1"/>
              <w:numId w:val="2"/>
            </w:numPr>
            <w:tabs>
              <w:tab w:pos="1355" w:val="left" w:leader="none"/>
              <w:tab w:pos="8630" w:val="right" w:leader="dot"/>
            </w:tabs>
            <w:spacing w:line="240" w:lineRule="auto" w:before="60" w:after="0"/>
            <w:ind w:left="1355" w:right="0" w:hanging="1134"/>
            <w:jc w:val="left"/>
            <w:rPr>
              <w:rFonts w:ascii="Times New Roman" w:eastAsia="Times New Roman"/>
            </w:rPr>
          </w:pPr>
          <w:hyperlink w:history="true" w:anchor="_bookmark146">
            <w:r>
              <w:rPr/>
              <w:t>中期分</w:t>
            </w:r>
            <w:r>
              <w:rPr>
                <w:spacing w:val="-10"/>
              </w:rPr>
              <w:t>析</w:t>
            </w:r>
            <w:r>
              <w:rPr>
                <w:rFonts w:ascii="Times New Roman" w:eastAsia="Times New Roman"/>
                <w:b/>
              </w:rPr>
              <w:tab/>
            </w:r>
            <w:r>
              <w:rPr>
                <w:rFonts w:ascii="Times New Roman" w:eastAsia="Times New Roman"/>
                <w:spacing w:val="-5"/>
              </w:rPr>
              <w:t>93</w:t>
            </w:r>
          </w:hyperlink>
        </w:p>
        <w:p>
          <w:pPr>
            <w:pStyle w:val="TOC1"/>
            <w:numPr>
              <w:ilvl w:val="1"/>
              <w:numId w:val="2"/>
            </w:numPr>
            <w:tabs>
              <w:tab w:pos="1355" w:val="left" w:leader="none"/>
              <w:tab w:pos="8630" w:val="right" w:leader="dot"/>
            </w:tabs>
            <w:spacing w:line="240" w:lineRule="auto" w:before="59" w:after="0"/>
            <w:ind w:left="1355" w:right="0" w:hanging="1134"/>
            <w:jc w:val="left"/>
            <w:rPr>
              <w:rFonts w:ascii="Times New Roman" w:eastAsia="Times New Roman"/>
            </w:rPr>
          </w:pPr>
          <w:hyperlink w:history="true" w:anchor="_bookmark147">
            <w:r>
              <w:rPr/>
              <w:t>独立数据监查委员</w:t>
            </w:r>
            <w:r>
              <w:rPr>
                <w:spacing w:val="-10"/>
              </w:rPr>
              <w:t>会</w:t>
            </w:r>
            <w:r>
              <w:rPr>
                <w:rFonts w:ascii="Times New Roman" w:eastAsia="Times New Roman"/>
                <w:b/>
              </w:rPr>
              <w:tab/>
            </w:r>
            <w:r>
              <w:rPr>
                <w:rFonts w:ascii="Times New Roman" w:eastAsia="Times New Roman"/>
                <w:spacing w:val="-5"/>
              </w:rPr>
              <w:t>94</w:t>
            </w:r>
          </w:hyperlink>
        </w:p>
        <w:p>
          <w:pPr>
            <w:pStyle w:val="TOC1"/>
            <w:numPr>
              <w:ilvl w:val="0"/>
              <w:numId w:val="2"/>
            </w:numPr>
            <w:tabs>
              <w:tab w:pos="1355" w:val="left" w:leader="none"/>
              <w:tab w:pos="8630" w:val="right" w:leader="dot"/>
            </w:tabs>
            <w:spacing w:line="240" w:lineRule="auto" w:before="118" w:after="0"/>
            <w:ind w:left="1355" w:right="0" w:hanging="1134"/>
            <w:jc w:val="left"/>
            <w:rPr>
              <w:rFonts w:ascii="Times New Roman" w:eastAsia="Times New Roman"/>
            </w:rPr>
          </w:pPr>
          <w:hyperlink w:history="true" w:anchor="_bookmark148">
            <w:r>
              <w:rPr/>
              <w:t>支持性文件和操作考察因</w:t>
            </w:r>
            <w:r>
              <w:rPr>
                <w:spacing w:val="-10"/>
              </w:rPr>
              <w:t>素</w:t>
            </w:r>
            <w:r>
              <w:rPr>
                <w:rFonts w:ascii="Times New Roman" w:eastAsia="Times New Roman"/>
                <w:b/>
              </w:rPr>
              <w:tab/>
            </w:r>
            <w:r>
              <w:rPr>
                <w:rFonts w:ascii="Times New Roman" w:eastAsia="Times New Roman"/>
                <w:spacing w:val="-5"/>
              </w:rPr>
              <w:t>95</w:t>
            </w:r>
          </w:hyperlink>
        </w:p>
        <w:p>
          <w:pPr>
            <w:pStyle w:val="TOC1"/>
            <w:numPr>
              <w:ilvl w:val="0"/>
              <w:numId w:val="2"/>
            </w:numPr>
            <w:tabs>
              <w:tab w:pos="1355" w:val="left" w:leader="none"/>
              <w:tab w:pos="8630" w:val="right" w:leader="dot"/>
            </w:tabs>
            <w:spacing w:line="240" w:lineRule="auto" w:before="120" w:after="0"/>
            <w:ind w:left="1355" w:right="0" w:hanging="1134"/>
            <w:jc w:val="left"/>
            <w:rPr>
              <w:rFonts w:ascii="Times New Roman" w:eastAsia="Times New Roman"/>
            </w:rPr>
          </w:pPr>
          <w:hyperlink w:history="true" w:anchor="_bookmark171">
            <w:r>
              <w:rPr/>
              <w:t>参考文</w:t>
            </w:r>
            <w:r>
              <w:rPr>
                <w:spacing w:val="-10"/>
              </w:rPr>
              <w:t>献</w:t>
            </w:r>
            <w:r>
              <w:rPr>
                <w:rFonts w:ascii="Times New Roman" w:eastAsia="Times New Roman"/>
                <w:b/>
              </w:rPr>
              <w:tab/>
            </w:r>
            <w:r>
              <w:rPr>
                <w:rFonts w:ascii="Times New Roman" w:eastAsia="Times New Roman"/>
                <w:spacing w:val="-5"/>
              </w:rPr>
              <w:t>135</w:t>
            </w:r>
          </w:hyperlink>
        </w:p>
      </w:sdtContent>
    </w:sdt>
    <w:p>
      <w:pPr>
        <w:spacing w:after="0" w:line="240" w:lineRule="auto"/>
        <w:jc w:val="left"/>
        <w:rPr>
          <w:rFonts w:ascii="Times New Roman" w:eastAsia="Times New Roman"/>
        </w:rPr>
        <w:sectPr>
          <w:type w:val="continuous"/>
          <w:pgSz w:w="11910" w:h="16840"/>
          <w:pgMar w:header="590" w:footer="784" w:top="1379" w:bottom="1449" w:left="1480" w:right="1080"/>
        </w:sectPr>
      </w:pPr>
    </w:p>
    <w:p>
      <w:pPr>
        <w:pStyle w:val="BodyText"/>
        <w:spacing w:before="240"/>
        <w:ind w:left="0"/>
        <w:rPr>
          <w:rFonts w:ascii="Times New Roman"/>
        </w:rPr>
      </w:pPr>
    </w:p>
    <w:p>
      <w:pPr>
        <w:spacing w:before="1"/>
        <w:ind w:left="221" w:right="0" w:firstLine="0"/>
        <w:jc w:val="left"/>
        <w:rPr>
          <w:b/>
          <w:sz w:val="28"/>
        </w:rPr>
      </w:pPr>
      <w:r>
        <w:rPr>
          <w:b/>
          <w:spacing w:val="-5"/>
          <w:sz w:val="28"/>
        </w:rPr>
        <w:t>图目录</w:t>
      </w:r>
    </w:p>
    <w:p>
      <w:pPr>
        <w:pStyle w:val="BodyText"/>
        <w:tabs>
          <w:tab w:pos="1923" w:val="left" w:leader="none"/>
          <w:tab w:pos="8390" w:val="left" w:leader="dot"/>
        </w:tabs>
        <w:spacing w:before="119"/>
        <w:rPr>
          <w:rFonts w:ascii="Times New Roman" w:eastAsia="Times New Roman"/>
        </w:rPr>
      </w:pPr>
      <w:hyperlink w:history="true" w:anchor="_bookmark6">
        <w:r>
          <w:rPr/>
          <w:t>图</w:t>
        </w:r>
        <w:r>
          <w:rPr>
            <w:spacing w:val="-60"/>
          </w:rPr>
          <w:t> </w:t>
        </w:r>
        <w:r>
          <w:rPr>
            <w:rFonts w:ascii="Times New Roman" w:eastAsia="Times New Roman"/>
            <w:spacing w:val="-10"/>
          </w:rPr>
          <w:t>1</w:t>
        </w:r>
        <w:r>
          <w:rPr>
            <w:rFonts w:ascii="Times New Roman" w:eastAsia="Times New Roman"/>
          </w:rPr>
          <w:tab/>
        </w:r>
        <w:r>
          <w:rPr/>
          <w:t>研究设</w:t>
        </w:r>
        <w:r>
          <w:rPr>
            <w:spacing w:val="-10"/>
          </w:rPr>
          <w:t>计</w:t>
        </w:r>
        <w:r>
          <w:rPr>
            <w:rFonts w:ascii="Times New Roman" w:eastAsia="Times New Roman"/>
            <w:b/>
          </w:rPr>
          <w:tab/>
        </w:r>
        <w:r>
          <w:rPr>
            <w:rFonts w:ascii="Times New Roman" w:eastAsia="Times New Roman"/>
            <w:spacing w:val="-5"/>
          </w:rPr>
          <w:t>16</w:t>
        </w:r>
      </w:hyperlink>
    </w:p>
    <w:p>
      <w:pPr>
        <w:pStyle w:val="BodyText"/>
        <w:tabs>
          <w:tab w:pos="1923" w:val="left" w:leader="none"/>
          <w:tab w:pos="8390" w:val="left" w:leader="dot"/>
        </w:tabs>
        <w:spacing w:before="106"/>
        <w:rPr>
          <w:rFonts w:ascii="Times New Roman" w:eastAsia="Times New Roman"/>
        </w:rPr>
      </w:pPr>
      <w:hyperlink w:history="true" w:anchor="_bookmark23">
        <w:r>
          <w:rPr/>
          <w:t>图</w:t>
        </w:r>
        <w:r>
          <w:rPr>
            <w:spacing w:val="-60"/>
          </w:rPr>
          <w:t> </w:t>
        </w:r>
        <w:r>
          <w:rPr>
            <w:rFonts w:ascii="Times New Roman" w:eastAsia="Times New Roman"/>
            <w:spacing w:val="-10"/>
          </w:rPr>
          <w:t>2</w:t>
        </w:r>
        <w:r>
          <w:rPr>
            <w:rFonts w:ascii="Times New Roman" w:eastAsia="Times New Roman"/>
          </w:rPr>
          <w:tab/>
        </w:r>
        <w:r>
          <w:rPr/>
          <w:t>研究设</w:t>
        </w:r>
        <w:r>
          <w:rPr>
            <w:spacing w:val="-10"/>
          </w:rPr>
          <w:t>计</w:t>
        </w:r>
        <w:r>
          <w:rPr>
            <w:rFonts w:ascii="Times New Roman" w:eastAsia="Times New Roman"/>
            <w:b/>
          </w:rPr>
          <w:tab/>
        </w:r>
        <w:r>
          <w:rPr>
            <w:rFonts w:ascii="Times New Roman" w:eastAsia="Times New Roman"/>
            <w:spacing w:val="-5"/>
          </w:rPr>
          <w:t>36</w:t>
        </w:r>
      </w:hyperlink>
    </w:p>
    <w:p>
      <w:pPr>
        <w:pStyle w:val="BodyText"/>
        <w:tabs>
          <w:tab w:pos="1923" w:val="left" w:leader="none"/>
          <w:tab w:pos="8390" w:val="left" w:leader="dot"/>
        </w:tabs>
        <w:spacing w:before="106"/>
        <w:rPr>
          <w:rFonts w:ascii="Times New Roman" w:eastAsia="Times New Roman"/>
        </w:rPr>
      </w:pPr>
      <w:hyperlink w:history="true" w:anchor="_bookmark130">
        <w:r>
          <w:rPr/>
          <w:t>图</w:t>
        </w:r>
        <w:r>
          <w:rPr>
            <w:spacing w:val="-60"/>
          </w:rPr>
          <w:t> </w:t>
        </w:r>
        <w:r>
          <w:rPr>
            <w:rFonts w:ascii="Times New Roman" w:eastAsia="Times New Roman"/>
            <w:spacing w:val="-10"/>
          </w:rPr>
          <w:t>3</w:t>
        </w:r>
        <w:r>
          <w:rPr>
            <w:rFonts w:ascii="Times New Roman" w:eastAsia="Times New Roman"/>
          </w:rPr>
          <w:tab/>
        </w:r>
        <w:r>
          <w:rPr/>
          <w:t>比较</w:t>
        </w:r>
        <w:r>
          <w:rPr>
            <w:spacing w:val="-60"/>
          </w:rPr>
          <w:t> </w:t>
        </w:r>
        <w:r>
          <w:rPr>
            <w:rFonts w:ascii="Times New Roman" w:eastAsia="Times New Roman"/>
          </w:rPr>
          <w:t>300 mg Q4W</w:t>
        </w:r>
        <w:r>
          <w:rPr>
            <w:rFonts w:ascii="Times New Roman" w:eastAsia="Times New Roman"/>
            <w:spacing w:val="-12"/>
          </w:rPr>
          <w:t> </w:t>
        </w:r>
        <w:r>
          <w:rPr/>
          <w:t>与安慰剂的</w:t>
        </w:r>
        <w:r>
          <w:rPr>
            <w:spacing w:val="-60"/>
          </w:rPr>
          <w:t> </w:t>
        </w:r>
        <w:r>
          <w:rPr>
            <w:rFonts w:ascii="Times New Roman" w:eastAsia="Times New Roman"/>
          </w:rPr>
          <w:t>I</w:t>
        </w:r>
        <w:r>
          <w:rPr>
            <w:rFonts w:ascii="Times New Roman" w:eastAsia="Times New Roman"/>
            <w:spacing w:val="-12"/>
          </w:rPr>
          <w:t> </w:t>
        </w:r>
        <w:r>
          <w:rPr/>
          <w:t>类错误率控</w:t>
        </w:r>
        <w:r>
          <w:rPr>
            <w:spacing w:val="-10"/>
          </w:rPr>
          <w:t>制</w:t>
        </w:r>
        <w:r>
          <w:rPr>
            <w:rFonts w:ascii="Times New Roman" w:eastAsia="Times New Roman"/>
            <w:b/>
          </w:rPr>
          <w:tab/>
        </w:r>
        <w:r>
          <w:rPr>
            <w:rFonts w:ascii="Times New Roman" w:eastAsia="Times New Roman"/>
            <w:spacing w:val="-5"/>
          </w:rPr>
          <w:t>81</w:t>
        </w:r>
      </w:hyperlink>
    </w:p>
    <w:p>
      <w:pPr>
        <w:pStyle w:val="BodyText"/>
        <w:tabs>
          <w:tab w:pos="1923" w:val="left" w:leader="none"/>
          <w:tab w:pos="8390" w:val="left" w:leader="dot"/>
        </w:tabs>
        <w:spacing w:before="105"/>
        <w:rPr>
          <w:rFonts w:ascii="Times New Roman" w:eastAsia="Times New Roman"/>
        </w:rPr>
      </w:pPr>
      <w:hyperlink w:history="true" w:anchor="_bookmark135">
        <w:r>
          <w:rPr/>
          <w:t>图</w:t>
        </w:r>
        <w:r>
          <w:rPr>
            <w:spacing w:val="-60"/>
          </w:rPr>
          <w:t> </w:t>
        </w:r>
        <w:r>
          <w:rPr>
            <w:rFonts w:ascii="Times New Roman" w:eastAsia="Times New Roman"/>
            <w:spacing w:val="-10"/>
          </w:rPr>
          <w:t>4</w:t>
        </w:r>
        <w:r>
          <w:rPr>
            <w:rFonts w:ascii="Times New Roman" w:eastAsia="Times New Roman"/>
          </w:rPr>
          <w:tab/>
        </w:r>
        <w:r>
          <w:rPr/>
          <w:t>用于分析的治疗</w:t>
        </w:r>
        <w:r>
          <w:rPr>
            <w:spacing w:val="-10"/>
          </w:rPr>
          <w:t>组</w:t>
        </w:r>
        <w:r>
          <w:rPr>
            <w:rFonts w:ascii="Times New Roman" w:eastAsia="Times New Roman"/>
            <w:b/>
          </w:rPr>
          <w:tab/>
        </w:r>
        <w:r>
          <w:rPr>
            <w:rFonts w:ascii="Times New Roman" w:eastAsia="Times New Roman"/>
            <w:spacing w:val="-5"/>
          </w:rPr>
          <w:t>84</w:t>
        </w:r>
      </w:hyperlink>
    </w:p>
    <w:p>
      <w:pPr>
        <w:pStyle w:val="BodyText"/>
        <w:tabs>
          <w:tab w:pos="1923" w:val="left" w:leader="none"/>
          <w:tab w:pos="8390" w:val="left" w:leader="dot"/>
        </w:tabs>
        <w:spacing w:line="276" w:lineRule="auto" w:before="107"/>
        <w:ind w:left="1923" w:right="713" w:hanging="1702"/>
        <w:jc w:val="both"/>
        <w:rPr>
          <w:rFonts w:ascii="Times New Roman" w:eastAsia="Times New Roman"/>
        </w:rPr>
      </w:pPr>
      <w:hyperlink w:history="true" w:anchor="_bookmark137">
        <w:r>
          <w:rPr/>
          <w:t>图</w:t>
        </w:r>
        <w:r>
          <w:rPr>
            <w:spacing w:val="-41"/>
          </w:rPr>
          <w:t> </w:t>
        </w:r>
        <w:r>
          <w:rPr>
            <w:rFonts w:ascii="Times New Roman" w:eastAsia="Times New Roman"/>
          </w:rPr>
          <w:t>5</w:t>
          <w:tab/>
        </w:r>
        <w:r>
          <w:rPr/>
          <w:t>全分析集：随机分配的</w:t>
        </w:r>
        <w:r>
          <w:rPr>
            <w:spacing w:val="-30"/>
          </w:rPr>
          <w:t>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rFonts w:ascii="Times New Roman" w:eastAsia="Times New Roman"/>
          </w:rPr>
          <w:t>SC</w:t>
        </w:r>
        <w:r>
          <w:rPr>
            <w:rFonts w:ascii="Times New Roman" w:eastAsia="Times New Roman"/>
            <w:spacing w:val="-15"/>
          </w:rPr>
          <w:t> </w:t>
        </w:r>
        <w:r>
          <w:rPr>
            <w:rFonts w:ascii="Times New Roman" w:eastAsia="Times New Roman"/>
          </w:rPr>
          <w:t>Q4W</w:t>
        </w:r>
        <w:r>
          <w:rPr>
            <w:rFonts w:ascii="Times New Roman" w:eastAsia="Times New Roman"/>
            <w:spacing w:val="-15"/>
          </w:rPr>
          <w:t> </w:t>
        </w:r>
        <w:r>
          <w:rPr/>
          <w:t>组、随机</w:t>
        </w:r>
        <w:r>
          <w:rPr/>
          <w:t>分</w:t>
        </w:r>
      </w:hyperlink>
      <w:hyperlink w:history="true" w:anchor="_bookmark137">
        <w:r>
          <w:rPr/>
          <w:t>配的</w:t>
        </w:r>
        <w:r>
          <w:rPr>
            <w:spacing w:val="-30"/>
          </w:rPr>
          <w:t>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rFonts w:ascii="Times New Roman" w:eastAsia="Times New Roman"/>
          </w:rPr>
          <w:t>SC</w:t>
        </w:r>
        <w:r>
          <w:rPr>
            <w:rFonts w:ascii="Times New Roman" w:eastAsia="Times New Roman"/>
            <w:spacing w:val="-15"/>
          </w:rPr>
          <w:t> </w:t>
        </w:r>
        <w:r>
          <w:rPr>
            <w:rFonts w:ascii="Times New Roman" w:eastAsia="Times New Roman"/>
          </w:rPr>
          <w:t>Q8W</w:t>
        </w:r>
        <w:r>
          <w:rPr>
            <w:rFonts w:ascii="Times New Roman" w:eastAsia="Times New Roman"/>
            <w:spacing w:val="-15"/>
          </w:rPr>
          <w:t> </w:t>
        </w:r>
        <w:r>
          <w:rPr/>
          <w:t>组和随机分配的安慰剂组（主</w:t>
        </w:r>
      </w:hyperlink>
      <w:hyperlink w:history="true" w:anchor="_bookmark137">
        <w:r>
          <w:rPr/>
          <w:t>要比较</w:t>
        </w:r>
        <w:r>
          <w:rPr>
            <w:spacing w:val="-10"/>
          </w:rPr>
          <w:t>）</w:t>
        </w:r>
        <w:r>
          <w:rPr>
            <w:rFonts w:ascii="Times New Roman" w:eastAsia="Times New Roman"/>
            <w:b/>
          </w:rPr>
          <w:tab/>
        </w:r>
        <w:r>
          <w:rPr>
            <w:rFonts w:ascii="Times New Roman" w:eastAsia="Times New Roman"/>
            <w:spacing w:val="-5"/>
          </w:rPr>
          <w:t>87</w:t>
        </w:r>
      </w:hyperlink>
    </w:p>
    <w:p>
      <w:pPr>
        <w:spacing w:after="0" w:line="276" w:lineRule="auto"/>
        <w:jc w:val="both"/>
        <w:rPr>
          <w:rFonts w:ascii="Times New Roman" w:eastAsia="Times New Roman"/>
        </w:rPr>
        <w:sectPr>
          <w:type w:val="continuous"/>
          <w:pgSz w:w="11910" w:h="16840"/>
          <w:pgMar w:header="590" w:footer="784" w:top="1360" w:bottom="980" w:left="1480" w:right="1080"/>
        </w:sectPr>
      </w:pPr>
    </w:p>
    <w:p>
      <w:pPr>
        <w:spacing w:before="60"/>
        <w:ind w:left="221" w:right="0" w:firstLine="0"/>
        <w:jc w:val="left"/>
        <w:rPr>
          <w:b/>
          <w:sz w:val="28"/>
        </w:rPr>
      </w:pPr>
      <w:r>
        <w:rPr>
          <w:b/>
          <w:spacing w:val="-5"/>
          <w:sz w:val="28"/>
        </w:rPr>
        <w:t>表目录</w:t>
      </w:r>
    </w:p>
    <w:p>
      <w:pPr>
        <w:pStyle w:val="BodyText"/>
        <w:tabs>
          <w:tab w:pos="1923" w:val="left" w:leader="none"/>
          <w:tab w:pos="8390" w:val="left" w:leader="dot"/>
        </w:tabs>
        <w:spacing w:before="120"/>
        <w:rPr>
          <w:rFonts w:ascii="Times New Roman" w:eastAsia="Times New Roman"/>
        </w:rPr>
      </w:pPr>
      <w:hyperlink w:history="true" w:anchor="_bookmark9">
        <w:r>
          <w:rPr/>
          <w:t>表</w:t>
        </w:r>
        <w:r>
          <w:rPr>
            <w:spacing w:val="-60"/>
          </w:rPr>
          <w:t> </w:t>
        </w:r>
        <w:r>
          <w:rPr>
            <w:rFonts w:ascii="Times New Roman" w:eastAsia="Times New Roman"/>
            <w:spacing w:val="-10"/>
          </w:rPr>
          <w:t>1</w:t>
        </w:r>
        <w:r>
          <w:rPr>
            <w:rFonts w:ascii="Times New Roman" w:eastAsia="Times New Roman"/>
          </w:rPr>
          <w:tab/>
          <w:t>52</w:t>
        </w:r>
        <w:r>
          <w:rPr>
            <w:rFonts w:ascii="Times New Roman" w:eastAsia="Times New Roman"/>
            <w:spacing w:val="-14"/>
          </w:rPr>
          <w:t> </w:t>
        </w:r>
        <w:r>
          <w:rPr/>
          <w:t>周治疗期的研究活动时间</w:t>
        </w:r>
        <w:r>
          <w:rPr>
            <w:spacing w:val="-10"/>
          </w:rPr>
          <w:t>表</w:t>
        </w:r>
        <w:r>
          <w:rPr>
            <w:rFonts w:ascii="Times New Roman" w:eastAsia="Times New Roman"/>
            <w:b/>
          </w:rPr>
          <w:tab/>
        </w:r>
        <w:r>
          <w:rPr>
            <w:rFonts w:ascii="Times New Roman" w:eastAsia="Times New Roman"/>
            <w:spacing w:val="-5"/>
          </w:rPr>
          <w:t>17</w:t>
        </w:r>
      </w:hyperlink>
    </w:p>
    <w:p>
      <w:pPr>
        <w:pStyle w:val="BodyText"/>
        <w:tabs>
          <w:tab w:pos="1923" w:val="left" w:leader="none"/>
          <w:tab w:pos="8390" w:val="left" w:leader="dot"/>
        </w:tabs>
        <w:spacing w:before="105"/>
        <w:rPr>
          <w:rFonts w:ascii="Times New Roman" w:eastAsia="Times New Roman"/>
        </w:rPr>
      </w:pPr>
      <w:hyperlink w:history="true" w:anchor="_bookmark11">
        <w:r>
          <w:rPr/>
          <w:t>表</w:t>
        </w:r>
        <w:r>
          <w:rPr>
            <w:spacing w:val="-60"/>
          </w:rPr>
          <w:t> </w:t>
        </w:r>
        <w:r>
          <w:rPr>
            <w:rFonts w:ascii="Times New Roman" w:eastAsia="Times New Roman"/>
            <w:spacing w:val="-10"/>
          </w:rPr>
          <w:t>2</w:t>
        </w:r>
        <w:r>
          <w:rPr>
            <w:rFonts w:ascii="Times New Roman" w:eastAsia="Times New Roman"/>
          </w:rPr>
          <w:tab/>
          <w:t>28</w:t>
        </w:r>
        <w:r>
          <w:rPr>
            <w:rFonts w:ascii="Times New Roman" w:eastAsia="Times New Roman"/>
            <w:spacing w:val="-14"/>
          </w:rPr>
          <w:t> </w:t>
        </w:r>
        <w:r>
          <w:rPr/>
          <w:t>周治疗期的研究活动时间</w:t>
        </w:r>
        <w:r>
          <w:rPr>
            <w:spacing w:val="-10"/>
          </w:rPr>
          <w:t>表</w:t>
        </w:r>
        <w:r>
          <w:rPr>
            <w:rFonts w:ascii="Times New Roman" w:eastAsia="Times New Roman"/>
            <w:b/>
          </w:rPr>
          <w:tab/>
        </w:r>
        <w:r>
          <w:rPr>
            <w:rFonts w:ascii="Times New Roman" w:eastAsia="Times New Roman"/>
            <w:spacing w:val="-5"/>
          </w:rPr>
          <w:t>24</w:t>
        </w:r>
      </w:hyperlink>
    </w:p>
    <w:p>
      <w:pPr>
        <w:pStyle w:val="BodyText"/>
        <w:tabs>
          <w:tab w:pos="1923" w:val="left" w:leader="none"/>
          <w:tab w:pos="8390" w:val="left" w:leader="dot"/>
        </w:tabs>
        <w:spacing w:before="106"/>
        <w:rPr>
          <w:rFonts w:ascii="Times New Roman" w:eastAsia="Times New Roman"/>
        </w:rPr>
      </w:pPr>
      <w:hyperlink w:history="true" w:anchor="_bookmark20">
        <w:r>
          <w:rPr/>
          <w:t>表</w:t>
        </w:r>
        <w:r>
          <w:rPr>
            <w:spacing w:val="-60"/>
          </w:rPr>
          <w:t> </w:t>
        </w:r>
        <w:r>
          <w:rPr>
            <w:rFonts w:ascii="Times New Roman" w:eastAsia="Times New Roman"/>
            <w:spacing w:val="-10"/>
          </w:rPr>
          <w:t>3</w:t>
        </w:r>
        <w:r>
          <w:rPr>
            <w:rFonts w:ascii="Times New Roman" w:eastAsia="Times New Roman"/>
          </w:rPr>
          <w:tab/>
        </w:r>
        <w:r>
          <w:rPr/>
          <w:t>研究目的和终</w:t>
        </w:r>
        <w:r>
          <w:rPr>
            <w:spacing w:val="-10"/>
          </w:rPr>
          <w:t>点</w:t>
        </w:r>
        <w:r>
          <w:rPr>
            <w:rFonts w:ascii="Times New Roman" w:eastAsia="Times New Roman"/>
            <w:b/>
          </w:rPr>
          <w:tab/>
        </w:r>
        <w:r>
          <w:rPr>
            <w:rFonts w:ascii="Times New Roman" w:eastAsia="Times New Roman"/>
            <w:spacing w:val="-5"/>
          </w:rPr>
          <w:t>33</w:t>
        </w:r>
      </w:hyperlink>
    </w:p>
    <w:p>
      <w:pPr>
        <w:pStyle w:val="BodyText"/>
        <w:tabs>
          <w:tab w:pos="1923" w:val="left" w:leader="none"/>
          <w:tab w:pos="8390" w:val="left" w:leader="dot"/>
        </w:tabs>
        <w:spacing w:before="106"/>
        <w:rPr>
          <w:rFonts w:ascii="Times New Roman" w:eastAsia="Times New Roman"/>
        </w:rPr>
      </w:pPr>
      <w:hyperlink w:history="true" w:anchor="_bookmark49">
        <w:r>
          <w:rPr/>
          <w:t>表</w:t>
        </w:r>
        <w:r>
          <w:rPr>
            <w:spacing w:val="-60"/>
          </w:rPr>
          <w:t> </w:t>
        </w:r>
        <w:r>
          <w:rPr>
            <w:rFonts w:ascii="Times New Roman" w:eastAsia="Times New Roman"/>
            <w:spacing w:val="-10"/>
          </w:rPr>
          <w:t>4</w:t>
        </w:r>
        <w:r>
          <w:rPr>
            <w:rFonts w:ascii="Times New Roman" w:eastAsia="Times New Roman"/>
          </w:rPr>
          <w:tab/>
        </w:r>
        <w:r>
          <w:rPr/>
          <w:t>研究干</w:t>
        </w:r>
        <w:r>
          <w:rPr>
            <w:spacing w:val="-10"/>
          </w:rPr>
          <w:t>预</w:t>
        </w:r>
        <w:r>
          <w:rPr>
            <w:rFonts w:ascii="Times New Roman" w:eastAsia="Times New Roman"/>
            <w:b/>
          </w:rPr>
          <w:tab/>
        </w:r>
        <w:r>
          <w:rPr>
            <w:rFonts w:ascii="Times New Roman" w:eastAsia="Times New Roman"/>
            <w:spacing w:val="-5"/>
          </w:rPr>
          <w:t>47</w:t>
        </w:r>
      </w:hyperlink>
    </w:p>
    <w:p>
      <w:pPr>
        <w:pStyle w:val="BodyText"/>
        <w:tabs>
          <w:tab w:pos="1923" w:val="left" w:leader="none"/>
          <w:tab w:pos="8390" w:val="left" w:leader="dot"/>
        </w:tabs>
        <w:spacing w:before="107"/>
        <w:rPr>
          <w:rFonts w:ascii="Times New Roman" w:eastAsia="Times New Roman"/>
        </w:rPr>
      </w:pPr>
      <w:hyperlink w:history="true" w:anchor="_bookmark69">
        <w:r>
          <w:rPr/>
          <w:t>表</w:t>
        </w:r>
        <w:r>
          <w:rPr>
            <w:spacing w:val="-60"/>
          </w:rPr>
          <w:t> </w:t>
        </w:r>
        <w:r>
          <w:rPr>
            <w:rFonts w:ascii="Times New Roman" w:eastAsia="Times New Roman"/>
            <w:spacing w:val="-10"/>
          </w:rPr>
          <w:t>5</w:t>
        </w:r>
        <w:r>
          <w:rPr>
            <w:rFonts w:ascii="Times New Roman" w:eastAsia="Times New Roman"/>
          </w:rPr>
          <w:tab/>
        </w:r>
        <w:r>
          <w:rPr/>
          <w:t>允许、限制和禁止的合并用</w:t>
        </w:r>
        <w:r>
          <w:rPr>
            <w:spacing w:val="-10"/>
          </w:rPr>
          <w:t>药</w:t>
        </w:r>
        <w:r>
          <w:rPr>
            <w:rFonts w:ascii="Times New Roman" w:eastAsia="Times New Roman"/>
            <w:b/>
          </w:rPr>
          <w:tab/>
        </w:r>
        <w:r>
          <w:rPr>
            <w:rFonts w:ascii="Times New Roman" w:eastAsia="Times New Roman"/>
            <w:spacing w:val="-5"/>
          </w:rPr>
          <w:t>56</w:t>
        </w:r>
      </w:hyperlink>
    </w:p>
    <w:p>
      <w:pPr>
        <w:pStyle w:val="BodyText"/>
        <w:tabs>
          <w:tab w:pos="1923" w:val="left" w:leader="none"/>
          <w:tab w:pos="8390" w:val="left" w:leader="dot"/>
        </w:tabs>
        <w:spacing w:before="105"/>
        <w:rPr>
          <w:rFonts w:ascii="Times New Roman" w:eastAsia="Times New Roman"/>
        </w:rPr>
      </w:pPr>
      <w:hyperlink w:history="true" w:anchor="_bookmark92">
        <w:r>
          <w:rPr/>
          <w:t>表</w:t>
        </w:r>
        <w:r>
          <w:rPr>
            <w:spacing w:val="-60"/>
          </w:rPr>
          <w:t> </w:t>
        </w:r>
        <w:r>
          <w:rPr>
            <w:rFonts w:ascii="Times New Roman" w:eastAsia="Times New Roman"/>
            <w:spacing w:val="-10"/>
          </w:rPr>
          <w:t>6</w:t>
        </w:r>
        <w:r>
          <w:rPr>
            <w:rFonts w:ascii="Times New Roman" w:eastAsia="Times New Roman"/>
          </w:rPr>
          <w:tab/>
        </w:r>
        <w:r>
          <w:rPr/>
          <w:t>实验室安全性变</w:t>
        </w:r>
        <w:r>
          <w:rPr>
            <w:spacing w:val="-10"/>
          </w:rPr>
          <w:t>量</w:t>
        </w:r>
        <w:r>
          <w:rPr>
            <w:rFonts w:ascii="Times New Roman" w:eastAsia="Times New Roman"/>
            <w:b/>
          </w:rPr>
          <w:tab/>
        </w:r>
        <w:r>
          <w:rPr>
            <w:rFonts w:ascii="Times New Roman" w:eastAsia="Times New Roman"/>
            <w:spacing w:val="-5"/>
          </w:rPr>
          <w:t>69</w:t>
        </w:r>
      </w:hyperlink>
    </w:p>
    <w:p>
      <w:pPr>
        <w:pStyle w:val="BodyText"/>
        <w:tabs>
          <w:tab w:pos="1923" w:val="left" w:leader="none"/>
          <w:tab w:pos="8390" w:val="left" w:leader="dot"/>
        </w:tabs>
        <w:spacing w:before="106"/>
        <w:rPr>
          <w:rFonts w:ascii="Times New Roman" w:eastAsia="Times New Roman"/>
        </w:rPr>
      </w:pPr>
      <w:hyperlink w:history="true" w:anchor="_bookmark133">
        <w:r>
          <w:rPr/>
          <w:t>表</w:t>
        </w:r>
        <w:r>
          <w:rPr>
            <w:spacing w:val="-60"/>
          </w:rPr>
          <w:t> </w:t>
        </w:r>
        <w:r>
          <w:rPr>
            <w:rFonts w:ascii="Times New Roman" w:eastAsia="Times New Roman"/>
            <w:spacing w:val="-10"/>
          </w:rPr>
          <w:t>7</w:t>
        </w:r>
        <w:r>
          <w:rPr>
            <w:rFonts w:ascii="Times New Roman" w:eastAsia="Times New Roman"/>
          </w:rPr>
          <w:tab/>
        </w:r>
        <w:r>
          <w:rPr/>
          <w:t>分析人</w:t>
        </w:r>
        <w:r>
          <w:rPr>
            <w:spacing w:val="-10"/>
          </w:rPr>
          <w:t>群</w:t>
        </w:r>
        <w:r>
          <w:rPr>
            <w:rFonts w:ascii="Times New Roman" w:eastAsia="Times New Roman"/>
            <w:b/>
          </w:rPr>
          <w:tab/>
        </w:r>
        <w:r>
          <w:rPr>
            <w:rFonts w:ascii="Times New Roman" w:eastAsia="Times New Roman"/>
            <w:spacing w:val="-5"/>
          </w:rPr>
          <w:t>83</w:t>
        </w:r>
      </w:hyperlink>
    </w:p>
    <w:p>
      <w:pPr>
        <w:pStyle w:val="BodyText"/>
        <w:tabs>
          <w:tab w:pos="1923" w:val="left" w:leader="none"/>
          <w:tab w:pos="8390" w:val="left" w:leader="dot"/>
        </w:tabs>
        <w:spacing w:before="107"/>
        <w:rPr>
          <w:rFonts w:ascii="Times New Roman" w:eastAsia="Times New Roman"/>
        </w:rPr>
      </w:pPr>
      <w:hyperlink w:history="true" w:anchor="_bookmark136">
        <w:r>
          <w:rPr/>
          <w:t>表</w:t>
        </w:r>
        <w:r>
          <w:rPr>
            <w:spacing w:val="-60"/>
          </w:rPr>
          <w:t> </w:t>
        </w:r>
        <w:r>
          <w:rPr>
            <w:rFonts w:ascii="Times New Roman" w:eastAsia="Times New Roman"/>
            <w:spacing w:val="-10"/>
          </w:rPr>
          <w:t>8</w:t>
        </w:r>
        <w:r>
          <w:rPr>
            <w:rFonts w:ascii="Times New Roman" w:eastAsia="Times New Roman"/>
          </w:rPr>
          <w:tab/>
        </w:r>
        <w:r>
          <w:rPr/>
          <w:t>用于分析的治疗</w:t>
        </w:r>
        <w:r>
          <w:rPr>
            <w:spacing w:val="-10"/>
          </w:rPr>
          <w:t>组</w:t>
        </w:r>
        <w:r>
          <w:rPr>
            <w:rFonts w:ascii="Times New Roman" w:eastAsia="Times New Roman"/>
            <w:b/>
          </w:rPr>
          <w:tab/>
        </w:r>
        <w:r>
          <w:rPr>
            <w:rFonts w:ascii="Times New Roman" w:eastAsia="Times New Roman"/>
            <w:spacing w:val="-5"/>
          </w:rPr>
          <w:t>84</w:t>
        </w:r>
      </w:hyperlink>
    </w:p>
    <w:p>
      <w:pPr>
        <w:pStyle w:val="BodyText"/>
        <w:tabs>
          <w:tab w:pos="1923" w:val="left" w:leader="none"/>
          <w:tab w:pos="8270" w:val="left" w:leader="dot"/>
        </w:tabs>
        <w:spacing w:before="105"/>
        <w:rPr>
          <w:rFonts w:ascii="Times New Roman" w:eastAsia="Times New Roman"/>
        </w:rPr>
      </w:pPr>
      <w:hyperlink w:history="true" w:anchor="_bookmark160">
        <w:r>
          <w:rPr/>
          <w:t>表</w:t>
        </w:r>
        <w:r>
          <w:rPr>
            <w:spacing w:val="-60"/>
          </w:rPr>
          <w:t> </w:t>
        </w:r>
        <w:r>
          <w:rPr>
            <w:rFonts w:ascii="Times New Roman" w:eastAsia="Times New Roman"/>
            <w:spacing w:val="-5"/>
          </w:rPr>
          <w:t>E1</w:t>
        </w:r>
        <w:r>
          <w:rPr>
            <w:rFonts w:ascii="Times New Roman" w:eastAsia="Times New Roman"/>
          </w:rPr>
          <w:tab/>
        </w:r>
        <w:r>
          <w:rPr/>
          <w:t>高效避孕方</w:t>
        </w:r>
        <w:r>
          <w:rPr>
            <w:spacing w:val="-10"/>
          </w:rPr>
          <w:t>法</w:t>
        </w:r>
        <w:r>
          <w:rPr>
            <w:rFonts w:ascii="Times New Roman" w:eastAsia="Times New Roman"/>
            <w:b/>
          </w:rPr>
          <w:tab/>
        </w:r>
        <w:r>
          <w:rPr>
            <w:rFonts w:ascii="Times New Roman" w:eastAsia="Times New Roman"/>
            <w:spacing w:val="-5"/>
          </w:rPr>
          <w:t>114</w:t>
        </w:r>
      </w:hyperlink>
    </w:p>
    <w:p>
      <w:pPr>
        <w:pStyle w:val="Heading1"/>
        <w:spacing w:before="442"/>
        <w:ind w:left="221" w:firstLine="0"/>
      </w:pPr>
      <w:r>
        <w:rPr>
          <w:spacing w:val="-4"/>
        </w:rPr>
        <w:t>附录目录</w:t>
      </w:r>
    </w:p>
    <w:p>
      <w:pPr>
        <w:pStyle w:val="BodyText"/>
        <w:tabs>
          <w:tab w:pos="1923" w:val="left" w:leader="none"/>
          <w:tab w:pos="8390" w:val="left" w:leader="dot"/>
        </w:tabs>
        <w:spacing w:before="120"/>
        <w:rPr>
          <w:rFonts w:ascii="Times New Roman" w:eastAsia="Times New Roman"/>
        </w:rPr>
      </w:pPr>
      <w:hyperlink w:history="true" w:anchor="_bookmark149">
        <w:r>
          <w:rPr/>
          <w:t>附录</w:t>
        </w:r>
        <w:r>
          <w:rPr>
            <w:spacing w:val="-60"/>
          </w:rPr>
          <w:t> </w:t>
        </w:r>
        <w:r>
          <w:rPr>
            <w:rFonts w:ascii="Times New Roman" w:eastAsia="Times New Roman"/>
            <w:b/>
            <w:spacing w:val="-10"/>
          </w:rPr>
          <w:t>A</w:t>
        </w:r>
        <w:r>
          <w:rPr>
            <w:rFonts w:ascii="Times New Roman" w:eastAsia="Times New Roman"/>
            <w:b/>
          </w:rPr>
          <w:tab/>
        </w:r>
        <w:r>
          <w:rPr/>
          <w:t>药政监管、伦理学和研究监管考察因</w:t>
        </w:r>
        <w:r>
          <w:rPr>
            <w:spacing w:val="-10"/>
          </w:rPr>
          <w:t>素</w:t>
        </w:r>
        <w:r>
          <w:rPr>
            <w:rFonts w:ascii="Times New Roman" w:eastAsia="Times New Roman"/>
            <w:b/>
          </w:rPr>
          <w:tab/>
        </w:r>
        <w:r>
          <w:rPr>
            <w:rFonts w:ascii="Times New Roman" w:eastAsia="Times New Roman"/>
            <w:spacing w:val="-5"/>
          </w:rPr>
          <w:t>96</w:t>
        </w:r>
      </w:hyperlink>
    </w:p>
    <w:p>
      <w:pPr>
        <w:pStyle w:val="BodyText"/>
        <w:tabs>
          <w:tab w:pos="1923" w:val="left" w:leader="none"/>
          <w:tab w:pos="8270" w:val="left" w:leader="dot"/>
        </w:tabs>
        <w:spacing w:before="105"/>
        <w:rPr>
          <w:rFonts w:ascii="Times New Roman" w:eastAsia="Times New Roman"/>
        </w:rPr>
      </w:pPr>
      <w:hyperlink w:history="true" w:anchor="_bookmark150">
        <w:r>
          <w:rPr/>
          <w:t>附录</w:t>
        </w:r>
        <w:r>
          <w:rPr>
            <w:spacing w:val="-60"/>
          </w:rPr>
          <w:t> </w:t>
        </w:r>
        <w:r>
          <w:rPr>
            <w:rFonts w:ascii="Times New Roman" w:eastAsia="Times New Roman"/>
            <w:b/>
            <w:spacing w:val="-10"/>
          </w:rPr>
          <w:t>B</w:t>
        </w:r>
        <w:r>
          <w:rPr>
            <w:rFonts w:ascii="Times New Roman" w:eastAsia="Times New Roman"/>
            <w:b/>
          </w:rPr>
          <w:tab/>
        </w:r>
        <w:r>
          <w:rPr/>
          <w:t>不良事件：记录、评价、随访和报告的定义和程</w:t>
        </w:r>
        <w:r>
          <w:rPr>
            <w:spacing w:val="-10"/>
          </w:rPr>
          <w:t>序</w:t>
        </w:r>
        <w:r>
          <w:rPr>
            <w:rFonts w:ascii="Times New Roman" w:eastAsia="Times New Roman"/>
            <w:b/>
          </w:rPr>
          <w:tab/>
        </w:r>
        <w:r>
          <w:rPr>
            <w:rFonts w:ascii="Times New Roman" w:eastAsia="Times New Roman"/>
            <w:spacing w:val="-5"/>
          </w:rPr>
          <w:t>102</w:t>
        </w:r>
      </w:hyperlink>
    </w:p>
    <w:p>
      <w:pPr>
        <w:pStyle w:val="BodyText"/>
        <w:tabs>
          <w:tab w:pos="1923" w:val="left" w:leader="none"/>
          <w:tab w:pos="8270" w:val="left" w:leader="dot"/>
        </w:tabs>
        <w:spacing w:before="106"/>
        <w:rPr>
          <w:rFonts w:ascii="Times New Roman" w:eastAsia="Times New Roman"/>
        </w:rPr>
      </w:pPr>
      <w:hyperlink w:history="true" w:anchor="_bookmark153">
        <w:r>
          <w:rPr/>
          <w:t>附录</w:t>
        </w:r>
        <w:r>
          <w:rPr>
            <w:spacing w:val="-60"/>
          </w:rPr>
          <w:t> </w:t>
        </w:r>
        <w:r>
          <w:rPr>
            <w:rFonts w:ascii="Times New Roman" w:eastAsia="Times New Roman"/>
            <w:b/>
            <w:spacing w:val="-10"/>
          </w:rPr>
          <w:t>C</w:t>
        </w:r>
        <w:r>
          <w:rPr>
            <w:rFonts w:ascii="Times New Roman" w:eastAsia="Times New Roman"/>
            <w:b/>
          </w:rPr>
          <w:tab/>
        </w:r>
        <w:r>
          <w:rPr/>
          <w:t>人体生物样本的处</w:t>
        </w:r>
        <w:r>
          <w:rPr>
            <w:spacing w:val="-10"/>
          </w:rPr>
          <w:t>理</w:t>
        </w:r>
        <w:r>
          <w:rPr>
            <w:rFonts w:ascii="Times New Roman" w:eastAsia="Times New Roman"/>
            <w:b/>
          </w:rPr>
          <w:tab/>
        </w:r>
        <w:r>
          <w:rPr>
            <w:rFonts w:ascii="Times New Roman" w:eastAsia="Times New Roman"/>
            <w:spacing w:val="-5"/>
          </w:rPr>
          <w:t>107</w:t>
        </w:r>
      </w:hyperlink>
    </w:p>
    <w:p>
      <w:pPr>
        <w:pStyle w:val="BodyText"/>
        <w:tabs>
          <w:tab w:pos="1923" w:val="left" w:leader="none"/>
          <w:tab w:pos="8270" w:val="left" w:leader="dot"/>
        </w:tabs>
        <w:spacing w:before="107"/>
        <w:rPr>
          <w:rFonts w:ascii="Times New Roman" w:eastAsia="Times New Roman"/>
        </w:rPr>
      </w:pPr>
      <w:hyperlink w:history="true" w:anchor="_bookmark155">
        <w:r>
          <w:rPr/>
          <w:t>附录</w:t>
        </w:r>
        <w:r>
          <w:rPr>
            <w:spacing w:val="-60"/>
          </w:rPr>
          <w:t> </w:t>
        </w:r>
        <w:r>
          <w:rPr>
            <w:rFonts w:ascii="Times New Roman" w:eastAsia="Times New Roman"/>
            <w:b/>
            <w:spacing w:val="-10"/>
          </w:rPr>
          <w:t>D</w:t>
        </w:r>
        <w:r>
          <w:rPr>
            <w:rFonts w:ascii="Times New Roman" w:eastAsia="Times New Roman"/>
            <w:b/>
          </w:rPr>
          <w:tab/>
        </w:r>
        <w:r>
          <w:rPr/>
          <w:t>肝生化指标升高及海氏法则评价所需采取的措</w:t>
        </w:r>
        <w:r>
          <w:rPr>
            <w:spacing w:val="-10"/>
          </w:rPr>
          <w:t>施</w:t>
        </w:r>
        <w:r>
          <w:rPr>
            <w:rFonts w:ascii="Times New Roman" w:eastAsia="Times New Roman"/>
            <w:b/>
          </w:rPr>
          <w:tab/>
        </w:r>
        <w:r>
          <w:rPr>
            <w:rFonts w:ascii="Times New Roman" w:eastAsia="Times New Roman"/>
            <w:spacing w:val="-5"/>
          </w:rPr>
          <w:t>109</w:t>
        </w:r>
      </w:hyperlink>
    </w:p>
    <w:p>
      <w:pPr>
        <w:tabs>
          <w:tab w:pos="1923" w:val="left" w:leader="none"/>
          <w:tab w:pos="8270" w:val="left" w:leader="dot"/>
        </w:tabs>
        <w:spacing w:before="106"/>
        <w:ind w:left="221" w:right="0" w:firstLine="0"/>
        <w:jc w:val="left"/>
        <w:rPr>
          <w:rFonts w:ascii="Times New Roman" w:eastAsia="Times New Roman"/>
          <w:sz w:val="24"/>
        </w:rPr>
      </w:pPr>
      <w:hyperlink w:history="true" w:anchor="_bookmark159">
        <w:r>
          <w:rPr>
            <w:sz w:val="24"/>
          </w:rPr>
          <w:t>附录</w:t>
        </w:r>
        <w:r>
          <w:rPr>
            <w:spacing w:val="-60"/>
            <w:sz w:val="24"/>
          </w:rPr>
          <w:t> </w:t>
        </w:r>
        <w:r>
          <w:rPr>
            <w:rFonts w:ascii="Times New Roman" w:eastAsia="Times New Roman"/>
            <w:b/>
            <w:spacing w:val="-10"/>
            <w:sz w:val="24"/>
          </w:rPr>
          <w:t>E</w:t>
        </w:r>
        <w:r>
          <w:rPr>
            <w:rFonts w:ascii="Times New Roman" w:eastAsia="Times New Roman"/>
            <w:b/>
            <w:sz w:val="24"/>
          </w:rPr>
          <w:tab/>
        </w:r>
        <w:r>
          <w:rPr>
            <w:sz w:val="24"/>
          </w:rPr>
          <w:t>避孕指</w:t>
        </w:r>
        <w:r>
          <w:rPr>
            <w:spacing w:val="-10"/>
            <w:sz w:val="24"/>
          </w:rPr>
          <w:t>南</w:t>
        </w:r>
        <w:r>
          <w:rPr>
            <w:rFonts w:ascii="Times New Roman" w:eastAsia="Times New Roman"/>
            <w:b/>
            <w:sz w:val="24"/>
          </w:rPr>
          <w:tab/>
        </w:r>
        <w:r>
          <w:rPr>
            <w:rFonts w:ascii="Times New Roman" w:eastAsia="Times New Roman"/>
            <w:spacing w:val="-5"/>
            <w:sz w:val="24"/>
          </w:rPr>
          <w:t>114</w:t>
        </w:r>
      </w:hyperlink>
    </w:p>
    <w:p>
      <w:pPr>
        <w:pStyle w:val="BodyText"/>
        <w:tabs>
          <w:tab w:pos="1923" w:val="left" w:leader="none"/>
          <w:tab w:pos="8270" w:val="left" w:leader="dot"/>
        </w:tabs>
        <w:spacing w:line="276" w:lineRule="auto" w:before="105"/>
        <w:ind w:left="1923" w:right="714" w:hanging="1702"/>
        <w:rPr>
          <w:rFonts w:ascii="Times New Roman" w:eastAsia="Times New Roman"/>
        </w:rPr>
      </w:pPr>
      <w:hyperlink w:history="true" w:anchor="_bookmark161">
        <w:r>
          <w:rPr/>
          <w:t>附录</w:t>
        </w:r>
        <w:r>
          <w:rPr>
            <w:spacing w:val="-41"/>
          </w:rPr>
          <w:t> </w:t>
        </w:r>
        <w:r>
          <w:rPr>
            <w:rFonts w:ascii="Times New Roman" w:eastAsia="Times New Roman"/>
            <w:b/>
          </w:rPr>
          <w:t>F</w:t>
          <w:tab/>
        </w:r>
        <w:r>
          <w:rPr>
            <w:spacing w:val="-2"/>
          </w:rPr>
          <w:t>美国国立过敏与传染病研究所以及食物过敏和速发严重过敏反</w:t>
        </w:r>
        <w:r>
          <w:rPr>
            <w:spacing w:val="-2"/>
          </w:rPr>
          <w:t> </w:t>
        </w:r>
      </w:hyperlink>
      <w:hyperlink w:history="true" w:anchor="_bookmark161">
        <w:r>
          <w:rPr/>
          <w:t>应网站的速发严重过敏反应诊断指</w:t>
        </w:r>
        <w:r>
          <w:rPr>
            <w:spacing w:val="-10"/>
          </w:rPr>
          <w:t>南</w:t>
        </w:r>
        <w:r>
          <w:rPr>
            <w:rFonts w:ascii="Times New Roman" w:eastAsia="Times New Roman"/>
            <w:b/>
          </w:rPr>
          <w:tab/>
        </w:r>
        <w:r>
          <w:rPr>
            <w:rFonts w:ascii="Times New Roman" w:eastAsia="Times New Roman"/>
            <w:spacing w:val="-5"/>
          </w:rPr>
          <w:t>116</w:t>
        </w:r>
      </w:hyperlink>
    </w:p>
    <w:p>
      <w:pPr>
        <w:pStyle w:val="BodyText"/>
        <w:tabs>
          <w:tab w:pos="1923" w:val="left" w:leader="none"/>
          <w:tab w:pos="8270" w:val="left" w:leader="dot"/>
        </w:tabs>
        <w:spacing w:before="59"/>
        <w:rPr>
          <w:rFonts w:ascii="Times New Roman" w:eastAsia="Times New Roman"/>
        </w:rPr>
      </w:pPr>
      <w:hyperlink w:history="true" w:anchor="_bookmark162">
        <w:r>
          <w:rPr/>
          <w:t>附录</w:t>
        </w:r>
        <w:r>
          <w:rPr>
            <w:spacing w:val="-60"/>
          </w:rPr>
          <w:t> </w:t>
        </w:r>
        <w:r>
          <w:rPr>
            <w:rFonts w:ascii="Times New Roman" w:eastAsia="Times New Roman"/>
            <w:b/>
            <w:spacing w:val="-10"/>
          </w:rPr>
          <w:t>G</w:t>
        </w:r>
        <w:r>
          <w:rPr>
            <w:rFonts w:ascii="Times New Roman" w:eastAsia="Times New Roman"/>
            <w:b/>
          </w:rPr>
          <w:tab/>
        </w:r>
        <w:r>
          <w:rPr/>
          <w:t>急性速发严重过敏反应体征和症状及管</w:t>
        </w:r>
        <w:r>
          <w:rPr>
            <w:spacing w:val="-10"/>
          </w:rPr>
          <w:t>理</w:t>
        </w:r>
        <w:r>
          <w:rPr>
            <w:rFonts w:ascii="Times New Roman" w:eastAsia="Times New Roman"/>
            <w:b/>
          </w:rPr>
          <w:tab/>
        </w:r>
        <w:r>
          <w:rPr>
            <w:rFonts w:ascii="Times New Roman" w:eastAsia="Times New Roman"/>
            <w:spacing w:val="-5"/>
          </w:rPr>
          <w:t>117</w:t>
        </w:r>
      </w:hyperlink>
    </w:p>
    <w:p>
      <w:pPr>
        <w:pStyle w:val="BodyText"/>
        <w:tabs>
          <w:tab w:pos="1923" w:val="left" w:leader="none"/>
          <w:tab w:pos="8270" w:val="left" w:leader="dot"/>
        </w:tabs>
        <w:spacing w:line="276" w:lineRule="auto" w:before="106"/>
        <w:ind w:left="1923" w:right="714" w:hanging="1702"/>
        <w:rPr>
          <w:rFonts w:ascii="Times New Roman" w:eastAsia="Times New Roman"/>
        </w:rPr>
      </w:pPr>
      <w:hyperlink w:history="true" w:anchor="_bookmark163">
        <w:r>
          <w:rPr/>
          <w:t>附录</w:t>
        </w:r>
        <w:r>
          <w:rPr>
            <w:spacing w:val="-41"/>
          </w:rPr>
          <w:t> </w:t>
        </w:r>
        <w:r>
          <w:rPr>
            <w:rFonts w:ascii="Times New Roman" w:eastAsia="Times New Roman"/>
            <w:b/>
          </w:rPr>
          <w:t>H</w:t>
          <w:tab/>
        </w:r>
        <w:r>
          <w:rPr>
            <w:spacing w:val="-2"/>
          </w:rPr>
          <w:t>由于内战、自然灾害或公共卫生危机导致研究中断的风险规避</w:t>
        </w:r>
        <w:r>
          <w:rPr>
            <w:spacing w:val="-2"/>
          </w:rPr>
          <w:t> </w:t>
        </w:r>
      </w:hyperlink>
      <w:hyperlink w:history="true" w:anchor="_bookmark163">
        <w:r>
          <w:rPr/>
          <w:t>相关变</w:t>
        </w:r>
        <w:r>
          <w:rPr>
            <w:spacing w:val="-10"/>
          </w:rPr>
          <w:t>化</w:t>
        </w:r>
        <w:r>
          <w:rPr>
            <w:rFonts w:ascii="Times New Roman" w:eastAsia="Times New Roman"/>
            <w:b/>
          </w:rPr>
          <w:tab/>
        </w:r>
        <w:r>
          <w:rPr>
            <w:rFonts w:ascii="Times New Roman" w:eastAsia="Times New Roman"/>
            <w:spacing w:val="-5"/>
          </w:rPr>
          <w:t>119</w:t>
        </w:r>
      </w:hyperlink>
    </w:p>
    <w:p>
      <w:pPr>
        <w:pStyle w:val="BodyText"/>
        <w:tabs>
          <w:tab w:pos="1923" w:val="left" w:leader="none"/>
          <w:tab w:pos="8270" w:val="left" w:leader="dot"/>
        </w:tabs>
        <w:spacing w:before="58"/>
        <w:rPr>
          <w:rFonts w:ascii="Times New Roman" w:eastAsia="Times New Roman"/>
        </w:rPr>
      </w:pPr>
      <w:hyperlink w:history="true" w:anchor="_bookmark167">
        <w:r>
          <w:rPr/>
          <w:t>附录</w:t>
        </w:r>
        <w:r>
          <w:rPr>
            <w:spacing w:val="-60"/>
          </w:rPr>
          <w:t> </w:t>
        </w:r>
        <w:r>
          <w:rPr>
            <w:rFonts w:ascii="Times New Roman" w:eastAsia="Times New Roman"/>
            <w:b/>
            <w:spacing w:val="-10"/>
          </w:rPr>
          <w:t>I</w:t>
        </w:r>
        <w:r>
          <w:rPr>
            <w:rFonts w:ascii="Times New Roman" w:eastAsia="Times New Roman"/>
            <w:b/>
          </w:rPr>
          <w:tab/>
        </w:r>
        <w:r>
          <w:rPr/>
          <w:t>吸入性皮质类固醇等效剂量的示</w:t>
        </w:r>
        <w:r>
          <w:rPr>
            <w:spacing w:val="-10"/>
          </w:rPr>
          <w:t>例</w:t>
        </w:r>
        <w:r>
          <w:rPr>
            <w:rFonts w:ascii="Times New Roman" w:eastAsia="Times New Roman"/>
            <w:b/>
          </w:rPr>
          <w:tab/>
        </w:r>
        <w:r>
          <w:rPr>
            <w:rFonts w:ascii="Times New Roman" w:eastAsia="Times New Roman"/>
            <w:spacing w:val="-5"/>
          </w:rPr>
          <w:t>121</w:t>
        </w:r>
      </w:hyperlink>
    </w:p>
    <w:p>
      <w:pPr>
        <w:pStyle w:val="BodyText"/>
        <w:tabs>
          <w:tab w:pos="1923" w:val="left" w:leader="none"/>
          <w:tab w:pos="8270" w:val="left" w:leader="dot"/>
        </w:tabs>
        <w:spacing w:before="106"/>
        <w:rPr>
          <w:rFonts w:ascii="Times New Roman" w:eastAsia="Times New Roman"/>
        </w:rPr>
      </w:pPr>
      <w:hyperlink w:history="true" w:anchor="_bookmark168">
        <w:r>
          <w:rPr/>
          <w:t>附录</w:t>
        </w:r>
        <w:r>
          <w:rPr>
            <w:spacing w:val="-60"/>
          </w:rPr>
          <w:t> </w:t>
        </w:r>
        <w:r>
          <w:rPr>
            <w:rFonts w:ascii="Times New Roman" w:eastAsia="Times New Roman"/>
            <w:b/>
            <w:spacing w:val="-10"/>
          </w:rPr>
          <w:t>J</w:t>
        </w:r>
        <w:r>
          <w:rPr>
            <w:rFonts w:ascii="Times New Roman" w:eastAsia="Times New Roman"/>
            <w:b/>
          </w:rPr>
          <w:tab/>
        </w:r>
        <w:r>
          <w:rPr/>
          <w:t>国家特定要</w:t>
        </w:r>
        <w:r>
          <w:rPr>
            <w:spacing w:val="-10"/>
          </w:rPr>
          <w:t>求</w:t>
        </w:r>
        <w:r>
          <w:rPr>
            <w:rFonts w:ascii="Times New Roman" w:eastAsia="Times New Roman"/>
            <w:b/>
          </w:rPr>
          <w:tab/>
        </w:r>
        <w:r>
          <w:rPr>
            <w:rFonts w:ascii="Times New Roman" w:eastAsia="Times New Roman"/>
            <w:spacing w:val="-5"/>
          </w:rPr>
          <w:t>122</w:t>
        </w:r>
      </w:hyperlink>
    </w:p>
    <w:p>
      <w:pPr>
        <w:tabs>
          <w:tab w:pos="1923" w:val="left" w:leader="none"/>
          <w:tab w:pos="8270" w:val="left" w:leader="dot"/>
        </w:tabs>
        <w:spacing w:before="106"/>
        <w:ind w:left="221" w:right="0" w:firstLine="0"/>
        <w:jc w:val="left"/>
        <w:rPr>
          <w:rFonts w:ascii="Times New Roman" w:eastAsia="Times New Roman"/>
          <w:sz w:val="24"/>
        </w:rPr>
      </w:pPr>
      <w:hyperlink w:history="true" w:anchor="_bookmark169">
        <w:r>
          <w:rPr>
            <w:sz w:val="24"/>
          </w:rPr>
          <w:t>附录</w:t>
        </w:r>
        <w:r>
          <w:rPr>
            <w:spacing w:val="-60"/>
            <w:sz w:val="24"/>
          </w:rPr>
          <w:t> </w:t>
        </w:r>
        <w:r>
          <w:rPr>
            <w:rFonts w:ascii="Times New Roman" w:eastAsia="Times New Roman"/>
            <w:b/>
            <w:spacing w:val="-10"/>
            <w:sz w:val="24"/>
          </w:rPr>
          <w:t>K</w:t>
        </w:r>
        <w:r>
          <w:rPr>
            <w:rFonts w:ascii="Times New Roman" w:eastAsia="Times New Roman"/>
            <w:b/>
            <w:sz w:val="24"/>
          </w:rPr>
          <w:tab/>
        </w:r>
        <w:r>
          <w:rPr>
            <w:sz w:val="24"/>
          </w:rPr>
          <w:t>缩略</w:t>
        </w:r>
        <w:r>
          <w:rPr>
            <w:spacing w:val="-10"/>
            <w:sz w:val="24"/>
          </w:rPr>
          <w:t>语</w:t>
        </w:r>
        <w:r>
          <w:rPr>
            <w:rFonts w:ascii="Times New Roman" w:eastAsia="Times New Roman"/>
            <w:b/>
            <w:sz w:val="24"/>
          </w:rPr>
          <w:tab/>
        </w:r>
        <w:r>
          <w:rPr>
            <w:rFonts w:ascii="Times New Roman" w:eastAsia="Times New Roman"/>
            <w:spacing w:val="-5"/>
            <w:sz w:val="24"/>
          </w:rPr>
          <w:t>124</w:t>
        </w:r>
      </w:hyperlink>
    </w:p>
    <w:p>
      <w:pPr>
        <w:pStyle w:val="BodyText"/>
        <w:tabs>
          <w:tab w:pos="1923" w:val="left" w:leader="none"/>
          <w:tab w:pos="8270" w:val="left" w:leader="dot"/>
        </w:tabs>
        <w:spacing w:before="105"/>
        <w:rPr>
          <w:rFonts w:ascii="Times New Roman" w:eastAsia="Times New Roman"/>
        </w:rPr>
      </w:pPr>
      <w:hyperlink w:history="true" w:anchor="_bookmark170">
        <w:r>
          <w:rPr/>
          <w:t>附录</w:t>
        </w:r>
        <w:r>
          <w:rPr>
            <w:spacing w:val="-60"/>
          </w:rPr>
          <w:t> </w:t>
        </w:r>
        <w:r>
          <w:rPr>
            <w:rFonts w:ascii="Times New Roman" w:eastAsia="Times New Roman"/>
            <w:b/>
            <w:spacing w:val="-10"/>
          </w:rPr>
          <w:t>L</w:t>
        </w:r>
        <w:r>
          <w:rPr>
            <w:rFonts w:ascii="Times New Roman" w:eastAsia="Times New Roman"/>
            <w:b/>
          </w:rPr>
          <w:tab/>
        </w:r>
        <w:r>
          <w:rPr/>
          <w:t>方案版本历</w:t>
        </w:r>
        <w:r>
          <w:rPr>
            <w:spacing w:val="-10"/>
          </w:rPr>
          <w:t>史</w:t>
        </w:r>
        <w:r>
          <w:rPr>
            <w:rFonts w:ascii="Times New Roman" w:eastAsia="Times New Roman"/>
            <w:b/>
          </w:rPr>
          <w:tab/>
        </w:r>
        <w:r>
          <w:rPr>
            <w:rFonts w:ascii="Times New Roman" w:eastAsia="Times New Roman"/>
            <w:spacing w:val="-5"/>
          </w:rPr>
          <w:t>127</w:t>
        </w:r>
      </w:hyperlink>
    </w:p>
    <w:p>
      <w:pPr>
        <w:spacing w:after="0"/>
        <w:rPr>
          <w:rFonts w:ascii="Times New Roman" w:eastAsia="Times New Roman"/>
        </w:rPr>
        <w:sectPr>
          <w:pgSz w:w="11910" w:h="16840"/>
          <w:pgMar w:header="590" w:footer="784" w:top="1360" w:bottom="980" w:left="1480" w:right="1080"/>
        </w:sectPr>
      </w:pPr>
    </w:p>
    <w:p>
      <w:pPr>
        <w:pStyle w:val="Heading1"/>
        <w:numPr>
          <w:ilvl w:val="0"/>
          <w:numId w:val="3"/>
        </w:numPr>
        <w:tabs>
          <w:tab w:pos="1355" w:val="left" w:leader="none"/>
        </w:tabs>
        <w:spacing w:line="240" w:lineRule="auto" w:before="60" w:after="0"/>
        <w:ind w:left="1355" w:right="0" w:hanging="1134"/>
        <w:jc w:val="left"/>
      </w:pPr>
      <w:bookmarkStart w:name="1 研究方案总结" w:id="7"/>
      <w:bookmarkEnd w:id="7"/>
      <w:r>
        <w:rPr>
          <w:b w:val="0"/>
        </w:rPr>
      </w:r>
      <w:bookmarkStart w:name="_bookmark3" w:id="8"/>
      <w:bookmarkEnd w:id="8"/>
      <w:r>
        <w:rPr>
          <w:b w:val="0"/>
        </w:rPr>
      </w:r>
      <w:r>
        <w:rPr>
          <w:spacing w:val="-5"/>
        </w:rPr>
        <w:t>研究方案总结</w:t>
      </w:r>
    </w:p>
    <w:p>
      <w:pPr>
        <w:pStyle w:val="Heading1"/>
        <w:numPr>
          <w:ilvl w:val="1"/>
          <w:numId w:val="3"/>
        </w:numPr>
        <w:tabs>
          <w:tab w:pos="1355" w:val="left" w:leader="none"/>
        </w:tabs>
        <w:spacing w:line="240" w:lineRule="auto" w:before="120" w:after="0"/>
        <w:ind w:left="1355" w:right="0" w:hanging="1134"/>
        <w:jc w:val="left"/>
      </w:pPr>
      <w:bookmarkStart w:name="1.1 研究概要" w:id="9"/>
      <w:bookmarkEnd w:id="9"/>
      <w:r>
        <w:rPr>
          <w:b w:val="0"/>
        </w:rPr>
      </w:r>
      <w:bookmarkStart w:name="_bookmark4" w:id="10"/>
      <w:bookmarkEnd w:id="10"/>
      <w:r>
        <w:rPr>
          <w:b w:val="0"/>
        </w:rPr>
      </w:r>
      <w:r>
        <w:rPr>
          <w:spacing w:val="-4"/>
        </w:rPr>
        <w:t>研究概要</w:t>
      </w:r>
    </w:p>
    <w:p>
      <w:pPr>
        <w:pStyle w:val="BodyText"/>
        <w:spacing w:line="276" w:lineRule="auto" w:before="119"/>
        <w:ind w:right="115" w:firstLine="482"/>
      </w:pPr>
      <w:r>
        <w:rPr>
          <w:b/>
          <w:spacing w:val="-2"/>
        </w:rPr>
        <w:t>方案标题：</w:t>
      </w:r>
      <w:r>
        <w:rPr>
          <w:spacing w:val="-2"/>
        </w:rPr>
        <w:t>一项在具有急性加重史的慢性阻塞性肺疾病（</w:t>
      </w:r>
      <w:r>
        <w:rPr>
          <w:rFonts w:ascii="Times New Roman" w:hAnsi="Times New Roman" w:eastAsia="Times New Roman"/>
          <w:spacing w:val="-2"/>
        </w:rPr>
        <w:t>COPD</w:t>
      </w:r>
      <w:r>
        <w:rPr>
          <w:spacing w:val="-2"/>
        </w:rPr>
        <w:t>）受试者中评</w:t>
      </w:r>
      <w:r>
        <w:rPr>
          <w:spacing w:val="40"/>
        </w:rPr>
        <w:t>  </w:t>
      </w:r>
      <w:r>
        <w:rPr/>
        <w:t>估 </w:t>
      </w:r>
      <w:r>
        <w:rPr>
          <w:rFonts w:ascii="Times New Roman" w:hAnsi="Times New Roman" w:eastAsia="Times New Roman"/>
        </w:rPr>
        <w:t>Tozorakimab</w:t>
      </w:r>
      <w:r>
        <w:rPr>
          <w:rFonts w:ascii="Times New Roman" w:hAnsi="Times New Roman" w:eastAsia="Times New Roman"/>
          <w:spacing w:val="40"/>
        </w:rPr>
        <w:t> </w:t>
      </w:r>
      <w:r>
        <w:rPr/>
        <w:t>长期有效性和安全性的多中心、随机、双盲、长期给药、平行分组、</w:t>
      </w:r>
      <w:r>
        <w:rPr>
          <w:spacing w:val="-2"/>
        </w:rPr>
        <w:t>安慰剂对照、</w:t>
      </w:r>
      <w:r>
        <w:rPr>
          <w:rFonts w:ascii="Times New Roman" w:hAnsi="Times New Roman" w:eastAsia="Times New Roman"/>
          <w:spacing w:val="-2"/>
        </w:rPr>
        <w:t>Ⅲ</w:t>
      </w:r>
      <w:r>
        <w:rPr>
          <w:spacing w:val="-2"/>
        </w:rPr>
        <w:t>期扩展研究（</w:t>
      </w:r>
      <w:r>
        <w:rPr>
          <w:rFonts w:ascii="Times New Roman" w:hAnsi="Times New Roman" w:eastAsia="Times New Roman"/>
          <w:spacing w:val="-2"/>
        </w:rPr>
        <w:t>PROSPERO</w:t>
      </w:r>
      <w:r>
        <w:rPr>
          <w:spacing w:val="-2"/>
        </w:rPr>
        <w:t>）</w:t>
      </w:r>
    </w:p>
    <w:p>
      <w:pPr>
        <w:pStyle w:val="BodyText"/>
        <w:spacing w:line="276" w:lineRule="auto" w:before="237"/>
        <w:ind w:right="357" w:firstLine="482"/>
      </w:pPr>
      <w:r>
        <w:rPr>
          <w:b/>
          <w:spacing w:val="-2"/>
        </w:rPr>
        <w:t>标题：</w:t>
      </w:r>
      <w:r>
        <w:rPr>
          <w:rFonts w:ascii="Times New Roman" w:eastAsia="Times New Roman"/>
          <w:spacing w:val="-2"/>
        </w:rPr>
        <w:t>Tozorakimab</w:t>
      </w:r>
      <w:r>
        <w:rPr>
          <w:rFonts w:ascii="Times New Roman" w:eastAsia="Times New Roman"/>
          <w:spacing w:val="-17"/>
        </w:rPr>
        <w:t> </w:t>
      </w:r>
      <w:r>
        <w:rPr>
          <w:spacing w:val="-2"/>
        </w:rPr>
        <w:t>治疗具有急性加重史的慢性阻塞性肺疾病受试者的长期有效性和安全性</w:t>
      </w:r>
    </w:p>
    <w:p>
      <w:pPr>
        <w:pStyle w:val="Heading3"/>
        <w:spacing w:before="239"/>
      </w:pPr>
      <w:r>
        <w:rPr>
          <w:spacing w:val="-4"/>
        </w:rPr>
        <w:t>研究依据：</w:t>
      </w:r>
    </w:p>
    <w:p>
      <w:pPr>
        <w:pStyle w:val="BodyText"/>
        <w:spacing w:line="276" w:lineRule="auto" w:before="119"/>
        <w:ind w:right="357" w:firstLine="480"/>
        <w:rPr>
          <w:rFonts w:ascii="Times New Roman" w:hAnsi="Times New Roman" w:eastAsia="Times New Roman"/>
        </w:rPr>
      </w:pPr>
      <w:r>
        <w:rPr/>
        <w:t>本研究是一项多中心、随机、双盲、长期给药、平行分组、安慰剂对照的</w:t>
      </w:r>
      <w:r>
        <w:rPr>
          <w:rFonts w:ascii="Times New Roman" w:hAnsi="Times New Roman" w:eastAsia="Times New Roman"/>
        </w:rPr>
        <w:t>Ⅲ</w:t>
      </w:r>
      <w:r>
        <w:rPr/>
        <w:t>期</w:t>
      </w:r>
      <w:r>
        <w:rPr>
          <w:spacing w:val="23"/>
        </w:rPr>
        <w:t>扩展研究</w:t>
      </w:r>
      <w:r>
        <w:rPr/>
        <w:t>（</w:t>
      </w:r>
      <w:r>
        <w:rPr>
          <w:spacing w:val="-96"/>
        </w:rPr>
        <w:t> </w:t>
      </w:r>
      <w:r>
        <w:rPr>
          <w:rFonts w:ascii="Times New Roman" w:hAnsi="Times New Roman" w:eastAsia="Times New Roman"/>
        </w:rPr>
        <w:t>PROSPERO</w:t>
      </w:r>
      <w:r>
        <w:rPr>
          <w:rFonts w:ascii="Times New Roman" w:hAnsi="Times New Roman" w:eastAsia="Times New Roman"/>
          <w:spacing w:val="-37"/>
        </w:rPr>
        <w:t> </w:t>
      </w:r>
      <w:r>
        <w:rPr>
          <w:spacing w:val="12"/>
        </w:rPr>
        <w:t>）</w:t>
      </w:r>
      <w:r>
        <w:rPr>
          <w:spacing w:val="-4"/>
        </w:rPr>
        <w:t>， 在完成 </w:t>
      </w:r>
      <w:r>
        <w:rPr>
          <w:rFonts w:ascii="Times New Roman" w:hAnsi="Times New Roman" w:eastAsia="Times New Roman"/>
        </w:rPr>
        <w:t>D9180C00003</w:t>
      </w:r>
      <w:r>
        <w:rPr>
          <w:rFonts w:ascii="Times New Roman" w:hAnsi="Times New Roman" w:eastAsia="Times New Roman"/>
          <w:spacing w:val="-36"/>
        </w:rPr>
        <w:t> </w:t>
      </w:r>
      <w:r>
        <w:rPr/>
        <w:t>（</w:t>
      </w:r>
      <w:r>
        <w:rPr>
          <w:spacing w:val="-96"/>
        </w:rPr>
        <w:t> </w:t>
      </w:r>
      <w:r>
        <w:rPr>
          <w:rFonts w:ascii="Times New Roman" w:hAnsi="Times New Roman" w:eastAsia="Times New Roman"/>
        </w:rPr>
        <w:t>OBERON</w:t>
      </w:r>
      <w:r>
        <w:rPr>
          <w:rFonts w:ascii="Times New Roman" w:hAnsi="Times New Roman" w:eastAsia="Times New Roman"/>
          <w:spacing w:val="-36"/>
        </w:rPr>
        <w:t> </w:t>
      </w:r>
      <w:r>
        <w:rPr>
          <w:spacing w:val="24"/>
        </w:rPr>
        <w:t>）</w:t>
      </w:r>
      <w:r>
        <w:rPr>
          <w:spacing w:val="9"/>
        </w:rPr>
        <w:t>或 </w:t>
      </w:r>
      <w:r>
        <w:rPr>
          <w:rFonts w:ascii="Times New Roman" w:hAnsi="Times New Roman" w:eastAsia="Times New Roman"/>
          <w:spacing w:val="-2"/>
        </w:rPr>
        <w:t>D9180C00004</w:t>
      </w:r>
    </w:p>
    <w:p>
      <w:pPr>
        <w:pStyle w:val="BodyText"/>
        <w:spacing w:line="276" w:lineRule="auto"/>
        <w:ind w:right="353" w:hanging="120"/>
        <w:jc w:val="both"/>
      </w:pPr>
      <w:r>
        <w:rPr/>
        <w:t>（</w:t>
      </w:r>
      <w:r>
        <w:rPr>
          <w:rFonts w:ascii="Times New Roman" w:hAnsi="Times New Roman" w:eastAsia="Times New Roman"/>
        </w:rPr>
        <w:t>TITANIA</w:t>
      </w:r>
      <w:r>
        <w:rPr/>
        <w:t>）研究（以下简称“前身研究”）</w:t>
      </w:r>
      <w:r>
        <w:rPr>
          <w:rFonts w:ascii="Times New Roman" w:hAnsi="Times New Roman" w:eastAsia="Times New Roman"/>
        </w:rPr>
        <w:t>52 </w:t>
      </w:r>
      <w:r>
        <w:rPr/>
        <w:t>周双盲治疗期、具有急性加重病史</w:t>
      </w:r>
      <w:r>
        <w:rPr>
          <w:spacing w:val="-15"/>
        </w:rPr>
        <w:t>的 </w:t>
      </w:r>
      <w:r>
        <w:rPr>
          <w:rFonts w:ascii="Times New Roman" w:hAnsi="Times New Roman" w:eastAsia="Times New Roman"/>
        </w:rPr>
        <w:t>COPD</w:t>
      </w:r>
      <w:r>
        <w:rPr>
          <w:rFonts w:ascii="Times New Roman" w:hAnsi="Times New Roman" w:eastAsia="Times New Roman"/>
          <w:spacing w:val="-15"/>
        </w:rPr>
        <w:t> </w:t>
      </w:r>
      <w:r>
        <w:rPr/>
        <w:t>受试者中，评价在标准治疗（</w:t>
      </w:r>
      <w:r>
        <w:rPr>
          <w:rFonts w:ascii="Times New Roman" w:hAnsi="Times New Roman" w:eastAsia="Times New Roman"/>
        </w:rPr>
        <w:t>SoC</w:t>
      </w:r>
      <w:r>
        <w:rPr/>
        <w:t>）</w:t>
      </w:r>
      <w:r>
        <w:rPr>
          <w:spacing w:val="-8"/>
        </w:rPr>
        <w:t>基础上 </w:t>
      </w:r>
      <w:r>
        <w:rPr>
          <w:rFonts w:ascii="Times New Roman" w:hAnsi="Times New Roman" w:eastAsia="Times New Roman"/>
        </w:rPr>
        <w:t>tozorakimab</w:t>
      </w:r>
      <w:r>
        <w:rPr>
          <w:rFonts w:ascii="Times New Roman" w:hAnsi="Times New Roman" w:eastAsia="Times New Roman"/>
          <w:spacing w:val="-15"/>
        </w:rPr>
        <w:t> </w:t>
      </w:r>
      <w:r>
        <w:rPr/>
        <w:t>与安慰剂相比的长</w:t>
      </w:r>
      <w:r>
        <w:rPr>
          <w:spacing w:val="-2"/>
        </w:rPr>
        <w:t>期有效性和安全性。愿意继续接受治疗的合格受试者必须完成前身研究治疗期，且未提前终止研究药物（</w:t>
      </w:r>
      <w:r>
        <w:rPr>
          <w:rFonts w:ascii="Times New Roman" w:hAnsi="Times New Roman" w:eastAsia="Times New Roman"/>
          <w:spacing w:val="-2"/>
        </w:rPr>
        <w:t>IP</w:t>
      </w:r>
      <w:r>
        <w:rPr>
          <w:spacing w:val="-2"/>
        </w:rPr>
        <w:t>）治疗。</w:t>
      </w:r>
    </w:p>
    <w:p>
      <w:pPr>
        <w:pStyle w:val="BodyText"/>
        <w:spacing w:line="276" w:lineRule="auto" w:before="235"/>
        <w:ind w:right="358" w:firstLine="480"/>
        <w:jc w:val="both"/>
      </w:pPr>
      <w:r>
        <w:rPr>
          <w:spacing w:val="-4"/>
        </w:rPr>
        <w:t>本扩展研究的主要目的是评价 </w:t>
      </w:r>
      <w:r>
        <w:rPr>
          <w:rFonts w:ascii="Times New Roman" w:eastAsia="Times New Roman"/>
          <w:spacing w:val="-2"/>
        </w:rPr>
        <w:t>tozorakimab</w:t>
      </w:r>
      <w:r>
        <w:rPr>
          <w:rFonts w:ascii="Times New Roman" w:eastAsia="Times New Roman"/>
          <w:spacing w:val="-13"/>
        </w:rPr>
        <w:t> </w:t>
      </w:r>
      <w:r>
        <w:rPr>
          <w:spacing w:val="-9"/>
        </w:rPr>
        <w:t>对重度 </w:t>
      </w:r>
      <w:r>
        <w:rPr>
          <w:rFonts w:ascii="Times New Roman" w:eastAsia="Times New Roman"/>
          <w:spacing w:val="-2"/>
        </w:rPr>
        <w:t>COPD</w:t>
      </w:r>
      <w:r>
        <w:rPr>
          <w:rFonts w:ascii="Times New Roman" w:eastAsia="Times New Roman"/>
          <w:spacing w:val="-13"/>
        </w:rPr>
        <w:t> </w:t>
      </w:r>
      <w:r>
        <w:rPr>
          <w:spacing w:val="-2"/>
        </w:rPr>
        <w:t>急性加重的有效性，以</w:t>
      </w:r>
      <w:r>
        <w:rPr>
          <w:spacing w:val="-8"/>
        </w:rPr>
        <w:t>及表征 </w:t>
      </w:r>
      <w:r>
        <w:rPr>
          <w:rFonts w:ascii="Times New Roman" w:eastAsia="Times New Roman"/>
        </w:rPr>
        <w:t>Tozorakimab </w:t>
      </w:r>
      <w:r>
        <w:rPr>
          <w:spacing w:val="-8"/>
        </w:rPr>
        <w:t>在接受 </w:t>
      </w:r>
      <w:r>
        <w:rPr>
          <w:rFonts w:ascii="Times New Roman" w:eastAsia="Times New Roman"/>
        </w:rPr>
        <w:t>1 </w:t>
      </w:r>
      <w:r>
        <w:rPr>
          <w:spacing w:val="-5"/>
        </w:rPr>
        <w:t>年以上治疗的 </w:t>
      </w:r>
      <w:r>
        <w:rPr>
          <w:rFonts w:ascii="Times New Roman" w:eastAsia="Times New Roman"/>
        </w:rPr>
        <w:t>COPD </w:t>
      </w:r>
      <w:r>
        <w:rPr/>
        <w:t>受试者中的长期安全性特征。</w:t>
      </w:r>
    </w:p>
    <w:p>
      <w:pPr>
        <w:pStyle w:val="Heading3"/>
        <w:spacing w:before="238"/>
      </w:pPr>
      <w:r>
        <w:rPr>
          <w:spacing w:val="-5"/>
        </w:rPr>
        <w:t>研究目的和终点：</w:t>
      </w:r>
    </w:p>
    <w:p>
      <w:pPr>
        <w:pStyle w:val="BodyText"/>
        <w:spacing w:line="276" w:lineRule="auto" w:before="120"/>
        <w:ind w:right="357" w:firstLine="480"/>
        <w:jc w:val="both"/>
      </w:pPr>
      <w:r>
        <w:rPr>
          <w:spacing w:val="-4"/>
        </w:rPr>
        <w:t>所有与有效性终点相关的数据将与前身研究获得的 </w:t>
      </w:r>
      <w:r>
        <w:rPr>
          <w:rFonts w:ascii="Times New Roman" w:eastAsia="Times New Roman"/>
          <w:spacing w:val="-2"/>
        </w:rPr>
        <w:t>52</w:t>
      </w:r>
      <w:r>
        <w:rPr>
          <w:rFonts w:ascii="Times New Roman" w:eastAsia="Times New Roman"/>
          <w:spacing w:val="9"/>
        </w:rPr>
        <w:t> </w:t>
      </w:r>
      <w:r>
        <w:rPr>
          <w:spacing w:val="-2"/>
        </w:rPr>
        <w:t>周数据合并以进行综合分</w:t>
      </w:r>
      <w:r>
        <w:rPr>
          <w:spacing w:val="-2"/>
        </w:rPr>
        <w:t>析。与主要和关键次要目的相同，其他次要目的也将在全人群（戒烟者或吸烟者）和戒烟人群中分析。</w:t>
      </w:r>
    </w:p>
    <w:p>
      <w:pPr>
        <w:pStyle w:val="BodyText"/>
        <w:spacing w:before="4" w:after="1"/>
        <w:ind w:left="0"/>
        <w:rPr>
          <w:sz w:val="18"/>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5756"/>
      </w:tblGrid>
      <w:tr>
        <w:trPr>
          <w:trHeight w:val="352" w:hRule="atLeast"/>
        </w:trPr>
        <w:tc>
          <w:tcPr>
            <w:tcW w:w="3000" w:type="dxa"/>
          </w:tcPr>
          <w:p>
            <w:pPr>
              <w:pStyle w:val="TableParagraph"/>
              <w:spacing w:before="39"/>
              <w:ind w:left="107"/>
              <w:rPr>
                <w:b/>
                <w:sz w:val="21"/>
              </w:rPr>
            </w:pPr>
            <w:r>
              <w:rPr>
                <w:b/>
                <w:spacing w:val="-4"/>
                <w:sz w:val="21"/>
              </w:rPr>
              <w:t>研究目的</w:t>
            </w:r>
          </w:p>
        </w:tc>
        <w:tc>
          <w:tcPr>
            <w:tcW w:w="5756" w:type="dxa"/>
          </w:tcPr>
          <w:p>
            <w:pPr>
              <w:pStyle w:val="TableParagraph"/>
              <w:spacing w:before="39"/>
              <w:ind w:left="108"/>
              <w:rPr>
                <w:b/>
                <w:sz w:val="21"/>
              </w:rPr>
            </w:pPr>
            <w:r>
              <w:rPr>
                <w:b/>
                <w:spacing w:val="-2"/>
                <w:sz w:val="21"/>
              </w:rPr>
              <w:t>研究终点</w:t>
            </w:r>
            <w:r>
              <w:rPr>
                <w:rFonts w:ascii="Times New Roman" w:eastAsia="Times New Roman"/>
                <w:b/>
                <w:spacing w:val="-2"/>
                <w:sz w:val="21"/>
              </w:rPr>
              <w:t>/</w:t>
            </w:r>
            <w:r>
              <w:rPr>
                <w:b/>
                <w:spacing w:val="-4"/>
                <w:sz w:val="21"/>
              </w:rPr>
              <w:t>估计目标</w:t>
            </w:r>
          </w:p>
        </w:tc>
      </w:tr>
      <w:tr>
        <w:trPr>
          <w:trHeight w:val="352" w:hRule="atLeast"/>
        </w:trPr>
        <w:tc>
          <w:tcPr>
            <w:tcW w:w="8756" w:type="dxa"/>
            <w:gridSpan w:val="2"/>
            <w:shd w:val="clear" w:color="auto" w:fill="D9D9D9"/>
          </w:tcPr>
          <w:p>
            <w:pPr>
              <w:pStyle w:val="TableParagraph"/>
              <w:spacing w:before="39"/>
              <w:ind w:left="107"/>
              <w:rPr>
                <w:b/>
                <w:sz w:val="21"/>
              </w:rPr>
            </w:pPr>
            <w:r>
              <w:rPr>
                <w:b/>
                <w:spacing w:val="-4"/>
                <w:sz w:val="21"/>
              </w:rPr>
              <w:t>主要目的</w:t>
            </w:r>
          </w:p>
        </w:tc>
      </w:tr>
      <w:tr>
        <w:trPr>
          <w:trHeight w:val="2079" w:hRule="atLeast"/>
        </w:trPr>
        <w:tc>
          <w:tcPr>
            <w:tcW w:w="3000" w:type="dxa"/>
          </w:tcPr>
          <w:p>
            <w:pPr>
              <w:pStyle w:val="TableParagraph"/>
              <w:spacing w:line="276" w:lineRule="auto" w:before="38"/>
              <w:ind w:left="107" w:right="95"/>
              <w:jc w:val="both"/>
              <w:rPr>
                <w:sz w:val="21"/>
              </w:rPr>
            </w:pPr>
            <w:r>
              <w:rPr>
                <w:spacing w:val="-14"/>
                <w:sz w:val="21"/>
              </w:rPr>
              <w:t>与 </w:t>
            </w:r>
            <w:r>
              <w:rPr>
                <w:rFonts w:ascii="Times New Roman" w:eastAsia="Times New Roman"/>
                <w:spacing w:val="-2"/>
                <w:sz w:val="21"/>
              </w:rPr>
              <w:t>SoC</w:t>
            </w:r>
            <w:r>
              <w:rPr>
                <w:rFonts w:ascii="Times New Roman" w:eastAsia="Times New Roman"/>
                <w:spacing w:val="-11"/>
                <w:sz w:val="21"/>
              </w:rPr>
              <w:t> </w:t>
            </w:r>
            <w:r>
              <w:rPr>
                <w:spacing w:val="-2"/>
                <w:sz w:val="21"/>
              </w:rPr>
              <w:t>添加安慰剂相比，评价 </w:t>
            </w:r>
            <w:r>
              <w:rPr>
                <w:rFonts w:ascii="Times New Roman" w:eastAsia="Times New Roman"/>
                <w:sz w:val="21"/>
              </w:rPr>
              <w:t>tozorakimab</w:t>
            </w:r>
            <w:r>
              <w:rPr>
                <w:rFonts w:ascii="Times New Roman" w:eastAsia="Times New Roman"/>
                <w:spacing w:val="-14"/>
                <w:sz w:val="21"/>
              </w:rPr>
              <w:t> </w:t>
            </w:r>
            <w:r>
              <w:rPr>
                <w:spacing w:val="9"/>
                <w:sz w:val="21"/>
              </w:rPr>
              <w:t>联合</w:t>
            </w:r>
            <w:r>
              <w:rPr>
                <w:rFonts w:ascii="Times New Roman" w:eastAsia="Times New Roman"/>
                <w:sz w:val="21"/>
              </w:rPr>
              <w:t>SoC</w:t>
            </w:r>
            <w:r>
              <w:rPr>
                <w:rFonts w:ascii="Times New Roman" w:eastAsia="Times New Roman"/>
                <w:spacing w:val="-13"/>
                <w:sz w:val="21"/>
              </w:rPr>
              <w:t> </w:t>
            </w:r>
            <w:r>
              <w:rPr>
                <w:spacing w:val="-13"/>
                <w:sz w:val="21"/>
              </w:rPr>
              <w:t>对 </w:t>
            </w:r>
            <w:r>
              <w:rPr>
                <w:rFonts w:ascii="Times New Roman" w:eastAsia="Times New Roman"/>
                <w:sz w:val="21"/>
              </w:rPr>
              <w:t>COPD</w:t>
            </w:r>
            <w:r>
              <w:rPr>
                <w:spacing w:val="-6"/>
                <w:sz w:val="21"/>
              </w:rPr>
              <w:t>戒烟者重度 </w:t>
            </w:r>
            <w:r>
              <w:rPr>
                <w:rFonts w:ascii="Times New Roman" w:eastAsia="Times New Roman"/>
                <w:spacing w:val="-2"/>
                <w:sz w:val="21"/>
              </w:rPr>
              <w:t>COPD</w:t>
            </w:r>
            <w:r>
              <w:rPr>
                <w:rFonts w:ascii="Times New Roman" w:eastAsia="Times New Roman"/>
                <w:spacing w:val="-11"/>
                <w:sz w:val="21"/>
              </w:rPr>
              <w:t> </w:t>
            </w:r>
            <w:r>
              <w:rPr>
                <w:spacing w:val="-2"/>
                <w:sz w:val="21"/>
              </w:rPr>
              <w:t>急性加重发生率的长期影响。</w:t>
            </w:r>
          </w:p>
        </w:tc>
        <w:tc>
          <w:tcPr>
            <w:tcW w:w="5756" w:type="dxa"/>
          </w:tcPr>
          <w:p>
            <w:pPr>
              <w:pStyle w:val="TableParagraph"/>
              <w:spacing w:line="309" w:lineRule="auto" w:before="39"/>
              <w:ind w:left="108" w:right="1830"/>
              <w:rPr>
                <w:sz w:val="21"/>
              </w:rPr>
            </w:pPr>
            <w:r>
              <w:rPr>
                <w:spacing w:val="-11"/>
                <w:sz w:val="21"/>
              </w:rPr>
              <w:t>终点：重度 </w:t>
            </w:r>
            <w:r>
              <w:rPr>
                <w:rFonts w:ascii="Times New Roman" w:eastAsia="Times New Roman"/>
                <w:spacing w:val="-2"/>
                <w:sz w:val="21"/>
              </w:rPr>
              <w:t>COPD</w:t>
            </w:r>
            <w:r>
              <w:rPr>
                <w:rFonts w:ascii="Times New Roman" w:eastAsia="Times New Roman"/>
                <w:spacing w:val="-11"/>
                <w:sz w:val="21"/>
              </w:rPr>
              <w:t> </w:t>
            </w:r>
            <w:r>
              <w:rPr>
                <w:spacing w:val="-2"/>
                <w:sz w:val="21"/>
              </w:rPr>
              <w:t>急性加重的年发生率。汇总分析指标：发生率比值。</w:t>
            </w:r>
          </w:p>
          <w:p>
            <w:pPr>
              <w:pStyle w:val="TableParagraph"/>
              <w:spacing w:before="1"/>
              <w:ind w:left="108"/>
              <w:rPr>
                <w:sz w:val="21"/>
              </w:rPr>
            </w:pPr>
            <w:r>
              <w:rPr>
                <w:spacing w:val="-1"/>
                <w:sz w:val="21"/>
              </w:rPr>
              <w:t>人群：全分析集，戒烟者。</w:t>
            </w:r>
          </w:p>
          <w:p>
            <w:pPr>
              <w:pStyle w:val="TableParagraph"/>
              <w:spacing w:line="276" w:lineRule="auto" w:before="80"/>
              <w:ind w:left="108" w:right="96"/>
              <w:jc w:val="both"/>
              <w:rPr>
                <w:sz w:val="21"/>
              </w:rPr>
            </w:pPr>
            <w:r>
              <w:rPr>
                <w:spacing w:val="10"/>
                <w:sz w:val="21"/>
              </w:rPr>
              <w:t>伴发事件：使用疗法策略，不考虑研究期间的治疗终止情</w:t>
            </w:r>
            <w:r>
              <w:rPr>
                <w:spacing w:val="-2"/>
                <w:sz w:val="21"/>
              </w:rPr>
              <w:t>况，并且填补重新随机化后的数据，或基于退出研究的原因填补退出研究后的数据。</w:t>
            </w:r>
          </w:p>
        </w:tc>
      </w:tr>
      <w:tr>
        <w:trPr>
          <w:trHeight w:val="393" w:hRule="atLeast"/>
        </w:trPr>
        <w:tc>
          <w:tcPr>
            <w:tcW w:w="8756" w:type="dxa"/>
            <w:gridSpan w:val="2"/>
            <w:shd w:val="clear" w:color="auto" w:fill="D9D9D9"/>
          </w:tcPr>
          <w:p>
            <w:pPr>
              <w:pStyle w:val="TableParagraph"/>
              <w:spacing w:before="39"/>
              <w:ind w:left="107"/>
              <w:rPr>
                <w:b/>
                <w:sz w:val="21"/>
              </w:rPr>
            </w:pPr>
            <w:r>
              <w:rPr>
                <w:b/>
                <w:spacing w:val="-4"/>
                <w:sz w:val="21"/>
              </w:rPr>
              <w:t>关键次要目的</w:t>
            </w:r>
          </w:p>
        </w:tc>
      </w:tr>
      <w:tr>
        <w:trPr>
          <w:trHeight w:val="1334" w:hRule="atLeast"/>
        </w:trPr>
        <w:tc>
          <w:tcPr>
            <w:tcW w:w="3000" w:type="dxa"/>
          </w:tcPr>
          <w:p>
            <w:pPr>
              <w:pStyle w:val="TableParagraph"/>
              <w:spacing w:line="276" w:lineRule="auto" w:before="38"/>
              <w:ind w:left="107" w:right="95"/>
              <w:jc w:val="both"/>
              <w:rPr>
                <w:sz w:val="21"/>
              </w:rPr>
            </w:pPr>
            <w:r>
              <w:rPr>
                <w:spacing w:val="-14"/>
                <w:sz w:val="21"/>
              </w:rPr>
              <w:t>与 </w:t>
            </w:r>
            <w:r>
              <w:rPr>
                <w:rFonts w:ascii="Times New Roman" w:eastAsia="Times New Roman"/>
                <w:spacing w:val="-2"/>
                <w:sz w:val="21"/>
              </w:rPr>
              <w:t>SoC</w:t>
            </w:r>
            <w:r>
              <w:rPr>
                <w:rFonts w:ascii="Times New Roman" w:eastAsia="Times New Roman"/>
                <w:spacing w:val="-11"/>
                <w:sz w:val="21"/>
              </w:rPr>
              <w:t> </w:t>
            </w:r>
            <w:r>
              <w:rPr>
                <w:spacing w:val="-2"/>
                <w:sz w:val="21"/>
              </w:rPr>
              <w:t>添加安慰剂相比，评价 </w:t>
            </w:r>
            <w:r>
              <w:rPr>
                <w:rFonts w:ascii="Times New Roman" w:eastAsia="Times New Roman"/>
                <w:sz w:val="21"/>
              </w:rPr>
              <w:t>tozorakimab</w:t>
            </w:r>
            <w:r>
              <w:rPr>
                <w:rFonts w:ascii="Times New Roman" w:eastAsia="Times New Roman"/>
                <w:spacing w:val="-14"/>
                <w:sz w:val="21"/>
              </w:rPr>
              <w:t> </w:t>
            </w:r>
            <w:r>
              <w:rPr>
                <w:spacing w:val="9"/>
                <w:sz w:val="21"/>
              </w:rPr>
              <w:t>联合</w:t>
            </w:r>
            <w:r>
              <w:rPr>
                <w:rFonts w:ascii="Times New Roman" w:eastAsia="Times New Roman"/>
                <w:sz w:val="21"/>
              </w:rPr>
              <w:t>SoC</w:t>
            </w:r>
            <w:r>
              <w:rPr>
                <w:rFonts w:ascii="Times New Roman" w:eastAsia="Times New Roman"/>
                <w:spacing w:val="-13"/>
                <w:sz w:val="21"/>
              </w:rPr>
              <w:t> </w:t>
            </w:r>
            <w:r>
              <w:rPr>
                <w:spacing w:val="-13"/>
                <w:sz w:val="21"/>
              </w:rPr>
              <w:t>对 </w:t>
            </w:r>
            <w:r>
              <w:rPr>
                <w:rFonts w:ascii="Times New Roman" w:eastAsia="Times New Roman"/>
                <w:sz w:val="21"/>
              </w:rPr>
              <w:t>COPD</w:t>
            </w:r>
            <w:r>
              <w:rPr>
                <w:spacing w:val="-5"/>
                <w:sz w:val="21"/>
              </w:rPr>
              <w:t>戒烟者或吸烟者重度 </w:t>
            </w:r>
            <w:r>
              <w:rPr>
                <w:rFonts w:ascii="Times New Roman" w:eastAsia="Times New Roman"/>
                <w:spacing w:val="-2"/>
                <w:sz w:val="21"/>
              </w:rPr>
              <w:t>COPD</w:t>
            </w:r>
            <w:r>
              <w:rPr>
                <w:rFonts w:ascii="Times New Roman" w:eastAsia="Times New Roman"/>
                <w:spacing w:val="-11"/>
                <w:sz w:val="21"/>
              </w:rPr>
              <w:t> </w:t>
            </w:r>
            <w:r>
              <w:rPr>
                <w:spacing w:val="-2"/>
                <w:sz w:val="21"/>
              </w:rPr>
              <w:t>急性加重发生率的长期影响。</w:t>
            </w:r>
          </w:p>
        </w:tc>
        <w:tc>
          <w:tcPr>
            <w:tcW w:w="5756" w:type="dxa"/>
          </w:tcPr>
          <w:p>
            <w:pPr>
              <w:pStyle w:val="TableParagraph"/>
              <w:spacing w:line="309" w:lineRule="auto" w:before="39"/>
              <w:ind w:left="108" w:right="1830"/>
              <w:rPr>
                <w:sz w:val="21"/>
              </w:rPr>
            </w:pPr>
            <w:r>
              <w:rPr>
                <w:spacing w:val="-11"/>
                <w:sz w:val="21"/>
              </w:rPr>
              <w:t>终点：重度 </w:t>
            </w:r>
            <w:r>
              <w:rPr>
                <w:rFonts w:ascii="Times New Roman" w:eastAsia="Times New Roman"/>
                <w:spacing w:val="-2"/>
                <w:sz w:val="21"/>
              </w:rPr>
              <w:t>COPD</w:t>
            </w:r>
            <w:r>
              <w:rPr>
                <w:rFonts w:ascii="Times New Roman" w:eastAsia="Times New Roman"/>
                <w:spacing w:val="-11"/>
                <w:sz w:val="21"/>
              </w:rPr>
              <w:t> </w:t>
            </w:r>
            <w:r>
              <w:rPr>
                <w:spacing w:val="-2"/>
                <w:sz w:val="21"/>
              </w:rPr>
              <w:t>急性加重的年发生率。汇总分析指标：发生率比值。</w:t>
            </w:r>
          </w:p>
          <w:p>
            <w:pPr>
              <w:pStyle w:val="TableParagraph"/>
              <w:spacing w:before="1"/>
              <w:ind w:left="108"/>
              <w:rPr>
                <w:sz w:val="21"/>
              </w:rPr>
            </w:pPr>
            <w:r>
              <w:rPr>
                <w:spacing w:val="-1"/>
                <w:sz w:val="21"/>
              </w:rPr>
              <w:t>人群：全分析集，戒烟者或吸烟者。</w:t>
            </w:r>
          </w:p>
        </w:tc>
      </w:tr>
    </w:tbl>
    <w:p>
      <w:pPr>
        <w:spacing w:after="0"/>
        <w:rPr>
          <w:sz w:val="21"/>
        </w:rPr>
        <w:sectPr>
          <w:pgSz w:w="11910" w:h="16840"/>
          <w:pgMar w:header="590" w:footer="784" w:top="1360" w:bottom="980" w:left="1480" w:right="1080"/>
        </w:sectPr>
      </w:pPr>
    </w:p>
    <w:p>
      <w:pPr>
        <w:pStyle w:val="BodyText"/>
        <w:spacing w:before="10"/>
        <w:ind w:left="0"/>
        <w:rPr>
          <w:sz w:val="4"/>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5756"/>
      </w:tblGrid>
      <w:tr>
        <w:trPr>
          <w:trHeight w:val="352" w:hRule="atLeast"/>
        </w:trPr>
        <w:tc>
          <w:tcPr>
            <w:tcW w:w="3000" w:type="dxa"/>
          </w:tcPr>
          <w:p>
            <w:pPr>
              <w:pStyle w:val="TableParagraph"/>
              <w:spacing w:before="38"/>
              <w:ind w:left="107"/>
              <w:rPr>
                <w:b/>
                <w:sz w:val="21"/>
              </w:rPr>
            </w:pPr>
            <w:r>
              <w:rPr>
                <w:b/>
                <w:spacing w:val="-4"/>
                <w:sz w:val="21"/>
              </w:rPr>
              <w:t>研究目的</w:t>
            </w:r>
          </w:p>
        </w:tc>
        <w:tc>
          <w:tcPr>
            <w:tcW w:w="5756" w:type="dxa"/>
          </w:tcPr>
          <w:p>
            <w:pPr>
              <w:pStyle w:val="TableParagraph"/>
              <w:spacing w:before="38"/>
              <w:ind w:left="108"/>
              <w:rPr>
                <w:b/>
                <w:sz w:val="21"/>
              </w:rPr>
            </w:pPr>
            <w:r>
              <w:rPr>
                <w:b/>
                <w:spacing w:val="-2"/>
                <w:sz w:val="21"/>
              </w:rPr>
              <w:t>研究终点</w:t>
            </w:r>
            <w:r>
              <w:rPr>
                <w:rFonts w:ascii="Times New Roman" w:eastAsia="Times New Roman"/>
                <w:b/>
                <w:spacing w:val="-2"/>
                <w:sz w:val="21"/>
              </w:rPr>
              <w:t>/</w:t>
            </w:r>
            <w:r>
              <w:rPr>
                <w:b/>
                <w:spacing w:val="-4"/>
                <w:sz w:val="21"/>
              </w:rPr>
              <w:t>估计目标</w:t>
            </w:r>
          </w:p>
        </w:tc>
      </w:tr>
      <w:tr>
        <w:trPr>
          <w:trHeight w:val="980" w:hRule="atLeast"/>
        </w:trPr>
        <w:tc>
          <w:tcPr>
            <w:tcW w:w="3000" w:type="dxa"/>
          </w:tcPr>
          <w:p>
            <w:pPr>
              <w:pStyle w:val="TableParagraph"/>
              <w:rPr>
                <w:rFonts w:ascii="Times New Roman"/>
                <w:sz w:val="20"/>
              </w:rPr>
            </w:pPr>
          </w:p>
        </w:tc>
        <w:tc>
          <w:tcPr>
            <w:tcW w:w="5756" w:type="dxa"/>
          </w:tcPr>
          <w:p>
            <w:pPr>
              <w:pStyle w:val="TableParagraph"/>
              <w:spacing w:line="276" w:lineRule="auto"/>
              <w:ind w:left="108" w:right="96"/>
              <w:jc w:val="both"/>
              <w:rPr>
                <w:sz w:val="21"/>
              </w:rPr>
            </w:pPr>
            <w:r>
              <w:rPr>
                <w:spacing w:val="10"/>
                <w:sz w:val="21"/>
              </w:rPr>
              <w:t>伴发事件：使用疗法策略，不考虑研究期间的治疗终止情</w:t>
            </w:r>
            <w:r>
              <w:rPr>
                <w:spacing w:val="-2"/>
                <w:sz w:val="21"/>
              </w:rPr>
              <w:t>况，并且填补重新随机化后的数据，或基于退出研究的原因填补退出研究后的数据。</w:t>
            </w:r>
          </w:p>
        </w:tc>
      </w:tr>
      <w:tr>
        <w:trPr>
          <w:trHeight w:val="2431" w:hRule="atLeast"/>
        </w:trPr>
        <w:tc>
          <w:tcPr>
            <w:tcW w:w="3000" w:type="dxa"/>
          </w:tcPr>
          <w:p>
            <w:pPr>
              <w:pStyle w:val="TableParagraph"/>
              <w:spacing w:line="276" w:lineRule="auto" w:before="36"/>
              <w:ind w:left="107" w:right="95"/>
              <w:jc w:val="both"/>
              <w:rPr>
                <w:sz w:val="21"/>
              </w:rPr>
            </w:pPr>
            <w:r>
              <w:rPr>
                <w:spacing w:val="-14"/>
                <w:sz w:val="21"/>
              </w:rPr>
              <w:t>与 </w:t>
            </w:r>
            <w:r>
              <w:rPr>
                <w:rFonts w:ascii="Times New Roman" w:eastAsia="Times New Roman"/>
                <w:spacing w:val="-2"/>
                <w:sz w:val="21"/>
              </w:rPr>
              <w:t>SoC</w:t>
            </w:r>
            <w:r>
              <w:rPr>
                <w:rFonts w:ascii="Times New Roman" w:eastAsia="Times New Roman"/>
                <w:spacing w:val="-11"/>
                <w:sz w:val="21"/>
              </w:rPr>
              <w:t> </w:t>
            </w:r>
            <w:r>
              <w:rPr>
                <w:spacing w:val="-2"/>
                <w:sz w:val="21"/>
              </w:rPr>
              <w:t>添加安慰剂相比，评价 </w:t>
            </w:r>
            <w:r>
              <w:rPr>
                <w:rFonts w:ascii="Times New Roman" w:eastAsia="Times New Roman"/>
                <w:sz w:val="21"/>
              </w:rPr>
              <w:t>tozorakimab</w:t>
            </w:r>
            <w:r>
              <w:rPr>
                <w:rFonts w:ascii="Times New Roman" w:eastAsia="Times New Roman"/>
                <w:spacing w:val="-14"/>
                <w:sz w:val="21"/>
              </w:rPr>
              <w:t> </w:t>
            </w:r>
            <w:r>
              <w:rPr>
                <w:spacing w:val="13"/>
                <w:sz w:val="21"/>
              </w:rPr>
              <w:t>联合</w:t>
            </w:r>
            <w:r>
              <w:rPr>
                <w:rFonts w:ascii="Times New Roman" w:eastAsia="Times New Roman"/>
                <w:sz w:val="21"/>
              </w:rPr>
              <w:t>SoC</w:t>
            </w:r>
            <w:r>
              <w:rPr>
                <w:rFonts w:ascii="Times New Roman" w:eastAsia="Times New Roman"/>
                <w:spacing w:val="-13"/>
                <w:sz w:val="21"/>
              </w:rPr>
              <w:t> </w:t>
            </w:r>
            <w:r>
              <w:rPr>
                <w:sz w:val="21"/>
              </w:rPr>
              <w:t>对至首次</w:t>
            </w:r>
            <w:r>
              <w:rPr>
                <w:spacing w:val="-10"/>
                <w:sz w:val="21"/>
              </w:rPr>
              <w:t>重度 </w:t>
            </w:r>
            <w:r>
              <w:rPr>
                <w:rFonts w:ascii="Times New Roman" w:eastAsia="Times New Roman"/>
                <w:spacing w:val="-2"/>
                <w:sz w:val="21"/>
              </w:rPr>
              <w:t>COPD</w:t>
            </w:r>
            <w:r>
              <w:rPr>
                <w:rFonts w:ascii="Times New Roman" w:eastAsia="Times New Roman"/>
                <w:spacing w:val="-11"/>
                <w:sz w:val="21"/>
              </w:rPr>
              <w:t> </w:t>
            </w:r>
            <w:r>
              <w:rPr>
                <w:spacing w:val="-2"/>
                <w:sz w:val="21"/>
              </w:rPr>
              <w:t>急性加重时间的长</w:t>
            </w:r>
            <w:r>
              <w:rPr>
                <w:spacing w:val="-4"/>
                <w:sz w:val="21"/>
              </w:rPr>
              <w:t>期影响。</w:t>
            </w:r>
          </w:p>
        </w:tc>
        <w:tc>
          <w:tcPr>
            <w:tcW w:w="5756" w:type="dxa"/>
          </w:tcPr>
          <w:p>
            <w:pPr>
              <w:pStyle w:val="TableParagraph"/>
              <w:spacing w:line="309" w:lineRule="auto" w:before="38"/>
              <w:ind w:left="108" w:right="1621"/>
              <w:rPr>
                <w:sz w:val="21"/>
              </w:rPr>
            </w:pPr>
            <w:r>
              <w:rPr>
                <w:spacing w:val="-8"/>
                <w:sz w:val="21"/>
              </w:rPr>
              <w:t>终点：至首次重度 </w:t>
            </w:r>
            <w:r>
              <w:rPr>
                <w:rFonts w:ascii="Times New Roman" w:eastAsia="Times New Roman"/>
                <w:spacing w:val="-2"/>
                <w:sz w:val="21"/>
              </w:rPr>
              <w:t>COPD</w:t>
            </w:r>
            <w:r>
              <w:rPr>
                <w:rFonts w:ascii="Times New Roman" w:eastAsia="Times New Roman"/>
                <w:spacing w:val="-11"/>
                <w:sz w:val="21"/>
              </w:rPr>
              <w:t> </w:t>
            </w:r>
            <w:r>
              <w:rPr>
                <w:spacing w:val="-2"/>
                <w:sz w:val="21"/>
              </w:rPr>
              <w:t>急性加重的时间。汇总分析指标：风险比。</w:t>
            </w:r>
          </w:p>
          <w:p>
            <w:pPr>
              <w:pStyle w:val="TableParagraph"/>
              <w:spacing w:before="1"/>
              <w:ind w:left="108"/>
              <w:rPr>
                <w:sz w:val="21"/>
              </w:rPr>
            </w:pPr>
            <w:r>
              <w:rPr>
                <w:spacing w:val="-1"/>
                <w:sz w:val="21"/>
              </w:rPr>
              <w:t>人群：全分析集，戒烟者。</w:t>
            </w:r>
          </w:p>
          <w:p>
            <w:pPr>
              <w:pStyle w:val="TableParagraph"/>
              <w:spacing w:before="80"/>
              <w:ind w:left="108"/>
              <w:rPr>
                <w:sz w:val="21"/>
              </w:rPr>
            </w:pPr>
            <w:r>
              <w:rPr>
                <w:spacing w:val="-1"/>
                <w:sz w:val="21"/>
              </w:rPr>
              <w:t>在戒烟者或吸烟者中进行的进一步关键次要分析。</w:t>
            </w:r>
          </w:p>
          <w:p>
            <w:pPr>
              <w:pStyle w:val="TableParagraph"/>
              <w:spacing w:line="276" w:lineRule="auto" w:before="81"/>
              <w:ind w:left="108" w:right="96"/>
              <w:jc w:val="both"/>
              <w:rPr>
                <w:sz w:val="21"/>
              </w:rPr>
            </w:pPr>
            <w:r>
              <w:rPr>
                <w:spacing w:val="10"/>
                <w:sz w:val="21"/>
              </w:rPr>
              <w:t>伴发事件：使用疗法策略，不考虑研究期间的治疗终止情</w:t>
            </w:r>
            <w:r>
              <w:rPr>
                <w:spacing w:val="-2"/>
                <w:sz w:val="21"/>
              </w:rPr>
              <w:t>况，并且填补重新随机化后的数据，或基于退出研究的原因填补退出研究后的数据。</w:t>
            </w:r>
          </w:p>
        </w:tc>
      </w:tr>
      <w:tr>
        <w:trPr>
          <w:trHeight w:val="2745" w:hRule="atLeast"/>
        </w:trPr>
        <w:tc>
          <w:tcPr>
            <w:tcW w:w="3000" w:type="dxa"/>
          </w:tcPr>
          <w:p>
            <w:pPr>
              <w:pStyle w:val="TableParagraph"/>
              <w:spacing w:line="276" w:lineRule="auto" w:before="36"/>
              <w:ind w:left="107" w:right="95"/>
              <w:jc w:val="both"/>
              <w:rPr>
                <w:sz w:val="21"/>
              </w:rPr>
            </w:pPr>
            <w:r>
              <w:rPr>
                <w:spacing w:val="-14"/>
                <w:sz w:val="21"/>
              </w:rPr>
              <w:t>与 </w:t>
            </w:r>
            <w:r>
              <w:rPr>
                <w:rFonts w:ascii="Times New Roman" w:eastAsia="Times New Roman"/>
                <w:spacing w:val="-2"/>
                <w:sz w:val="21"/>
              </w:rPr>
              <w:t>SoC</w:t>
            </w:r>
            <w:r>
              <w:rPr>
                <w:rFonts w:ascii="Times New Roman" w:eastAsia="Times New Roman"/>
                <w:spacing w:val="-11"/>
                <w:sz w:val="21"/>
              </w:rPr>
              <w:t> </w:t>
            </w:r>
            <w:r>
              <w:rPr>
                <w:spacing w:val="-2"/>
                <w:sz w:val="21"/>
              </w:rPr>
              <w:t>添加安慰剂相比，评价 </w:t>
            </w:r>
            <w:r>
              <w:rPr>
                <w:rFonts w:ascii="Times New Roman" w:eastAsia="Times New Roman"/>
                <w:sz w:val="21"/>
              </w:rPr>
              <w:t>tozorakimab</w:t>
            </w:r>
            <w:r>
              <w:rPr>
                <w:rFonts w:ascii="Times New Roman" w:eastAsia="Times New Roman"/>
                <w:spacing w:val="-14"/>
                <w:sz w:val="21"/>
              </w:rPr>
              <w:t> </w:t>
            </w:r>
            <w:r>
              <w:rPr>
                <w:spacing w:val="9"/>
                <w:sz w:val="21"/>
              </w:rPr>
              <w:t>联合</w:t>
            </w:r>
            <w:r>
              <w:rPr>
                <w:rFonts w:ascii="Times New Roman" w:eastAsia="Times New Roman"/>
                <w:sz w:val="21"/>
              </w:rPr>
              <w:t>SoC</w:t>
            </w:r>
            <w:r>
              <w:rPr>
                <w:rFonts w:ascii="Times New Roman" w:eastAsia="Times New Roman"/>
                <w:spacing w:val="-13"/>
                <w:sz w:val="21"/>
              </w:rPr>
              <w:t> </w:t>
            </w:r>
            <w:r>
              <w:rPr>
                <w:spacing w:val="-13"/>
                <w:sz w:val="21"/>
              </w:rPr>
              <w:t>对 </w:t>
            </w:r>
            <w:r>
              <w:rPr>
                <w:rFonts w:ascii="Times New Roman" w:eastAsia="Times New Roman"/>
                <w:sz w:val="21"/>
              </w:rPr>
              <w:t>COPD</w:t>
            </w:r>
            <w:r>
              <w:rPr>
                <w:spacing w:val="-2"/>
                <w:sz w:val="21"/>
              </w:rPr>
              <w:t>相关医疗保健资源利用的长期</w:t>
            </w:r>
            <w:r>
              <w:rPr>
                <w:spacing w:val="-4"/>
                <w:sz w:val="21"/>
              </w:rPr>
              <w:t>影响。</w:t>
            </w:r>
          </w:p>
        </w:tc>
        <w:tc>
          <w:tcPr>
            <w:tcW w:w="5756" w:type="dxa"/>
          </w:tcPr>
          <w:p>
            <w:pPr>
              <w:pStyle w:val="TableParagraph"/>
              <w:spacing w:line="276" w:lineRule="auto" w:before="36"/>
              <w:ind w:left="108" w:right="96"/>
              <w:rPr>
                <w:sz w:val="21"/>
              </w:rPr>
            </w:pPr>
            <w:r>
              <w:rPr>
                <w:sz w:val="21"/>
              </w:rPr>
              <w:t>终点：需要住院治疗和</w:t>
            </w:r>
            <w:r>
              <w:rPr>
                <w:rFonts w:ascii="Times New Roman" w:eastAsia="Times New Roman"/>
                <w:sz w:val="21"/>
              </w:rPr>
              <w:t>/</w:t>
            </w:r>
            <w:r>
              <w:rPr>
                <w:spacing w:val="-13"/>
                <w:sz w:val="21"/>
              </w:rPr>
              <w:t>或 </w:t>
            </w:r>
            <w:r>
              <w:rPr>
                <w:rFonts w:ascii="Times New Roman" w:eastAsia="Times New Roman"/>
                <w:sz w:val="21"/>
              </w:rPr>
              <w:t>ER/ED</w:t>
            </w:r>
            <w:r>
              <w:rPr>
                <w:rFonts w:ascii="Times New Roman" w:eastAsia="Times New Roman"/>
                <w:spacing w:val="10"/>
                <w:sz w:val="21"/>
              </w:rPr>
              <w:t> </w:t>
            </w:r>
            <w:r>
              <w:rPr>
                <w:spacing w:val="-7"/>
                <w:sz w:val="21"/>
              </w:rPr>
              <w:t>就诊的 </w:t>
            </w:r>
            <w:r>
              <w:rPr>
                <w:rFonts w:ascii="Times New Roman" w:eastAsia="Times New Roman"/>
                <w:sz w:val="21"/>
              </w:rPr>
              <w:t>COPD</w:t>
            </w:r>
            <w:r>
              <w:rPr>
                <w:rFonts w:ascii="Times New Roman" w:eastAsia="Times New Roman"/>
                <w:spacing w:val="10"/>
                <w:sz w:val="21"/>
              </w:rPr>
              <w:t> </w:t>
            </w:r>
            <w:r>
              <w:rPr>
                <w:sz w:val="21"/>
              </w:rPr>
              <w:t>急性加重年</w:t>
            </w:r>
            <w:r>
              <w:rPr>
                <w:spacing w:val="-4"/>
                <w:sz w:val="21"/>
              </w:rPr>
              <w:t>发生率。</w:t>
            </w:r>
          </w:p>
          <w:p>
            <w:pPr>
              <w:pStyle w:val="TableParagraph"/>
              <w:spacing w:line="309" w:lineRule="auto" w:before="40"/>
              <w:ind w:left="108" w:right="3115"/>
              <w:rPr>
                <w:sz w:val="21"/>
              </w:rPr>
            </w:pPr>
            <w:r>
              <w:rPr>
                <w:spacing w:val="-2"/>
                <w:sz w:val="21"/>
              </w:rPr>
              <w:t>汇总分析指标：风险比。</w:t>
            </w:r>
            <w:r>
              <w:rPr>
                <w:spacing w:val="-2"/>
                <w:sz w:val="21"/>
              </w:rPr>
              <w:t> 人群：全分析集，戒烟者。</w:t>
            </w:r>
          </w:p>
          <w:p>
            <w:pPr>
              <w:pStyle w:val="TableParagraph"/>
              <w:spacing w:before="2"/>
              <w:ind w:left="108"/>
              <w:rPr>
                <w:sz w:val="21"/>
              </w:rPr>
            </w:pPr>
            <w:r>
              <w:rPr>
                <w:spacing w:val="-1"/>
                <w:sz w:val="21"/>
              </w:rPr>
              <w:t>在戒烟者或吸烟者中进行的进一步关键次要分析。</w:t>
            </w:r>
          </w:p>
          <w:p>
            <w:pPr>
              <w:pStyle w:val="TableParagraph"/>
              <w:spacing w:line="276" w:lineRule="auto" w:before="80"/>
              <w:ind w:left="108" w:right="92"/>
              <w:jc w:val="both"/>
              <w:rPr>
                <w:sz w:val="21"/>
              </w:rPr>
            </w:pPr>
            <w:r>
              <w:rPr>
                <w:spacing w:val="10"/>
                <w:sz w:val="21"/>
              </w:rPr>
              <w:t>伴发事件：使用疗法策略，不考虑研究期间的治疗终止情</w:t>
            </w:r>
            <w:r>
              <w:rPr>
                <w:spacing w:val="-2"/>
                <w:sz w:val="21"/>
              </w:rPr>
              <w:t>况，并且基于退出研究的原因填补退出研究后的数据或填补重新随机化后的数据。</w:t>
            </w:r>
          </w:p>
        </w:tc>
      </w:tr>
      <w:tr>
        <w:trPr>
          <w:trHeight w:val="393" w:hRule="atLeast"/>
        </w:trPr>
        <w:tc>
          <w:tcPr>
            <w:tcW w:w="8756" w:type="dxa"/>
            <w:gridSpan w:val="2"/>
            <w:shd w:val="clear" w:color="auto" w:fill="D9D9D9"/>
          </w:tcPr>
          <w:p>
            <w:pPr>
              <w:pStyle w:val="TableParagraph"/>
              <w:spacing w:before="39"/>
              <w:ind w:left="107"/>
              <w:rPr>
                <w:b/>
                <w:sz w:val="21"/>
              </w:rPr>
            </w:pPr>
            <w:r>
              <w:rPr>
                <w:b/>
                <w:spacing w:val="-4"/>
                <w:sz w:val="21"/>
              </w:rPr>
              <w:t>次要目的</w:t>
            </w:r>
          </w:p>
        </w:tc>
      </w:tr>
      <w:tr>
        <w:trPr>
          <w:trHeight w:val="2392" w:hRule="atLeast"/>
        </w:trPr>
        <w:tc>
          <w:tcPr>
            <w:tcW w:w="3000" w:type="dxa"/>
          </w:tcPr>
          <w:p>
            <w:pPr>
              <w:pStyle w:val="TableParagraph"/>
              <w:spacing w:line="276" w:lineRule="auto" w:before="38"/>
              <w:ind w:left="107" w:right="95"/>
              <w:jc w:val="both"/>
              <w:rPr>
                <w:sz w:val="21"/>
              </w:rPr>
            </w:pPr>
            <w:r>
              <w:rPr>
                <w:spacing w:val="-14"/>
                <w:sz w:val="21"/>
              </w:rPr>
              <w:t>与 </w:t>
            </w:r>
            <w:r>
              <w:rPr>
                <w:rFonts w:ascii="Times New Roman" w:eastAsia="Times New Roman"/>
                <w:spacing w:val="-2"/>
                <w:sz w:val="21"/>
              </w:rPr>
              <w:t>SoC</w:t>
            </w:r>
            <w:r>
              <w:rPr>
                <w:rFonts w:ascii="Times New Roman" w:eastAsia="Times New Roman"/>
                <w:spacing w:val="-11"/>
                <w:sz w:val="21"/>
              </w:rPr>
              <w:t> </w:t>
            </w:r>
            <w:r>
              <w:rPr>
                <w:spacing w:val="-2"/>
                <w:sz w:val="21"/>
              </w:rPr>
              <w:t>添加安慰剂相比，评价 </w:t>
            </w:r>
            <w:r>
              <w:rPr>
                <w:rFonts w:ascii="Times New Roman" w:eastAsia="Times New Roman"/>
                <w:sz w:val="21"/>
              </w:rPr>
              <w:t>tozorakimab</w:t>
            </w:r>
            <w:r>
              <w:rPr>
                <w:rFonts w:ascii="Times New Roman" w:eastAsia="Times New Roman"/>
                <w:spacing w:val="-14"/>
                <w:sz w:val="21"/>
              </w:rPr>
              <w:t> </w:t>
            </w:r>
            <w:r>
              <w:rPr>
                <w:spacing w:val="13"/>
                <w:sz w:val="21"/>
              </w:rPr>
              <w:t>联合</w:t>
            </w:r>
            <w:r>
              <w:rPr>
                <w:rFonts w:ascii="Times New Roman" w:eastAsia="Times New Roman"/>
                <w:sz w:val="21"/>
              </w:rPr>
              <w:t>SoC</w:t>
            </w:r>
            <w:r>
              <w:rPr>
                <w:rFonts w:ascii="Times New Roman" w:eastAsia="Times New Roman"/>
                <w:spacing w:val="-13"/>
                <w:sz w:val="21"/>
              </w:rPr>
              <w:t> </w:t>
            </w:r>
            <w:r>
              <w:rPr>
                <w:sz w:val="21"/>
              </w:rPr>
              <w:t>对至首次</w:t>
            </w:r>
            <w:r>
              <w:rPr>
                <w:spacing w:val="-6"/>
                <w:sz w:val="21"/>
              </w:rPr>
              <w:t>中度至重度 </w:t>
            </w:r>
            <w:r>
              <w:rPr>
                <w:rFonts w:ascii="Times New Roman" w:eastAsia="Times New Roman"/>
                <w:spacing w:val="-2"/>
                <w:sz w:val="21"/>
              </w:rPr>
              <w:t>COPD</w:t>
            </w:r>
            <w:r>
              <w:rPr>
                <w:rFonts w:ascii="Times New Roman" w:eastAsia="Times New Roman"/>
                <w:spacing w:val="-11"/>
                <w:sz w:val="21"/>
              </w:rPr>
              <w:t> </w:t>
            </w:r>
            <w:r>
              <w:rPr>
                <w:spacing w:val="-2"/>
                <w:sz w:val="21"/>
              </w:rPr>
              <w:t>急性加重时间的长期影响。</w:t>
            </w:r>
          </w:p>
        </w:tc>
        <w:tc>
          <w:tcPr>
            <w:tcW w:w="5756" w:type="dxa"/>
          </w:tcPr>
          <w:p>
            <w:pPr>
              <w:pStyle w:val="TableParagraph"/>
              <w:spacing w:line="309" w:lineRule="auto" w:before="39"/>
              <w:ind w:left="108" w:right="990"/>
              <w:rPr>
                <w:sz w:val="21"/>
              </w:rPr>
            </w:pPr>
            <w:r>
              <w:rPr>
                <w:spacing w:val="-6"/>
                <w:sz w:val="21"/>
              </w:rPr>
              <w:t>终点：至首次中度至重度 </w:t>
            </w:r>
            <w:r>
              <w:rPr>
                <w:rFonts w:ascii="Times New Roman" w:eastAsia="Times New Roman"/>
                <w:spacing w:val="-2"/>
                <w:sz w:val="21"/>
              </w:rPr>
              <w:t>COPD</w:t>
            </w:r>
            <w:r>
              <w:rPr>
                <w:rFonts w:ascii="Times New Roman" w:eastAsia="Times New Roman"/>
                <w:spacing w:val="-7"/>
                <w:sz w:val="21"/>
              </w:rPr>
              <w:t> </w:t>
            </w:r>
            <w:r>
              <w:rPr>
                <w:spacing w:val="-2"/>
                <w:sz w:val="21"/>
              </w:rPr>
              <w:t>急性加重的时间。汇总分析指标：风险比</w:t>
            </w:r>
          </w:p>
          <w:p>
            <w:pPr>
              <w:pStyle w:val="TableParagraph"/>
              <w:spacing w:line="273" w:lineRule="auto" w:before="1"/>
              <w:ind w:left="108" w:right="103"/>
              <w:rPr>
                <w:sz w:val="21"/>
              </w:rPr>
            </w:pPr>
            <w:r>
              <w:rPr>
                <w:spacing w:val="-2"/>
                <w:sz w:val="21"/>
              </w:rPr>
              <w:t>人群：全分析集，戒烟者。在戒烟者或吸烟者中进行的进一步支持性分析。</w:t>
            </w:r>
          </w:p>
          <w:p>
            <w:pPr>
              <w:pStyle w:val="TableParagraph"/>
              <w:spacing w:line="276" w:lineRule="auto" w:before="44"/>
              <w:ind w:left="108" w:right="96"/>
              <w:jc w:val="both"/>
              <w:rPr>
                <w:sz w:val="21"/>
              </w:rPr>
            </w:pPr>
            <w:r>
              <w:rPr>
                <w:spacing w:val="-2"/>
                <w:sz w:val="21"/>
              </w:rPr>
              <w:t>伴发事件：在治策略。将剔除相关伴发事件（终止随机分配的治疗（允许给药间隔），开始使用禁用的生物制剂）发生后收集的数据。</w:t>
            </w:r>
          </w:p>
        </w:tc>
      </w:tr>
      <w:tr>
        <w:trPr>
          <w:trHeight w:val="2392" w:hRule="atLeast"/>
        </w:trPr>
        <w:tc>
          <w:tcPr>
            <w:tcW w:w="3000" w:type="dxa"/>
          </w:tcPr>
          <w:p>
            <w:pPr>
              <w:pStyle w:val="TableParagraph"/>
              <w:spacing w:line="276" w:lineRule="auto" w:before="36"/>
              <w:ind w:left="107" w:right="95"/>
              <w:jc w:val="both"/>
              <w:rPr>
                <w:sz w:val="21"/>
              </w:rPr>
            </w:pPr>
            <w:r>
              <w:rPr>
                <w:spacing w:val="-14"/>
                <w:sz w:val="21"/>
              </w:rPr>
              <w:t>与 </w:t>
            </w:r>
            <w:r>
              <w:rPr>
                <w:rFonts w:ascii="Times New Roman" w:eastAsia="Times New Roman"/>
                <w:spacing w:val="-2"/>
                <w:sz w:val="21"/>
              </w:rPr>
              <w:t>SoC</w:t>
            </w:r>
            <w:r>
              <w:rPr>
                <w:rFonts w:ascii="Times New Roman" w:eastAsia="Times New Roman"/>
                <w:spacing w:val="-11"/>
                <w:sz w:val="21"/>
              </w:rPr>
              <w:t> </w:t>
            </w:r>
            <w:r>
              <w:rPr>
                <w:spacing w:val="-2"/>
                <w:sz w:val="21"/>
              </w:rPr>
              <w:t>添加安慰剂相比，评价 </w:t>
            </w:r>
            <w:r>
              <w:rPr>
                <w:rFonts w:ascii="Times New Roman" w:eastAsia="Times New Roman"/>
                <w:sz w:val="21"/>
              </w:rPr>
              <w:t>tozorakimab</w:t>
            </w:r>
            <w:r>
              <w:rPr>
                <w:rFonts w:ascii="Times New Roman" w:eastAsia="Times New Roman"/>
                <w:spacing w:val="-14"/>
                <w:sz w:val="21"/>
              </w:rPr>
              <w:t> </w:t>
            </w:r>
            <w:r>
              <w:rPr>
                <w:spacing w:val="13"/>
                <w:sz w:val="21"/>
              </w:rPr>
              <w:t>联合</w:t>
            </w:r>
            <w:r>
              <w:rPr>
                <w:rFonts w:ascii="Times New Roman" w:eastAsia="Times New Roman"/>
                <w:sz w:val="21"/>
              </w:rPr>
              <w:t>SoC</w:t>
            </w:r>
            <w:r>
              <w:rPr>
                <w:rFonts w:ascii="Times New Roman" w:eastAsia="Times New Roman"/>
                <w:spacing w:val="-13"/>
                <w:sz w:val="21"/>
              </w:rPr>
              <w:t> </w:t>
            </w:r>
            <w:r>
              <w:rPr>
                <w:sz w:val="21"/>
              </w:rPr>
              <w:t>对中度至</w:t>
            </w:r>
            <w:r>
              <w:rPr>
                <w:spacing w:val="-10"/>
                <w:sz w:val="21"/>
              </w:rPr>
              <w:t>重度 </w:t>
            </w:r>
            <w:r>
              <w:rPr>
                <w:rFonts w:ascii="Times New Roman" w:eastAsia="Times New Roman"/>
                <w:spacing w:val="-2"/>
                <w:sz w:val="21"/>
              </w:rPr>
              <w:t>COPD</w:t>
            </w:r>
            <w:r>
              <w:rPr>
                <w:rFonts w:ascii="Times New Roman" w:eastAsia="Times New Roman"/>
                <w:spacing w:val="-11"/>
                <w:sz w:val="21"/>
              </w:rPr>
              <w:t> </w:t>
            </w:r>
            <w:r>
              <w:rPr>
                <w:spacing w:val="-2"/>
                <w:sz w:val="21"/>
              </w:rPr>
              <w:t>急性加重发生率的长期影响。</w:t>
            </w:r>
          </w:p>
        </w:tc>
        <w:tc>
          <w:tcPr>
            <w:tcW w:w="5756" w:type="dxa"/>
          </w:tcPr>
          <w:p>
            <w:pPr>
              <w:pStyle w:val="TableParagraph"/>
              <w:spacing w:line="309" w:lineRule="auto" w:before="38"/>
              <w:ind w:left="108" w:right="1201"/>
              <w:rPr>
                <w:sz w:val="21"/>
              </w:rPr>
            </w:pPr>
            <w:r>
              <w:rPr>
                <w:spacing w:val="-8"/>
                <w:sz w:val="21"/>
              </w:rPr>
              <w:t>终点：中度至重度 </w:t>
            </w:r>
            <w:r>
              <w:rPr>
                <w:rFonts w:ascii="Times New Roman" w:eastAsia="Times New Roman"/>
                <w:spacing w:val="-2"/>
                <w:sz w:val="21"/>
              </w:rPr>
              <w:t>COPD</w:t>
            </w:r>
            <w:r>
              <w:rPr>
                <w:rFonts w:ascii="Times New Roman" w:eastAsia="Times New Roman"/>
                <w:spacing w:val="-9"/>
                <w:sz w:val="21"/>
              </w:rPr>
              <w:t> </w:t>
            </w:r>
            <w:r>
              <w:rPr>
                <w:spacing w:val="-2"/>
                <w:sz w:val="21"/>
              </w:rPr>
              <w:t>急性加重的年发生率。汇总分析指标：发生率比值</w:t>
            </w:r>
          </w:p>
          <w:p>
            <w:pPr>
              <w:pStyle w:val="TableParagraph"/>
              <w:spacing w:line="276" w:lineRule="auto" w:before="1"/>
              <w:ind w:left="108" w:right="103"/>
              <w:rPr>
                <w:sz w:val="21"/>
              </w:rPr>
            </w:pPr>
            <w:r>
              <w:rPr>
                <w:spacing w:val="-2"/>
                <w:sz w:val="21"/>
              </w:rPr>
              <w:t>人群：全分析集，戒烟者。在戒烟者或吸烟者中进行的进一步支持性分析。</w:t>
            </w:r>
          </w:p>
          <w:p>
            <w:pPr>
              <w:pStyle w:val="TableParagraph"/>
              <w:spacing w:line="276" w:lineRule="auto" w:before="39"/>
              <w:ind w:left="108" w:right="92"/>
              <w:jc w:val="both"/>
              <w:rPr>
                <w:sz w:val="21"/>
              </w:rPr>
            </w:pPr>
            <w:r>
              <w:rPr>
                <w:spacing w:val="-2"/>
                <w:sz w:val="21"/>
              </w:rPr>
              <w:t>伴发事件：在治策略。将剔除相关伴发事件（终止随机分配的治疗（允许给药间隔），开始使用禁用的生物制剂）发生后收集的数据。</w:t>
            </w:r>
          </w:p>
        </w:tc>
      </w:tr>
      <w:tr>
        <w:trPr>
          <w:trHeight w:val="1413" w:hRule="atLeast"/>
        </w:trPr>
        <w:tc>
          <w:tcPr>
            <w:tcW w:w="3000" w:type="dxa"/>
          </w:tcPr>
          <w:p>
            <w:pPr>
              <w:pStyle w:val="TableParagraph"/>
              <w:spacing w:line="276" w:lineRule="auto" w:before="36"/>
              <w:ind w:left="107" w:right="95"/>
              <w:jc w:val="both"/>
              <w:rPr>
                <w:sz w:val="21"/>
              </w:rPr>
            </w:pPr>
            <w:r>
              <w:rPr>
                <w:spacing w:val="-14"/>
                <w:sz w:val="21"/>
              </w:rPr>
              <w:t>与 </w:t>
            </w:r>
            <w:r>
              <w:rPr>
                <w:rFonts w:ascii="Times New Roman" w:eastAsia="Times New Roman"/>
                <w:spacing w:val="-2"/>
                <w:sz w:val="21"/>
              </w:rPr>
              <w:t>SoC</w:t>
            </w:r>
            <w:r>
              <w:rPr>
                <w:rFonts w:ascii="Times New Roman" w:eastAsia="Times New Roman"/>
                <w:spacing w:val="-11"/>
                <w:sz w:val="21"/>
              </w:rPr>
              <w:t> </w:t>
            </w:r>
            <w:r>
              <w:rPr>
                <w:spacing w:val="-2"/>
                <w:sz w:val="21"/>
              </w:rPr>
              <w:t>添加安慰剂相比，评价 </w:t>
            </w:r>
            <w:r>
              <w:rPr>
                <w:rFonts w:ascii="Times New Roman" w:eastAsia="Times New Roman"/>
                <w:sz w:val="21"/>
              </w:rPr>
              <w:t>tozorakimab</w:t>
            </w:r>
            <w:r>
              <w:rPr>
                <w:rFonts w:ascii="Times New Roman" w:eastAsia="Times New Roman"/>
                <w:spacing w:val="-14"/>
                <w:sz w:val="21"/>
              </w:rPr>
              <w:t> </w:t>
            </w:r>
            <w:r>
              <w:rPr>
                <w:spacing w:val="13"/>
                <w:sz w:val="21"/>
              </w:rPr>
              <w:t>联合</w:t>
            </w:r>
            <w:r>
              <w:rPr>
                <w:rFonts w:ascii="Times New Roman" w:eastAsia="Times New Roman"/>
                <w:sz w:val="21"/>
              </w:rPr>
              <w:t>SoC</w:t>
            </w:r>
            <w:r>
              <w:rPr>
                <w:rFonts w:ascii="Times New Roman" w:eastAsia="Times New Roman"/>
                <w:spacing w:val="-13"/>
                <w:sz w:val="21"/>
              </w:rPr>
              <w:t> </w:t>
            </w:r>
            <w:r>
              <w:rPr>
                <w:sz w:val="21"/>
              </w:rPr>
              <w:t>对至全因</w:t>
            </w:r>
            <w:r>
              <w:rPr>
                <w:spacing w:val="-2"/>
                <w:sz w:val="21"/>
              </w:rPr>
              <w:t>死亡的时间的影响。</w:t>
            </w:r>
          </w:p>
        </w:tc>
        <w:tc>
          <w:tcPr>
            <w:tcW w:w="5756" w:type="dxa"/>
          </w:tcPr>
          <w:p>
            <w:pPr>
              <w:pStyle w:val="TableParagraph"/>
              <w:spacing w:line="309" w:lineRule="auto" w:before="38"/>
              <w:ind w:left="108" w:right="3115"/>
              <w:rPr>
                <w:sz w:val="21"/>
              </w:rPr>
            </w:pPr>
            <w:r>
              <w:rPr>
                <w:spacing w:val="-2"/>
                <w:sz w:val="21"/>
              </w:rPr>
              <w:t>终点：至全因死亡的时间。汇总分析指标：风险比</w:t>
            </w:r>
          </w:p>
          <w:p>
            <w:pPr>
              <w:pStyle w:val="TableParagraph"/>
              <w:spacing w:line="276" w:lineRule="auto" w:before="1"/>
              <w:ind w:left="108" w:right="103"/>
              <w:rPr>
                <w:sz w:val="21"/>
              </w:rPr>
            </w:pPr>
            <w:r>
              <w:rPr>
                <w:spacing w:val="-2"/>
                <w:sz w:val="21"/>
              </w:rPr>
              <w:t>人群：全分析集，戒烟者。在戒烟者或吸烟者中进行的进一步支持性分析。</w:t>
            </w:r>
          </w:p>
        </w:tc>
      </w:tr>
    </w:tbl>
    <w:p>
      <w:pPr>
        <w:spacing w:after="0" w:line="276" w:lineRule="auto"/>
        <w:rPr>
          <w:sz w:val="21"/>
        </w:rPr>
        <w:sectPr>
          <w:pgSz w:w="11910" w:h="16840"/>
          <w:pgMar w:header="590" w:footer="784" w:top="1360" w:bottom="980" w:left="1480" w:right="1080"/>
        </w:sectPr>
      </w:pPr>
    </w:p>
    <w:p>
      <w:pPr>
        <w:pStyle w:val="BodyText"/>
        <w:spacing w:before="10"/>
        <w:ind w:left="0"/>
        <w:rPr>
          <w:sz w:val="4"/>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5756"/>
      </w:tblGrid>
      <w:tr>
        <w:trPr>
          <w:trHeight w:val="352" w:hRule="atLeast"/>
        </w:trPr>
        <w:tc>
          <w:tcPr>
            <w:tcW w:w="3000" w:type="dxa"/>
          </w:tcPr>
          <w:p>
            <w:pPr>
              <w:pStyle w:val="TableParagraph"/>
              <w:spacing w:before="38"/>
              <w:ind w:left="107"/>
              <w:rPr>
                <w:b/>
                <w:sz w:val="21"/>
              </w:rPr>
            </w:pPr>
            <w:r>
              <w:rPr>
                <w:b/>
                <w:spacing w:val="-4"/>
                <w:sz w:val="21"/>
              </w:rPr>
              <w:t>研究目的</w:t>
            </w:r>
          </w:p>
        </w:tc>
        <w:tc>
          <w:tcPr>
            <w:tcW w:w="5756" w:type="dxa"/>
          </w:tcPr>
          <w:p>
            <w:pPr>
              <w:pStyle w:val="TableParagraph"/>
              <w:spacing w:before="38"/>
              <w:ind w:left="108"/>
              <w:rPr>
                <w:b/>
                <w:sz w:val="21"/>
              </w:rPr>
            </w:pPr>
            <w:r>
              <w:rPr>
                <w:b/>
                <w:spacing w:val="-2"/>
                <w:sz w:val="21"/>
              </w:rPr>
              <w:t>研究终点</w:t>
            </w:r>
            <w:r>
              <w:rPr>
                <w:rFonts w:ascii="Times New Roman" w:eastAsia="Times New Roman"/>
                <w:b/>
                <w:spacing w:val="-2"/>
                <w:sz w:val="21"/>
              </w:rPr>
              <w:t>/</w:t>
            </w:r>
            <w:r>
              <w:rPr>
                <w:b/>
                <w:spacing w:val="-4"/>
                <w:sz w:val="21"/>
              </w:rPr>
              <w:t>估计目标</w:t>
            </w:r>
          </w:p>
        </w:tc>
      </w:tr>
      <w:tr>
        <w:trPr>
          <w:trHeight w:val="980" w:hRule="atLeast"/>
        </w:trPr>
        <w:tc>
          <w:tcPr>
            <w:tcW w:w="3000" w:type="dxa"/>
          </w:tcPr>
          <w:p>
            <w:pPr>
              <w:pStyle w:val="TableParagraph"/>
              <w:rPr>
                <w:rFonts w:ascii="Times New Roman"/>
                <w:sz w:val="22"/>
              </w:rPr>
            </w:pPr>
          </w:p>
        </w:tc>
        <w:tc>
          <w:tcPr>
            <w:tcW w:w="5756" w:type="dxa"/>
          </w:tcPr>
          <w:p>
            <w:pPr>
              <w:pStyle w:val="TableParagraph"/>
              <w:spacing w:line="276" w:lineRule="auto"/>
              <w:ind w:left="108" w:right="96"/>
              <w:jc w:val="both"/>
              <w:rPr>
                <w:sz w:val="21"/>
              </w:rPr>
            </w:pPr>
            <w:r>
              <w:rPr>
                <w:spacing w:val="10"/>
                <w:sz w:val="21"/>
              </w:rPr>
              <w:t>伴发事件：使用疗法策略，不考虑研究期间的治疗终止情</w:t>
            </w:r>
            <w:r>
              <w:rPr>
                <w:spacing w:val="-2"/>
                <w:sz w:val="21"/>
              </w:rPr>
              <w:t>况，并且填补重新随机化后的数据，或基于退出研究的原因填补退出研究后的数据。</w:t>
            </w:r>
          </w:p>
        </w:tc>
      </w:tr>
      <w:tr>
        <w:trPr>
          <w:trHeight w:val="706" w:hRule="atLeast"/>
        </w:trPr>
        <w:tc>
          <w:tcPr>
            <w:tcW w:w="3000" w:type="dxa"/>
          </w:tcPr>
          <w:p>
            <w:pPr>
              <w:pStyle w:val="TableParagraph"/>
              <w:spacing w:line="276" w:lineRule="auto" w:before="36"/>
              <w:ind w:left="107" w:right="95"/>
              <w:rPr>
                <w:sz w:val="21"/>
              </w:rPr>
            </w:pPr>
            <w:r>
              <w:rPr>
                <w:spacing w:val="-16"/>
                <w:sz w:val="21"/>
              </w:rPr>
              <w:t>评价 </w:t>
            </w:r>
            <w:r>
              <w:rPr>
                <w:rFonts w:ascii="Times New Roman" w:eastAsia="Times New Roman"/>
                <w:sz w:val="21"/>
              </w:rPr>
              <w:t>tozorakimab</w:t>
            </w:r>
            <w:r>
              <w:rPr>
                <w:rFonts w:ascii="Times New Roman" w:eastAsia="Times New Roman"/>
                <w:spacing w:val="-14"/>
                <w:sz w:val="21"/>
              </w:rPr>
              <w:t> </w:t>
            </w:r>
            <w:r>
              <w:rPr>
                <w:spacing w:val="-24"/>
                <w:sz w:val="21"/>
              </w:rPr>
              <w:t>的 </w:t>
            </w:r>
            <w:r>
              <w:rPr>
                <w:rFonts w:ascii="Times New Roman" w:eastAsia="Times New Roman"/>
                <w:sz w:val="21"/>
              </w:rPr>
              <w:t>PK</w:t>
            </w:r>
            <w:r>
              <w:rPr>
                <w:rFonts w:ascii="Times New Roman" w:eastAsia="Times New Roman"/>
                <w:spacing w:val="-13"/>
                <w:sz w:val="21"/>
              </w:rPr>
              <w:t> </w:t>
            </w:r>
            <w:r>
              <w:rPr>
                <w:sz w:val="21"/>
              </w:rPr>
              <w:t>和免疫</w:t>
            </w:r>
            <w:r>
              <w:rPr>
                <w:spacing w:val="-4"/>
                <w:sz w:val="21"/>
              </w:rPr>
              <w:t>原性。</w:t>
            </w:r>
          </w:p>
        </w:tc>
        <w:tc>
          <w:tcPr>
            <w:tcW w:w="5756" w:type="dxa"/>
          </w:tcPr>
          <w:p>
            <w:pPr>
              <w:pStyle w:val="TableParagraph"/>
              <w:numPr>
                <w:ilvl w:val="0"/>
                <w:numId w:val="4"/>
              </w:numPr>
              <w:tabs>
                <w:tab w:pos="532" w:val="left" w:leader="none"/>
              </w:tabs>
              <w:spacing w:line="240" w:lineRule="auto" w:before="58" w:after="0"/>
              <w:ind w:left="532" w:right="0" w:hanging="424"/>
              <w:jc w:val="left"/>
              <w:rPr>
                <w:sz w:val="21"/>
              </w:rPr>
            </w:pPr>
            <w:r>
              <w:rPr>
                <w:spacing w:val="-9"/>
                <w:sz w:val="21"/>
              </w:rPr>
              <w:t>治疗期间 </w:t>
            </w:r>
            <w:r>
              <w:rPr>
                <w:rFonts w:ascii="Times New Roman" w:hAnsi="Times New Roman" w:eastAsia="Times New Roman"/>
                <w:spacing w:val="-2"/>
                <w:sz w:val="21"/>
              </w:rPr>
              <w:t>tozorakimab</w:t>
            </w:r>
            <w:r>
              <w:rPr>
                <w:rFonts w:ascii="Times New Roman" w:hAnsi="Times New Roman" w:eastAsia="Times New Roman"/>
                <w:spacing w:val="8"/>
                <w:sz w:val="21"/>
              </w:rPr>
              <w:t> </w:t>
            </w:r>
            <w:r>
              <w:rPr>
                <w:spacing w:val="-4"/>
                <w:sz w:val="21"/>
              </w:rPr>
              <w:t>的血清谷浓度。</w:t>
            </w:r>
          </w:p>
          <w:p>
            <w:pPr>
              <w:pStyle w:val="TableParagraph"/>
              <w:numPr>
                <w:ilvl w:val="0"/>
                <w:numId w:val="4"/>
              </w:numPr>
              <w:tabs>
                <w:tab w:pos="532" w:val="left" w:leader="none"/>
              </w:tabs>
              <w:spacing w:line="240" w:lineRule="auto" w:before="39" w:after="0"/>
              <w:ind w:left="532" w:right="0" w:hanging="424"/>
              <w:jc w:val="left"/>
              <w:rPr>
                <w:sz w:val="21"/>
              </w:rPr>
            </w:pPr>
            <w:r>
              <w:rPr>
                <w:spacing w:val="-2"/>
                <w:sz w:val="21"/>
              </w:rPr>
              <w:t>抗药抗体的存在。</w:t>
            </w:r>
          </w:p>
        </w:tc>
      </w:tr>
      <w:tr>
        <w:trPr>
          <w:trHeight w:val="393" w:hRule="atLeast"/>
        </w:trPr>
        <w:tc>
          <w:tcPr>
            <w:tcW w:w="8756" w:type="dxa"/>
            <w:gridSpan w:val="2"/>
            <w:shd w:val="clear" w:color="auto" w:fill="D9D9D9"/>
          </w:tcPr>
          <w:p>
            <w:pPr>
              <w:pStyle w:val="TableParagraph"/>
              <w:spacing w:before="38"/>
              <w:ind w:left="107"/>
              <w:rPr>
                <w:b/>
                <w:sz w:val="21"/>
              </w:rPr>
            </w:pPr>
            <w:r>
              <w:rPr>
                <w:b/>
                <w:spacing w:val="-5"/>
                <w:sz w:val="21"/>
              </w:rPr>
              <w:t>安全性</w:t>
            </w:r>
          </w:p>
        </w:tc>
      </w:tr>
      <w:tr>
        <w:trPr>
          <w:trHeight w:val="2579" w:hRule="atLeast"/>
        </w:trPr>
        <w:tc>
          <w:tcPr>
            <w:tcW w:w="3000" w:type="dxa"/>
          </w:tcPr>
          <w:p>
            <w:pPr>
              <w:pStyle w:val="TableParagraph"/>
              <w:spacing w:line="276" w:lineRule="auto" w:before="36"/>
              <w:ind w:left="107" w:right="95"/>
              <w:jc w:val="both"/>
              <w:rPr>
                <w:sz w:val="21"/>
              </w:rPr>
            </w:pPr>
            <w:r>
              <w:rPr>
                <w:spacing w:val="-14"/>
                <w:sz w:val="21"/>
              </w:rPr>
              <w:t>与 </w:t>
            </w:r>
            <w:r>
              <w:rPr>
                <w:rFonts w:ascii="Times New Roman" w:eastAsia="Times New Roman"/>
                <w:spacing w:val="-2"/>
                <w:sz w:val="21"/>
              </w:rPr>
              <w:t>SoC</w:t>
            </w:r>
            <w:r>
              <w:rPr>
                <w:rFonts w:ascii="Times New Roman" w:eastAsia="Times New Roman"/>
                <w:spacing w:val="-11"/>
                <w:sz w:val="21"/>
              </w:rPr>
              <w:t> </w:t>
            </w:r>
            <w:r>
              <w:rPr>
                <w:spacing w:val="-2"/>
                <w:sz w:val="21"/>
              </w:rPr>
              <w:t>添加安慰剂相比，评价 </w:t>
            </w:r>
            <w:r>
              <w:rPr>
                <w:rFonts w:ascii="Times New Roman" w:eastAsia="Times New Roman"/>
                <w:sz w:val="21"/>
              </w:rPr>
              <w:t>tozorakimab</w:t>
            </w:r>
            <w:r>
              <w:rPr>
                <w:rFonts w:ascii="Times New Roman" w:eastAsia="Times New Roman"/>
                <w:spacing w:val="-14"/>
                <w:sz w:val="21"/>
              </w:rPr>
              <w:t> </w:t>
            </w:r>
            <w:r>
              <w:rPr>
                <w:spacing w:val="13"/>
                <w:sz w:val="21"/>
              </w:rPr>
              <w:t>联合</w:t>
            </w:r>
            <w:r>
              <w:rPr>
                <w:rFonts w:ascii="Times New Roman" w:eastAsia="Times New Roman"/>
                <w:sz w:val="21"/>
              </w:rPr>
              <w:t>SoC</w:t>
            </w:r>
            <w:r>
              <w:rPr>
                <w:rFonts w:ascii="Times New Roman" w:eastAsia="Times New Roman"/>
                <w:spacing w:val="-13"/>
                <w:sz w:val="21"/>
              </w:rPr>
              <w:t> </w:t>
            </w:r>
            <w:r>
              <w:rPr>
                <w:sz w:val="21"/>
              </w:rPr>
              <w:t>的长期安</w:t>
            </w:r>
            <w:r>
              <w:rPr>
                <w:spacing w:val="-2"/>
                <w:sz w:val="21"/>
              </w:rPr>
              <w:t>全性和耐受性。</w:t>
            </w:r>
          </w:p>
        </w:tc>
        <w:tc>
          <w:tcPr>
            <w:tcW w:w="5756" w:type="dxa"/>
          </w:tcPr>
          <w:p>
            <w:pPr>
              <w:pStyle w:val="TableParagraph"/>
              <w:spacing w:before="38"/>
              <w:ind w:left="108"/>
              <w:rPr>
                <w:sz w:val="21"/>
              </w:rPr>
            </w:pPr>
            <w:r>
              <w:rPr>
                <w:rFonts w:ascii="Times New Roman" w:eastAsia="Times New Roman"/>
                <w:spacing w:val="-2"/>
                <w:sz w:val="21"/>
              </w:rPr>
              <w:t>AE</w:t>
            </w:r>
            <w:r>
              <w:rPr>
                <w:spacing w:val="-4"/>
                <w:sz w:val="21"/>
              </w:rPr>
              <w:t>、生命体征、实验室评估和 </w:t>
            </w:r>
            <w:r>
              <w:rPr>
                <w:rFonts w:ascii="Times New Roman" w:eastAsia="Times New Roman"/>
                <w:spacing w:val="-2"/>
                <w:sz w:val="21"/>
              </w:rPr>
              <w:t>ECG</w:t>
            </w:r>
            <w:r>
              <w:rPr>
                <w:spacing w:val="-2"/>
                <w:sz w:val="21"/>
              </w:rPr>
              <w:t>。</w:t>
            </w:r>
            <w:r>
              <w:rPr>
                <w:rFonts w:ascii="Times New Roman" w:eastAsia="Times New Roman"/>
                <w:spacing w:val="-2"/>
                <w:sz w:val="21"/>
              </w:rPr>
              <w:t>AE</w:t>
            </w:r>
            <w:r>
              <w:rPr>
                <w:rFonts w:ascii="Times New Roman" w:eastAsia="Times New Roman"/>
                <w:spacing w:val="11"/>
                <w:sz w:val="21"/>
              </w:rPr>
              <w:t> </w:t>
            </w:r>
            <w:r>
              <w:rPr>
                <w:spacing w:val="-4"/>
                <w:sz w:val="21"/>
              </w:rPr>
              <w:t>相关评估包括：</w:t>
            </w:r>
          </w:p>
          <w:p>
            <w:pPr>
              <w:pStyle w:val="TableParagraph"/>
              <w:numPr>
                <w:ilvl w:val="0"/>
                <w:numId w:val="5"/>
              </w:numPr>
              <w:tabs>
                <w:tab w:pos="532" w:val="left" w:leader="none"/>
              </w:tabs>
              <w:spacing w:line="240" w:lineRule="auto" w:before="79" w:after="0"/>
              <w:ind w:left="532" w:right="0" w:hanging="424"/>
              <w:jc w:val="left"/>
              <w:rPr>
                <w:sz w:val="21"/>
              </w:rPr>
            </w:pPr>
            <w:r>
              <w:rPr>
                <w:sz w:val="21"/>
              </w:rPr>
              <w:t>发生率</w:t>
            </w:r>
            <w:r>
              <w:rPr>
                <w:rFonts w:ascii="Times New Roman" w:hAnsi="Times New Roman" w:eastAsia="Times New Roman"/>
                <w:sz w:val="21"/>
              </w:rPr>
              <w:t>/</w:t>
            </w:r>
            <w:r>
              <w:rPr>
                <w:spacing w:val="-5"/>
                <w:sz w:val="21"/>
              </w:rPr>
              <w:t>频率</w:t>
            </w:r>
          </w:p>
          <w:p>
            <w:pPr>
              <w:pStyle w:val="TableParagraph"/>
              <w:numPr>
                <w:ilvl w:val="0"/>
                <w:numId w:val="5"/>
              </w:numPr>
              <w:tabs>
                <w:tab w:pos="532" w:val="left" w:leader="none"/>
              </w:tabs>
              <w:spacing w:line="240" w:lineRule="auto" w:before="39" w:after="0"/>
              <w:ind w:left="532" w:right="0" w:hanging="424"/>
              <w:jc w:val="left"/>
              <w:rPr>
                <w:sz w:val="21"/>
              </w:rPr>
            </w:pPr>
            <w:r>
              <w:rPr>
                <w:spacing w:val="-8"/>
                <w:sz w:val="21"/>
              </w:rPr>
              <w:t>研究者评估与 </w:t>
            </w:r>
            <w:r>
              <w:rPr>
                <w:rFonts w:ascii="Times New Roman" w:hAnsi="Times New Roman" w:eastAsia="Times New Roman"/>
                <w:sz w:val="21"/>
              </w:rPr>
              <w:t>IP</w:t>
            </w:r>
            <w:r>
              <w:rPr>
                <w:rFonts w:ascii="Times New Roman" w:hAnsi="Times New Roman" w:eastAsia="Times New Roman"/>
                <w:spacing w:val="-12"/>
                <w:sz w:val="21"/>
              </w:rPr>
              <w:t> </w:t>
            </w:r>
            <w:r>
              <w:rPr>
                <w:spacing w:val="-4"/>
                <w:sz w:val="21"/>
              </w:rPr>
              <w:t>的关系</w:t>
            </w:r>
          </w:p>
          <w:p>
            <w:pPr>
              <w:pStyle w:val="TableParagraph"/>
              <w:numPr>
                <w:ilvl w:val="0"/>
                <w:numId w:val="5"/>
              </w:numPr>
              <w:tabs>
                <w:tab w:pos="532" w:val="left" w:leader="none"/>
              </w:tabs>
              <w:spacing w:line="240" w:lineRule="auto" w:before="39" w:after="0"/>
              <w:ind w:left="532" w:right="0" w:hanging="424"/>
              <w:jc w:val="left"/>
              <w:rPr>
                <w:sz w:val="21"/>
              </w:rPr>
            </w:pPr>
            <w:r>
              <w:rPr>
                <w:spacing w:val="-3"/>
                <w:sz w:val="21"/>
              </w:rPr>
              <w:t>严重程度</w:t>
            </w:r>
          </w:p>
          <w:p>
            <w:pPr>
              <w:pStyle w:val="TableParagraph"/>
              <w:numPr>
                <w:ilvl w:val="0"/>
                <w:numId w:val="5"/>
              </w:numPr>
              <w:tabs>
                <w:tab w:pos="532" w:val="left" w:leader="none"/>
              </w:tabs>
              <w:spacing w:line="240" w:lineRule="auto" w:before="39" w:after="0"/>
              <w:ind w:left="532" w:right="0" w:hanging="424"/>
              <w:jc w:val="left"/>
              <w:rPr>
                <w:sz w:val="21"/>
              </w:rPr>
            </w:pPr>
            <w:r>
              <w:rPr>
                <w:spacing w:val="-4"/>
                <w:sz w:val="21"/>
              </w:rPr>
              <w:t>严重性</w:t>
            </w:r>
          </w:p>
          <w:p>
            <w:pPr>
              <w:pStyle w:val="TableParagraph"/>
              <w:numPr>
                <w:ilvl w:val="0"/>
                <w:numId w:val="5"/>
              </w:numPr>
              <w:tabs>
                <w:tab w:pos="532" w:val="left" w:leader="none"/>
              </w:tabs>
              <w:spacing w:line="240" w:lineRule="auto" w:before="41" w:after="0"/>
              <w:ind w:left="532" w:right="0" w:hanging="424"/>
              <w:jc w:val="left"/>
              <w:rPr>
                <w:sz w:val="21"/>
              </w:rPr>
            </w:pPr>
            <w:r>
              <w:rPr>
                <w:spacing w:val="-5"/>
                <w:sz w:val="21"/>
              </w:rPr>
              <w:t>死亡</w:t>
            </w:r>
          </w:p>
          <w:p>
            <w:pPr>
              <w:pStyle w:val="TableParagraph"/>
              <w:numPr>
                <w:ilvl w:val="0"/>
                <w:numId w:val="5"/>
              </w:numPr>
              <w:tabs>
                <w:tab w:pos="532" w:val="left" w:leader="none"/>
              </w:tabs>
              <w:spacing w:line="240" w:lineRule="auto" w:before="39" w:after="0"/>
              <w:ind w:left="532" w:right="0" w:hanging="424"/>
              <w:jc w:val="left"/>
              <w:rPr>
                <w:rFonts w:ascii="Times New Roman" w:hAnsi="Times New Roman" w:eastAsia="Times New Roman"/>
                <w:sz w:val="21"/>
              </w:rPr>
            </w:pPr>
            <w:r>
              <w:rPr>
                <w:spacing w:val="-11"/>
                <w:sz w:val="21"/>
              </w:rPr>
              <w:t>导致终止 </w:t>
            </w:r>
            <w:r>
              <w:rPr>
                <w:rFonts w:ascii="Times New Roman" w:hAnsi="Times New Roman" w:eastAsia="Times New Roman"/>
                <w:sz w:val="21"/>
              </w:rPr>
              <w:t>IP</w:t>
            </w:r>
            <w:r>
              <w:rPr>
                <w:rFonts w:ascii="Times New Roman" w:hAnsi="Times New Roman" w:eastAsia="Times New Roman"/>
                <w:spacing w:val="-12"/>
                <w:sz w:val="21"/>
              </w:rPr>
              <w:t> </w:t>
            </w:r>
            <w:r>
              <w:rPr>
                <w:spacing w:val="-27"/>
                <w:sz w:val="21"/>
              </w:rPr>
              <w:t>的 </w:t>
            </w:r>
            <w:r>
              <w:rPr>
                <w:rFonts w:ascii="Times New Roman" w:hAnsi="Times New Roman" w:eastAsia="Times New Roman"/>
                <w:spacing w:val="-5"/>
                <w:sz w:val="21"/>
              </w:rPr>
              <w:t>AE</w:t>
            </w:r>
          </w:p>
          <w:p>
            <w:pPr>
              <w:pStyle w:val="TableParagraph"/>
              <w:numPr>
                <w:ilvl w:val="0"/>
                <w:numId w:val="5"/>
              </w:numPr>
              <w:tabs>
                <w:tab w:pos="532" w:val="left" w:leader="none"/>
              </w:tabs>
              <w:spacing w:line="240" w:lineRule="auto" w:before="39" w:after="0"/>
              <w:ind w:left="532" w:right="0" w:hanging="424"/>
              <w:jc w:val="left"/>
              <w:rPr>
                <w:rFonts w:ascii="Times New Roman" w:hAnsi="Times New Roman" w:eastAsia="Times New Roman"/>
                <w:sz w:val="21"/>
              </w:rPr>
            </w:pPr>
            <w:r>
              <w:rPr>
                <w:spacing w:val="-11"/>
                <w:sz w:val="21"/>
              </w:rPr>
              <w:t>其他重要 </w:t>
            </w:r>
            <w:r>
              <w:rPr>
                <w:rFonts w:ascii="Times New Roman" w:hAnsi="Times New Roman" w:eastAsia="Times New Roman"/>
                <w:spacing w:val="-5"/>
                <w:sz w:val="21"/>
              </w:rPr>
              <w:t>AE</w:t>
            </w:r>
          </w:p>
        </w:tc>
      </w:tr>
    </w:tbl>
    <w:p>
      <w:pPr>
        <w:spacing w:line="259" w:lineRule="auto" w:before="39"/>
        <w:ind w:left="221" w:right="359" w:firstLine="0"/>
        <w:jc w:val="left"/>
        <w:rPr>
          <w:sz w:val="21"/>
        </w:rPr>
      </w:pPr>
      <w:r>
        <w:rPr>
          <w:rFonts w:ascii="Times New Roman" w:eastAsia="Times New Roman"/>
          <w:spacing w:val="-2"/>
          <w:sz w:val="21"/>
        </w:rPr>
        <w:t>AE</w:t>
      </w:r>
      <w:r>
        <w:rPr>
          <w:spacing w:val="-2"/>
          <w:sz w:val="21"/>
        </w:rPr>
        <w:t>，不良事件；</w:t>
      </w:r>
      <w:r>
        <w:rPr>
          <w:rFonts w:ascii="Times New Roman" w:eastAsia="Times New Roman"/>
          <w:spacing w:val="-2"/>
          <w:sz w:val="21"/>
        </w:rPr>
        <w:t>COPD</w:t>
      </w:r>
      <w:r>
        <w:rPr>
          <w:spacing w:val="-2"/>
          <w:sz w:val="21"/>
        </w:rPr>
        <w:t>，慢性阻塞性肺疾病；</w:t>
      </w:r>
      <w:r>
        <w:rPr>
          <w:rFonts w:ascii="Times New Roman" w:eastAsia="Times New Roman"/>
          <w:spacing w:val="-2"/>
          <w:sz w:val="21"/>
        </w:rPr>
        <w:t>ECG</w:t>
      </w:r>
      <w:r>
        <w:rPr>
          <w:spacing w:val="-2"/>
          <w:sz w:val="21"/>
        </w:rPr>
        <w:t>，心电图；</w:t>
      </w:r>
      <w:r>
        <w:rPr>
          <w:rFonts w:ascii="Times New Roman" w:eastAsia="Times New Roman"/>
          <w:spacing w:val="-2"/>
          <w:sz w:val="21"/>
        </w:rPr>
        <w:t>ED</w:t>
      </w:r>
      <w:r>
        <w:rPr>
          <w:spacing w:val="-2"/>
          <w:sz w:val="21"/>
        </w:rPr>
        <w:t>，急诊科；</w:t>
      </w:r>
      <w:r>
        <w:rPr>
          <w:rFonts w:ascii="Times New Roman" w:eastAsia="Times New Roman"/>
          <w:spacing w:val="-2"/>
          <w:sz w:val="21"/>
        </w:rPr>
        <w:t>ER</w:t>
      </w:r>
      <w:r>
        <w:rPr>
          <w:spacing w:val="-2"/>
          <w:sz w:val="21"/>
        </w:rPr>
        <w:t>，急诊室；</w:t>
      </w:r>
      <w:r>
        <w:rPr>
          <w:rFonts w:ascii="Times New Roman" w:eastAsia="Times New Roman"/>
          <w:spacing w:val="-2"/>
          <w:sz w:val="21"/>
        </w:rPr>
        <w:t>IP</w:t>
      </w:r>
      <w:r>
        <w:rPr>
          <w:spacing w:val="-2"/>
          <w:sz w:val="21"/>
        </w:rPr>
        <w:t>，研究药物；</w:t>
      </w:r>
      <w:r>
        <w:rPr>
          <w:rFonts w:ascii="Times New Roman" w:eastAsia="Times New Roman"/>
          <w:spacing w:val="-2"/>
          <w:sz w:val="21"/>
        </w:rPr>
        <w:t>PK</w:t>
      </w:r>
      <w:r>
        <w:rPr>
          <w:spacing w:val="-2"/>
          <w:sz w:val="21"/>
        </w:rPr>
        <w:t>，药代动力学；</w:t>
      </w:r>
      <w:r>
        <w:rPr>
          <w:rFonts w:ascii="Times New Roman" w:eastAsia="Times New Roman"/>
          <w:spacing w:val="-2"/>
          <w:sz w:val="21"/>
        </w:rPr>
        <w:t>SoC</w:t>
      </w:r>
      <w:r>
        <w:rPr>
          <w:spacing w:val="-2"/>
          <w:sz w:val="21"/>
        </w:rPr>
        <w:t>，标准治疗。</w:t>
      </w:r>
    </w:p>
    <w:p>
      <w:pPr>
        <w:pStyle w:val="BodyText"/>
        <w:spacing w:line="600" w:lineRule="atLeast" w:before="26"/>
        <w:ind w:right="2948" w:firstLine="480"/>
        <w:jc w:val="both"/>
        <w:rPr>
          <w:b/>
        </w:rPr>
      </w:pPr>
      <w:r>
        <w:rPr>
          <w:spacing w:val="-2"/>
        </w:rPr>
        <w:t>探索性目的和终点参见临床研究方案（</w:t>
      </w:r>
      <w:r>
        <w:rPr>
          <w:rFonts w:ascii="Times New Roman" w:eastAsia="Times New Roman"/>
          <w:spacing w:val="-2"/>
        </w:rPr>
        <w:t>CSP</w:t>
      </w:r>
      <w:r>
        <w:rPr>
          <w:spacing w:val="-2"/>
        </w:rPr>
        <w:t>）</w:t>
      </w:r>
      <w:r>
        <w:rPr>
          <w:spacing w:val="-15"/>
        </w:rPr>
        <w:t>第 </w:t>
      </w:r>
      <w:hyperlink w:history="true" w:anchor="_bookmark19">
        <w:r>
          <w:rPr>
            <w:rFonts w:ascii="Times New Roman" w:eastAsia="Times New Roman"/>
            <w:color w:val="0000FF"/>
            <w:spacing w:val="-2"/>
          </w:rPr>
          <w:t>3</w:t>
        </w:r>
      </w:hyperlink>
      <w:r>
        <w:rPr>
          <w:rFonts w:ascii="Times New Roman" w:eastAsia="Times New Roman"/>
          <w:color w:val="0000FF"/>
          <w:spacing w:val="-13"/>
        </w:rPr>
        <w:t> </w:t>
      </w:r>
      <w:r>
        <w:rPr>
          <w:spacing w:val="-2"/>
        </w:rPr>
        <w:t>节。</w:t>
      </w:r>
      <w:r>
        <w:rPr>
          <w:b/>
          <w:spacing w:val="-2"/>
        </w:rPr>
        <w:t>总体设计：</w:t>
      </w:r>
    </w:p>
    <w:p>
      <w:pPr>
        <w:pStyle w:val="BodyText"/>
        <w:spacing w:line="276" w:lineRule="auto" w:before="118"/>
        <w:ind w:right="354" w:firstLine="480"/>
        <w:jc w:val="both"/>
      </w:pPr>
      <w:r>
        <w:rPr/>
        <w:t>本研究是一项多中心、随机、双盲、长期给药、平行分组、安慰剂对照的</w:t>
      </w:r>
      <w:r>
        <w:rPr>
          <w:rFonts w:ascii="Times New Roman" w:hAnsi="Times New Roman" w:eastAsia="Times New Roman"/>
        </w:rPr>
        <w:t>Ⅲ</w:t>
      </w:r>
      <w:r>
        <w:rPr/>
        <w:t>期</w:t>
      </w:r>
      <w:r>
        <w:rPr>
          <w:spacing w:val="-7"/>
        </w:rPr>
        <w:t>扩展研究，旨在评价 </w:t>
      </w:r>
      <w:r>
        <w:rPr>
          <w:rFonts w:ascii="Times New Roman" w:hAnsi="Times New Roman" w:eastAsia="Times New Roman"/>
          <w:spacing w:val="-4"/>
        </w:rPr>
        <w:t>tozorakimab</w:t>
      </w:r>
      <w:r>
        <w:rPr>
          <w:rFonts w:ascii="Times New Roman" w:hAnsi="Times New Roman" w:eastAsia="Times New Roman"/>
          <w:spacing w:val="-11"/>
        </w:rPr>
        <w:t> </w:t>
      </w:r>
      <w:r>
        <w:rPr>
          <w:spacing w:val="-10"/>
        </w:rPr>
        <w:t>在具有 </w:t>
      </w:r>
      <w:r>
        <w:rPr>
          <w:rFonts w:ascii="Times New Roman" w:hAnsi="Times New Roman" w:eastAsia="Times New Roman"/>
          <w:spacing w:val="-4"/>
        </w:rPr>
        <w:t>COPD</w:t>
      </w:r>
      <w:r>
        <w:rPr>
          <w:rFonts w:ascii="Times New Roman" w:hAnsi="Times New Roman" w:eastAsia="Times New Roman"/>
          <w:spacing w:val="-11"/>
        </w:rPr>
        <w:t> </w:t>
      </w:r>
      <w:r>
        <w:rPr>
          <w:spacing w:val="-7"/>
        </w:rPr>
        <w:t>急性加重病史的 </w:t>
      </w:r>
      <w:r>
        <w:rPr>
          <w:rFonts w:ascii="Times New Roman" w:hAnsi="Times New Roman" w:eastAsia="Times New Roman"/>
          <w:spacing w:val="-4"/>
        </w:rPr>
        <w:t>COPD</w:t>
      </w:r>
      <w:r>
        <w:rPr>
          <w:rFonts w:ascii="Times New Roman" w:hAnsi="Times New Roman" w:eastAsia="Times New Roman"/>
          <w:spacing w:val="-10"/>
        </w:rPr>
        <w:t> </w:t>
      </w:r>
      <w:r>
        <w:rPr>
          <w:spacing w:val="-4"/>
        </w:rPr>
        <w:t>受试者中的长</w:t>
      </w:r>
      <w:r>
        <w:rPr/>
        <w:t>期有效性和安全性（</w:t>
      </w:r>
      <w:r>
        <w:rPr>
          <w:rFonts w:ascii="Times New Roman" w:hAnsi="Times New Roman" w:eastAsia="Times New Roman"/>
        </w:rPr>
        <w:t>PROSPERO</w:t>
      </w:r>
      <w:r>
        <w:rPr/>
        <w:t>）。自严重急性呼吸综合征冠状病毒 </w:t>
      </w:r>
      <w:r>
        <w:rPr>
          <w:rFonts w:ascii="Times New Roman" w:hAnsi="Times New Roman" w:eastAsia="Times New Roman"/>
        </w:rPr>
        <w:t>2 </w:t>
      </w:r>
      <w:r>
        <w:rPr/>
        <w:t>型（</w:t>
      </w:r>
      <w:r>
        <w:rPr>
          <w:rFonts w:ascii="Times New Roman" w:hAnsi="Times New Roman" w:eastAsia="Times New Roman"/>
        </w:rPr>
        <w:t>SARS- CoV-</w:t>
      </w:r>
      <w:r>
        <w:rPr>
          <w:rFonts w:ascii="Times New Roman" w:hAnsi="Times New Roman" w:eastAsia="Times New Roman"/>
          <w:spacing w:val="9"/>
        </w:rPr>
        <w:t>2</w:t>
      </w:r>
      <w:r>
        <w:rPr>
          <w:spacing w:val="9"/>
        </w:rPr>
        <w:t>）</w:t>
      </w:r>
      <w:r>
        <w:rPr>
          <w:spacing w:val="3"/>
        </w:rPr>
        <w:t>大流行以来因 </w:t>
      </w:r>
      <w:r>
        <w:rPr>
          <w:rFonts w:ascii="Times New Roman" w:hAnsi="Times New Roman" w:eastAsia="Times New Roman"/>
        </w:rPr>
        <w:t>COPD</w:t>
      </w:r>
      <w:r>
        <w:rPr>
          <w:rFonts w:ascii="Times New Roman" w:hAnsi="Times New Roman" w:eastAsia="Times New Roman"/>
          <w:spacing w:val="40"/>
        </w:rPr>
        <w:t> </w:t>
      </w:r>
      <w:r>
        <w:rPr/>
        <w:t>住院治疗的发生率较低，为了收集更多数量的重度 </w:t>
      </w:r>
      <w:r>
        <w:rPr>
          <w:rFonts w:ascii="Times New Roman" w:hAnsi="Times New Roman" w:eastAsia="Times New Roman"/>
        </w:rPr>
        <w:t>COPD </w:t>
      </w:r>
      <w:r>
        <w:rPr/>
        <w:t>急性加重事件，将对前身研究的数据进行汇总分析，以评估自前身研究随机分组开始的有效性（</w:t>
      </w:r>
      <w:hyperlink w:history="true" w:anchor="_bookmark174">
        <w:r>
          <w:rPr>
            <w:rFonts w:ascii="Times New Roman" w:hAnsi="Times New Roman" w:eastAsia="Times New Roman"/>
            <w:color w:val="0000FF"/>
          </w:rPr>
          <w:t>Alqahtani</w:t>
        </w:r>
        <w:r>
          <w:rPr>
            <w:rFonts w:ascii="Times New Roman" w:hAnsi="Times New Roman" w:eastAsia="Times New Roman"/>
            <w:color w:val="0000FF"/>
            <w:spacing w:val="-15"/>
          </w:rPr>
          <w:t> </w:t>
        </w:r>
        <w:r>
          <w:rPr>
            <w:rFonts w:ascii="Times New Roman" w:hAnsi="Times New Roman" w:eastAsia="Times New Roman"/>
            <w:color w:val="0000FF"/>
          </w:rPr>
          <w:t>et</w:t>
        </w:r>
        <w:r>
          <w:rPr>
            <w:rFonts w:ascii="Times New Roman" w:hAnsi="Times New Roman" w:eastAsia="Times New Roman"/>
            <w:color w:val="0000FF"/>
            <w:spacing w:val="-15"/>
          </w:rPr>
          <w:t> </w:t>
        </w:r>
        <w:r>
          <w:rPr>
            <w:rFonts w:ascii="Times New Roman" w:hAnsi="Times New Roman" w:eastAsia="Times New Roman"/>
            <w:color w:val="0000FF"/>
          </w:rPr>
          <w:t>al</w:t>
        </w:r>
        <w:r>
          <w:rPr>
            <w:rFonts w:ascii="Times New Roman" w:hAnsi="Times New Roman" w:eastAsia="Times New Roman"/>
            <w:color w:val="0000FF"/>
            <w:spacing w:val="-15"/>
          </w:rPr>
          <w:t> </w:t>
        </w:r>
        <w:r>
          <w:rPr>
            <w:rFonts w:ascii="Times New Roman" w:hAnsi="Times New Roman" w:eastAsia="Times New Roman"/>
            <w:color w:val="0000FF"/>
          </w:rPr>
          <w:t>2021</w:t>
        </w:r>
      </w:hyperlink>
      <w:r>
        <w:rPr/>
        <w:t>）</w:t>
      </w:r>
      <w:r>
        <w:rPr>
          <w:spacing w:val="-8"/>
        </w:rPr>
        <w:t>。鉴于 </w:t>
      </w:r>
      <w:r>
        <w:rPr>
          <w:rFonts w:ascii="Times New Roman" w:hAnsi="Times New Roman" w:eastAsia="Times New Roman"/>
        </w:rPr>
        <w:t>tozorakimab</w:t>
      </w:r>
      <w:r>
        <w:rPr>
          <w:rFonts w:ascii="Times New Roman" w:hAnsi="Times New Roman" w:eastAsia="Times New Roman"/>
          <w:spacing w:val="-15"/>
        </w:rPr>
        <w:t> </w:t>
      </w:r>
      <w:r>
        <w:rPr/>
        <w:t>预期是一种长期维持治</w:t>
      </w:r>
      <w:r>
        <w:rPr>
          <w:spacing w:val="-6"/>
        </w:rPr>
        <w:t>疗，本研究还将在接受治疗超过 </w:t>
      </w:r>
      <w:r>
        <w:rPr>
          <w:rFonts w:ascii="Times New Roman" w:hAnsi="Times New Roman" w:eastAsia="Times New Roman"/>
          <w:spacing w:val="-4"/>
        </w:rPr>
        <w:t>1</w:t>
      </w:r>
      <w:r>
        <w:rPr>
          <w:rFonts w:ascii="Times New Roman" w:hAnsi="Times New Roman" w:eastAsia="Times New Roman"/>
          <w:spacing w:val="-11"/>
        </w:rPr>
        <w:t> </w:t>
      </w:r>
      <w:r>
        <w:rPr>
          <w:spacing w:val="-12"/>
        </w:rPr>
        <w:t>年的 </w:t>
      </w:r>
      <w:r>
        <w:rPr>
          <w:rFonts w:ascii="Times New Roman" w:hAnsi="Times New Roman" w:eastAsia="Times New Roman"/>
          <w:spacing w:val="-4"/>
        </w:rPr>
        <w:t>COPD</w:t>
      </w:r>
      <w:r>
        <w:rPr>
          <w:rFonts w:ascii="Times New Roman" w:hAnsi="Times New Roman" w:eastAsia="Times New Roman"/>
          <w:spacing w:val="6"/>
        </w:rPr>
        <w:t> </w:t>
      </w:r>
      <w:r>
        <w:rPr>
          <w:spacing w:val="-8"/>
        </w:rPr>
        <w:t>患者中评估 </w:t>
      </w:r>
      <w:r>
        <w:rPr>
          <w:rFonts w:ascii="Times New Roman" w:hAnsi="Times New Roman" w:eastAsia="Times New Roman"/>
          <w:spacing w:val="-4"/>
        </w:rPr>
        <w:t>tozorakimab</w:t>
      </w:r>
      <w:r>
        <w:rPr>
          <w:rFonts w:ascii="Times New Roman" w:hAnsi="Times New Roman" w:eastAsia="Times New Roman"/>
          <w:spacing w:val="9"/>
        </w:rPr>
        <w:t> </w:t>
      </w:r>
      <w:r>
        <w:rPr>
          <w:spacing w:val="-4"/>
        </w:rPr>
        <w:t>的长期安全性特征。</w:t>
      </w:r>
    </w:p>
    <w:p>
      <w:pPr>
        <w:pStyle w:val="BodyText"/>
        <w:spacing w:line="276" w:lineRule="auto" w:before="233"/>
        <w:ind w:right="353" w:firstLine="480"/>
        <w:jc w:val="both"/>
      </w:pPr>
      <w:r>
        <w:rPr>
          <w:spacing w:val="-2"/>
        </w:rPr>
        <w:t>纳入安慰剂队列是为了提供对照组，以便能够对长期有效性进行持续比较，特别是针对至首次重度急性加重的时间进行比较，同时在安全性评估中可提供背景参照有助于数据解读。</w:t>
      </w:r>
    </w:p>
    <w:p>
      <w:pPr>
        <w:pStyle w:val="BodyText"/>
        <w:spacing w:line="276" w:lineRule="auto" w:before="238"/>
        <w:ind w:right="356" w:firstLine="480"/>
        <w:jc w:val="both"/>
      </w:pPr>
      <w:r>
        <w:rPr>
          <w:spacing w:val="-2"/>
        </w:rPr>
        <w:t>愿意继续参加该研究并且完成一项前身研究治疗期且未提前终止 </w:t>
      </w:r>
      <w:r>
        <w:rPr>
          <w:rFonts w:ascii="Times New Roman" w:eastAsia="Times New Roman"/>
        </w:rPr>
        <w:t>IP</w:t>
      </w:r>
      <w:r>
        <w:rPr>
          <w:rFonts w:ascii="Times New Roman" w:eastAsia="Times New Roman"/>
          <w:spacing w:val="-15"/>
        </w:rPr>
        <w:t> </w:t>
      </w:r>
      <w:r>
        <w:rPr/>
        <w:t>治疗的受试</w:t>
      </w:r>
      <w:r>
        <w:rPr>
          <w:spacing w:val="23"/>
        </w:rPr>
        <w:t>者， 如果符合入选</w:t>
      </w:r>
      <w:r>
        <w:rPr>
          <w:rFonts w:ascii="Times New Roman" w:eastAsia="Times New Roman"/>
          <w:spacing w:val="-9"/>
        </w:rPr>
        <w:t>/ </w:t>
      </w:r>
      <w:r>
        <w:rPr>
          <w:spacing w:val="29"/>
        </w:rPr>
        <w:t>排除标准， 将有资格入组这项长期扩展</w:t>
      </w:r>
      <w:r>
        <w:rPr/>
        <w:t>（</w:t>
      </w:r>
      <w:r>
        <w:rPr>
          <w:spacing w:val="-74"/>
        </w:rPr>
        <w:t> </w:t>
      </w:r>
      <w:r>
        <w:rPr>
          <w:rFonts w:ascii="Times New Roman" w:eastAsia="Times New Roman"/>
        </w:rPr>
        <w:t>LTE</w:t>
      </w:r>
      <w:r>
        <w:rPr>
          <w:rFonts w:ascii="Times New Roman" w:eastAsia="Times New Roman"/>
          <w:spacing w:val="-17"/>
        </w:rPr>
        <w:t> </w:t>
      </w:r>
      <w:r>
        <w:rPr/>
        <w:t>）</w:t>
      </w:r>
      <w:r>
        <w:rPr>
          <w:spacing w:val="-16"/>
        </w:rPr>
        <w:t> 研究</w:t>
      </w:r>
    </w:p>
    <w:p>
      <w:pPr>
        <w:pStyle w:val="BodyText"/>
        <w:spacing w:line="311" w:lineRule="exact"/>
        <w:ind w:left="101"/>
      </w:pPr>
      <w:r>
        <w:rPr>
          <w:spacing w:val="-2"/>
        </w:rPr>
        <w:t>（</w:t>
      </w:r>
      <w:r>
        <w:rPr>
          <w:rFonts w:ascii="Times New Roman" w:eastAsia="Times New Roman"/>
          <w:spacing w:val="-2"/>
        </w:rPr>
        <w:t>PROSPERO</w:t>
      </w:r>
      <w:r>
        <w:rPr>
          <w:spacing w:val="-2"/>
        </w:rPr>
        <w:t>）</w:t>
      </w:r>
      <w:r>
        <w:rPr>
          <w:spacing w:val="-10"/>
        </w:rPr>
        <w:t>。</w:t>
      </w:r>
    </w:p>
    <w:p>
      <w:pPr>
        <w:pStyle w:val="BodyText"/>
        <w:spacing w:line="276" w:lineRule="auto" w:before="285"/>
        <w:ind w:right="357" w:firstLine="480"/>
        <w:jc w:val="both"/>
      </w:pPr>
      <w:r>
        <w:rPr>
          <w:rFonts w:ascii="Times New Roman" w:eastAsia="Times New Roman"/>
          <w:spacing w:val="-6"/>
        </w:rPr>
        <w:t>PROSPERO</w:t>
      </w:r>
      <w:r>
        <w:rPr>
          <w:rFonts w:ascii="Times New Roman" w:eastAsia="Times New Roman"/>
          <w:spacing w:val="-9"/>
        </w:rPr>
        <w:t> </w:t>
      </w:r>
      <w:r>
        <w:rPr>
          <w:spacing w:val="-11"/>
        </w:rPr>
        <w:t>的访视 </w:t>
      </w:r>
      <w:r>
        <w:rPr>
          <w:rFonts w:ascii="Times New Roman" w:eastAsia="Times New Roman"/>
          <w:spacing w:val="-6"/>
        </w:rPr>
        <w:t>1</w:t>
      </w:r>
      <w:r>
        <w:rPr>
          <w:rFonts w:ascii="Times New Roman" w:eastAsia="Times New Roman"/>
          <w:spacing w:val="-9"/>
        </w:rPr>
        <w:t> </w:t>
      </w:r>
      <w:r>
        <w:rPr>
          <w:spacing w:val="-6"/>
        </w:rPr>
        <w:t>将与前身研究治疗期的末次计划访视（</w:t>
      </w:r>
      <w:r>
        <w:rPr>
          <w:spacing w:val="-12"/>
        </w:rPr>
        <w:t>访视 </w:t>
      </w:r>
      <w:r>
        <w:rPr>
          <w:rFonts w:ascii="Times New Roman" w:eastAsia="Times New Roman"/>
          <w:spacing w:val="-6"/>
        </w:rPr>
        <w:t>15</w:t>
      </w:r>
      <w:r>
        <w:rPr>
          <w:spacing w:val="-12"/>
        </w:rPr>
        <w:t>，第 </w:t>
      </w:r>
      <w:r>
        <w:rPr>
          <w:rFonts w:ascii="Times New Roman" w:eastAsia="Times New Roman"/>
          <w:spacing w:val="-6"/>
        </w:rPr>
        <w:t>52</w:t>
      </w:r>
      <w:r>
        <w:rPr>
          <w:rFonts w:ascii="Times New Roman" w:eastAsia="Times New Roman"/>
          <w:spacing w:val="-9"/>
        </w:rPr>
        <w:t> </w:t>
      </w:r>
      <w:r>
        <w:rPr>
          <w:spacing w:val="-6"/>
        </w:rPr>
        <w:t>周）</w:t>
      </w:r>
      <w:r>
        <w:rPr>
          <w:spacing w:val="3"/>
        </w:rPr>
        <w:t>在同一天进行。如果不可行，则</w:t>
      </w:r>
      <w:r>
        <w:rPr>
          <w:rFonts w:ascii="Times New Roman" w:eastAsia="Times New Roman"/>
        </w:rPr>
        <w:t>PROSPERO</w:t>
      </w:r>
      <w:r>
        <w:rPr>
          <w:rFonts w:ascii="Times New Roman" w:eastAsia="Times New Roman"/>
          <w:spacing w:val="-22"/>
        </w:rPr>
        <w:t> </w:t>
      </w:r>
      <w:r>
        <w:rPr>
          <w:spacing w:val="-18"/>
        </w:rPr>
        <w:t>的访视 </w:t>
      </w:r>
      <w:r>
        <w:rPr>
          <w:rFonts w:ascii="Times New Roman" w:eastAsia="Times New Roman"/>
        </w:rPr>
        <w:t>1</w:t>
      </w:r>
      <w:r>
        <w:rPr>
          <w:rFonts w:ascii="Times New Roman" w:eastAsia="Times New Roman"/>
          <w:spacing w:val="-22"/>
        </w:rPr>
        <w:t> </w:t>
      </w:r>
      <w:r>
        <w:rPr>
          <w:spacing w:val="5"/>
        </w:rPr>
        <w:t>可在前身研究的末次</w:t>
      </w:r>
      <w:r>
        <w:rPr>
          <w:rFonts w:ascii="Times New Roman" w:eastAsia="Times New Roman"/>
        </w:rPr>
        <w:t>IP</w:t>
      </w:r>
      <w:r>
        <w:rPr>
          <w:rFonts w:ascii="Times New Roman" w:eastAsia="Times New Roman"/>
          <w:spacing w:val="-22"/>
        </w:rPr>
        <w:t> </w:t>
      </w:r>
      <w:r>
        <w:rPr>
          <w:spacing w:val="-4"/>
        </w:rPr>
        <w:t>给药后</w:t>
      </w:r>
    </w:p>
    <w:p>
      <w:pPr>
        <w:spacing w:after="0" w:line="276" w:lineRule="auto"/>
        <w:jc w:val="both"/>
        <w:sectPr>
          <w:pgSz w:w="11910" w:h="16840"/>
          <w:pgMar w:header="590" w:footer="784" w:top="1360" w:bottom="980" w:left="1480" w:right="1080"/>
        </w:sectPr>
      </w:pPr>
    </w:p>
    <w:p>
      <w:pPr>
        <w:pStyle w:val="BodyText"/>
        <w:spacing w:line="276" w:lineRule="auto" w:before="60"/>
        <w:ind w:right="358"/>
      </w:pPr>
      <w:r>
        <w:rPr>
          <w:spacing w:val="-14"/>
        </w:rPr>
        <w:t>最长 </w:t>
      </w:r>
      <w:r>
        <w:rPr>
          <w:rFonts w:ascii="Times New Roman" w:eastAsia="Times New Roman"/>
        </w:rPr>
        <w:t>12</w:t>
      </w:r>
      <w:r>
        <w:rPr>
          <w:rFonts w:ascii="Times New Roman" w:eastAsia="Times New Roman"/>
          <w:spacing w:val="-15"/>
        </w:rPr>
        <w:t> </w:t>
      </w:r>
      <w:r>
        <w:rPr/>
        <w:t>周内进行（</w:t>
      </w:r>
      <w:r>
        <w:rPr>
          <w:spacing w:val="-9"/>
        </w:rPr>
        <w:t>计划访视 </w:t>
      </w:r>
      <w:r>
        <w:rPr>
          <w:rFonts w:ascii="Times New Roman" w:eastAsia="Times New Roman"/>
        </w:rPr>
        <w:t>14</w:t>
      </w:r>
      <w:r>
        <w:rPr>
          <w:spacing w:val="-14"/>
        </w:rPr>
        <w:t>，第 </w:t>
      </w:r>
      <w:r>
        <w:rPr>
          <w:rFonts w:ascii="Times New Roman" w:eastAsia="Times New Roman"/>
        </w:rPr>
        <w:t>48</w:t>
      </w:r>
      <w:r>
        <w:rPr>
          <w:rFonts w:ascii="Times New Roman" w:eastAsia="Times New Roman"/>
          <w:spacing w:val="-12"/>
        </w:rPr>
        <w:t> </w:t>
      </w:r>
      <w:r>
        <w:rPr/>
        <w:t>周），前提是受试者在此期间仍在参加前身</w:t>
      </w:r>
      <w:r>
        <w:rPr>
          <w:spacing w:val="-2"/>
        </w:rPr>
        <w:t>研究的随访期。</w:t>
      </w:r>
    </w:p>
    <w:p>
      <w:pPr>
        <w:pStyle w:val="BodyText"/>
        <w:spacing w:line="276" w:lineRule="auto" w:before="239"/>
        <w:ind w:right="358" w:firstLine="480"/>
        <w:jc w:val="both"/>
      </w:pPr>
      <w:r>
        <w:rPr>
          <w:spacing w:val="3"/>
        </w:rPr>
        <w:t>符合 </w:t>
      </w:r>
      <w:r>
        <w:rPr>
          <w:rFonts w:ascii="Times New Roman" w:eastAsia="Times New Roman"/>
        </w:rPr>
        <w:t>PROSPERO </w:t>
      </w:r>
      <w:r>
        <w:rPr>
          <w:spacing w:val="8"/>
        </w:rPr>
        <w:t>合格性标准的受试者将退出前身研究，并在访视 </w:t>
      </w:r>
      <w:r>
        <w:rPr>
          <w:rFonts w:ascii="Times New Roman" w:eastAsia="Times New Roman"/>
        </w:rPr>
        <w:t>1 </w:t>
      </w:r>
      <w:r>
        <w:rPr>
          <w:spacing w:val="6"/>
        </w:rPr>
        <w:t>时接受</w:t>
      </w:r>
      <w:r>
        <w:rPr/>
        <w:t> </w:t>
      </w:r>
      <w:r>
        <w:rPr>
          <w:rFonts w:ascii="Times New Roman" w:eastAsia="Times New Roman"/>
        </w:rPr>
        <w:t>PROSPERO </w:t>
      </w:r>
      <w:r>
        <w:rPr/>
        <w:t>研究的首次给药，否则，受试者将继续参加前身研究的随访期，直至研</w:t>
      </w:r>
      <w:r>
        <w:rPr>
          <w:spacing w:val="-2"/>
        </w:rPr>
        <w:t>究完成（请见相应的前身研究方案）。</w:t>
      </w:r>
    </w:p>
    <w:p>
      <w:pPr>
        <w:pStyle w:val="BodyText"/>
        <w:spacing w:before="237"/>
        <w:ind w:left="701"/>
      </w:pPr>
      <w:r>
        <w:rPr>
          <w:spacing w:val="-2"/>
        </w:rPr>
        <w:t>将通过带配件的预充式注射器（</w:t>
      </w:r>
      <w:r>
        <w:rPr>
          <w:rFonts w:ascii="Times New Roman" w:eastAsia="Times New Roman"/>
          <w:spacing w:val="-2"/>
        </w:rPr>
        <w:t>APFS</w:t>
      </w:r>
      <w:r>
        <w:rPr>
          <w:spacing w:val="-2"/>
        </w:rPr>
        <w:t>）</w:t>
      </w:r>
      <w:r>
        <w:rPr>
          <w:spacing w:val="-19"/>
        </w:rPr>
        <w:t>进行 </w:t>
      </w:r>
      <w:r>
        <w:rPr>
          <w:rFonts w:ascii="Times New Roman" w:eastAsia="Times New Roman"/>
          <w:spacing w:val="-2"/>
        </w:rPr>
        <w:t>IP</w:t>
      </w:r>
      <w:r>
        <w:rPr>
          <w:rFonts w:ascii="Times New Roman" w:eastAsia="Times New Roman"/>
          <w:spacing w:val="-6"/>
        </w:rPr>
        <w:t> </w:t>
      </w:r>
      <w:r>
        <w:rPr>
          <w:spacing w:val="-12"/>
        </w:rPr>
        <w:t>给药，每 </w:t>
      </w:r>
      <w:r>
        <w:rPr>
          <w:rFonts w:ascii="Times New Roman" w:eastAsia="Times New Roman"/>
          <w:spacing w:val="-2"/>
        </w:rPr>
        <w:t>4</w:t>
      </w:r>
      <w:r>
        <w:rPr>
          <w:rFonts w:ascii="Times New Roman" w:eastAsia="Times New Roman"/>
          <w:spacing w:val="-6"/>
        </w:rPr>
        <w:t> </w:t>
      </w:r>
      <w:r>
        <w:rPr>
          <w:spacing w:val="-3"/>
        </w:rPr>
        <w:t>周给药一次。从访视</w:t>
      </w:r>
    </w:p>
    <w:p>
      <w:pPr>
        <w:pStyle w:val="BodyText"/>
        <w:spacing w:before="47"/>
      </w:pPr>
      <w:r>
        <w:rPr>
          <w:rFonts w:ascii="Times New Roman" w:eastAsia="Times New Roman"/>
        </w:rPr>
        <w:t>5</w:t>
      </w:r>
      <w:r>
        <w:rPr>
          <w:rFonts w:ascii="Times New Roman" w:eastAsia="Times New Roman"/>
          <w:spacing w:val="-12"/>
        </w:rPr>
        <w:t> </w:t>
      </w:r>
      <w:r>
        <w:rPr>
          <w:spacing w:val="-3"/>
        </w:rPr>
        <w:t>开始，受试者可以选择由本人或其护理人员自行 </w:t>
      </w:r>
      <w:r>
        <w:rPr>
          <w:rFonts w:ascii="Times New Roman" w:eastAsia="Times New Roman"/>
        </w:rPr>
        <w:t>IP</w:t>
      </w:r>
      <w:r>
        <w:rPr>
          <w:rFonts w:ascii="Times New Roman" w:eastAsia="Times New Roman"/>
          <w:spacing w:val="-13"/>
        </w:rPr>
        <w:t> </w:t>
      </w:r>
      <w:r>
        <w:rPr>
          <w:spacing w:val="-4"/>
        </w:rPr>
        <w:t>给药。</w:t>
      </w:r>
    </w:p>
    <w:p>
      <w:pPr>
        <w:pStyle w:val="BodyText"/>
        <w:spacing w:line="276" w:lineRule="auto" w:before="285"/>
        <w:ind w:right="356" w:firstLine="480"/>
        <w:jc w:val="both"/>
      </w:pPr>
      <w:r>
        <w:rPr>
          <w:spacing w:val="-4"/>
        </w:rPr>
        <w:t>治疗期结束时，受试者将进入 </w:t>
      </w:r>
      <w:r>
        <w:rPr>
          <w:rFonts w:ascii="Times New Roman" w:eastAsia="Times New Roman"/>
          <w:spacing w:val="-2"/>
        </w:rPr>
        <w:t>8</w:t>
      </w:r>
      <w:r>
        <w:rPr>
          <w:rFonts w:ascii="Times New Roman" w:eastAsia="Times New Roman"/>
          <w:spacing w:val="-13"/>
        </w:rPr>
        <w:t> </w:t>
      </w:r>
      <w:r>
        <w:rPr>
          <w:spacing w:val="-2"/>
        </w:rPr>
        <w:t>周的治疗后随访期，并在</w:t>
      </w:r>
      <w:r>
        <w:rPr>
          <w:rFonts w:ascii="Times New Roman" w:eastAsia="Times New Roman"/>
          <w:spacing w:val="-2"/>
        </w:rPr>
        <w:t>IP</w:t>
      </w:r>
      <w:r>
        <w:rPr>
          <w:rFonts w:ascii="Times New Roman" w:eastAsia="Times New Roman"/>
          <w:spacing w:val="-13"/>
        </w:rPr>
        <w:t> </w:t>
      </w:r>
      <w:r>
        <w:rPr>
          <w:spacing w:val="-7"/>
        </w:rPr>
        <w:t>末次给药后 </w:t>
      </w:r>
      <w:r>
        <w:rPr>
          <w:rFonts w:ascii="Times New Roman" w:eastAsia="Times New Roman"/>
          <w:spacing w:val="-2"/>
        </w:rPr>
        <w:t>12</w:t>
      </w:r>
      <w:r>
        <w:rPr>
          <w:rFonts w:ascii="Times New Roman" w:eastAsia="Times New Roman"/>
          <w:spacing w:val="-13"/>
        </w:rPr>
        <w:t> </w:t>
      </w:r>
      <w:r>
        <w:rPr>
          <w:spacing w:val="-2"/>
        </w:rPr>
        <w:t>周进行最终随访访视。</w:t>
      </w:r>
    </w:p>
    <w:p>
      <w:pPr>
        <w:pStyle w:val="BodyText"/>
        <w:spacing w:line="276" w:lineRule="auto" w:before="239"/>
        <w:ind w:right="362" w:firstLine="480"/>
      </w:pPr>
      <w:r>
        <w:rPr>
          <w:spacing w:val="-2"/>
        </w:rPr>
        <w:t>一旦两项前身研究均揭盲并进行报告，即可进行本研究的主要报告，而无需等待所有受试者完成本研究治疗。</w:t>
      </w:r>
    </w:p>
    <w:p>
      <w:pPr>
        <w:pStyle w:val="BodyText"/>
        <w:spacing w:line="276" w:lineRule="auto" w:before="238"/>
        <w:ind w:right="356" w:firstLine="480"/>
        <w:jc w:val="both"/>
      </w:pPr>
      <w:r>
        <w:rPr>
          <w:spacing w:val="-7"/>
        </w:rPr>
        <w:t>为确保研究 </w:t>
      </w:r>
      <w:r>
        <w:rPr>
          <w:rFonts w:ascii="Times New Roman" w:eastAsia="Times New Roman"/>
          <w:spacing w:val="-2"/>
        </w:rPr>
        <w:t>PROSPERO</w:t>
      </w:r>
      <w:r>
        <w:rPr>
          <w:rFonts w:ascii="Times New Roman" w:eastAsia="Times New Roman"/>
        </w:rPr>
        <w:t> </w:t>
      </w:r>
      <w:r>
        <w:rPr>
          <w:spacing w:val="-2"/>
        </w:rPr>
        <w:t>与其前身研究在同一时间内报告，部分受试者可能无法</w:t>
      </w:r>
      <w:r>
        <w:rPr>
          <w:spacing w:val="-5"/>
        </w:rPr>
        <w:t>完成完整的 </w:t>
      </w:r>
      <w:r>
        <w:rPr>
          <w:rFonts w:ascii="Times New Roman" w:eastAsia="Times New Roman"/>
        </w:rPr>
        <w:t>28 </w:t>
      </w:r>
      <w:r>
        <w:rPr>
          <w:spacing w:val="-5"/>
        </w:rPr>
        <w:t>周治疗期。至 </w:t>
      </w:r>
      <w:r>
        <w:rPr>
          <w:rFonts w:ascii="Times New Roman" w:eastAsia="Times New Roman"/>
        </w:rPr>
        <w:t>PROSPERO</w:t>
      </w:r>
      <w:r>
        <w:rPr>
          <w:rFonts w:ascii="Times New Roman" w:eastAsia="Times New Roman"/>
          <w:spacing w:val="11"/>
        </w:rPr>
        <w:t> </w:t>
      </w:r>
      <w:r>
        <w:rPr/>
        <w:t>研究的主要报告时间，所有受试者将中止 </w:t>
      </w:r>
      <w:r>
        <w:rPr>
          <w:rFonts w:ascii="Times New Roman" w:eastAsia="Times New Roman"/>
        </w:rPr>
        <w:t>IP </w:t>
      </w:r>
      <w:r>
        <w:rPr/>
        <w:t>给药。因此，部分受试者可能在完成全部治疗期之前结束研究。受试者将在知情同意过程中获知这个情况。将要求未完成完整治疗期的受试者在其末次</w:t>
      </w:r>
      <w:r>
        <w:rPr>
          <w:rFonts w:ascii="Times New Roman" w:eastAsia="Times New Roman"/>
        </w:rPr>
        <w:t>IP</w:t>
      </w:r>
      <w:r>
        <w:rPr>
          <w:rFonts w:ascii="Times New Roman" w:eastAsia="Times New Roman"/>
          <w:spacing w:val="-15"/>
        </w:rPr>
        <w:t> </w:t>
      </w:r>
      <w:r>
        <w:rPr>
          <w:spacing w:val="-8"/>
        </w:rPr>
        <w:t>给药后 </w:t>
      </w:r>
      <w:r>
        <w:rPr>
          <w:rFonts w:ascii="Times New Roman" w:eastAsia="Times New Roman"/>
        </w:rPr>
        <w:t>1</w:t>
      </w:r>
      <w:r>
        <w:rPr>
          <w:rFonts w:ascii="Times New Roman" w:eastAsia="Times New Roman"/>
        </w:rPr>
        <w:t>2</w:t>
      </w:r>
      <w:r>
        <w:rPr>
          <w:spacing w:val="-4"/>
        </w:rPr>
        <w:t>周按计划参与 </w:t>
      </w:r>
      <w:r>
        <w:rPr>
          <w:rFonts w:ascii="Times New Roman" w:eastAsia="Times New Roman"/>
        </w:rPr>
        <w:t>E/D </w:t>
      </w:r>
      <w:r>
        <w:rPr/>
        <w:t>访视，以完成其研究参与。</w:t>
      </w:r>
    </w:p>
    <w:p>
      <w:pPr>
        <w:pStyle w:val="Heading3"/>
        <w:spacing w:before="236"/>
      </w:pPr>
      <w:r>
        <w:rPr>
          <w:spacing w:val="-4"/>
        </w:rPr>
        <w:t>披露声明：</w:t>
      </w:r>
    </w:p>
    <w:p>
      <w:pPr>
        <w:pStyle w:val="BodyText"/>
        <w:spacing w:line="276" w:lineRule="auto" w:before="119"/>
        <w:ind w:right="357" w:firstLine="480"/>
        <w:jc w:val="both"/>
      </w:pPr>
      <w:r>
        <w:rPr/>
        <w:t>本研究是一项随机、双盲、长期给药、平行分组、安慰剂对照的扩展研究，包</w:t>
      </w:r>
      <w:r>
        <w:rPr>
          <w:spacing w:val="-15"/>
        </w:rPr>
        <w:t>括 </w:t>
      </w:r>
      <w:r>
        <w:rPr>
          <w:rFonts w:ascii="Times New Roman" w:eastAsia="Times New Roman"/>
          <w:spacing w:val="-4"/>
        </w:rPr>
        <w:t>3</w:t>
      </w:r>
      <w:r>
        <w:rPr>
          <w:rFonts w:ascii="Times New Roman" w:eastAsia="Times New Roman"/>
          <w:spacing w:val="-11"/>
        </w:rPr>
        <w:t> </w:t>
      </w:r>
      <w:r>
        <w:rPr>
          <w:spacing w:val="-7"/>
        </w:rPr>
        <w:t>个治疗组，将评价 </w:t>
      </w:r>
      <w:r>
        <w:rPr>
          <w:rFonts w:ascii="Times New Roman" w:eastAsia="Times New Roman"/>
          <w:spacing w:val="-4"/>
        </w:rPr>
        <w:t>tozorakimab</w:t>
      </w:r>
      <w:r>
        <w:rPr>
          <w:rFonts w:ascii="Times New Roman" w:eastAsia="Times New Roman"/>
          <w:spacing w:val="-11"/>
        </w:rPr>
        <w:t> </w:t>
      </w:r>
      <w:r>
        <w:rPr>
          <w:spacing w:val="-10"/>
        </w:rPr>
        <w:t>在具有 </w:t>
      </w:r>
      <w:r>
        <w:rPr>
          <w:rFonts w:ascii="Times New Roman" w:eastAsia="Times New Roman"/>
          <w:spacing w:val="-4"/>
        </w:rPr>
        <w:t>COPD</w:t>
      </w:r>
      <w:r>
        <w:rPr>
          <w:rFonts w:ascii="Times New Roman" w:eastAsia="Times New Roman"/>
          <w:spacing w:val="-11"/>
        </w:rPr>
        <w:t> </w:t>
      </w:r>
      <w:r>
        <w:rPr>
          <w:spacing w:val="-7"/>
        </w:rPr>
        <w:t>急性加重病史的 </w:t>
      </w:r>
      <w:r>
        <w:rPr>
          <w:rFonts w:ascii="Times New Roman" w:eastAsia="Times New Roman"/>
          <w:spacing w:val="-4"/>
        </w:rPr>
        <w:t>COPD</w:t>
      </w:r>
      <w:r>
        <w:rPr>
          <w:rFonts w:ascii="Times New Roman" w:eastAsia="Times New Roman"/>
          <w:spacing w:val="-11"/>
        </w:rPr>
        <w:t> </w:t>
      </w:r>
      <w:r>
        <w:rPr>
          <w:spacing w:val="-4"/>
        </w:rPr>
        <w:t>受试者中的</w:t>
      </w:r>
      <w:r>
        <w:rPr>
          <w:spacing w:val="-2"/>
        </w:rPr>
        <w:t>长期有效性和安全性。</w:t>
      </w:r>
    </w:p>
    <w:p>
      <w:pPr>
        <w:pStyle w:val="Heading3"/>
        <w:spacing w:before="238"/>
      </w:pPr>
      <w:r>
        <w:rPr>
          <w:spacing w:val="-5"/>
        </w:rPr>
        <w:t>受试者数量：</w:t>
      </w:r>
    </w:p>
    <w:p>
      <w:pPr>
        <w:pStyle w:val="BodyText"/>
        <w:spacing w:before="119"/>
        <w:ind w:left="701"/>
      </w:pPr>
      <w:r>
        <w:rPr>
          <w:spacing w:val="-3"/>
        </w:rPr>
        <w:t>总样本量将取决于完成前身研究的受试者数量，但预期最多为 </w:t>
      </w:r>
      <w:r>
        <w:rPr>
          <w:rFonts w:ascii="Times New Roman" w:eastAsia="Times New Roman"/>
        </w:rPr>
        <w:t>2120</w:t>
      </w:r>
      <w:r>
        <w:rPr>
          <w:rFonts w:ascii="Times New Roman" w:eastAsia="Times New Roman"/>
          <w:spacing w:val="-12"/>
        </w:rPr>
        <w:t> </w:t>
      </w:r>
      <w:r>
        <w:rPr>
          <w:spacing w:val="-5"/>
        </w:rPr>
        <w:t>例。</w:t>
      </w:r>
    </w:p>
    <w:p>
      <w:pPr>
        <w:pStyle w:val="Heading3"/>
        <w:spacing w:before="285"/>
      </w:pPr>
      <w:r>
        <w:rPr>
          <w:spacing w:val="-5"/>
        </w:rPr>
        <w:t>干预治疗组和治疗持续时间：</w:t>
      </w:r>
    </w:p>
    <w:p>
      <w:pPr>
        <w:pStyle w:val="BodyText"/>
        <w:spacing w:before="120"/>
        <w:ind w:left="701"/>
      </w:pPr>
      <w:r>
        <w:rPr>
          <w:spacing w:val="-2"/>
        </w:rPr>
        <w:t>研究受试者根据“随机化和试验供应管理系统（</w:t>
      </w:r>
      <w:r>
        <w:rPr>
          <w:rFonts w:ascii="Times New Roman" w:hAnsi="Times New Roman" w:eastAsia="Times New Roman"/>
          <w:spacing w:val="-2"/>
        </w:rPr>
        <w:t>RTSM</w:t>
      </w:r>
      <w:r>
        <w:rPr>
          <w:spacing w:val="-2"/>
        </w:rPr>
        <w:t>）</w:t>
      </w:r>
      <w:r>
        <w:rPr>
          <w:spacing w:val="-4"/>
        </w:rPr>
        <w:t>”分配至治疗组。</w:t>
      </w:r>
    </w:p>
    <w:p>
      <w:pPr>
        <w:pStyle w:val="BodyText"/>
        <w:spacing w:line="276" w:lineRule="auto" w:before="286"/>
        <w:ind w:right="355" w:firstLine="480"/>
        <w:jc w:val="both"/>
      </w:pPr>
      <w:r>
        <w:rPr>
          <w:spacing w:val="-10"/>
        </w:rPr>
        <w:t>根据 </w:t>
      </w:r>
      <w:r>
        <w:rPr>
          <w:rFonts w:ascii="Times New Roman" w:eastAsia="Times New Roman"/>
        </w:rPr>
        <w:t>CSP</w:t>
      </w:r>
      <w:r>
        <w:rPr>
          <w:rFonts w:ascii="Times New Roman" w:eastAsia="Times New Roman"/>
          <w:spacing w:val="-15"/>
        </w:rPr>
        <w:t> </w:t>
      </w:r>
      <w:r>
        <w:rPr>
          <w:spacing w:val="-15"/>
        </w:rPr>
        <w:t>第 </w:t>
      </w:r>
      <w:r>
        <w:rPr>
          <w:rFonts w:ascii="Times New Roman" w:eastAsia="Times New Roman"/>
        </w:rPr>
        <w:t>1.0</w:t>
      </w:r>
      <w:r>
        <w:rPr>
          <w:rFonts w:ascii="Times New Roman" w:eastAsia="Times New Roman"/>
          <w:spacing w:val="-9"/>
        </w:rPr>
        <w:t> </w:t>
      </w:r>
      <w:r>
        <w:rPr>
          <w:spacing w:val="-3"/>
        </w:rPr>
        <w:t>版，前身研究安慰剂组 </w:t>
      </w:r>
      <w:r>
        <w:rPr>
          <w:rFonts w:ascii="Times New Roman" w:eastAsia="Times New Roman"/>
        </w:rPr>
        <w:t>50%</w:t>
      </w:r>
      <w:r>
        <w:rPr/>
        <w:t>的受试者将被重新随机分配至活性</w:t>
      </w:r>
      <w:r>
        <w:rPr>
          <w:spacing w:val="2"/>
        </w:rPr>
        <w:t>药物治疗组，即均等分配至</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spacing w:val="25"/>
        </w:rPr>
        <w:t>每</w:t>
      </w:r>
      <w:r>
        <w:rPr>
          <w:rFonts w:ascii="Times New Roman" w:eastAsia="Times New Roman"/>
        </w:rPr>
        <w:t>4</w:t>
      </w:r>
      <w:r>
        <w:rPr>
          <w:rFonts w:ascii="Times New Roman" w:eastAsia="Times New Roman"/>
          <w:spacing w:val="-15"/>
        </w:rPr>
        <w:t> </w:t>
      </w:r>
      <w:r>
        <w:rPr/>
        <w:t>周一次（</w:t>
      </w:r>
      <w:r>
        <w:rPr>
          <w:rFonts w:ascii="Times New Roman" w:eastAsia="Times New Roman"/>
        </w:rPr>
        <w:t>Q4W</w:t>
      </w:r>
      <w:r>
        <w:rPr/>
        <w:t>）</w:t>
      </w:r>
      <w:r>
        <w:rPr>
          <w:spacing w:val="12"/>
        </w:rPr>
        <w:t>组或</w:t>
      </w:r>
      <w:r>
        <w:rPr>
          <w:rFonts w:ascii="Times New Roman" w:eastAsia="Times New Roman"/>
        </w:rPr>
        <w:t>tozorakimab 300</w:t>
      </w:r>
      <w:r>
        <w:rPr>
          <w:rFonts w:ascii="Times New Roman" w:eastAsia="Times New Roman"/>
          <w:spacing w:val="-3"/>
        </w:rPr>
        <w:t> </w:t>
      </w:r>
      <w:r>
        <w:rPr>
          <w:rFonts w:ascii="Times New Roman" w:eastAsia="Times New Roman"/>
        </w:rPr>
        <w:t>mg </w:t>
      </w:r>
      <w:r>
        <w:rPr>
          <w:spacing w:val="-13"/>
        </w:rPr>
        <w:t>每 </w:t>
      </w:r>
      <w:r>
        <w:rPr>
          <w:rFonts w:ascii="Times New Roman" w:eastAsia="Times New Roman"/>
        </w:rPr>
        <w:t>8 </w:t>
      </w:r>
      <w:r>
        <w:rPr/>
        <w:t>周一次（</w:t>
      </w:r>
      <w:r>
        <w:rPr>
          <w:rFonts w:ascii="Times New Roman" w:eastAsia="Times New Roman"/>
        </w:rPr>
        <w:t>Q8W</w:t>
      </w:r>
      <w:r>
        <w:rPr/>
        <w:t>）</w:t>
      </w:r>
      <w:r>
        <w:rPr>
          <w:spacing w:val="-5"/>
        </w:rPr>
        <w:t>组，另外 </w:t>
      </w:r>
      <w:r>
        <w:rPr>
          <w:rFonts w:ascii="Times New Roman" w:eastAsia="Times New Roman"/>
        </w:rPr>
        <w:t>50%</w:t>
      </w:r>
      <w:r>
        <w:rPr>
          <w:spacing w:val="-2"/>
        </w:rPr>
        <w:t>的受试者将继续接受安慰剂联合 </w:t>
      </w:r>
      <w:r>
        <w:rPr>
          <w:rFonts w:ascii="Times New Roman" w:eastAsia="Times New Roman"/>
        </w:rPr>
        <w:t>SoC </w:t>
      </w:r>
      <w:r>
        <w:rPr/>
        <w:t>治疗。前身研究活性药物治疗组的所有受试者将继续接受相同的治疗。</w:t>
      </w:r>
      <w:r>
        <w:rPr>
          <w:rFonts w:ascii="Times New Roman" w:eastAsia="Times New Roman"/>
        </w:rPr>
        <w:t>Tozorakimab 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rFonts w:ascii="Times New Roman" w:eastAsia="Times New Roman"/>
        </w:rPr>
        <w:t>Q8W</w:t>
      </w:r>
      <w:r>
        <w:rPr>
          <w:rFonts w:ascii="Times New Roman" w:eastAsia="Times New Roman"/>
          <w:spacing w:val="-15"/>
        </w:rPr>
        <w:t> </w:t>
      </w:r>
      <w:r>
        <w:rPr>
          <w:spacing w:val="-5"/>
        </w:rPr>
        <w:t>组将在活性 </w:t>
      </w:r>
      <w:r>
        <w:rPr>
          <w:rFonts w:ascii="Times New Roman" w:eastAsia="Times New Roman"/>
        </w:rPr>
        <w:t>Tozorakimab</w:t>
      </w:r>
      <w:r>
        <w:rPr>
          <w:rFonts w:ascii="Times New Roman" w:eastAsia="Times New Roman"/>
          <w:spacing w:val="-15"/>
        </w:rPr>
        <w:t> </w:t>
      </w:r>
      <w:r>
        <w:rPr/>
        <w:t>给药之间交替使用匹配的安慰剂。治疗期持续</w:t>
      </w:r>
      <w:r>
        <w:rPr>
          <w:spacing w:val="-6"/>
        </w:rPr>
        <w:t>时间为 </w:t>
      </w:r>
      <w:r>
        <w:rPr>
          <w:rFonts w:ascii="Times New Roman" w:eastAsia="Times New Roman"/>
        </w:rPr>
        <w:t>52 </w:t>
      </w:r>
      <w:r>
        <w:rPr/>
        <w:t>周，</w:t>
      </w:r>
      <w:r>
        <w:rPr>
          <w:rFonts w:ascii="Times New Roman" w:eastAsia="Times New Roman"/>
        </w:rPr>
        <w:t>IP </w:t>
      </w:r>
      <w:r>
        <w:rPr>
          <w:spacing w:val="-3"/>
        </w:rPr>
        <w:t>末次给药时间为第 </w:t>
      </w:r>
      <w:r>
        <w:rPr>
          <w:rFonts w:ascii="Times New Roman" w:eastAsia="Times New Roman"/>
        </w:rPr>
        <w:t>48 </w:t>
      </w:r>
      <w:r>
        <w:rPr/>
        <w:t>周。</w:t>
      </w:r>
    </w:p>
    <w:p>
      <w:pPr>
        <w:spacing w:after="0" w:line="276" w:lineRule="auto"/>
        <w:jc w:val="both"/>
        <w:sectPr>
          <w:pgSz w:w="11910" w:h="16840"/>
          <w:pgMar w:header="590" w:footer="784" w:top="1360" w:bottom="980" w:left="1480" w:right="1080"/>
        </w:sectPr>
      </w:pPr>
    </w:p>
    <w:p>
      <w:pPr>
        <w:pStyle w:val="BodyText"/>
        <w:spacing w:line="276" w:lineRule="auto" w:before="60"/>
        <w:ind w:right="356" w:firstLine="480"/>
        <w:jc w:val="both"/>
      </w:pPr>
      <w:r>
        <w:rPr>
          <w:spacing w:val="3"/>
        </w:rPr>
        <w:t>根据 </w:t>
      </w:r>
      <w:r>
        <w:rPr>
          <w:rFonts w:ascii="Times New Roman" w:eastAsia="Times New Roman"/>
        </w:rPr>
        <w:t>CSP</w:t>
      </w:r>
      <w:r>
        <w:rPr>
          <w:rFonts w:ascii="Times New Roman" w:eastAsia="Times New Roman"/>
          <w:spacing w:val="40"/>
        </w:rPr>
        <w:t> </w:t>
      </w:r>
      <w:r>
        <w:rPr/>
        <w:t>第 </w:t>
      </w:r>
      <w:r>
        <w:rPr>
          <w:rFonts w:ascii="Times New Roman" w:eastAsia="Times New Roman"/>
        </w:rPr>
        <w:t>2.0</w:t>
      </w:r>
      <w:r>
        <w:rPr>
          <w:rFonts w:ascii="Times New Roman" w:eastAsia="Times New Roman"/>
          <w:spacing w:val="13"/>
        </w:rPr>
        <w:t> </w:t>
      </w:r>
      <w:r>
        <w:rPr>
          <w:spacing w:val="8"/>
        </w:rPr>
        <w:t>版，前身研究安慰剂组 </w:t>
      </w:r>
      <w:r>
        <w:rPr>
          <w:rFonts w:ascii="Times New Roman" w:eastAsia="Times New Roman"/>
        </w:rPr>
        <w:t>50%</w:t>
      </w:r>
      <w:r>
        <w:rPr>
          <w:spacing w:val="10"/>
        </w:rPr>
        <w:t>的受试者将被重新随机分配至</w:t>
      </w:r>
      <w:r>
        <w:rPr/>
        <w:t>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6"/>
        </w:rPr>
        <w:t> </w:t>
      </w:r>
      <w:r>
        <w:rPr>
          <w:rFonts w:ascii="Times New Roman" w:eastAsia="Times New Roman"/>
        </w:rPr>
        <w:t>mg</w:t>
      </w:r>
      <w:r>
        <w:rPr>
          <w:rFonts w:ascii="Times New Roman" w:eastAsia="Times New Roman"/>
          <w:spacing w:val="24"/>
        </w:rPr>
        <w:t> </w:t>
      </w:r>
      <w:r>
        <w:rPr>
          <w:rFonts w:ascii="Times New Roman" w:eastAsia="Times New Roman"/>
        </w:rPr>
        <w:t>Q4W</w:t>
      </w:r>
      <w:r>
        <w:rPr>
          <w:rFonts w:ascii="Times New Roman" w:eastAsia="Times New Roman"/>
          <w:spacing w:val="-15"/>
        </w:rPr>
        <w:t> </w:t>
      </w:r>
      <w:r>
        <w:rPr>
          <w:spacing w:val="-6"/>
        </w:rPr>
        <w:t>组，另外 </w:t>
      </w:r>
      <w:r>
        <w:rPr>
          <w:rFonts w:ascii="Times New Roman" w:eastAsia="Times New Roman"/>
        </w:rPr>
        <w:t>50%</w:t>
      </w:r>
      <w:r>
        <w:rPr>
          <w:spacing w:val="-2"/>
        </w:rPr>
        <w:t>的受试者将继续接受安慰剂联合 </w:t>
      </w:r>
      <w:r>
        <w:rPr>
          <w:rFonts w:ascii="Times New Roman" w:eastAsia="Times New Roman"/>
        </w:rPr>
        <w:t>SoC</w:t>
      </w:r>
      <w:r>
        <w:rPr>
          <w:rFonts w:ascii="Times New Roman" w:eastAsia="Times New Roman"/>
          <w:spacing w:val="-15"/>
        </w:rPr>
        <w:t> </w:t>
      </w:r>
      <w:r>
        <w:rPr/>
        <w:t>治疗。</w:t>
      </w:r>
      <w:r>
        <w:rPr>
          <w:spacing w:val="-4"/>
        </w:rPr>
        <w:t>前身研究中接受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4"/>
        </w:rPr>
        <w:t> </w:t>
      </w:r>
      <w:r>
        <w:rPr>
          <w:rFonts w:ascii="Times New Roman" w:eastAsia="Times New Roman"/>
        </w:rPr>
        <w:t>mg</w:t>
      </w:r>
      <w:r>
        <w:rPr>
          <w:rFonts w:ascii="Times New Roman" w:eastAsia="Times New Roman"/>
          <w:spacing w:val="20"/>
        </w:rPr>
        <w:t> </w:t>
      </w:r>
      <w:r>
        <w:rPr>
          <w:rFonts w:ascii="Times New Roman" w:eastAsia="Times New Roman"/>
        </w:rPr>
        <w:t>Q4W</w:t>
      </w:r>
      <w:r>
        <w:rPr>
          <w:rFonts w:ascii="Times New Roman" w:eastAsia="Times New Roman"/>
          <w:spacing w:val="-15"/>
        </w:rPr>
        <w:t> </w:t>
      </w:r>
      <w:r>
        <w:rPr>
          <w:spacing w:val="-3"/>
        </w:rPr>
        <w:t>治疗的受试者将继续接受 </w:t>
      </w:r>
      <w:r>
        <w:rPr>
          <w:rFonts w:ascii="Times New Roman" w:eastAsia="Times New Roman"/>
        </w:rPr>
        <w:t>300</w:t>
      </w:r>
      <w:r>
        <w:rPr>
          <w:rFonts w:ascii="Times New Roman" w:eastAsia="Times New Roman"/>
          <w:spacing w:val="18"/>
        </w:rPr>
        <w:t> </w:t>
      </w:r>
      <w:r>
        <w:rPr>
          <w:rFonts w:ascii="Times New Roman" w:eastAsia="Times New Roman"/>
        </w:rPr>
        <w:t>mg</w:t>
      </w:r>
      <w:r>
        <w:rPr>
          <w:rFonts w:ascii="Times New Roman" w:eastAsia="Times New Roman"/>
          <w:spacing w:val="18"/>
        </w:rPr>
        <w:t> </w:t>
      </w:r>
      <w:r>
        <w:rPr>
          <w:rFonts w:ascii="Times New Roman" w:eastAsia="Times New Roman"/>
        </w:rPr>
        <w:t>Q4W</w:t>
      </w:r>
      <w:r>
        <w:rPr>
          <w:rFonts w:ascii="Times New Roman" w:eastAsia="Times New Roman"/>
          <w:spacing w:val="-15"/>
        </w:rPr>
        <w:t> </w:t>
      </w:r>
      <w:r>
        <w:rPr/>
        <w:t>治</w:t>
      </w:r>
      <w:r>
        <w:rPr>
          <w:spacing w:val="-5"/>
        </w:rPr>
        <w:t>疗，前身研究中接受 </w:t>
      </w:r>
      <w:r>
        <w:rPr>
          <w:rFonts w:ascii="Times New Roman" w:eastAsia="Times New Roman"/>
          <w:spacing w:val="-2"/>
        </w:rPr>
        <w:t>tozorakimab</w:t>
      </w:r>
      <w:r>
        <w:rPr>
          <w:rFonts w:ascii="Times New Roman" w:eastAsia="Times New Roman"/>
          <w:spacing w:val="-13"/>
        </w:rPr>
        <w:t> </w:t>
      </w:r>
      <w:r>
        <w:rPr>
          <w:rFonts w:ascii="Times New Roman" w:eastAsia="Times New Roman"/>
          <w:spacing w:val="-2"/>
        </w:rPr>
        <w:t>300</w:t>
      </w:r>
      <w:r>
        <w:rPr>
          <w:rFonts w:ascii="Times New Roman" w:eastAsia="Times New Roman"/>
          <w:spacing w:val="-13"/>
        </w:rPr>
        <w:t> </w:t>
      </w:r>
      <w:r>
        <w:rPr>
          <w:rFonts w:ascii="Times New Roman" w:eastAsia="Times New Roman"/>
          <w:spacing w:val="-2"/>
        </w:rPr>
        <w:t>mg</w:t>
      </w:r>
      <w:r>
        <w:rPr>
          <w:rFonts w:ascii="Times New Roman" w:eastAsia="Times New Roman"/>
          <w:spacing w:val="-13"/>
        </w:rPr>
        <w:t> </w:t>
      </w:r>
      <w:r>
        <w:rPr>
          <w:rFonts w:ascii="Times New Roman" w:eastAsia="Times New Roman"/>
          <w:spacing w:val="-2"/>
        </w:rPr>
        <w:t>Q8W</w:t>
      </w:r>
      <w:r>
        <w:rPr>
          <w:rFonts w:ascii="Times New Roman" w:eastAsia="Times New Roman"/>
          <w:spacing w:val="-13"/>
        </w:rPr>
        <w:t> </w:t>
      </w:r>
      <w:r>
        <w:rPr>
          <w:spacing w:val="-5"/>
        </w:rPr>
        <w:t>治疗的受试者将在进入 </w:t>
      </w:r>
      <w:r>
        <w:rPr>
          <w:rFonts w:ascii="Times New Roman" w:eastAsia="Times New Roman"/>
          <w:spacing w:val="-2"/>
        </w:rPr>
        <w:t>PROSPERO</w:t>
      </w:r>
      <w:r>
        <w:rPr>
          <w:rFonts w:ascii="Times New Roman" w:eastAsia="Times New Roman"/>
          <w:spacing w:val="-6"/>
        </w:rPr>
        <w:t> </w:t>
      </w:r>
      <w:r>
        <w:rPr>
          <w:spacing w:val="-2"/>
        </w:rPr>
        <w:t>时</w:t>
      </w:r>
      <w:r>
        <w:rPr>
          <w:spacing w:val="-9"/>
        </w:rPr>
        <w:t>将改为 </w:t>
      </w:r>
      <w:r>
        <w:rPr>
          <w:rFonts w:ascii="Times New Roman" w:eastAsia="Times New Roman"/>
          <w:spacing w:val="-2"/>
        </w:rPr>
        <w:t>tozorakimab</w:t>
      </w:r>
      <w:r>
        <w:rPr>
          <w:rFonts w:ascii="Times New Roman" w:eastAsia="Times New Roman"/>
          <w:spacing w:val="-13"/>
        </w:rPr>
        <w:t> </w:t>
      </w:r>
      <w:r>
        <w:rPr>
          <w:rFonts w:ascii="Times New Roman" w:eastAsia="Times New Roman"/>
          <w:spacing w:val="-2"/>
        </w:rPr>
        <w:t>300</w:t>
      </w:r>
      <w:r>
        <w:rPr>
          <w:rFonts w:ascii="Times New Roman" w:eastAsia="Times New Roman"/>
          <w:spacing w:val="-13"/>
        </w:rPr>
        <w:t> </w:t>
      </w:r>
      <w:r>
        <w:rPr>
          <w:rFonts w:ascii="Times New Roman" w:eastAsia="Times New Roman"/>
          <w:spacing w:val="-2"/>
        </w:rPr>
        <w:t>mg</w:t>
      </w:r>
      <w:r>
        <w:rPr>
          <w:rFonts w:ascii="Times New Roman" w:eastAsia="Times New Roman"/>
          <w:spacing w:val="-13"/>
        </w:rPr>
        <w:t> </w:t>
      </w:r>
      <w:r>
        <w:rPr>
          <w:rFonts w:ascii="Times New Roman" w:eastAsia="Times New Roman"/>
          <w:spacing w:val="-2"/>
        </w:rPr>
        <w:t>Q4W</w:t>
      </w:r>
      <w:r>
        <w:rPr>
          <w:rFonts w:ascii="Times New Roman" w:eastAsia="Times New Roman"/>
          <w:spacing w:val="-13"/>
        </w:rPr>
        <w:t> </w:t>
      </w:r>
      <w:r>
        <w:rPr>
          <w:spacing w:val="-5"/>
        </w:rPr>
        <w:t>治疗。治疗期持续时间为 </w:t>
      </w:r>
      <w:r>
        <w:rPr>
          <w:rFonts w:ascii="Times New Roman" w:eastAsia="Times New Roman"/>
          <w:spacing w:val="-2"/>
        </w:rPr>
        <w:t>28</w:t>
      </w:r>
      <w:r>
        <w:rPr>
          <w:rFonts w:ascii="Times New Roman" w:eastAsia="Times New Roman"/>
          <w:spacing w:val="-13"/>
        </w:rPr>
        <w:t> </w:t>
      </w:r>
      <w:r>
        <w:rPr>
          <w:spacing w:val="-2"/>
        </w:rPr>
        <w:t>周，</w:t>
      </w:r>
      <w:r>
        <w:rPr>
          <w:rFonts w:ascii="Times New Roman" w:eastAsia="Times New Roman"/>
          <w:spacing w:val="-2"/>
        </w:rPr>
        <w:t>IP</w:t>
      </w:r>
      <w:r>
        <w:rPr>
          <w:rFonts w:ascii="Times New Roman" w:eastAsia="Times New Roman"/>
          <w:spacing w:val="-13"/>
        </w:rPr>
        <w:t> </w:t>
      </w:r>
      <w:r>
        <w:rPr>
          <w:spacing w:val="-2"/>
        </w:rPr>
        <w:t>末次给药时间为</w:t>
      </w:r>
      <w:r>
        <w:rPr>
          <w:spacing w:val="-15"/>
        </w:rPr>
        <w:t>第 </w:t>
      </w:r>
      <w:r>
        <w:rPr>
          <w:rFonts w:ascii="Times New Roman" w:eastAsia="Times New Roman"/>
          <w:spacing w:val="-2"/>
        </w:rPr>
        <w:t>24</w:t>
      </w:r>
      <w:r>
        <w:rPr>
          <w:rFonts w:ascii="Times New Roman" w:eastAsia="Times New Roman"/>
          <w:spacing w:val="-13"/>
        </w:rPr>
        <w:t> </w:t>
      </w:r>
      <w:r>
        <w:rPr>
          <w:spacing w:val="-7"/>
        </w:rPr>
        <w:t>周。已根据 </w:t>
      </w:r>
      <w:r>
        <w:rPr>
          <w:rFonts w:ascii="Times New Roman" w:eastAsia="Times New Roman"/>
          <w:spacing w:val="-2"/>
        </w:rPr>
        <w:t>CSP</w:t>
      </w:r>
      <w:r>
        <w:rPr>
          <w:rFonts w:ascii="Times New Roman" w:eastAsia="Times New Roman"/>
          <w:spacing w:val="-13"/>
        </w:rPr>
        <w:t> </w:t>
      </w:r>
      <w:r>
        <w:rPr>
          <w:spacing w:val="-15"/>
        </w:rPr>
        <w:t>第 </w:t>
      </w:r>
      <w:r>
        <w:rPr>
          <w:rFonts w:ascii="Times New Roman" w:eastAsia="Times New Roman"/>
          <w:spacing w:val="-2"/>
        </w:rPr>
        <w:t>1.0</w:t>
      </w:r>
      <w:r>
        <w:rPr>
          <w:rFonts w:ascii="Times New Roman" w:eastAsia="Times New Roman"/>
          <w:spacing w:val="-13"/>
        </w:rPr>
        <w:t> </w:t>
      </w:r>
      <w:r>
        <w:rPr>
          <w:spacing w:val="-2"/>
        </w:rPr>
        <w:t>版进行随机化的受试者可在本修订案发布后继续使用相同治疗方案完成研究，治疗期为 </w:t>
      </w:r>
      <w:r>
        <w:rPr>
          <w:rFonts w:ascii="Times New Roman" w:eastAsia="Times New Roman"/>
        </w:rPr>
        <w:t>52 </w:t>
      </w:r>
      <w:r>
        <w:rPr/>
        <w:t>周。</w:t>
      </w:r>
    </w:p>
    <w:p>
      <w:pPr>
        <w:pStyle w:val="BodyText"/>
        <w:spacing w:line="276" w:lineRule="auto" w:before="235"/>
        <w:ind w:right="357" w:firstLine="480"/>
        <w:jc w:val="both"/>
      </w:pPr>
      <w:r>
        <w:rPr>
          <w:spacing w:val="-3"/>
        </w:rPr>
        <w:t>所有研究药物均将通过盲态 </w:t>
      </w:r>
      <w:r>
        <w:rPr>
          <w:rFonts w:ascii="Times New Roman" w:eastAsia="Times New Roman"/>
        </w:rPr>
        <w:t>APFS </w:t>
      </w:r>
      <w:r>
        <w:rPr/>
        <w:t>供应。</w:t>
      </w:r>
      <w:r>
        <w:rPr>
          <w:rFonts w:ascii="Times New Roman" w:eastAsia="Times New Roman"/>
        </w:rPr>
        <w:t>PROSPERO </w:t>
      </w:r>
      <w:r>
        <w:rPr/>
        <w:t>中的重新随机可以在保留</w:t>
      </w:r>
      <w:r>
        <w:rPr>
          <w:spacing w:val="-2"/>
        </w:rPr>
        <w:t>对照组的同时，使前身研究中更多的受试者接受可能有效的试验性治疗，而不是继</w:t>
      </w:r>
      <w:r>
        <w:rPr>
          <w:spacing w:val="-11"/>
        </w:rPr>
        <w:t>续接受 </w:t>
      </w:r>
      <w:r>
        <w:rPr>
          <w:rFonts w:ascii="Times New Roman" w:eastAsia="Times New Roman"/>
        </w:rPr>
        <w:t>SoC</w:t>
      </w:r>
      <w:r>
        <w:rPr/>
        <w:t>。</w:t>
      </w:r>
    </w:p>
    <w:p>
      <w:pPr>
        <w:pStyle w:val="BodyText"/>
        <w:spacing w:line="276" w:lineRule="auto" w:before="237"/>
        <w:ind w:right="353" w:firstLine="480"/>
        <w:jc w:val="both"/>
      </w:pPr>
      <w:r>
        <w:rPr>
          <w:spacing w:val="-2"/>
        </w:rPr>
        <w:t>主要数据库锁定将在前身研究揭盲后进行。一旦前身研究揭盲，则对于在前身研究中接受活性药物治疗的受试者，申办者将获悉其治疗方案。然而，在研究中心对于受试者的研究操作和设盲情况将保持不变。与研究中心直接联系或对受试者管</w:t>
      </w:r>
      <w:r>
        <w:rPr>
          <w:spacing w:val="-8"/>
        </w:rPr>
        <w:t>理或记录 </w:t>
      </w:r>
      <w:r>
        <w:rPr>
          <w:rFonts w:ascii="Times New Roman" w:eastAsia="Times New Roman"/>
          <w:spacing w:val="-2"/>
        </w:rPr>
        <w:t>PROSPERO</w:t>
      </w:r>
      <w:r>
        <w:rPr>
          <w:rFonts w:ascii="Times New Roman" w:eastAsia="Times New Roman"/>
          <w:spacing w:val="7"/>
        </w:rPr>
        <w:t> </w:t>
      </w:r>
      <w:r>
        <w:rPr>
          <w:spacing w:val="-2"/>
        </w:rPr>
        <w:t>终点的研究小组将保持盲态，并与参与前身研究报告的小组分</w:t>
      </w:r>
      <w:r>
        <w:rPr>
          <w:spacing w:val="-6"/>
        </w:rPr>
        <w:t>开。</w:t>
      </w:r>
    </w:p>
    <w:p>
      <w:pPr>
        <w:pStyle w:val="Heading3"/>
        <w:spacing w:before="235"/>
      </w:pPr>
      <w:r>
        <w:rPr>
          <w:spacing w:val="-5"/>
        </w:rPr>
        <w:t>独立数据监查委员会：</w:t>
      </w:r>
    </w:p>
    <w:p>
      <w:pPr>
        <w:pStyle w:val="BodyText"/>
        <w:spacing w:line="276" w:lineRule="auto" w:before="120"/>
        <w:ind w:right="354" w:firstLine="480"/>
        <w:jc w:val="both"/>
      </w:pPr>
      <w:r>
        <w:rPr>
          <w:spacing w:val="7"/>
        </w:rPr>
        <w:t>将设立独立数据监查委员会（</w:t>
      </w:r>
      <w:r>
        <w:rPr>
          <w:rFonts w:ascii="Times New Roman" w:eastAsia="Times New Roman"/>
        </w:rPr>
        <w:t>IDM</w:t>
      </w:r>
      <w:r>
        <w:rPr>
          <w:rFonts w:ascii="Times New Roman" w:eastAsia="Times New Roman"/>
          <w:spacing w:val="5"/>
        </w:rPr>
        <w:t>C</w:t>
      </w:r>
      <w:r>
        <w:rPr>
          <w:spacing w:val="7"/>
        </w:rPr>
        <w:t>）</w:t>
      </w:r>
      <w:r>
        <w:rPr>
          <w:spacing w:val="5"/>
        </w:rPr>
        <w:t>以监督研究受试者的安全性，并根据现</w:t>
      </w:r>
      <w:r>
        <w:rPr>
          <w:spacing w:val="3"/>
        </w:rPr>
        <w:t>有数据就进一步研究实施提出适当建议，包括定期审查安全性数据和在计划的期中</w:t>
      </w:r>
      <w:r>
        <w:rPr>
          <w:spacing w:val="16"/>
        </w:rPr>
        <w:t>分析时可能考虑是否有机会提前报告本研究的显著有效性结果。委员会将按照 </w:t>
      </w:r>
      <w:r>
        <w:rPr>
          <w:rFonts w:ascii="Times New Roman" w:eastAsia="Times New Roman"/>
          <w:spacing w:val="16"/>
        </w:rPr>
        <w:t>IDMC</w:t>
      </w:r>
      <w:r>
        <w:rPr>
          <w:rFonts w:ascii="Times New Roman" w:eastAsia="Times New Roman"/>
          <w:spacing w:val="-12"/>
        </w:rPr>
        <w:t> </w:t>
      </w:r>
      <w:r>
        <w:rPr/>
        <w:t>章程开展工作。</w:t>
      </w:r>
    </w:p>
    <w:p>
      <w:pPr>
        <w:pStyle w:val="Heading3"/>
        <w:spacing w:before="237"/>
      </w:pPr>
      <w:r>
        <w:rPr>
          <w:spacing w:val="-5"/>
        </w:rPr>
        <w:t>裁定委员会：</w:t>
      </w:r>
    </w:p>
    <w:p>
      <w:pPr>
        <w:pStyle w:val="BodyText"/>
        <w:spacing w:before="119"/>
        <w:ind w:left="701"/>
      </w:pPr>
      <w:r>
        <w:rPr>
          <w:spacing w:val="18"/>
        </w:rPr>
        <w:t>独立裁定委员会将对心力衰竭事件</w:t>
      </w:r>
      <w:r>
        <w:rPr>
          <w:spacing w:val="20"/>
        </w:rPr>
        <w:t>（</w:t>
      </w:r>
      <w:r>
        <w:rPr>
          <w:spacing w:val="18"/>
        </w:rPr>
        <w:t>恶化和新发）</w:t>
      </w:r>
      <w:r>
        <w:rPr>
          <w:spacing w:val="15"/>
        </w:rPr>
        <w:t>、主要心血管不良事件</w:t>
      </w:r>
    </w:p>
    <w:p>
      <w:pPr>
        <w:pStyle w:val="BodyText"/>
        <w:spacing w:before="46"/>
        <w:ind w:left="101"/>
      </w:pPr>
      <w:r>
        <w:rPr/>
        <w:t>（</w:t>
      </w:r>
      <w:r>
        <w:rPr>
          <w:rFonts w:ascii="Times New Roman" w:eastAsia="Times New Roman"/>
        </w:rPr>
        <w:t>MACE</w:t>
      </w:r>
      <w:r>
        <w:rPr/>
        <w:t>）和死亡为结局的所有不良事件（</w:t>
      </w:r>
      <w:r>
        <w:rPr>
          <w:rFonts w:ascii="Times New Roman" w:eastAsia="Times New Roman"/>
        </w:rPr>
        <w:t>AE</w:t>
      </w:r>
      <w:r>
        <w:rPr/>
        <w:t>）</w:t>
      </w:r>
      <w:r>
        <w:rPr>
          <w:spacing w:val="-1"/>
        </w:rPr>
        <w:t>进行独立的外部系统性无偏倚评估。</w:t>
      </w:r>
    </w:p>
    <w:p>
      <w:pPr>
        <w:pStyle w:val="Heading3"/>
        <w:spacing w:line="331" w:lineRule="auto" w:before="286"/>
        <w:ind w:right="7918"/>
      </w:pPr>
      <w:r>
        <w:rPr>
          <w:spacing w:val="-2"/>
        </w:rPr>
        <w:t>统计方法：</w:t>
      </w:r>
      <w:r>
        <w:rPr>
          <w:spacing w:val="-4"/>
          <w:u w:val="single"/>
        </w:rPr>
        <w:t>样本量预估</w:t>
      </w:r>
    </w:p>
    <w:p>
      <w:pPr>
        <w:pStyle w:val="BodyText"/>
        <w:spacing w:line="276" w:lineRule="auto" w:before="1"/>
        <w:ind w:right="357" w:firstLine="480"/>
        <w:jc w:val="both"/>
      </w:pPr>
      <w:r>
        <w:rPr>
          <w:spacing w:val="-10"/>
        </w:rPr>
        <w:t>进入 </w:t>
      </w:r>
      <w:r>
        <w:rPr>
          <w:rFonts w:ascii="Times New Roman" w:eastAsia="Times New Roman"/>
        </w:rPr>
        <w:t>PROSPERO</w:t>
      </w:r>
      <w:r>
        <w:rPr>
          <w:rFonts w:ascii="Times New Roman" w:eastAsia="Times New Roman"/>
          <w:spacing w:val="-15"/>
        </w:rPr>
        <w:t> </w:t>
      </w:r>
      <w:r>
        <w:rPr/>
        <w:t>的受试者数量由在前身研究（</w:t>
      </w:r>
      <w:r>
        <w:rPr>
          <w:rFonts w:ascii="Times New Roman" w:eastAsia="Times New Roman"/>
        </w:rPr>
        <w:t>OBERON</w:t>
      </w:r>
      <w:r>
        <w:rPr>
          <w:rFonts w:ascii="Times New Roman" w:eastAsia="Times New Roman"/>
          <w:spacing w:val="-7"/>
        </w:rPr>
        <w:t> </w:t>
      </w:r>
      <w:r>
        <w:rPr>
          <w:spacing w:val="-15"/>
        </w:rPr>
        <w:t>和 </w:t>
      </w:r>
      <w:r>
        <w:rPr>
          <w:rFonts w:ascii="Times New Roman" w:eastAsia="Times New Roman"/>
        </w:rPr>
        <w:t>TITANIA</w:t>
      </w:r>
      <w:r>
        <w:rPr/>
        <w:t>）中完成</w:t>
      </w:r>
      <w:r>
        <w:rPr>
          <w:spacing w:val="-3"/>
        </w:rPr>
        <w:t>治疗期且未提前终止 </w:t>
      </w:r>
      <w:r>
        <w:rPr>
          <w:rFonts w:ascii="Times New Roman" w:eastAsia="Times New Roman"/>
        </w:rPr>
        <w:t>IP </w:t>
      </w:r>
      <w:r>
        <w:rPr>
          <w:spacing w:val="-2"/>
        </w:rPr>
        <w:t>治疗的受试者数量决定。因此，预计进入 </w:t>
      </w:r>
      <w:r>
        <w:rPr>
          <w:rFonts w:ascii="Times New Roman" w:eastAsia="Times New Roman"/>
        </w:rPr>
        <w:t>PROSPERO </w:t>
      </w:r>
      <w:r>
        <w:rPr/>
        <w:t>的样</w:t>
      </w:r>
      <w:r>
        <w:rPr>
          <w:spacing w:val="-5"/>
        </w:rPr>
        <w:t>本量最多为 </w:t>
      </w:r>
      <w:r>
        <w:rPr>
          <w:rFonts w:ascii="Times New Roman" w:eastAsia="Times New Roman"/>
        </w:rPr>
        <w:t>2120</w:t>
      </w:r>
      <w:r>
        <w:rPr>
          <w:rFonts w:ascii="Times New Roman" w:eastAsia="Times New Roman"/>
          <w:spacing w:val="-15"/>
        </w:rPr>
        <w:t> </w:t>
      </w:r>
      <w:r>
        <w:rPr>
          <w:spacing w:val="-3"/>
        </w:rPr>
        <w:t>名受试者，但这取决于 </w:t>
      </w:r>
      <w:r>
        <w:rPr>
          <w:rFonts w:ascii="Times New Roman" w:eastAsia="Times New Roman"/>
        </w:rPr>
        <w:t>tozorakimab</w:t>
      </w:r>
      <w:r>
        <w:rPr>
          <w:rFonts w:ascii="Times New Roman" w:eastAsia="Times New Roman"/>
          <w:spacing w:val="-15"/>
        </w:rPr>
        <w:t> </w:t>
      </w:r>
      <w:r>
        <w:rPr>
          <w:rFonts w:ascii="Times New Roman" w:eastAsia="Times New Roman"/>
        </w:rPr>
        <w:t>Q8W</w:t>
      </w:r>
      <w:r>
        <w:rPr>
          <w:rFonts w:ascii="Times New Roman" w:eastAsia="Times New Roman"/>
          <w:spacing w:val="-15"/>
        </w:rPr>
        <w:t> </w:t>
      </w:r>
      <w:r>
        <w:rPr/>
        <w:t>组招募的受试者人数以及</w:t>
      </w:r>
      <w:r>
        <w:rPr>
          <w:spacing w:val="-2"/>
        </w:rPr>
        <w:t>完成前身研究并同意进入该扩展的受试者比例，因此，实际人数可能更多或更少。将在综合分析中使用前身研究中随机化并接受给药的所有受试者。</w:t>
      </w:r>
    </w:p>
    <w:p>
      <w:pPr>
        <w:pStyle w:val="Heading3"/>
        <w:spacing w:before="237"/>
      </w:pPr>
      <w:r>
        <w:rPr>
          <w:spacing w:val="-5"/>
          <w:u w:val="single"/>
        </w:rPr>
        <w:t>主要终点分析</w:t>
      </w:r>
    </w:p>
    <w:p>
      <w:pPr>
        <w:pStyle w:val="BodyText"/>
        <w:spacing w:line="276" w:lineRule="auto" w:before="119"/>
        <w:ind w:right="357" w:firstLine="480"/>
        <w:jc w:val="both"/>
      </w:pPr>
      <w:r>
        <w:rPr>
          <w:spacing w:val="-4"/>
        </w:rPr>
        <w:t>主要终点是重度 </w:t>
      </w:r>
      <w:r>
        <w:rPr>
          <w:rFonts w:ascii="Times New Roman" w:eastAsia="Times New Roman"/>
        </w:rPr>
        <w:t>COPD </w:t>
      </w:r>
      <w:r>
        <w:rPr/>
        <w:t>急性加重的年发生率。将主要在戒烟人群中评估各剂量</w:t>
      </w:r>
      <w:r>
        <w:rPr>
          <w:spacing w:val="-15"/>
        </w:rPr>
        <w:t>的 </w:t>
      </w:r>
      <w:r>
        <w:rPr>
          <w:rFonts w:ascii="Times New Roman" w:eastAsia="Times New Roman"/>
          <w:spacing w:val="-2"/>
        </w:rPr>
        <w:t>tozorakimab</w:t>
      </w:r>
      <w:r>
        <w:rPr>
          <w:rFonts w:ascii="Times New Roman" w:eastAsia="Times New Roman"/>
          <w:spacing w:val="-13"/>
        </w:rPr>
        <w:t> </w:t>
      </w:r>
      <w:r>
        <w:rPr>
          <w:spacing w:val="-5"/>
        </w:rPr>
        <w:t>与安慰剂，但仅对 </w:t>
      </w:r>
      <w:r>
        <w:rPr>
          <w:rFonts w:ascii="Times New Roman" w:eastAsia="Times New Roman"/>
          <w:spacing w:val="-2"/>
        </w:rPr>
        <w:t>tozorakimab</w:t>
      </w:r>
      <w:r>
        <w:rPr>
          <w:rFonts w:ascii="Times New Roman" w:eastAsia="Times New Roman"/>
          <w:spacing w:val="-13"/>
        </w:rPr>
        <w:t> </w:t>
      </w:r>
      <w:r>
        <w:rPr>
          <w:rFonts w:ascii="Times New Roman" w:eastAsia="Times New Roman"/>
          <w:spacing w:val="-2"/>
        </w:rPr>
        <w:t>300</w:t>
      </w:r>
      <w:r>
        <w:rPr>
          <w:rFonts w:ascii="Times New Roman" w:eastAsia="Times New Roman"/>
          <w:spacing w:val="-12"/>
        </w:rPr>
        <w:t> </w:t>
      </w:r>
      <w:r>
        <w:rPr>
          <w:rFonts w:ascii="Times New Roman" w:eastAsia="Times New Roman"/>
          <w:spacing w:val="-2"/>
        </w:rPr>
        <w:t>mg</w:t>
      </w:r>
      <w:r>
        <w:rPr>
          <w:rFonts w:ascii="Times New Roman" w:eastAsia="Times New Roman"/>
        </w:rPr>
        <w:t> </w:t>
      </w:r>
      <w:r>
        <w:rPr>
          <w:rFonts w:ascii="Times New Roman" w:eastAsia="Times New Roman"/>
          <w:spacing w:val="-2"/>
        </w:rPr>
        <w:t>Q4W</w:t>
      </w:r>
      <w:r>
        <w:rPr>
          <w:rFonts w:ascii="Times New Roman" w:eastAsia="Times New Roman"/>
          <w:spacing w:val="-4"/>
        </w:rPr>
        <w:t> </w:t>
      </w:r>
      <w:r>
        <w:rPr>
          <w:spacing w:val="-2"/>
        </w:rPr>
        <w:t>与安慰剂的比较进行确证性假设检验。</w:t>
      </w:r>
    </w:p>
    <w:p>
      <w:pPr>
        <w:spacing w:after="0" w:line="276" w:lineRule="auto"/>
        <w:jc w:val="both"/>
        <w:sectPr>
          <w:pgSz w:w="11910" w:h="16840"/>
          <w:pgMar w:header="590" w:footer="784" w:top="1360" w:bottom="980" w:left="1480" w:right="1080"/>
        </w:sectPr>
      </w:pPr>
    </w:p>
    <w:p>
      <w:pPr>
        <w:pStyle w:val="BodyText"/>
        <w:spacing w:line="276" w:lineRule="auto" w:before="60"/>
        <w:ind w:right="355" w:firstLine="480"/>
        <w:jc w:val="both"/>
      </w:pPr>
      <w:r>
        <w:rPr>
          <w:spacing w:val="4"/>
        </w:rPr>
        <w:t>将在全分析集（</w:t>
      </w:r>
      <w:r>
        <w:rPr>
          <w:rFonts w:ascii="Times New Roman" w:eastAsia="Times New Roman"/>
          <w:spacing w:val="-1"/>
        </w:rPr>
        <w:t>FA</w:t>
      </w:r>
      <w:r>
        <w:rPr>
          <w:rFonts w:ascii="Times New Roman" w:eastAsia="Times New Roman"/>
          <w:spacing w:val="5"/>
        </w:rPr>
        <w:t>S</w:t>
      </w:r>
      <w:r>
        <w:rPr>
          <w:spacing w:val="6"/>
        </w:rPr>
        <w:t>）</w:t>
      </w:r>
      <w:r>
        <w:rPr>
          <w:spacing w:val="2"/>
        </w:rPr>
        <w:t>中进行分析，其中使用所有可用数据，不考虑治疗或研</w:t>
      </w:r>
      <w:r>
        <w:rPr>
          <w:spacing w:val="3"/>
        </w:rPr>
        <w:t>究终止情况、用药改变或吸烟状态改变，剔除从安慰剂组重新随机分配至活性药物</w:t>
      </w:r>
      <w:r>
        <w:rPr/>
        <w:t>治疗组后的数据。该人群将为使用疗法策略的估计目标提供疗效的预估。</w:t>
      </w:r>
    </w:p>
    <w:p>
      <w:pPr>
        <w:pStyle w:val="BodyText"/>
        <w:spacing w:line="276" w:lineRule="auto" w:before="238"/>
        <w:ind w:right="353" w:firstLine="480"/>
        <w:jc w:val="both"/>
      </w:pPr>
      <w:r>
        <w:rPr>
          <w:spacing w:val="-7"/>
        </w:rPr>
        <w:t>将针对重度 </w:t>
      </w:r>
      <w:r>
        <w:rPr>
          <w:rFonts w:ascii="Times New Roman" w:eastAsia="Times New Roman"/>
          <w:spacing w:val="-2"/>
        </w:rPr>
        <w:t>COPD</w:t>
      </w:r>
      <w:r>
        <w:rPr>
          <w:rFonts w:ascii="Times New Roman" w:eastAsia="Times New Roman"/>
          <w:spacing w:val="-13"/>
        </w:rPr>
        <w:t> </w:t>
      </w:r>
      <w:r>
        <w:rPr>
          <w:spacing w:val="-4"/>
        </w:rPr>
        <w:t>急性加重使用负二项式模型，以推导各 </w:t>
      </w:r>
      <w:r>
        <w:rPr>
          <w:rFonts w:ascii="Times New Roman" w:eastAsia="Times New Roman"/>
          <w:spacing w:val="-2"/>
        </w:rPr>
        <w:t>tozorakimab</w:t>
      </w:r>
      <w:r>
        <w:rPr>
          <w:rFonts w:ascii="Times New Roman" w:eastAsia="Times New Roman"/>
          <w:spacing w:val="-13"/>
        </w:rPr>
        <w:t> </w:t>
      </w:r>
      <w:r>
        <w:rPr>
          <w:spacing w:val="-2"/>
        </w:rPr>
        <w:t>给药方案</w:t>
      </w:r>
      <w:r>
        <w:rPr>
          <w:spacing w:val="-1"/>
        </w:rPr>
        <w:t>组相对于安慰剂组的发生率比值。模型中的反应变量为重度 </w:t>
      </w:r>
      <w:r>
        <w:rPr>
          <w:rFonts w:ascii="Times New Roman" w:eastAsia="Times New Roman"/>
        </w:rPr>
        <w:t>COPD</w:t>
      </w:r>
      <w:r>
        <w:rPr>
          <w:rFonts w:ascii="Times New Roman" w:eastAsia="Times New Roman"/>
          <w:spacing w:val="18"/>
        </w:rPr>
        <w:t> </w:t>
      </w:r>
      <w:r>
        <w:rPr/>
        <w:t>急性加重的年发</w:t>
      </w:r>
      <w:r>
        <w:rPr>
          <w:spacing w:val="-1"/>
        </w:rPr>
        <w:t>生率。该模型将治疗、前身研究、地区、吸入性维持治疗和基线 </w:t>
      </w:r>
      <w:r>
        <w:rPr>
          <w:rFonts w:ascii="Times New Roman" w:eastAsia="Times New Roman"/>
        </w:rPr>
        <w:t>COPD </w:t>
      </w:r>
      <w:r>
        <w:rPr/>
        <w:t>急性加重史</w:t>
      </w:r>
      <w:r>
        <w:rPr>
          <w:spacing w:val="-2"/>
          <w:position w:val="1"/>
        </w:rPr>
        <w:t>作为分类协变量，和基线支气管扩张剂（</w:t>
      </w:r>
      <w:r>
        <w:rPr>
          <w:rFonts w:ascii="Times New Roman" w:eastAsia="Times New Roman"/>
          <w:spacing w:val="-2"/>
          <w:position w:val="1"/>
        </w:rPr>
        <w:t>BD</w:t>
      </w:r>
      <w:r>
        <w:rPr>
          <w:spacing w:val="-2"/>
          <w:position w:val="1"/>
        </w:rPr>
        <w:t>）</w:t>
      </w:r>
      <w:r>
        <w:rPr>
          <w:spacing w:val="-9"/>
          <w:position w:val="1"/>
        </w:rPr>
        <w:t>给药后 </w:t>
      </w:r>
      <w:r>
        <w:rPr>
          <w:rFonts w:ascii="Times New Roman" w:eastAsia="Times New Roman"/>
          <w:spacing w:val="-2"/>
          <w:position w:val="1"/>
        </w:rPr>
        <w:t>1</w:t>
      </w:r>
      <w:r>
        <w:rPr>
          <w:rFonts w:ascii="Times New Roman" w:eastAsia="Times New Roman"/>
          <w:spacing w:val="-5"/>
          <w:position w:val="1"/>
        </w:rPr>
        <w:t> </w:t>
      </w:r>
      <w:r>
        <w:rPr>
          <w:spacing w:val="-2"/>
          <w:position w:val="1"/>
        </w:rPr>
        <w:t>秒用力呼气量（</w:t>
      </w:r>
      <w:r>
        <w:rPr>
          <w:rFonts w:ascii="Times New Roman" w:eastAsia="Times New Roman"/>
          <w:spacing w:val="-2"/>
          <w:position w:val="1"/>
        </w:rPr>
        <w:t>FEV</w:t>
      </w:r>
      <w:r>
        <w:rPr>
          <w:rFonts w:ascii="Times New Roman" w:eastAsia="Times New Roman"/>
          <w:spacing w:val="-2"/>
          <w:sz w:val="16"/>
        </w:rPr>
        <w:t>1</w:t>
      </w:r>
      <w:r>
        <w:rPr>
          <w:spacing w:val="-2"/>
          <w:position w:val="1"/>
        </w:rPr>
        <w:t>）百分</w:t>
      </w:r>
      <w:r>
        <w:rPr>
          <w:spacing w:val="-2"/>
        </w:rPr>
        <w:t>比预测值和血液嗜酸性粒细胞计数的对数值作为连续协变量，将受试者相应随访时间的对数作为位移变量。对于总人群的分析，吸烟状态也将作为协变量。</w:t>
      </w:r>
    </w:p>
    <w:p>
      <w:pPr>
        <w:pStyle w:val="BodyText"/>
        <w:spacing w:line="276" w:lineRule="auto" w:before="235"/>
        <w:ind w:right="357" w:firstLine="480"/>
        <w:jc w:val="both"/>
      </w:pPr>
      <w:r>
        <w:rPr/>
        <w:t>相对于安慰剂对照，将汇报预期治疗效应（即发生率比值）及其双侧 </w:t>
      </w:r>
      <w:r>
        <w:rPr>
          <w:rFonts w:ascii="Times New Roman" w:eastAsia="Times New Roman"/>
        </w:rPr>
        <w:t>95%</w:t>
      </w:r>
      <w:r>
        <w:rPr/>
        <w:t>置信区间（</w:t>
      </w:r>
      <w:r>
        <w:rPr>
          <w:rFonts w:ascii="Times New Roman" w:eastAsia="Times New Roman"/>
        </w:rPr>
        <w:t>CI</w:t>
      </w:r>
      <w:r>
        <w:rPr/>
        <w:t>）</w:t>
      </w:r>
      <w:r>
        <w:rPr>
          <w:spacing w:val="-12"/>
        </w:rPr>
        <w:t>和 </w:t>
      </w:r>
      <w:r>
        <w:rPr>
          <w:rFonts w:ascii="Times New Roman" w:eastAsia="Times New Roman"/>
        </w:rPr>
        <w:t>p </w:t>
      </w:r>
      <w:r>
        <w:rPr/>
        <w:t>值。此外，还将汇报每个治疗组的模型校正急性加重发生率。</w:t>
      </w:r>
    </w:p>
    <w:p>
      <w:pPr>
        <w:pStyle w:val="BodyText"/>
        <w:spacing w:line="276" w:lineRule="auto" w:before="238"/>
        <w:ind w:right="365" w:firstLine="480"/>
      </w:pPr>
      <w:r>
        <w:rPr>
          <w:spacing w:val="-2"/>
        </w:rPr>
        <w:t>将使用多重填补法处理安慰剂组重新随机分配至活性药物组后的数据或基于退组原因多重填补退出研究后的数据。</w:t>
      </w:r>
    </w:p>
    <w:p>
      <w:pPr>
        <w:pStyle w:val="Heading3"/>
        <w:spacing w:before="239"/>
      </w:pPr>
      <w:r>
        <w:rPr>
          <w:spacing w:val="-4"/>
          <w:u w:val="single"/>
        </w:rPr>
        <w:t>中期分析</w:t>
      </w:r>
    </w:p>
    <w:p>
      <w:pPr>
        <w:pStyle w:val="BodyText"/>
        <w:spacing w:line="276" w:lineRule="auto" w:before="119"/>
        <w:ind w:right="354" w:firstLine="480"/>
        <w:jc w:val="both"/>
      </w:pPr>
      <w:r>
        <w:rPr>
          <w:rFonts w:ascii="Times New Roman" w:eastAsia="Times New Roman"/>
        </w:rPr>
        <w:t>IDMC </w:t>
      </w:r>
      <w:r>
        <w:rPr/>
        <w:t>将监督前身研究中的无效性分析，以评估是否可因无效而停止研究，并</w:t>
      </w:r>
      <w:r>
        <w:rPr>
          <w:spacing w:val="-2"/>
        </w:rPr>
        <w:t>可能根据每项研究的主要终点监督本研究和前身研究中的中期分析，以评估是否可</w:t>
      </w:r>
      <w:r>
        <w:rPr/>
        <w:t>以因卓越的疗效提前报告研究结果。</w:t>
      </w:r>
      <w:r>
        <w:rPr>
          <w:rFonts w:ascii="Times New Roman" w:eastAsia="Times New Roman"/>
        </w:rPr>
        <w:t>IDMC </w:t>
      </w:r>
      <w:r>
        <w:rPr/>
        <w:t>还将定期审查安全性列表，以评价受试者安全性，并提出适当建议（包括中期分析）（</w:t>
      </w:r>
      <w:r>
        <w:rPr>
          <w:spacing w:val="-6"/>
        </w:rPr>
        <w:t>请见第 </w:t>
      </w:r>
      <w:hyperlink w:history="true" w:anchor="_bookmark146">
        <w:r>
          <w:rPr>
            <w:rFonts w:ascii="Times New Roman" w:eastAsia="Times New Roman"/>
            <w:color w:val="0000FF"/>
          </w:rPr>
          <w:t>9.5</w:t>
        </w:r>
      </w:hyperlink>
      <w:r>
        <w:rPr>
          <w:rFonts w:ascii="Times New Roman" w:eastAsia="Times New Roman"/>
          <w:color w:val="0000FF"/>
        </w:rPr>
        <w:t> </w:t>
      </w:r>
      <w:r>
        <w:rPr/>
        <w:t>节）。</w:t>
      </w:r>
    </w:p>
    <w:p>
      <w:pPr>
        <w:pStyle w:val="BodyText"/>
        <w:spacing w:before="236"/>
        <w:ind w:left="701"/>
      </w:pPr>
      <w:r>
        <w:rPr>
          <w:spacing w:val="-1"/>
        </w:rPr>
        <w:t>在前身研究中进行的无效性中期分析可能会影响 </w:t>
      </w:r>
      <w:r>
        <w:rPr>
          <w:rFonts w:ascii="Times New Roman" w:eastAsia="Times New Roman"/>
        </w:rPr>
        <w:t>PROSPERO</w:t>
      </w:r>
      <w:r>
        <w:rPr>
          <w:spacing w:val="-2"/>
        </w:rPr>
        <w:t>。详细信息参见第</w:t>
      </w:r>
    </w:p>
    <w:p>
      <w:pPr>
        <w:pStyle w:val="BodyText"/>
        <w:spacing w:before="46"/>
      </w:pPr>
      <w:hyperlink w:history="true" w:anchor="_bookmark35">
        <w:r>
          <w:rPr>
            <w:rFonts w:ascii="Times New Roman" w:eastAsia="Times New Roman"/>
            <w:color w:val="0000FF"/>
          </w:rPr>
          <w:t>4.4.1</w:t>
        </w:r>
      </w:hyperlink>
      <w:r>
        <w:rPr>
          <w:rFonts w:ascii="Times New Roman" w:eastAsia="Times New Roman"/>
          <w:color w:val="0000FF"/>
          <w:spacing w:val="-12"/>
        </w:rPr>
        <w:t> </w:t>
      </w:r>
      <w:r>
        <w:rPr>
          <w:spacing w:val="-5"/>
        </w:rPr>
        <w:t>节。</w:t>
      </w:r>
    </w:p>
    <w:p>
      <w:pPr>
        <w:pStyle w:val="BodyText"/>
        <w:spacing w:before="287"/>
      </w:pPr>
      <w:r>
        <w:rPr>
          <w:spacing w:val="-1"/>
          <w:u w:val="single"/>
        </w:rPr>
        <w:t>评估卓越疗效的中期分析</w:t>
      </w:r>
    </w:p>
    <w:p>
      <w:pPr>
        <w:pStyle w:val="BodyText"/>
        <w:spacing w:line="276" w:lineRule="auto" w:before="119"/>
        <w:ind w:right="359" w:firstLine="480"/>
      </w:pPr>
      <w:r>
        <w:rPr>
          <w:spacing w:val="-2"/>
        </w:rPr>
        <w:t>仅当戒烟者组成的主要人群满足以下条件时才可能针对有效性进行中期分析并</w:t>
      </w:r>
      <w:r>
        <w:rPr>
          <w:spacing w:val="-8"/>
        </w:rPr>
        <w:t>进行 </w:t>
      </w:r>
      <w:r>
        <w:rPr>
          <w:rFonts w:ascii="Times New Roman" w:hAnsi="Times New Roman" w:eastAsia="Times New Roman"/>
        </w:rPr>
        <w:t>α </w:t>
      </w:r>
      <w:r>
        <w:rPr/>
        <w:t>调整：</w:t>
      </w:r>
    </w:p>
    <w:p>
      <w:pPr>
        <w:pStyle w:val="ListParagraph"/>
        <w:numPr>
          <w:ilvl w:val="0"/>
          <w:numId w:val="6"/>
        </w:numPr>
        <w:tabs>
          <w:tab w:pos="646" w:val="left" w:leader="none"/>
        </w:tabs>
        <w:spacing w:line="240" w:lineRule="auto" w:before="237" w:after="0"/>
        <w:ind w:left="646" w:right="356" w:hanging="425"/>
        <w:jc w:val="left"/>
        <w:rPr>
          <w:sz w:val="24"/>
        </w:rPr>
      </w:pPr>
      <w:r>
        <w:rPr>
          <w:sz w:val="24"/>
        </w:rPr>
        <w:t>在各项前身研究中，中度或重度急性加重率的试验信息比例至少达到 </w:t>
      </w:r>
      <w:r>
        <w:rPr>
          <w:rFonts w:ascii="Times New Roman" w:hAnsi="Times New Roman" w:eastAsia="Times New Roman"/>
          <w:sz w:val="24"/>
        </w:rPr>
        <w:t>80%</w:t>
      </w:r>
      <w:r>
        <w:rPr>
          <w:sz w:val="24"/>
        </w:rPr>
        <w:t>，以</w:t>
      </w:r>
      <w:r>
        <w:rPr>
          <w:spacing w:val="-10"/>
          <w:sz w:val="24"/>
        </w:rPr>
        <w:t>及</w:t>
      </w:r>
    </w:p>
    <w:p>
      <w:pPr>
        <w:pStyle w:val="ListParagraph"/>
        <w:numPr>
          <w:ilvl w:val="0"/>
          <w:numId w:val="6"/>
        </w:numPr>
        <w:tabs>
          <w:tab w:pos="646" w:val="left" w:leader="none"/>
        </w:tabs>
        <w:spacing w:line="240" w:lineRule="auto" w:before="58" w:after="0"/>
        <w:ind w:left="646" w:right="353" w:hanging="425"/>
        <w:jc w:val="left"/>
        <w:rPr>
          <w:sz w:val="24"/>
        </w:rPr>
      </w:pPr>
      <w:r>
        <w:rPr>
          <w:sz w:val="24"/>
        </w:rPr>
        <w:t>在本研究和 </w:t>
      </w:r>
      <w:r>
        <w:rPr>
          <w:rFonts w:ascii="Times New Roman" w:hAnsi="Times New Roman" w:eastAsia="Times New Roman"/>
          <w:sz w:val="24"/>
        </w:rPr>
        <w:t>2</w:t>
      </w:r>
      <w:r>
        <w:rPr>
          <w:rFonts w:ascii="Times New Roman" w:hAnsi="Times New Roman" w:eastAsia="Times New Roman"/>
          <w:spacing w:val="40"/>
          <w:sz w:val="24"/>
        </w:rPr>
        <w:t> </w:t>
      </w:r>
      <w:r>
        <w:rPr>
          <w:sz w:val="24"/>
        </w:rPr>
        <w:t>项前身研究的汇总分析中，重度急性加重发生率的试验信息比例</w:t>
      </w:r>
      <w:r>
        <w:rPr>
          <w:spacing w:val="-9"/>
          <w:sz w:val="24"/>
        </w:rPr>
        <w:t>至少达到 </w:t>
      </w:r>
      <w:r>
        <w:rPr>
          <w:rFonts w:ascii="Times New Roman" w:hAnsi="Times New Roman" w:eastAsia="Times New Roman"/>
          <w:sz w:val="24"/>
        </w:rPr>
        <w:t>70%</w:t>
      </w:r>
      <w:r>
        <w:rPr>
          <w:sz w:val="24"/>
        </w:rPr>
        <w:t>，且</w:t>
      </w:r>
    </w:p>
    <w:p>
      <w:pPr>
        <w:pStyle w:val="ListParagraph"/>
        <w:numPr>
          <w:ilvl w:val="0"/>
          <w:numId w:val="6"/>
        </w:numPr>
        <w:tabs>
          <w:tab w:pos="646" w:val="left" w:leader="none"/>
        </w:tabs>
        <w:spacing w:line="240" w:lineRule="auto" w:before="59" w:after="0"/>
        <w:ind w:left="646" w:right="361" w:hanging="425"/>
        <w:jc w:val="left"/>
        <w:rPr>
          <w:sz w:val="24"/>
        </w:rPr>
      </w:pPr>
      <w:r>
        <w:rPr>
          <w:sz w:val="24"/>
        </w:rPr>
        <w:t>当这些条件满足时，距离每个受试者在前身研究中完成 </w:t>
      </w:r>
      <w:r>
        <w:rPr>
          <w:rFonts w:ascii="Times New Roman" w:hAnsi="Times New Roman" w:eastAsia="Times New Roman"/>
          <w:sz w:val="24"/>
        </w:rPr>
        <w:t>1</w:t>
      </w:r>
      <w:r>
        <w:rPr>
          <w:rFonts w:ascii="Times New Roman" w:hAnsi="Times New Roman" w:eastAsia="Times New Roman"/>
          <w:spacing w:val="40"/>
          <w:sz w:val="24"/>
        </w:rPr>
        <w:t> </w:t>
      </w:r>
      <w:r>
        <w:rPr>
          <w:sz w:val="24"/>
        </w:rPr>
        <w:t>年的治疗时间，还需</w:t>
      </w:r>
      <w:r>
        <w:rPr>
          <w:spacing w:val="-8"/>
          <w:sz w:val="24"/>
        </w:rPr>
        <w:t>至少 </w:t>
      </w:r>
      <w:r>
        <w:rPr>
          <w:rFonts w:ascii="Times New Roman" w:hAnsi="Times New Roman" w:eastAsia="Times New Roman"/>
          <w:sz w:val="24"/>
        </w:rPr>
        <w:t>6 </w:t>
      </w:r>
      <w:r>
        <w:rPr>
          <w:sz w:val="24"/>
        </w:rPr>
        <w:t>个月。</w:t>
      </w:r>
    </w:p>
    <w:p>
      <w:pPr>
        <w:pStyle w:val="BodyText"/>
        <w:spacing w:before="24"/>
        <w:ind w:left="0"/>
      </w:pPr>
    </w:p>
    <w:p>
      <w:pPr>
        <w:pStyle w:val="BodyText"/>
        <w:ind w:left="701"/>
      </w:pPr>
      <w:r>
        <w:rPr>
          <w:spacing w:val="-20"/>
        </w:rPr>
        <w:t>将向 </w:t>
      </w:r>
      <w:r>
        <w:rPr>
          <w:rFonts w:ascii="Times New Roman" w:eastAsia="Times New Roman"/>
        </w:rPr>
        <w:t>IDMC</w:t>
      </w:r>
      <w:r>
        <w:rPr>
          <w:rFonts w:ascii="Times New Roman" w:eastAsia="Times New Roman"/>
          <w:spacing w:val="-13"/>
        </w:rPr>
        <w:t> </w:t>
      </w:r>
      <w:r>
        <w:rPr>
          <w:spacing w:val="-2"/>
        </w:rPr>
        <w:t>提供决策指南。</w:t>
      </w:r>
    </w:p>
    <w:p>
      <w:pPr>
        <w:spacing w:after="0"/>
        <w:sectPr>
          <w:pgSz w:w="11910" w:h="16840"/>
          <w:pgMar w:header="590" w:footer="784" w:top="1360" w:bottom="980" w:left="1480" w:right="1080"/>
        </w:sectPr>
      </w:pPr>
    </w:p>
    <w:p>
      <w:pPr>
        <w:pStyle w:val="Heading1"/>
        <w:numPr>
          <w:ilvl w:val="1"/>
          <w:numId w:val="3"/>
        </w:numPr>
        <w:tabs>
          <w:tab w:pos="1355" w:val="left" w:leader="none"/>
        </w:tabs>
        <w:spacing w:line="240" w:lineRule="auto" w:before="60" w:after="0"/>
        <w:ind w:left="1355" w:right="0" w:hanging="1134"/>
        <w:jc w:val="left"/>
      </w:pPr>
      <w:bookmarkStart w:name="1.2 研究示意图" w:id="11"/>
      <w:bookmarkEnd w:id="11"/>
      <w:r>
        <w:rPr>
          <w:b w:val="0"/>
        </w:rPr>
      </w:r>
      <w:bookmarkStart w:name="_bookmark5" w:id="12"/>
      <w:bookmarkEnd w:id="12"/>
      <w:r>
        <w:rPr>
          <w:b w:val="0"/>
        </w:rPr>
      </w:r>
      <w:r>
        <w:rPr>
          <w:spacing w:val="-6"/>
        </w:rPr>
        <w:t>研究示意图</w:t>
      </w:r>
    </w:p>
    <w:p>
      <w:pPr>
        <w:pStyle w:val="Heading3"/>
        <w:tabs>
          <w:tab w:pos="1923" w:val="left" w:leader="none"/>
        </w:tabs>
        <w:spacing w:before="120"/>
      </w:pPr>
      <w:bookmarkStart w:name="_bookmark6" w:id="13"/>
      <w:bookmarkEnd w:id="13"/>
      <w:r>
        <w:rPr>
          <w:b w:val="0"/>
        </w:rPr>
      </w:r>
      <w:r>
        <w:rPr>
          <w:spacing w:val="-4"/>
        </w:rPr>
        <w:t>图</w:t>
      </w:r>
      <w:r>
        <w:rPr>
          <w:spacing w:val="-59"/>
        </w:rPr>
        <w:t> </w:t>
      </w:r>
      <w:r>
        <w:rPr>
          <w:rFonts w:ascii="Times New Roman" w:eastAsia="Times New Roman"/>
          <w:spacing w:val="-10"/>
        </w:rPr>
        <w:t>1</w:t>
      </w:r>
      <w:r>
        <w:rPr>
          <w:rFonts w:ascii="Times New Roman" w:eastAsia="Times New Roman"/>
        </w:rPr>
        <w:tab/>
      </w:r>
      <w:r>
        <w:rPr>
          <w:spacing w:val="-2"/>
        </w:rPr>
        <w:t>研究设</w:t>
      </w:r>
      <w:r>
        <w:rPr>
          <w:spacing w:val="-10"/>
        </w:rPr>
        <w:t>计</w:t>
      </w:r>
    </w:p>
    <w:p>
      <w:pPr>
        <w:pStyle w:val="BodyText"/>
        <w:spacing w:before="6"/>
        <w:ind w:left="0"/>
        <w:rPr>
          <w:b/>
          <w:sz w:val="7"/>
        </w:rPr>
      </w:pPr>
      <w:r>
        <w:rPr/>
        <mc:AlternateContent>
          <mc:Choice Requires="wps">
            <w:drawing>
              <wp:anchor distT="0" distB="0" distL="0" distR="0" allowOverlap="1" layoutInCell="1" locked="0" behindDoc="1" simplePos="0" relativeHeight="487589888">
                <wp:simplePos x="0" y="0"/>
                <wp:positionH relativeFrom="page">
                  <wp:posOffset>1099185</wp:posOffset>
                </wp:positionH>
                <wp:positionV relativeFrom="paragraph">
                  <wp:posOffset>76877</wp:posOffset>
                </wp:positionV>
                <wp:extent cx="5666740" cy="1685289"/>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666740" cy="1685289"/>
                          <a:chExt cx="5666740" cy="1685289"/>
                        </a:xfrm>
                      </wpg:grpSpPr>
                      <pic:pic>
                        <pic:nvPicPr>
                          <pic:cNvPr id="11" name="Image 11" descr="A picture containing text, screenshot, font, line  Description automatically generated"/>
                          <pic:cNvPicPr/>
                        </pic:nvPicPr>
                        <pic:blipFill>
                          <a:blip r:embed="rId7" cstate="print"/>
                          <a:stretch>
                            <a:fillRect/>
                          </a:stretch>
                        </pic:blipFill>
                        <pic:spPr>
                          <a:xfrm>
                            <a:off x="9447" y="115859"/>
                            <a:ext cx="5591252" cy="1492542"/>
                          </a:xfrm>
                          <a:prstGeom prst="rect">
                            <a:avLst/>
                          </a:prstGeom>
                        </pic:spPr>
                      </pic:pic>
                      <wps:wsp>
                        <wps:cNvPr id="12" name="Graphic 12"/>
                        <wps:cNvSpPr/>
                        <wps:spPr>
                          <a:xfrm>
                            <a:off x="0" y="0"/>
                            <a:ext cx="5666740" cy="1685289"/>
                          </a:xfrm>
                          <a:custGeom>
                            <a:avLst/>
                            <a:gdLst/>
                            <a:ahLst/>
                            <a:cxnLst/>
                            <a:rect l="l" t="t" r="r" b="b"/>
                            <a:pathLst>
                              <a:path w="5666740" h="1685289">
                                <a:moveTo>
                                  <a:pt x="1652651" y="0"/>
                                </a:moveTo>
                                <a:lnTo>
                                  <a:pt x="0" y="0"/>
                                </a:lnTo>
                                <a:lnTo>
                                  <a:pt x="0" y="400050"/>
                                </a:lnTo>
                                <a:lnTo>
                                  <a:pt x="1652651" y="400050"/>
                                </a:lnTo>
                                <a:lnTo>
                                  <a:pt x="1652651" y="0"/>
                                </a:lnTo>
                                <a:close/>
                              </a:path>
                              <a:path w="5666740" h="1685289">
                                <a:moveTo>
                                  <a:pt x="5657735" y="1440840"/>
                                </a:moveTo>
                                <a:lnTo>
                                  <a:pt x="4762500" y="1440840"/>
                                </a:lnTo>
                                <a:lnTo>
                                  <a:pt x="4762500" y="1685290"/>
                                </a:lnTo>
                                <a:lnTo>
                                  <a:pt x="5657735" y="1685290"/>
                                </a:lnTo>
                                <a:lnTo>
                                  <a:pt x="5657735" y="1440840"/>
                                </a:lnTo>
                                <a:close/>
                              </a:path>
                              <a:path w="5666740" h="1685289">
                                <a:moveTo>
                                  <a:pt x="5666740" y="190817"/>
                                </a:moveTo>
                                <a:lnTo>
                                  <a:pt x="5095875" y="190817"/>
                                </a:lnTo>
                                <a:lnTo>
                                  <a:pt x="5095875" y="516382"/>
                                </a:lnTo>
                                <a:lnTo>
                                  <a:pt x="5666740" y="516382"/>
                                </a:lnTo>
                                <a:lnTo>
                                  <a:pt x="5666740" y="190817"/>
                                </a:lnTo>
                                <a:close/>
                              </a:path>
                            </a:pathLst>
                          </a:custGeom>
                          <a:solidFill>
                            <a:srgbClr val="FFFFFF"/>
                          </a:solidFill>
                        </wps:spPr>
                        <wps:bodyPr wrap="square" lIns="0" tIns="0" rIns="0" bIns="0" rtlCol="0">
                          <a:prstTxWarp prst="textNoShape">
                            <a:avLst/>
                          </a:prstTxWarp>
                          <a:noAutofit/>
                        </wps:bodyPr>
                      </wps:wsp>
                      <wps:wsp>
                        <wps:cNvPr id="13" name="Textbox 13"/>
                        <wps:cNvSpPr txBox="1"/>
                        <wps:spPr>
                          <a:xfrm>
                            <a:off x="3429" y="18103"/>
                            <a:ext cx="843915" cy="335280"/>
                          </a:xfrm>
                          <a:prstGeom prst="rect">
                            <a:avLst/>
                          </a:prstGeom>
                        </wps:spPr>
                        <wps:txbx>
                          <w:txbxContent>
                            <w:p>
                              <w:pPr>
                                <w:spacing w:line="247" w:lineRule="exact" w:before="0"/>
                                <w:ind w:left="0" w:right="0" w:firstLine="0"/>
                                <w:jc w:val="left"/>
                                <w:rPr>
                                  <w:rFonts w:ascii="Times New Roman" w:eastAsia="Times New Roman"/>
                                  <w:b/>
                                  <w:sz w:val="21"/>
                                </w:rPr>
                              </w:pPr>
                              <w:r>
                                <w:rPr>
                                  <w:rFonts w:ascii="Times New Roman" w:eastAsia="Times New Roman"/>
                                  <w:b/>
                                  <w:color w:val="929F00"/>
                                  <w:spacing w:val="-2"/>
                                  <w:sz w:val="21"/>
                                </w:rPr>
                                <w:t>CSP</w:t>
                              </w:r>
                              <w:r>
                                <w:rPr>
                                  <w:rFonts w:ascii="Times New Roman" w:eastAsia="Times New Roman"/>
                                  <w:b/>
                                  <w:color w:val="929F00"/>
                                  <w:spacing w:val="-7"/>
                                  <w:sz w:val="21"/>
                                </w:rPr>
                                <w:t> </w:t>
                              </w:r>
                              <w:r>
                                <w:rPr>
                                  <w:b/>
                                  <w:color w:val="929F00"/>
                                  <w:spacing w:val="-19"/>
                                  <w:sz w:val="21"/>
                                </w:rPr>
                                <w:t>版本 </w:t>
                              </w:r>
                              <w:r>
                                <w:rPr>
                                  <w:rFonts w:ascii="Times New Roman" w:eastAsia="Times New Roman"/>
                                  <w:b/>
                                  <w:color w:val="929F00"/>
                                  <w:spacing w:val="-5"/>
                                  <w:sz w:val="21"/>
                                </w:rPr>
                                <w:t>1.0</w:t>
                              </w:r>
                            </w:p>
                            <w:p>
                              <w:pPr>
                                <w:spacing w:line="259" w:lineRule="exact" w:before="21"/>
                                <w:ind w:left="0" w:right="0" w:firstLine="0"/>
                                <w:jc w:val="left"/>
                                <w:rPr>
                                  <w:b/>
                                  <w:sz w:val="21"/>
                                </w:rPr>
                              </w:pPr>
                              <w:r>
                                <w:rPr>
                                  <w:b/>
                                  <w:color w:val="929F00"/>
                                  <w:spacing w:val="-2"/>
                                  <w:sz w:val="21"/>
                                </w:rPr>
                                <w:t>治疗期：</w:t>
                              </w:r>
                              <w:r>
                                <w:rPr>
                                  <w:rFonts w:ascii="Times New Roman" w:eastAsia="Times New Roman"/>
                                  <w:b/>
                                  <w:color w:val="929F00"/>
                                  <w:spacing w:val="-2"/>
                                  <w:sz w:val="21"/>
                                </w:rPr>
                                <w:t>52</w:t>
                              </w:r>
                              <w:r>
                                <w:rPr>
                                  <w:rFonts w:ascii="Times New Roman" w:eastAsia="Times New Roman"/>
                                  <w:b/>
                                  <w:color w:val="929F00"/>
                                  <w:spacing w:val="-3"/>
                                  <w:sz w:val="21"/>
                                </w:rPr>
                                <w:t> </w:t>
                              </w:r>
                              <w:r>
                                <w:rPr>
                                  <w:b/>
                                  <w:color w:val="929F00"/>
                                  <w:spacing w:val="-12"/>
                                  <w:sz w:val="21"/>
                                </w:rPr>
                                <w:t>周</w:t>
                              </w:r>
                            </w:p>
                          </w:txbxContent>
                        </wps:txbx>
                        <wps:bodyPr wrap="square" lIns="0" tIns="0" rIns="0" bIns="0" rtlCol="0">
                          <a:noAutofit/>
                        </wps:bodyPr>
                      </wps:wsp>
                      <wps:wsp>
                        <wps:cNvPr id="14" name="Textbox 14"/>
                        <wps:cNvSpPr txBox="1"/>
                        <wps:spPr>
                          <a:xfrm>
                            <a:off x="5177916" y="243867"/>
                            <a:ext cx="421640" cy="250825"/>
                          </a:xfrm>
                          <a:prstGeom prst="rect">
                            <a:avLst/>
                          </a:prstGeom>
                        </wps:spPr>
                        <wps:txbx>
                          <w:txbxContent>
                            <w:p>
                              <w:pPr>
                                <w:spacing w:line="182" w:lineRule="exact" w:before="0"/>
                                <w:ind w:left="0" w:right="18" w:firstLine="0"/>
                                <w:jc w:val="center"/>
                                <w:rPr>
                                  <w:b/>
                                  <w:sz w:val="16"/>
                                </w:rPr>
                              </w:pPr>
                              <w:r>
                                <w:rPr>
                                  <w:b/>
                                  <w:color w:val="830051"/>
                                  <w:spacing w:val="-4"/>
                                  <w:sz w:val="16"/>
                                </w:rPr>
                                <w:t>随访期：</w:t>
                              </w:r>
                            </w:p>
                            <w:p>
                              <w:pPr>
                                <w:spacing w:line="198" w:lineRule="exact" w:before="15"/>
                                <w:ind w:left="0" w:right="20" w:firstLine="0"/>
                                <w:jc w:val="center"/>
                                <w:rPr>
                                  <w:b/>
                                  <w:sz w:val="16"/>
                                </w:rPr>
                              </w:pPr>
                              <w:r>
                                <w:rPr>
                                  <w:rFonts w:ascii="Times New Roman" w:eastAsia="Times New Roman"/>
                                  <w:b/>
                                  <w:color w:val="830051"/>
                                  <w:sz w:val="16"/>
                                </w:rPr>
                                <w:t>8</w:t>
                              </w:r>
                              <w:r>
                                <w:rPr>
                                  <w:rFonts w:ascii="Times New Roman" w:eastAsia="Times New Roman"/>
                                  <w:b/>
                                  <w:color w:val="830051"/>
                                  <w:spacing w:val="-7"/>
                                  <w:sz w:val="16"/>
                                </w:rPr>
                                <w:t> </w:t>
                              </w:r>
                              <w:r>
                                <w:rPr>
                                  <w:b/>
                                  <w:color w:val="830051"/>
                                  <w:spacing w:val="-10"/>
                                  <w:sz w:val="16"/>
                                </w:rPr>
                                <w:t>周</w:t>
                              </w:r>
                            </w:p>
                          </w:txbxContent>
                        </wps:txbx>
                        <wps:bodyPr wrap="square" lIns="0" tIns="0" rIns="0" bIns="0" rtlCol="0">
                          <a:noAutofit/>
                        </wps:bodyPr>
                      </wps:wsp>
                      <wps:wsp>
                        <wps:cNvPr id="15" name="Textbox 15"/>
                        <wps:cNvSpPr txBox="1"/>
                        <wps:spPr>
                          <a:xfrm>
                            <a:off x="378840" y="630033"/>
                            <a:ext cx="2076450" cy="112395"/>
                          </a:xfrm>
                          <a:prstGeom prst="rect">
                            <a:avLst/>
                          </a:prstGeom>
                        </wps:spPr>
                        <wps:txbx>
                          <w:txbxContent>
                            <w:p>
                              <w:pPr>
                                <w:tabs>
                                  <w:tab w:pos="479" w:val="left" w:leader="none"/>
                                  <w:tab w:pos="3249" w:val="left" w:leader="none"/>
                                </w:tabs>
                                <w:spacing w:line="177" w:lineRule="exact" w:before="0"/>
                                <w:ind w:left="0" w:right="0" w:firstLine="0"/>
                                <w:jc w:val="left"/>
                                <w:rPr>
                                  <w:b/>
                                  <w:sz w:val="16"/>
                                </w:rPr>
                              </w:pPr>
                              <w:r>
                                <w:rPr>
                                  <w:rFonts w:ascii="Times New Roman" w:eastAsia="Times New Roman"/>
                                  <w:b/>
                                  <w:color w:val="FFFFFF"/>
                                  <w:sz w:val="16"/>
                                  <w:shd w:fill="929F00" w:color="auto" w:val="clear"/>
                                </w:rPr>
                                <w:tab/>
                              </w:r>
                              <w:r>
                                <w:rPr>
                                  <w:rFonts w:ascii="Times New Roman" w:eastAsia="Times New Roman"/>
                                  <w:b/>
                                  <w:color w:val="FFFFFF"/>
                                  <w:spacing w:val="-2"/>
                                  <w:sz w:val="16"/>
                                  <w:shd w:fill="929F00" w:color="auto" w:val="clear"/>
                                </w:rPr>
                                <w:t>OBERON </w:t>
                              </w:r>
                              <w:r>
                                <w:rPr>
                                  <w:b/>
                                  <w:color w:val="FFFFFF"/>
                                  <w:spacing w:val="-2"/>
                                  <w:sz w:val="16"/>
                                  <w:shd w:fill="929F00" w:color="auto" w:val="clear"/>
                                </w:rPr>
                                <w:t>和</w:t>
                              </w:r>
                              <w:r>
                                <w:rPr>
                                  <w:b/>
                                  <w:color w:val="FFFFFF"/>
                                  <w:spacing w:val="-36"/>
                                  <w:sz w:val="16"/>
                                  <w:shd w:fill="929F00" w:color="auto" w:val="clear"/>
                                </w:rPr>
                                <w:t> </w:t>
                              </w:r>
                              <w:r>
                                <w:rPr>
                                  <w:rFonts w:ascii="Times New Roman" w:eastAsia="Times New Roman"/>
                                  <w:b/>
                                  <w:color w:val="FFFFFF"/>
                                  <w:spacing w:val="-2"/>
                                  <w:sz w:val="16"/>
                                  <w:shd w:fill="929F00" w:color="auto" w:val="clear"/>
                                </w:rPr>
                                <w:t>TITANIA</w:t>
                              </w:r>
                              <w:r>
                                <w:rPr>
                                  <w:rFonts w:ascii="Times New Roman" w:eastAsia="Times New Roman"/>
                                  <w:b/>
                                  <w:color w:val="FFFFFF"/>
                                  <w:spacing w:val="-4"/>
                                  <w:sz w:val="16"/>
                                  <w:shd w:fill="929F00" w:color="auto" w:val="clear"/>
                                </w:rPr>
                                <w:t> </w:t>
                              </w:r>
                              <w:r>
                                <w:rPr>
                                  <w:b/>
                                  <w:color w:val="FFFFFF"/>
                                  <w:spacing w:val="-2"/>
                                  <w:sz w:val="16"/>
                                  <w:shd w:fill="929F00" w:color="auto" w:val="clear"/>
                                </w:rPr>
                                <w:t>前身研</w:t>
                              </w:r>
                              <w:r>
                                <w:rPr>
                                  <w:b/>
                                  <w:color w:val="FFFFFF"/>
                                  <w:spacing w:val="-10"/>
                                  <w:sz w:val="16"/>
                                  <w:shd w:fill="929F00" w:color="auto" w:val="clear"/>
                                </w:rPr>
                                <w:t>究</w:t>
                              </w:r>
                              <w:r>
                                <w:rPr>
                                  <w:b/>
                                  <w:color w:val="FFFFFF"/>
                                  <w:sz w:val="16"/>
                                  <w:shd w:fill="929F00" w:color="auto" w:val="clear"/>
                                </w:rPr>
                                <w:tab/>
                              </w:r>
                            </w:p>
                          </w:txbxContent>
                        </wps:txbx>
                        <wps:bodyPr wrap="square" lIns="0" tIns="0" rIns="0" bIns="0" rtlCol="0">
                          <a:noAutofit/>
                        </wps:bodyPr>
                      </wps:wsp>
                      <wps:wsp>
                        <wps:cNvPr id="16" name="Textbox 16"/>
                        <wps:cNvSpPr txBox="1"/>
                        <wps:spPr>
                          <a:xfrm>
                            <a:off x="3730878" y="633081"/>
                            <a:ext cx="1152525" cy="112395"/>
                          </a:xfrm>
                          <a:prstGeom prst="rect">
                            <a:avLst/>
                          </a:prstGeom>
                        </wps:spPr>
                        <wps:txbx>
                          <w:txbxContent>
                            <w:p>
                              <w:pPr>
                                <w:tabs>
                                  <w:tab w:pos="1794" w:val="left" w:leader="none"/>
                                </w:tabs>
                                <w:spacing w:line="177" w:lineRule="exact" w:before="0"/>
                                <w:ind w:left="0" w:right="0" w:firstLine="0"/>
                                <w:jc w:val="left"/>
                                <w:rPr>
                                  <w:b/>
                                  <w:sz w:val="16"/>
                                </w:rPr>
                              </w:pPr>
                              <w:r>
                                <w:rPr>
                                  <w:rFonts w:ascii="Times New Roman" w:eastAsia="Times New Roman"/>
                                  <w:b/>
                                  <w:color w:val="FFFFFF"/>
                                  <w:spacing w:val="-2"/>
                                  <w:sz w:val="16"/>
                                  <w:shd w:fill="929F00" w:color="auto" w:val="clear"/>
                                </w:rPr>
                                <w:t>PROSPERO</w:t>
                              </w:r>
                              <w:r>
                                <w:rPr>
                                  <w:rFonts w:ascii="Times New Roman" w:eastAsia="Times New Roman"/>
                                  <w:b/>
                                  <w:color w:val="FFFFFF"/>
                                  <w:spacing w:val="3"/>
                                  <w:sz w:val="16"/>
                                  <w:shd w:fill="929F00" w:color="auto" w:val="clear"/>
                                </w:rPr>
                                <w:t> </w:t>
                              </w:r>
                              <w:r>
                                <w:rPr>
                                  <w:rFonts w:ascii="Times New Roman" w:eastAsia="Times New Roman"/>
                                  <w:b/>
                                  <w:color w:val="FFFFFF"/>
                                  <w:spacing w:val="-2"/>
                                  <w:sz w:val="16"/>
                                  <w:shd w:fill="929F00" w:color="auto" w:val="clear"/>
                                </w:rPr>
                                <w:t>LTE</w:t>
                              </w:r>
                              <w:r>
                                <w:rPr>
                                  <w:rFonts w:ascii="Times New Roman" w:eastAsia="Times New Roman"/>
                                  <w:b/>
                                  <w:color w:val="FFFFFF"/>
                                  <w:spacing w:val="-3"/>
                                  <w:sz w:val="16"/>
                                  <w:shd w:fill="929F00" w:color="auto" w:val="clear"/>
                                </w:rPr>
                                <w:t> </w:t>
                              </w:r>
                              <w:r>
                                <w:rPr>
                                  <w:b/>
                                  <w:color w:val="FFFFFF"/>
                                  <w:spacing w:val="-2"/>
                                  <w:sz w:val="16"/>
                                  <w:shd w:fill="929F00" w:color="auto" w:val="clear"/>
                                </w:rPr>
                                <w:t>研</w:t>
                              </w:r>
                              <w:r>
                                <w:rPr>
                                  <w:b/>
                                  <w:color w:val="FFFFFF"/>
                                  <w:spacing w:val="-10"/>
                                  <w:sz w:val="16"/>
                                  <w:shd w:fill="929F00" w:color="auto" w:val="clear"/>
                                </w:rPr>
                                <w:t>究</w:t>
                              </w:r>
                              <w:r>
                                <w:rPr>
                                  <w:b/>
                                  <w:color w:val="FFFFFF"/>
                                  <w:sz w:val="16"/>
                                  <w:shd w:fill="929F00" w:color="auto" w:val="clear"/>
                                </w:rPr>
                                <w:tab/>
                              </w:r>
                            </w:p>
                          </w:txbxContent>
                        </wps:txbx>
                        <wps:bodyPr wrap="square" lIns="0" tIns="0" rIns="0" bIns="0" rtlCol="0">
                          <a:noAutofit/>
                        </wps:bodyPr>
                      </wps:wsp>
                      <wps:wsp>
                        <wps:cNvPr id="17" name="Textbox 17"/>
                        <wps:cNvSpPr txBox="1"/>
                        <wps:spPr>
                          <a:xfrm>
                            <a:off x="123748" y="1273923"/>
                            <a:ext cx="2076450" cy="112395"/>
                          </a:xfrm>
                          <a:prstGeom prst="rect">
                            <a:avLst/>
                          </a:prstGeom>
                        </wps:spPr>
                        <wps:txbx>
                          <w:txbxContent>
                            <w:p>
                              <w:pPr>
                                <w:tabs>
                                  <w:tab w:pos="1058" w:val="left" w:leader="none"/>
                                  <w:tab w:pos="3249" w:val="left" w:leader="none"/>
                                </w:tabs>
                                <w:spacing w:line="177" w:lineRule="exact" w:before="0"/>
                                <w:ind w:left="0" w:right="0" w:firstLine="0"/>
                                <w:jc w:val="left"/>
                                <w:rPr>
                                  <w:rFonts w:ascii="Times New Roman" w:eastAsia="Times New Roman"/>
                                  <w:b/>
                                  <w:sz w:val="16"/>
                                </w:rPr>
                              </w:pPr>
                              <w:r>
                                <w:rPr>
                                  <w:rFonts w:ascii="Times New Roman" w:eastAsia="Times New Roman"/>
                                  <w:b/>
                                  <w:color w:val="929F00"/>
                                  <w:sz w:val="16"/>
                                  <w:shd w:fill="F9FFC4" w:color="auto" w:val="clear"/>
                                </w:rPr>
                                <w:tab/>
                              </w:r>
                              <w:r>
                                <w:rPr>
                                  <w:b/>
                                  <w:color w:val="929F00"/>
                                  <w:sz w:val="16"/>
                                  <w:shd w:fill="F9FFC4" w:color="auto" w:val="clear"/>
                                </w:rPr>
                                <w:t>安慰剂</w:t>
                              </w:r>
                              <w:r>
                                <w:rPr>
                                  <w:b/>
                                  <w:color w:val="929F00"/>
                                  <w:spacing w:val="-40"/>
                                  <w:sz w:val="16"/>
                                  <w:shd w:fill="F9FFC4" w:color="auto" w:val="clear"/>
                                </w:rPr>
                                <w:t> </w:t>
                              </w:r>
                              <w:r>
                                <w:rPr>
                                  <w:rFonts w:ascii="Times New Roman" w:eastAsia="Times New Roman"/>
                                  <w:b/>
                                  <w:color w:val="929F00"/>
                                  <w:sz w:val="16"/>
                                  <w:shd w:fill="F9FFC4" w:color="auto" w:val="clear"/>
                                </w:rPr>
                                <w:t>Q4W</w:t>
                              </w:r>
                              <w:r>
                                <w:rPr>
                                  <w:rFonts w:ascii="Times New Roman" w:eastAsia="Times New Roman"/>
                                  <w:b/>
                                  <w:color w:val="929F00"/>
                                  <w:spacing w:val="-9"/>
                                  <w:sz w:val="16"/>
                                  <w:shd w:fill="F9FFC4" w:color="auto" w:val="clear"/>
                                </w:rPr>
                                <w:t> </w:t>
                              </w:r>
                              <w:r>
                                <w:rPr>
                                  <w:rFonts w:ascii="Times New Roman" w:eastAsia="Times New Roman"/>
                                  <w:b/>
                                  <w:color w:val="929F00"/>
                                  <w:spacing w:val="-5"/>
                                  <w:sz w:val="16"/>
                                  <w:shd w:fill="F9FFC4" w:color="auto" w:val="clear"/>
                                </w:rPr>
                                <w:t>SC</w:t>
                              </w:r>
                              <w:r>
                                <w:rPr>
                                  <w:rFonts w:ascii="Times New Roman" w:eastAsia="Times New Roman"/>
                                  <w:b/>
                                  <w:color w:val="929F00"/>
                                  <w:sz w:val="16"/>
                                  <w:shd w:fill="F9FFC4" w:color="auto" w:val="clear"/>
                                </w:rPr>
                                <w:tab/>
                              </w:r>
                            </w:p>
                          </w:txbxContent>
                        </wps:txbx>
                        <wps:bodyPr wrap="square" lIns="0" tIns="0" rIns="0" bIns="0" rtlCol="0">
                          <a:noAutofit/>
                        </wps:bodyPr>
                      </wps:wsp>
                      <wps:wsp>
                        <wps:cNvPr id="18" name="Textbox 18"/>
                        <wps:cNvSpPr txBox="1"/>
                        <wps:spPr>
                          <a:xfrm>
                            <a:off x="3130169" y="1277733"/>
                            <a:ext cx="2383155" cy="368300"/>
                          </a:xfrm>
                          <a:prstGeom prst="rect">
                            <a:avLst/>
                          </a:prstGeom>
                        </wps:spPr>
                        <wps:txbx>
                          <w:txbxContent>
                            <w:p>
                              <w:pPr>
                                <w:tabs>
                                  <w:tab w:pos="1059" w:val="left" w:leader="none"/>
                                  <w:tab w:pos="3249" w:val="left" w:leader="none"/>
                                </w:tabs>
                                <w:spacing w:line="187" w:lineRule="exact" w:before="0"/>
                                <w:ind w:left="0" w:right="0" w:firstLine="0"/>
                                <w:jc w:val="left"/>
                                <w:rPr>
                                  <w:rFonts w:ascii="Times New Roman" w:eastAsia="Times New Roman"/>
                                  <w:b/>
                                  <w:sz w:val="16"/>
                                </w:rPr>
                              </w:pPr>
                              <w:r>
                                <w:rPr>
                                  <w:rFonts w:ascii="Times New Roman" w:eastAsia="Times New Roman"/>
                                  <w:b/>
                                  <w:color w:val="929F00"/>
                                  <w:sz w:val="16"/>
                                  <w:shd w:fill="F9FFC4" w:color="auto" w:val="clear"/>
                                </w:rPr>
                                <w:tab/>
                              </w:r>
                              <w:r>
                                <w:rPr>
                                  <w:b/>
                                  <w:color w:val="929F00"/>
                                  <w:sz w:val="16"/>
                                  <w:shd w:fill="F9FFC4" w:color="auto" w:val="clear"/>
                                </w:rPr>
                                <w:t>安慰剂</w:t>
                              </w:r>
                              <w:r>
                                <w:rPr>
                                  <w:b/>
                                  <w:color w:val="929F00"/>
                                  <w:spacing w:val="-40"/>
                                  <w:sz w:val="16"/>
                                  <w:shd w:fill="F9FFC4" w:color="auto" w:val="clear"/>
                                </w:rPr>
                                <w:t> </w:t>
                              </w:r>
                              <w:r>
                                <w:rPr>
                                  <w:rFonts w:ascii="Times New Roman" w:eastAsia="Times New Roman"/>
                                  <w:b/>
                                  <w:color w:val="929F00"/>
                                  <w:sz w:val="16"/>
                                  <w:shd w:fill="F9FFC4" w:color="auto" w:val="clear"/>
                                </w:rPr>
                                <w:t>Q4W</w:t>
                              </w:r>
                              <w:r>
                                <w:rPr>
                                  <w:rFonts w:ascii="Times New Roman" w:eastAsia="Times New Roman"/>
                                  <w:b/>
                                  <w:color w:val="929F00"/>
                                  <w:spacing w:val="-9"/>
                                  <w:sz w:val="16"/>
                                  <w:shd w:fill="F9FFC4" w:color="auto" w:val="clear"/>
                                </w:rPr>
                                <w:t> </w:t>
                              </w:r>
                              <w:r>
                                <w:rPr>
                                  <w:rFonts w:ascii="Times New Roman" w:eastAsia="Times New Roman"/>
                                  <w:b/>
                                  <w:color w:val="929F00"/>
                                  <w:spacing w:val="-5"/>
                                  <w:sz w:val="16"/>
                                  <w:shd w:fill="F9FFC4" w:color="auto" w:val="clear"/>
                                </w:rPr>
                                <w:t>SC</w:t>
                              </w:r>
                              <w:r>
                                <w:rPr>
                                  <w:rFonts w:ascii="Times New Roman" w:eastAsia="Times New Roman"/>
                                  <w:b/>
                                  <w:color w:val="929F00"/>
                                  <w:sz w:val="16"/>
                                  <w:shd w:fill="F9FFC4" w:color="auto" w:val="clear"/>
                                </w:rPr>
                                <w:tab/>
                              </w:r>
                            </w:p>
                            <w:p>
                              <w:pPr>
                                <w:spacing w:before="54"/>
                                <w:ind w:left="2820" w:right="18" w:firstLine="52"/>
                                <w:jc w:val="left"/>
                                <w:rPr>
                                  <w:b/>
                                  <w:sz w:val="13"/>
                                </w:rPr>
                              </w:pPr>
                              <w:r>
                                <w:rPr>
                                  <w:b/>
                                  <w:color w:val="006FC0"/>
                                  <w:spacing w:val="-12"/>
                                  <w:sz w:val="13"/>
                                </w:rPr>
                                <w:t>从 </w:t>
                              </w:r>
                              <w:r>
                                <w:rPr>
                                  <w:rFonts w:ascii="Times New Roman" w:eastAsia="Times New Roman"/>
                                  <w:b/>
                                  <w:color w:val="006FC0"/>
                                  <w:sz w:val="13"/>
                                </w:rPr>
                                <w:t>O/T </w:t>
                              </w:r>
                              <w:r>
                                <w:rPr>
                                  <w:b/>
                                  <w:color w:val="006FC0"/>
                                  <w:sz w:val="13"/>
                                </w:rPr>
                                <w:t>开始的</w:t>
                              </w:r>
                              <w:r>
                                <w:rPr>
                                  <w:b/>
                                  <w:color w:val="006FC0"/>
                                  <w:spacing w:val="-4"/>
                                  <w:sz w:val="13"/>
                                </w:rPr>
                                <w:t>主要有效性比较</w:t>
                              </w:r>
                            </w:p>
                          </w:txbxContent>
                        </wps:txbx>
                        <wps:bodyPr wrap="square" lIns="0" tIns="0" rIns="0" bIns="0" rtlCol="0">
                          <a:noAutofit/>
                        </wps:bodyPr>
                      </wps:wsp>
                      <wps:wsp>
                        <wps:cNvPr id="19" name="Textbox 19"/>
                        <wps:cNvSpPr txBox="1"/>
                        <wps:spPr>
                          <a:xfrm>
                            <a:off x="3607689" y="339394"/>
                            <a:ext cx="1231265" cy="177165"/>
                          </a:xfrm>
                          <a:prstGeom prst="rect">
                            <a:avLst/>
                          </a:prstGeom>
                          <a:solidFill>
                            <a:srgbClr val="FFFFFF"/>
                          </a:solidFill>
                        </wps:spPr>
                        <wps:txbx>
                          <w:txbxContent>
                            <w:p>
                              <w:pPr>
                                <w:spacing w:before="3"/>
                                <w:ind w:left="471" w:right="0" w:firstLine="0"/>
                                <w:jc w:val="left"/>
                                <w:rPr>
                                  <w:b/>
                                  <w:color w:val="000000"/>
                                  <w:sz w:val="16"/>
                                </w:rPr>
                              </w:pPr>
                              <w:r>
                                <w:rPr>
                                  <w:b/>
                                  <w:color w:val="830051"/>
                                  <w:spacing w:val="-2"/>
                                  <w:sz w:val="16"/>
                                </w:rPr>
                                <w:t>治疗期：</w:t>
                              </w:r>
                              <w:r>
                                <w:rPr>
                                  <w:rFonts w:ascii="Times New Roman" w:eastAsia="Times New Roman"/>
                                  <w:b/>
                                  <w:color w:val="830051"/>
                                  <w:spacing w:val="-2"/>
                                  <w:sz w:val="16"/>
                                </w:rPr>
                                <w:t>52</w:t>
                              </w:r>
                              <w:r>
                                <w:rPr>
                                  <w:rFonts w:ascii="Times New Roman" w:eastAsia="Times New Roman"/>
                                  <w:b/>
                                  <w:color w:val="830051"/>
                                  <w:spacing w:val="1"/>
                                  <w:sz w:val="16"/>
                                </w:rPr>
                                <w:t> </w:t>
                              </w:r>
                              <w:r>
                                <w:rPr>
                                  <w:b/>
                                  <w:color w:val="830051"/>
                                  <w:spacing w:val="-10"/>
                                  <w:sz w:val="16"/>
                                </w:rPr>
                                <w:t>周</w:t>
                              </w:r>
                            </w:p>
                          </w:txbxContent>
                        </wps:txbx>
                        <wps:bodyPr wrap="square" lIns="0" tIns="0" rIns="0" bIns="0" rtlCol="0">
                          <a:noAutofit/>
                        </wps:bodyPr>
                      </wps:wsp>
                      <wps:wsp>
                        <wps:cNvPr id="20" name="Textbox 20"/>
                        <wps:cNvSpPr txBox="1"/>
                        <wps:spPr>
                          <a:xfrm>
                            <a:off x="2441829" y="196100"/>
                            <a:ext cx="1165860" cy="320675"/>
                          </a:xfrm>
                          <a:prstGeom prst="rect">
                            <a:avLst/>
                          </a:prstGeom>
                          <a:solidFill>
                            <a:srgbClr val="FFFFFF"/>
                          </a:solidFill>
                        </wps:spPr>
                        <wps:txbx>
                          <w:txbxContent>
                            <w:p>
                              <w:pPr>
                                <w:spacing w:before="2"/>
                                <w:ind w:left="0" w:right="0" w:firstLine="0"/>
                                <w:jc w:val="center"/>
                                <w:rPr>
                                  <w:b/>
                                  <w:color w:val="000000"/>
                                  <w:sz w:val="16"/>
                                </w:rPr>
                              </w:pPr>
                              <w:r>
                                <w:rPr>
                                  <w:b/>
                                  <w:color w:val="830051"/>
                                  <w:spacing w:val="-7"/>
                                  <w:sz w:val="16"/>
                                </w:rPr>
                                <w:t>入选</w:t>
                              </w:r>
                            </w:p>
                            <w:p>
                              <w:pPr>
                                <w:spacing w:before="17"/>
                                <w:ind w:left="0" w:right="0" w:firstLine="0"/>
                                <w:jc w:val="center"/>
                                <w:rPr>
                                  <w:b/>
                                  <w:color w:val="000000"/>
                                  <w:sz w:val="16"/>
                                </w:rPr>
                              </w:pPr>
                              <w:r>
                                <w:rPr>
                                  <w:b/>
                                  <w:color w:val="830051"/>
                                  <w:spacing w:val="-20"/>
                                  <w:sz w:val="16"/>
                                </w:rPr>
                                <w:t>与 </w:t>
                              </w:r>
                              <w:r>
                                <w:rPr>
                                  <w:rFonts w:ascii="Times New Roman" w:eastAsia="Times New Roman"/>
                                  <w:b/>
                                  <w:color w:val="830051"/>
                                  <w:sz w:val="16"/>
                                </w:rPr>
                                <w:t>O/T</w:t>
                              </w:r>
                              <w:r>
                                <w:rPr>
                                  <w:rFonts w:ascii="Times New Roman" w:eastAsia="Times New Roman"/>
                                  <w:b/>
                                  <w:color w:val="830051"/>
                                  <w:spacing w:val="-6"/>
                                  <w:sz w:val="16"/>
                                </w:rPr>
                                <w:t> </w:t>
                              </w:r>
                              <w:r>
                                <w:rPr>
                                  <w:rFonts w:ascii="Times New Roman" w:eastAsia="Times New Roman"/>
                                  <w:b/>
                                  <w:color w:val="830051"/>
                                  <w:sz w:val="16"/>
                                </w:rPr>
                                <w:t>V15</w:t>
                              </w:r>
                              <w:r>
                                <w:rPr>
                                  <w:rFonts w:ascii="Times New Roman" w:eastAsia="Times New Roman"/>
                                  <w:b/>
                                  <w:color w:val="830051"/>
                                  <w:spacing w:val="-9"/>
                                  <w:sz w:val="16"/>
                                </w:rPr>
                                <w:t> </w:t>
                              </w:r>
                              <w:r>
                                <w:rPr>
                                  <w:b/>
                                  <w:color w:val="830051"/>
                                  <w:spacing w:val="-4"/>
                                  <w:sz w:val="16"/>
                                </w:rPr>
                                <w:t>同一天</w:t>
                              </w:r>
                            </w:p>
                          </w:txbxContent>
                        </wps:txbx>
                        <wps:bodyPr wrap="square" lIns="0" tIns="0" rIns="0" bIns="0" rtlCol="0">
                          <a:noAutofit/>
                        </wps:bodyPr>
                      </wps:wsp>
                    </wpg:wgp>
                  </a:graphicData>
                </a:graphic>
              </wp:anchor>
            </w:drawing>
          </mc:Choice>
          <mc:Fallback>
            <w:pict>
              <v:group style="position:absolute;margin-left:86.550003pt;margin-top:6.05336pt;width:446.2pt;height:132.7pt;mso-position-horizontal-relative:page;mso-position-vertical-relative:paragraph;z-index:-15726592;mso-wrap-distance-left:0;mso-wrap-distance-right:0" id="docshapegroup10" coordorigin="1731,121" coordsize="8924,2654">
                <v:shape style="position:absolute;left:1745;top:303;width:8806;height:2351" type="#_x0000_t75" id="docshape11" alt="A picture containing text, screenshot, font, line  Description automatically generated" stroked="false">
                  <v:imagedata r:id="rId7" o:title=""/>
                </v:shape>
                <v:shape style="position:absolute;left:1731;top:121;width:8924;height:2654" id="docshape12" coordorigin="1731,121" coordsize="8924,2654" path="m4334,121l1731,121,1731,751,4334,751,4334,121xm10641,2390l9231,2390,9231,2775,10641,2775,10641,2390xm10655,422l9756,422,9756,934,10655,934,10655,422xe" filled="true" fillcolor="#ffffff" stroked="false">
                  <v:path arrowok="t"/>
                  <v:fill type="solid"/>
                </v:shape>
                <v:shape style="position:absolute;left:1736;top:149;width:1329;height:528" type="#_x0000_t202" id="docshape13" filled="false" stroked="false">
                  <v:textbox inset="0,0,0,0">
                    <w:txbxContent>
                      <w:p>
                        <w:pPr>
                          <w:spacing w:line="247" w:lineRule="exact" w:before="0"/>
                          <w:ind w:left="0" w:right="0" w:firstLine="0"/>
                          <w:jc w:val="left"/>
                          <w:rPr>
                            <w:rFonts w:ascii="Times New Roman" w:eastAsia="Times New Roman"/>
                            <w:b/>
                            <w:sz w:val="21"/>
                          </w:rPr>
                        </w:pPr>
                        <w:r>
                          <w:rPr>
                            <w:rFonts w:ascii="Times New Roman" w:eastAsia="Times New Roman"/>
                            <w:b/>
                            <w:color w:val="929F00"/>
                            <w:spacing w:val="-2"/>
                            <w:sz w:val="21"/>
                          </w:rPr>
                          <w:t>CSP</w:t>
                        </w:r>
                        <w:r>
                          <w:rPr>
                            <w:rFonts w:ascii="Times New Roman" w:eastAsia="Times New Roman"/>
                            <w:b/>
                            <w:color w:val="929F00"/>
                            <w:spacing w:val="-7"/>
                            <w:sz w:val="21"/>
                          </w:rPr>
                          <w:t> </w:t>
                        </w:r>
                        <w:r>
                          <w:rPr>
                            <w:b/>
                            <w:color w:val="929F00"/>
                            <w:spacing w:val="-19"/>
                            <w:sz w:val="21"/>
                          </w:rPr>
                          <w:t>版本 </w:t>
                        </w:r>
                        <w:r>
                          <w:rPr>
                            <w:rFonts w:ascii="Times New Roman" w:eastAsia="Times New Roman"/>
                            <w:b/>
                            <w:color w:val="929F00"/>
                            <w:spacing w:val="-5"/>
                            <w:sz w:val="21"/>
                          </w:rPr>
                          <w:t>1.0</w:t>
                        </w:r>
                      </w:p>
                      <w:p>
                        <w:pPr>
                          <w:spacing w:line="259" w:lineRule="exact" w:before="21"/>
                          <w:ind w:left="0" w:right="0" w:firstLine="0"/>
                          <w:jc w:val="left"/>
                          <w:rPr>
                            <w:b/>
                            <w:sz w:val="21"/>
                          </w:rPr>
                        </w:pPr>
                        <w:r>
                          <w:rPr>
                            <w:b/>
                            <w:color w:val="929F00"/>
                            <w:spacing w:val="-2"/>
                            <w:sz w:val="21"/>
                          </w:rPr>
                          <w:t>治疗期：</w:t>
                        </w:r>
                        <w:r>
                          <w:rPr>
                            <w:rFonts w:ascii="Times New Roman" w:eastAsia="Times New Roman"/>
                            <w:b/>
                            <w:color w:val="929F00"/>
                            <w:spacing w:val="-2"/>
                            <w:sz w:val="21"/>
                          </w:rPr>
                          <w:t>52</w:t>
                        </w:r>
                        <w:r>
                          <w:rPr>
                            <w:rFonts w:ascii="Times New Roman" w:eastAsia="Times New Roman"/>
                            <w:b/>
                            <w:color w:val="929F00"/>
                            <w:spacing w:val="-3"/>
                            <w:sz w:val="21"/>
                          </w:rPr>
                          <w:t> </w:t>
                        </w:r>
                        <w:r>
                          <w:rPr>
                            <w:b/>
                            <w:color w:val="929F00"/>
                            <w:spacing w:val="-12"/>
                            <w:sz w:val="21"/>
                          </w:rPr>
                          <w:t>周</w:t>
                        </w:r>
                      </w:p>
                    </w:txbxContent>
                  </v:textbox>
                  <w10:wrap type="none"/>
                </v:shape>
                <v:shape style="position:absolute;left:9885;top:505;width:664;height:395" type="#_x0000_t202" id="docshape14" filled="false" stroked="false">
                  <v:textbox inset="0,0,0,0">
                    <w:txbxContent>
                      <w:p>
                        <w:pPr>
                          <w:spacing w:line="182" w:lineRule="exact" w:before="0"/>
                          <w:ind w:left="0" w:right="18" w:firstLine="0"/>
                          <w:jc w:val="center"/>
                          <w:rPr>
                            <w:b/>
                            <w:sz w:val="16"/>
                          </w:rPr>
                        </w:pPr>
                        <w:r>
                          <w:rPr>
                            <w:b/>
                            <w:color w:val="830051"/>
                            <w:spacing w:val="-4"/>
                            <w:sz w:val="16"/>
                          </w:rPr>
                          <w:t>随访期：</w:t>
                        </w:r>
                      </w:p>
                      <w:p>
                        <w:pPr>
                          <w:spacing w:line="198" w:lineRule="exact" w:before="15"/>
                          <w:ind w:left="0" w:right="20" w:firstLine="0"/>
                          <w:jc w:val="center"/>
                          <w:rPr>
                            <w:b/>
                            <w:sz w:val="16"/>
                          </w:rPr>
                        </w:pPr>
                        <w:r>
                          <w:rPr>
                            <w:rFonts w:ascii="Times New Roman" w:eastAsia="Times New Roman"/>
                            <w:b/>
                            <w:color w:val="830051"/>
                            <w:sz w:val="16"/>
                          </w:rPr>
                          <w:t>8</w:t>
                        </w:r>
                        <w:r>
                          <w:rPr>
                            <w:rFonts w:ascii="Times New Roman" w:eastAsia="Times New Roman"/>
                            <w:b/>
                            <w:color w:val="830051"/>
                            <w:spacing w:val="-7"/>
                            <w:sz w:val="16"/>
                          </w:rPr>
                          <w:t> </w:t>
                        </w:r>
                        <w:r>
                          <w:rPr>
                            <w:b/>
                            <w:color w:val="830051"/>
                            <w:spacing w:val="-10"/>
                            <w:sz w:val="16"/>
                          </w:rPr>
                          <w:t>周</w:t>
                        </w:r>
                      </w:p>
                    </w:txbxContent>
                  </v:textbox>
                  <w10:wrap type="none"/>
                </v:shape>
                <v:shape style="position:absolute;left:2327;top:1113;width:3270;height:177" type="#_x0000_t202" id="docshape15" filled="false" stroked="false">
                  <v:textbox inset="0,0,0,0">
                    <w:txbxContent>
                      <w:p>
                        <w:pPr>
                          <w:tabs>
                            <w:tab w:pos="479" w:val="left" w:leader="none"/>
                            <w:tab w:pos="3249" w:val="left" w:leader="none"/>
                          </w:tabs>
                          <w:spacing w:line="177" w:lineRule="exact" w:before="0"/>
                          <w:ind w:left="0" w:right="0" w:firstLine="0"/>
                          <w:jc w:val="left"/>
                          <w:rPr>
                            <w:b/>
                            <w:sz w:val="16"/>
                          </w:rPr>
                        </w:pPr>
                        <w:r>
                          <w:rPr>
                            <w:rFonts w:ascii="Times New Roman" w:eastAsia="Times New Roman"/>
                            <w:b/>
                            <w:color w:val="FFFFFF"/>
                            <w:sz w:val="16"/>
                            <w:shd w:fill="929F00" w:color="auto" w:val="clear"/>
                          </w:rPr>
                          <w:tab/>
                        </w:r>
                        <w:r>
                          <w:rPr>
                            <w:rFonts w:ascii="Times New Roman" w:eastAsia="Times New Roman"/>
                            <w:b/>
                            <w:color w:val="FFFFFF"/>
                            <w:spacing w:val="-2"/>
                            <w:sz w:val="16"/>
                            <w:shd w:fill="929F00" w:color="auto" w:val="clear"/>
                          </w:rPr>
                          <w:t>OBERON </w:t>
                        </w:r>
                        <w:r>
                          <w:rPr>
                            <w:b/>
                            <w:color w:val="FFFFFF"/>
                            <w:spacing w:val="-2"/>
                            <w:sz w:val="16"/>
                            <w:shd w:fill="929F00" w:color="auto" w:val="clear"/>
                          </w:rPr>
                          <w:t>和</w:t>
                        </w:r>
                        <w:r>
                          <w:rPr>
                            <w:b/>
                            <w:color w:val="FFFFFF"/>
                            <w:spacing w:val="-36"/>
                            <w:sz w:val="16"/>
                            <w:shd w:fill="929F00" w:color="auto" w:val="clear"/>
                          </w:rPr>
                          <w:t> </w:t>
                        </w:r>
                        <w:r>
                          <w:rPr>
                            <w:rFonts w:ascii="Times New Roman" w:eastAsia="Times New Roman"/>
                            <w:b/>
                            <w:color w:val="FFFFFF"/>
                            <w:spacing w:val="-2"/>
                            <w:sz w:val="16"/>
                            <w:shd w:fill="929F00" w:color="auto" w:val="clear"/>
                          </w:rPr>
                          <w:t>TITANIA</w:t>
                        </w:r>
                        <w:r>
                          <w:rPr>
                            <w:rFonts w:ascii="Times New Roman" w:eastAsia="Times New Roman"/>
                            <w:b/>
                            <w:color w:val="FFFFFF"/>
                            <w:spacing w:val="-4"/>
                            <w:sz w:val="16"/>
                            <w:shd w:fill="929F00" w:color="auto" w:val="clear"/>
                          </w:rPr>
                          <w:t> </w:t>
                        </w:r>
                        <w:r>
                          <w:rPr>
                            <w:b/>
                            <w:color w:val="FFFFFF"/>
                            <w:spacing w:val="-2"/>
                            <w:sz w:val="16"/>
                            <w:shd w:fill="929F00" w:color="auto" w:val="clear"/>
                          </w:rPr>
                          <w:t>前身研</w:t>
                        </w:r>
                        <w:r>
                          <w:rPr>
                            <w:b/>
                            <w:color w:val="FFFFFF"/>
                            <w:spacing w:val="-10"/>
                            <w:sz w:val="16"/>
                            <w:shd w:fill="929F00" w:color="auto" w:val="clear"/>
                          </w:rPr>
                          <w:t>究</w:t>
                        </w:r>
                        <w:r>
                          <w:rPr>
                            <w:b/>
                            <w:color w:val="FFFFFF"/>
                            <w:sz w:val="16"/>
                            <w:shd w:fill="929F00" w:color="auto" w:val="clear"/>
                          </w:rPr>
                          <w:tab/>
                        </w:r>
                      </w:p>
                    </w:txbxContent>
                  </v:textbox>
                  <w10:wrap type="none"/>
                </v:shape>
                <v:shape style="position:absolute;left:7606;top:1118;width:1815;height:177" type="#_x0000_t202" id="docshape16" filled="false" stroked="false">
                  <v:textbox inset="0,0,0,0">
                    <w:txbxContent>
                      <w:p>
                        <w:pPr>
                          <w:tabs>
                            <w:tab w:pos="1794" w:val="left" w:leader="none"/>
                          </w:tabs>
                          <w:spacing w:line="177" w:lineRule="exact" w:before="0"/>
                          <w:ind w:left="0" w:right="0" w:firstLine="0"/>
                          <w:jc w:val="left"/>
                          <w:rPr>
                            <w:b/>
                            <w:sz w:val="16"/>
                          </w:rPr>
                        </w:pPr>
                        <w:r>
                          <w:rPr>
                            <w:rFonts w:ascii="Times New Roman" w:eastAsia="Times New Roman"/>
                            <w:b/>
                            <w:color w:val="FFFFFF"/>
                            <w:spacing w:val="-2"/>
                            <w:sz w:val="16"/>
                            <w:shd w:fill="929F00" w:color="auto" w:val="clear"/>
                          </w:rPr>
                          <w:t>PROSPERO</w:t>
                        </w:r>
                        <w:r>
                          <w:rPr>
                            <w:rFonts w:ascii="Times New Roman" w:eastAsia="Times New Roman"/>
                            <w:b/>
                            <w:color w:val="FFFFFF"/>
                            <w:spacing w:val="3"/>
                            <w:sz w:val="16"/>
                            <w:shd w:fill="929F00" w:color="auto" w:val="clear"/>
                          </w:rPr>
                          <w:t> </w:t>
                        </w:r>
                        <w:r>
                          <w:rPr>
                            <w:rFonts w:ascii="Times New Roman" w:eastAsia="Times New Roman"/>
                            <w:b/>
                            <w:color w:val="FFFFFF"/>
                            <w:spacing w:val="-2"/>
                            <w:sz w:val="16"/>
                            <w:shd w:fill="929F00" w:color="auto" w:val="clear"/>
                          </w:rPr>
                          <w:t>LTE</w:t>
                        </w:r>
                        <w:r>
                          <w:rPr>
                            <w:rFonts w:ascii="Times New Roman" w:eastAsia="Times New Roman"/>
                            <w:b/>
                            <w:color w:val="FFFFFF"/>
                            <w:spacing w:val="-3"/>
                            <w:sz w:val="16"/>
                            <w:shd w:fill="929F00" w:color="auto" w:val="clear"/>
                          </w:rPr>
                          <w:t> </w:t>
                        </w:r>
                        <w:r>
                          <w:rPr>
                            <w:b/>
                            <w:color w:val="FFFFFF"/>
                            <w:spacing w:val="-2"/>
                            <w:sz w:val="16"/>
                            <w:shd w:fill="929F00" w:color="auto" w:val="clear"/>
                          </w:rPr>
                          <w:t>研</w:t>
                        </w:r>
                        <w:r>
                          <w:rPr>
                            <w:b/>
                            <w:color w:val="FFFFFF"/>
                            <w:spacing w:val="-10"/>
                            <w:sz w:val="16"/>
                            <w:shd w:fill="929F00" w:color="auto" w:val="clear"/>
                          </w:rPr>
                          <w:t>究</w:t>
                        </w:r>
                        <w:r>
                          <w:rPr>
                            <w:b/>
                            <w:color w:val="FFFFFF"/>
                            <w:sz w:val="16"/>
                            <w:shd w:fill="929F00" w:color="auto" w:val="clear"/>
                          </w:rPr>
                          <w:tab/>
                        </w:r>
                      </w:p>
                    </w:txbxContent>
                  </v:textbox>
                  <w10:wrap type="none"/>
                </v:shape>
                <v:shape style="position:absolute;left:1925;top:2127;width:3270;height:177" type="#_x0000_t202" id="docshape17" filled="false" stroked="false">
                  <v:textbox inset="0,0,0,0">
                    <w:txbxContent>
                      <w:p>
                        <w:pPr>
                          <w:tabs>
                            <w:tab w:pos="1058" w:val="left" w:leader="none"/>
                            <w:tab w:pos="3249" w:val="left" w:leader="none"/>
                          </w:tabs>
                          <w:spacing w:line="177" w:lineRule="exact" w:before="0"/>
                          <w:ind w:left="0" w:right="0" w:firstLine="0"/>
                          <w:jc w:val="left"/>
                          <w:rPr>
                            <w:rFonts w:ascii="Times New Roman" w:eastAsia="Times New Roman"/>
                            <w:b/>
                            <w:sz w:val="16"/>
                          </w:rPr>
                        </w:pPr>
                        <w:r>
                          <w:rPr>
                            <w:rFonts w:ascii="Times New Roman" w:eastAsia="Times New Roman"/>
                            <w:b/>
                            <w:color w:val="929F00"/>
                            <w:sz w:val="16"/>
                            <w:shd w:fill="F9FFC4" w:color="auto" w:val="clear"/>
                          </w:rPr>
                          <w:tab/>
                        </w:r>
                        <w:r>
                          <w:rPr>
                            <w:b/>
                            <w:color w:val="929F00"/>
                            <w:sz w:val="16"/>
                            <w:shd w:fill="F9FFC4" w:color="auto" w:val="clear"/>
                          </w:rPr>
                          <w:t>安慰剂</w:t>
                        </w:r>
                        <w:r>
                          <w:rPr>
                            <w:b/>
                            <w:color w:val="929F00"/>
                            <w:spacing w:val="-40"/>
                            <w:sz w:val="16"/>
                            <w:shd w:fill="F9FFC4" w:color="auto" w:val="clear"/>
                          </w:rPr>
                          <w:t> </w:t>
                        </w:r>
                        <w:r>
                          <w:rPr>
                            <w:rFonts w:ascii="Times New Roman" w:eastAsia="Times New Roman"/>
                            <w:b/>
                            <w:color w:val="929F00"/>
                            <w:sz w:val="16"/>
                            <w:shd w:fill="F9FFC4" w:color="auto" w:val="clear"/>
                          </w:rPr>
                          <w:t>Q4W</w:t>
                        </w:r>
                        <w:r>
                          <w:rPr>
                            <w:rFonts w:ascii="Times New Roman" w:eastAsia="Times New Roman"/>
                            <w:b/>
                            <w:color w:val="929F00"/>
                            <w:spacing w:val="-9"/>
                            <w:sz w:val="16"/>
                            <w:shd w:fill="F9FFC4" w:color="auto" w:val="clear"/>
                          </w:rPr>
                          <w:t> </w:t>
                        </w:r>
                        <w:r>
                          <w:rPr>
                            <w:rFonts w:ascii="Times New Roman" w:eastAsia="Times New Roman"/>
                            <w:b/>
                            <w:color w:val="929F00"/>
                            <w:spacing w:val="-5"/>
                            <w:sz w:val="16"/>
                            <w:shd w:fill="F9FFC4" w:color="auto" w:val="clear"/>
                          </w:rPr>
                          <w:t>SC</w:t>
                        </w:r>
                        <w:r>
                          <w:rPr>
                            <w:rFonts w:ascii="Times New Roman" w:eastAsia="Times New Roman"/>
                            <w:b/>
                            <w:color w:val="929F00"/>
                            <w:sz w:val="16"/>
                            <w:shd w:fill="F9FFC4" w:color="auto" w:val="clear"/>
                          </w:rPr>
                          <w:tab/>
                        </w:r>
                      </w:p>
                    </w:txbxContent>
                  </v:textbox>
                  <w10:wrap type="none"/>
                </v:shape>
                <v:shape style="position:absolute;left:6660;top:2133;width:3753;height:580" type="#_x0000_t202" id="docshape18" filled="false" stroked="false">
                  <v:textbox inset="0,0,0,0">
                    <w:txbxContent>
                      <w:p>
                        <w:pPr>
                          <w:tabs>
                            <w:tab w:pos="1059" w:val="left" w:leader="none"/>
                            <w:tab w:pos="3249" w:val="left" w:leader="none"/>
                          </w:tabs>
                          <w:spacing w:line="187" w:lineRule="exact" w:before="0"/>
                          <w:ind w:left="0" w:right="0" w:firstLine="0"/>
                          <w:jc w:val="left"/>
                          <w:rPr>
                            <w:rFonts w:ascii="Times New Roman" w:eastAsia="Times New Roman"/>
                            <w:b/>
                            <w:sz w:val="16"/>
                          </w:rPr>
                        </w:pPr>
                        <w:r>
                          <w:rPr>
                            <w:rFonts w:ascii="Times New Roman" w:eastAsia="Times New Roman"/>
                            <w:b/>
                            <w:color w:val="929F00"/>
                            <w:sz w:val="16"/>
                            <w:shd w:fill="F9FFC4" w:color="auto" w:val="clear"/>
                          </w:rPr>
                          <w:tab/>
                        </w:r>
                        <w:r>
                          <w:rPr>
                            <w:b/>
                            <w:color w:val="929F00"/>
                            <w:sz w:val="16"/>
                            <w:shd w:fill="F9FFC4" w:color="auto" w:val="clear"/>
                          </w:rPr>
                          <w:t>安慰剂</w:t>
                        </w:r>
                        <w:r>
                          <w:rPr>
                            <w:b/>
                            <w:color w:val="929F00"/>
                            <w:spacing w:val="-40"/>
                            <w:sz w:val="16"/>
                            <w:shd w:fill="F9FFC4" w:color="auto" w:val="clear"/>
                          </w:rPr>
                          <w:t> </w:t>
                        </w:r>
                        <w:r>
                          <w:rPr>
                            <w:rFonts w:ascii="Times New Roman" w:eastAsia="Times New Roman"/>
                            <w:b/>
                            <w:color w:val="929F00"/>
                            <w:sz w:val="16"/>
                            <w:shd w:fill="F9FFC4" w:color="auto" w:val="clear"/>
                          </w:rPr>
                          <w:t>Q4W</w:t>
                        </w:r>
                        <w:r>
                          <w:rPr>
                            <w:rFonts w:ascii="Times New Roman" w:eastAsia="Times New Roman"/>
                            <w:b/>
                            <w:color w:val="929F00"/>
                            <w:spacing w:val="-9"/>
                            <w:sz w:val="16"/>
                            <w:shd w:fill="F9FFC4" w:color="auto" w:val="clear"/>
                          </w:rPr>
                          <w:t> </w:t>
                        </w:r>
                        <w:r>
                          <w:rPr>
                            <w:rFonts w:ascii="Times New Roman" w:eastAsia="Times New Roman"/>
                            <w:b/>
                            <w:color w:val="929F00"/>
                            <w:spacing w:val="-5"/>
                            <w:sz w:val="16"/>
                            <w:shd w:fill="F9FFC4" w:color="auto" w:val="clear"/>
                          </w:rPr>
                          <w:t>SC</w:t>
                        </w:r>
                        <w:r>
                          <w:rPr>
                            <w:rFonts w:ascii="Times New Roman" w:eastAsia="Times New Roman"/>
                            <w:b/>
                            <w:color w:val="929F00"/>
                            <w:sz w:val="16"/>
                            <w:shd w:fill="F9FFC4" w:color="auto" w:val="clear"/>
                          </w:rPr>
                          <w:tab/>
                        </w:r>
                      </w:p>
                      <w:p>
                        <w:pPr>
                          <w:spacing w:before="54"/>
                          <w:ind w:left="2820" w:right="18" w:firstLine="52"/>
                          <w:jc w:val="left"/>
                          <w:rPr>
                            <w:b/>
                            <w:sz w:val="13"/>
                          </w:rPr>
                        </w:pPr>
                        <w:r>
                          <w:rPr>
                            <w:b/>
                            <w:color w:val="006FC0"/>
                            <w:spacing w:val="-12"/>
                            <w:sz w:val="13"/>
                          </w:rPr>
                          <w:t>从 </w:t>
                        </w:r>
                        <w:r>
                          <w:rPr>
                            <w:rFonts w:ascii="Times New Roman" w:eastAsia="Times New Roman"/>
                            <w:b/>
                            <w:color w:val="006FC0"/>
                            <w:sz w:val="13"/>
                          </w:rPr>
                          <w:t>O/T </w:t>
                        </w:r>
                        <w:r>
                          <w:rPr>
                            <w:b/>
                            <w:color w:val="006FC0"/>
                            <w:sz w:val="13"/>
                          </w:rPr>
                          <w:t>开始的</w:t>
                        </w:r>
                        <w:r>
                          <w:rPr>
                            <w:b/>
                            <w:color w:val="006FC0"/>
                            <w:spacing w:val="-4"/>
                            <w:sz w:val="13"/>
                          </w:rPr>
                          <w:t>主要有效性比较</w:t>
                        </w:r>
                      </w:p>
                    </w:txbxContent>
                  </v:textbox>
                  <w10:wrap type="none"/>
                </v:shape>
                <v:shape style="position:absolute;left:7412;top:655;width:1939;height:279" type="#_x0000_t202" id="docshape19" filled="true" fillcolor="#ffffff" stroked="false">
                  <v:textbox inset="0,0,0,0">
                    <w:txbxContent>
                      <w:p>
                        <w:pPr>
                          <w:spacing w:before="3"/>
                          <w:ind w:left="471" w:right="0" w:firstLine="0"/>
                          <w:jc w:val="left"/>
                          <w:rPr>
                            <w:b/>
                            <w:color w:val="000000"/>
                            <w:sz w:val="16"/>
                          </w:rPr>
                        </w:pPr>
                        <w:r>
                          <w:rPr>
                            <w:b/>
                            <w:color w:val="830051"/>
                            <w:spacing w:val="-2"/>
                            <w:sz w:val="16"/>
                          </w:rPr>
                          <w:t>治疗期：</w:t>
                        </w:r>
                        <w:r>
                          <w:rPr>
                            <w:rFonts w:ascii="Times New Roman" w:eastAsia="Times New Roman"/>
                            <w:b/>
                            <w:color w:val="830051"/>
                            <w:spacing w:val="-2"/>
                            <w:sz w:val="16"/>
                          </w:rPr>
                          <w:t>52</w:t>
                        </w:r>
                        <w:r>
                          <w:rPr>
                            <w:rFonts w:ascii="Times New Roman" w:eastAsia="Times New Roman"/>
                            <w:b/>
                            <w:color w:val="830051"/>
                            <w:spacing w:val="1"/>
                            <w:sz w:val="16"/>
                          </w:rPr>
                          <w:t> </w:t>
                        </w:r>
                        <w:r>
                          <w:rPr>
                            <w:b/>
                            <w:color w:val="830051"/>
                            <w:spacing w:val="-10"/>
                            <w:sz w:val="16"/>
                          </w:rPr>
                          <w:t>周</w:t>
                        </w:r>
                      </w:p>
                    </w:txbxContent>
                  </v:textbox>
                  <v:fill type="solid"/>
                  <w10:wrap type="none"/>
                </v:shape>
                <v:shape style="position:absolute;left:5576;top:429;width:1836;height:505" type="#_x0000_t202" id="docshape20" filled="true" fillcolor="#ffffff" stroked="false">
                  <v:textbox inset="0,0,0,0">
                    <w:txbxContent>
                      <w:p>
                        <w:pPr>
                          <w:spacing w:before="2"/>
                          <w:ind w:left="0" w:right="0" w:firstLine="0"/>
                          <w:jc w:val="center"/>
                          <w:rPr>
                            <w:b/>
                            <w:color w:val="000000"/>
                            <w:sz w:val="16"/>
                          </w:rPr>
                        </w:pPr>
                        <w:r>
                          <w:rPr>
                            <w:b/>
                            <w:color w:val="830051"/>
                            <w:spacing w:val="-7"/>
                            <w:sz w:val="16"/>
                          </w:rPr>
                          <w:t>入选</w:t>
                        </w:r>
                      </w:p>
                      <w:p>
                        <w:pPr>
                          <w:spacing w:before="17"/>
                          <w:ind w:left="0" w:right="0" w:firstLine="0"/>
                          <w:jc w:val="center"/>
                          <w:rPr>
                            <w:b/>
                            <w:color w:val="000000"/>
                            <w:sz w:val="16"/>
                          </w:rPr>
                        </w:pPr>
                        <w:r>
                          <w:rPr>
                            <w:b/>
                            <w:color w:val="830051"/>
                            <w:spacing w:val="-20"/>
                            <w:sz w:val="16"/>
                          </w:rPr>
                          <w:t>与 </w:t>
                        </w:r>
                        <w:r>
                          <w:rPr>
                            <w:rFonts w:ascii="Times New Roman" w:eastAsia="Times New Roman"/>
                            <w:b/>
                            <w:color w:val="830051"/>
                            <w:sz w:val="16"/>
                          </w:rPr>
                          <w:t>O/T</w:t>
                        </w:r>
                        <w:r>
                          <w:rPr>
                            <w:rFonts w:ascii="Times New Roman" w:eastAsia="Times New Roman"/>
                            <w:b/>
                            <w:color w:val="830051"/>
                            <w:spacing w:val="-6"/>
                            <w:sz w:val="16"/>
                          </w:rPr>
                          <w:t> </w:t>
                        </w:r>
                        <w:r>
                          <w:rPr>
                            <w:rFonts w:ascii="Times New Roman" w:eastAsia="Times New Roman"/>
                            <w:b/>
                            <w:color w:val="830051"/>
                            <w:sz w:val="16"/>
                          </w:rPr>
                          <w:t>V15</w:t>
                        </w:r>
                        <w:r>
                          <w:rPr>
                            <w:rFonts w:ascii="Times New Roman" w:eastAsia="Times New Roman"/>
                            <w:b/>
                            <w:color w:val="830051"/>
                            <w:spacing w:val="-9"/>
                            <w:sz w:val="16"/>
                          </w:rPr>
                          <w:t> </w:t>
                        </w:r>
                        <w:r>
                          <w:rPr>
                            <w:b/>
                            <w:color w:val="830051"/>
                            <w:spacing w:val="-4"/>
                            <w:sz w:val="16"/>
                          </w:rPr>
                          <w:t>同一天</w:t>
                        </w:r>
                      </w:p>
                    </w:txbxContent>
                  </v:textbox>
                  <v:fill type="solid"/>
                  <w10:wrap type="none"/>
                </v:shape>
                <w10:wrap type="topAndBottom"/>
              </v:group>
            </w:pict>
          </mc:Fallback>
        </mc:AlternateContent>
      </w:r>
      <w:r>
        <w:rPr/>
        <mc:AlternateContent>
          <mc:Choice Requires="wps">
            <w:drawing>
              <wp:anchor distT="0" distB="0" distL="0" distR="0" allowOverlap="1" layoutInCell="1" locked="0" behindDoc="1" simplePos="0" relativeHeight="487590400">
                <wp:simplePos x="0" y="0"/>
                <wp:positionH relativeFrom="page">
                  <wp:posOffset>1141775</wp:posOffset>
                </wp:positionH>
                <wp:positionV relativeFrom="paragraph">
                  <wp:posOffset>1929172</wp:posOffset>
                </wp:positionV>
                <wp:extent cx="5680075" cy="158178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680075" cy="1581785"/>
                          <a:chExt cx="5680075" cy="1581785"/>
                        </a:xfrm>
                      </wpg:grpSpPr>
                      <pic:pic>
                        <pic:nvPicPr>
                          <pic:cNvPr id="22" name="Image 22" descr="A picture containing text, screenshot, font, line  Description automatically generated"/>
                          <pic:cNvPicPr/>
                        </pic:nvPicPr>
                        <pic:blipFill>
                          <a:blip r:embed="rId8" cstate="print"/>
                          <a:stretch>
                            <a:fillRect/>
                          </a:stretch>
                        </pic:blipFill>
                        <pic:spPr>
                          <a:xfrm>
                            <a:off x="0" y="16176"/>
                            <a:ext cx="5557347" cy="1477500"/>
                          </a:xfrm>
                          <a:prstGeom prst="rect">
                            <a:avLst/>
                          </a:prstGeom>
                        </pic:spPr>
                      </pic:pic>
                      <wps:wsp>
                        <wps:cNvPr id="23" name="Graphic 23"/>
                        <wps:cNvSpPr/>
                        <wps:spPr>
                          <a:xfrm>
                            <a:off x="4677110" y="58521"/>
                            <a:ext cx="1002665" cy="1523365"/>
                          </a:xfrm>
                          <a:custGeom>
                            <a:avLst/>
                            <a:gdLst/>
                            <a:ahLst/>
                            <a:cxnLst/>
                            <a:rect l="l" t="t" r="r" b="b"/>
                            <a:pathLst>
                              <a:path w="1002665" h="1523365">
                                <a:moveTo>
                                  <a:pt x="946988" y="1237538"/>
                                </a:moveTo>
                                <a:lnTo>
                                  <a:pt x="0" y="1237538"/>
                                </a:lnTo>
                                <a:lnTo>
                                  <a:pt x="0" y="1523263"/>
                                </a:lnTo>
                                <a:lnTo>
                                  <a:pt x="946988" y="1523263"/>
                                </a:lnTo>
                                <a:lnTo>
                                  <a:pt x="946988" y="1237538"/>
                                </a:lnTo>
                                <a:close/>
                              </a:path>
                              <a:path w="1002665" h="1523365">
                                <a:moveTo>
                                  <a:pt x="1002347" y="0"/>
                                </a:moveTo>
                                <a:lnTo>
                                  <a:pt x="394716" y="0"/>
                                </a:lnTo>
                                <a:lnTo>
                                  <a:pt x="394716" y="306095"/>
                                </a:lnTo>
                                <a:lnTo>
                                  <a:pt x="1002347" y="306095"/>
                                </a:lnTo>
                                <a:lnTo>
                                  <a:pt x="1002347"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3083514" y="1081316"/>
                            <a:ext cx="2063114" cy="169545"/>
                          </a:xfrm>
                          <a:custGeom>
                            <a:avLst/>
                            <a:gdLst/>
                            <a:ahLst/>
                            <a:cxnLst/>
                            <a:rect l="l" t="t" r="r" b="b"/>
                            <a:pathLst>
                              <a:path w="2063114" h="169545">
                                <a:moveTo>
                                  <a:pt x="2062607" y="0"/>
                                </a:moveTo>
                                <a:lnTo>
                                  <a:pt x="0" y="0"/>
                                </a:lnTo>
                                <a:lnTo>
                                  <a:pt x="0" y="169252"/>
                                </a:lnTo>
                                <a:lnTo>
                                  <a:pt x="2062607" y="169252"/>
                                </a:lnTo>
                                <a:lnTo>
                                  <a:pt x="2062607" y="0"/>
                                </a:lnTo>
                                <a:close/>
                              </a:path>
                            </a:pathLst>
                          </a:custGeom>
                          <a:solidFill>
                            <a:srgbClr val="F5FF88"/>
                          </a:solidFill>
                        </wps:spPr>
                        <wps:bodyPr wrap="square" lIns="0" tIns="0" rIns="0" bIns="0" rtlCol="0">
                          <a:prstTxWarp prst="textNoShape">
                            <a:avLst/>
                          </a:prstTxWarp>
                          <a:noAutofit/>
                        </wps:bodyPr>
                      </wps:wsp>
                      <wps:wsp>
                        <wps:cNvPr id="25" name="Graphic 25"/>
                        <wps:cNvSpPr/>
                        <wps:spPr>
                          <a:xfrm>
                            <a:off x="26128" y="0"/>
                            <a:ext cx="1600200" cy="400050"/>
                          </a:xfrm>
                          <a:custGeom>
                            <a:avLst/>
                            <a:gdLst/>
                            <a:ahLst/>
                            <a:cxnLst/>
                            <a:rect l="l" t="t" r="r" b="b"/>
                            <a:pathLst>
                              <a:path w="1600200" h="400050">
                                <a:moveTo>
                                  <a:pt x="1600073" y="0"/>
                                </a:moveTo>
                                <a:lnTo>
                                  <a:pt x="0" y="0"/>
                                </a:lnTo>
                                <a:lnTo>
                                  <a:pt x="0" y="400050"/>
                                </a:lnTo>
                                <a:lnTo>
                                  <a:pt x="1600073" y="400050"/>
                                </a:lnTo>
                                <a:lnTo>
                                  <a:pt x="1600073" y="0"/>
                                </a:lnTo>
                                <a:close/>
                              </a:path>
                            </a:pathLst>
                          </a:custGeom>
                          <a:solidFill>
                            <a:srgbClr val="FFFFFF"/>
                          </a:solidFill>
                        </wps:spPr>
                        <wps:bodyPr wrap="square" lIns="0" tIns="0" rIns="0" bIns="0" rtlCol="0">
                          <a:prstTxWarp prst="textNoShape">
                            <a:avLst/>
                          </a:prstTxWarp>
                          <a:noAutofit/>
                        </wps:bodyPr>
                      </wps:wsp>
                      <wps:wsp>
                        <wps:cNvPr id="26" name="Textbox 26"/>
                        <wps:cNvSpPr txBox="1"/>
                        <wps:spPr>
                          <a:xfrm>
                            <a:off x="29418" y="18711"/>
                            <a:ext cx="843915" cy="334645"/>
                          </a:xfrm>
                          <a:prstGeom prst="rect">
                            <a:avLst/>
                          </a:prstGeom>
                        </wps:spPr>
                        <wps:txbx>
                          <w:txbxContent>
                            <w:p>
                              <w:pPr>
                                <w:spacing w:line="246" w:lineRule="exact" w:before="0"/>
                                <w:ind w:left="0" w:right="0" w:firstLine="0"/>
                                <w:jc w:val="left"/>
                                <w:rPr>
                                  <w:rFonts w:ascii="Times New Roman" w:eastAsia="Times New Roman"/>
                                  <w:b/>
                                  <w:sz w:val="21"/>
                                </w:rPr>
                              </w:pPr>
                              <w:r>
                                <w:rPr>
                                  <w:rFonts w:ascii="Times New Roman" w:eastAsia="Times New Roman"/>
                                  <w:b/>
                                  <w:color w:val="929F00"/>
                                  <w:spacing w:val="-2"/>
                                  <w:sz w:val="21"/>
                                </w:rPr>
                                <w:t>CSP</w:t>
                              </w:r>
                              <w:r>
                                <w:rPr>
                                  <w:rFonts w:ascii="Times New Roman" w:eastAsia="Times New Roman"/>
                                  <w:b/>
                                  <w:color w:val="929F00"/>
                                  <w:spacing w:val="-7"/>
                                  <w:sz w:val="21"/>
                                </w:rPr>
                                <w:t> </w:t>
                              </w:r>
                              <w:r>
                                <w:rPr>
                                  <w:b/>
                                  <w:color w:val="929F00"/>
                                  <w:spacing w:val="-18"/>
                                  <w:sz w:val="21"/>
                                </w:rPr>
                                <w:t>版本 </w:t>
                              </w:r>
                              <w:r>
                                <w:rPr>
                                  <w:rFonts w:ascii="Times New Roman" w:eastAsia="Times New Roman"/>
                                  <w:b/>
                                  <w:color w:val="929F00"/>
                                  <w:spacing w:val="-5"/>
                                  <w:sz w:val="21"/>
                                </w:rPr>
                                <w:t>2.0</w:t>
                              </w:r>
                            </w:p>
                            <w:p>
                              <w:pPr>
                                <w:spacing w:line="259" w:lineRule="exact" w:before="21"/>
                                <w:ind w:left="0" w:right="0" w:firstLine="0"/>
                                <w:jc w:val="left"/>
                                <w:rPr>
                                  <w:b/>
                                  <w:sz w:val="21"/>
                                </w:rPr>
                              </w:pPr>
                              <w:r>
                                <w:rPr>
                                  <w:b/>
                                  <w:color w:val="929F00"/>
                                  <w:spacing w:val="-2"/>
                                  <w:sz w:val="21"/>
                                </w:rPr>
                                <w:t>治疗期：</w:t>
                              </w:r>
                              <w:r>
                                <w:rPr>
                                  <w:rFonts w:ascii="Times New Roman" w:eastAsia="Times New Roman"/>
                                  <w:b/>
                                  <w:color w:val="929F00"/>
                                  <w:spacing w:val="-2"/>
                                  <w:sz w:val="21"/>
                                </w:rPr>
                                <w:t>28</w:t>
                              </w:r>
                              <w:r>
                                <w:rPr>
                                  <w:rFonts w:ascii="Times New Roman" w:eastAsia="Times New Roman"/>
                                  <w:b/>
                                  <w:color w:val="929F00"/>
                                  <w:spacing w:val="-3"/>
                                  <w:sz w:val="21"/>
                                </w:rPr>
                                <w:t> </w:t>
                              </w:r>
                              <w:r>
                                <w:rPr>
                                  <w:b/>
                                  <w:color w:val="929F00"/>
                                  <w:spacing w:val="-12"/>
                                  <w:sz w:val="21"/>
                                </w:rPr>
                                <w:t>周</w:t>
                              </w:r>
                            </w:p>
                          </w:txbxContent>
                        </wps:txbx>
                        <wps:bodyPr wrap="square" lIns="0" tIns="0" rIns="0" bIns="0" rtlCol="0">
                          <a:noAutofit/>
                        </wps:bodyPr>
                      </wps:wsp>
                      <wps:wsp>
                        <wps:cNvPr id="27" name="Textbox 27"/>
                        <wps:cNvSpPr txBox="1"/>
                        <wps:spPr>
                          <a:xfrm>
                            <a:off x="5171902" y="91594"/>
                            <a:ext cx="421640" cy="252095"/>
                          </a:xfrm>
                          <a:prstGeom prst="rect">
                            <a:avLst/>
                          </a:prstGeom>
                        </wps:spPr>
                        <wps:txbx>
                          <w:txbxContent>
                            <w:p>
                              <w:pPr>
                                <w:spacing w:line="182" w:lineRule="exact" w:before="0"/>
                                <w:ind w:left="0" w:right="18" w:firstLine="0"/>
                                <w:jc w:val="center"/>
                                <w:rPr>
                                  <w:b/>
                                  <w:sz w:val="16"/>
                                </w:rPr>
                              </w:pPr>
                              <w:r>
                                <w:rPr>
                                  <w:b/>
                                  <w:color w:val="830051"/>
                                  <w:spacing w:val="-4"/>
                                  <w:sz w:val="16"/>
                                </w:rPr>
                                <w:t>随访期：</w:t>
                              </w:r>
                            </w:p>
                            <w:p>
                              <w:pPr>
                                <w:spacing w:line="198" w:lineRule="exact" w:before="16"/>
                                <w:ind w:left="0" w:right="20" w:firstLine="0"/>
                                <w:jc w:val="center"/>
                                <w:rPr>
                                  <w:b/>
                                  <w:sz w:val="16"/>
                                </w:rPr>
                              </w:pPr>
                              <w:r>
                                <w:rPr>
                                  <w:rFonts w:ascii="Times New Roman" w:eastAsia="Times New Roman"/>
                                  <w:b/>
                                  <w:color w:val="830051"/>
                                  <w:sz w:val="16"/>
                                </w:rPr>
                                <w:t>8</w:t>
                              </w:r>
                              <w:r>
                                <w:rPr>
                                  <w:rFonts w:ascii="Times New Roman" w:eastAsia="Times New Roman"/>
                                  <w:b/>
                                  <w:color w:val="830051"/>
                                  <w:spacing w:val="-7"/>
                                  <w:sz w:val="16"/>
                                </w:rPr>
                                <w:t> </w:t>
                              </w:r>
                              <w:r>
                                <w:rPr>
                                  <w:b/>
                                  <w:color w:val="830051"/>
                                  <w:spacing w:val="-10"/>
                                  <w:sz w:val="16"/>
                                </w:rPr>
                                <w:t>周</w:t>
                              </w:r>
                            </w:p>
                          </w:txbxContent>
                        </wps:txbx>
                        <wps:bodyPr wrap="square" lIns="0" tIns="0" rIns="0" bIns="0" rtlCol="0">
                          <a:noAutofit/>
                        </wps:bodyPr>
                      </wps:wsp>
                      <wps:wsp>
                        <wps:cNvPr id="28" name="Textbox 28"/>
                        <wps:cNvSpPr txBox="1"/>
                        <wps:spPr>
                          <a:xfrm>
                            <a:off x="332567" y="512812"/>
                            <a:ext cx="2146300" cy="112395"/>
                          </a:xfrm>
                          <a:prstGeom prst="rect">
                            <a:avLst/>
                          </a:prstGeom>
                        </wps:spPr>
                        <wps:txbx>
                          <w:txbxContent>
                            <w:p>
                              <w:pPr>
                                <w:tabs>
                                  <w:tab w:pos="535" w:val="left" w:leader="none"/>
                                  <w:tab w:pos="3359" w:val="left" w:leader="none"/>
                                </w:tabs>
                                <w:spacing w:line="177" w:lineRule="exact" w:before="0"/>
                                <w:ind w:left="0" w:right="0" w:firstLine="0"/>
                                <w:jc w:val="left"/>
                                <w:rPr>
                                  <w:b/>
                                  <w:sz w:val="16"/>
                                </w:rPr>
                              </w:pPr>
                              <w:r>
                                <w:rPr>
                                  <w:rFonts w:ascii="Times New Roman" w:eastAsia="Times New Roman"/>
                                  <w:b/>
                                  <w:color w:val="FFFFFF"/>
                                  <w:sz w:val="16"/>
                                  <w:shd w:fill="929F00" w:color="auto" w:val="clear"/>
                                </w:rPr>
                                <w:tab/>
                              </w:r>
                              <w:r>
                                <w:rPr>
                                  <w:rFonts w:ascii="Times New Roman" w:eastAsia="Times New Roman"/>
                                  <w:b/>
                                  <w:color w:val="FFFFFF"/>
                                  <w:spacing w:val="-2"/>
                                  <w:sz w:val="16"/>
                                  <w:shd w:fill="929F00" w:color="auto" w:val="clear"/>
                                </w:rPr>
                                <w:t>OBERON </w:t>
                              </w:r>
                              <w:r>
                                <w:rPr>
                                  <w:b/>
                                  <w:color w:val="FFFFFF"/>
                                  <w:spacing w:val="-2"/>
                                  <w:sz w:val="16"/>
                                  <w:shd w:fill="929F00" w:color="auto" w:val="clear"/>
                                </w:rPr>
                                <w:t>和</w:t>
                              </w:r>
                              <w:r>
                                <w:rPr>
                                  <w:b/>
                                  <w:color w:val="FFFFFF"/>
                                  <w:spacing w:val="-36"/>
                                  <w:sz w:val="16"/>
                                  <w:shd w:fill="929F00" w:color="auto" w:val="clear"/>
                                </w:rPr>
                                <w:t> </w:t>
                              </w:r>
                              <w:r>
                                <w:rPr>
                                  <w:rFonts w:ascii="Times New Roman" w:eastAsia="Times New Roman"/>
                                  <w:b/>
                                  <w:color w:val="FFFFFF"/>
                                  <w:spacing w:val="-2"/>
                                  <w:sz w:val="16"/>
                                  <w:shd w:fill="929F00" w:color="auto" w:val="clear"/>
                                </w:rPr>
                                <w:t>TITANIA</w:t>
                              </w:r>
                              <w:r>
                                <w:rPr>
                                  <w:rFonts w:ascii="Times New Roman" w:eastAsia="Times New Roman"/>
                                  <w:b/>
                                  <w:color w:val="FFFFFF"/>
                                  <w:spacing w:val="-4"/>
                                  <w:sz w:val="16"/>
                                  <w:shd w:fill="929F00" w:color="auto" w:val="clear"/>
                                </w:rPr>
                                <w:t> </w:t>
                              </w:r>
                              <w:r>
                                <w:rPr>
                                  <w:b/>
                                  <w:color w:val="FFFFFF"/>
                                  <w:spacing w:val="-2"/>
                                  <w:sz w:val="16"/>
                                  <w:shd w:fill="929F00" w:color="auto" w:val="clear"/>
                                </w:rPr>
                                <w:t>前身研</w:t>
                              </w:r>
                              <w:r>
                                <w:rPr>
                                  <w:b/>
                                  <w:color w:val="FFFFFF"/>
                                  <w:spacing w:val="-10"/>
                                  <w:sz w:val="16"/>
                                  <w:shd w:fill="929F00" w:color="auto" w:val="clear"/>
                                </w:rPr>
                                <w:t>究</w:t>
                              </w:r>
                              <w:r>
                                <w:rPr>
                                  <w:b/>
                                  <w:color w:val="FFFFFF"/>
                                  <w:sz w:val="16"/>
                                  <w:shd w:fill="929F00" w:color="auto" w:val="clear"/>
                                </w:rPr>
                                <w:tab/>
                              </w:r>
                            </w:p>
                          </w:txbxContent>
                        </wps:txbx>
                        <wps:bodyPr wrap="square" lIns="0" tIns="0" rIns="0" bIns="0" rtlCol="0">
                          <a:noAutofit/>
                        </wps:bodyPr>
                      </wps:wsp>
                      <wps:wsp>
                        <wps:cNvPr id="29" name="Textbox 29"/>
                        <wps:cNvSpPr txBox="1"/>
                        <wps:spPr>
                          <a:xfrm>
                            <a:off x="3680287" y="518908"/>
                            <a:ext cx="1155700" cy="112395"/>
                          </a:xfrm>
                          <a:prstGeom prst="rect">
                            <a:avLst/>
                          </a:prstGeom>
                        </wps:spPr>
                        <wps:txbx>
                          <w:txbxContent>
                            <w:p>
                              <w:pPr>
                                <w:spacing w:line="177" w:lineRule="exact" w:before="0"/>
                                <w:ind w:left="0" w:right="0" w:firstLine="0"/>
                                <w:jc w:val="left"/>
                                <w:rPr>
                                  <w:b/>
                                  <w:sz w:val="16"/>
                                </w:rPr>
                              </w:pPr>
                              <w:r>
                                <w:rPr>
                                  <w:rFonts w:ascii="Times New Roman" w:eastAsia="Times New Roman"/>
                                  <w:b/>
                                  <w:color w:val="FFFFFF"/>
                                  <w:spacing w:val="69"/>
                                  <w:sz w:val="16"/>
                                  <w:shd w:fill="929F00" w:color="auto" w:val="clear"/>
                                </w:rPr>
                                <w:t> </w:t>
                              </w:r>
                              <w:r>
                                <w:rPr>
                                  <w:rFonts w:ascii="Times New Roman" w:eastAsia="Times New Roman"/>
                                  <w:b/>
                                  <w:color w:val="FFFFFF"/>
                                  <w:spacing w:val="-2"/>
                                  <w:sz w:val="16"/>
                                  <w:shd w:fill="929F00" w:color="auto" w:val="clear"/>
                                </w:rPr>
                                <w:t>PROSPERO</w:t>
                              </w:r>
                              <w:r>
                                <w:rPr>
                                  <w:rFonts w:ascii="Times New Roman" w:eastAsia="Times New Roman"/>
                                  <w:b/>
                                  <w:color w:val="FFFFFF"/>
                                  <w:spacing w:val="1"/>
                                  <w:sz w:val="16"/>
                                  <w:shd w:fill="929F00" w:color="auto" w:val="clear"/>
                                </w:rPr>
                                <w:t> </w:t>
                              </w:r>
                              <w:r>
                                <w:rPr>
                                  <w:rFonts w:ascii="Times New Roman" w:eastAsia="Times New Roman"/>
                                  <w:b/>
                                  <w:color w:val="FFFFFF"/>
                                  <w:spacing w:val="-2"/>
                                  <w:sz w:val="16"/>
                                  <w:shd w:fill="929F00" w:color="auto" w:val="clear"/>
                                </w:rPr>
                                <w:t>LTE</w:t>
                              </w:r>
                              <w:r>
                                <w:rPr>
                                  <w:rFonts w:ascii="Times New Roman" w:eastAsia="Times New Roman"/>
                                  <w:b/>
                                  <w:color w:val="FFFFFF"/>
                                  <w:spacing w:val="-5"/>
                                  <w:sz w:val="16"/>
                                  <w:shd w:fill="929F00" w:color="auto" w:val="clear"/>
                                </w:rPr>
                                <w:t> </w:t>
                              </w:r>
                              <w:r>
                                <w:rPr>
                                  <w:b/>
                                  <w:color w:val="FFFFFF"/>
                                  <w:spacing w:val="-6"/>
                                  <w:sz w:val="16"/>
                                  <w:shd w:fill="929F00" w:color="auto" w:val="clear"/>
                                </w:rPr>
                                <w:t>研究</w:t>
                              </w:r>
                              <w:r>
                                <w:rPr>
                                  <w:b/>
                                  <w:color w:val="FFFFFF"/>
                                  <w:spacing w:val="40"/>
                                  <w:sz w:val="16"/>
                                  <w:shd w:fill="929F00" w:color="auto" w:val="clear"/>
                                </w:rPr>
                                <w:t> </w:t>
                              </w:r>
                            </w:p>
                          </w:txbxContent>
                        </wps:txbx>
                        <wps:bodyPr wrap="square" lIns="0" tIns="0" rIns="0" bIns="0" rtlCol="0">
                          <a:noAutofit/>
                        </wps:bodyPr>
                      </wps:wsp>
                      <wps:wsp>
                        <wps:cNvPr id="30" name="Textbox 30"/>
                        <wps:cNvSpPr txBox="1"/>
                        <wps:spPr>
                          <a:xfrm>
                            <a:off x="70020" y="1159086"/>
                            <a:ext cx="2075814" cy="106045"/>
                          </a:xfrm>
                          <a:prstGeom prst="rect">
                            <a:avLst/>
                          </a:prstGeom>
                        </wps:spPr>
                        <wps:txbx>
                          <w:txbxContent>
                            <w:p>
                              <w:pPr>
                                <w:tabs>
                                  <w:tab w:pos="1093" w:val="left" w:leader="none"/>
                                  <w:tab w:pos="3248" w:val="left" w:leader="none"/>
                                </w:tabs>
                                <w:spacing w:line="166" w:lineRule="exact" w:before="0"/>
                                <w:ind w:left="0" w:right="0" w:firstLine="0"/>
                                <w:jc w:val="left"/>
                                <w:rPr>
                                  <w:rFonts w:ascii="Times New Roman" w:eastAsia="Times New Roman"/>
                                  <w:b/>
                                  <w:sz w:val="15"/>
                                </w:rPr>
                              </w:pPr>
                              <w:r>
                                <w:rPr>
                                  <w:rFonts w:ascii="Times New Roman" w:eastAsia="Times New Roman"/>
                                  <w:b/>
                                  <w:color w:val="929F00"/>
                                  <w:sz w:val="15"/>
                                  <w:shd w:fill="F5FF88" w:color="auto" w:val="clear"/>
                                </w:rPr>
                                <w:tab/>
                              </w:r>
                              <w:r>
                                <w:rPr>
                                  <w:b/>
                                  <w:color w:val="929F00"/>
                                  <w:sz w:val="15"/>
                                  <w:shd w:fill="F5FF88" w:color="auto" w:val="clear"/>
                                </w:rPr>
                                <w:t>安慰剂</w:t>
                              </w:r>
                              <w:r>
                                <w:rPr>
                                  <w:b/>
                                  <w:color w:val="929F00"/>
                                  <w:spacing w:val="-38"/>
                                  <w:sz w:val="15"/>
                                  <w:shd w:fill="F5FF88" w:color="auto" w:val="clear"/>
                                </w:rPr>
                                <w:t> </w:t>
                              </w:r>
                              <w:r>
                                <w:rPr>
                                  <w:rFonts w:ascii="Times New Roman" w:eastAsia="Times New Roman"/>
                                  <w:b/>
                                  <w:color w:val="929F00"/>
                                  <w:sz w:val="15"/>
                                  <w:shd w:fill="F5FF88" w:color="auto" w:val="clear"/>
                                </w:rPr>
                                <w:t>Q4W</w:t>
                              </w:r>
                              <w:r>
                                <w:rPr>
                                  <w:rFonts w:ascii="Times New Roman" w:eastAsia="Times New Roman"/>
                                  <w:b/>
                                  <w:color w:val="929F00"/>
                                  <w:spacing w:val="-5"/>
                                  <w:sz w:val="15"/>
                                  <w:shd w:fill="F5FF88" w:color="auto" w:val="clear"/>
                                </w:rPr>
                                <w:t> SC</w:t>
                              </w:r>
                              <w:r>
                                <w:rPr>
                                  <w:rFonts w:ascii="Times New Roman" w:eastAsia="Times New Roman"/>
                                  <w:b/>
                                  <w:color w:val="929F00"/>
                                  <w:sz w:val="15"/>
                                  <w:shd w:fill="F5FF88" w:color="auto" w:val="clear"/>
                                </w:rPr>
                                <w:tab/>
                              </w:r>
                            </w:p>
                          </w:txbxContent>
                        </wps:txbx>
                        <wps:bodyPr wrap="square" lIns="0" tIns="0" rIns="0" bIns="0" rtlCol="0">
                          <a:noAutofit/>
                        </wps:bodyPr>
                      </wps:wsp>
                      <wps:wsp>
                        <wps:cNvPr id="31" name="Textbox 31"/>
                        <wps:cNvSpPr txBox="1"/>
                        <wps:spPr>
                          <a:xfrm>
                            <a:off x="4861006" y="1309313"/>
                            <a:ext cx="592455" cy="191770"/>
                          </a:xfrm>
                          <a:prstGeom prst="rect">
                            <a:avLst/>
                          </a:prstGeom>
                        </wps:spPr>
                        <wps:txbx>
                          <w:txbxContent>
                            <w:p>
                              <w:pPr>
                                <w:spacing w:line="152" w:lineRule="exact" w:before="0"/>
                                <w:ind w:left="53" w:right="0" w:firstLine="0"/>
                                <w:jc w:val="left"/>
                                <w:rPr>
                                  <w:b/>
                                  <w:sz w:val="13"/>
                                </w:rPr>
                              </w:pPr>
                              <w:r>
                                <w:rPr>
                                  <w:b/>
                                  <w:color w:val="006FC0"/>
                                  <w:spacing w:val="-16"/>
                                  <w:sz w:val="13"/>
                                </w:rPr>
                                <w:t>从 </w:t>
                              </w:r>
                              <w:r>
                                <w:rPr>
                                  <w:rFonts w:ascii="Times New Roman" w:eastAsia="Times New Roman"/>
                                  <w:b/>
                                  <w:color w:val="006FC0"/>
                                  <w:spacing w:val="-2"/>
                                  <w:sz w:val="13"/>
                                </w:rPr>
                                <w:t>O/T</w:t>
                              </w:r>
                              <w:r>
                                <w:rPr>
                                  <w:rFonts w:ascii="Times New Roman" w:eastAsia="Times New Roman"/>
                                  <w:b/>
                                  <w:color w:val="006FC0"/>
                                  <w:spacing w:val="-3"/>
                                  <w:sz w:val="13"/>
                                </w:rPr>
                                <w:t> </w:t>
                              </w:r>
                              <w:r>
                                <w:rPr>
                                  <w:b/>
                                  <w:color w:val="006FC0"/>
                                  <w:spacing w:val="-5"/>
                                  <w:sz w:val="13"/>
                                </w:rPr>
                                <w:t>开始的</w:t>
                              </w:r>
                            </w:p>
                            <w:p>
                              <w:pPr>
                                <w:spacing w:line="150" w:lineRule="exact" w:before="0"/>
                                <w:ind w:left="0" w:right="0" w:firstLine="0"/>
                                <w:jc w:val="left"/>
                                <w:rPr>
                                  <w:b/>
                                  <w:sz w:val="13"/>
                                </w:rPr>
                              </w:pPr>
                              <w:r>
                                <w:rPr>
                                  <w:b/>
                                  <w:color w:val="006FC0"/>
                                  <w:spacing w:val="-4"/>
                                  <w:sz w:val="13"/>
                                </w:rPr>
                                <w:t>主要有效性比较</w:t>
                              </w:r>
                            </w:p>
                          </w:txbxContent>
                        </wps:txbx>
                        <wps:bodyPr wrap="square" lIns="0" tIns="0" rIns="0" bIns="0" rtlCol="0">
                          <a:noAutofit/>
                        </wps:bodyPr>
                      </wps:wsp>
                      <wps:wsp>
                        <wps:cNvPr id="32" name="Textbox 32"/>
                        <wps:cNvSpPr txBox="1"/>
                        <wps:spPr>
                          <a:xfrm>
                            <a:off x="3561034" y="227025"/>
                            <a:ext cx="1230630" cy="177165"/>
                          </a:xfrm>
                          <a:prstGeom prst="rect">
                            <a:avLst/>
                          </a:prstGeom>
                          <a:solidFill>
                            <a:srgbClr val="FFFFFF"/>
                          </a:solidFill>
                        </wps:spPr>
                        <wps:txbx>
                          <w:txbxContent>
                            <w:p>
                              <w:pPr>
                                <w:spacing w:before="47"/>
                                <w:ind w:left="471" w:right="0" w:firstLine="0"/>
                                <w:jc w:val="left"/>
                                <w:rPr>
                                  <w:b/>
                                  <w:color w:val="000000"/>
                                  <w:sz w:val="16"/>
                                </w:rPr>
                              </w:pPr>
                              <w:r>
                                <w:rPr>
                                  <w:b/>
                                  <w:color w:val="830051"/>
                                  <w:spacing w:val="-2"/>
                                  <w:sz w:val="16"/>
                                </w:rPr>
                                <w:t>治疗期：</w:t>
                              </w:r>
                              <w:r>
                                <w:rPr>
                                  <w:rFonts w:ascii="Times New Roman" w:eastAsia="Times New Roman"/>
                                  <w:b/>
                                  <w:color w:val="830051"/>
                                  <w:spacing w:val="-2"/>
                                  <w:sz w:val="16"/>
                                </w:rPr>
                                <w:t>28</w:t>
                              </w:r>
                              <w:r>
                                <w:rPr>
                                  <w:rFonts w:ascii="Times New Roman" w:eastAsia="Times New Roman"/>
                                  <w:b/>
                                  <w:color w:val="830051"/>
                                  <w:spacing w:val="1"/>
                                  <w:sz w:val="16"/>
                                </w:rPr>
                                <w:t> </w:t>
                              </w:r>
                              <w:r>
                                <w:rPr>
                                  <w:b/>
                                  <w:color w:val="830051"/>
                                  <w:spacing w:val="-10"/>
                                  <w:sz w:val="16"/>
                                </w:rPr>
                                <w:t>周</w:t>
                              </w:r>
                            </w:p>
                          </w:txbxContent>
                        </wps:txbx>
                        <wps:bodyPr wrap="square" lIns="0" tIns="0" rIns="0" bIns="0" rtlCol="0">
                          <a:noAutofit/>
                        </wps:bodyPr>
                      </wps:wsp>
                      <wps:wsp>
                        <wps:cNvPr id="33" name="Textbox 33"/>
                        <wps:cNvSpPr txBox="1"/>
                        <wps:spPr>
                          <a:xfrm>
                            <a:off x="2394793" y="63893"/>
                            <a:ext cx="1166495" cy="340360"/>
                          </a:xfrm>
                          <a:prstGeom prst="rect">
                            <a:avLst/>
                          </a:prstGeom>
                          <a:solidFill>
                            <a:srgbClr val="FFFFFF"/>
                          </a:solidFill>
                        </wps:spPr>
                        <wps:txbx>
                          <w:txbxContent>
                            <w:p>
                              <w:pPr>
                                <w:spacing w:before="49"/>
                                <w:ind w:left="0" w:right="0" w:firstLine="0"/>
                                <w:jc w:val="center"/>
                                <w:rPr>
                                  <w:b/>
                                  <w:color w:val="000000"/>
                                  <w:sz w:val="16"/>
                                </w:rPr>
                              </w:pPr>
                              <w:r>
                                <w:rPr>
                                  <w:b/>
                                  <w:color w:val="830051"/>
                                  <w:spacing w:val="-7"/>
                                  <w:sz w:val="16"/>
                                </w:rPr>
                                <w:t>入选</w:t>
                              </w:r>
                            </w:p>
                            <w:p>
                              <w:pPr>
                                <w:spacing w:before="16"/>
                                <w:ind w:left="0" w:right="0" w:firstLine="0"/>
                                <w:jc w:val="center"/>
                                <w:rPr>
                                  <w:b/>
                                  <w:color w:val="000000"/>
                                  <w:sz w:val="16"/>
                                </w:rPr>
                              </w:pPr>
                              <w:r>
                                <w:rPr>
                                  <w:b/>
                                  <w:color w:val="830051"/>
                                  <w:spacing w:val="-20"/>
                                  <w:sz w:val="16"/>
                                </w:rPr>
                                <w:t>与 </w:t>
                              </w:r>
                              <w:r>
                                <w:rPr>
                                  <w:rFonts w:ascii="Times New Roman" w:eastAsia="Times New Roman"/>
                                  <w:b/>
                                  <w:color w:val="830051"/>
                                  <w:sz w:val="16"/>
                                </w:rPr>
                                <w:t>O/T</w:t>
                              </w:r>
                              <w:r>
                                <w:rPr>
                                  <w:rFonts w:ascii="Times New Roman" w:eastAsia="Times New Roman"/>
                                  <w:b/>
                                  <w:color w:val="830051"/>
                                  <w:spacing w:val="-6"/>
                                  <w:sz w:val="16"/>
                                </w:rPr>
                                <w:t> </w:t>
                              </w:r>
                              <w:r>
                                <w:rPr>
                                  <w:rFonts w:ascii="Times New Roman" w:eastAsia="Times New Roman"/>
                                  <w:b/>
                                  <w:color w:val="830051"/>
                                  <w:sz w:val="16"/>
                                </w:rPr>
                                <w:t>V15</w:t>
                              </w:r>
                              <w:r>
                                <w:rPr>
                                  <w:rFonts w:ascii="Times New Roman" w:eastAsia="Times New Roman"/>
                                  <w:b/>
                                  <w:color w:val="830051"/>
                                  <w:spacing w:val="-9"/>
                                  <w:sz w:val="16"/>
                                </w:rPr>
                                <w:t> </w:t>
                              </w:r>
                              <w:r>
                                <w:rPr>
                                  <w:b/>
                                  <w:color w:val="830051"/>
                                  <w:spacing w:val="-4"/>
                                  <w:sz w:val="16"/>
                                </w:rPr>
                                <w:t>同一天</w:t>
                              </w:r>
                            </w:p>
                          </w:txbxContent>
                        </wps:txbx>
                        <wps:bodyPr wrap="square" lIns="0" tIns="0" rIns="0" bIns="0" rtlCol="0">
                          <a:noAutofit/>
                        </wps:bodyPr>
                      </wps:wsp>
                      <wps:wsp>
                        <wps:cNvPr id="34" name="Textbox 34"/>
                        <wps:cNvSpPr txBox="1"/>
                        <wps:spPr>
                          <a:xfrm>
                            <a:off x="3083514" y="1081316"/>
                            <a:ext cx="2063114" cy="169545"/>
                          </a:xfrm>
                          <a:prstGeom prst="rect">
                            <a:avLst/>
                          </a:prstGeom>
                        </wps:spPr>
                        <wps:txbx>
                          <w:txbxContent>
                            <w:p>
                              <w:pPr>
                                <w:spacing w:before="3"/>
                                <w:ind w:left="1059" w:right="0" w:firstLine="0"/>
                                <w:jc w:val="left"/>
                                <w:rPr>
                                  <w:rFonts w:ascii="Times New Roman" w:eastAsia="Times New Roman"/>
                                  <w:b/>
                                  <w:sz w:val="16"/>
                                </w:rPr>
                              </w:pPr>
                              <w:r>
                                <w:rPr>
                                  <w:b/>
                                  <w:color w:val="929F00"/>
                                  <w:spacing w:val="-10"/>
                                  <w:sz w:val="16"/>
                                </w:rPr>
                                <w:t>安慰剂 </w:t>
                              </w:r>
                              <w:r>
                                <w:rPr>
                                  <w:rFonts w:ascii="Times New Roman" w:eastAsia="Times New Roman"/>
                                  <w:b/>
                                  <w:color w:val="929F00"/>
                                  <w:sz w:val="16"/>
                                </w:rPr>
                                <w:t>Q4W</w:t>
                              </w:r>
                              <w:r>
                                <w:rPr>
                                  <w:rFonts w:ascii="Times New Roman" w:eastAsia="Times New Roman"/>
                                  <w:b/>
                                  <w:color w:val="929F00"/>
                                  <w:spacing w:val="-9"/>
                                  <w:sz w:val="16"/>
                                </w:rPr>
                                <w:t> </w:t>
                              </w:r>
                              <w:r>
                                <w:rPr>
                                  <w:rFonts w:ascii="Times New Roman" w:eastAsia="Times New Roman"/>
                                  <w:b/>
                                  <w:color w:val="929F00"/>
                                  <w:spacing w:val="-5"/>
                                  <w:sz w:val="16"/>
                                </w:rPr>
                                <w:t>SC</w:t>
                              </w:r>
                            </w:p>
                          </w:txbxContent>
                        </wps:txbx>
                        <wps:bodyPr wrap="square" lIns="0" tIns="0" rIns="0" bIns="0" rtlCol="0">
                          <a:noAutofit/>
                        </wps:bodyPr>
                      </wps:wsp>
                    </wpg:wgp>
                  </a:graphicData>
                </a:graphic>
              </wp:anchor>
            </w:drawing>
          </mc:Choice>
          <mc:Fallback>
            <w:pict>
              <v:group style="position:absolute;margin-left:89.903603pt;margin-top:151.903366pt;width:447.25pt;height:124.55pt;mso-position-horizontal-relative:page;mso-position-vertical-relative:paragraph;z-index:-15726080;mso-wrap-distance-left:0;mso-wrap-distance-right:0" id="docshapegroup21" coordorigin="1798,3038" coordsize="8945,2491">
                <v:shape style="position:absolute;left:1798;top:3063;width:8752;height:2327" type="#_x0000_t75" id="docshape22" alt="A picture containing text, screenshot, font, line  Description automatically generated" stroked="false">
                  <v:imagedata r:id="rId8" o:title=""/>
                </v:shape>
                <v:shape style="position:absolute;left:9163;top:3130;width:1579;height:2399" id="docshape23" coordorigin="9164,3130" coordsize="1579,2399" path="m10655,5079l9164,5079,9164,5529,10655,5529,10655,5079xm10742,3130l9785,3130,9785,3612,10742,3612,10742,3130xe" filled="true" fillcolor="#ffffff" stroked="false">
                  <v:path arrowok="t"/>
                  <v:fill type="solid"/>
                </v:shape>
                <v:rect style="position:absolute;left:6654;top:4740;width:3249;height:267" id="docshape24" filled="true" fillcolor="#f5ff88" stroked="false">
                  <v:fill type="solid"/>
                </v:rect>
                <v:rect style="position:absolute;left:1839;top:3038;width:2520;height:630" id="docshape25" filled="true" fillcolor="#ffffff" stroked="false">
                  <v:fill type="solid"/>
                </v:rect>
                <v:shape style="position:absolute;left:1844;top:3067;width:1329;height:527" type="#_x0000_t202" id="docshape26" filled="false" stroked="false">
                  <v:textbox inset="0,0,0,0">
                    <w:txbxContent>
                      <w:p>
                        <w:pPr>
                          <w:spacing w:line="246" w:lineRule="exact" w:before="0"/>
                          <w:ind w:left="0" w:right="0" w:firstLine="0"/>
                          <w:jc w:val="left"/>
                          <w:rPr>
                            <w:rFonts w:ascii="Times New Roman" w:eastAsia="Times New Roman"/>
                            <w:b/>
                            <w:sz w:val="21"/>
                          </w:rPr>
                        </w:pPr>
                        <w:r>
                          <w:rPr>
                            <w:rFonts w:ascii="Times New Roman" w:eastAsia="Times New Roman"/>
                            <w:b/>
                            <w:color w:val="929F00"/>
                            <w:spacing w:val="-2"/>
                            <w:sz w:val="21"/>
                          </w:rPr>
                          <w:t>CSP</w:t>
                        </w:r>
                        <w:r>
                          <w:rPr>
                            <w:rFonts w:ascii="Times New Roman" w:eastAsia="Times New Roman"/>
                            <w:b/>
                            <w:color w:val="929F00"/>
                            <w:spacing w:val="-7"/>
                            <w:sz w:val="21"/>
                          </w:rPr>
                          <w:t> </w:t>
                        </w:r>
                        <w:r>
                          <w:rPr>
                            <w:b/>
                            <w:color w:val="929F00"/>
                            <w:spacing w:val="-18"/>
                            <w:sz w:val="21"/>
                          </w:rPr>
                          <w:t>版本 </w:t>
                        </w:r>
                        <w:r>
                          <w:rPr>
                            <w:rFonts w:ascii="Times New Roman" w:eastAsia="Times New Roman"/>
                            <w:b/>
                            <w:color w:val="929F00"/>
                            <w:spacing w:val="-5"/>
                            <w:sz w:val="21"/>
                          </w:rPr>
                          <w:t>2.0</w:t>
                        </w:r>
                      </w:p>
                      <w:p>
                        <w:pPr>
                          <w:spacing w:line="259" w:lineRule="exact" w:before="21"/>
                          <w:ind w:left="0" w:right="0" w:firstLine="0"/>
                          <w:jc w:val="left"/>
                          <w:rPr>
                            <w:b/>
                            <w:sz w:val="21"/>
                          </w:rPr>
                        </w:pPr>
                        <w:r>
                          <w:rPr>
                            <w:b/>
                            <w:color w:val="929F00"/>
                            <w:spacing w:val="-2"/>
                            <w:sz w:val="21"/>
                          </w:rPr>
                          <w:t>治疗期：</w:t>
                        </w:r>
                        <w:r>
                          <w:rPr>
                            <w:rFonts w:ascii="Times New Roman" w:eastAsia="Times New Roman"/>
                            <w:b/>
                            <w:color w:val="929F00"/>
                            <w:spacing w:val="-2"/>
                            <w:sz w:val="21"/>
                          </w:rPr>
                          <w:t>28</w:t>
                        </w:r>
                        <w:r>
                          <w:rPr>
                            <w:rFonts w:ascii="Times New Roman" w:eastAsia="Times New Roman"/>
                            <w:b/>
                            <w:color w:val="929F00"/>
                            <w:spacing w:val="-3"/>
                            <w:sz w:val="21"/>
                          </w:rPr>
                          <w:t> </w:t>
                        </w:r>
                        <w:r>
                          <w:rPr>
                            <w:b/>
                            <w:color w:val="929F00"/>
                            <w:spacing w:val="-12"/>
                            <w:sz w:val="21"/>
                          </w:rPr>
                          <w:t>周</w:t>
                        </w:r>
                      </w:p>
                    </w:txbxContent>
                  </v:textbox>
                  <w10:wrap type="none"/>
                </v:shape>
                <v:shape style="position:absolute;left:9942;top:3182;width:664;height:397" type="#_x0000_t202" id="docshape27" filled="false" stroked="false">
                  <v:textbox inset="0,0,0,0">
                    <w:txbxContent>
                      <w:p>
                        <w:pPr>
                          <w:spacing w:line="182" w:lineRule="exact" w:before="0"/>
                          <w:ind w:left="0" w:right="18" w:firstLine="0"/>
                          <w:jc w:val="center"/>
                          <w:rPr>
                            <w:b/>
                            <w:sz w:val="16"/>
                          </w:rPr>
                        </w:pPr>
                        <w:r>
                          <w:rPr>
                            <w:b/>
                            <w:color w:val="830051"/>
                            <w:spacing w:val="-4"/>
                            <w:sz w:val="16"/>
                          </w:rPr>
                          <w:t>随访期：</w:t>
                        </w:r>
                      </w:p>
                      <w:p>
                        <w:pPr>
                          <w:spacing w:line="198" w:lineRule="exact" w:before="16"/>
                          <w:ind w:left="0" w:right="20" w:firstLine="0"/>
                          <w:jc w:val="center"/>
                          <w:rPr>
                            <w:b/>
                            <w:sz w:val="16"/>
                          </w:rPr>
                        </w:pPr>
                        <w:r>
                          <w:rPr>
                            <w:rFonts w:ascii="Times New Roman" w:eastAsia="Times New Roman"/>
                            <w:b/>
                            <w:color w:val="830051"/>
                            <w:sz w:val="16"/>
                          </w:rPr>
                          <w:t>8</w:t>
                        </w:r>
                        <w:r>
                          <w:rPr>
                            <w:rFonts w:ascii="Times New Roman" w:eastAsia="Times New Roman"/>
                            <w:b/>
                            <w:color w:val="830051"/>
                            <w:spacing w:val="-7"/>
                            <w:sz w:val="16"/>
                          </w:rPr>
                          <w:t> </w:t>
                        </w:r>
                        <w:r>
                          <w:rPr>
                            <w:b/>
                            <w:color w:val="830051"/>
                            <w:spacing w:val="-10"/>
                            <w:sz w:val="16"/>
                          </w:rPr>
                          <w:t>周</w:t>
                        </w:r>
                      </w:p>
                    </w:txbxContent>
                  </v:textbox>
                  <w10:wrap type="none"/>
                </v:shape>
                <v:shape style="position:absolute;left:2321;top:3845;width:3380;height:177" type="#_x0000_t202" id="docshape28" filled="false" stroked="false">
                  <v:textbox inset="0,0,0,0">
                    <w:txbxContent>
                      <w:p>
                        <w:pPr>
                          <w:tabs>
                            <w:tab w:pos="535" w:val="left" w:leader="none"/>
                            <w:tab w:pos="3359" w:val="left" w:leader="none"/>
                          </w:tabs>
                          <w:spacing w:line="177" w:lineRule="exact" w:before="0"/>
                          <w:ind w:left="0" w:right="0" w:firstLine="0"/>
                          <w:jc w:val="left"/>
                          <w:rPr>
                            <w:b/>
                            <w:sz w:val="16"/>
                          </w:rPr>
                        </w:pPr>
                        <w:r>
                          <w:rPr>
                            <w:rFonts w:ascii="Times New Roman" w:eastAsia="Times New Roman"/>
                            <w:b/>
                            <w:color w:val="FFFFFF"/>
                            <w:sz w:val="16"/>
                            <w:shd w:fill="929F00" w:color="auto" w:val="clear"/>
                          </w:rPr>
                          <w:tab/>
                        </w:r>
                        <w:r>
                          <w:rPr>
                            <w:rFonts w:ascii="Times New Roman" w:eastAsia="Times New Roman"/>
                            <w:b/>
                            <w:color w:val="FFFFFF"/>
                            <w:spacing w:val="-2"/>
                            <w:sz w:val="16"/>
                            <w:shd w:fill="929F00" w:color="auto" w:val="clear"/>
                          </w:rPr>
                          <w:t>OBERON </w:t>
                        </w:r>
                        <w:r>
                          <w:rPr>
                            <w:b/>
                            <w:color w:val="FFFFFF"/>
                            <w:spacing w:val="-2"/>
                            <w:sz w:val="16"/>
                            <w:shd w:fill="929F00" w:color="auto" w:val="clear"/>
                          </w:rPr>
                          <w:t>和</w:t>
                        </w:r>
                        <w:r>
                          <w:rPr>
                            <w:b/>
                            <w:color w:val="FFFFFF"/>
                            <w:spacing w:val="-36"/>
                            <w:sz w:val="16"/>
                            <w:shd w:fill="929F00" w:color="auto" w:val="clear"/>
                          </w:rPr>
                          <w:t> </w:t>
                        </w:r>
                        <w:r>
                          <w:rPr>
                            <w:rFonts w:ascii="Times New Roman" w:eastAsia="Times New Roman"/>
                            <w:b/>
                            <w:color w:val="FFFFFF"/>
                            <w:spacing w:val="-2"/>
                            <w:sz w:val="16"/>
                            <w:shd w:fill="929F00" w:color="auto" w:val="clear"/>
                          </w:rPr>
                          <w:t>TITANIA</w:t>
                        </w:r>
                        <w:r>
                          <w:rPr>
                            <w:rFonts w:ascii="Times New Roman" w:eastAsia="Times New Roman"/>
                            <w:b/>
                            <w:color w:val="FFFFFF"/>
                            <w:spacing w:val="-4"/>
                            <w:sz w:val="16"/>
                            <w:shd w:fill="929F00" w:color="auto" w:val="clear"/>
                          </w:rPr>
                          <w:t> </w:t>
                        </w:r>
                        <w:r>
                          <w:rPr>
                            <w:b/>
                            <w:color w:val="FFFFFF"/>
                            <w:spacing w:val="-2"/>
                            <w:sz w:val="16"/>
                            <w:shd w:fill="929F00" w:color="auto" w:val="clear"/>
                          </w:rPr>
                          <w:t>前身研</w:t>
                        </w:r>
                        <w:r>
                          <w:rPr>
                            <w:b/>
                            <w:color w:val="FFFFFF"/>
                            <w:spacing w:val="-10"/>
                            <w:sz w:val="16"/>
                            <w:shd w:fill="929F00" w:color="auto" w:val="clear"/>
                          </w:rPr>
                          <w:t>究</w:t>
                        </w:r>
                        <w:r>
                          <w:rPr>
                            <w:b/>
                            <w:color w:val="FFFFFF"/>
                            <w:sz w:val="16"/>
                            <w:shd w:fill="929F00" w:color="auto" w:val="clear"/>
                          </w:rPr>
                          <w:tab/>
                        </w:r>
                      </w:p>
                    </w:txbxContent>
                  </v:textbox>
                  <w10:wrap type="none"/>
                </v:shape>
                <v:shape style="position:absolute;left:7593;top:3855;width:1820;height:177" type="#_x0000_t202" id="docshape29" filled="false" stroked="false">
                  <v:textbox inset="0,0,0,0">
                    <w:txbxContent>
                      <w:p>
                        <w:pPr>
                          <w:spacing w:line="177" w:lineRule="exact" w:before="0"/>
                          <w:ind w:left="0" w:right="0" w:firstLine="0"/>
                          <w:jc w:val="left"/>
                          <w:rPr>
                            <w:b/>
                            <w:sz w:val="16"/>
                          </w:rPr>
                        </w:pPr>
                        <w:r>
                          <w:rPr>
                            <w:rFonts w:ascii="Times New Roman" w:eastAsia="Times New Roman"/>
                            <w:b/>
                            <w:color w:val="FFFFFF"/>
                            <w:spacing w:val="69"/>
                            <w:sz w:val="16"/>
                            <w:shd w:fill="929F00" w:color="auto" w:val="clear"/>
                          </w:rPr>
                          <w:t> </w:t>
                        </w:r>
                        <w:r>
                          <w:rPr>
                            <w:rFonts w:ascii="Times New Roman" w:eastAsia="Times New Roman"/>
                            <w:b/>
                            <w:color w:val="FFFFFF"/>
                            <w:spacing w:val="-2"/>
                            <w:sz w:val="16"/>
                            <w:shd w:fill="929F00" w:color="auto" w:val="clear"/>
                          </w:rPr>
                          <w:t>PROSPERO</w:t>
                        </w:r>
                        <w:r>
                          <w:rPr>
                            <w:rFonts w:ascii="Times New Roman" w:eastAsia="Times New Roman"/>
                            <w:b/>
                            <w:color w:val="FFFFFF"/>
                            <w:spacing w:val="1"/>
                            <w:sz w:val="16"/>
                            <w:shd w:fill="929F00" w:color="auto" w:val="clear"/>
                          </w:rPr>
                          <w:t> </w:t>
                        </w:r>
                        <w:r>
                          <w:rPr>
                            <w:rFonts w:ascii="Times New Roman" w:eastAsia="Times New Roman"/>
                            <w:b/>
                            <w:color w:val="FFFFFF"/>
                            <w:spacing w:val="-2"/>
                            <w:sz w:val="16"/>
                            <w:shd w:fill="929F00" w:color="auto" w:val="clear"/>
                          </w:rPr>
                          <w:t>LTE</w:t>
                        </w:r>
                        <w:r>
                          <w:rPr>
                            <w:rFonts w:ascii="Times New Roman" w:eastAsia="Times New Roman"/>
                            <w:b/>
                            <w:color w:val="FFFFFF"/>
                            <w:spacing w:val="-5"/>
                            <w:sz w:val="16"/>
                            <w:shd w:fill="929F00" w:color="auto" w:val="clear"/>
                          </w:rPr>
                          <w:t> </w:t>
                        </w:r>
                        <w:r>
                          <w:rPr>
                            <w:b/>
                            <w:color w:val="FFFFFF"/>
                            <w:spacing w:val="-6"/>
                            <w:sz w:val="16"/>
                            <w:shd w:fill="929F00" w:color="auto" w:val="clear"/>
                          </w:rPr>
                          <w:t>研究</w:t>
                        </w:r>
                        <w:r>
                          <w:rPr>
                            <w:b/>
                            <w:color w:val="FFFFFF"/>
                            <w:spacing w:val="40"/>
                            <w:sz w:val="16"/>
                            <w:shd w:fill="929F00" w:color="auto" w:val="clear"/>
                          </w:rPr>
                          <w:t> </w:t>
                        </w:r>
                      </w:p>
                    </w:txbxContent>
                  </v:textbox>
                  <w10:wrap type="none"/>
                </v:shape>
                <v:shape style="position:absolute;left:1908;top:4863;width:3269;height:167" type="#_x0000_t202" id="docshape30" filled="false" stroked="false">
                  <v:textbox inset="0,0,0,0">
                    <w:txbxContent>
                      <w:p>
                        <w:pPr>
                          <w:tabs>
                            <w:tab w:pos="1093" w:val="left" w:leader="none"/>
                            <w:tab w:pos="3248" w:val="left" w:leader="none"/>
                          </w:tabs>
                          <w:spacing w:line="166" w:lineRule="exact" w:before="0"/>
                          <w:ind w:left="0" w:right="0" w:firstLine="0"/>
                          <w:jc w:val="left"/>
                          <w:rPr>
                            <w:rFonts w:ascii="Times New Roman" w:eastAsia="Times New Roman"/>
                            <w:b/>
                            <w:sz w:val="15"/>
                          </w:rPr>
                        </w:pPr>
                        <w:r>
                          <w:rPr>
                            <w:rFonts w:ascii="Times New Roman" w:eastAsia="Times New Roman"/>
                            <w:b/>
                            <w:color w:val="929F00"/>
                            <w:sz w:val="15"/>
                            <w:shd w:fill="F5FF88" w:color="auto" w:val="clear"/>
                          </w:rPr>
                          <w:tab/>
                        </w:r>
                        <w:r>
                          <w:rPr>
                            <w:b/>
                            <w:color w:val="929F00"/>
                            <w:sz w:val="15"/>
                            <w:shd w:fill="F5FF88" w:color="auto" w:val="clear"/>
                          </w:rPr>
                          <w:t>安慰剂</w:t>
                        </w:r>
                        <w:r>
                          <w:rPr>
                            <w:b/>
                            <w:color w:val="929F00"/>
                            <w:spacing w:val="-38"/>
                            <w:sz w:val="15"/>
                            <w:shd w:fill="F5FF88" w:color="auto" w:val="clear"/>
                          </w:rPr>
                          <w:t> </w:t>
                        </w:r>
                        <w:r>
                          <w:rPr>
                            <w:rFonts w:ascii="Times New Roman" w:eastAsia="Times New Roman"/>
                            <w:b/>
                            <w:color w:val="929F00"/>
                            <w:sz w:val="15"/>
                            <w:shd w:fill="F5FF88" w:color="auto" w:val="clear"/>
                          </w:rPr>
                          <w:t>Q4W</w:t>
                        </w:r>
                        <w:r>
                          <w:rPr>
                            <w:rFonts w:ascii="Times New Roman" w:eastAsia="Times New Roman"/>
                            <w:b/>
                            <w:color w:val="929F00"/>
                            <w:spacing w:val="-5"/>
                            <w:sz w:val="15"/>
                            <w:shd w:fill="F5FF88" w:color="auto" w:val="clear"/>
                          </w:rPr>
                          <w:t> SC</w:t>
                        </w:r>
                        <w:r>
                          <w:rPr>
                            <w:rFonts w:ascii="Times New Roman" w:eastAsia="Times New Roman"/>
                            <w:b/>
                            <w:color w:val="929F00"/>
                            <w:sz w:val="15"/>
                            <w:shd w:fill="F5FF88" w:color="auto" w:val="clear"/>
                          </w:rPr>
                          <w:tab/>
                        </w:r>
                      </w:p>
                    </w:txbxContent>
                  </v:textbox>
                  <w10:wrap type="none"/>
                </v:shape>
                <v:shape style="position:absolute;left:9453;top:5099;width:933;height:302" type="#_x0000_t202" id="docshape31" filled="false" stroked="false">
                  <v:textbox inset="0,0,0,0">
                    <w:txbxContent>
                      <w:p>
                        <w:pPr>
                          <w:spacing w:line="152" w:lineRule="exact" w:before="0"/>
                          <w:ind w:left="53" w:right="0" w:firstLine="0"/>
                          <w:jc w:val="left"/>
                          <w:rPr>
                            <w:b/>
                            <w:sz w:val="13"/>
                          </w:rPr>
                        </w:pPr>
                        <w:r>
                          <w:rPr>
                            <w:b/>
                            <w:color w:val="006FC0"/>
                            <w:spacing w:val="-16"/>
                            <w:sz w:val="13"/>
                          </w:rPr>
                          <w:t>从 </w:t>
                        </w:r>
                        <w:r>
                          <w:rPr>
                            <w:rFonts w:ascii="Times New Roman" w:eastAsia="Times New Roman"/>
                            <w:b/>
                            <w:color w:val="006FC0"/>
                            <w:spacing w:val="-2"/>
                            <w:sz w:val="13"/>
                          </w:rPr>
                          <w:t>O/T</w:t>
                        </w:r>
                        <w:r>
                          <w:rPr>
                            <w:rFonts w:ascii="Times New Roman" w:eastAsia="Times New Roman"/>
                            <w:b/>
                            <w:color w:val="006FC0"/>
                            <w:spacing w:val="-3"/>
                            <w:sz w:val="13"/>
                          </w:rPr>
                          <w:t> </w:t>
                        </w:r>
                        <w:r>
                          <w:rPr>
                            <w:b/>
                            <w:color w:val="006FC0"/>
                            <w:spacing w:val="-5"/>
                            <w:sz w:val="13"/>
                          </w:rPr>
                          <w:t>开始的</w:t>
                        </w:r>
                      </w:p>
                      <w:p>
                        <w:pPr>
                          <w:spacing w:line="150" w:lineRule="exact" w:before="0"/>
                          <w:ind w:left="0" w:right="0" w:firstLine="0"/>
                          <w:jc w:val="left"/>
                          <w:rPr>
                            <w:b/>
                            <w:sz w:val="13"/>
                          </w:rPr>
                        </w:pPr>
                        <w:r>
                          <w:rPr>
                            <w:b/>
                            <w:color w:val="006FC0"/>
                            <w:spacing w:val="-4"/>
                            <w:sz w:val="13"/>
                          </w:rPr>
                          <w:t>主要有效性比较</w:t>
                        </w:r>
                      </w:p>
                    </w:txbxContent>
                  </v:textbox>
                  <w10:wrap type="none"/>
                </v:shape>
                <v:shape style="position:absolute;left:7406;top:3395;width:1938;height:279" type="#_x0000_t202" id="docshape32" filled="true" fillcolor="#ffffff" stroked="false">
                  <v:textbox inset="0,0,0,0">
                    <w:txbxContent>
                      <w:p>
                        <w:pPr>
                          <w:spacing w:before="47"/>
                          <w:ind w:left="471" w:right="0" w:firstLine="0"/>
                          <w:jc w:val="left"/>
                          <w:rPr>
                            <w:b/>
                            <w:color w:val="000000"/>
                            <w:sz w:val="16"/>
                          </w:rPr>
                        </w:pPr>
                        <w:r>
                          <w:rPr>
                            <w:b/>
                            <w:color w:val="830051"/>
                            <w:spacing w:val="-2"/>
                            <w:sz w:val="16"/>
                          </w:rPr>
                          <w:t>治疗期：</w:t>
                        </w:r>
                        <w:r>
                          <w:rPr>
                            <w:rFonts w:ascii="Times New Roman" w:eastAsia="Times New Roman"/>
                            <w:b/>
                            <w:color w:val="830051"/>
                            <w:spacing w:val="-2"/>
                            <w:sz w:val="16"/>
                          </w:rPr>
                          <w:t>28</w:t>
                        </w:r>
                        <w:r>
                          <w:rPr>
                            <w:rFonts w:ascii="Times New Roman" w:eastAsia="Times New Roman"/>
                            <w:b/>
                            <w:color w:val="830051"/>
                            <w:spacing w:val="1"/>
                            <w:sz w:val="16"/>
                          </w:rPr>
                          <w:t> </w:t>
                        </w:r>
                        <w:r>
                          <w:rPr>
                            <w:b/>
                            <w:color w:val="830051"/>
                            <w:spacing w:val="-10"/>
                            <w:sz w:val="16"/>
                          </w:rPr>
                          <w:t>周</w:t>
                        </w:r>
                      </w:p>
                    </w:txbxContent>
                  </v:textbox>
                  <v:fill type="solid"/>
                  <w10:wrap type="none"/>
                </v:shape>
                <v:shape style="position:absolute;left:5569;top:3138;width:1837;height:536" type="#_x0000_t202" id="docshape33" filled="true" fillcolor="#ffffff" stroked="false">
                  <v:textbox inset="0,0,0,0">
                    <w:txbxContent>
                      <w:p>
                        <w:pPr>
                          <w:spacing w:before="49"/>
                          <w:ind w:left="0" w:right="0" w:firstLine="0"/>
                          <w:jc w:val="center"/>
                          <w:rPr>
                            <w:b/>
                            <w:color w:val="000000"/>
                            <w:sz w:val="16"/>
                          </w:rPr>
                        </w:pPr>
                        <w:r>
                          <w:rPr>
                            <w:b/>
                            <w:color w:val="830051"/>
                            <w:spacing w:val="-7"/>
                            <w:sz w:val="16"/>
                          </w:rPr>
                          <w:t>入选</w:t>
                        </w:r>
                      </w:p>
                      <w:p>
                        <w:pPr>
                          <w:spacing w:before="16"/>
                          <w:ind w:left="0" w:right="0" w:firstLine="0"/>
                          <w:jc w:val="center"/>
                          <w:rPr>
                            <w:b/>
                            <w:color w:val="000000"/>
                            <w:sz w:val="16"/>
                          </w:rPr>
                        </w:pPr>
                        <w:r>
                          <w:rPr>
                            <w:b/>
                            <w:color w:val="830051"/>
                            <w:spacing w:val="-20"/>
                            <w:sz w:val="16"/>
                          </w:rPr>
                          <w:t>与 </w:t>
                        </w:r>
                        <w:r>
                          <w:rPr>
                            <w:rFonts w:ascii="Times New Roman" w:eastAsia="Times New Roman"/>
                            <w:b/>
                            <w:color w:val="830051"/>
                            <w:sz w:val="16"/>
                          </w:rPr>
                          <w:t>O/T</w:t>
                        </w:r>
                        <w:r>
                          <w:rPr>
                            <w:rFonts w:ascii="Times New Roman" w:eastAsia="Times New Roman"/>
                            <w:b/>
                            <w:color w:val="830051"/>
                            <w:spacing w:val="-6"/>
                            <w:sz w:val="16"/>
                          </w:rPr>
                          <w:t> </w:t>
                        </w:r>
                        <w:r>
                          <w:rPr>
                            <w:rFonts w:ascii="Times New Roman" w:eastAsia="Times New Roman"/>
                            <w:b/>
                            <w:color w:val="830051"/>
                            <w:sz w:val="16"/>
                          </w:rPr>
                          <w:t>V15</w:t>
                        </w:r>
                        <w:r>
                          <w:rPr>
                            <w:rFonts w:ascii="Times New Roman" w:eastAsia="Times New Roman"/>
                            <w:b/>
                            <w:color w:val="830051"/>
                            <w:spacing w:val="-9"/>
                            <w:sz w:val="16"/>
                          </w:rPr>
                          <w:t> </w:t>
                        </w:r>
                        <w:r>
                          <w:rPr>
                            <w:b/>
                            <w:color w:val="830051"/>
                            <w:spacing w:val="-4"/>
                            <w:sz w:val="16"/>
                          </w:rPr>
                          <w:t>同一天</w:t>
                        </w:r>
                      </w:p>
                    </w:txbxContent>
                  </v:textbox>
                  <v:fill type="solid"/>
                  <w10:wrap type="none"/>
                </v:shape>
                <v:shape style="position:absolute;left:6654;top:4740;width:3249;height:267" type="#_x0000_t202" id="docshape34" filled="false" stroked="false">
                  <v:textbox inset="0,0,0,0">
                    <w:txbxContent>
                      <w:p>
                        <w:pPr>
                          <w:spacing w:before="3"/>
                          <w:ind w:left="1059" w:right="0" w:firstLine="0"/>
                          <w:jc w:val="left"/>
                          <w:rPr>
                            <w:rFonts w:ascii="Times New Roman" w:eastAsia="Times New Roman"/>
                            <w:b/>
                            <w:sz w:val="16"/>
                          </w:rPr>
                        </w:pPr>
                        <w:r>
                          <w:rPr>
                            <w:b/>
                            <w:color w:val="929F00"/>
                            <w:spacing w:val="-10"/>
                            <w:sz w:val="16"/>
                          </w:rPr>
                          <w:t>安慰剂 </w:t>
                        </w:r>
                        <w:r>
                          <w:rPr>
                            <w:rFonts w:ascii="Times New Roman" w:eastAsia="Times New Roman"/>
                            <w:b/>
                            <w:color w:val="929F00"/>
                            <w:sz w:val="16"/>
                          </w:rPr>
                          <w:t>Q4W</w:t>
                        </w:r>
                        <w:r>
                          <w:rPr>
                            <w:rFonts w:ascii="Times New Roman" w:eastAsia="Times New Roman"/>
                            <w:b/>
                            <w:color w:val="929F00"/>
                            <w:spacing w:val="-9"/>
                            <w:sz w:val="16"/>
                          </w:rPr>
                          <w:t> </w:t>
                        </w:r>
                        <w:r>
                          <w:rPr>
                            <w:rFonts w:ascii="Times New Roman" w:eastAsia="Times New Roman"/>
                            <w:b/>
                            <w:color w:val="929F00"/>
                            <w:spacing w:val="-5"/>
                            <w:sz w:val="16"/>
                          </w:rPr>
                          <w:t>SC</w:t>
                        </w:r>
                      </w:p>
                    </w:txbxContent>
                  </v:textbox>
                  <w10:wrap type="none"/>
                </v:shape>
                <w10:wrap type="topAndBottom"/>
              </v:group>
            </w:pict>
          </mc:Fallback>
        </mc:AlternateContent>
      </w:r>
    </w:p>
    <w:p>
      <w:pPr>
        <w:pStyle w:val="BodyText"/>
        <w:spacing w:before="5"/>
        <w:ind w:left="0"/>
        <w:rPr>
          <w:b/>
          <w:sz w:val="18"/>
        </w:rPr>
      </w:pPr>
    </w:p>
    <w:p>
      <w:pPr>
        <w:spacing w:before="244"/>
        <w:ind w:left="221" w:right="0" w:firstLine="0"/>
        <w:jc w:val="left"/>
        <w:rPr>
          <w:sz w:val="21"/>
        </w:rPr>
      </w:pPr>
      <w:r>
        <w:rPr>
          <w:spacing w:val="-11"/>
          <w:sz w:val="21"/>
        </w:rPr>
        <w:t>注：如果 </w:t>
      </w:r>
      <w:r>
        <w:rPr>
          <w:rFonts w:ascii="Times New Roman" w:eastAsia="Times New Roman"/>
          <w:sz w:val="21"/>
        </w:rPr>
        <w:t>PROSPERO</w:t>
      </w:r>
      <w:r>
        <w:rPr>
          <w:rFonts w:ascii="Times New Roman" w:eastAsia="Times New Roman"/>
          <w:spacing w:val="-14"/>
          <w:sz w:val="21"/>
        </w:rPr>
        <w:t> </w:t>
      </w:r>
      <w:r>
        <w:rPr>
          <w:spacing w:val="-14"/>
          <w:sz w:val="21"/>
        </w:rPr>
        <w:t>的访视 </w:t>
      </w:r>
      <w:r>
        <w:rPr>
          <w:rFonts w:ascii="Times New Roman" w:eastAsia="Times New Roman"/>
          <w:sz w:val="21"/>
        </w:rPr>
        <w:t>1</w:t>
      </w:r>
      <w:r>
        <w:rPr>
          <w:rFonts w:ascii="Times New Roman" w:eastAsia="Times New Roman"/>
          <w:spacing w:val="-13"/>
          <w:sz w:val="21"/>
        </w:rPr>
        <w:t> </w:t>
      </w:r>
      <w:r>
        <w:rPr>
          <w:spacing w:val="-6"/>
          <w:sz w:val="21"/>
        </w:rPr>
        <w:t>未与前身研究的访视 </w:t>
      </w:r>
      <w:r>
        <w:rPr>
          <w:rFonts w:ascii="Times New Roman" w:eastAsia="Times New Roman"/>
          <w:sz w:val="21"/>
        </w:rPr>
        <w:t>15</w:t>
      </w:r>
      <w:r>
        <w:rPr>
          <w:rFonts w:ascii="Times New Roman" w:eastAsia="Times New Roman"/>
          <w:spacing w:val="-13"/>
          <w:sz w:val="21"/>
        </w:rPr>
        <w:t> </w:t>
      </w:r>
      <w:r>
        <w:rPr>
          <w:spacing w:val="-5"/>
          <w:sz w:val="21"/>
        </w:rPr>
        <w:t>在同一天进行，请见第 </w:t>
      </w:r>
      <w:hyperlink w:history="true" w:anchor="_bookmark24">
        <w:r>
          <w:rPr>
            <w:rFonts w:ascii="Times New Roman" w:eastAsia="Times New Roman"/>
            <w:color w:val="0000FF"/>
            <w:sz w:val="21"/>
          </w:rPr>
          <w:t>4.1.1</w:t>
        </w:r>
      </w:hyperlink>
      <w:r>
        <w:rPr>
          <w:rFonts w:ascii="Times New Roman" w:eastAsia="Times New Roman"/>
          <w:color w:val="0000FF"/>
          <w:spacing w:val="-12"/>
          <w:sz w:val="21"/>
        </w:rPr>
        <w:t> </w:t>
      </w:r>
      <w:r>
        <w:rPr>
          <w:spacing w:val="-5"/>
          <w:sz w:val="21"/>
        </w:rPr>
        <w:t>节。</w:t>
      </w:r>
    </w:p>
    <w:p>
      <w:pPr>
        <w:spacing w:line="259" w:lineRule="auto" w:before="61"/>
        <w:ind w:left="221" w:right="356" w:firstLine="0"/>
        <w:jc w:val="left"/>
        <w:rPr>
          <w:sz w:val="21"/>
        </w:rPr>
      </w:pPr>
      <w:r>
        <w:rPr>
          <w:spacing w:val="-18"/>
          <w:sz w:val="21"/>
        </w:rPr>
        <w:t>根据 </w:t>
      </w:r>
      <w:r>
        <w:rPr>
          <w:rFonts w:ascii="Times New Roman" w:eastAsia="Times New Roman"/>
          <w:sz w:val="21"/>
        </w:rPr>
        <w:t>CSP</w:t>
      </w:r>
      <w:r>
        <w:rPr>
          <w:rFonts w:ascii="Times New Roman" w:eastAsia="Times New Roman"/>
          <w:spacing w:val="-14"/>
          <w:sz w:val="21"/>
        </w:rPr>
        <w:t> </w:t>
      </w:r>
      <w:r>
        <w:rPr>
          <w:spacing w:val="-27"/>
          <w:sz w:val="21"/>
        </w:rPr>
        <w:t>第 </w:t>
      </w:r>
      <w:r>
        <w:rPr>
          <w:rFonts w:ascii="Times New Roman" w:eastAsia="Times New Roman"/>
          <w:sz w:val="21"/>
        </w:rPr>
        <w:t>1.0</w:t>
      </w:r>
      <w:r>
        <w:rPr>
          <w:rFonts w:ascii="Times New Roman" w:eastAsia="Times New Roman"/>
          <w:spacing w:val="-13"/>
          <w:sz w:val="21"/>
        </w:rPr>
        <w:t> </w:t>
      </w:r>
      <w:r>
        <w:rPr>
          <w:spacing w:val="-11"/>
          <w:sz w:val="21"/>
        </w:rPr>
        <w:t>版：将以 </w:t>
      </w:r>
      <w:r>
        <w:rPr>
          <w:rFonts w:ascii="Times New Roman" w:eastAsia="Times New Roman"/>
          <w:sz w:val="21"/>
        </w:rPr>
        <w:t>1:1:2</w:t>
      </w:r>
      <w:r>
        <w:rPr>
          <w:rFonts w:ascii="Times New Roman" w:eastAsia="Times New Roman"/>
          <w:spacing w:val="-13"/>
          <w:sz w:val="21"/>
        </w:rPr>
        <w:t> </w:t>
      </w:r>
      <w:r>
        <w:rPr>
          <w:sz w:val="21"/>
        </w:rPr>
        <w:t>的比例（</w:t>
      </w:r>
      <w:r>
        <w:rPr>
          <w:spacing w:val="-14"/>
          <w:sz w:val="21"/>
        </w:rPr>
        <w:t>分别为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Q4W</w:t>
      </w:r>
      <w:r>
        <w:rPr>
          <w:sz w:val="21"/>
        </w:rPr>
        <w:t>、</w:t>
      </w:r>
      <w:r>
        <w:rPr>
          <w:rFonts w:ascii="Times New Roman" w:eastAsia="Times New Roman"/>
          <w:sz w:val="21"/>
        </w:rPr>
        <w:t>tozorakimab Q8W</w:t>
      </w:r>
      <w:r>
        <w:rPr>
          <w:rFonts w:ascii="Times New Roman" w:eastAsia="Times New Roman"/>
          <w:spacing w:val="-14"/>
          <w:sz w:val="21"/>
        </w:rPr>
        <w:t> </w:t>
      </w:r>
      <w:r>
        <w:rPr>
          <w:sz w:val="21"/>
        </w:rPr>
        <w:t>和匹配的安</w:t>
      </w:r>
      <w:r>
        <w:rPr>
          <w:spacing w:val="-2"/>
          <w:sz w:val="21"/>
        </w:rPr>
        <w:t>慰剂）对安慰剂组受试者重新随机化。</w:t>
      </w:r>
    </w:p>
    <w:p>
      <w:pPr>
        <w:spacing w:line="259" w:lineRule="auto" w:before="38"/>
        <w:ind w:left="221" w:right="357" w:firstLine="0"/>
        <w:jc w:val="both"/>
        <w:rPr>
          <w:sz w:val="21"/>
        </w:rPr>
      </w:pPr>
      <w:r>
        <w:rPr>
          <w:spacing w:val="-10"/>
          <w:sz w:val="21"/>
        </w:rPr>
        <w:t>根据 </w:t>
      </w:r>
      <w:r>
        <w:rPr>
          <w:rFonts w:ascii="Times New Roman" w:eastAsia="Times New Roman"/>
          <w:spacing w:val="-2"/>
          <w:sz w:val="21"/>
        </w:rPr>
        <w:t>CSP</w:t>
      </w:r>
      <w:r>
        <w:rPr>
          <w:rFonts w:ascii="Times New Roman" w:eastAsia="Times New Roman"/>
          <w:spacing w:val="-11"/>
          <w:sz w:val="21"/>
        </w:rPr>
        <w:t> </w:t>
      </w:r>
      <w:r>
        <w:rPr>
          <w:spacing w:val="-13"/>
          <w:sz w:val="21"/>
        </w:rPr>
        <w:t>第 </w:t>
      </w:r>
      <w:r>
        <w:rPr>
          <w:rFonts w:ascii="Times New Roman" w:eastAsia="Times New Roman"/>
          <w:spacing w:val="-2"/>
          <w:sz w:val="21"/>
        </w:rPr>
        <w:t>2.0</w:t>
      </w:r>
      <w:r>
        <w:rPr>
          <w:rFonts w:ascii="Times New Roman" w:eastAsia="Times New Roman"/>
          <w:spacing w:val="-11"/>
          <w:sz w:val="21"/>
        </w:rPr>
        <w:t> </w:t>
      </w:r>
      <w:r>
        <w:rPr>
          <w:spacing w:val="-7"/>
          <w:sz w:val="21"/>
        </w:rPr>
        <w:t>版：将以 </w:t>
      </w:r>
      <w:r>
        <w:rPr>
          <w:rFonts w:ascii="Times New Roman" w:eastAsia="Times New Roman"/>
          <w:spacing w:val="-2"/>
          <w:sz w:val="21"/>
        </w:rPr>
        <w:t>1:1</w:t>
      </w:r>
      <w:r>
        <w:rPr>
          <w:rFonts w:ascii="Times New Roman" w:eastAsia="Times New Roman"/>
          <w:spacing w:val="-12"/>
          <w:sz w:val="21"/>
        </w:rPr>
        <w:t> </w:t>
      </w:r>
      <w:r>
        <w:rPr>
          <w:spacing w:val="-2"/>
          <w:sz w:val="21"/>
        </w:rPr>
        <w:t>的比例（</w:t>
      </w:r>
      <w:r>
        <w:rPr>
          <w:spacing w:val="-8"/>
          <w:sz w:val="21"/>
        </w:rPr>
        <w:t>分别为 </w:t>
      </w:r>
      <w:r>
        <w:rPr>
          <w:rFonts w:ascii="Times New Roman" w:eastAsia="Times New Roman"/>
          <w:spacing w:val="-2"/>
          <w:sz w:val="21"/>
        </w:rPr>
        <w:t>tozorakimab</w:t>
      </w:r>
      <w:r>
        <w:rPr>
          <w:rFonts w:ascii="Times New Roman" w:eastAsia="Times New Roman"/>
          <w:spacing w:val="-5"/>
          <w:sz w:val="21"/>
        </w:rPr>
        <w:t> </w:t>
      </w:r>
      <w:r>
        <w:rPr>
          <w:rFonts w:ascii="Times New Roman" w:eastAsia="Times New Roman"/>
          <w:spacing w:val="-2"/>
          <w:sz w:val="21"/>
        </w:rPr>
        <w:t>Q4W </w:t>
      </w:r>
      <w:r>
        <w:rPr>
          <w:spacing w:val="-2"/>
          <w:sz w:val="21"/>
        </w:rPr>
        <w:t>和匹配的安慰剂）对安慰剂组受</w:t>
      </w:r>
      <w:r>
        <w:rPr>
          <w:sz w:val="21"/>
        </w:rPr>
        <w:t>试者重新进行随机化，</w:t>
      </w:r>
      <w:r>
        <w:rPr>
          <w:rFonts w:ascii="Times New Roman" w:eastAsia="Times New Roman"/>
          <w:sz w:val="21"/>
        </w:rPr>
        <w:t>tozorakimab</w:t>
      </w:r>
      <w:r>
        <w:rPr>
          <w:rFonts w:ascii="Times New Roman" w:eastAsia="Times New Roman"/>
          <w:spacing w:val="-14"/>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Q8W</w:t>
      </w:r>
      <w:r>
        <w:rPr>
          <w:rFonts w:ascii="Times New Roman" w:eastAsia="Times New Roman"/>
          <w:spacing w:val="-13"/>
          <w:sz w:val="21"/>
        </w:rPr>
        <w:t> </w:t>
      </w:r>
      <w:r>
        <w:rPr>
          <w:spacing w:val="-3"/>
          <w:sz w:val="21"/>
        </w:rPr>
        <w:t>组的受试者将改用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2"/>
          <w:sz w:val="21"/>
        </w:rPr>
        <w:t> </w:t>
      </w:r>
      <w:r>
        <w:rPr>
          <w:rFonts w:ascii="Times New Roman" w:eastAsia="Times New Roman"/>
          <w:sz w:val="21"/>
        </w:rPr>
        <w:t>Q4W</w:t>
      </w:r>
      <w:r>
        <w:rPr>
          <w:sz w:val="21"/>
        </w:rPr>
        <w:t>。已</w:t>
      </w:r>
      <w:r>
        <w:rPr>
          <w:spacing w:val="-11"/>
          <w:sz w:val="21"/>
        </w:rPr>
        <w:t>根据 </w:t>
      </w:r>
      <w:r>
        <w:rPr>
          <w:rFonts w:ascii="Times New Roman" w:eastAsia="Times New Roman"/>
          <w:spacing w:val="-4"/>
          <w:sz w:val="21"/>
        </w:rPr>
        <w:t>CSP</w:t>
      </w:r>
      <w:r>
        <w:rPr>
          <w:rFonts w:ascii="Times New Roman" w:eastAsia="Times New Roman"/>
          <w:spacing w:val="9"/>
          <w:sz w:val="21"/>
        </w:rPr>
        <w:t> </w:t>
      </w:r>
      <w:r>
        <w:rPr>
          <w:spacing w:val="-14"/>
          <w:sz w:val="21"/>
        </w:rPr>
        <w:t>第 </w:t>
      </w:r>
      <w:r>
        <w:rPr>
          <w:rFonts w:ascii="Times New Roman" w:eastAsia="Times New Roman"/>
          <w:spacing w:val="-4"/>
          <w:sz w:val="21"/>
        </w:rPr>
        <w:t>1.0</w:t>
      </w:r>
      <w:r>
        <w:rPr>
          <w:rFonts w:ascii="Times New Roman" w:eastAsia="Times New Roman"/>
          <w:spacing w:val="12"/>
          <w:sz w:val="21"/>
        </w:rPr>
        <w:t> </w:t>
      </w:r>
      <w:r>
        <w:rPr>
          <w:spacing w:val="-4"/>
          <w:sz w:val="21"/>
        </w:rPr>
        <w:t>版进行随机化的受试者可在本修订案发布后继续使用相同治疗方案完成研究，治</w:t>
      </w:r>
      <w:r>
        <w:rPr>
          <w:spacing w:val="-8"/>
          <w:sz w:val="21"/>
        </w:rPr>
        <w:t>疗期为 </w:t>
      </w:r>
      <w:r>
        <w:rPr>
          <w:rFonts w:ascii="Times New Roman" w:eastAsia="Times New Roman"/>
          <w:spacing w:val="-2"/>
          <w:sz w:val="21"/>
        </w:rPr>
        <w:t>52</w:t>
      </w:r>
      <w:r>
        <w:rPr>
          <w:rFonts w:ascii="Times New Roman" w:eastAsia="Times New Roman"/>
          <w:spacing w:val="13"/>
          <w:sz w:val="21"/>
        </w:rPr>
        <w:t> </w:t>
      </w:r>
      <w:r>
        <w:rPr>
          <w:spacing w:val="-2"/>
          <w:sz w:val="21"/>
        </w:rPr>
        <w:t>周。</w:t>
      </w:r>
      <w:r>
        <w:rPr>
          <w:rFonts w:ascii="Times New Roman" w:eastAsia="Times New Roman"/>
          <w:spacing w:val="-2"/>
          <w:sz w:val="21"/>
        </w:rPr>
        <w:t>CSP</w:t>
      </w:r>
      <w:r>
        <w:rPr>
          <w:spacing w:val="-2"/>
          <w:sz w:val="21"/>
        </w:rPr>
        <w:t>，临床研究方案；</w:t>
      </w:r>
      <w:r>
        <w:rPr>
          <w:rFonts w:ascii="Times New Roman" w:eastAsia="Times New Roman"/>
          <w:spacing w:val="-2"/>
          <w:sz w:val="21"/>
        </w:rPr>
        <w:t>FU</w:t>
      </w:r>
      <w:r>
        <w:rPr>
          <w:spacing w:val="-2"/>
          <w:sz w:val="21"/>
        </w:rPr>
        <w:t>，随访；</w:t>
      </w:r>
      <w:r>
        <w:rPr>
          <w:rFonts w:ascii="Times New Roman" w:eastAsia="Times New Roman"/>
          <w:spacing w:val="-2"/>
          <w:sz w:val="21"/>
        </w:rPr>
        <w:t>LTE</w:t>
      </w:r>
      <w:r>
        <w:rPr>
          <w:spacing w:val="-2"/>
          <w:sz w:val="21"/>
        </w:rPr>
        <w:t>，长期扩展；</w:t>
      </w:r>
      <w:r>
        <w:rPr>
          <w:rFonts w:ascii="Times New Roman" w:eastAsia="Times New Roman"/>
          <w:spacing w:val="-2"/>
          <w:sz w:val="21"/>
        </w:rPr>
        <w:t>O/T</w:t>
      </w:r>
      <w:r>
        <w:rPr>
          <w:spacing w:val="-2"/>
          <w:sz w:val="21"/>
        </w:rPr>
        <w:t>，</w:t>
      </w:r>
      <w:r>
        <w:rPr>
          <w:rFonts w:ascii="Times New Roman" w:eastAsia="Times New Roman"/>
          <w:spacing w:val="-2"/>
          <w:sz w:val="21"/>
        </w:rPr>
        <w:t>OBERON</w:t>
      </w:r>
      <w:r>
        <w:rPr>
          <w:rFonts w:ascii="Times New Roman" w:eastAsia="Times New Roman"/>
          <w:spacing w:val="12"/>
          <w:sz w:val="21"/>
        </w:rPr>
        <w:t> </w:t>
      </w:r>
      <w:r>
        <w:rPr>
          <w:spacing w:val="-13"/>
          <w:sz w:val="21"/>
        </w:rPr>
        <w:t>或 </w:t>
      </w:r>
      <w:r>
        <w:rPr>
          <w:rFonts w:ascii="Times New Roman" w:eastAsia="Times New Roman"/>
          <w:spacing w:val="-2"/>
          <w:sz w:val="21"/>
        </w:rPr>
        <w:t>TITANIA</w:t>
      </w:r>
      <w:r>
        <w:rPr>
          <w:sz w:val="21"/>
        </w:rPr>
        <w:t>前身研究；</w:t>
      </w:r>
      <w:r>
        <w:rPr>
          <w:rFonts w:ascii="Times New Roman" w:eastAsia="Times New Roman"/>
          <w:sz w:val="21"/>
        </w:rPr>
        <w:t>Q4W</w:t>
      </w:r>
      <w:r>
        <w:rPr>
          <w:spacing w:val="-5"/>
          <w:sz w:val="21"/>
        </w:rPr>
        <w:t>，每 </w:t>
      </w:r>
      <w:r>
        <w:rPr>
          <w:rFonts w:ascii="Times New Roman" w:eastAsia="Times New Roman"/>
          <w:sz w:val="21"/>
        </w:rPr>
        <w:t>4 </w:t>
      </w:r>
      <w:r>
        <w:rPr>
          <w:sz w:val="21"/>
        </w:rPr>
        <w:t>周一次；</w:t>
      </w:r>
      <w:r>
        <w:rPr>
          <w:rFonts w:ascii="Times New Roman" w:eastAsia="Times New Roman"/>
          <w:sz w:val="21"/>
        </w:rPr>
        <w:t>Q8W</w:t>
      </w:r>
      <w:r>
        <w:rPr>
          <w:spacing w:val="-5"/>
          <w:sz w:val="21"/>
        </w:rPr>
        <w:t>，每 </w:t>
      </w:r>
      <w:r>
        <w:rPr>
          <w:rFonts w:ascii="Times New Roman" w:eastAsia="Times New Roman"/>
          <w:sz w:val="21"/>
        </w:rPr>
        <w:t>8 </w:t>
      </w:r>
      <w:r>
        <w:rPr>
          <w:sz w:val="21"/>
        </w:rPr>
        <w:t>周一次；</w:t>
      </w:r>
      <w:r>
        <w:rPr>
          <w:rFonts w:ascii="Times New Roman" w:eastAsia="Times New Roman"/>
          <w:sz w:val="21"/>
        </w:rPr>
        <w:t>SC</w:t>
      </w:r>
      <w:r>
        <w:rPr>
          <w:sz w:val="21"/>
        </w:rPr>
        <w:t>，皮下；</w:t>
      </w:r>
      <w:r>
        <w:rPr>
          <w:rFonts w:ascii="Times New Roman" w:eastAsia="Times New Roman"/>
          <w:sz w:val="21"/>
        </w:rPr>
        <w:t>V</w:t>
      </w:r>
      <w:r>
        <w:rPr>
          <w:sz w:val="21"/>
        </w:rPr>
        <w:t>，访视。</w:t>
      </w:r>
    </w:p>
    <w:p>
      <w:pPr>
        <w:pStyle w:val="BodyText"/>
        <w:spacing w:before="159"/>
        <w:ind w:left="0"/>
        <w:rPr>
          <w:sz w:val="21"/>
        </w:rPr>
      </w:pPr>
    </w:p>
    <w:p>
      <w:pPr>
        <w:pStyle w:val="Heading1"/>
        <w:numPr>
          <w:ilvl w:val="1"/>
          <w:numId w:val="3"/>
        </w:numPr>
        <w:tabs>
          <w:tab w:pos="1355" w:val="left" w:leader="none"/>
        </w:tabs>
        <w:spacing w:line="240" w:lineRule="auto" w:before="0" w:after="0"/>
        <w:ind w:left="1355" w:right="0" w:hanging="1134"/>
        <w:jc w:val="left"/>
      </w:pPr>
      <w:bookmarkStart w:name="1.3 研究活动时间计划表" w:id="14"/>
      <w:bookmarkEnd w:id="14"/>
      <w:r>
        <w:rPr>
          <w:b w:val="0"/>
        </w:rPr>
      </w:r>
      <w:bookmarkStart w:name="_bookmark7" w:id="15"/>
      <w:bookmarkEnd w:id="15"/>
      <w:r>
        <w:rPr>
          <w:b w:val="0"/>
        </w:rPr>
      </w:r>
      <w:r>
        <w:rPr>
          <w:spacing w:val="-5"/>
        </w:rPr>
        <w:t>研究活动时间计划表</w:t>
      </w:r>
    </w:p>
    <w:p>
      <w:pPr>
        <w:pStyle w:val="Heading2"/>
        <w:numPr>
          <w:ilvl w:val="2"/>
          <w:numId w:val="3"/>
        </w:numPr>
        <w:tabs>
          <w:tab w:pos="1373" w:val="left" w:leader="none"/>
        </w:tabs>
        <w:spacing w:line="240" w:lineRule="auto" w:before="118" w:after="0"/>
        <w:ind w:left="1373" w:right="0" w:hanging="1152"/>
        <w:jc w:val="left"/>
      </w:pPr>
      <w:bookmarkStart w:name="1.3.1 52周治疗期的研究活动时间表" w:id="16"/>
      <w:bookmarkEnd w:id="16"/>
      <w:r>
        <w:rPr>
          <w:b w:val="0"/>
        </w:rPr>
      </w:r>
      <w:bookmarkStart w:name="_bookmark8" w:id="17"/>
      <w:bookmarkEnd w:id="17"/>
      <w:r>
        <w:rPr>
          <w:b w:val="0"/>
        </w:rPr>
      </w:r>
      <w:r>
        <w:rPr>
          <w:rFonts w:ascii="Times New Roman" w:eastAsia="Times New Roman"/>
          <w:spacing w:val="-2"/>
        </w:rPr>
        <w:t>52</w:t>
      </w:r>
      <w:r>
        <w:rPr>
          <w:rFonts w:ascii="Times New Roman" w:eastAsia="Times New Roman"/>
          <w:spacing w:val="-9"/>
        </w:rPr>
        <w:t> </w:t>
      </w:r>
      <w:r>
        <w:rPr>
          <w:spacing w:val="-3"/>
        </w:rPr>
        <w:t>周治疗期的研究活动时间表</w:t>
      </w:r>
    </w:p>
    <w:p>
      <w:pPr>
        <w:pStyle w:val="BodyText"/>
        <w:spacing w:before="121"/>
        <w:ind w:left="701"/>
      </w:pPr>
      <w:r>
        <w:rPr>
          <w:rFonts w:ascii="Times New Roman" w:eastAsia="Times New Roman"/>
        </w:rPr>
        <w:t>52</w:t>
      </w:r>
      <w:r>
        <w:rPr>
          <w:rFonts w:ascii="Times New Roman" w:eastAsia="Times New Roman"/>
          <w:spacing w:val="3"/>
        </w:rPr>
        <w:t> </w:t>
      </w:r>
      <w:r>
        <w:rPr>
          <w:spacing w:val="-3"/>
        </w:rPr>
        <w:t>周治疗期的研究活动时间表适用于根据 </w:t>
      </w:r>
      <w:r>
        <w:rPr>
          <w:rFonts w:ascii="Times New Roman" w:eastAsia="Times New Roman"/>
        </w:rPr>
        <w:t>CSP</w:t>
      </w:r>
      <w:r>
        <w:rPr>
          <w:rFonts w:ascii="Times New Roman" w:eastAsia="Times New Roman"/>
          <w:spacing w:val="4"/>
        </w:rPr>
        <w:t> </w:t>
      </w:r>
      <w:r>
        <w:rPr>
          <w:spacing w:val="-19"/>
        </w:rPr>
        <w:t>第 </w:t>
      </w:r>
      <w:r>
        <w:rPr>
          <w:rFonts w:ascii="Times New Roman" w:eastAsia="Times New Roman"/>
        </w:rPr>
        <w:t>1.0</w:t>
      </w:r>
      <w:r>
        <w:rPr>
          <w:rFonts w:ascii="Times New Roman" w:eastAsia="Times New Roman"/>
          <w:spacing w:val="6"/>
        </w:rPr>
        <w:t> </w:t>
      </w:r>
      <w:r>
        <w:rPr/>
        <w:t>版入组的受试者，参见</w:t>
      </w:r>
      <w:hyperlink w:history="true" w:anchor="_bookmark9">
        <w:r>
          <w:rPr>
            <w:color w:val="0000FF"/>
            <w:spacing w:val="-10"/>
          </w:rPr>
          <w:t>表</w:t>
        </w:r>
      </w:hyperlink>
    </w:p>
    <w:p>
      <w:pPr>
        <w:pStyle w:val="BodyText"/>
        <w:spacing w:before="45"/>
      </w:pPr>
      <w:hyperlink w:history="true" w:anchor="_bookmark9">
        <w:r>
          <w:rPr>
            <w:rFonts w:ascii="Times New Roman" w:eastAsia="Times New Roman"/>
            <w:color w:val="0000FF"/>
          </w:rPr>
          <w:t>1</w:t>
        </w:r>
      </w:hyperlink>
      <w:r>
        <w:rPr/>
        <w:t>（</w:t>
      </w:r>
      <w:r>
        <w:rPr>
          <w:spacing w:val="-6"/>
        </w:rPr>
        <w:t>更多详细信息参见第 </w:t>
      </w:r>
      <w:hyperlink w:history="true" w:anchor="_bookmark25">
        <w:r>
          <w:rPr>
            <w:rFonts w:ascii="Times New Roman" w:eastAsia="Times New Roman"/>
            <w:color w:val="0000FF"/>
          </w:rPr>
          <w:t>4.1.2</w:t>
        </w:r>
      </w:hyperlink>
      <w:r>
        <w:rPr>
          <w:rFonts w:ascii="Times New Roman" w:eastAsia="Times New Roman"/>
          <w:color w:val="0000FF"/>
          <w:spacing w:val="-12"/>
        </w:rPr>
        <w:t> </w:t>
      </w:r>
      <w:r>
        <w:rPr/>
        <w:t>节）</w:t>
      </w:r>
      <w:r>
        <w:rPr>
          <w:spacing w:val="-10"/>
        </w:rPr>
        <w:t>。</w:t>
      </w:r>
    </w:p>
    <w:p>
      <w:pPr>
        <w:pStyle w:val="BodyText"/>
        <w:spacing w:line="276" w:lineRule="auto" w:before="286"/>
        <w:ind w:right="356" w:firstLine="480"/>
        <w:jc w:val="both"/>
      </w:pPr>
      <w:r>
        <w:rPr>
          <w:spacing w:val="-11"/>
        </w:rPr>
        <w:t>从第 </w:t>
      </w:r>
      <w:r>
        <w:rPr>
          <w:rFonts w:ascii="Times New Roman" w:eastAsia="Times New Roman"/>
          <w:spacing w:val="-2"/>
        </w:rPr>
        <w:t>16</w:t>
      </w:r>
      <w:r>
        <w:rPr>
          <w:rFonts w:ascii="Times New Roman" w:eastAsia="Times New Roman"/>
          <w:spacing w:val="-13"/>
        </w:rPr>
        <w:t> </w:t>
      </w:r>
      <w:r>
        <w:rPr>
          <w:spacing w:val="-2"/>
        </w:rPr>
        <w:t>周（</w:t>
      </w:r>
      <w:r>
        <w:rPr>
          <w:rFonts w:ascii="Times New Roman" w:eastAsia="Times New Roman"/>
          <w:spacing w:val="-2"/>
        </w:rPr>
        <w:t>PROSPERO</w:t>
      </w:r>
      <w:r>
        <w:rPr>
          <w:rFonts w:ascii="Times New Roman" w:eastAsia="Times New Roman"/>
          <w:spacing w:val="-13"/>
        </w:rPr>
        <w:t> </w:t>
      </w:r>
      <w:r>
        <w:rPr>
          <w:spacing w:val="-9"/>
        </w:rPr>
        <w:t>的访视 </w:t>
      </w:r>
      <w:r>
        <w:rPr>
          <w:rFonts w:ascii="Times New Roman" w:eastAsia="Times New Roman"/>
          <w:spacing w:val="-2"/>
        </w:rPr>
        <w:t>5</w:t>
      </w:r>
      <w:r>
        <w:rPr>
          <w:spacing w:val="-2"/>
        </w:rPr>
        <w:t>）开始以及此后每隔一次访视，选择进行虚拟访视、完成培训并被判定为适合自行给药</w:t>
      </w:r>
      <w:r>
        <w:rPr>
          <w:rFonts w:ascii="Times New Roman" w:eastAsia="Times New Roman"/>
          <w:spacing w:val="-2"/>
        </w:rPr>
        <w:t>/</w:t>
      </w:r>
      <w:r>
        <w:rPr>
          <w:spacing w:val="-2"/>
        </w:rPr>
        <w:t>家庭访视的受试者将有机会通过远程医疗</w:t>
      </w:r>
      <w:r>
        <w:rPr>
          <w:spacing w:val="3"/>
        </w:rPr>
        <w:t>进行访视，在家自行</w:t>
      </w:r>
      <w:r>
        <w:rPr>
          <w:rFonts w:ascii="Times New Roman" w:eastAsia="Times New Roman"/>
        </w:rPr>
        <w:t>IP</w:t>
      </w:r>
      <w:r>
        <w:rPr>
          <w:rFonts w:ascii="Times New Roman" w:eastAsia="Times New Roman"/>
          <w:spacing w:val="-15"/>
        </w:rPr>
        <w:t> </w:t>
      </w:r>
      <w:r>
        <w:rPr/>
        <w:t>给药或护理人员给药（</w:t>
      </w:r>
      <w:r>
        <w:rPr>
          <w:spacing w:val="-4"/>
        </w:rPr>
        <w:t>详细信息请见第 </w:t>
      </w:r>
      <w:hyperlink w:history="true" w:anchor="_bookmark56">
        <w:r>
          <w:rPr>
            <w:rFonts w:ascii="Times New Roman" w:eastAsia="Times New Roman"/>
            <w:color w:val="0000FF"/>
          </w:rPr>
          <w:t>6.2.2.3</w:t>
        </w:r>
      </w:hyperlink>
      <w:r>
        <w:rPr>
          <w:rFonts w:ascii="Times New Roman" w:eastAsia="Times New Roman"/>
          <w:color w:val="0000FF"/>
          <w:spacing w:val="-15"/>
        </w:rPr>
        <w:t> </w:t>
      </w:r>
      <w:r>
        <w:rPr/>
        <w:t>节）。可选择</w:t>
      </w:r>
      <w:r>
        <w:rPr>
          <w:spacing w:val="-5"/>
        </w:rPr>
        <w:t>在家自行给药，可在访视 </w:t>
      </w:r>
      <w:r>
        <w:rPr>
          <w:rFonts w:ascii="Times New Roman" w:eastAsia="Times New Roman"/>
          <w:spacing w:val="-2"/>
        </w:rPr>
        <w:t>5</w:t>
      </w:r>
      <w:r>
        <w:rPr>
          <w:spacing w:val="-9"/>
        </w:rPr>
        <w:t>、访视 </w:t>
      </w:r>
      <w:r>
        <w:rPr>
          <w:rFonts w:ascii="Times New Roman" w:eastAsia="Times New Roman"/>
          <w:spacing w:val="-2"/>
        </w:rPr>
        <w:t>7</w:t>
      </w:r>
      <w:r>
        <w:rPr>
          <w:spacing w:val="-9"/>
        </w:rPr>
        <w:t>、访视 </w:t>
      </w:r>
      <w:r>
        <w:rPr>
          <w:rFonts w:ascii="Times New Roman" w:eastAsia="Times New Roman"/>
          <w:spacing w:val="-2"/>
        </w:rPr>
        <w:t>9</w:t>
      </w:r>
      <w:r>
        <w:rPr>
          <w:spacing w:val="-9"/>
        </w:rPr>
        <w:t>、访视 </w:t>
      </w:r>
      <w:r>
        <w:rPr>
          <w:rFonts w:ascii="Times New Roman" w:eastAsia="Times New Roman"/>
          <w:spacing w:val="-2"/>
        </w:rPr>
        <w:t>11</w:t>
      </w:r>
      <w:r>
        <w:rPr>
          <w:rFonts w:ascii="Times New Roman" w:eastAsia="Times New Roman"/>
          <w:spacing w:val="-13"/>
        </w:rPr>
        <w:t> </w:t>
      </w:r>
      <w:r>
        <w:rPr>
          <w:spacing w:val="-9"/>
        </w:rPr>
        <w:t>和访视 </w:t>
      </w:r>
      <w:r>
        <w:rPr>
          <w:rFonts w:ascii="Times New Roman" w:eastAsia="Times New Roman"/>
          <w:spacing w:val="-2"/>
        </w:rPr>
        <w:t>13</w:t>
      </w:r>
      <w:r>
        <w:rPr>
          <w:rFonts w:ascii="Times New Roman" w:eastAsia="Times New Roman"/>
          <w:spacing w:val="-13"/>
        </w:rPr>
        <w:t> </w:t>
      </w:r>
      <w:r>
        <w:rPr>
          <w:spacing w:val="-2"/>
        </w:rPr>
        <w:t>时进行。如果不计划远程医疗研究访视，则该访视应在研究中心进行。</w:t>
      </w:r>
    </w:p>
    <w:p>
      <w:pPr>
        <w:spacing w:after="0" w:line="276" w:lineRule="auto"/>
        <w:jc w:val="both"/>
        <w:sectPr>
          <w:pgSz w:w="11910" w:h="16840"/>
          <w:pgMar w:header="590" w:footer="784" w:top="1360" w:bottom="980" w:left="1480" w:right="1080"/>
        </w:sectPr>
      </w:pPr>
    </w:p>
    <w:p>
      <w:pPr>
        <w:pStyle w:val="Heading3"/>
        <w:tabs>
          <w:tab w:pos="1801" w:val="left" w:leader="none"/>
        </w:tabs>
        <w:spacing w:before="280"/>
        <w:ind w:left="100"/>
      </w:pPr>
      <w:bookmarkStart w:name="_bookmark9" w:id="18"/>
      <w:bookmarkEnd w:id="18"/>
      <w:r>
        <w:rPr>
          <w:b w:val="0"/>
        </w:rPr>
      </w:r>
      <w:r>
        <w:rPr>
          <w:spacing w:val="-4"/>
        </w:rPr>
        <w:t>表</w:t>
      </w:r>
      <w:r>
        <w:rPr>
          <w:spacing w:val="-59"/>
        </w:rPr>
        <w:t> </w:t>
      </w:r>
      <w:r>
        <w:rPr>
          <w:rFonts w:ascii="Times New Roman" w:eastAsia="Times New Roman"/>
          <w:spacing w:val="-10"/>
        </w:rPr>
        <w:t>1</w:t>
      </w:r>
      <w:r>
        <w:rPr>
          <w:rFonts w:ascii="Times New Roman" w:eastAsia="Times New Roman"/>
        </w:rPr>
        <w:tab/>
      </w:r>
      <w:r>
        <w:rPr>
          <w:rFonts w:ascii="Times New Roman" w:eastAsia="Times New Roman"/>
          <w:spacing w:val="-2"/>
        </w:rPr>
        <w:t>52</w:t>
      </w:r>
      <w:r>
        <w:rPr>
          <w:rFonts w:ascii="Times New Roman" w:eastAsia="Times New Roman"/>
          <w:spacing w:val="-9"/>
        </w:rPr>
        <w:t> </w:t>
      </w:r>
      <w:r>
        <w:rPr>
          <w:spacing w:val="-2"/>
        </w:rPr>
        <w:t>周治疗期的研究活动时间</w:t>
      </w:r>
      <w:r>
        <w:rPr>
          <w:spacing w:val="-10"/>
        </w:rPr>
        <w:t>表</w:t>
      </w:r>
    </w:p>
    <w:p>
      <w:pPr>
        <w:pStyle w:val="BodyText"/>
        <w:spacing w:before="4"/>
        <w:ind w:left="0"/>
        <w:rPr>
          <w:b/>
          <w:sz w:val="9"/>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7" w:hRule="atLeast"/>
        </w:trPr>
        <w:tc>
          <w:tcPr>
            <w:tcW w:w="1556" w:type="dxa"/>
            <w:shd w:val="clear" w:color="auto" w:fill="D9D9D9"/>
          </w:tcPr>
          <w:p>
            <w:pPr>
              <w:pStyle w:val="TableParagraph"/>
              <w:spacing w:before="37"/>
              <w:rPr>
                <w:b/>
                <w:sz w:val="21"/>
              </w:rPr>
            </w:pPr>
          </w:p>
          <w:p>
            <w:pPr>
              <w:pStyle w:val="TableParagraph"/>
              <w:ind w:left="355"/>
              <w:rPr>
                <w:b/>
                <w:sz w:val="21"/>
              </w:rPr>
            </w:pPr>
            <w:r>
              <w:rPr>
                <w:b/>
                <w:spacing w:val="-4"/>
                <w:sz w:val="21"/>
              </w:rPr>
              <w:t>研究阶段</w:t>
            </w:r>
          </w:p>
        </w:tc>
        <w:tc>
          <w:tcPr>
            <w:tcW w:w="1276" w:type="dxa"/>
            <w:shd w:val="clear" w:color="auto" w:fill="D9D9D9"/>
          </w:tcPr>
          <w:p>
            <w:pPr>
              <w:pStyle w:val="TableParagraph"/>
              <w:spacing w:line="273" w:lineRule="exact" w:before="174"/>
              <w:ind w:left="426"/>
              <w:rPr>
                <w:b/>
                <w:sz w:val="21"/>
              </w:rPr>
            </w:pPr>
            <w:r>
              <w:rPr>
                <w:b/>
                <w:spacing w:val="-6"/>
                <w:sz w:val="21"/>
              </w:rPr>
              <w:t>入选</w:t>
            </w:r>
          </w:p>
          <w:p>
            <w:pPr>
              <w:pStyle w:val="TableParagraph"/>
              <w:spacing w:line="273" w:lineRule="exact"/>
              <w:ind w:left="116"/>
              <w:rPr>
                <w:b/>
                <w:sz w:val="21"/>
              </w:rPr>
            </w:pPr>
            <w:r>
              <w:rPr>
                <w:b/>
                <w:spacing w:val="-2"/>
                <w:sz w:val="21"/>
              </w:rPr>
              <w:t>（</w:t>
            </w:r>
            <w:r>
              <w:rPr>
                <w:rFonts w:ascii="Times New Roman" w:eastAsia="Times New Roman"/>
                <w:b/>
                <w:spacing w:val="-2"/>
                <w:sz w:val="21"/>
              </w:rPr>
              <w:t>Enrol</w:t>
            </w:r>
            <w:r>
              <w:rPr>
                <w:b/>
                <w:spacing w:val="-2"/>
                <w:sz w:val="21"/>
              </w:rPr>
              <w:t>）</w:t>
            </w:r>
          </w:p>
        </w:tc>
        <w:tc>
          <w:tcPr>
            <w:tcW w:w="8207" w:type="dxa"/>
            <w:gridSpan w:val="13"/>
            <w:shd w:val="clear" w:color="auto" w:fill="D9D9D9"/>
          </w:tcPr>
          <w:p>
            <w:pPr>
              <w:pStyle w:val="TableParagraph"/>
              <w:spacing w:before="37"/>
              <w:rPr>
                <w:b/>
                <w:sz w:val="21"/>
              </w:rPr>
            </w:pPr>
          </w:p>
          <w:p>
            <w:pPr>
              <w:pStyle w:val="TableParagraph"/>
              <w:ind w:right="4"/>
              <w:jc w:val="center"/>
              <w:rPr>
                <w:b/>
                <w:sz w:val="21"/>
              </w:rPr>
            </w:pPr>
            <w:r>
              <w:rPr>
                <w:b/>
                <w:spacing w:val="-2"/>
                <w:sz w:val="21"/>
              </w:rPr>
              <w:t>干预（治疗）</w:t>
            </w:r>
            <w:r>
              <w:rPr>
                <w:b/>
                <w:spacing w:val="-12"/>
                <w:sz w:val="21"/>
              </w:rPr>
              <w:t>期</w:t>
            </w:r>
          </w:p>
        </w:tc>
        <w:tc>
          <w:tcPr>
            <w:tcW w:w="883" w:type="dxa"/>
            <w:shd w:val="clear" w:color="auto" w:fill="D9D9D9"/>
          </w:tcPr>
          <w:p>
            <w:pPr>
              <w:pStyle w:val="TableParagraph"/>
              <w:spacing w:line="273" w:lineRule="exact" w:before="174"/>
              <w:ind w:left="112"/>
              <w:rPr>
                <w:b/>
                <w:sz w:val="21"/>
              </w:rPr>
            </w:pPr>
            <w:r>
              <w:rPr>
                <w:b/>
                <w:spacing w:val="-5"/>
                <w:sz w:val="21"/>
              </w:rPr>
              <w:t>随访期</w:t>
            </w:r>
          </w:p>
          <w:p>
            <w:pPr>
              <w:pStyle w:val="TableParagraph"/>
              <w:spacing w:line="273" w:lineRule="exact"/>
              <w:ind w:left="24"/>
              <w:rPr>
                <w:b/>
                <w:sz w:val="21"/>
              </w:rPr>
            </w:pPr>
            <w:r>
              <w:rPr>
                <w:b/>
                <w:spacing w:val="-4"/>
                <w:sz w:val="21"/>
              </w:rPr>
              <w:t>（</w:t>
            </w:r>
            <w:r>
              <w:rPr>
                <w:rFonts w:ascii="Times New Roman" w:eastAsia="Times New Roman"/>
                <w:b/>
                <w:spacing w:val="-4"/>
                <w:sz w:val="21"/>
              </w:rPr>
              <w:t>FU</w:t>
            </w:r>
            <w:r>
              <w:rPr>
                <w:b/>
                <w:spacing w:val="-4"/>
                <w:sz w:val="21"/>
              </w:rPr>
              <w:t>）</w:t>
            </w:r>
          </w:p>
        </w:tc>
        <w:tc>
          <w:tcPr>
            <w:tcW w:w="1131" w:type="dxa"/>
            <w:shd w:val="clear" w:color="auto" w:fill="D9D9D9"/>
          </w:tcPr>
          <w:p>
            <w:pPr>
              <w:pStyle w:val="TableParagraph"/>
              <w:spacing w:before="37"/>
              <w:ind w:left="165" w:right="183"/>
              <w:jc w:val="center"/>
              <w:rPr>
                <w:b/>
                <w:sz w:val="21"/>
              </w:rPr>
            </w:pPr>
            <w:r>
              <w:rPr>
                <w:rFonts w:ascii="Times New Roman" w:eastAsia="Times New Roman"/>
                <w:b/>
                <w:spacing w:val="-2"/>
                <w:sz w:val="21"/>
              </w:rPr>
              <w:t>E/D</w:t>
            </w:r>
            <w:r>
              <w:rPr>
                <w:b/>
                <w:spacing w:val="-2"/>
                <w:sz w:val="21"/>
              </w:rPr>
              <w:t>，电</w:t>
            </w:r>
            <w:r>
              <w:rPr>
                <w:b/>
                <w:spacing w:val="-14"/>
                <w:sz w:val="21"/>
              </w:rPr>
              <w:t>话随访 </w:t>
            </w:r>
            <w:r>
              <w:rPr>
                <w:rFonts w:ascii="Times New Roman" w:eastAsia="Times New Roman"/>
                <w:b/>
                <w:sz w:val="21"/>
                <w:vertAlign w:val="superscript"/>
              </w:rPr>
              <w:t>a</w:t>
            </w:r>
            <w:r>
              <w:rPr>
                <w:b/>
                <w:spacing w:val="-6"/>
                <w:sz w:val="21"/>
                <w:vertAlign w:val="baseline"/>
              </w:rP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TableParagraph"/>
              <w:spacing w:line="240" w:lineRule="exact"/>
              <w:ind w:left="241"/>
              <w:rPr>
                <w:rFonts w:ascii="Times New Roman"/>
                <w:b/>
                <w:sz w:val="21"/>
              </w:rPr>
            </w:pPr>
            <w:r>
              <w:rPr>
                <w:rFonts w:ascii="Times New Roman"/>
                <w:b/>
                <w:spacing w:val="-5"/>
                <w:sz w:val="21"/>
              </w:rPr>
              <w:t>CSP</w:t>
            </w:r>
          </w:p>
          <w:p>
            <w:pPr>
              <w:pStyle w:val="TableParagraph"/>
              <w:spacing w:line="272" w:lineRule="exact"/>
              <w:ind w:left="229"/>
              <w:rPr>
                <w:b/>
                <w:sz w:val="21"/>
              </w:rPr>
            </w:pPr>
            <w:r>
              <w:rPr>
                <w:b/>
                <w:spacing w:val="-6"/>
                <w:sz w:val="21"/>
              </w:rPr>
              <w:t>章节</w:t>
            </w:r>
          </w:p>
        </w:tc>
      </w:tr>
      <w:tr>
        <w:trPr>
          <w:trHeight w:val="352" w:hRule="atLeast"/>
        </w:trPr>
        <w:tc>
          <w:tcPr>
            <w:tcW w:w="1556" w:type="dxa"/>
            <w:shd w:val="clear" w:color="auto" w:fill="D9D9D9"/>
          </w:tcPr>
          <w:p>
            <w:pPr>
              <w:pStyle w:val="TableParagraph"/>
              <w:spacing w:before="38"/>
              <w:ind w:left="460"/>
              <w:rPr>
                <w:b/>
                <w:sz w:val="21"/>
              </w:rPr>
            </w:pPr>
            <w:r>
              <w:rPr>
                <w:b/>
                <w:spacing w:val="-5"/>
                <w:sz w:val="21"/>
              </w:rPr>
              <w:t>研究周</w:t>
            </w:r>
          </w:p>
        </w:tc>
        <w:tc>
          <w:tcPr>
            <w:tcW w:w="1276" w:type="dxa"/>
            <w:shd w:val="clear" w:color="auto" w:fill="D9D9D9"/>
          </w:tcPr>
          <w:p>
            <w:pPr>
              <w:pStyle w:val="TableParagraph"/>
              <w:spacing w:before="55"/>
              <w:ind w:left="7"/>
              <w:jc w:val="center"/>
              <w:rPr>
                <w:rFonts w:ascii="Times New Roman"/>
                <w:sz w:val="21"/>
              </w:rPr>
            </w:pPr>
            <w:r>
              <w:rPr>
                <w:rFonts w:ascii="Times New Roman"/>
                <w:spacing w:val="-5"/>
                <w:sz w:val="21"/>
              </w:rPr>
              <w:t>W0</w:t>
            </w:r>
          </w:p>
        </w:tc>
        <w:tc>
          <w:tcPr>
            <w:tcW w:w="632" w:type="dxa"/>
            <w:shd w:val="clear" w:color="auto" w:fill="D9D9D9"/>
          </w:tcPr>
          <w:p>
            <w:pPr>
              <w:pStyle w:val="TableParagraph"/>
              <w:spacing w:before="55"/>
              <w:ind w:left="7" w:right="2"/>
              <w:jc w:val="center"/>
              <w:rPr>
                <w:rFonts w:ascii="Times New Roman"/>
                <w:sz w:val="21"/>
              </w:rPr>
            </w:pPr>
            <w:r>
              <w:rPr>
                <w:rFonts w:ascii="Times New Roman"/>
                <w:spacing w:val="-5"/>
                <w:sz w:val="21"/>
              </w:rPr>
              <w:t>W4</w:t>
            </w:r>
          </w:p>
        </w:tc>
        <w:tc>
          <w:tcPr>
            <w:tcW w:w="632" w:type="dxa"/>
            <w:shd w:val="clear" w:color="auto" w:fill="D9D9D9"/>
          </w:tcPr>
          <w:p>
            <w:pPr>
              <w:pStyle w:val="TableParagraph"/>
              <w:spacing w:before="55"/>
              <w:ind w:left="7" w:right="4"/>
              <w:jc w:val="center"/>
              <w:rPr>
                <w:rFonts w:ascii="Times New Roman"/>
                <w:sz w:val="21"/>
              </w:rPr>
            </w:pPr>
            <w:r>
              <w:rPr>
                <w:rFonts w:ascii="Times New Roman"/>
                <w:spacing w:val="-5"/>
                <w:sz w:val="21"/>
              </w:rPr>
              <w:t>W8</w:t>
            </w:r>
          </w:p>
        </w:tc>
        <w:tc>
          <w:tcPr>
            <w:tcW w:w="632" w:type="dxa"/>
            <w:shd w:val="clear" w:color="auto" w:fill="D9D9D9"/>
          </w:tcPr>
          <w:p>
            <w:pPr>
              <w:pStyle w:val="TableParagraph"/>
              <w:spacing w:before="55"/>
              <w:ind w:left="7" w:right="3"/>
              <w:jc w:val="center"/>
              <w:rPr>
                <w:rFonts w:ascii="Times New Roman"/>
                <w:sz w:val="21"/>
              </w:rPr>
            </w:pPr>
            <w:r>
              <w:rPr>
                <w:rFonts w:ascii="Times New Roman"/>
                <w:spacing w:val="-5"/>
                <w:sz w:val="21"/>
              </w:rPr>
              <w:t>W12</w:t>
            </w:r>
          </w:p>
        </w:tc>
        <w:tc>
          <w:tcPr>
            <w:tcW w:w="632" w:type="dxa"/>
            <w:shd w:val="clear" w:color="auto" w:fill="D9D9D9"/>
          </w:tcPr>
          <w:p>
            <w:pPr>
              <w:pStyle w:val="TableParagraph"/>
              <w:spacing w:before="55"/>
              <w:ind w:left="7" w:right="5"/>
              <w:jc w:val="center"/>
              <w:rPr>
                <w:rFonts w:ascii="Times New Roman"/>
                <w:sz w:val="21"/>
              </w:rPr>
            </w:pPr>
            <w:r>
              <w:rPr>
                <w:rFonts w:ascii="Times New Roman"/>
                <w:spacing w:val="-5"/>
                <w:sz w:val="21"/>
              </w:rPr>
              <w:t>W16</w:t>
            </w:r>
          </w:p>
        </w:tc>
        <w:tc>
          <w:tcPr>
            <w:tcW w:w="631" w:type="dxa"/>
            <w:shd w:val="clear" w:color="auto" w:fill="D9D9D9"/>
          </w:tcPr>
          <w:p>
            <w:pPr>
              <w:pStyle w:val="TableParagraph"/>
              <w:spacing w:before="55"/>
              <w:ind w:left="13" w:right="13"/>
              <w:jc w:val="center"/>
              <w:rPr>
                <w:rFonts w:ascii="Times New Roman"/>
                <w:sz w:val="21"/>
              </w:rPr>
            </w:pPr>
            <w:r>
              <w:rPr>
                <w:rFonts w:ascii="Times New Roman"/>
                <w:spacing w:val="-5"/>
                <w:sz w:val="21"/>
              </w:rPr>
              <w:t>W20</w:t>
            </w:r>
          </w:p>
        </w:tc>
        <w:tc>
          <w:tcPr>
            <w:tcW w:w="631" w:type="dxa"/>
            <w:shd w:val="clear" w:color="auto" w:fill="D9D9D9"/>
          </w:tcPr>
          <w:p>
            <w:pPr>
              <w:pStyle w:val="TableParagraph"/>
              <w:spacing w:before="55"/>
              <w:ind w:left="13" w:right="13"/>
              <w:jc w:val="center"/>
              <w:rPr>
                <w:rFonts w:ascii="Times New Roman"/>
                <w:sz w:val="21"/>
              </w:rPr>
            </w:pPr>
            <w:r>
              <w:rPr>
                <w:rFonts w:ascii="Times New Roman"/>
                <w:spacing w:val="-5"/>
                <w:sz w:val="21"/>
              </w:rPr>
              <w:t>W24</w:t>
            </w:r>
          </w:p>
        </w:tc>
        <w:tc>
          <w:tcPr>
            <w:tcW w:w="631" w:type="dxa"/>
            <w:shd w:val="clear" w:color="auto" w:fill="D9D9D9"/>
          </w:tcPr>
          <w:p>
            <w:pPr>
              <w:pStyle w:val="TableParagraph"/>
              <w:spacing w:before="55"/>
              <w:ind w:left="11" w:right="13"/>
              <w:jc w:val="center"/>
              <w:rPr>
                <w:rFonts w:ascii="Times New Roman"/>
                <w:sz w:val="21"/>
              </w:rPr>
            </w:pPr>
            <w:r>
              <w:rPr>
                <w:rFonts w:ascii="Times New Roman"/>
                <w:spacing w:val="-5"/>
                <w:sz w:val="21"/>
              </w:rPr>
              <w:t>W28</w:t>
            </w:r>
          </w:p>
        </w:tc>
        <w:tc>
          <w:tcPr>
            <w:tcW w:w="631" w:type="dxa"/>
            <w:shd w:val="clear" w:color="auto" w:fill="D9D9D9"/>
          </w:tcPr>
          <w:p>
            <w:pPr>
              <w:pStyle w:val="TableParagraph"/>
              <w:spacing w:before="55"/>
              <w:ind w:left="10" w:right="13"/>
              <w:jc w:val="center"/>
              <w:rPr>
                <w:rFonts w:ascii="Times New Roman"/>
                <w:sz w:val="21"/>
              </w:rPr>
            </w:pPr>
            <w:r>
              <w:rPr>
                <w:rFonts w:ascii="Times New Roman"/>
                <w:spacing w:val="-5"/>
                <w:sz w:val="21"/>
              </w:rPr>
              <w:t>W32</w:t>
            </w:r>
          </w:p>
        </w:tc>
        <w:tc>
          <w:tcPr>
            <w:tcW w:w="631" w:type="dxa"/>
            <w:shd w:val="clear" w:color="auto" w:fill="D9D9D9"/>
          </w:tcPr>
          <w:p>
            <w:pPr>
              <w:pStyle w:val="TableParagraph"/>
              <w:spacing w:before="55"/>
              <w:ind w:left="8" w:right="13"/>
              <w:jc w:val="center"/>
              <w:rPr>
                <w:rFonts w:ascii="Times New Roman"/>
                <w:sz w:val="21"/>
              </w:rPr>
            </w:pPr>
            <w:r>
              <w:rPr>
                <w:rFonts w:ascii="Times New Roman"/>
                <w:spacing w:val="-5"/>
                <w:sz w:val="21"/>
              </w:rPr>
              <w:t>W36</w:t>
            </w:r>
          </w:p>
        </w:tc>
        <w:tc>
          <w:tcPr>
            <w:tcW w:w="631" w:type="dxa"/>
            <w:shd w:val="clear" w:color="auto" w:fill="D9D9D9"/>
          </w:tcPr>
          <w:p>
            <w:pPr>
              <w:pStyle w:val="TableParagraph"/>
              <w:spacing w:before="55"/>
              <w:ind w:left="6" w:right="13"/>
              <w:jc w:val="center"/>
              <w:rPr>
                <w:rFonts w:ascii="Times New Roman"/>
                <w:sz w:val="21"/>
              </w:rPr>
            </w:pPr>
            <w:r>
              <w:rPr>
                <w:rFonts w:ascii="Times New Roman"/>
                <w:spacing w:val="-5"/>
                <w:sz w:val="21"/>
              </w:rPr>
              <w:t>W40</w:t>
            </w:r>
          </w:p>
        </w:tc>
        <w:tc>
          <w:tcPr>
            <w:tcW w:w="631" w:type="dxa"/>
            <w:shd w:val="clear" w:color="auto" w:fill="D9D9D9"/>
          </w:tcPr>
          <w:p>
            <w:pPr>
              <w:pStyle w:val="TableParagraph"/>
              <w:spacing w:before="55"/>
              <w:ind w:left="4" w:right="13"/>
              <w:jc w:val="center"/>
              <w:rPr>
                <w:rFonts w:ascii="Times New Roman"/>
                <w:sz w:val="21"/>
              </w:rPr>
            </w:pPr>
            <w:r>
              <w:rPr>
                <w:rFonts w:ascii="Times New Roman"/>
                <w:spacing w:val="-5"/>
                <w:sz w:val="21"/>
              </w:rPr>
              <w:t>W44</w:t>
            </w:r>
          </w:p>
        </w:tc>
        <w:tc>
          <w:tcPr>
            <w:tcW w:w="631" w:type="dxa"/>
            <w:shd w:val="clear" w:color="auto" w:fill="D9D9D9"/>
          </w:tcPr>
          <w:p>
            <w:pPr>
              <w:pStyle w:val="TableParagraph"/>
              <w:spacing w:before="55"/>
              <w:ind w:left="2" w:right="13"/>
              <w:jc w:val="center"/>
              <w:rPr>
                <w:rFonts w:ascii="Times New Roman"/>
                <w:sz w:val="21"/>
              </w:rPr>
            </w:pPr>
            <w:r>
              <w:rPr>
                <w:rFonts w:ascii="Times New Roman"/>
                <w:spacing w:val="-5"/>
                <w:sz w:val="21"/>
              </w:rPr>
              <w:t>W48</w:t>
            </w:r>
          </w:p>
        </w:tc>
        <w:tc>
          <w:tcPr>
            <w:tcW w:w="631" w:type="dxa"/>
            <w:shd w:val="clear" w:color="auto" w:fill="D9D9D9"/>
          </w:tcPr>
          <w:p>
            <w:pPr>
              <w:pStyle w:val="TableParagraph"/>
              <w:spacing w:before="55"/>
              <w:ind w:right="13"/>
              <w:jc w:val="center"/>
              <w:rPr>
                <w:rFonts w:ascii="Times New Roman"/>
                <w:sz w:val="21"/>
              </w:rPr>
            </w:pPr>
            <w:r>
              <w:rPr>
                <w:rFonts w:ascii="Times New Roman"/>
                <w:spacing w:val="-5"/>
                <w:sz w:val="21"/>
              </w:rPr>
              <w:t>W52</w:t>
            </w:r>
          </w:p>
        </w:tc>
        <w:tc>
          <w:tcPr>
            <w:tcW w:w="883" w:type="dxa"/>
            <w:shd w:val="clear" w:color="auto" w:fill="D9D9D9"/>
          </w:tcPr>
          <w:p>
            <w:pPr>
              <w:pStyle w:val="TableParagraph"/>
              <w:spacing w:before="55"/>
              <w:ind w:right="15"/>
              <w:jc w:val="center"/>
              <w:rPr>
                <w:rFonts w:ascii="Times New Roman"/>
                <w:sz w:val="21"/>
              </w:rPr>
            </w:pPr>
            <w:r>
              <w:rPr>
                <w:rFonts w:ascii="Times New Roman"/>
                <w:spacing w:val="-5"/>
                <w:sz w:val="21"/>
              </w:rPr>
              <w:t>W60</w:t>
            </w:r>
          </w:p>
        </w:tc>
        <w:tc>
          <w:tcPr>
            <w:tcW w:w="1131" w:type="dxa"/>
            <w:vMerge w:val="restart"/>
            <w:shd w:val="clear" w:color="auto" w:fill="D9D9D9"/>
          </w:tcPr>
          <w:p>
            <w:pPr>
              <w:pStyle w:val="TableParagraph"/>
              <w:spacing w:before="36"/>
              <w:ind w:left="121" w:right="139"/>
              <w:jc w:val="center"/>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w:t>
            </w:r>
            <w:r>
              <w:rPr>
                <w:spacing w:val="-14"/>
                <w:sz w:val="21"/>
              </w:rPr>
              <w:t>药后 </w:t>
            </w:r>
            <w:r>
              <w:rPr>
                <w:rFonts w:ascii="Times New Roman" w:eastAsia="Times New Roman"/>
                <w:sz w:val="21"/>
              </w:rPr>
              <w:t>12</w:t>
            </w:r>
            <w:r>
              <w:rPr>
                <w:spacing w:val="-10"/>
                <w:sz w:val="21"/>
              </w:rPr>
              <w:t>周</w:t>
            </w:r>
          </w:p>
        </w:tc>
        <w:tc>
          <w:tcPr>
            <w:tcW w:w="913" w:type="dxa"/>
            <w:vMerge/>
            <w:tcBorders>
              <w:top w:val="nil"/>
            </w:tcBorders>
            <w:shd w:val="clear" w:color="auto" w:fill="D9D9D9"/>
          </w:tcPr>
          <w:p>
            <w:pPr>
              <w:rPr>
                <w:sz w:val="2"/>
                <w:szCs w:val="2"/>
              </w:rPr>
            </w:pPr>
          </w:p>
        </w:tc>
      </w:tr>
      <w:tr>
        <w:trPr>
          <w:trHeight w:val="534" w:hRule="atLeast"/>
        </w:trPr>
        <w:tc>
          <w:tcPr>
            <w:tcW w:w="1556" w:type="dxa"/>
            <w:shd w:val="clear" w:color="auto" w:fill="D9D9D9"/>
          </w:tcPr>
          <w:p>
            <w:pPr>
              <w:pStyle w:val="TableParagraph"/>
              <w:spacing w:before="129"/>
              <w:ind w:left="8"/>
              <w:jc w:val="center"/>
              <w:rPr>
                <w:b/>
                <w:sz w:val="21"/>
              </w:rPr>
            </w:pPr>
            <w:r>
              <w:rPr>
                <w:b/>
                <w:spacing w:val="-6"/>
                <w:sz w:val="21"/>
              </w:rPr>
              <w:t>访视</w:t>
            </w:r>
          </w:p>
        </w:tc>
        <w:tc>
          <w:tcPr>
            <w:tcW w:w="1276" w:type="dxa"/>
            <w:shd w:val="clear" w:color="auto" w:fill="D9D9D9"/>
          </w:tcPr>
          <w:p>
            <w:pPr>
              <w:pStyle w:val="TableParagraph"/>
              <w:spacing w:before="147"/>
              <w:ind w:left="6"/>
              <w:jc w:val="center"/>
              <w:rPr>
                <w:rFonts w:ascii="Times New Roman"/>
                <w:sz w:val="21"/>
              </w:rPr>
            </w:pPr>
            <w:r>
              <w:rPr>
                <w:rFonts w:ascii="Times New Roman"/>
                <w:spacing w:val="-5"/>
                <w:sz w:val="21"/>
              </w:rPr>
              <w:t>V1</w:t>
            </w:r>
          </w:p>
        </w:tc>
        <w:tc>
          <w:tcPr>
            <w:tcW w:w="632" w:type="dxa"/>
            <w:shd w:val="clear" w:color="auto" w:fill="D9D9D9"/>
          </w:tcPr>
          <w:p>
            <w:pPr>
              <w:pStyle w:val="TableParagraph"/>
              <w:spacing w:before="147"/>
              <w:ind w:left="7" w:right="1"/>
              <w:jc w:val="center"/>
              <w:rPr>
                <w:rFonts w:ascii="Times New Roman"/>
                <w:sz w:val="21"/>
              </w:rPr>
            </w:pPr>
            <w:r>
              <w:rPr>
                <w:rFonts w:ascii="Times New Roman"/>
                <w:spacing w:val="-5"/>
                <w:sz w:val="21"/>
              </w:rPr>
              <w:t>V2</w:t>
            </w:r>
          </w:p>
        </w:tc>
        <w:tc>
          <w:tcPr>
            <w:tcW w:w="632" w:type="dxa"/>
            <w:shd w:val="clear" w:color="auto" w:fill="D9D9D9"/>
          </w:tcPr>
          <w:p>
            <w:pPr>
              <w:pStyle w:val="TableParagraph"/>
              <w:spacing w:before="147"/>
              <w:ind w:left="7" w:right="3"/>
              <w:jc w:val="center"/>
              <w:rPr>
                <w:rFonts w:ascii="Times New Roman"/>
                <w:sz w:val="21"/>
              </w:rPr>
            </w:pPr>
            <w:r>
              <w:rPr>
                <w:rFonts w:ascii="Times New Roman"/>
                <w:spacing w:val="-5"/>
                <w:sz w:val="21"/>
              </w:rPr>
              <w:t>V3</w:t>
            </w:r>
          </w:p>
        </w:tc>
        <w:tc>
          <w:tcPr>
            <w:tcW w:w="632" w:type="dxa"/>
            <w:shd w:val="clear" w:color="auto" w:fill="D9D9D9"/>
          </w:tcPr>
          <w:p>
            <w:pPr>
              <w:pStyle w:val="TableParagraph"/>
              <w:spacing w:before="147"/>
              <w:ind w:left="7" w:right="4"/>
              <w:jc w:val="center"/>
              <w:rPr>
                <w:rFonts w:ascii="Times New Roman"/>
                <w:sz w:val="21"/>
              </w:rPr>
            </w:pPr>
            <w:r>
              <w:rPr>
                <w:rFonts w:ascii="Times New Roman"/>
                <w:spacing w:val="-5"/>
                <w:sz w:val="21"/>
              </w:rPr>
              <w:t>V4</w:t>
            </w:r>
          </w:p>
        </w:tc>
        <w:tc>
          <w:tcPr>
            <w:tcW w:w="632" w:type="dxa"/>
            <w:shd w:val="clear" w:color="auto" w:fill="D9D9D9"/>
          </w:tcPr>
          <w:p>
            <w:pPr>
              <w:pStyle w:val="TableParagraph"/>
              <w:spacing w:before="147"/>
              <w:ind w:left="7" w:right="6"/>
              <w:jc w:val="center"/>
              <w:rPr>
                <w:rFonts w:ascii="Times New Roman"/>
                <w:sz w:val="21"/>
              </w:rPr>
            </w:pPr>
            <w:r>
              <w:rPr>
                <w:rFonts w:ascii="Times New Roman"/>
                <w:spacing w:val="-5"/>
                <w:sz w:val="21"/>
              </w:rPr>
              <w:t>V5</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V6</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V7</w:t>
            </w:r>
          </w:p>
        </w:tc>
        <w:tc>
          <w:tcPr>
            <w:tcW w:w="631" w:type="dxa"/>
            <w:shd w:val="clear" w:color="auto" w:fill="D9D9D9"/>
          </w:tcPr>
          <w:p>
            <w:pPr>
              <w:pStyle w:val="TableParagraph"/>
              <w:spacing w:before="147"/>
              <w:ind w:left="11" w:right="13"/>
              <w:jc w:val="center"/>
              <w:rPr>
                <w:rFonts w:ascii="Times New Roman"/>
                <w:sz w:val="21"/>
              </w:rPr>
            </w:pPr>
            <w:r>
              <w:rPr>
                <w:rFonts w:ascii="Times New Roman"/>
                <w:spacing w:val="-5"/>
                <w:sz w:val="21"/>
              </w:rPr>
              <w:t>V8</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V9</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V10</w:t>
            </w:r>
          </w:p>
        </w:tc>
        <w:tc>
          <w:tcPr>
            <w:tcW w:w="631" w:type="dxa"/>
            <w:shd w:val="clear" w:color="auto" w:fill="D9D9D9"/>
          </w:tcPr>
          <w:p>
            <w:pPr>
              <w:pStyle w:val="TableParagraph"/>
              <w:spacing w:before="147"/>
              <w:ind w:left="7" w:right="13"/>
              <w:jc w:val="center"/>
              <w:rPr>
                <w:rFonts w:ascii="Times New Roman"/>
                <w:sz w:val="21"/>
              </w:rPr>
            </w:pPr>
            <w:r>
              <w:rPr>
                <w:rFonts w:ascii="Times New Roman"/>
                <w:spacing w:val="-5"/>
                <w:sz w:val="21"/>
              </w:rPr>
              <w:t>V11</w:t>
            </w:r>
          </w:p>
        </w:tc>
        <w:tc>
          <w:tcPr>
            <w:tcW w:w="631" w:type="dxa"/>
            <w:shd w:val="clear" w:color="auto" w:fill="D9D9D9"/>
          </w:tcPr>
          <w:p>
            <w:pPr>
              <w:pStyle w:val="TableParagraph"/>
              <w:spacing w:before="147"/>
              <w:ind w:left="5" w:right="13"/>
              <w:jc w:val="center"/>
              <w:rPr>
                <w:rFonts w:ascii="Times New Roman"/>
                <w:sz w:val="21"/>
              </w:rPr>
            </w:pPr>
            <w:r>
              <w:rPr>
                <w:rFonts w:ascii="Times New Roman"/>
                <w:spacing w:val="-5"/>
                <w:sz w:val="21"/>
              </w:rPr>
              <w:t>V12</w:t>
            </w:r>
          </w:p>
        </w:tc>
        <w:tc>
          <w:tcPr>
            <w:tcW w:w="631" w:type="dxa"/>
            <w:shd w:val="clear" w:color="auto" w:fill="D9D9D9"/>
          </w:tcPr>
          <w:p>
            <w:pPr>
              <w:pStyle w:val="TableParagraph"/>
              <w:spacing w:before="147"/>
              <w:ind w:left="3" w:right="13"/>
              <w:jc w:val="center"/>
              <w:rPr>
                <w:rFonts w:ascii="Times New Roman"/>
                <w:sz w:val="21"/>
              </w:rPr>
            </w:pPr>
            <w:r>
              <w:rPr>
                <w:rFonts w:ascii="Times New Roman"/>
                <w:spacing w:val="-5"/>
                <w:sz w:val="21"/>
              </w:rPr>
              <w:t>V13</w:t>
            </w:r>
          </w:p>
        </w:tc>
        <w:tc>
          <w:tcPr>
            <w:tcW w:w="631" w:type="dxa"/>
            <w:shd w:val="clear" w:color="auto" w:fill="D9D9D9"/>
          </w:tcPr>
          <w:p>
            <w:pPr>
              <w:pStyle w:val="TableParagraph"/>
              <w:spacing w:before="147"/>
              <w:ind w:left="1" w:right="13"/>
              <w:jc w:val="center"/>
              <w:rPr>
                <w:rFonts w:ascii="Times New Roman"/>
                <w:sz w:val="21"/>
              </w:rPr>
            </w:pPr>
            <w:r>
              <w:rPr>
                <w:rFonts w:ascii="Times New Roman"/>
                <w:spacing w:val="-5"/>
                <w:sz w:val="21"/>
              </w:rPr>
              <w:t>V14</w:t>
            </w:r>
          </w:p>
        </w:tc>
        <w:tc>
          <w:tcPr>
            <w:tcW w:w="883" w:type="dxa"/>
            <w:shd w:val="clear" w:color="auto" w:fill="D9D9D9"/>
          </w:tcPr>
          <w:p>
            <w:pPr>
              <w:pStyle w:val="TableParagraph"/>
              <w:spacing w:before="147"/>
              <w:ind w:left="1" w:right="15"/>
              <w:jc w:val="center"/>
              <w:rPr>
                <w:rFonts w:ascii="Times New Roman"/>
                <w:sz w:val="21"/>
              </w:rPr>
            </w:pPr>
            <w:r>
              <w:rPr>
                <w:rFonts w:ascii="Times New Roman"/>
                <w:spacing w:val="-5"/>
                <w:sz w:val="21"/>
              </w:rPr>
              <w:t>V15</w:t>
            </w:r>
          </w:p>
        </w:tc>
        <w:tc>
          <w:tcPr>
            <w:tcW w:w="1131" w:type="dxa"/>
            <w:vMerge/>
            <w:tcBorders>
              <w:top w:val="nil"/>
            </w:tcBorders>
            <w:shd w:val="clear" w:color="auto" w:fill="D9D9D9"/>
          </w:tcPr>
          <w:p>
            <w:pPr>
              <w:rPr>
                <w:sz w:val="2"/>
                <w:szCs w:val="2"/>
              </w:rPr>
            </w:pPr>
          </w:p>
        </w:tc>
        <w:tc>
          <w:tcPr>
            <w:tcW w:w="913" w:type="dxa"/>
            <w:vMerge/>
            <w:tcBorders>
              <w:top w:val="nil"/>
            </w:tcBorders>
            <w:shd w:val="clear" w:color="auto" w:fill="D9D9D9"/>
          </w:tcPr>
          <w:p>
            <w:pPr>
              <w:rPr>
                <w:sz w:val="2"/>
                <w:szCs w:val="2"/>
              </w:rPr>
            </w:pPr>
          </w:p>
        </w:tc>
      </w:tr>
      <w:tr>
        <w:trPr>
          <w:trHeight w:val="624" w:hRule="atLeast"/>
        </w:trPr>
        <w:tc>
          <w:tcPr>
            <w:tcW w:w="1556" w:type="dxa"/>
            <w:shd w:val="clear" w:color="auto" w:fill="D9D9D9"/>
          </w:tcPr>
          <w:p>
            <w:pPr>
              <w:pStyle w:val="TableParagraph"/>
              <w:spacing w:line="273" w:lineRule="exact" w:before="36"/>
              <w:ind w:left="155"/>
              <w:rPr>
                <w:rFonts w:ascii="Times New Roman" w:eastAsia="Times New Roman"/>
                <w:b/>
                <w:sz w:val="21"/>
              </w:rPr>
            </w:pPr>
            <w:r>
              <w:rPr>
                <w:b/>
                <w:spacing w:val="-19"/>
                <w:sz w:val="21"/>
              </w:rPr>
              <w:t>可选 </w:t>
            </w:r>
            <w:r>
              <w:rPr>
                <w:rFonts w:ascii="Times New Roman" w:eastAsia="Times New Roman"/>
                <w:b/>
                <w:spacing w:val="-2"/>
                <w:sz w:val="21"/>
              </w:rPr>
              <w:t>Telemed</w:t>
            </w:r>
          </w:p>
          <w:p>
            <w:pPr>
              <w:pStyle w:val="TableParagraph"/>
              <w:spacing w:line="273" w:lineRule="exact"/>
              <w:ind w:left="232"/>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spacing w:before="191"/>
              <w:ind w:left="7" w:right="6"/>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1"/>
              <w:ind w:left="12"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1"/>
              <w:ind w:left="11"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1"/>
              <w:ind w:left="7"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1"/>
              <w:ind w:left="3"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szCs w:val="2"/>
              </w:rPr>
            </w:pPr>
          </w:p>
        </w:tc>
      </w:tr>
      <w:tr>
        <w:trPr>
          <w:trHeight w:val="896" w:hRule="atLeast"/>
        </w:trPr>
        <w:tc>
          <w:tcPr>
            <w:tcW w:w="1556" w:type="dxa"/>
          </w:tcPr>
          <w:p>
            <w:pPr>
              <w:pStyle w:val="TableParagraph"/>
              <w:spacing w:before="37"/>
              <w:rPr>
                <w:b/>
                <w:sz w:val="21"/>
              </w:rPr>
            </w:pPr>
          </w:p>
          <w:p>
            <w:pPr>
              <w:pStyle w:val="TableParagraph"/>
              <w:ind w:left="460"/>
              <w:rPr>
                <w:b/>
                <w:sz w:val="21"/>
              </w:rPr>
            </w:pPr>
            <w:r>
              <w:rPr>
                <w:b/>
                <w:spacing w:val="-5"/>
                <w:sz w:val="21"/>
              </w:rPr>
              <w:t>访视窗</w:t>
            </w:r>
          </w:p>
        </w:tc>
        <w:tc>
          <w:tcPr>
            <w:tcW w:w="1276" w:type="dxa"/>
          </w:tcPr>
          <w:p>
            <w:pPr>
              <w:pStyle w:val="TableParagraph"/>
              <w:spacing w:before="36"/>
              <w:ind w:left="112" w:right="101"/>
              <w:jc w:val="center"/>
              <w:rPr>
                <w:rFonts w:ascii="Times New Roman" w:eastAsia="Times New Roman"/>
                <w:sz w:val="21"/>
              </w:rPr>
            </w:pPr>
            <w:r>
              <w:rPr>
                <w:spacing w:val="-2"/>
                <w:sz w:val="21"/>
              </w:rPr>
              <w:t>与前身研究 </w:t>
            </w:r>
            <w:r>
              <w:rPr>
                <w:rFonts w:ascii="Times New Roman" w:eastAsia="Times New Roman"/>
                <w:sz w:val="21"/>
              </w:rPr>
              <w:t>V15</w:t>
            </w:r>
            <w:r>
              <w:rPr>
                <w:rFonts w:ascii="Times New Roman" w:eastAsia="Times New Roman"/>
                <w:spacing w:val="-14"/>
                <w:sz w:val="21"/>
              </w:rPr>
              <w:t> </w:t>
            </w:r>
            <w:r>
              <w:rPr>
                <w:sz w:val="21"/>
              </w:rPr>
              <w:t>同一天</w:t>
            </w:r>
            <w:r>
              <w:rPr>
                <w:spacing w:val="-15"/>
                <w:sz w:val="21"/>
              </w:rPr>
              <w:t>进行 </w:t>
            </w:r>
            <w:r>
              <w:rPr>
                <w:rFonts w:ascii="Times New Roman" w:eastAsia="Times New Roman"/>
                <w:sz w:val="21"/>
                <w:vertAlign w:val="superscript"/>
              </w:rPr>
              <w:t>b</w:t>
            </w:r>
          </w:p>
        </w:tc>
        <w:tc>
          <w:tcPr>
            <w:tcW w:w="9090" w:type="dxa"/>
            <w:gridSpan w:val="14"/>
          </w:tcPr>
          <w:p>
            <w:pPr>
              <w:pStyle w:val="TableParagraph"/>
              <w:spacing w:before="37"/>
              <w:rPr>
                <w:b/>
                <w:sz w:val="21"/>
              </w:rPr>
            </w:pPr>
          </w:p>
          <w:p>
            <w:pPr>
              <w:pStyle w:val="TableParagraph"/>
              <w:ind w:right="4"/>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131" w:type="dxa"/>
          </w:tcPr>
          <w:p>
            <w:pPr>
              <w:pStyle w:val="TableParagraph"/>
              <w:spacing w:before="37"/>
              <w:rPr>
                <w:b/>
                <w:sz w:val="21"/>
              </w:rPr>
            </w:pPr>
          </w:p>
          <w:p>
            <w:pPr>
              <w:pStyle w:val="TableParagraph"/>
              <w:ind w:right="15"/>
              <w:jc w:val="center"/>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913" w:type="dxa"/>
            <w:vMerge/>
            <w:tcBorders>
              <w:top w:val="nil"/>
            </w:tcBorders>
            <w:shd w:val="clear" w:color="auto" w:fill="D9D9D9"/>
          </w:tcPr>
          <w:p>
            <w:pPr>
              <w:rPr>
                <w:sz w:val="2"/>
                <w:szCs w:val="2"/>
              </w:rPr>
            </w:pPr>
          </w:p>
        </w:tc>
      </w:tr>
      <w:tr>
        <w:trPr>
          <w:trHeight w:val="393" w:hRule="atLeast"/>
        </w:trPr>
        <w:tc>
          <w:tcPr>
            <w:tcW w:w="13966" w:type="dxa"/>
            <w:gridSpan w:val="18"/>
            <w:shd w:val="clear" w:color="auto" w:fill="D9D9D9"/>
          </w:tcPr>
          <w:p>
            <w:pPr>
              <w:pStyle w:val="TableParagraph"/>
              <w:spacing w:before="39"/>
              <w:ind w:left="107"/>
              <w:rPr>
                <w:b/>
                <w:sz w:val="21"/>
              </w:rPr>
            </w:pPr>
            <w:r>
              <w:rPr>
                <w:b/>
                <w:spacing w:val="-4"/>
                <w:sz w:val="21"/>
              </w:rPr>
              <w:t>一般评估</w:t>
            </w:r>
          </w:p>
        </w:tc>
      </w:tr>
      <w:tr>
        <w:trPr>
          <w:trHeight w:val="594" w:hRule="atLeast"/>
        </w:trPr>
        <w:tc>
          <w:tcPr>
            <w:tcW w:w="1556" w:type="dxa"/>
          </w:tcPr>
          <w:p>
            <w:pPr>
              <w:pStyle w:val="TableParagraph"/>
              <w:spacing w:line="242" w:lineRule="auto" w:before="38"/>
              <w:ind w:left="107" w:right="312"/>
              <w:rPr>
                <w:rFonts w:ascii="Times New Roman" w:eastAsia="Times New Roman"/>
                <w:sz w:val="21"/>
              </w:rPr>
            </w:pPr>
            <w:r>
              <w:rPr>
                <w:spacing w:val="-15"/>
                <w:sz w:val="21"/>
              </w:rPr>
              <w:t>签署 </w:t>
            </w:r>
            <w:r>
              <w:rPr>
                <w:rFonts w:ascii="Times New Roman" w:eastAsia="Times New Roman"/>
                <w:sz w:val="21"/>
              </w:rPr>
              <w:t>ICF </w:t>
            </w:r>
            <w:r>
              <w:rPr>
                <w:rFonts w:ascii="Times New Roman" w:eastAsia="Times New Roman"/>
                <w:spacing w:val="-2"/>
                <w:sz w:val="21"/>
              </w:rPr>
              <w:t>PROSPERO</w:t>
            </w:r>
            <w:r>
              <w:rPr>
                <w:rFonts w:ascii="Times New Roman" w:eastAsia="Times New Roman"/>
                <w:spacing w:val="-2"/>
                <w:sz w:val="21"/>
                <w:vertAlign w:val="superscript"/>
              </w:rPr>
              <w:t>c</w:t>
            </w:r>
          </w:p>
        </w:tc>
        <w:tc>
          <w:tcPr>
            <w:tcW w:w="1276" w:type="dxa"/>
          </w:tcPr>
          <w:p>
            <w:pPr>
              <w:pStyle w:val="TableParagraph"/>
              <w:spacing w:before="177"/>
              <w:ind w:left="7"/>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TableParagraph"/>
              <w:spacing w:before="177"/>
              <w:ind w:left="2" w:right="20"/>
              <w:jc w:val="center"/>
              <w:rPr>
                <w:rFonts w:ascii="Times New Roman"/>
                <w:sz w:val="21"/>
              </w:rPr>
            </w:pPr>
            <w:hyperlink w:history="true" w:anchor="_bookmark24">
              <w:r>
                <w:rPr>
                  <w:rFonts w:ascii="Times New Roman"/>
                  <w:color w:val="0000FF"/>
                  <w:spacing w:val="-2"/>
                  <w:sz w:val="21"/>
                </w:rPr>
                <w:t>4.1.1</w:t>
              </w:r>
            </w:hyperlink>
          </w:p>
        </w:tc>
      </w:tr>
      <w:tr>
        <w:trPr>
          <w:trHeight w:val="351" w:hRule="atLeast"/>
        </w:trPr>
        <w:tc>
          <w:tcPr>
            <w:tcW w:w="1556" w:type="dxa"/>
          </w:tcPr>
          <w:p>
            <w:pPr>
              <w:pStyle w:val="TableParagraph"/>
              <w:spacing w:before="38"/>
              <w:ind w:left="107"/>
              <w:rPr>
                <w:sz w:val="21"/>
              </w:rPr>
            </w:pPr>
            <w:r>
              <w:rPr>
                <w:spacing w:val="-2"/>
                <w:sz w:val="21"/>
              </w:rPr>
              <w:t>合格性标准</w:t>
            </w:r>
          </w:p>
        </w:tc>
        <w:tc>
          <w:tcPr>
            <w:tcW w:w="1276" w:type="dxa"/>
          </w:tcPr>
          <w:p>
            <w:pPr>
              <w:pStyle w:val="TableParagraph"/>
              <w:spacing w:before="55"/>
              <w:ind w:left="7"/>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TableParagraph"/>
              <w:spacing w:before="55"/>
              <w:ind w:left="1" w:right="20"/>
              <w:jc w:val="center"/>
              <w:rPr>
                <w:rFonts w:ascii="Times New Roman"/>
                <w:sz w:val="21"/>
              </w:rPr>
            </w:pPr>
            <w:hyperlink w:history="true" w:anchor="_bookmark37">
              <w:r>
                <w:rPr>
                  <w:rFonts w:ascii="Times New Roman"/>
                  <w:color w:val="0000FF"/>
                  <w:sz w:val="21"/>
                </w:rPr>
                <w:t>5.1,</w:t>
              </w:r>
            </w:hyperlink>
            <w:r>
              <w:rPr>
                <w:rFonts w:ascii="Times New Roman"/>
                <w:color w:val="0000FF"/>
                <w:spacing w:val="-1"/>
                <w:sz w:val="21"/>
              </w:rPr>
              <w:t> </w:t>
            </w:r>
            <w:hyperlink w:history="true" w:anchor="_bookmark38">
              <w:r>
                <w:rPr>
                  <w:rFonts w:ascii="Times New Roman"/>
                  <w:color w:val="0000FF"/>
                  <w:spacing w:val="-5"/>
                  <w:sz w:val="21"/>
                </w:rPr>
                <w:t>5.2</w:t>
              </w:r>
            </w:hyperlink>
          </w:p>
        </w:tc>
      </w:tr>
      <w:tr>
        <w:trPr>
          <w:trHeight w:val="352" w:hRule="atLeast"/>
        </w:trPr>
        <w:tc>
          <w:tcPr>
            <w:tcW w:w="1556" w:type="dxa"/>
          </w:tcPr>
          <w:p>
            <w:pPr>
              <w:pStyle w:val="TableParagraph"/>
              <w:spacing w:before="39"/>
              <w:ind w:left="107"/>
              <w:rPr>
                <w:sz w:val="21"/>
              </w:rPr>
            </w:pPr>
            <w:r>
              <w:rPr>
                <w:spacing w:val="-2"/>
                <w:sz w:val="21"/>
              </w:rPr>
              <w:t>随机化事项</w:t>
            </w:r>
          </w:p>
        </w:tc>
        <w:tc>
          <w:tcPr>
            <w:tcW w:w="1276" w:type="dxa"/>
          </w:tcPr>
          <w:p>
            <w:pPr>
              <w:pStyle w:val="TableParagraph"/>
              <w:spacing w:before="57"/>
              <w:ind w:left="7"/>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TableParagraph"/>
              <w:spacing w:before="57"/>
              <w:ind w:left="2" w:right="20"/>
              <w:jc w:val="center"/>
              <w:rPr>
                <w:rFonts w:ascii="Times New Roman"/>
                <w:sz w:val="21"/>
              </w:rPr>
            </w:pPr>
            <w:hyperlink w:history="true" w:anchor="_bookmark24">
              <w:r>
                <w:rPr>
                  <w:rFonts w:ascii="Times New Roman"/>
                  <w:color w:val="0000FF"/>
                  <w:spacing w:val="-2"/>
                  <w:sz w:val="21"/>
                </w:rPr>
                <w:t>4.1.1</w:t>
              </w:r>
            </w:hyperlink>
          </w:p>
        </w:tc>
      </w:tr>
      <w:tr>
        <w:trPr>
          <w:trHeight w:val="393" w:hRule="atLeast"/>
        </w:trPr>
        <w:tc>
          <w:tcPr>
            <w:tcW w:w="13966" w:type="dxa"/>
            <w:gridSpan w:val="18"/>
            <w:shd w:val="clear" w:color="auto" w:fill="D9D9D9"/>
          </w:tcPr>
          <w:p>
            <w:pPr>
              <w:pStyle w:val="TableParagraph"/>
              <w:spacing w:before="39"/>
              <w:ind w:left="107"/>
              <w:rPr>
                <w:b/>
                <w:sz w:val="21"/>
              </w:rPr>
            </w:pPr>
            <w:r>
              <w:rPr>
                <w:b/>
                <w:spacing w:val="-4"/>
                <w:sz w:val="21"/>
              </w:rPr>
              <w:t>临床评估</w:t>
            </w:r>
          </w:p>
        </w:tc>
      </w:tr>
      <w:tr>
        <w:trPr>
          <w:trHeight w:val="352" w:hRule="atLeast"/>
        </w:trPr>
        <w:tc>
          <w:tcPr>
            <w:tcW w:w="1556" w:type="dxa"/>
          </w:tcPr>
          <w:p>
            <w:pPr>
              <w:pStyle w:val="TableParagraph"/>
              <w:spacing w:before="39"/>
              <w:ind w:left="107"/>
              <w:rPr>
                <w:sz w:val="21"/>
              </w:rPr>
            </w:pPr>
            <w:r>
              <w:rPr>
                <w:spacing w:val="-2"/>
                <w:sz w:val="21"/>
              </w:rPr>
              <w:t>全面体格检查</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spacing w:before="57"/>
              <w:ind w:right="14"/>
              <w:jc w:val="center"/>
              <w:rPr>
                <w:rFonts w:ascii="Times New Roman"/>
                <w:sz w:val="21"/>
              </w:rPr>
            </w:pPr>
            <w:r>
              <w:rPr>
                <w:rFonts w:ascii="Times New Roman"/>
                <w:spacing w:val="-10"/>
                <w:sz w:val="21"/>
              </w:rPr>
              <w:t>X</w:t>
            </w:r>
          </w:p>
        </w:tc>
        <w:tc>
          <w:tcPr>
            <w:tcW w:w="913" w:type="dxa"/>
          </w:tcPr>
          <w:p>
            <w:pPr>
              <w:pStyle w:val="TableParagraph"/>
              <w:spacing w:before="57"/>
              <w:ind w:left="2" w:right="20"/>
              <w:jc w:val="center"/>
              <w:rPr>
                <w:rFonts w:ascii="Times New Roman"/>
                <w:sz w:val="21"/>
              </w:rPr>
            </w:pPr>
            <w:hyperlink w:history="true" w:anchor="_bookmark86">
              <w:r>
                <w:rPr>
                  <w:rFonts w:ascii="Times New Roman"/>
                  <w:color w:val="0000FF"/>
                  <w:spacing w:val="-2"/>
                  <w:sz w:val="21"/>
                </w:rPr>
                <w:t>8.2.1</w:t>
              </w:r>
            </w:hyperlink>
          </w:p>
        </w:tc>
      </w:tr>
      <w:tr>
        <w:trPr>
          <w:trHeight w:val="624" w:hRule="atLeast"/>
        </w:trPr>
        <w:tc>
          <w:tcPr>
            <w:tcW w:w="1556" w:type="dxa"/>
          </w:tcPr>
          <w:p>
            <w:pPr>
              <w:pStyle w:val="TableParagraph"/>
              <w:spacing w:before="174"/>
              <w:ind w:left="107"/>
              <w:rPr>
                <w:sz w:val="21"/>
              </w:rPr>
            </w:pPr>
            <w:r>
              <w:rPr>
                <w:spacing w:val="-2"/>
                <w:sz w:val="21"/>
              </w:rPr>
              <w:t>简单体格检查</w:t>
            </w:r>
          </w:p>
        </w:tc>
        <w:tc>
          <w:tcPr>
            <w:tcW w:w="1276" w:type="dxa"/>
          </w:tcPr>
          <w:p>
            <w:pPr>
              <w:pStyle w:val="TableParagraph"/>
              <w:spacing w:line="273" w:lineRule="exact" w:before="38"/>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line="273" w:lineRule="exact"/>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spacing w:before="192"/>
              <w:ind w:left="7"/>
              <w:jc w:val="center"/>
              <w:rPr>
                <w:rFonts w:ascii="Times New Roman"/>
                <w:sz w:val="21"/>
              </w:rPr>
            </w:pPr>
            <w:r>
              <w:rPr>
                <w:rFonts w:ascii="Times New Roman"/>
                <w:spacing w:val="-10"/>
                <w:sz w:val="21"/>
              </w:rPr>
              <w:t>X</w:t>
            </w:r>
          </w:p>
        </w:tc>
        <w:tc>
          <w:tcPr>
            <w:tcW w:w="632" w:type="dxa"/>
          </w:tcPr>
          <w:p>
            <w:pPr>
              <w:pStyle w:val="TableParagraph"/>
              <w:spacing w:before="192"/>
              <w:ind w:left="7" w:right="1"/>
              <w:jc w:val="center"/>
              <w:rPr>
                <w:rFonts w:ascii="Times New Roman"/>
                <w:sz w:val="21"/>
              </w:rPr>
            </w:pPr>
            <w:r>
              <w:rPr>
                <w:rFonts w:ascii="Times New Roman"/>
                <w:spacing w:val="-10"/>
                <w:sz w:val="21"/>
              </w:rPr>
              <w:t>X</w:t>
            </w: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8"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4"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rPr>
                <w:rFonts w:ascii="Times New Roman"/>
                <w:sz w:val="20"/>
              </w:rPr>
            </w:pPr>
          </w:p>
        </w:tc>
        <w:tc>
          <w:tcPr>
            <w:tcW w:w="913" w:type="dxa"/>
          </w:tcPr>
          <w:p>
            <w:pPr>
              <w:pStyle w:val="TableParagraph"/>
              <w:spacing w:before="192"/>
              <w:ind w:left="2" w:right="20"/>
              <w:jc w:val="center"/>
              <w:rPr>
                <w:rFonts w:ascii="Times New Roman"/>
                <w:sz w:val="21"/>
              </w:rPr>
            </w:pPr>
            <w:hyperlink w:history="true" w:anchor="_bookmark86">
              <w:r>
                <w:rPr>
                  <w:rFonts w:ascii="Times New Roman"/>
                  <w:color w:val="0000FF"/>
                  <w:spacing w:val="-2"/>
                  <w:sz w:val="21"/>
                </w:rPr>
                <w:t>8.2.1</w:t>
              </w:r>
            </w:hyperlink>
          </w:p>
        </w:tc>
      </w:tr>
      <w:tr>
        <w:trPr>
          <w:trHeight w:val="624" w:hRule="atLeast"/>
        </w:trPr>
        <w:tc>
          <w:tcPr>
            <w:tcW w:w="1556" w:type="dxa"/>
          </w:tcPr>
          <w:p>
            <w:pPr>
              <w:pStyle w:val="TableParagraph"/>
              <w:spacing w:before="174"/>
              <w:ind w:left="107"/>
              <w:rPr>
                <w:sz w:val="21"/>
              </w:rPr>
            </w:pPr>
            <w:r>
              <w:rPr>
                <w:spacing w:val="-5"/>
                <w:sz w:val="21"/>
              </w:rPr>
              <w:t>体重</w:t>
            </w:r>
          </w:p>
        </w:tc>
        <w:tc>
          <w:tcPr>
            <w:tcW w:w="1276" w:type="dxa"/>
          </w:tcPr>
          <w:p>
            <w:pPr>
              <w:pStyle w:val="TableParagraph"/>
              <w:spacing w:line="273" w:lineRule="exact" w:before="38"/>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line="273" w:lineRule="exact"/>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spacing w:before="192"/>
              <w:ind w:left="7"/>
              <w:jc w:val="center"/>
              <w:rPr>
                <w:rFonts w:ascii="Times New Roman"/>
                <w:sz w:val="21"/>
              </w:rPr>
            </w:pPr>
            <w:r>
              <w:rPr>
                <w:rFonts w:ascii="Times New Roman"/>
                <w:spacing w:val="-10"/>
                <w:sz w:val="21"/>
              </w:rPr>
              <w:t>X</w:t>
            </w:r>
          </w:p>
        </w:tc>
        <w:tc>
          <w:tcPr>
            <w:tcW w:w="632" w:type="dxa"/>
          </w:tcPr>
          <w:p>
            <w:pPr>
              <w:pStyle w:val="TableParagraph"/>
              <w:spacing w:before="192"/>
              <w:ind w:left="7" w:right="1"/>
              <w:jc w:val="center"/>
              <w:rPr>
                <w:rFonts w:ascii="Times New Roman"/>
                <w:sz w:val="21"/>
              </w:rPr>
            </w:pPr>
            <w:r>
              <w:rPr>
                <w:rFonts w:ascii="Times New Roman"/>
                <w:spacing w:val="-10"/>
                <w:sz w:val="21"/>
              </w:rPr>
              <w:t>X</w:t>
            </w: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8"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4"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rPr>
                <w:rFonts w:ascii="Times New Roman"/>
                <w:sz w:val="20"/>
              </w:rPr>
            </w:pP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86">
              <w:r>
                <w:rPr>
                  <w:rFonts w:ascii="Times New Roman"/>
                  <w:color w:val="0000FF"/>
                  <w:spacing w:val="-2"/>
                  <w:sz w:val="21"/>
                </w:rPr>
                <w:t>8.2.1</w:t>
              </w:r>
            </w:hyperlink>
          </w:p>
        </w:tc>
      </w:tr>
      <w:tr>
        <w:trPr>
          <w:trHeight w:val="624" w:hRule="atLeast"/>
        </w:trPr>
        <w:tc>
          <w:tcPr>
            <w:tcW w:w="1556" w:type="dxa"/>
          </w:tcPr>
          <w:p>
            <w:pPr>
              <w:pStyle w:val="TableParagraph"/>
              <w:spacing w:before="174"/>
              <w:ind w:left="107"/>
              <w:rPr>
                <w:sz w:val="21"/>
              </w:rPr>
            </w:pPr>
            <w:r>
              <w:rPr>
                <w:spacing w:val="-3"/>
                <w:sz w:val="21"/>
              </w:rPr>
              <w:t>合并用药</w:t>
            </w:r>
          </w:p>
        </w:tc>
        <w:tc>
          <w:tcPr>
            <w:tcW w:w="1276" w:type="dxa"/>
          </w:tcPr>
          <w:p>
            <w:pPr>
              <w:pStyle w:val="TableParagraph"/>
              <w:spacing w:line="273" w:lineRule="exact" w:before="38"/>
              <w:ind w:right="94"/>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e</w:t>
            </w:r>
          </w:p>
          <w:p>
            <w:pPr>
              <w:pStyle w:val="TableParagraph"/>
              <w:spacing w:line="273" w:lineRule="exact"/>
              <w:ind w:right="95"/>
              <w:jc w:val="center"/>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632" w:type="dxa"/>
          </w:tcPr>
          <w:p>
            <w:pPr>
              <w:pStyle w:val="TableParagraph"/>
              <w:spacing w:before="192"/>
              <w:ind w:left="7"/>
              <w:jc w:val="center"/>
              <w:rPr>
                <w:rFonts w:ascii="Times New Roman"/>
                <w:sz w:val="21"/>
              </w:rPr>
            </w:pPr>
            <w:r>
              <w:rPr>
                <w:rFonts w:ascii="Times New Roman"/>
                <w:spacing w:val="-10"/>
                <w:sz w:val="21"/>
              </w:rPr>
              <w:t>X</w:t>
            </w:r>
          </w:p>
        </w:tc>
        <w:tc>
          <w:tcPr>
            <w:tcW w:w="632" w:type="dxa"/>
          </w:tcPr>
          <w:p>
            <w:pPr>
              <w:pStyle w:val="TableParagraph"/>
              <w:spacing w:before="192"/>
              <w:ind w:left="7" w:right="1"/>
              <w:jc w:val="center"/>
              <w:rPr>
                <w:rFonts w:ascii="Times New Roman"/>
                <w:sz w:val="21"/>
              </w:rPr>
            </w:pPr>
            <w:r>
              <w:rPr>
                <w:rFonts w:ascii="Times New Roman"/>
                <w:spacing w:val="-10"/>
                <w:sz w:val="21"/>
              </w:rPr>
              <w:t>X</w:t>
            </w: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spacing w:before="192"/>
              <w:ind w:left="7" w:right="5"/>
              <w:jc w:val="center"/>
              <w:rPr>
                <w:rFonts w:ascii="Times New Roman"/>
                <w:sz w:val="21"/>
              </w:rPr>
            </w:pPr>
            <w:r>
              <w:rPr>
                <w:rFonts w:ascii="Times New Roman"/>
                <w:spacing w:val="-10"/>
                <w:sz w:val="21"/>
              </w:rPr>
              <w:t>X</w:t>
            </w: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spacing w:before="192"/>
              <w:ind w:left="10" w:right="13"/>
              <w:jc w:val="center"/>
              <w:rPr>
                <w:rFonts w:ascii="Times New Roman"/>
                <w:sz w:val="21"/>
              </w:rPr>
            </w:pPr>
            <w:r>
              <w:rPr>
                <w:rFonts w:ascii="Times New Roman"/>
                <w:spacing w:val="-10"/>
                <w:sz w:val="21"/>
              </w:rPr>
              <w:t>X</w:t>
            </w:r>
          </w:p>
        </w:tc>
        <w:tc>
          <w:tcPr>
            <w:tcW w:w="631" w:type="dxa"/>
          </w:tcPr>
          <w:p>
            <w:pPr>
              <w:pStyle w:val="TableParagraph"/>
              <w:spacing w:before="192"/>
              <w:ind w:left="8" w:right="13"/>
              <w:jc w:val="center"/>
              <w:rPr>
                <w:rFonts w:ascii="Times New Roman"/>
                <w:sz w:val="21"/>
              </w:rPr>
            </w:pPr>
            <w:r>
              <w:rPr>
                <w:rFonts w:ascii="Times New Roman"/>
                <w:spacing w:val="-10"/>
                <w:sz w:val="21"/>
              </w:rPr>
              <w:t>X</w:t>
            </w:r>
          </w:p>
        </w:tc>
        <w:tc>
          <w:tcPr>
            <w:tcW w:w="631" w:type="dxa"/>
          </w:tcPr>
          <w:p>
            <w:pPr>
              <w:pStyle w:val="TableParagraph"/>
              <w:spacing w:before="192"/>
              <w:ind w:left="6" w:right="13"/>
              <w:jc w:val="center"/>
              <w:rPr>
                <w:rFonts w:ascii="Times New Roman"/>
                <w:sz w:val="21"/>
              </w:rPr>
            </w:pPr>
            <w:r>
              <w:rPr>
                <w:rFonts w:ascii="Times New Roman"/>
                <w:spacing w:val="-10"/>
                <w:sz w:val="21"/>
              </w:rPr>
              <w:t>X</w:t>
            </w:r>
          </w:p>
        </w:tc>
        <w:tc>
          <w:tcPr>
            <w:tcW w:w="631" w:type="dxa"/>
          </w:tcPr>
          <w:p>
            <w:pPr>
              <w:pStyle w:val="TableParagraph"/>
              <w:spacing w:before="192"/>
              <w:ind w:left="4" w:right="13"/>
              <w:jc w:val="center"/>
              <w:rPr>
                <w:rFonts w:ascii="Times New Roman"/>
                <w:sz w:val="21"/>
              </w:rPr>
            </w:pPr>
            <w:r>
              <w:rPr>
                <w:rFonts w:ascii="Times New Roman"/>
                <w:spacing w:val="-10"/>
                <w:sz w:val="21"/>
              </w:rPr>
              <w:t>X</w:t>
            </w:r>
          </w:p>
        </w:tc>
        <w:tc>
          <w:tcPr>
            <w:tcW w:w="631" w:type="dxa"/>
          </w:tcPr>
          <w:p>
            <w:pPr>
              <w:pStyle w:val="TableParagraph"/>
              <w:spacing w:before="192"/>
              <w:ind w:left="2" w:right="13"/>
              <w:jc w:val="center"/>
              <w:rPr>
                <w:rFonts w:ascii="Times New Roman"/>
                <w:sz w:val="21"/>
              </w:rPr>
            </w:pPr>
            <w:r>
              <w:rPr>
                <w:rFonts w:ascii="Times New Roman"/>
                <w:spacing w:val="-10"/>
                <w:sz w:val="21"/>
              </w:rPr>
              <w:t>X</w:t>
            </w: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right="20"/>
              <w:jc w:val="center"/>
              <w:rPr>
                <w:rFonts w:ascii="Times New Roman"/>
                <w:sz w:val="21"/>
              </w:rPr>
            </w:pPr>
            <w:hyperlink w:history="true" w:anchor="_bookmark64">
              <w:r>
                <w:rPr>
                  <w:rFonts w:ascii="Times New Roman"/>
                  <w:color w:val="0000FF"/>
                  <w:spacing w:val="-5"/>
                  <w:sz w:val="21"/>
                </w:rPr>
                <w:t>6.5</w:t>
              </w:r>
            </w:hyperlink>
          </w:p>
        </w:tc>
      </w:tr>
    </w:tbl>
    <w:p>
      <w:pPr>
        <w:spacing w:after="0"/>
        <w:jc w:val="center"/>
        <w:rPr>
          <w:rFonts w:ascii="Times New Roman"/>
          <w:sz w:val="21"/>
        </w:rPr>
        <w:sectPr>
          <w:headerReference w:type="default" r:id="rId9"/>
          <w:footerReference w:type="default" r:id="rId10"/>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6" w:hRule="atLeast"/>
        </w:trPr>
        <w:tc>
          <w:tcPr>
            <w:tcW w:w="1556" w:type="dxa"/>
            <w:shd w:val="clear" w:color="auto" w:fill="D9D9D9"/>
          </w:tcPr>
          <w:p>
            <w:pPr>
              <w:pStyle w:val="TableParagraph"/>
              <w:spacing w:before="37"/>
              <w:rPr>
                <w:b/>
                <w:sz w:val="21"/>
              </w:rPr>
            </w:pPr>
          </w:p>
          <w:p>
            <w:pPr>
              <w:pStyle w:val="TableParagraph"/>
              <w:ind w:left="355"/>
              <w:rPr>
                <w:b/>
                <w:sz w:val="21"/>
              </w:rPr>
            </w:pPr>
            <w:r>
              <w:rPr>
                <w:b/>
                <w:spacing w:val="-4"/>
                <w:sz w:val="21"/>
              </w:rPr>
              <w:t>研究阶段</w:t>
            </w:r>
          </w:p>
        </w:tc>
        <w:tc>
          <w:tcPr>
            <w:tcW w:w="1276" w:type="dxa"/>
            <w:shd w:val="clear" w:color="auto" w:fill="D9D9D9"/>
          </w:tcPr>
          <w:p>
            <w:pPr>
              <w:pStyle w:val="TableParagraph"/>
              <w:spacing w:before="172"/>
              <w:ind w:left="426"/>
              <w:rPr>
                <w:b/>
                <w:sz w:val="21"/>
              </w:rPr>
            </w:pPr>
            <w:r>
              <w:rPr>
                <w:b/>
                <w:spacing w:val="-6"/>
                <w:sz w:val="21"/>
              </w:rPr>
              <w:t>入选</w:t>
            </w:r>
          </w:p>
          <w:p>
            <w:pPr>
              <w:pStyle w:val="TableParagraph"/>
              <w:spacing w:before="1"/>
              <w:ind w:left="116"/>
              <w:rPr>
                <w:b/>
                <w:sz w:val="21"/>
              </w:rPr>
            </w:pPr>
            <w:r>
              <w:rPr>
                <w:b/>
                <w:spacing w:val="-2"/>
                <w:sz w:val="21"/>
              </w:rPr>
              <w:t>（</w:t>
            </w:r>
            <w:r>
              <w:rPr>
                <w:rFonts w:ascii="Times New Roman" w:eastAsia="Times New Roman"/>
                <w:b/>
                <w:spacing w:val="-2"/>
                <w:sz w:val="21"/>
              </w:rPr>
              <w:t>Enrol</w:t>
            </w:r>
            <w:r>
              <w:rPr>
                <w:b/>
                <w:spacing w:val="-2"/>
                <w:sz w:val="21"/>
              </w:rPr>
              <w:t>）</w:t>
            </w:r>
          </w:p>
        </w:tc>
        <w:tc>
          <w:tcPr>
            <w:tcW w:w="8207" w:type="dxa"/>
            <w:gridSpan w:val="13"/>
            <w:shd w:val="clear" w:color="auto" w:fill="D9D9D9"/>
          </w:tcPr>
          <w:p>
            <w:pPr>
              <w:pStyle w:val="TableParagraph"/>
              <w:spacing w:before="37"/>
              <w:rPr>
                <w:b/>
                <w:sz w:val="21"/>
              </w:rPr>
            </w:pPr>
          </w:p>
          <w:p>
            <w:pPr>
              <w:pStyle w:val="TableParagraph"/>
              <w:ind w:right="4"/>
              <w:jc w:val="center"/>
              <w:rPr>
                <w:b/>
                <w:sz w:val="21"/>
              </w:rPr>
            </w:pPr>
            <w:r>
              <w:rPr>
                <w:b/>
                <w:spacing w:val="-2"/>
                <w:sz w:val="21"/>
              </w:rPr>
              <w:t>干预（治疗）</w:t>
            </w:r>
            <w:r>
              <w:rPr>
                <w:b/>
                <w:spacing w:val="-12"/>
                <w:sz w:val="21"/>
              </w:rPr>
              <w:t>期</w:t>
            </w:r>
          </w:p>
        </w:tc>
        <w:tc>
          <w:tcPr>
            <w:tcW w:w="883" w:type="dxa"/>
            <w:shd w:val="clear" w:color="auto" w:fill="D9D9D9"/>
          </w:tcPr>
          <w:p>
            <w:pPr>
              <w:pStyle w:val="TableParagraph"/>
              <w:spacing w:before="172"/>
              <w:ind w:left="112"/>
              <w:rPr>
                <w:b/>
                <w:sz w:val="21"/>
              </w:rPr>
            </w:pPr>
            <w:r>
              <w:rPr>
                <w:b/>
                <w:spacing w:val="-5"/>
                <w:sz w:val="21"/>
              </w:rPr>
              <w:t>随访期</w:t>
            </w:r>
          </w:p>
          <w:p>
            <w:pPr>
              <w:pStyle w:val="TableParagraph"/>
              <w:spacing w:before="1"/>
              <w:ind w:left="24"/>
              <w:rPr>
                <w:b/>
                <w:sz w:val="21"/>
              </w:rPr>
            </w:pPr>
            <w:r>
              <w:rPr>
                <w:b/>
                <w:spacing w:val="-4"/>
                <w:sz w:val="21"/>
              </w:rPr>
              <w:t>（</w:t>
            </w:r>
            <w:r>
              <w:rPr>
                <w:rFonts w:ascii="Times New Roman" w:eastAsia="Times New Roman"/>
                <w:b/>
                <w:spacing w:val="-4"/>
                <w:sz w:val="21"/>
              </w:rPr>
              <w:t>FU</w:t>
            </w:r>
            <w:r>
              <w:rPr>
                <w:b/>
                <w:spacing w:val="-4"/>
                <w:sz w:val="21"/>
              </w:rPr>
              <w:t>）</w:t>
            </w:r>
          </w:p>
        </w:tc>
        <w:tc>
          <w:tcPr>
            <w:tcW w:w="1131" w:type="dxa"/>
            <w:shd w:val="clear" w:color="auto" w:fill="D9D9D9"/>
          </w:tcPr>
          <w:p>
            <w:pPr>
              <w:pStyle w:val="TableParagraph"/>
              <w:spacing w:before="36"/>
              <w:ind w:left="165" w:right="183"/>
              <w:jc w:val="center"/>
              <w:rPr>
                <w:b/>
                <w:sz w:val="21"/>
              </w:rPr>
            </w:pPr>
            <w:r>
              <w:rPr>
                <w:rFonts w:ascii="Times New Roman" w:eastAsia="Times New Roman"/>
                <w:b/>
                <w:spacing w:val="-2"/>
                <w:sz w:val="21"/>
              </w:rPr>
              <w:t>E/D</w:t>
            </w:r>
            <w:r>
              <w:rPr>
                <w:b/>
                <w:spacing w:val="-2"/>
                <w:sz w:val="21"/>
              </w:rPr>
              <w:t>，电</w:t>
            </w:r>
            <w:r>
              <w:rPr>
                <w:b/>
                <w:spacing w:val="-14"/>
                <w:sz w:val="21"/>
              </w:rPr>
              <w:t>话随访 </w:t>
            </w:r>
            <w:r>
              <w:rPr>
                <w:rFonts w:ascii="Times New Roman" w:eastAsia="Times New Roman"/>
                <w:b/>
                <w:sz w:val="21"/>
                <w:vertAlign w:val="superscript"/>
              </w:rPr>
              <w:t>a</w:t>
            </w:r>
            <w:r>
              <w:rPr>
                <w:b/>
                <w:spacing w:val="-6"/>
                <w:sz w:val="21"/>
                <w:vertAlign w:val="baseline"/>
              </w:rP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TableParagraph"/>
              <w:spacing w:line="240" w:lineRule="exact"/>
              <w:ind w:left="241"/>
              <w:rPr>
                <w:rFonts w:ascii="Times New Roman"/>
                <w:b/>
                <w:sz w:val="21"/>
              </w:rPr>
            </w:pPr>
            <w:r>
              <w:rPr>
                <w:rFonts w:ascii="Times New Roman"/>
                <w:b/>
                <w:spacing w:val="-5"/>
                <w:sz w:val="21"/>
              </w:rPr>
              <w:t>CSP</w:t>
            </w:r>
          </w:p>
          <w:p>
            <w:pPr>
              <w:pStyle w:val="TableParagraph"/>
              <w:spacing w:line="272" w:lineRule="exact"/>
              <w:ind w:left="229"/>
              <w:rPr>
                <w:b/>
                <w:sz w:val="21"/>
              </w:rPr>
            </w:pPr>
            <w:r>
              <w:rPr>
                <w:b/>
                <w:spacing w:val="-6"/>
                <w:sz w:val="21"/>
              </w:rPr>
              <w:t>章节</w:t>
            </w:r>
          </w:p>
        </w:tc>
      </w:tr>
      <w:tr>
        <w:trPr>
          <w:trHeight w:val="352" w:hRule="atLeast"/>
        </w:trPr>
        <w:tc>
          <w:tcPr>
            <w:tcW w:w="1556" w:type="dxa"/>
            <w:shd w:val="clear" w:color="auto" w:fill="D9D9D9"/>
          </w:tcPr>
          <w:p>
            <w:pPr>
              <w:pStyle w:val="TableParagraph"/>
              <w:spacing w:before="39"/>
              <w:ind w:left="460"/>
              <w:rPr>
                <w:b/>
                <w:sz w:val="21"/>
              </w:rPr>
            </w:pPr>
            <w:r>
              <w:rPr>
                <w:b/>
                <w:spacing w:val="-5"/>
                <w:sz w:val="21"/>
              </w:rPr>
              <w:t>研究周</w:t>
            </w:r>
          </w:p>
        </w:tc>
        <w:tc>
          <w:tcPr>
            <w:tcW w:w="1276" w:type="dxa"/>
            <w:shd w:val="clear" w:color="auto" w:fill="D9D9D9"/>
          </w:tcPr>
          <w:p>
            <w:pPr>
              <w:pStyle w:val="TableParagraph"/>
              <w:spacing w:before="57"/>
              <w:ind w:left="7"/>
              <w:jc w:val="center"/>
              <w:rPr>
                <w:rFonts w:ascii="Times New Roman"/>
                <w:sz w:val="21"/>
              </w:rPr>
            </w:pPr>
            <w:r>
              <w:rPr>
                <w:rFonts w:ascii="Times New Roman"/>
                <w:spacing w:val="-5"/>
                <w:sz w:val="21"/>
              </w:rPr>
              <w:t>W0</w:t>
            </w:r>
          </w:p>
        </w:tc>
        <w:tc>
          <w:tcPr>
            <w:tcW w:w="632" w:type="dxa"/>
            <w:shd w:val="clear" w:color="auto" w:fill="D9D9D9"/>
          </w:tcPr>
          <w:p>
            <w:pPr>
              <w:pStyle w:val="TableParagraph"/>
              <w:spacing w:before="57"/>
              <w:ind w:left="7" w:right="2"/>
              <w:jc w:val="center"/>
              <w:rPr>
                <w:rFonts w:ascii="Times New Roman"/>
                <w:sz w:val="21"/>
              </w:rPr>
            </w:pPr>
            <w:r>
              <w:rPr>
                <w:rFonts w:ascii="Times New Roman"/>
                <w:spacing w:val="-5"/>
                <w:sz w:val="21"/>
              </w:rPr>
              <w:t>W4</w:t>
            </w:r>
          </w:p>
        </w:tc>
        <w:tc>
          <w:tcPr>
            <w:tcW w:w="632" w:type="dxa"/>
            <w:shd w:val="clear" w:color="auto" w:fill="D9D9D9"/>
          </w:tcPr>
          <w:p>
            <w:pPr>
              <w:pStyle w:val="TableParagraph"/>
              <w:spacing w:before="57"/>
              <w:ind w:left="7" w:right="4"/>
              <w:jc w:val="center"/>
              <w:rPr>
                <w:rFonts w:ascii="Times New Roman"/>
                <w:sz w:val="21"/>
              </w:rPr>
            </w:pPr>
            <w:r>
              <w:rPr>
                <w:rFonts w:ascii="Times New Roman"/>
                <w:spacing w:val="-5"/>
                <w:sz w:val="21"/>
              </w:rPr>
              <w:t>W8</w:t>
            </w:r>
          </w:p>
        </w:tc>
        <w:tc>
          <w:tcPr>
            <w:tcW w:w="632" w:type="dxa"/>
            <w:shd w:val="clear" w:color="auto" w:fill="D9D9D9"/>
          </w:tcPr>
          <w:p>
            <w:pPr>
              <w:pStyle w:val="TableParagraph"/>
              <w:spacing w:before="57"/>
              <w:ind w:left="7" w:right="3"/>
              <w:jc w:val="center"/>
              <w:rPr>
                <w:rFonts w:ascii="Times New Roman"/>
                <w:sz w:val="21"/>
              </w:rPr>
            </w:pPr>
            <w:r>
              <w:rPr>
                <w:rFonts w:ascii="Times New Roman"/>
                <w:spacing w:val="-5"/>
                <w:sz w:val="21"/>
              </w:rPr>
              <w:t>W12</w:t>
            </w:r>
          </w:p>
        </w:tc>
        <w:tc>
          <w:tcPr>
            <w:tcW w:w="632" w:type="dxa"/>
            <w:shd w:val="clear" w:color="auto" w:fill="D9D9D9"/>
          </w:tcPr>
          <w:p>
            <w:pPr>
              <w:pStyle w:val="TableParagraph"/>
              <w:spacing w:before="57"/>
              <w:ind w:left="7" w:right="5"/>
              <w:jc w:val="center"/>
              <w:rPr>
                <w:rFonts w:ascii="Times New Roman"/>
                <w:sz w:val="21"/>
              </w:rPr>
            </w:pPr>
            <w:r>
              <w:rPr>
                <w:rFonts w:ascii="Times New Roman"/>
                <w:spacing w:val="-5"/>
                <w:sz w:val="21"/>
              </w:rPr>
              <w:t>W16</w:t>
            </w:r>
          </w:p>
        </w:tc>
        <w:tc>
          <w:tcPr>
            <w:tcW w:w="631" w:type="dxa"/>
            <w:shd w:val="clear" w:color="auto" w:fill="D9D9D9"/>
          </w:tcPr>
          <w:p>
            <w:pPr>
              <w:pStyle w:val="TableParagraph"/>
              <w:spacing w:before="57"/>
              <w:ind w:left="13" w:right="13"/>
              <w:jc w:val="center"/>
              <w:rPr>
                <w:rFonts w:ascii="Times New Roman"/>
                <w:sz w:val="21"/>
              </w:rPr>
            </w:pPr>
            <w:r>
              <w:rPr>
                <w:rFonts w:ascii="Times New Roman"/>
                <w:spacing w:val="-5"/>
                <w:sz w:val="21"/>
              </w:rPr>
              <w:t>W20</w:t>
            </w:r>
          </w:p>
        </w:tc>
        <w:tc>
          <w:tcPr>
            <w:tcW w:w="631" w:type="dxa"/>
            <w:shd w:val="clear" w:color="auto" w:fill="D9D9D9"/>
          </w:tcPr>
          <w:p>
            <w:pPr>
              <w:pStyle w:val="TableParagraph"/>
              <w:spacing w:before="57"/>
              <w:ind w:left="13" w:right="13"/>
              <w:jc w:val="center"/>
              <w:rPr>
                <w:rFonts w:ascii="Times New Roman"/>
                <w:sz w:val="21"/>
              </w:rPr>
            </w:pPr>
            <w:r>
              <w:rPr>
                <w:rFonts w:ascii="Times New Roman"/>
                <w:spacing w:val="-5"/>
                <w:sz w:val="21"/>
              </w:rPr>
              <w:t>W24</w:t>
            </w:r>
          </w:p>
        </w:tc>
        <w:tc>
          <w:tcPr>
            <w:tcW w:w="631" w:type="dxa"/>
            <w:shd w:val="clear" w:color="auto" w:fill="D9D9D9"/>
          </w:tcPr>
          <w:p>
            <w:pPr>
              <w:pStyle w:val="TableParagraph"/>
              <w:spacing w:before="57"/>
              <w:ind w:left="11" w:right="13"/>
              <w:jc w:val="center"/>
              <w:rPr>
                <w:rFonts w:ascii="Times New Roman"/>
                <w:sz w:val="21"/>
              </w:rPr>
            </w:pPr>
            <w:r>
              <w:rPr>
                <w:rFonts w:ascii="Times New Roman"/>
                <w:spacing w:val="-5"/>
                <w:sz w:val="21"/>
              </w:rPr>
              <w:t>W28</w:t>
            </w:r>
          </w:p>
        </w:tc>
        <w:tc>
          <w:tcPr>
            <w:tcW w:w="631" w:type="dxa"/>
            <w:shd w:val="clear" w:color="auto" w:fill="D9D9D9"/>
          </w:tcPr>
          <w:p>
            <w:pPr>
              <w:pStyle w:val="TableParagraph"/>
              <w:spacing w:before="57"/>
              <w:ind w:left="10" w:right="13"/>
              <w:jc w:val="center"/>
              <w:rPr>
                <w:rFonts w:ascii="Times New Roman"/>
                <w:sz w:val="21"/>
              </w:rPr>
            </w:pPr>
            <w:r>
              <w:rPr>
                <w:rFonts w:ascii="Times New Roman"/>
                <w:spacing w:val="-5"/>
                <w:sz w:val="21"/>
              </w:rPr>
              <w:t>W32</w:t>
            </w:r>
          </w:p>
        </w:tc>
        <w:tc>
          <w:tcPr>
            <w:tcW w:w="631" w:type="dxa"/>
            <w:shd w:val="clear" w:color="auto" w:fill="D9D9D9"/>
          </w:tcPr>
          <w:p>
            <w:pPr>
              <w:pStyle w:val="TableParagraph"/>
              <w:spacing w:before="57"/>
              <w:ind w:left="8" w:right="13"/>
              <w:jc w:val="center"/>
              <w:rPr>
                <w:rFonts w:ascii="Times New Roman"/>
                <w:sz w:val="21"/>
              </w:rPr>
            </w:pPr>
            <w:r>
              <w:rPr>
                <w:rFonts w:ascii="Times New Roman"/>
                <w:spacing w:val="-5"/>
                <w:sz w:val="21"/>
              </w:rPr>
              <w:t>W36</w:t>
            </w:r>
          </w:p>
        </w:tc>
        <w:tc>
          <w:tcPr>
            <w:tcW w:w="631" w:type="dxa"/>
            <w:shd w:val="clear" w:color="auto" w:fill="D9D9D9"/>
          </w:tcPr>
          <w:p>
            <w:pPr>
              <w:pStyle w:val="TableParagraph"/>
              <w:spacing w:before="57"/>
              <w:ind w:left="6" w:right="13"/>
              <w:jc w:val="center"/>
              <w:rPr>
                <w:rFonts w:ascii="Times New Roman"/>
                <w:sz w:val="21"/>
              </w:rPr>
            </w:pPr>
            <w:r>
              <w:rPr>
                <w:rFonts w:ascii="Times New Roman"/>
                <w:spacing w:val="-5"/>
                <w:sz w:val="21"/>
              </w:rPr>
              <w:t>W40</w:t>
            </w:r>
          </w:p>
        </w:tc>
        <w:tc>
          <w:tcPr>
            <w:tcW w:w="631" w:type="dxa"/>
            <w:shd w:val="clear" w:color="auto" w:fill="D9D9D9"/>
          </w:tcPr>
          <w:p>
            <w:pPr>
              <w:pStyle w:val="TableParagraph"/>
              <w:spacing w:before="57"/>
              <w:ind w:left="4" w:right="13"/>
              <w:jc w:val="center"/>
              <w:rPr>
                <w:rFonts w:ascii="Times New Roman"/>
                <w:sz w:val="21"/>
              </w:rPr>
            </w:pPr>
            <w:r>
              <w:rPr>
                <w:rFonts w:ascii="Times New Roman"/>
                <w:spacing w:val="-5"/>
                <w:sz w:val="21"/>
              </w:rPr>
              <w:t>W44</w:t>
            </w:r>
          </w:p>
        </w:tc>
        <w:tc>
          <w:tcPr>
            <w:tcW w:w="631" w:type="dxa"/>
            <w:shd w:val="clear" w:color="auto" w:fill="D9D9D9"/>
          </w:tcPr>
          <w:p>
            <w:pPr>
              <w:pStyle w:val="TableParagraph"/>
              <w:spacing w:before="57"/>
              <w:ind w:left="2" w:right="13"/>
              <w:jc w:val="center"/>
              <w:rPr>
                <w:rFonts w:ascii="Times New Roman"/>
                <w:sz w:val="21"/>
              </w:rPr>
            </w:pPr>
            <w:r>
              <w:rPr>
                <w:rFonts w:ascii="Times New Roman"/>
                <w:spacing w:val="-5"/>
                <w:sz w:val="21"/>
              </w:rPr>
              <w:t>W48</w:t>
            </w:r>
          </w:p>
        </w:tc>
        <w:tc>
          <w:tcPr>
            <w:tcW w:w="631" w:type="dxa"/>
            <w:shd w:val="clear" w:color="auto" w:fill="D9D9D9"/>
          </w:tcPr>
          <w:p>
            <w:pPr>
              <w:pStyle w:val="TableParagraph"/>
              <w:spacing w:before="57"/>
              <w:ind w:right="13"/>
              <w:jc w:val="center"/>
              <w:rPr>
                <w:rFonts w:ascii="Times New Roman"/>
                <w:sz w:val="21"/>
              </w:rPr>
            </w:pPr>
            <w:r>
              <w:rPr>
                <w:rFonts w:ascii="Times New Roman"/>
                <w:spacing w:val="-5"/>
                <w:sz w:val="21"/>
              </w:rPr>
              <w:t>W52</w:t>
            </w:r>
          </w:p>
        </w:tc>
        <w:tc>
          <w:tcPr>
            <w:tcW w:w="883" w:type="dxa"/>
            <w:shd w:val="clear" w:color="auto" w:fill="D9D9D9"/>
          </w:tcPr>
          <w:p>
            <w:pPr>
              <w:pStyle w:val="TableParagraph"/>
              <w:spacing w:before="57"/>
              <w:ind w:right="15"/>
              <w:jc w:val="center"/>
              <w:rPr>
                <w:rFonts w:ascii="Times New Roman"/>
                <w:sz w:val="21"/>
              </w:rPr>
            </w:pPr>
            <w:r>
              <w:rPr>
                <w:rFonts w:ascii="Times New Roman"/>
                <w:spacing w:val="-5"/>
                <w:sz w:val="21"/>
              </w:rPr>
              <w:t>W60</w:t>
            </w:r>
          </w:p>
        </w:tc>
        <w:tc>
          <w:tcPr>
            <w:tcW w:w="1131" w:type="dxa"/>
            <w:vMerge w:val="restart"/>
            <w:shd w:val="clear" w:color="auto" w:fill="D9D9D9"/>
          </w:tcPr>
          <w:p>
            <w:pPr>
              <w:pStyle w:val="TableParagraph"/>
              <w:spacing w:before="38"/>
              <w:ind w:left="121" w:right="139"/>
              <w:jc w:val="center"/>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w:t>
            </w:r>
            <w:r>
              <w:rPr>
                <w:spacing w:val="-14"/>
                <w:sz w:val="21"/>
              </w:rPr>
              <w:t>药后 </w:t>
            </w:r>
            <w:r>
              <w:rPr>
                <w:rFonts w:ascii="Times New Roman" w:eastAsia="Times New Roman"/>
                <w:sz w:val="21"/>
              </w:rPr>
              <w:t>12</w:t>
            </w:r>
            <w:r>
              <w:rPr>
                <w:spacing w:val="-10"/>
                <w:sz w:val="21"/>
              </w:rPr>
              <w:t>周</w:t>
            </w:r>
          </w:p>
        </w:tc>
        <w:tc>
          <w:tcPr>
            <w:tcW w:w="913" w:type="dxa"/>
            <w:vMerge/>
            <w:tcBorders>
              <w:top w:val="nil"/>
            </w:tcBorders>
            <w:shd w:val="clear" w:color="auto" w:fill="D9D9D9"/>
          </w:tcPr>
          <w:p>
            <w:pPr>
              <w:rPr>
                <w:sz w:val="2"/>
                <w:szCs w:val="2"/>
              </w:rPr>
            </w:pPr>
          </w:p>
        </w:tc>
      </w:tr>
      <w:tr>
        <w:trPr>
          <w:trHeight w:val="534" w:hRule="atLeast"/>
        </w:trPr>
        <w:tc>
          <w:tcPr>
            <w:tcW w:w="1556" w:type="dxa"/>
            <w:shd w:val="clear" w:color="auto" w:fill="D9D9D9"/>
          </w:tcPr>
          <w:p>
            <w:pPr>
              <w:pStyle w:val="TableParagraph"/>
              <w:spacing w:before="130"/>
              <w:ind w:left="8"/>
              <w:jc w:val="center"/>
              <w:rPr>
                <w:b/>
                <w:sz w:val="21"/>
              </w:rPr>
            </w:pPr>
            <w:r>
              <w:rPr>
                <w:b/>
                <w:spacing w:val="-6"/>
                <w:sz w:val="21"/>
              </w:rPr>
              <w:t>访视</w:t>
            </w:r>
          </w:p>
        </w:tc>
        <w:tc>
          <w:tcPr>
            <w:tcW w:w="1276" w:type="dxa"/>
            <w:shd w:val="clear" w:color="auto" w:fill="D9D9D9"/>
          </w:tcPr>
          <w:p>
            <w:pPr>
              <w:pStyle w:val="TableParagraph"/>
              <w:spacing w:before="147"/>
              <w:ind w:left="6"/>
              <w:jc w:val="center"/>
              <w:rPr>
                <w:rFonts w:ascii="Times New Roman"/>
                <w:sz w:val="21"/>
              </w:rPr>
            </w:pPr>
            <w:r>
              <w:rPr>
                <w:rFonts w:ascii="Times New Roman"/>
                <w:spacing w:val="-5"/>
                <w:sz w:val="21"/>
              </w:rPr>
              <w:t>V1</w:t>
            </w:r>
          </w:p>
        </w:tc>
        <w:tc>
          <w:tcPr>
            <w:tcW w:w="632" w:type="dxa"/>
            <w:shd w:val="clear" w:color="auto" w:fill="D9D9D9"/>
          </w:tcPr>
          <w:p>
            <w:pPr>
              <w:pStyle w:val="TableParagraph"/>
              <w:spacing w:before="147"/>
              <w:ind w:left="7" w:right="1"/>
              <w:jc w:val="center"/>
              <w:rPr>
                <w:rFonts w:ascii="Times New Roman"/>
                <w:sz w:val="21"/>
              </w:rPr>
            </w:pPr>
            <w:r>
              <w:rPr>
                <w:rFonts w:ascii="Times New Roman"/>
                <w:spacing w:val="-5"/>
                <w:sz w:val="21"/>
              </w:rPr>
              <w:t>V2</w:t>
            </w:r>
          </w:p>
        </w:tc>
        <w:tc>
          <w:tcPr>
            <w:tcW w:w="632" w:type="dxa"/>
            <w:shd w:val="clear" w:color="auto" w:fill="D9D9D9"/>
          </w:tcPr>
          <w:p>
            <w:pPr>
              <w:pStyle w:val="TableParagraph"/>
              <w:spacing w:before="147"/>
              <w:ind w:left="7" w:right="3"/>
              <w:jc w:val="center"/>
              <w:rPr>
                <w:rFonts w:ascii="Times New Roman"/>
                <w:sz w:val="21"/>
              </w:rPr>
            </w:pPr>
            <w:r>
              <w:rPr>
                <w:rFonts w:ascii="Times New Roman"/>
                <w:spacing w:val="-5"/>
                <w:sz w:val="21"/>
              </w:rPr>
              <w:t>V3</w:t>
            </w:r>
          </w:p>
        </w:tc>
        <w:tc>
          <w:tcPr>
            <w:tcW w:w="632" w:type="dxa"/>
            <w:shd w:val="clear" w:color="auto" w:fill="D9D9D9"/>
          </w:tcPr>
          <w:p>
            <w:pPr>
              <w:pStyle w:val="TableParagraph"/>
              <w:spacing w:before="147"/>
              <w:ind w:left="7" w:right="4"/>
              <w:jc w:val="center"/>
              <w:rPr>
                <w:rFonts w:ascii="Times New Roman"/>
                <w:sz w:val="21"/>
              </w:rPr>
            </w:pPr>
            <w:r>
              <w:rPr>
                <w:rFonts w:ascii="Times New Roman"/>
                <w:spacing w:val="-5"/>
                <w:sz w:val="21"/>
              </w:rPr>
              <w:t>V4</w:t>
            </w:r>
          </w:p>
        </w:tc>
        <w:tc>
          <w:tcPr>
            <w:tcW w:w="632" w:type="dxa"/>
            <w:shd w:val="clear" w:color="auto" w:fill="D9D9D9"/>
          </w:tcPr>
          <w:p>
            <w:pPr>
              <w:pStyle w:val="TableParagraph"/>
              <w:spacing w:before="147"/>
              <w:ind w:left="7" w:right="6"/>
              <w:jc w:val="center"/>
              <w:rPr>
                <w:rFonts w:ascii="Times New Roman"/>
                <w:sz w:val="21"/>
              </w:rPr>
            </w:pPr>
            <w:r>
              <w:rPr>
                <w:rFonts w:ascii="Times New Roman"/>
                <w:spacing w:val="-5"/>
                <w:sz w:val="21"/>
              </w:rPr>
              <w:t>V5</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V6</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V7</w:t>
            </w:r>
          </w:p>
        </w:tc>
        <w:tc>
          <w:tcPr>
            <w:tcW w:w="631" w:type="dxa"/>
            <w:shd w:val="clear" w:color="auto" w:fill="D9D9D9"/>
          </w:tcPr>
          <w:p>
            <w:pPr>
              <w:pStyle w:val="TableParagraph"/>
              <w:spacing w:before="147"/>
              <w:ind w:left="11" w:right="13"/>
              <w:jc w:val="center"/>
              <w:rPr>
                <w:rFonts w:ascii="Times New Roman"/>
                <w:sz w:val="21"/>
              </w:rPr>
            </w:pPr>
            <w:r>
              <w:rPr>
                <w:rFonts w:ascii="Times New Roman"/>
                <w:spacing w:val="-5"/>
                <w:sz w:val="21"/>
              </w:rPr>
              <w:t>V8</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V9</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V10</w:t>
            </w:r>
          </w:p>
        </w:tc>
        <w:tc>
          <w:tcPr>
            <w:tcW w:w="631" w:type="dxa"/>
            <w:shd w:val="clear" w:color="auto" w:fill="D9D9D9"/>
          </w:tcPr>
          <w:p>
            <w:pPr>
              <w:pStyle w:val="TableParagraph"/>
              <w:spacing w:before="147"/>
              <w:ind w:left="7" w:right="13"/>
              <w:jc w:val="center"/>
              <w:rPr>
                <w:rFonts w:ascii="Times New Roman"/>
                <w:sz w:val="21"/>
              </w:rPr>
            </w:pPr>
            <w:r>
              <w:rPr>
                <w:rFonts w:ascii="Times New Roman"/>
                <w:spacing w:val="-5"/>
                <w:sz w:val="21"/>
              </w:rPr>
              <w:t>V11</w:t>
            </w:r>
          </w:p>
        </w:tc>
        <w:tc>
          <w:tcPr>
            <w:tcW w:w="631" w:type="dxa"/>
            <w:shd w:val="clear" w:color="auto" w:fill="D9D9D9"/>
          </w:tcPr>
          <w:p>
            <w:pPr>
              <w:pStyle w:val="TableParagraph"/>
              <w:spacing w:before="147"/>
              <w:ind w:left="5" w:right="13"/>
              <w:jc w:val="center"/>
              <w:rPr>
                <w:rFonts w:ascii="Times New Roman"/>
                <w:sz w:val="21"/>
              </w:rPr>
            </w:pPr>
            <w:r>
              <w:rPr>
                <w:rFonts w:ascii="Times New Roman"/>
                <w:spacing w:val="-5"/>
                <w:sz w:val="21"/>
              </w:rPr>
              <w:t>V12</w:t>
            </w:r>
          </w:p>
        </w:tc>
        <w:tc>
          <w:tcPr>
            <w:tcW w:w="631" w:type="dxa"/>
            <w:shd w:val="clear" w:color="auto" w:fill="D9D9D9"/>
          </w:tcPr>
          <w:p>
            <w:pPr>
              <w:pStyle w:val="TableParagraph"/>
              <w:spacing w:before="147"/>
              <w:ind w:left="3" w:right="13"/>
              <w:jc w:val="center"/>
              <w:rPr>
                <w:rFonts w:ascii="Times New Roman"/>
                <w:sz w:val="21"/>
              </w:rPr>
            </w:pPr>
            <w:r>
              <w:rPr>
                <w:rFonts w:ascii="Times New Roman"/>
                <w:spacing w:val="-5"/>
                <w:sz w:val="21"/>
              </w:rPr>
              <w:t>V13</w:t>
            </w:r>
          </w:p>
        </w:tc>
        <w:tc>
          <w:tcPr>
            <w:tcW w:w="631" w:type="dxa"/>
            <w:shd w:val="clear" w:color="auto" w:fill="D9D9D9"/>
          </w:tcPr>
          <w:p>
            <w:pPr>
              <w:pStyle w:val="TableParagraph"/>
              <w:spacing w:before="147"/>
              <w:ind w:left="1" w:right="13"/>
              <w:jc w:val="center"/>
              <w:rPr>
                <w:rFonts w:ascii="Times New Roman"/>
                <w:sz w:val="21"/>
              </w:rPr>
            </w:pPr>
            <w:r>
              <w:rPr>
                <w:rFonts w:ascii="Times New Roman"/>
                <w:spacing w:val="-5"/>
                <w:sz w:val="21"/>
              </w:rPr>
              <w:t>V14</w:t>
            </w:r>
          </w:p>
        </w:tc>
        <w:tc>
          <w:tcPr>
            <w:tcW w:w="883" w:type="dxa"/>
            <w:shd w:val="clear" w:color="auto" w:fill="D9D9D9"/>
          </w:tcPr>
          <w:p>
            <w:pPr>
              <w:pStyle w:val="TableParagraph"/>
              <w:spacing w:before="147"/>
              <w:ind w:left="1" w:right="15"/>
              <w:jc w:val="center"/>
              <w:rPr>
                <w:rFonts w:ascii="Times New Roman"/>
                <w:sz w:val="21"/>
              </w:rPr>
            </w:pPr>
            <w:r>
              <w:rPr>
                <w:rFonts w:ascii="Times New Roman"/>
                <w:spacing w:val="-5"/>
                <w:sz w:val="21"/>
              </w:rPr>
              <w:t>V15</w:t>
            </w:r>
          </w:p>
        </w:tc>
        <w:tc>
          <w:tcPr>
            <w:tcW w:w="1131" w:type="dxa"/>
            <w:vMerge/>
            <w:tcBorders>
              <w:top w:val="nil"/>
            </w:tcBorders>
            <w:shd w:val="clear" w:color="auto" w:fill="D9D9D9"/>
          </w:tcPr>
          <w:p>
            <w:pPr>
              <w:rPr>
                <w:sz w:val="2"/>
                <w:szCs w:val="2"/>
              </w:rPr>
            </w:pPr>
          </w:p>
        </w:tc>
        <w:tc>
          <w:tcPr>
            <w:tcW w:w="913" w:type="dxa"/>
            <w:vMerge/>
            <w:tcBorders>
              <w:top w:val="nil"/>
            </w:tcBorders>
            <w:shd w:val="clear" w:color="auto" w:fill="D9D9D9"/>
          </w:tcPr>
          <w:p>
            <w:pPr>
              <w:rPr>
                <w:sz w:val="2"/>
                <w:szCs w:val="2"/>
              </w:rPr>
            </w:pPr>
          </w:p>
        </w:tc>
      </w:tr>
      <w:tr>
        <w:trPr>
          <w:trHeight w:val="624" w:hRule="atLeast"/>
        </w:trPr>
        <w:tc>
          <w:tcPr>
            <w:tcW w:w="1556" w:type="dxa"/>
            <w:shd w:val="clear" w:color="auto" w:fill="D9D9D9"/>
          </w:tcPr>
          <w:p>
            <w:pPr>
              <w:pStyle w:val="TableParagraph"/>
              <w:spacing w:line="273" w:lineRule="exact" w:before="38"/>
              <w:ind w:left="155"/>
              <w:rPr>
                <w:rFonts w:ascii="Times New Roman" w:eastAsia="Times New Roman"/>
                <w:b/>
                <w:sz w:val="21"/>
              </w:rPr>
            </w:pPr>
            <w:r>
              <w:rPr>
                <w:b/>
                <w:spacing w:val="-19"/>
                <w:sz w:val="21"/>
              </w:rPr>
              <w:t>可选 </w:t>
            </w:r>
            <w:r>
              <w:rPr>
                <w:rFonts w:ascii="Times New Roman" w:eastAsia="Times New Roman"/>
                <w:b/>
                <w:spacing w:val="-2"/>
                <w:sz w:val="21"/>
              </w:rPr>
              <w:t>Telemed</w:t>
            </w:r>
          </w:p>
          <w:p>
            <w:pPr>
              <w:pStyle w:val="TableParagraph"/>
              <w:spacing w:line="273" w:lineRule="exact"/>
              <w:ind w:left="232"/>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spacing w:before="192"/>
              <w:ind w:left="7" w:right="6"/>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12"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11"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7"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3"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szCs w:val="2"/>
              </w:rPr>
            </w:pPr>
          </w:p>
        </w:tc>
      </w:tr>
      <w:tr>
        <w:trPr>
          <w:trHeight w:val="897" w:hRule="atLeast"/>
        </w:trPr>
        <w:tc>
          <w:tcPr>
            <w:tcW w:w="1556" w:type="dxa"/>
          </w:tcPr>
          <w:p>
            <w:pPr>
              <w:pStyle w:val="TableParagraph"/>
              <w:spacing w:before="37"/>
              <w:rPr>
                <w:b/>
                <w:sz w:val="21"/>
              </w:rPr>
            </w:pPr>
          </w:p>
          <w:p>
            <w:pPr>
              <w:pStyle w:val="TableParagraph"/>
              <w:ind w:left="460"/>
              <w:rPr>
                <w:b/>
                <w:sz w:val="21"/>
              </w:rPr>
            </w:pPr>
            <w:r>
              <w:rPr>
                <w:b/>
                <w:spacing w:val="-5"/>
                <w:sz w:val="21"/>
              </w:rPr>
              <w:t>访视窗</w:t>
            </w:r>
          </w:p>
        </w:tc>
        <w:tc>
          <w:tcPr>
            <w:tcW w:w="1276" w:type="dxa"/>
          </w:tcPr>
          <w:p>
            <w:pPr>
              <w:pStyle w:val="TableParagraph"/>
              <w:spacing w:before="36"/>
              <w:ind w:left="112" w:right="101"/>
              <w:jc w:val="center"/>
              <w:rPr>
                <w:rFonts w:ascii="Times New Roman" w:eastAsia="Times New Roman"/>
                <w:sz w:val="21"/>
              </w:rPr>
            </w:pPr>
            <w:r>
              <w:rPr>
                <w:spacing w:val="-2"/>
                <w:sz w:val="21"/>
              </w:rPr>
              <w:t>与前身研究 </w:t>
            </w:r>
            <w:r>
              <w:rPr>
                <w:rFonts w:ascii="Times New Roman" w:eastAsia="Times New Roman"/>
                <w:sz w:val="21"/>
              </w:rPr>
              <w:t>V15</w:t>
            </w:r>
            <w:r>
              <w:rPr>
                <w:rFonts w:ascii="Times New Roman" w:eastAsia="Times New Roman"/>
                <w:spacing w:val="-14"/>
                <w:sz w:val="21"/>
              </w:rPr>
              <w:t> </w:t>
            </w:r>
            <w:r>
              <w:rPr>
                <w:sz w:val="21"/>
              </w:rPr>
              <w:t>同一天</w:t>
            </w:r>
            <w:r>
              <w:rPr>
                <w:spacing w:val="-15"/>
                <w:sz w:val="21"/>
              </w:rPr>
              <w:t>进行 </w:t>
            </w:r>
            <w:r>
              <w:rPr>
                <w:rFonts w:ascii="Times New Roman" w:eastAsia="Times New Roman"/>
                <w:sz w:val="21"/>
                <w:vertAlign w:val="superscript"/>
              </w:rPr>
              <w:t>b</w:t>
            </w:r>
          </w:p>
        </w:tc>
        <w:tc>
          <w:tcPr>
            <w:tcW w:w="9090" w:type="dxa"/>
            <w:gridSpan w:val="14"/>
          </w:tcPr>
          <w:p>
            <w:pPr>
              <w:pStyle w:val="TableParagraph"/>
              <w:spacing w:before="37"/>
              <w:rPr>
                <w:b/>
                <w:sz w:val="21"/>
              </w:rPr>
            </w:pPr>
          </w:p>
          <w:p>
            <w:pPr>
              <w:pStyle w:val="TableParagraph"/>
              <w:ind w:right="4"/>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131" w:type="dxa"/>
          </w:tcPr>
          <w:p>
            <w:pPr>
              <w:pStyle w:val="TableParagraph"/>
              <w:spacing w:before="37"/>
              <w:rPr>
                <w:b/>
                <w:sz w:val="21"/>
              </w:rPr>
            </w:pPr>
          </w:p>
          <w:p>
            <w:pPr>
              <w:pStyle w:val="TableParagraph"/>
              <w:ind w:right="15"/>
              <w:jc w:val="center"/>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913" w:type="dxa"/>
            <w:vMerge/>
            <w:tcBorders>
              <w:top w:val="nil"/>
            </w:tcBorders>
            <w:shd w:val="clear" w:color="auto" w:fill="D9D9D9"/>
          </w:tcPr>
          <w:p>
            <w:pPr>
              <w:rPr>
                <w:sz w:val="2"/>
                <w:szCs w:val="2"/>
              </w:rPr>
            </w:pPr>
          </w:p>
        </w:tc>
      </w:tr>
      <w:tr>
        <w:trPr>
          <w:trHeight w:val="624" w:hRule="atLeast"/>
        </w:trPr>
        <w:tc>
          <w:tcPr>
            <w:tcW w:w="1556" w:type="dxa"/>
          </w:tcPr>
          <w:p>
            <w:pPr>
              <w:pStyle w:val="TableParagraph"/>
              <w:spacing w:before="36"/>
              <w:ind w:left="107" w:right="176"/>
              <w:rPr>
                <w:sz w:val="21"/>
              </w:rPr>
            </w:pPr>
            <w:r>
              <w:rPr>
                <w:spacing w:val="-2"/>
                <w:sz w:val="21"/>
              </w:rPr>
              <w:t>吸入性维持治</w:t>
            </w:r>
            <w:r>
              <w:rPr>
                <w:spacing w:val="-4"/>
                <w:sz w:val="21"/>
              </w:rPr>
              <w:t>疗的使用</w:t>
            </w:r>
          </w:p>
        </w:tc>
        <w:tc>
          <w:tcPr>
            <w:tcW w:w="1276" w:type="dxa"/>
          </w:tcPr>
          <w:p>
            <w:pPr>
              <w:pStyle w:val="TableParagraph"/>
              <w:spacing w:before="36"/>
              <w:ind w:right="94"/>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e</w:t>
            </w:r>
          </w:p>
          <w:p>
            <w:pPr>
              <w:pStyle w:val="TableParagraph"/>
              <w:spacing w:before="1"/>
              <w:ind w:right="95"/>
              <w:jc w:val="center"/>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632" w:type="dxa"/>
          </w:tcPr>
          <w:p>
            <w:pPr>
              <w:pStyle w:val="TableParagraph"/>
              <w:spacing w:before="192"/>
              <w:ind w:left="7"/>
              <w:jc w:val="center"/>
              <w:rPr>
                <w:rFonts w:ascii="Times New Roman"/>
                <w:sz w:val="21"/>
              </w:rPr>
            </w:pPr>
            <w:r>
              <w:rPr>
                <w:rFonts w:ascii="Times New Roman"/>
                <w:spacing w:val="-10"/>
                <w:sz w:val="21"/>
              </w:rPr>
              <w:t>X</w:t>
            </w:r>
          </w:p>
        </w:tc>
        <w:tc>
          <w:tcPr>
            <w:tcW w:w="632" w:type="dxa"/>
          </w:tcPr>
          <w:p>
            <w:pPr>
              <w:pStyle w:val="TableParagraph"/>
              <w:spacing w:before="192"/>
              <w:ind w:left="7" w:right="1"/>
              <w:jc w:val="center"/>
              <w:rPr>
                <w:rFonts w:ascii="Times New Roman"/>
                <w:sz w:val="21"/>
              </w:rPr>
            </w:pPr>
            <w:r>
              <w:rPr>
                <w:rFonts w:ascii="Times New Roman"/>
                <w:spacing w:val="-10"/>
                <w:sz w:val="21"/>
              </w:rPr>
              <w:t>X</w:t>
            </w: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spacing w:before="192"/>
              <w:ind w:left="7" w:right="5"/>
              <w:jc w:val="center"/>
              <w:rPr>
                <w:rFonts w:ascii="Times New Roman"/>
                <w:sz w:val="21"/>
              </w:rPr>
            </w:pPr>
            <w:r>
              <w:rPr>
                <w:rFonts w:ascii="Times New Roman"/>
                <w:spacing w:val="-10"/>
                <w:sz w:val="21"/>
              </w:rPr>
              <w:t>X</w:t>
            </w: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spacing w:before="192"/>
              <w:ind w:left="10" w:right="13"/>
              <w:jc w:val="center"/>
              <w:rPr>
                <w:rFonts w:ascii="Times New Roman"/>
                <w:sz w:val="21"/>
              </w:rPr>
            </w:pPr>
            <w:r>
              <w:rPr>
                <w:rFonts w:ascii="Times New Roman"/>
                <w:spacing w:val="-10"/>
                <w:sz w:val="21"/>
              </w:rPr>
              <w:t>X</w:t>
            </w:r>
          </w:p>
        </w:tc>
        <w:tc>
          <w:tcPr>
            <w:tcW w:w="631" w:type="dxa"/>
          </w:tcPr>
          <w:p>
            <w:pPr>
              <w:pStyle w:val="TableParagraph"/>
              <w:spacing w:before="192"/>
              <w:ind w:left="8" w:right="13"/>
              <w:jc w:val="center"/>
              <w:rPr>
                <w:rFonts w:ascii="Times New Roman"/>
                <w:sz w:val="21"/>
              </w:rPr>
            </w:pPr>
            <w:r>
              <w:rPr>
                <w:rFonts w:ascii="Times New Roman"/>
                <w:spacing w:val="-10"/>
                <w:sz w:val="21"/>
              </w:rPr>
              <w:t>X</w:t>
            </w:r>
          </w:p>
        </w:tc>
        <w:tc>
          <w:tcPr>
            <w:tcW w:w="631" w:type="dxa"/>
          </w:tcPr>
          <w:p>
            <w:pPr>
              <w:pStyle w:val="TableParagraph"/>
              <w:spacing w:before="192"/>
              <w:ind w:left="6" w:right="13"/>
              <w:jc w:val="center"/>
              <w:rPr>
                <w:rFonts w:ascii="Times New Roman"/>
                <w:sz w:val="21"/>
              </w:rPr>
            </w:pPr>
            <w:r>
              <w:rPr>
                <w:rFonts w:ascii="Times New Roman"/>
                <w:spacing w:val="-10"/>
                <w:sz w:val="21"/>
              </w:rPr>
              <w:t>X</w:t>
            </w:r>
          </w:p>
        </w:tc>
        <w:tc>
          <w:tcPr>
            <w:tcW w:w="631" w:type="dxa"/>
          </w:tcPr>
          <w:p>
            <w:pPr>
              <w:pStyle w:val="TableParagraph"/>
              <w:spacing w:before="192"/>
              <w:ind w:left="4" w:right="13"/>
              <w:jc w:val="center"/>
              <w:rPr>
                <w:rFonts w:ascii="Times New Roman"/>
                <w:sz w:val="21"/>
              </w:rPr>
            </w:pPr>
            <w:r>
              <w:rPr>
                <w:rFonts w:ascii="Times New Roman"/>
                <w:spacing w:val="-10"/>
                <w:sz w:val="21"/>
              </w:rPr>
              <w:t>X</w:t>
            </w:r>
          </w:p>
        </w:tc>
        <w:tc>
          <w:tcPr>
            <w:tcW w:w="631" w:type="dxa"/>
          </w:tcPr>
          <w:p>
            <w:pPr>
              <w:pStyle w:val="TableParagraph"/>
              <w:spacing w:before="192"/>
              <w:ind w:left="2" w:right="13"/>
              <w:jc w:val="center"/>
              <w:rPr>
                <w:rFonts w:ascii="Times New Roman"/>
                <w:sz w:val="21"/>
              </w:rPr>
            </w:pPr>
            <w:r>
              <w:rPr>
                <w:rFonts w:ascii="Times New Roman"/>
                <w:spacing w:val="-10"/>
                <w:sz w:val="21"/>
              </w:rPr>
              <w:t>X</w:t>
            </w: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rPr>
                <w:rFonts w:ascii="Times New Roman"/>
                <w:sz w:val="20"/>
              </w:rPr>
            </w:pP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66">
              <w:r>
                <w:rPr>
                  <w:rFonts w:ascii="Times New Roman"/>
                  <w:color w:val="0000FF"/>
                  <w:spacing w:val="-2"/>
                  <w:sz w:val="21"/>
                </w:rPr>
                <w:t>6.5.2</w:t>
              </w:r>
            </w:hyperlink>
          </w:p>
        </w:tc>
      </w:tr>
      <w:tr>
        <w:trPr>
          <w:trHeight w:val="624" w:hRule="atLeast"/>
        </w:trPr>
        <w:tc>
          <w:tcPr>
            <w:tcW w:w="1556" w:type="dxa"/>
          </w:tcPr>
          <w:p>
            <w:pPr>
              <w:pStyle w:val="TableParagraph"/>
              <w:spacing w:before="174"/>
              <w:ind w:left="107"/>
              <w:rPr>
                <w:sz w:val="21"/>
              </w:rPr>
            </w:pPr>
            <w:r>
              <w:rPr>
                <w:spacing w:val="-3"/>
                <w:sz w:val="21"/>
              </w:rPr>
              <w:t>吸烟状况</w:t>
            </w:r>
          </w:p>
        </w:tc>
        <w:tc>
          <w:tcPr>
            <w:tcW w:w="1276" w:type="dxa"/>
          </w:tcPr>
          <w:p>
            <w:pPr>
              <w:pStyle w:val="TableParagraph"/>
              <w:spacing w:before="36"/>
              <w:ind w:right="94"/>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e</w:t>
            </w:r>
          </w:p>
          <w:p>
            <w:pPr>
              <w:pStyle w:val="TableParagraph"/>
              <w:spacing w:before="1"/>
              <w:ind w:right="95"/>
              <w:jc w:val="center"/>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632" w:type="dxa"/>
          </w:tcPr>
          <w:p>
            <w:pPr>
              <w:pStyle w:val="TableParagraph"/>
              <w:spacing w:before="192"/>
              <w:ind w:left="7"/>
              <w:jc w:val="center"/>
              <w:rPr>
                <w:rFonts w:ascii="Times New Roman"/>
                <w:sz w:val="21"/>
              </w:rPr>
            </w:pPr>
            <w:r>
              <w:rPr>
                <w:rFonts w:ascii="Times New Roman"/>
                <w:spacing w:val="-10"/>
                <w:sz w:val="21"/>
              </w:rPr>
              <w:t>X</w:t>
            </w:r>
          </w:p>
        </w:tc>
        <w:tc>
          <w:tcPr>
            <w:tcW w:w="632" w:type="dxa"/>
          </w:tcPr>
          <w:p>
            <w:pPr>
              <w:pStyle w:val="TableParagraph"/>
              <w:spacing w:before="192"/>
              <w:ind w:left="7" w:right="1"/>
              <w:jc w:val="center"/>
              <w:rPr>
                <w:rFonts w:ascii="Times New Roman"/>
                <w:sz w:val="21"/>
              </w:rPr>
            </w:pPr>
            <w:r>
              <w:rPr>
                <w:rFonts w:ascii="Times New Roman"/>
                <w:spacing w:val="-10"/>
                <w:sz w:val="21"/>
              </w:rPr>
              <w:t>X</w:t>
            </w: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spacing w:before="192"/>
              <w:ind w:left="7" w:right="5"/>
              <w:jc w:val="center"/>
              <w:rPr>
                <w:rFonts w:ascii="Times New Roman"/>
                <w:sz w:val="21"/>
              </w:rPr>
            </w:pPr>
            <w:r>
              <w:rPr>
                <w:rFonts w:ascii="Times New Roman"/>
                <w:spacing w:val="-10"/>
                <w:sz w:val="21"/>
              </w:rPr>
              <w:t>X</w:t>
            </w: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spacing w:before="192"/>
              <w:ind w:left="10" w:right="13"/>
              <w:jc w:val="center"/>
              <w:rPr>
                <w:rFonts w:ascii="Times New Roman"/>
                <w:sz w:val="21"/>
              </w:rPr>
            </w:pPr>
            <w:r>
              <w:rPr>
                <w:rFonts w:ascii="Times New Roman"/>
                <w:spacing w:val="-10"/>
                <w:sz w:val="21"/>
              </w:rPr>
              <w:t>X</w:t>
            </w:r>
          </w:p>
        </w:tc>
        <w:tc>
          <w:tcPr>
            <w:tcW w:w="631" w:type="dxa"/>
          </w:tcPr>
          <w:p>
            <w:pPr>
              <w:pStyle w:val="TableParagraph"/>
              <w:spacing w:before="192"/>
              <w:ind w:left="8" w:right="13"/>
              <w:jc w:val="center"/>
              <w:rPr>
                <w:rFonts w:ascii="Times New Roman"/>
                <w:sz w:val="21"/>
              </w:rPr>
            </w:pPr>
            <w:r>
              <w:rPr>
                <w:rFonts w:ascii="Times New Roman"/>
                <w:spacing w:val="-10"/>
                <w:sz w:val="21"/>
              </w:rPr>
              <w:t>X</w:t>
            </w:r>
          </w:p>
        </w:tc>
        <w:tc>
          <w:tcPr>
            <w:tcW w:w="631" w:type="dxa"/>
          </w:tcPr>
          <w:p>
            <w:pPr>
              <w:pStyle w:val="TableParagraph"/>
              <w:spacing w:before="192"/>
              <w:ind w:left="6" w:right="13"/>
              <w:jc w:val="center"/>
              <w:rPr>
                <w:rFonts w:ascii="Times New Roman"/>
                <w:sz w:val="21"/>
              </w:rPr>
            </w:pPr>
            <w:r>
              <w:rPr>
                <w:rFonts w:ascii="Times New Roman"/>
                <w:spacing w:val="-10"/>
                <w:sz w:val="21"/>
              </w:rPr>
              <w:t>X</w:t>
            </w:r>
          </w:p>
        </w:tc>
        <w:tc>
          <w:tcPr>
            <w:tcW w:w="631" w:type="dxa"/>
          </w:tcPr>
          <w:p>
            <w:pPr>
              <w:pStyle w:val="TableParagraph"/>
              <w:spacing w:before="192"/>
              <w:ind w:left="4" w:right="13"/>
              <w:jc w:val="center"/>
              <w:rPr>
                <w:rFonts w:ascii="Times New Roman"/>
                <w:sz w:val="21"/>
              </w:rPr>
            </w:pPr>
            <w:r>
              <w:rPr>
                <w:rFonts w:ascii="Times New Roman"/>
                <w:spacing w:val="-10"/>
                <w:sz w:val="21"/>
              </w:rPr>
              <w:t>X</w:t>
            </w:r>
          </w:p>
        </w:tc>
        <w:tc>
          <w:tcPr>
            <w:tcW w:w="631" w:type="dxa"/>
          </w:tcPr>
          <w:p>
            <w:pPr>
              <w:pStyle w:val="TableParagraph"/>
              <w:spacing w:before="192"/>
              <w:ind w:left="2" w:right="13"/>
              <w:jc w:val="center"/>
              <w:rPr>
                <w:rFonts w:ascii="Times New Roman"/>
                <w:sz w:val="21"/>
              </w:rPr>
            </w:pPr>
            <w:r>
              <w:rPr>
                <w:rFonts w:ascii="Times New Roman"/>
                <w:spacing w:val="-10"/>
                <w:sz w:val="21"/>
              </w:rPr>
              <w:t>X</w:t>
            </w: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87">
              <w:r>
                <w:rPr>
                  <w:rFonts w:ascii="Times New Roman"/>
                  <w:color w:val="0000FF"/>
                  <w:spacing w:val="-2"/>
                  <w:sz w:val="21"/>
                </w:rPr>
                <w:t>8.2.2</w:t>
              </w:r>
            </w:hyperlink>
          </w:p>
        </w:tc>
      </w:tr>
      <w:tr>
        <w:trPr>
          <w:trHeight w:val="624" w:hRule="atLeast"/>
        </w:trPr>
        <w:tc>
          <w:tcPr>
            <w:tcW w:w="1556" w:type="dxa"/>
          </w:tcPr>
          <w:p>
            <w:pPr>
              <w:pStyle w:val="TableParagraph"/>
              <w:spacing w:before="36"/>
              <w:ind w:left="107" w:right="164"/>
              <w:rPr>
                <w:sz w:val="21"/>
              </w:rPr>
            </w:pPr>
            <w:r>
              <w:rPr>
                <w:spacing w:val="-2"/>
                <w:sz w:val="21"/>
              </w:rPr>
              <w:t>吸氧（</w:t>
            </w:r>
            <w:r>
              <w:rPr>
                <w:rFonts w:ascii="Times New Roman" w:eastAsia="Times New Roman"/>
                <w:spacing w:val="-2"/>
                <w:sz w:val="21"/>
              </w:rPr>
              <w:t>O</w:t>
            </w:r>
            <w:r>
              <w:rPr>
                <w:rFonts w:ascii="Times New Roman" w:eastAsia="Times New Roman"/>
                <w:spacing w:val="-2"/>
                <w:sz w:val="21"/>
                <w:vertAlign w:val="subscript"/>
              </w:rPr>
              <w:t>2</w:t>
            </w:r>
            <w:r>
              <w:rPr>
                <w:spacing w:val="-2"/>
                <w:sz w:val="21"/>
                <w:vertAlign w:val="baseline"/>
              </w:rPr>
              <w:t>）</w:t>
            </w:r>
            <w:r>
              <w:rPr>
                <w:spacing w:val="-2"/>
                <w:sz w:val="21"/>
                <w:vertAlign w:val="baseline"/>
              </w:rPr>
              <w:t>状</w:t>
            </w:r>
            <w:r>
              <w:rPr>
                <w:spacing w:val="-10"/>
                <w:sz w:val="21"/>
                <w:vertAlign w:val="baseline"/>
              </w:rPr>
              <w:t>态</w:t>
            </w:r>
          </w:p>
        </w:tc>
        <w:tc>
          <w:tcPr>
            <w:tcW w:w="1276" w:type="dxa"/>
          </w:tcPr>
          <w:p>
            <w:pPr>
              <w:pStyle w:val="TableParagraph"/>
              <w:spacing w:line="273" w:lineRule="exact" w:before="36"/>
              <w:ind w:right="94"/>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e</w:t>
            </w:r>
          </w:p>
          <w:p>
            <w:pPr>
              <w:pStyle w:val="TableParagraph"/>
              <w:spacing w:line="273" w:lineRule="exact"/>
              <w:ind w:right="95"/>
              <w:jc w:val="center"/>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632" w:type="dxa"/>
          </w:tcPr>
          <w:p>
            <w:pPr>
              <w:pStyle w:val="TableParagraph"/>
              <w:spacing w:before="191"/>
              <w:ind w:left="7"/>
              <w:jc w:val="center"/>
              <w:rPr>
                <w:rFonts w:ascii="Times New Roman"/>
                <w:sz w:val="21"/>
              </w:rPr>
            </w:pPr>
            <w:r>
              <w:rPr>
                <w:rFonts w:ascii="Times New Roman"/>
                <w:spacing w:val="-10"/>
                <w:sz w:val="21"/>
              </w:rPr>
              <w:t>X</w:t>
            </w:r>
          </w:p>
        </w:tc>
        <w:tc>
          <w:tcPr>
            <w:tcW w:w="632" w:type="dxa"/>
          </w:tcPr>
          <w:p>
            <w:pPr>
              <w:pStyle w:val="TableParagraph"/>
              <w:spacing w:before="191"/>
              <w:ind w:left="7" w:right="1"/>
              <w:jc w:val="center"/>
              <w:rPr>
                <w:rFonts w:ascii="Times New Roman"/>
                <w:sz w:val="21"/>
              </w:rPr>
            </w:pPr>
            <w:r>
              <w:rPr>
                <w:rFonts w:ascii="Times New Roman"/>
                <w:spacing w:val="-10"/>
                <w:sz w:val="21"/>
              </w:rPr>
              <w:t>X</w:t>
            </w:r>
          </w:p>
        </w:tc>
        <w:tc>
          <w:tcPr>
            <w:tcW w:w="632" w:type="dxa"/>
          </w:tcPr>
          <w:p>
            <w:pPr>
              <w:pStyle w:val="TableParagraph"/>
              <w:spacing w:before="191"/>
              <w:ind w:left="7" w:right="3"/>
              <w:jc w:val="center"/>
              <w:rPr>
                <w:rFonts w:ascii="Times New Roman"/>
                <w:sz w:val="21"/>
              </w:rPr>
            </w:pPr>
            <w:r>
              <w:rPr>
                <w:rFonts w:ascii="Times New Roman"/>
                <w:spacing w:val="-10"/>
                <w:sz w:val="21"/>
              </w:rPr>
              <w:t>X</w:t>
            </w:r>
          </w:p>
        </w:tc>
        <w:tc>
          <w:tcPr>
            <w:tcW w:w="632" w:type="dxa"/>
          </w:tcPr>
          <w:p>
            <w:pPr>
              <w:pStyle w:val="TableParagraph"/>
              <w:spacing w:before="191"/>
              <w:ind w:left="7" w:right="5"/>
              <w:jc w:val="center"/>
              <w:rPr>
                <w:rFonts w:ascii="Times New Roman"/>
                <w:sz w:val="21"/>
              </w:rPr>
            </w:pPr>
            <w:r>
              <w:rPr>
                <w:rFonts w:ascii="Times New Roman"/>
                <w:spacing w:val="-10"/>
                <w:sz w:val="21"/>
              </w:rPr>
              <w:t>X</w:t>
            </w: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spacing w:before="191"/>
              <w:ind w:left="12" w:right="13"/>
              <w:jc w:val="center"/>
              <w:rPr>
                <w:rFonts w:ascii="Times New Roman"/>
                <w:sz w:val="21"/>
              </w:rPr>
            </w:pPr>
            <w:r>
              <w:rPr>
                <w:rFonts w:ascii="Times New Roman"/>
                <w:spacing w:val="-10"/>
                <w:sz w:val="21"/>
              </w:rPr>
              <w:t>X</w:t>
            </w:r>
          </w:p>
        </w:tc>
        <w:tc>
          <w:tcPr>
            <w:tcW w:w="631" w:type="dxa"/>
          </w:tcPr>
          <w:p>
            <w:pPr>
              <w:pStyle w:val="TableParagraph"/>
              <w:spacing w:before="191"/>
              <w:ind w:left="10" w:right="13"/>
              <w:jc w:val="center"/>
              <w:rPr>
                <w:rFonts w:ascii="Times New Roman"/>
                <w:sz w:val="21"/>
              </w:rPr>
            </w:pPr>
            <w:r>
              <w:rPr>
                <w:rFonts w:ascii="Times New Roman"/>
                <w:spacing w:val="-10"/>
                <w:sz w:val="21"/>
              </w:rPr>
              <w:t>X</w:t>
            </w:r>
          </w:p>
        </w:tc>
        <w:tc>
          <w:tcPr>
            <w:tcW w:w="631" w:type="dxa"/>
          </w:tcPr>
          <w:p>
            <w:pPr>
              <w:pStyle w:val="TableParagraph"/>
              <w:spacing w:before="191"/>
              <w:ind w:left="8" w:right="13"/>
              <w:jc w:val="center"/>
              <w:rPr>
                <w:rFonts w:ascii="Times New Roman"/>
                <w:sz w:val="21"/>
              </w:rPr>
            </w:pPr>
            <w:r>
              <w:rPr>
                <w:rFonts w:ascii="Times New Roman"/>
                <w:spacing w:val="-10"/>
                <w:sz w:val="21"/>
              </w:rPr>
              <w:t>X</w:t>
            </w:r>
          </w:p>
        </w:tc>
        <w:tc>
          <w:tcPr>
            <w:tcW w:w="631" w:type="dxa"/>
          </w:tcPr>
          <w:p>
            <w:pPr>
              <w:pStyle w:val="TableParagraph"/>
              <w:spacing w:before="191"/>
              <w:ind w:left="6" w:right="13"/>
              <w:jc w:val="center"/>
              <w:rPr>
                <w:rFonts w:ascii="Times New Roman"/>
                <w:sz w:val="21"/>
              </w:rPr>
            </w:pPr>
            <w:r>
              <w:rPr>
                <w:rFonts w:ascii="Times New Roman"/>
                <w:spacing w:val="-10"/>
                <w:sz w:val="21"/>
              </w:rPr>
              <w:t>X</w:t>
            </w:r>
          </w:p>
        </w:tc>
        <w:tc>
          <w:tcPr>
            <w:tcW w:w="631" w:type="dxa"/>
          </w:tcPr>
          <w:p>
            <w:pPr>
              <w:pStyle w:val="TableParagraph"/>
              <w:spacing w:before="191"/>
              <w:ind w:left="4" w:right="13"/>
              <w:jc w:val="center"/>
              <w:rPr>
                <w:rFonts w:ascii="Times New Roman"/>
                <w:sz w:val="21"/>
              </w:rPr>
            </w:pPr>
            <w:r>
              <w:rPr>
                <w:rFonts w:ascii="Times New Roman"/>
                <w:spacing w:val="-10"/>
                <w:sz w:val="21"/>
              </w:rPr>
              <w:t>X</w:t>
            </w:r>
          </w:p>
        </w:tc>
        <w:tc>
          <w:tcPr>
            <w:tcW w:w="631" w:type="dxa"/>
          </w:tcPr>
          <w:p>
            <w:pPr>
              <w:pStyle w:val="TableParagraph"/>
              <w:spacing w:before="191"/>
              <w:ind w:left="2" w:right="13"/>
              <w:jc w:val="center"/>
              <w:rPr>
                <w:rFonts w:ascii="Times New Roman"/>
                <w:sz w:val="21"/>
              </w:rPr>
            </w:pPr>
            <w:r>
              <w:rPr>
                <w:rFonts w:ascii="Times New Roman"/>
                <w:spacing w:val="-10"/>
                <w:sz w:val="21"/>
              </w:rPr>
              <w:t>X</w:t>
            </w:r>
          </w:p>
        </w:tc>
        <w:tc>
          <w:tcPr>
            <w:tcW w:w="631" w:type="dxa"/>
          </w:tcPr>
          <w:p>
            <w:pPr>
              <w:pStyle w:val="TableParagraph"/>
              <w:spacing w:before="191"/>
              <w:ind w:right="13"/>
              <w:jc w:val="center"/>
              <w:rPr>
                <w:rFonts w:ascii="Times New Roman"/>
                <w:sz w:val="21"/>
              </w:rPr>
            </w:pPr>
            <w:r>
              <w:rPr>
                <w:rFonts w:ascii="Times New Roman"/>
                <w:spacing w:val="-10"/>
                <w:sz w:val="21"/>
              </w:rPr>
              <w:t>X</w:t>
            </w:r>
          </w:p>
        </w:tc>
        <w:tc>
          <w:tcPr>
            <w:tcW w:w="883" w:type="dxa"/>
          </w:tcPr>
          <w:p>
            <w:pPr>
              <w:pStyle w:val="TableParagraph"/>
              <w:rPr>
                <w:rFonts w:ascii="Times New Roman"/>
                <w:sz w:val="20"/>
              </w:rPr>
            </w:pPr>
          </w:p>
        </w:tc>
        <w:tc>
          <w:tcPr>
            <w:tcW w:w="1131" w:type="dxa"/>
          </w:tcPr>
          <w:p>
            <w:pPr>
              <w:pStyle w:val="TableParagraph"/>
              <w:spacing w:before="191"/>
              <w:ind w:right="14"/>
              <w:jc w:val="center"/>
              <w:rPr>
                <w:rFonts w:ascii="Times New Roman"/>
                <w:sz w:val="21"/>
              </w:rPr>
            </w:pPr>
            <w:r>
              <w:rPr>
                <w:rFonts w:ascii="Times New Roman"/>
                <w:spacing w:val="-10"/>
                <w:sz w:val="21"/>
              </w:rPr>
              <w:t>X</w:t>
            </w:r>
          </w:p>
        </w:tc>
        <w:tc>
          <w:tcPr>
            <w:tcW w:w="913" w:type="dxa"/>
          </w:tcPr>
          <w:p>
            <w:pPr>
              <w:pStyle w:val="TableParagraph"/>
              <w:spacing w:before="191"/>
              <w:ind w:left="2" w:right="20"/>
              <w:jc w:val="center"/>
              <w:rPr>
                <w:rFonts w:ascii="Times New Roman"/>
                <w:sz w:val="21"/>
              </w:rPr>
            </w:pPr>
            <w:hyperlink w:history="true" w:anchor="_bookmark86">
              <w:r>
                <w:rPr>
                  <w:rFonts w:ascii="Times New Roman"/>
                  <w:color w:val="0000FF"/>
                  <w:spacing w:val="-2"/>
                  <w:sz w:val="21"/>
                </w:rPr>
                <w:t>8.2.1</w:t>
              </w:r>
            </w:hyperlink>
          </w:p>
        </w:tc>
      </w:tr>
      <w:tr>
        <w:trPr>
          <w:trHeight w:val="625" w:hRule="atLeast"/>
        </w:trPr>
        <w:tc>
          <w:tcPr>
            <w:tcW w:w="1556" w:type="dxa"/>
          </w:tcPr>
          <w:p>
            <w:pPr>
              <w:pStyle w:val="TableParagraph"/>
              <w:spacing w:before="36"/>
              <w:ind w:left="107" w:right="203"/>
              <w:rPr>
                <w:sz w:val="21"/>
              </w:rPr>
            </w:pPr>
            <w:r>
              <w:rPr>
                <w:rFonts w:ascii="Times New Roman" w:eastAsia="Times New Roman"/>
                <w:spacing w:val="-2"/>
                <w:sz w:val="21"/>
              </w:rPr>
              <w:t>COPD</w:t>
            </w:r>
            <w:r>
              <w:rPr>
                <w:rFonts w:ascii="Times New Roman" w:eastAsia="Times New Roman"/>
                <w:spacing w:val="-12"/>
                <w:sz w:val="21"/>
              </w:rPr>
              <w:t> </w:t>
            </w:r>
            <w:r>
              <w:rPr>
                <w:spacing w:val="-2"/>
                <w:sz w:val="21"/>
              </w:rPr>
              <w:t>急性加</w:t>
            </w:r>
            <w:r>
              <w:rPr>
                <w:spacing w:val="-4"/>
                <w:sz w:val="21"/>
              </w:rPr>
              <w:t>重评价</w:t>
            </w:r>
          </w:p>
        </w:tc>
        <w:tc>
          <w:tcPr>
            <w:tcW w:w="1276" w:type="dxa"/>
          </w:tcPr>
          <w:p>
            <w:pPr>
              <w:pStyle w:val="TableParagraph"/>
              <w:spacing w:line="273" w:lineRule="exact" w:before="36"/>
              <w:ind w:right="94"/>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e</w:t>
            </w:r>
          </w:p>
          <w:p>
            <w:pPr>
              <w:pStyle w:val="TableParagraph"/>
              <w:ind w:right="95"/>
              <w:jc w:val="center"/>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632" w:type="dxa"/>
          </w:tcPr>
          <w:p>
            <w:pPr>
              <w:pStyle w:val="TableParagraph"/>
              <w:spacing w:before="191"/>
              <w:ind w:left="7"/>
              <w:jc w:val="center"/>
              <w:rPr>
                <w:rFonts w:ascii="Times New Roman"/>
                <w:sz w:val="21"/>
              </w:rPr>
            </w:pPr>
            <w:r>
              <w:rPr>
                <w:rFonts w:ascii="Times New Roman"/>
                <w:spacing w:val="-10"/>
                <w:sz w:val="21"/>
              </w:rPr>
              <w:t>X</w:t>
            </w:r>
          </w:p>
        </w:tc>
        <w:tc>
          <w:tcPr>
            <w:tcW w:w="632" w:type="dxa"/>
          </w:tcPr>
          <w:p>
            <w:pPr>
              <w:pStyle w:val="TableParagraph"/>
              <w:spacing w:before="191"/>
              <w:ind w:left="7" w:right="1"/>
              <w:jc w:val="center"/>
              <w:rPr>
                <w:rFonts w:ascii="Times New Roman"/>
                <w:sz w:val="21"/>
              </w:rPr>
            </w:pPr>
            <w:r>
              <w:rPr>
                <w:rFonts w:ascii="Times New Roman"/>
                <w:spacing w:val="-10"/>
                <w:sz w:val="21"/>
              </w:rPr>
              <w:t>X</w:t>
            </w:r>
          </w:p>
        </w:tc>
        <w:tc>
          <w:tcPr>
            <w:tcW w:w="632" w:type="dxa"/>
          </w:tcPr>
          <w:p>
            <w:pPr>
              <w:pStyle w:val="TableParagraph"/>
              <w:spacing w:before="191"/>
              <w:ind w:left="7" w:right="3"/>
              <w:jc w:val="center"/>
              <w:rPr>
                <w:rFonts w:ascii="Times New Roman"/>
                <w:sz w:val="21"/>
              </w:rPr>
            </w:pPr>
            <w:r>
              <w:rPr>
                <w:rFonts w:ascii="Times New Roman"/>
                <w:spacing w:val="-10"/>
                <w:sz w:val="21"/>
              </w:rPr>
              <w:t>X</w:t>
            </w:r>
          </w:p>
        </w:tc>
        <w:tc>
          <w:tcPr>
            <w:tcW w:w="632" w:type="dxa"/>
          </w:tcPr>
          <w:p>
            <w:pPr>
              <w:pStyle w:val="TableParagraph"/>
              <w:spacing w:before="191"/>
              <w:ind w:left="7" w:right="5"/>
              <w:jc w:val="center"/>
              <w:rPr>
                <w:rFonts w:ascii="Times New Roman"/>
                <w:sz w:val="21"/>
              </w:rPr>
            </w:pPr>
            <w:r>
              <w:rPr>
                <w:rFonts w:ascii="Times New Roman"/>
                <w:spacing w:val="-10"/>
                <w:sz w:val="21"/>
              </w:rPr>
              <w:t>X</w:t>
            </w: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spacing w:before="191"/>
              <w:ind w:left="12" w:right="13"/>
              <w:jc w:val="center"/>
              <w:rPr>
                <w:rFonts w:ascii="Times New Roman"/>
                <w:sz w:val="21"/>
              </w:rPr>
            </w:pPr>
            <w:r>
              <w:rPr>
                <w:rFonts w:ascii="Times New Roman"/>
                <w:spacing w:val="-10"/>
                <w:sz w:val="21"/>
              </w:rPr>
              <w:t>X</w:t>
            </w:r>
          </w:p>
        </w:tc>
        <w:tc>
          <w:tcPr>
            <w:tcW w:w="631" w:type="dxa"/>
          </w:tcPr>
          <w:p>
            <w:pPr>
              <w:pStyle w:val="TableParagraph"/>
              <w:spacing w:before="191"/>
              <w:ind w:left="10" w:right="13"/>
              <w:jc w:val="center"/>
              <w:rPr>
                <w:rFonts w:ascii="Times New Roman"/>
                <w:sz w:val="21"/>
              </w:rPr>
            </w:pPr>
            <w:r>
              <w:rPr>
                <w:rFonts w:ascii="Times New Roman"/>
                <w:spacing w:val="-10"/>
                <w:sz w:val="21"/>
              </w:rPr>
              <w:t>X</w:t>
            </w:r>
          </w:p>
        </w:tc>
        <w:tc>
          <w:tcPr>
            <w:tcW w:w="631" w:type="dxa"/>
          </w:tcPr>
          <w:p>
            <w:pPr>
              <w:pStyle w:val="TableParagraph"/>
              <w:spacing w:before="191"/>
              <w:ind w:left="8" w:right="13"/>
              <w:jc w:val="center"/>
              <w:rPr>
                <w:rFonts w:ascii="Times New Roman"/>
                <w:sz w:val="21"/>
              </w:rPr>
            </w:pPr>
            <w:r>
              <w:rPr>
                <w:rFonts w:ascii="Times New Roman"/>
                <w:spacing w:val="-10"/>
                <w:sz w:val="21"/>
              </w:rPr>
              <w:t>X</w:t>
            </w:r>
          </w:p>
        </w:tc>
        <w:tc>
          <w:tcPr>
            <w:tcW w:w="631" w:type="dxa"/>
          </w:tcPr>
          <w:p>
            <w:pPr>
              <w:pStyle w:val="TableParagraph"/>
              <w:spacing w:before="191"/>
              <w:ind w:left="6" w:right="13"/>
              <w:jc w:val="center"/>
              <w:rPr>
                <w:rFonts w:ascii="Times New Roman"/>
                <w:sz w:val="21"/>
              </w:rPr>
            </w:pPr>
            <w:r>
              <w:rPr>
                <w:rFonts w:ascii="Times New Roman"/>
                <w:spacing w:val="-10"/>
                <w:sz w:val="21"/>
              </w:rPr>
              <w:t>X</w:t>
            </w:r>
          </w:p>
        </w:tc>
        <w:tc>
          <w:tcPr>
            <w:tcW w:w="631" w:type="dxa"/>
          </w:tcPr>
          <w:p>
            <w:pPr>
              <w:pStyle w:val="TableParagraph"/>
              <w:spacing w:before="191"/>
              <w:ind w:left="4" w:right="13"/>
              <w:jc w:val="center"/>
              <w:rPr>
                <w:rFonts w:ascii="Times New Roman"/>
                <w:sz w:val="21"/>
              </w:rPr>
            </w:pPr>
            <w:r>
              <w:rPr>
                <w:rFonts w:ascii="Times New Roman"/>
                <w:spacing w:val="-10"/>
                <w:sz w:val="21"/>
              </w:rPr>
              <w:t>X</w:t>
            </w:r>
          </w:p>
        </w:tc>
        <w:tc>
          <w:tcPr>
            <w:tcW w:w="631" w:type="dxa"/>
          </w:tcPr>
          <w:p>
            <w:pPr>
              <w:pStyle w:val="TableParagraph"/>
              <w:spacing w:before="191"/>
              <w:ind w:left="2" w:right="13"/>
              <w:jc w:val="center"/>
              <w:rPr>
                <w:rFonts w:ascii="Times New Roman"/>
                <w:sz w:val="21"/>
              </w:rPr>
            </w:pPr>
            <w:r>
              <w:rPr>
                <w:rFonts w:ascii="Times New Roman"/>
                <w:spacing w:val="-10"/>
                <w:sz w:val="21"/>
              </w:rPr>
              <w:t>X</w:t>
            </w:r>
          </w:p>
        </w:tc>
        <w:tc>
          <w:tcPr>
            <w:tcW w:w="631" w:type="dxa"/>
          </w:tcPr>
          <w:p>
            <w:pPr>
              <w:pStyle w:val="TableParagraph"/>
              <w:spacing w:before="191"/>
              <w:ind w:right="13"/>
              <w:jc w:val="center"/>
              <w:rPr>
                <w:rFonts w:ascii="Times New Roman"/>
                <w:sz w:val="21"/>
              </w:rPr>
            </w:pPr>
            <w:r>
              <w:rPr>
                <w:rFonts w:ascii="Times New Roman"/>
                <w:spacing w:val="-10"/>
                <w:sz w:val="21"/>
              </w:rPr>
              <w:t>X</w:t>
            </w:r>
          </w:p>
        </w:tc>
        <w:tc>
          <w:tcPr>
            <w:tcW w:w="883" w:type="dxa"/>
          </w:tcPr>
          <w:p>
            <w:pPr>
              <w:pStyle w:val="TableParagraph"/>
              <w:spacing w:before="191"/>
              <w:ind w:right="15"/>
              <w:jc w:val="center"/>
              <w:rPr>
                <w:rFonts w:ascii="Times New Roman"/>
                <w:sz w:val="21"/>
              </w:rPr>
            </w:pPr>
            <w:r>
              <w:rPr>
                <w:rFonts w:ascii="Times New Roman"/>
                <w:spacing w:val="-10"/>
                <w:sz w:val="21"/>
              </w:rPr>
              <w:t>X</w:t>
            </w:r>
          </w:p>
        </w:tc>
        <w:tc>
          <w:tcPr>
            <w:tcW w:w="1131" w:type="dxa"/>
          </w:tcPr>
          <w:p>
            <w:pPr>
              <w:pStyle w:val="TableParagraph"/>
              <w:spacing w:before="191"/>
              <w:ind w:right="14"/>
              <w:jc w:val="center"/>
              <w:rPr>
                <w:rFonts w:ascii="Times New Roman"/>
                <w:sz w:val="21"/>
              </w:rPr>
            </w:pPr>
            <w:r>
              <w:rPr>
                <w:rFonts w:ascii="Times New Roman"/>
                <w:spacing w:val="-10"/>
                <w:sz w:val="21"/>
              </w:rPr>
              <w:t>X</w:t>
            </w:r>
          </w:p>
        </w:tc>
        <w:tc>
          <w:tcPr>
            <w:tcW w:w="913" w:type="dxa"/>
          </w:tcPr>
          <w:p>
            <w:pPr>
              <w:pStyle w:val="TableParagraph"/>
              <w:spacing w:before="191"/>
              <w:ind w:left="2" w:right="20"/>
              <w:jc w:val="center"/>
              <w:rPr>
                <w:rFonts w:ascii="Times New Roman"/>
                <w:sz w:val="21"/>
              </w:rPr>
            </w:pPr>
            <w:hyperlink w:history="true" w:anchor="_bookmark81">
              <w:r>
                <w:rPr>
                  <w:rFonts w:ascii="Times New Roman"/>
                  <w:color w:val="0000FF"/>
                  <w:spacing w:val="-2"/>
                  <w:sz w:val="21"/>
                </w:rPr>
                <w:t>8.1.1</w:t>
              </w:r>
            </w:hyperlink>
          </w:p>
        </w:tc>
      </w:tr>
      <w:tr>
        <w:trPr>
          <w:trHeight w:val="624" w:hRule="atLeast"/>
        </w:trPr>
        <w:tc>
          <w:tcPr>
            <w:tcW w:w="1556" w:type="dxa"/>
          </w:tcPr>
          <w:p>
            <w:pPr>
              <w:pStyle w:val="TableParagraph"/>
              <w:spacing w:before="191"/>
              <w:ind w:left="107"/>
              <w:rPr>
                <w:rFonts w:ascii="Times New Roman"/>
                <w:sz w:val="21"/>
              </w:rPr>
            </w:pPr>
            <w:r>
              <w:rPr>
                <w:rFonts w:ascii="Times New Roman"/>
                <w:spacing w:val="-5"/>
                <w:sz w:val="21"/>
              </w:rPr>
              <w:t>HRU</w:t>
            </w:r>
          </w:p>
        </w:tc>
        <w:tc>
          <w:tcPr>
            <w:tcW w:w="1276" w:type="dxa"/>
          </w:tcPr>
          <w:p>
            <w:pPr>
              <w:pStyle w:val="TableParagraph"/>
              <w:spacing w:line="273" w:lineRule="exact" w:before="36"/>
              <w:ind w:right="94"/>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e</w:t>
            </w:r>
          </w:p>
          <w:p>
            <w:pPr>
              <w:pStyle w:val="TableParagraph"/>
              <w:spacing w:line="273" w:lineRule="exact"/>
              <w:ind w:right="95"/>
              <w:jc w:val="center"/>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632" w:type="dxa"/>
          </w:tcPr>
          <w:p>
            <w:pPr>
              <w:pStyle w:val="TableParagraph"/>
              <w:spacing w:before="191"/>
              <w:ind w:left="7"/>
              <w:jc w:val="center"/>
              <w:rPr>
                <w:rFonts w:ascii="Times New Roman"/>
                <w:sz w:val="21"/>
              </w:rPr>
            </w:pPr>
            <w:r>
              <w:rPr>
                <w:rFonts w:ascii="Times New Roman"/>
                <w:spacing w:val="-10"/>
                <w:sz w:val="21"/>
              </w:rPr>
              <w:t>X</w:t>
            </w:r>
          </w:p>
        </w:tc>
        <w:tc>
          <w:tcPr>
            <w:tcW w:w="632" w:type="dxa"/>
          </w:tcPr>
          <w:p>
            <w:pPr>
              <w:pStyle w:val="TableParagraph"/>
              <w:spacing w:before="191"/>
              <w:ind w:left="7" w:right="1"/>
              <w:jc w:val="center"/>
              <w:rPr>
                <w:rFonts w:ascii="Times New Roman"/>
                <w:sz w:val="21"/>
              </w:rPr>
            </w:pPr>
            <w:r>
              <w:rPr>
                <w:rFonts w:ascii="Times New Roman"/>
                <w:spacing w:val="-10"/>
                <w:sz w:val="21"/>
              </w:rPr>
              <w:t>X</w:t>
            </w:r>
          </w:p>
        </w:tc>
        <w:tc>
          <w:tcPr>
            <w:tcW w:w="632" w:type="dxa"/>
          </w:tcPr>
          <w:p>
            <w:pPr>
              <w:pStyle w:val="TableParagraph"/>
              <w:spacing w:before="191"/>
              <w:ind w:left="7" w:right="3"/>
              <w:jc w:val="center"/>
              <w:rPr>
                <w:rFonts w:ascii="Times New Roman"/>
                <w:sz w:val="21"/>
              </w:rPr>
            </w:pPr>
            <w:r>
              <w:rPr>
                <w:rFonts w:ascii="Times New Roman"/>
                <w:spacing w:val="-10"/>
                <w:sz w:val="21"/>
              </w:rPr>
              <w:t>X</w:t>
            </w:r>
          </w:p>
        </w:tc>
        <w:tc>
          <w:tcPr>
            <w:tcW w:w="632" w:type="dxa"/>
          </w:tcPr>
          <w:p>
            <w:pPr>
              <w:pStyle w:val="TableParagraph"/>
              <w:spacing w:before="191"/>
              <w:ind w:left="7" w:right="5"/>
              <w:jc w:val="center"/>
              <w:rPr>
                <w:rFonts w:ascii="Times New Roman"/>
                <w:sz w:val="21"/>
              </w:rPr>
            </w:pPr>
            <w:r>
              <w:rPr>
                <w:rFonts w:ascii="Times New Roman"/>
                <w:spacing w:val="-10"/>
                <w:sz w:val="21"/>
              </w:rPr>
              <w:t>X</w:t>
            </w: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spacing w:before="191"/>
              <w:ind w:left="12" w:right="13"/>
              <w:jc w:val="center"/>
              <w:rPr>
                <w:rFonts w:ascii="Times New Roman"/>
                <w:sz w:val="21"/>
              </w:rPr>
            </w:pPr>
            <w:r>
              <w:rPr>
                <w:rFonts w:ascii="Times New Roman"/>
                <w:spacing w:val="-10"/>
                <w:sz w:val="21"/>
              </w:rPr>
              <w:t>X</w:t>
            </w:r>
          </w:p>
        </w:tc>
        <w:tc>
          <w:tcPr>
            <w:tcW w:w="631" w:type="dxa"/>
          </w:tcPr>
          <w:p>
            <w:pPr>
              <w:pStyle w:val="TableParagraph"/>
              <w:spacing w:before="191"/>
              <w:ind w:left="10" w:right="13"/>
              <w:jc w:val="center"/>
              <w:rPr>
                <w:rFonts w:ascii="Times New Roman"/>
                <w:sz w:val="21"/>
              </w:rPr>
            </w:pPr>
            <w:r>
              <w:rPr>
                <w:rFonts w:ascii="Times New Roman"/>
                <w:spacing w:val="-10"/>
                <w:sz w:val="21"/>
              </w:rPr>
              <w:t>X</w:t>
            </w:r>
          </w:p>
        </w:tc>
        <w:tc>
          <w:tcPr>
            <w:tcW w:w="631" w:type="dxa"/>
          </w:tcPr>
          <w:p>
            <w:pPr>
              <w:pStyle w:val="TableParagraph"/>
              <w:spacing w:before="191"/>
              <w:ind w:left="8" w:right="13"/>
              <w:jc w:val="center"/>
              <w:rPr>
                <w:rFonts w:ascii="Times New Roman"/>
                <w:sz w:val="21"/>
              </w:rPr>
            </w:pPr>
            <w:r>
              <w:rPr>
                <w:rFonts w:ascii="Times New Roman"/>
                <w:spacing w:val="-10"/>
                <w:sz w:val="21"/>
              </w:rPr>
              <w:t>X</w:t>
            </w:r>
          </w:p>
        </w:tc>
        <w:tc>
          <w:tcPr>
            <w:tcW w:w="631" w:type="dxa"/>
          </w:tcPr>
          <w:p>
            <w:pPr>
              <w:pStyle w:val="TableParagraph"/>
              <w:spacing w:before="191"/>
              <w:ind w:left="6" w:right="13"/>
              <w:jc w:val="center"/>
              <w:rPr>
                <w:rFonts w:ascii="Times New Roman"/>
                <w:sz w:val="21"/>
              </w:rPr>
            </w:pPr>
            <w:r>
              <w:rPr>
                <w:rFonts w:ascii="Times New Roman"/>
                <w:spacing w:val="-10"/>
                <w:sz w:val="21"/>
              </w:rPr>
              <w:t>X</w:t>
            </w:r>
          </w:p>
        </w:tc>
        <w:tc>
          <w:tcPr>
            <w:tcW w:w="631" w:type="dxa"/>
          </w:tcPr>
          <w:p>
            <w:pPr>
              <w:pStyle w:val="TableParagraph"/>
              <w:spacing w:before="191"/>
              <w:ind w:left="4" w:right="13"/>
              <w:jc w:val="center"/>
              <w:rPr>
                <w:rFonts w:ascii="Times New Roman"/>
                <w:sz w:val="21"/>
              </w:rPr>
            </w:pPr>
            <w:r>
              <w:rPr>
                <w:rFonts w:ascii="Times New Roman"/>
                <w:spacing w:val="-10"/>
                <w:sz w:val="21"/>
              </w:rPr>
              <w:t>X</w:t>
            </w:r>
          </w:p>
        </w:tc>
        <w:tc>
          <w:tcPr>
            <w:tcW w:w="631" w:type="dxa"/>
          </w:tcPr>
          <w:p>
            <w:pPr>
              <w:pStyle w:val="TableParagraph"/>
              <w:spacing w:before="191"/>
              <w:ind w:left="2" w:right="13"/>
              <w:jc w:val="center"/>
              <w:rPr>
                <w:rFonts w:ascii="Times New Roman"/>
                <w:sz w:val="21"/>
              </w:rPr>
            </w:pPr>
            <w:r>
              <w:rPr>
                <w:rFonts w:ascii="Times New Roman"/>
                <w:spacing w:val="-10"/>
                <w:sz w:val="21"/>
              </w:rPr>
              <w:t>X</w:t>
            </w:r>
          </w:p>
        </w:tc>
        <w:tc>
          <w:tcPr>
            <w:tcW w:w="631" w:type="dxa"/>
          </w:tcPr>
          <w:p>
            <w:pPr>
              <w:pStyle w:val="TableParagraph"/>
              <w:spacing w:before="191"/>
              <w:ind w:right="13"/>
              <w:jc w:val="center"/>
              <w:rPr>
                <w:rFonts w:ascii="Times New Roman"/>
                <w:sz w:val="21"/>
              </w:rPr>
            </w:pPr>
            <w:r>
              <w:rPr>
                <w:rFonts w:ascii="Times New Roman"/>
                <w:spacing w:val="-10"/>
                <w:sz w:val="21"/>
              </w:rPr>
              <w:t>X</w:t>
            </w:r>
          </w:p>
        </w:tc>
        <w:tc>
          <w:tcPr>
            <w:tcW w:w="883" w:type="dxa"/>
          </w:tcPr>
          <w:p>
            <w:pPr>
              <w:pStyle w:val="TableParagraph"/>
              <w:rPr>
                <w:rFonts w:ascii="Times New Roman"/>
                <w:sz w:val="20"/>
              </w:rPr>
            </w:pPr>
          </w:p>
        </w:tc>
        <w:tc>
          <w:tcPr>
            <w:tcW w:w="1131" w:type="dxa"/>
          </w:tcPr>
          <w:p>
            <w:pPr>
              <w:pStyle w:val="TableParagraph"/>
              <w:spacing w:before="191"/>
              <w:ind w:right="14"/>
              <w:jc w:val="center"/>
              <w:rPr>
                <w:rFonts w:ascii="Times New Roman"/>
                <w:sz w:val="21"/>
              </w:rPr>
            </w:pPr>
            <w:r>
              <w:rPr>
                <w:rFonts w:ascii="Times New Roman"/>
                <w:spacing w:val="-10"/>
                <w:sz w:val="21"/>
              </w:rPr>
              <w:t>X</w:t>
            </w:r>
          </w:p>
        </w:tc>
        <w:tc>
          <w:tcPr>
            <w:tcW w:w="913" w:type="dxa"/>
          </w:tcPr>
          <w:p>
            <w:pPr>
              <w:pStyle w:val="TableParagraph"/>
              <w:spacing w:before="191"/>
              <w:ind w:right="20"/>
              <w:jc w:val="center"/>
              <w:rPr>
                <w:rFonts w:ascii="Times New Roman"/>
                <w:sz w:val="21"/>
              </w:rPr>
            </w:pPr>
            <w:hyperlink w:history="true" w:anchor="_bookmark125">
              <w:r>
                <w:rPr>
                  <w:rFonts w:ascii="Times New Roman"/>
                  <w:color w:val="0000FF"/>
                  <w:spacing w:val="-5"/>
                  <w:sz w:val="21"/>
                </w:rPr>
                <w:t>8.7</w:t>
              </w:r>
            </w:hyperlink>
          </w:p>
        </w:tc>
      </w:tr>
      <w:tr>
        <w:trPr>
          <w:trHeight w:val="321" w:hRule="atLeast"/>
        </w:trPr>
        <w:tc>
          <w:tcPr>
            <w:tcW w:w="1556" w:type="dxa"/>
          </w:tcPr>
          <w:p>
            <w:pPr>
              <w:pStyle w:val="TableParagraph"/>
              <w:spacing w:before="25"/>
              <w:ind w:left="107"/>
              <w:rPr>
                <w:rFonts w:ascii="Times New Roman"/>
                <w:sz w:val="14"/>
              </w:rPr>
            </w:pPr>
            <w:r>
              <w:rPr>
                <w:rFonts w:ascii="Times New Roman"/>
                <w:position w:val="-7"/>
                <w:sz w:val="21"/>
              </w:rPr>
              <w:t>CT </w:t>
            </w:r>
            <w:r>
              <w:rPr>
                <w:rFonts w:ascii="Times New Roman"/>
                <w:sz w:val="14"/>
              </w:rPr>
              <w:t>f,</w:t>
            </w:r>
            <w:r>
              <w:rPr>
                <w:rFonts w:ascii="Times New Roman"/>
                <w:spacing w:val="-1"/>
                <w:sz w:val="14"/>
              </w:rPr>
              <w:t> </w:t>
            </w:r>
            <w:r>
              <w:rPr>
                <w:rFonts w:ascii="Times New Roman"/>
                <w:spacing w:val="-10"/>
                <w:sz w:val="14"/>
              </w:rPr>
              <w:t>g</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40"/>
              <w:ind w:right="13"/>
              <w:jc w:val="center"/>
              <w:rPr>
                <w:rFonts w:ascii="Times New Roman"/>
                <w:sz w:val="21"/>
              </w:rPr>
            </w:pPr>
            <w:r>
              <w:rPr>
                <w:rFonts w:ascii="Times New Roman"/>
                <w:spacing w:val="-10"/>
                <w:sz w:val="21"/>
              </w:rPr>
              <w:t>X</w:t>
            </w:r>
          </w:p>
        </w:tc>
        <w:tc>
          <w:tcPr>
            <w:tcW w:w="883" w:type="dxa"/>
          </w:tcPr>
          <w:p>
            <w:pPr>
              <w:pStyle w:val="TableParagraph"/>
              <w:rPr>
                <w:rFonts w:ascii="Times New Roman"/>
                <w:sz w:val="20"/>
              </w:rPr>
            </w:pPr>
          </w:p>
        </w:tc>
        <w:tc>
          <w:tcPr>
            <w:tcW w:w="1131" w:type="dxa"/>
          </w:tcPr>
          <w:p>
            <w:pPr>
              <w:pStyle w:val="TableParagraph"/>
              <w:spacing w:before="40"/>
              <w:ind w:right="14"/>
              <w:jc w:val="center"/>
              <w:rPr>
                <w:rFonts w:ascii="Times New Roman"/>
                <w:sz w:val="21"/>
              </w:rPr>
            </w:pPr>
            <w:r>
              <w:rPr>
                <w:rFonts w:ascii="Times New Roman"/>
                <w:spacing w:val="-10"/>
                <w:sz w:val="21"/>
              </w:rPr>
              <w:t>X</w:t>
            </w:r>
          </w:p>
        </w:tc>
        <w:tc>
          <w:tcPr>
            <w:tcW w:w="913" w:type="dxa"/>
          </w:tcPr>
          <w:p>
            <w:pPr>
              <w:pStyle w:val="TableParagraph"/>
              <w:spacing w:before="40"/>
              <w:ind w:left="2" w:right="20"/>
              <w:jc w:val="center"/>
              <w:rPr>
                <w:rFonts w:ascii="Times New Roman"/>
                <w:sz w:val="21"/>
              </w:rPr>
            </w:pPr>
            <w:hyperlink w:history="true" w:anchor="_bookmark84">
              <w:r>
                <w:rPr>
                  <w:rFonts w:ascii="Times New Roman"/>
                  <w:color w:val="0000FF"/>
                  <w:spacing w:val="-2"/>
                  <w:sz w:val="21"/>
                </w:rPr>
                <w:t>8.1.4</w:t>
              </w:r>
            </w:hyperlink>
          </w:p>
        </w:tc>
      </w:tr>
      <w:tr>
        <w:trPr>
          <w:trHeight w:val="624" w:hRule="atLeast"/>
        </w:trPr>
        <w:tc>
          <w:tcPr>
            <w:tcW w:w="1556" w:type="dxa"/>
          </w:tcPr>
          <w:p>
            <w:pPr>
              <w:pStyle w:val="TableParagraph"/>
              <w:spacing w:before="36"/>
              <w:ind w:left="107" w:right="262"/>
              <w:rPr>
                <w:rFonts w:ascii="Times New Roman" w:eastAsia="Times New Roman"/>
                <w:sz w:val="21"/>
              </w:rPr>
            </w:pPr>
            <w:r>
              <w:rPr>
                <w:rFonts w:ascii="Times New Roman" w:eastAsia="Times New Roman"/>
                <w:spacing w:val="-2"/>
                <w:sz w:val="21"/>
              </w:rPr>
              <w:t>BD</w:t>
            </w:r>
            <w:r>
              <w:rPr>
                <w:rFonts w:ascii="Times New Roman" w:eastAsia="Times New Roman"/>
                <w:spacing w:val="-12"/>
                <w:sz w:val="21"/>
              </w:rPr>
              <w:t> </w:t>
            </w:r>
            <w:r>
              <w:rPr>
                <w:spacing w:val="-2"/>
                <w:sz w:val="21"/>
              </w:rPr>
              <w:t>给药前肺</w:t>
            </w:r>
            <w:r>
              <w:rPr>
                <w:spacing w:val="-9"/>
                <w:sz w:val="21"/>
              </w:rPr>
              <w:t>功能测定 </w:t>
            </w:r>
            <w:r>
              <w:rPr>
                <w:rFonts w:ascii="Times New Roman" w:eastAsia="Times New Roman"/>
                <w:sz w:val="21"/>
                <w:vertAlign w:val="superscript"/>
              </w:rPr>
              <w:t>g</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1"/>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1"/>
              <w:ind w:right="13"/>
              <w:jc w:val="center"/>
              <w:rPr>
                <w:rFonts w:ascii="Times New Roman"/>
                <w:sz w:val="21"/>
              </w:rPr>
            </w:pPr>
            <w:r>
              <w:rPr>
                <w:rFonts w:ascii="Times New Roman"/>
                <w:spacing w:val="-10"/>
                <w:sz w:val="21"/>
              </w:rPr>
              <w:t>X</w:t>
            </w:r>
          </w:p>
        </w:tc>
        <w:tc>
          <w:tcPr>
            <w:tcW w:w="883" w:type="dxa"/>
          </w:tcPr>
          <w:p>
            <w:pPr>
              <w:pStyle w:val="TableParagraph"/>
              <w:rPr>
                <w:rFonts w:ascii="Times New Roman"/>
                <w:sz w:val="20"/>
              </w:rPr>
            </w:pPr>
          </w:p>
        </w:tc>
        <w:tc>
          <w:tcPr>
            <w:tcW w:w="1131" w:type="dxa"/>
          </w:tcPr>
          <w:p>
            <w:pPr>
              <w:pStyle w:val="TableParagraph"/>
              <w:spacing w:before="191"/>
              <w:ind w:right="14"/>
              <w:jc w:val="center"/>
              <w:rPr>
                <w:rFonts w:ascii="Times New Roman"/>
                <w:sz w:val="21"/>
              </w:rPr>
            </w:pPr>
            <w:r>
              <w:rPr>
                <w:rFonts w:ascii="Times New Roman"/>
                <w:spacing w:val="-10"/>
                <w:sz w:val="21"/>
              </w:rPr>
              <w:t>X</w:t>
            </w:r>
          </w:p>
        </w:tc>
        <w:tc>
          <w:tcPr>
            <w:tcW w:w="913" w:type="dxa"/>
          </w:tcPr>
          <w:p>
            <w:pPr>
              <w:pStyle w:val="TableParagraph"/>
              <w:spacing w:before="52"/>
              <w:ind w:left="125"/>
              <w:rPr>
                <w:sz w:val="21"/>
              </w:rPr>
            </w:pPr>
            <w:hyperlink w:history="true" w:anchor="_bookmark83">
              <w:r>
                <w:rPr>
                  <w:rFonts w:ascii="Times New Roman" w:eastAsia="Times New Roman"/>
                  <w:color w:val="0000FF"/>
                  <w:sz w:val="21"/>
                </w:rPr>
                <w:t>8.1.3</w:t>
              </w:r>
            </w:hyperlink>
            <w:r>
              <w:rPr>
                <w:color w:val="0000FF"/>
                <w:spacing w:val="-10"/>
                <w:sz w:val="21"/>
              </w:rPr>
              <w:t>、</w:t>
            </w:r>
          </w:p>
          <w:p>
            <w:pPr>
              <w:pStyle w:val="TableParagraph"/>
              <w:spacing w:before="3"/>
              <w:ind w:left="230"/>
              <w:rPr>
                <w:rFonts w:ascii="Times New Roman"/>
                <w:sz w:val="21"/>
              </w:rPr>
            </w:pPr>
            <w:hyperlink w:history="true" w:anchor="_bookmark67">
              <w:r>
                <w:rPr>
                  <w:rFonts w:ascii="Times New Roman"/>
                  <w:color w:val="0000FF"/>
                  <w:spacing w:val="-2"/>
                  <w:sz w:val="21"/>
                </w:rPr>
                <w:t>6.5.3</w:t>
              </w:r>
            </w:hyperlink>
          </w:p>
        </w:tc>
      </w:tr>
      <w:tr>
        <w:trPr>
          <w:trHeight w:val="624" w:hRule="atLeast"/>
        </w:trPr>
        <w:tc>
          <w:tcPr>
            <w:tcW w:w="1556" w:type="dxa"/>
          </w:tcPr>
          <w:p>
            <w:pPr>
              <w:pStyle w:val="TableParagraph"/>
              <w:spacing w:before="36"/>
              <w:ind w:left="107" w:right="262"/>
              <w:rPr>
                <w:rFonts w:ascii="Times New Roman" w:eastAsia="Times New Roman"/>
                <w:sz w:val="21"/>
              </w:rPr>
            </w:pPr>
            <w:r>
              <w:rPr>
                <w:rFonts w:ascii="Times New Roman" w:eastAsia="Times New Roman"/>
                <w:spacing w:val="-2"/>
                <w:sz w:val="21"/>
              </w:rPr>
              <w:t>BD</w:t>
            </w:r>
            <w:r>
              <w:rPr>
                <w:rFonts w:ascii="Times New Roman" w:eastAsia="Times New Roman"/>
                <w:spacing w:val="-12"/>
                <w:sz w:val="21"/>
              </w:rPr>
              <w:t> </w:t>
            </w:r>
            <w:r>
              <w:rPr>
                <w:spacing w:val="-2"/>
                <w:sz w:val="21"/>
              </w:rPr>
              <w:t>给药后肺</w:t>
            </w:r>
            <w:r>
              <w:rPr>
                <w:spacing w:val="-7"/>
                <w:sz w:val="21"/>
              </w:rPr>
              <w:t>功能测定 </w:t>
            </w:r>
            <w:r>
              <w:rPr>
                <w:rFonts w:ascii="Times New Roman" w:eastAsia="Times New Roman"/>
                <w:sz w:val="21"/>
                <w:vertAlign w:val="superscript"/>
              </w:rPr>
              <w:t>g</w:t>
            </w:r>
            <w:r>
              <w:rPr>
                <w:rFonts w:ascii="Times New Roman" w:eastAsia="Times New Roman"/>
                <w:spacing w:val="-2"/>
                <w:sz w:val="21"/>
                <w:vertAlign w:val="superscript"/>
              </w:rPr>
              <w:t>, </w:t>
            </w:r>
            <w:r>
              <w:rPr>
                <w:rFonts w:ascii="Times New Roman" w:eastAsia="Times New Roman"/>
                <w:sz w:val="21"/>
                <w:vertAlign w:val="superscript"/>
              </w:rPr>
              <w:t>h</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1"/>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1"/>
              <w:ind w:right="13"/>
              <w:jc w:val="center"/>
              <w:rPr>
                <w:rFonts w:ascii="Times New Roman"/>
                <w:sz w:val="21"/>
              </w:rPr>
            </w:pPr>
            <w:r>
              <w:rPr>
                <w:rFonts w:ascii="Times New Roman"/>
                <w:spacing w:val="-10"/>
                <w:sz w:val="21"/>
              </w:rPr>
              <w:t>X</w:t>
            </w: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TableParagraph"/>
              <w:spacing w:before="52"/>
              <w:ind w:left="125"/>
              <w:rPr>
                <w:sz w:val="21"/>
              </w:rPr>
            </w:pPr>
            <w:hyperlink w:history="true" w:anchor="_bookmark83">
              <w:r>
                <w:rPr>
                  <w:rFonts w:ascii="Times New Roman" w:eastAsia="Times New Roman"/>
                  <w:color w:val="0000FF"/>
                  <w:sz w:val="21"/>
                </w:rPr>
                <w:t>8.1.3</w:t>
              </w:r>
            </w:hyperlink>
            <w:r>
              <w:rPr>
                <w:color w:val="0000FF"/>
                <w:spacing w:val="-10"/>
                <w:sz w:val="21"/>
              </w:rPr>
              <w:t>、</w:t>
            </w:r>
          </w:p>
          <w:p>
            <w:pPr>
              <w:pStyle w:val="TableParagraph"/>
              <w:spacing w:before="3"/>
              <w:ind w:left="230"/>
              <w:rPr>
                <w:rFonts w:ascii="Times New Roman"/>
                <w:sz w:val="21"/>
              </w:rPr>
            </w:pPr>
            <w:hyperlink w:history="true" w:anchor="_bookmark67">
              <w:r>
                <w:rPr>
                  <w:rFonts w:ascii="Times New Roman"/>
                  <w:color w:val="0000FF"/>
                  <w:spacing w:val="-2"/>
                  <w:sz w:val="21"/>
                </w:rPr>
                <w:t>6.5.3</w:t>
              </w:r>
            </w:hyperlink>
          </w:p>
        </w:tc>
      </w:tr>
    </w:tbl>
    <w:p>
      <w:pPr>
        <w:spacing w:after="0"/>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6" w:hRule="atLeast"/>
        </w:trPr>
        <w:tc>
          <w:tcPr>
            <w:tcW w:w="1556" w:type="dxa"/>
            <w:shd w:val="clear" w:color="auto" w:fill="D9D9D9"/>
          </w:tcPr>
          <w:p>
            <w:pPr>
              <w:pStyle w:val="TableParagraph"/>
              <w:spacing w:before="37"/>
              <w:rPr>
                <w:b/>
                <w:sz w:val="21"/>
              </w:rPr>
            </w:pPr>
          </w:p>
          <w:p>
            <w:pPr>
              <w:pStyle w:val="TableParagraph"/>
              <w:ind w:left="355"/>
              <w:rPr>
                <w:b/>
                <w:sz w:val="21"/>
              </w:rPr>
            </w:pPr>
            <w:r>
              <w:rPr>
                <w:b/>
                <w:spacing w:val="-4"/>
                <w:sz w:val="21"/>
              </w:rPr>
              <w:t>研究阶段</w:t>
            </w:r>
          </w:p>
        </w:tc>
        <w:tc>
          <w:tcPr>
            <w:tcW w:w="1276" w:type="dxa"/>
            <w:shd w:val="clear" w:color="auto" w:fill="D9D9D9"/>
          </w:tcPr>
          <w:p>
            <w:pPr>
              <w:pStyle w:val="TableParagraph"/>
              <w:spacing w:before="172"/>
              <w:ind w:left="426"/>
              <w:rPr>
                <w:b/>
                <w:sz w:val="21"/>
              </w:rPr>
            </w:pPr>
            <w:r>
              <w:rPr>
                <w:b/>
                <w:spacing w:val="-6"/>
                <w:sz w:val="21"/>
              </w:rPr>
              <w:t>入选</w:t>
            </w:r>
          </w:p>
          <w:p>
            <w:pPr>
              <w:pStyle w:val="TableParagraph"/>
              <w:spacing w:before="1"/>
              <w:ind w:left="116"/>
              <w:rPr>
                <w:b/>
                <w:sz w:val="21"/>
              </w:rPr>
            </w:pPr>
            <w:r>
              <w:rPr>
                <w:b/>
                <w:spacing w:val="-2"/>
                <w:sz w:val="21"/>
              </w:rPr>
              <w:t>（</w:t>
            </w:r>
            <w:r>
              <w:rPr>
                <w:rFonts w:ascii="Times New Roman" w:eastAsia="Times New Roman"/>
                <w:b/>
                <w:spacing w:val="-2"/>
                <w:sz w:val="21"/>
              </w:rPr>
              <w:t>Enrol</w:t>
            </w:r>
            <w:r>
              <w:rPr>
                <w:b/>
                <w:spacing w:val="-2"/>
                <w:sz w:val="21"/>
              </w:rPr>
              <w:t>）</w:t>
            </w:r>
          </w:p>
        </w:tc>
        <w:tc>
          <w:tcPr>
            <w:tcW w:w="8207" w:type="dxa"/>
            <w:gridSpan w:val="13"/>
            <w:shd w:val="clear" w:color="auto" w:fill="D9D9D9"/>
          </w:tcPr>
          <w:p>
            <w:pPr>
              <w:pStyle w:val="TableParagraph"/>
              <w:spacing w:before="37"/>
              <w:rPr>
                <w:b/>
                <w:sz w:val="21"/>
              </w:rPr>
            </w:pPr>
          </w:p>
          <w:p>
            <w:pPr>
              <w:pStyle w:val="TableParagraph"/>
              <w:ind w:right="4"/>
              <w:jc w:val="center"/>
              <w:rPr>
                <w:b/>
                <w:sz w:val="21"/>
              </w:rPr>
            </w:pPr>
            <w:r>
              <w:rPr>
                <w:b/>
                <w:spacing w:val="-2"/>
                <w:sz w:val="21"/>
              </w:rPr>
              <w:t>干预（治疗）</w:t>
            </w:r>
            <w:r>
              <w:rPr>
                <w:b/>
                <w:spacing w:val="-12"/>
                <w:sz w:val="21"/>
              </w:rPr>
              <w:t>期</w:t>
            </w:r>
          </w:p>
        </w:tc>
        <w:tc>
          <w:tcPr>
            <w:tcW w:w="883" w:type="dxa"/>
            <w:shd w:val="clear" w:color="auto" w:fill="D9D9D9"/>
          </w:tcPr>
          <w:p>
            <w:pPr>
              <w:pStyle w:val="TableParagraph"/>
              <w:spacing w:before="172"/>
              <w:ind w:left="112"/>
              <w:rPr>
                <w:b/>
                <w:sz w:val="21"/>
              </w:rPr>
            </w:pPr>
            <w:r>
              <w:rPr>
                <w:b/>
                <w:spacing w:val="-5"/>
                <w:sz w:val="21"/>
              </w:rPr>
              <w:t>随访期</w:t>
            </w:r>
          </w:p>
          <w:p>
            <w:pPr>
              <w:pStyle w:val="TableParagraph"/>
              <w:spacing w:before="1"/>
              <w:ind w:left="24"/>
              <w:rPr>
                <w:b/>
                <w:sz w:val="21"/>
              </w:rPr>
            </w:pPr>
            <w:r>
              <w:rPr>
                <w:b/>
                <w:spacing w:val="-4"/>
                <w:sz w:val="21"/>
              </w:rPr>
              <w:t>（</w:t>
            </w:r>
            <w:r>
              <w:rPr>
                <w:rFonts w:ascii="Times New Roman" w:eastAsia="Times New Roman"/>
                <w:b/>
                <w:spacing w:val="-4"/>
                <w:sz w:val="21"/>
              </w:rPr>
              <w:t>FU</w:t>
            </w:r>
            <w:r>
              <w:rPr>
                <w:b/>
                <w:spacing w:val="-4"/>
                <w:sz w:val="21"/>
              </w:rPr>
              <w:t>）</w:t>
            </w:r>
          </w:p>
        </w:tc>
        <w:tc>
          <w:tcPr>
            <w:tcW w:w="1131" w:type="dxa"/>
            <w:shd w:val="clear" w:color="auto" w:fill="D9D9D9"/>
          </w:tcPr>
          <w:p>
            <w:pPr>
              <w:pStyle w:val="TableParagraph"/>
              <w:spacing w:before="36"/>
              <w:ind w:left="165" w:right="183"/>
              <w:jc w:val="center"/>
              <w:rPr>
                <w:b/>
                <w:sz w:val="21"/>
              </w:rPr>
            </w:pPr>
            <w:r>
              <w:rPr>
                <w:rFonts w:ascii="Times New Roman" w:eastAsia="Times New Roman"/>
                <w:b/>
                <w:spacing w:val="-2"/>
                <w:sz w:val="21"/>
              </w:rPr>
              <w:t>E/D</w:t>
            </w:r>
            <w:r>
              <w:rPr>
                <w:b/>
                <w:spacing w:val="-2"/>
                <w:sz w:val="21"/>
              </w:rPr>
              <w:t>，电</w:t>
            </w:r>
            <w:r>
              <w:rPr>
                <w:b/>
                <w:spacing w:val="-14"/>
                <w:sz w:val="21"/>
              </w:rPr>
              <w:t>话随访 </w:t>
            </w:r>
            <w:r>
              <w:rPr>
                <w:rFonts w:ascii="Times New Roman" w:eastAsia="Times New Roman"/>
                <w:b/>
                <w:sz w:val="21"/>
                <w:vertAlign w:val="superscript"/>
              </w:rPr>
              <w:t>a</w:t>
            </w:r>
            <w:r>
              <w:rPr>
                <w:b/>
                <w:spacing w:val="-6"/>
                <w:sz w:val="21"/>
                <w:vertAlign w:val="baseline"/>
              </w:rP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TableParagraph"/>
              <w:spacing w:line="240" w:lineRule="exact"/>
              <w:ind w:left="241"/>
              <w:rPr>
                <w:rFonts w:ascii="Times New Roman"/>
                <w:b/>
                <w:sz w:val="21"/>
              </w:rPr>
            </w:pPr>
            <w:r>
              <w:rPr>
                <w:rFonts w:ascii="Times New Roman"/>
                <w:b/>
                <w:spacing w:val="-5"/>
                <w:sz w:val="21"/>
              </w:rPr>
              <w:t>CSP</w:t>
            </w:r>
          </w:p>
          <w:p>
            <w:pPr>
              <w:pStyle w:val="TableParagraph"/>
              <w:spacing w:line="272" w:lineRule="exact"/>
              <w:ind w:left="229"/>
              <w:rPr>
                <w:b/>
                <w:sz w:val="21"/>
              </w:rPr>
            </w:pPr>
            <w:r>
              <w:rPr>
                <w:b/>
                <w:spacing w:val="-6"/>
                <w:sz w:val="21"/>
              </w:rPr>
              <w:t>章节</w:t>
            </w:r>
          </w:p>
        </w:tc>
      </w:tr>
      <w:tr>
        <w:trPr>
          <w:trHeight w:val="352" w:hRule="atLeast"/>
        </w:trPr>
        <w:tc>
          <w:tcPr>
            <w:tcW w:w="1556" w:type="dxa"/>
            <w:shd w:val="clear" w:color="auto" w:fill="D9D9D9"/>
          </w:tcPr>
          <w:p>
            <w:pPr>
              <w:pStyle w:val="TableParagraph"/>
              <w:spacing w:before="39"/>
              <w:ind w:left="460"/>
              <w:rPr>
                <w:b/>
                <w:sz w:val="21"/>
              </w:rPr>
            </w:pPr>
            <w:r>
              <w:rPr>
                <w:b/>
                <w:spacing w:val="-5"/>
                <w:sz w:val="21"/>
              </w:rPr>
              <w:t>研究周</w:t>
            </w:r>
          </w:p>
        </w:tc>
        <w:tc>
          <w:tcPr>
            <w:tcW w:w="1276" w:type="dxa"/>
            <w:shd w:val="clear" w:color="auto" w:fill="D9D9D9"/>
          </w:tcPr>
          <w:p>
            <w:pPr>
              <w:pStyle w:val="TableParagraph"/>
              <w:spacing w:before="57"/>
              <w:ind w:left="7"/>
              <w:jc w:val="center"/>
              <w:rPr>
                <w:rFonts w:ascii="Times New Roman"/>
                <w:sz w:val="21"/>
              </w:rPr>
            </w:pPr>
            <w:r>
              <w:rPr>
                <w:rFonts w:ascii="Times New Roman"/>
                <w:spacing w:val="-5"/>
                <w:sz w:val="21"/>
              </w:rPr>
              <w:t>W0</w:t>
            </w:r>
          </w:p>
        </w:tc>
        <w:tc>
          <w:tcPr>
            <w:tcW w:w="632" w:type="dxa"/>
            <w:shd w:val="clear" w:color="auto" w:fill="D9D9D9"/>
          </w:tcPr>
          <w:p>
            <w:pPr>
              <w:pStyle w:val="TableParagraph"/>
              <w:spacing w:before="57"/>
              <w:ind w:left="7" w:right="2"/>
              <w:jc w:val="center"/>
              <w:rPr>
                <w:rFonts w:ascii="Times New Roman"/>
                <w:sz w:val="21"/>
              </w:rPr>
            </w:pPr>
            <w:r>
              <w:rPr>
                <w:rFonts w:ascii="Times New Roman"/>
                <w:spacing w:val="-5"/>
                <w:sz w:val="21"/>
              </w:rPr>
              <w:t>W4</w:t>
            </w:r>
          </w:p>
        </w:tc>
        <w:tc>
          <w:tcPr>
            <w:tcW w:w="632" w:type="dxa"/>
            <w:shd w:val="clear" w:color="auto" w:fill="D9D9D9"/>
          </w:tcPr>
          <w:p>
            <w:pPr>
              <w:pStyle w:val="TableParagraph"/>
              <w:spacing w:before="57"/>
              <w:ind w:left="7" w:right="4"/>
              <w:jc w:val="center"/>
              <w:rPr>
                <w:rFonts w:ascii="Times New Roman"/>
                <w:sz w:val="21"/>
              </w:rPr>
            </w:pPr>
            <w:r>
              <w:rPr>
                <w:rFonts w:ascii="Times New Roman"/>
                <w:spacing w:val="-5"/>
                <w:sz w:val="21"/>
              </w:rPr>
              <w:t>W8</w:t>
            </w:r>
          </w:p>
        </w:tc>
        <w:tc>
          <w:tcPr>
            <w:tcW w:w="632" w:type="dxa"/>
            <w:shd w:val="clear" w:color="auto" w:fill="D9D9D9"/>
          </w:tcPr>
          <w:p>
            <w:pPr>
              <w:pStyle w:val="TableParagraph"/>
              <w:spacing w:before="57"/>
              <w:ind w:left="7" w:right="3"/>
              <w:jc w:val="center"/>
              <w:rPr>
                <w:rFonts w:ascii="Times New Roman"/>
                <w:sz w:val="21"/>
              </w:rPr>
            </w:pPr>
            <w:r>
              <w:rPr>
                <w:rFonts w:ascii="Times New Roman"/>
                <w:spacing w:val="-5"/>
                <w:sz w:val="21"/>
              </w:rPr>
              <w:t>W12</w:t>
            </w:r>
          </w:p>
        </w:tc>
        <w:tc>
          <w:tcPr>
            <w:tcW w:w="632" w:type="dxa"/>
            <w:shd w:val="clear" w:color="auto" w:fill="D9D9D9"/>
          </w:tcPr>
          <w:p>
            <w:pPr>
              <w:pStyle w:val="TableParagraph"/>
              <w:spacing w:before="57"/>
              <w:ind w:left="7" w:right="5"/>
              <w:jc w:val="center"/>
              <w:rPr>
                <w:rFonts w:ascii="Times New Roman"/>
                <w:sz w:val="21"/>
              </w:rPr>
            </w:pPr>
            <w:r>
              <w:rPr>
                <w:rFonts w:ascii="Times New Roman"/>
                <w:spacing w:val="-5"/>
                <w:sz w:val="21"/>
              </w:rPr>
              <w:t>W16</w:t>
            </w:r>
          </w:p>
        </w:tc>
        <w:tc>
          <w:tcPr>
            <w:tcW w:w="631" w:type="dxa"/>
            <w:shd w:val="clear" w:color="auto" w:fill="D9D9D9"/>
          </w:tcPr>
          <w:p>
            <w:pPr>
              <w:pStyle w:val="TableParagraph"/>
              <w:spacing w:before="57"/>
              <w:ind w:left="13" w:right="13"/>
              <w:jc w:val="center"/>
              <w:rPr>
                <w:rFonts w:ascii="Times New Roman"/>
                <w:sz w:val="21"/>
              </w:rPr>
            </w:pPr>
            <w:r>
              <w:rPr>
                <w:rFonts w:ascii="Times New Roman"/>
                <w:spacing w:val="-5"/>
                <w:sz w:val="21"/>
              </w:rPr>
              <w:t>W20</w:t>
            </w:r>
          </w:p>
        </w:tc>
        <w:tc>
          <w:tcPr>
            <w:tcW w:w="631" w:type="dxa"/>
            <w:shd w:val="clear" w:color="auto" w:fill="D9D9D9"/>
          </w:tcPr>
          <w:p>
            <w:pPr>
              <w:pStyle w:val="TableParagraph"/>
              <w:spacing w:before="57"/>
              <w:ind w:left="13" w:right="13"/>
              <w:jc w:val="center"/>
              <w:rPr>
                <w:rFonts w:ascii="Times New Roman"/>
                <w:sz w:val="21"/>
              </w:rPr>
            </w:pPr>
            <w:r>
              <w:rPr>
                <w:rFonts w:ascii="Times New Roman"/>
                <w:spacing w:val="-5"/>
                <w:sz w:val="21"/>
              </w:rPr>
              <w:t>W24</w:t>
            </w:r>
          </w:p>
        </w:tc>
        <w:tc>
          <w:tcPr>
            <w:tcW w:w="631" w:type="dxa"/>
            <w:shd w:val="clear" w:color="auto" w:fill="D9D9D9"/>
          </w:tcPr>
          <w:p>
            <w:pPr>
              <w:pStyle w:val="TableParagraph"/>
              <w:spacing w:before="57"/>
              <w:ind w:left="11" w:right="13"/>
              <w:jc w:val="center"/>
              <w:rPr>
                <w:rFonts w:ascii="Times New Roman"/>
                <w:sz w:val="21"/>
              </w:rPr>
            </w:pPr>
            <w:r>
              <w:rPr>
                <w:rFonts w:ascii="Times New Roman"/>
                <w:spacing w:val="-5"/>
                <w:sz w:val="21"/>
              </w:rPr>
              <w:t>W28</w:t>
            </w:r>
          </w:p>
        </w:tc>
        <w:tc>
          <w:tcPr>
            <w:tcW w:w="631" w:type="dxa"/>
            <w:shd w:val="clear" w:color="auto" w:fill="D9D9D9"/>
          </w:tcPr>
          <w:p>
            <w:pPr>
              <w:pStyle w:val="TableParagraph"/>
              <w:spacing w:before="57"/>
              <w:ind w:left="10" w:right="13"/>
              <w:jc w:val="center"/>
              <w:rPr>
                <w:rFonts w:ascii="Times New Roman"/>
                <w:sz w:val="21"/>
              </w:rPr>
            </w:pPr>
            <w:r>
              <w:rPr>
                <w:rFonts w:ascii="Times New Roman"/>
                <w:spacing w:val="-5"/>
                <w:sz w:val="21"/>
              </w:rPr>
              <w:t>W32</w:t>
            </w:r>
          </w:p>
        </w:tc>
        <w:tc>
          <w:tcPr>
            <w:tcW w:w="631" w:type="dxa"/>
            <w:shd w:val="clear" w:color="auto" w:fill="D9D9D9"/>
          </w:tcPr>
          <w:p>
            <w:pPr>
              <w:pStyle w:val="TableParagraph"/>
              <w:spacing w:before="57"/>
              <w:ind w:left="8" w:right="13"/>
              <w:jc w:val="center"/>
              <w:rPr>
                <w:rFonts w:ascii="Times New Roman"/>
                <w:sz w:val="21"/>
              </w:rPr>
            </w:pPr>
            <w:r>
              <w:rPr>
                <w:rFonts w:ascii="Times New Roman"/>
                <w:spacing w:val="-5"/>
                <w:sz w:val="21"/>
              </w:rPr>
              <w:t>W36</w:t>
            </w:r>
          </w:p>
        </w:tc>
        <w:tc>
          <w:tcPr>
            <w:tcW w:w="631" w:type="dxa"/>
            <w:shd w:val="clear" w:color="auto" w:fill="D9D9D9"/>
          </w:tcPr>
          <w:p>
            <w:pPr>
              <w:pStyle w:val="TableParagraph"/>
              <w:spacing w:before="57"/>
              <w:ind w:left="6" w:right="13"/>
              <w:jc w:val="center"/>
              <w:rPr>
                <w:rFonts w:ascii="Times New Roman"/>
                <w:sz w:val="21"/>
              </w:rPr>
            </w:pPr>
            <w:r>
              <w:rPr>
                <w:rFonts w:ascii="Times New Roman"/>
                <w:spacing w:val="-5"/>
                <w:sz w:val="21"/>
              </w:rPr>
              <w:t>W40</w:t>
            </w:r>
          </w:p>
        </w:tc>
        <w:tc>
          <w:tcPr>
            <w:tcW w:w="631" w:type="dxa"/>
            <w:shd w:val="clear" w:color="auto" w:fill="D9D9D9"/>
          </w:tcPr>
          <w:p>
            <w:pPr>
              <w:pStyle w:val="TableParagraph"/>
              <w:spacing w:before="57"/>
              <w:ind w:left="4" w:right="13"/>
              <w:jc w:val="center"/>
              <w:rPr>
                <w:rFonts w:ascii="Times New Roman"/>
                <w:sz w:val="21"/>
              </w:rPr>
            </w:pPr>
            <w:r>
              <w:rPr>
                <w:rFonts w:ascii="Times New Roman"/>
                <w:spacing w:val="-5"/>
                <w:sz w:val="21"/>
              </w:rPr>
              <w:t>W44</w:t>
            </w:r>
          </w:p>
        </w:tc>
        <w:tc>
          <w:tcPr>
            <w:tcW w:w="631" w:type="dxa"/>
            <w:shd w:val="clear" w:color="auto" w:fill="D9D9D9"/>
          </w:tcPr>
          <w:p>
            <w:pPr>
              <w:pStyle w:val="TableParagraph"/>
              <w:spacing w:before="57"/>
              <w:ind w:left="2" w:right="13"/>
              <w:jc w:val="center"/>
              <w:rPr>
                <w:rFonts w:ascii="Times New Roman"/>
                <w:sz w:val="21"/>
              </w:rPr>
            </w:pPr>
            <w:r>
              <w:rPr>
                <w:rFonts w:ascii="Times New Roman"/>
                <w:spacing w:val="-5"/>
                <w:sz w:val="21"/>
              </w:rPr>
              <w:t>W48</w:t>
            </w:r>
          </w:p>
        </w:tc>
        <w:tc>
          <w:tcPr>
            <w:tcW w:w="631" w:type="dxa"/>
            <w:shd w:val="clear" w:color="auto" w:fill="D9D9D9"/>
          </w:tcPr>
          <w:p>
            <w:pPr>
              <w:pStyle w:val="TableParagraph"/>
              <w:spacing w:before="57"/>
              <w:ind w:right="13"/>
              <w:jc w:val="center"/>
              <w:rPr>
                <w:rFonts w:ascii="Times New Roman"/>
                <w:sz w:val="21"/>
              </w:rPr>
            </w:pPr>
            <w:r>
              <w:rPr>
                <w:rFonts w:ascii="Times New Roman"/>
                <w:spacing w:val="-5"/>
                <w:sz w:val="21"/>
              </w:rPr>
              <w:t>W52</w:t>
            </w:r>
          </w:p>
        </w:tc>
        <w:tc>
          <w:tcPr>
            <w:tcW w:w="883" w:type="dxa"/>
            <w:shd w:val="clear" w:color="auto" w:fill="D9D9D9"/>
          </w:tcPr>
          <w:p>
            <w:pPr>
              <w:pStyle w:val="TableParagraph"/>
              <w:spacing w:before="57"/>
              <w:ind w:right="15"/>
              <w:jc w:val="center"/>
              <w:rPr>
                <w:rFonts w:ascii="Times New Roman"/>
                <w:sz w:val="21"/>
              </w:rPr>
            </w:pPr>
            <w:r>
              <w:rPr>
                <w:rFonts w:ascii="Times New Roman"/>
                <w:spacing w:val="-5"/>
                <w:sz w:val="21"/>
              </w:rPr>
              <w:t>W60</w:t>
            </w:r>
          </w:p>
        </w:tc>
        <w:tc>
          <w:tcPr>
            <w:tcW w:w="1131" w:type="dxa"/>
            <w:vMerge w:val="restart"/>
            <w:shd w:val="clear" w:color="auto" w:fill="D9D9D9"/>
          </w:tcPr>
          <w:p>
            <w:pPr>
              <w:pStyle w:val="TableParagraph"/>
              <w:spacing w:before="38"/>
              <w:ind w:left="121" w:right="139"/>
              <w:jc w:val="center"/>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w:t>
            </w:r>
            <w:r>
              <w:rPr>
                <w:spacing w:val="-14"/>
                <w:sz w:val="21"/>
              </w:rPr>
              <w:t>药后 </w:t>
            </w:r>
            <w:r>
              <w:rPr>
                <w:rFonts w:ascii="Times New Roman" w:eastAsia="Times New Roman"/>
                <w:sz w:val="21"/>
              </w:rPr>
              <w:t>12</w:t>
            </w:r>
            <w:r>
              <w:rPr>
                <w:spacing w:val="-10"/>
                <w:sz w:val="21"/>
              </w:rPr>
              <w:t>周</w:t>
            </w:r>
          </w:p>
        </w:tc>
        <w:tc>
          <w:tcPr>
            <w:tcW w:w="913" w:type="dxa"/>
            <w:vMerge/>
            <w:tcBorders>
              <w:top w:val="nil"/>
            </w:tcBorders>
            <w:shd w:val="clear" w:color="auto" w:fill="D9D9D9"/>
          </w:tcPr>
          <w:p>
            <w:pPr>
              <w:rPr>
                <w:sz w:val="2"/>
                <w:szCs w:val="2"/>
              </w:rPr>
            </w:pPr>
          </w:p>
        </w:tc>
      </w:tr>
      <w:tr>
        <w:trPr>
          <w:trHeight w:val="534" w:hRule="atLeast"/>
        </w:trPr>
        <w:tc>
          <w:tcPr>
            <w:tcW w:w="1556" w:type="dxa"/>
            <w:shd w:val="clear" w:color="auto" w:fill="D9D9D9"/>
          </w:tcPr>
          <w:p>
            <w:pPr>
              <w:pStyle w:val="TableParagraph"/>
              <w:spacing w:before="130"/>
              <w:ind w:left="8"/>
              <w:jc w:val="center"/>
              <w:rPr>
                <w:b/>
                <w:sz w:val="21"/>
              </w:rPr>
            </w:pPr>
            <w:r>
              <w:rPr>
                <w:b/>
                <w:spacing w:val="-6"/>
                <w:sz w:val="21"/>
              </w:rPr>
              <w:t>访视</w:t>
            </w:r>
          </w:p>
        </w:tc>
        <w:tc>
          <w:tcPr>
            <w:tcW w:w="1276" w:type="dxa"/>
            <w:shd w:val="clear" w:color="auto" w:fill="D9D9D9"/>
          </w:tcPr>
          <w:p>
            <w:pPr>
              <w:pStyle w:val="TableParagraph"/>
              <w:spacing w:before="147"/>
              <w:ind w:left="6"/>
              <w:jc w:val="center"/>
              <w:rPr>
                <w:rFonts w:ascii="Times New Roman"/>
                <w:sz w:val="21"/>
              </w:rPr>
            </w:pPr>
            <w:r>
              <w:rPr>
                <w:rFonts w:ascii="Times New Roman"/>
                <w:spacing w:val="-5"/>
                <w:sz w:val="21"/>
              </w:rPr>
              <w:t>V1</w:t>
            </w:r>
          </w:p>
        </w:tc>
        <w:tc>
          <w:tcPr>
            <w:tcW w:w="632" w:type="dxa"/>
            <w:shd w:val="clear" w:color="auto" w:fill="D9D9D9"/>
          </w:tcPr>
          <w:p>
            <w:pPr>
              <w:pStyle w:val="TableParagraph"/>
              <w:spacing w:before="147"/>
              <w:ind w:left="7" w:right="1"/>
              <w:jc w:val="center"/>
              <w:rPr>
                <w:rFonts w:ascii="Times New Roman"/>
                <w:sz w:val="21"/>
              </w:rPr>
            </w:pPr>
            <w:r>
              <w:rPr>
                <w:rFonts w:ascii="Times New Roman"/>
                <w:spacing w:val="-5"/>
                <w:sz w:val="21"/>
              </w:rPr>
              <w:t>V2</w:t>
            </w:r>
          </w:p>
        </w:tc>
        <w:tc>
          <w:tcPr>
            <w:tcW w:w="632" w:type="dxa"/>
            <w:shd w:val="clear" w:color="auto" w:fill="D9D9D9"/>
          </w:tcPr>
          <w:p>
            <w:pPr>
              <w:pStyle w:val="TableParagraph"/>
              <w:spacing w:before="147"/>
              <w:ind w:left="7" w:right="3"/>
              <w:jc w:val="center"/>
              <w:rPr>
                <w:rFonts w:ascii="Times New Roman"/>
                <w:sz w:val="21"/>
              </w:rPr>
            </w:pPr>
            <w:r>
              <w:rPr>
                <w:rFonts w:ascii="Times New Roman"/>
                <w:spacing w:val="-5"/>
                <w:sz w:val="21"/>
              </w:rPr>
              <w:t>V3</w:t>
            </w:r>
          </w:p>
        </w:tc>
        <w:tc>
          <w:tcPr>
            <w:tcW w:w="632" w:type="dxa"/>
            <w:shd w:val="clear" w:color="auto" w:fill="D9D9D9"/>
          </w:tcPr>
          <w:p>
            <w:pPr>
              <w:pStyle w:val="TableParagraph"/>
              <w:spacing w:before="147"/>
              <w:ind w:left="7" w:right="4"/>
              <w:jc w:val="center"/>
              <w:rPr>
                <w:rFonts w:ascii="Times New Roman"/>
                <w:sz w:val="21"/>
              </w:rPr>
            </w:pPr>
            <w:r>
              <w:rPr>
                <w:rFonts w:ascii="Times New Roman"/>
                <w:spacing w:val="-5"/>
                <w:sz w:val="21"/>
              </w:rPr>
              <w:t>V4</w:t>
            </w:r>
          </w:p>
        </w:tc>
        <w:tc>
          <w:tcPr>
            <w:tcW w:w="632" w:type="dxa"/>
            <w:shd w:val="clear" w:color="auto" w:fill="D9D9D9"/>
          </w:tcPr>
          <w:p>
            <w:pPr>
              <w:pStyle w:val="TableParagraph"/>
              <w:spacing w:before="147"/>
              <w:ind w:left="7" w:right="6"/>
              <w:jc w:val="center"/>
              <w:rPr>
                <w:rFonts w:ascii="Times New Roman"/>
                <w:sz w:val="21"/>
              </w:rPr>
            </w:pPr>
            <w:r>
              <w:rPr>
                <w:rFonts w:ascii="Times New Roman"/>
                <w:spacing w:val="-5"/>
                <w:sz w:val="21"/>
              </w:rPr>
              <w:t>V5</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V6</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V7</w:t>
            </w:r>
          </w:p>
        </w:tc>
        <w:tc>
          <w:tcPr>
            <w:tcW w:w="631" w:type="dxa"/>
            <w:shd w:val="clear" w:color="auto" w:fill="D9D9D9"/>
          </w:tcPr>
          <w:p>
            <w:pPr>
              <w:pStyle w:val="TableParagraph"/>
              <w:spacing w:before="147"/>
              <w:ind w:left="11" w:right="13"/>
              <w:jc w:val="center"/>
              <w:rPr>
                <w:rFonts w:ascii="Times New Roman"/>
                <w:sz w:val="21"/>
              </w:rPr>
            </w:pPr>
            <w:r>
              <w:rPr>
                <w:rFonts w:ascii="Times New Roman"/>
                <w:spacing w:val="-5"/>
                <w:sz w:val="21"/>
              </w:rPr>
              <w:t>V8</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V9</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V10</w:t>
            </w:r>
          </w:p>
        </w:tc>
        <w:tc>
          <w:tcPr>
            <w:tcW w:w="631" w:type="dxa"/>
            <w:shd w:val="clear" w:color="auto" w:fill="D9D9D9"/>
          </w:tcPr>
          <w:p>
            <w:pPr>
              <w:pStyle w:val="TableParagraph"/>
              <w:spacing w:before="147"/>
              <w:ind w:left="7" w:right="13"/>
              <w:jc w:val="center"/>
              <w:rPr>
                <w:rFonts w:ascii="Times New Roman"/>
                <w:sz w:val="21"/>
              </w:rPr>
            </w:pPr>
            <w:r>
              <w:rPr>
                <w:rFonts w:ascii="Times New Roman"/>
                <w:spacing w:val="-5"/>
                <w:sz w:val="21"/>
              </w:rPr>
              <w:t>V11</w:t>
            </w:r>
          </w:p>
        </w:tc>
        <w:tc>
          <w:tcPr>
            <w:tcW w:w="631" w:type="dxa"/>
            <w:shd w:val="clear" w:color="auto" w:fill="D9D9D9"/>
          </w:tcPr>
          <w:p>
            <w:pPr>
              <w:pStyle w:val="TableParagraph"/>
              <w:spacing w:before="147"/>
              <w:ind w:left="5" w:right="13"/>
              <w:jc w:val="center"/>
              <w:rPr>
                <w:rFonts w:ascii="Times New Roman"/>
                <w:sz w:val="21"/>
              </w:rPr>
            </w:pPr>
            <w:r>
              <w:rPr>
                <w:rFonts w:ascii="Times New Roman"/>
                <w:spacing w:val="-5"/>
                <w:sz w:val="21"/>
              </w:rPr>
              <w:t>V12</w:t>
            </w:r>
          </w:p>
        </w:tc>
        <w:tc>
          <w:tcPr>
            <w:tcW w:w="631" w:type="dxa"/>
            <w:shd w:val="clear" w:color="auto" w:fill="D9D9D9"/>
          </w:tcPr>
          <w:p>
            <w:pPr>
              <w:pStyle w:val="TableParagraph"/>
              <w:spacing w:before="147"/>
              <w:ind w:left="3" w:right="13"/>
              <w:jc w:val="center"/>
              <w:rPr>
                <w:rFonts w:ascii="Times New Roman"/>
                <w:sz w:val="21"/>
              </w:rPr>
            </w:pPr>
            <w:r>
              <w:rPr>
                <w:rFonts w:ascii="Times New Roman"/>
                <w:spacing w:val="-5"/>
                <w:sz w:val="21"/>
              </w:rPr>
              <w:t>V13</w:t>
            </w:r>
          </w:p>
        </w:tc>
        <w:tc>
          <w:tcPr>
            <w:tcW w:w="631" w:type="dxa"/>
            <w:shd w:val="clear" w:color="auto" w:fill="D9D9D9"/>
          </w:tcPr>
          <w:p>
            <w:pPr>
              <w:pStyle w:val="TableParagraph"/>
              <w:spacing w:before="147"/>
              <w:ind w:left="1" w:right="13"/>
              <w:jc w:val="center"/>
              <w:rPr>
                <w:rFonts w:ascii="Times New Roman"/>
                <w:sz w:val="21"/>
              </w:rPr>
            </w:pPr>
            <w:r>
              <w:rPr>
                <w:rFonts w:ascii="Times New Roman"/>
                <w:spacing w:val="-5"/>
                <w:sz w:val="21"/>
              </w:rPr>
              <w:t>V14</w:t>
            </w:r>
          </w:p>
        </w:tc>
        <w:tc>
          <w:tcPr>
            <w:tcW w:w="883" w:type="dxa"/>
            <w:shd w:val="clear" w:color="auto" w:fill="D9D9D9"/>
          </w:tcPr>
          <w:p>
            <w:pPr>
              <w:pStyle w:val="TableParagraph"/>
              <w:spacing w:before="147"/>
              <w:ind w:left="1" w:right="15"/>
              <w:jc w:val="center"/>
              <w:rPr>
                <w:rFonts w:ascii="Times New Roman"/>
                <w:sz w:val="21"/>
              </w:rPr>
            </w:pPr>
            <w:r>
              <w:rPr>
                <w:rFonts w:ascii="Times New Roman"/>
                <w:spacing w:val="-5"/>
                <w:sz w:val="21"/>
              </w:rPr>
              <w:t>V15</w:t>
            </w:r>
          </w:p>
        </w:tc>
        <w:tc>
          <w:tcPr>
            <w:tcW w:w="1131" w:type="dxa"/>
            <w:vMerge/>
            <w:tcBorders>
              <w:top w:val="nil"/>
            </w:tcBorders>
            <w:shd w:val="clear" w:color="auto" w:fill="D9D9D9"/>
          </w:tcPr>
          <w:p>
            <w:pPr>
              <w:rPr>
                <w:sz w:val="2"/>
                <w:szCs w:val="2"/>
              </w:rPr>
            </w:pPr>
          </w:p>
        </w:tc>
        <w:tc>
          <w:tcPr>
            <w:tcW w:w="913" w:type="dxa"/>
            <w:vMerge/>
            <w:tcBorders>
              <w:top w:val="nil"/>
            </w:tcBorders>
            <w:shd w:val="clear" w:color="auto" w:fill="D9D9D9"/>
          </w:tcPr>
          <w:p>
            <w:pPr>
              <w:rPr>
                <w:sz w:val="2"/>
                <w:szCs w:val="2"/>
              </w:rPr>
            </w:pPr>
          </w:p>
        </w:tc>
      </w:tr>
      <w:tr>
        <w:trPr>
          <w:trHeight w:val="624" w:hRule="atLeast"/>
        </w:trPr>
        <w:tc>
          <w:tcPr>
            <w:tcW w:w="1556" w:type="dxa"/>
            <w:shd w:val="clear" w:color="auto" w:fill="D9D9D9"/>
          </w:tcPr>
          <w:p>
            <w:pPr>
              <w:pStyle w:val="TableParagraph"/>
              <w:spacing w:line="273" w:lineRule="exact" w:before="38"/>
              <w:ind w:left="155"/>
              <w:rPr>
                <w:rFonts w:ascii="Times New Roman" w:eastAsia="Times New Roman"/>
                <w:b/>
                <w:sz w:val="21"/>
              </w:rPr>
            </w:pPr>
            <w:r>
              <w:rPr>
                <w:b/>
                <w:spacing w:val="-19"/>
                <w:sz w:val="21"/>
              </w:rPr>
              <w:t>可选 </w:t>
            </w:r>
            <w:r>
              <w:rPr>
                <w:rFonts w:ascii="Times New Roman" w:eastAsia="Times New Roman"/>
                <w:b/>
                <w:spacing w:val="-2"/>
                <w:sz w:val="21"/>
              </w:rPr>
              <w:t>Telemed</w:t>
            </w:r>
          </w:p>
          <w:p>
            <w:pPr>
              <w:pStyle w:val="TableParagraph"/>
              <w:spacing w:line="273" w:lineRule="exact"/>
              <w:ind w:left="232"/>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spacing w:before="192"/>
              <w:ind w:left="7" w:right="6"/>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12"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11"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7"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3"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szCs w:val="2"/>
              </w:rPr>
            </w:pPr>
          </w:p>
        </w:tc>
      </w:tr>
      <w:tr>
        <w:trPr>
          <w:trHeight w:val="897" w:hRule="atLeast"/>
        </w:trPr>
        <w:tc>
          <w:tcPr>
            <w:tcW w:w="1556" w:type="dxa"/>
          </w:tcPr>
          <w:p>
            <w:pPr>
              <w:pStyle w:val="TableParagraph"/>
              <w:spacing w:before="37"/>
              <w:rPr>
                <w:b/>
                <w:sz w:val="21"/>
              </w:rPr>
            </w:pPr>
          </w:p>
          <w:p>
            <w:pPr>
              <w:pStyle w:val="TableParagraph"/>
              <w:ind w:left="460"/>
              <w:rPr>
                <w:b/>
                <w:sz w:val="21"/>
              </w:rPr>
            </w:pPr>
            <w:r>
              <w:rPr>
                <w:b/>
                <w:spacing w:val="-5"/>
                <w:sz w:val="21"/>
              </w:rPr>
              <w:t>访视窗</w:t>
            </w:r>
          </w:p>
        </w:tc>
        <w:tc>
          <w:tcPr>
            <w:tcW w:w="1276" w:type="dxa"/>
          </w:tcPr>
          <w:p>
            <w:pPr>
              <w:pStyle w:val="TableParagraph"/>
              <w:spacing w:before="36"/>
              <w:ind w:left="112" w:right="101"/>
              <w:jc w:val="center"/>
              <w:rPr>
                <w:rFonts w:ascii="Times New Roman" w:eastAsia="Times New Roman"/>
                <w:sz w:val="21"/>
              </w:rPr>
            </w:pPr>
            <w:r>
              <w:rPr>
                <w:spacing w:val="-2"/>
                <w:sz w:val="21"/>
              </w:rPr>
              <w:t>与前身研究 </w:t>
            </w:r>
            <w:r>
              <w:rPr>
                <w:rFonts w:ascii="Times New Roman" w:eastAsia="Times New Roman"/>
                <w:sz w:val="21"/>
              </w:rPr>
              <w:t>V15</w:t>
            </w:r>
            <w:r>
              <w:rPr>
                <w:rFonts w:ascii="Times New Roman" w:eastAsia="Times New Roman"/>
                <w:spacing w:val="-14"/>
                <w:sz w:val="21"/>
              </w:rPr>
              <w:t> </w:t>
            </w:r>
            <w:r>
              <w:rPr>
                <w:sz w:val="21"/>
              </w:rPr>
              <w:t>同一天</w:t>
            </w:r>
            <w:r>
              <w:rPr>
                <w:spacing w:val="-15"/>
                <w:sz w:val="21"/>
              </w:rPr>
              <w:t>进行 </w:t>
            </w:r>
            <w:r>
              <w:rPr>
                <w:rFonts w:ascii="Times New Roman" w:eastAsia="Times New Roman"/>
                <w:sz w:val="21"/>
                <w:vertAlign w:val="superscript"/>
              </w:rPr>
              <w:t>b</w:t>
            </w:r>
          </w:p>
        </w:tc>
        <w:tc>
          <w:tcPr>
            <w:tcW w:w="9090" w:type="dxa"/>
            <w:gridSpan w:val="14"/>
          </w:tcPr>
          <w:p>
            <w:pPr>
              <w:pStyle w:val="TableParagraph"/>
              <w:spacing w:before="37"/>
              <w:rPr>
                <w:b/>
                <w:sz w:val="21"/>
              </w:rPr>
            </w:pPr>
          </w:p>
          <w:p>
            <w:pPr>
              <w:pStyle w:val="TableParagraph"/>
              <w:ind w:right="4"/>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131" w:type="dxa"/>
          </w:tcPr>
          <w:p>
            <w:pPr>
              <w:pStyle w:val="TableParagraph"/>
              <w:spacing w:before="37"/>
              <w:rPr>
                <w:b/>
                <w:sz w:val="21"/>
              </w:rPr>
            </w:pPr>
          </w:p>
          <w:p>
            <w:pPr>
              <w:pStyle w:val="TableParagraph"/>
              <w:ind w:right="15"/>
              <w:jc w:val="center"/>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913" w:type="dxa"/>
            <w:vMerge/>
            <w:tcBorders>
              <w:top w:val="nil"/>
            </w:tcBorders>
            <w:shd w:val="clear" w:color="auto" w:fill="D9D9D9"/>
          </w:tcPr>
          <w:p>
            <w:pPr>
              <w:rPr>
                <w:sz w:val="2"/>
                <w:szCs w:val="2"/>
              </w:rPr>
            </w:pPr>
          </w:p>
        </w:tc>
      </w:tr>
      <w:tr>
        <w:trPr>
          <w:trHeight w:val="393" w:hRule="atLeast"/>
        </w:trPr>
        <w:tc>
          <w:tcPr>
            <w:tcW w:w="13966" w:type="dxa"/>
            <w:gridSpan w:val="18"/>
            <w:shd w:val="clear" w:color="auto" w:fill="D9D9D9"/>
          </w:tcPr>
          <w:p>
            <w:pPr>
              <w:pStyle w:val="TableParagraph"/>
              <w:spacing w:before="38"/>
              <w:ind w:left="107"/>
              <w:rPr>
                <w:b/>
                <w:sz w:val="21"/>
              </w:rPr>
            </w:pPr>
            <w:r>
              <w:rPr>
                <w:b/>
                <w:spacing w:val="-4"/>
                <w:sz w:val="21"/>
              </w:rPr>
              <w:t>安全性评估</w:t>
            </w:r>
          </w:p>
        </w:tc>
      </w:tr>
      <w:tr>
        <w:trPr>
          <w:trHeight w:val="624" w:hRule="atLeast"/>
        </w:trPr>
        <w:tc>
          <w:tcPr>
            <w:tcW w:w="1556" w:type="dxa"/>
          </w:tcPr>
          <w:p>
            <w:pPr>
              <w:pStyle w:val="TableParagraph"/>
              <w:spacing w:before="174"/>
              <w:ind w:left="107"/>
              <w:rPr>
                <w:rFonts w:ascii="Times New Roman" w:eastAsia="Times New Roman"/>
                <w:sz w:val="21"/>
              </w:rPr>
            </w:pPr>
            <w:r>
              <w:rPr>
                <w:rFonts w:ascii="Times New Roman" w:eastAsia="Times New Roman"/>
                <w:sz w:val="21"/>
              </w:rPr>
              <w:t>12</w:t>
            </w:r>
            <w:r>
              <w:rPr>
                <w:rFonts w:ascii="Times New Roman" w:eastAsia="Times New Roman"/>
                <w:spacing w:val="-10"/>
                <w:sz w:val="21"/>
              </w:rPr>
              <w:t> </w:t>
            </w:r>
            <w:r>
              <w:rPr>
                <w:spacing w:val="-18"/>
                <w:sz w:val="21"/>
              </w:rPr>
              <w:t>导联 </w:t>
            </w:r>
            <w:r>
              <w:rPr>
                <w:rFonts w:ascii="Times New Roman" w:eastAsia="Times New Roman"/>
                <w:spacing w:val="-5"/>
                <w:sz w:val="21"/>
              </w:rPr>
              <w:t>ECG</w:t>
            </w:r>
          </w:p>
        </w:tc>
        <w:tc>
          <w:tcPr>
            <w:tcW w:w="1276" w:type="dxa"/>
          </w:tcPr>
          <w:p>
            <w:pPr>
              <w:pStyle w:val="TableParagraph"/>
              <w:spacing w:before="36"/>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before="1"/>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89">
              <w:r>
                <w:rPr>
                  <w:rFonts w:ascii="Times New Roman"/>
                  <w:color w:val="0000FF"/>
                  <w:spacing w:val="-2"/>
                  <w:sz w:val="21"/>
                </w:rPr>
                <w:t>8.2.4</w:t>
              </w:r>
            </w:hyperlink>
          </w:p>
        </w:tc>
      </w:tr>
      <w:tr>
        <w:trPr>
          <w:trHeight w:val="624" w:hRule="atLeast"/>
        </w:trPr>
        <w:tc>
          <w:tcPr>
            <w:tcW w:w="1556" w:type="dxa"/>
          </w:tcPr>
          <w:p>
            <w:pPr>
              <w:pStyle w:val="TableParagraph"/>
              <w:spacing w:before="174"/>
              <w:ind w:left="107"/>
              <w:rPr>
                <w:sz w:val="21"/>
              </w:rPr>
            </w:pPr>
            <w:r>
              <w:rPr>
                <w:spacing w:val="-3"/>
                <w:sz w:val="21"/>
              </w:rPr>
              <w:t>生命体征</w:t>
            </w:r>
          </w:p>
        </w:tc>
        <w:tc>
          <w:tcPr>
            <w:tcW w:w="1276" w:type="dxa"/>
          </w:tcPr>
          <w:p>
            <w:pPr>
              <w:pStyle w:val="TableParagraph"/>
              <w:spacing w:before="36"/>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before="1"/>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spacing w:before="192"/>
              <w:ind w:left="7"/>
              <w:jc w:val="center"/>
              <w:rPr>
                <w:rFonts w:ascii="Times New Roman"/>
                <w:sz w:val="21"/>
              </w:rPr>
            </w:pPr>
            <w:r>
              <w:rPr>
                <w:rFonts w:ascii="Times New Roman"/>
                <w:spacing w:val="-10"/>
                <w:sz w:val="21"/>
              </w:rPr>
              <w:t>X</w:t>
            </w:r>
          </w:p>
        </w:tc>
        <w:tc>
          <w:tcPr>
            <w:tcW w:w="632" w:type="dxa"/>
          </w:tcPr>
          <w:p>
            <w:pPr>
              <w:pStyle w:val="TableParagraph"/>
              <w:spacing w:before="192"/>
              <w:ind w:left="7" w:right="1"/>
              <w:jc w:val="center"/>
              <w:rPr>
                <w:rFonts w:ascii="Times New Roman"/>
                <w:sz w:val="21"/>
              </w:rPr>
            </w:pPr>
            <w:r>
              <w:rPr>
                <w:rFonts w:ascii="Times New Roman"/>
                <w:spacing w:val="-10"/>
                <w:sz w:val="21"/>
              </w:rPr>
              <w:t>X</w:t>
            </w: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spacing w:before="192"/>
              <w:ind w:left="13"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8"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left="4"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88">
              <w:r>
                <w:rPr>
                  <w:rFonts w:ascii="Times New Roman"/>
                  <w:color w:val="0000FF"/>
                  <w:spacing w:val="-2"/>
                  <w:sz w:val="21"/>
                </w:rPr>
                <w:t>8.2.3</w:t>
              </w:r>
            </w:hyperlink>
          </w:p>
        </w:tc>
      </w:tr>
      <w:tr>
        <w:trPr>
          <w:trHeight w:val="625" w:hRule="atLeast"/>
        </w:trPr>
        <w:tc>
          <w:tcPr>
            <w:tcW w:w="1556" w:type="dxa"/>
          </w:tcPr>
          <w:p>
            <w:pPr>
              <w:pStyle w:val="TableParagraph"/>
              <w:spacing w:before="191"/>
              <w:ind w:left="107"/>
              <w:rPr>
                <w:rFonts w:ascii="Times New Roman"/>
                <w:sz w:val="21"/>
              </w:rPr>
            </w:pPr>
            <w:r>
              <w:rPr>
                <w:rFonts w:ascii="Times New Roman"/>
                <w:spacing w:val="-4"/>
                <w:sz w:val="21"/>
              </w:rPr>
              <w:t>SpO</w:t>
            </w:r>
            <w:r>
              <w:rPr>
                <w:rFonts w:ascii="Times New Roman"/>
                <w:spacing w:val="-4"/>
                <w:sz w:val="21"/>
                <w:vertAlign w:val="subscript"/>
              </w:rPr>
              <w:t>2</w:t>
            </w:r>
          </w:p>
        </w:tc>
        <w:tc>
          <w:tcPr>
            <w:tcW w:w="1276" w:type="dxa"/>
          </w:tcPr>
          <w:p>
            <w:pPr>
              <w:pStyle w:val="TableParagraph"/>
              <w:spacing w:line="273" w:lineRule="exact" w:before="36"/>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spacing w:before="191"/>
              <w:ind w:left="7"/>
              <w:jc w:val="center"/>
              <w:rPr>
                <w:rFonts w:ascii="Times New Roman"/>
                <w:sz w:val="21"/>
              </w:rPr>
            </w:pPr>
            <w:r>
              <w:rPr>
                <w:rFonts w:ascii="Times New Roman"/>
                <w:spacing w:val="-10"/>
                <w:sz w:val="21"/>
              </w:rPr>
              <w:t>X</w:t>
            </w:r>
          </w:p>
        </w:tc>
        <w:tc>
          <w:tcPr>
            <w:tcW w:w="632" w:type="dxa"/>
          </w:tcPr>
          <w:p>
            <w:pPr>
              <w:pStyle w:val="TableParagraph"/>
              <w:spacing w:before="191"/>
              <w:ind w:left="7" w:right="1"/>
              <w:jc w:val="center"/>
              <w:rPr>
                <w:rFonts w:ascii="Times New Roman"/>
                <w:sz w:val="21"/>
              </w:rPr>
            </w:pPr>
            <w:r>
              <w:rPr>
                <w:rFonts w:ascii="Times New Roman"/>
                <w:spacing w:val="-10"/>
                <w:sz w:val="21"/>
              </w:rPr>
              <w:t>X</w:t>
            </w:r>
          </w:p>
        </w:tc>
        <w:tc>
          <w:tcPr>
            <w:tcW w:w="632" w:type="dxa"/>
          </w:tcPr>
          <w:p>
            <w:pPr>
              <w:pStyle w:val="TableParagraph"/>
              <w:spacing w:before="191"/>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1"/>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1"/>
              <w:ind w:left="8"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1"/>
              <w:ind w:left="4"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spacing w:before="191"/>
              <w:ind w:right="13"/>
              <w:jc w:val="center"/>
              <w:rPr>
                <w:rFonts w:ascii="Times New Roman"/>
                <w:sz w:val="21"/>
              </w:rPr>
            </w:pPr>
            <w:r>
              <w:rPr>
                <w:rFonts w:ascii="Times New Roman"/>
                <w:spacing w:val="-10"/>
                <w:sz w:val="21"/>
              </w:rPr>
              <w:t>X</w:t>
            </w:r>
          </w:p>
        </w:tc>
        <w:tc>
          <w:tcPr>
            <w:tcW w:w="883" w:type="dxa"/>
          </w:tcPr>
          <w:p>
            <w:pPr>
              <w:pStyle w:val="TableParagraph"/>
              <w:spacing w:before="191"/>
              <w:ind w:right="15"/>
              <w:jc w:val="center"/>
              <w:rPr>
                <w:rFonts w:ascii="Times New Roman"/>
                <w:sz w:val="21"/>
              </w:rPr>
            </w:pPr>
            <w:r>
              <w:rPr>
                <w:rFonts w:ascii="Times New Roman"/>
                <w:spacing w:val="-10"/>
                <w:sz w:val="21"/>
              </w:rPr>
              <w:t>X</w:t>
            </w:r>
          </w:p>
        </w:tc>
        <w:tc>
          <w:tcPr>
            <w:tcW w:w="1131" w:type="dxa"/>
          </w:tcPr>
          <w:p>
            <w:pPr>
              <w:pStyle w:val="TableParagraph"/>
              <w:spacing w:before="191"/>
              <w:ind w:right="14"/>
              <w:jc w:val="center"/>
              <w:rPr>
                <w:rFonts w:ascii="Times New Roman"/>
                <w:sz w:val="21"/>
              </w:rPr>
            </w:pPr>
            <w:r>
              <w:rPr>
                <w:rFonts w:ascii="Times New Roman"/>
                <w:spacing w:val="-10"/>
                <w:sz w:val="21"/>
              </w:rPr>
              <w:t>X</w:t>
            </w:r>
          </w:p>
        </w:tc>
        <w:tc>
          <w:tcPr>
            <w:tcW w:w="913" w:type="dxa"/>
          </w:tcPr>
          <w:p>
            <w:pPr>
              <w:pStyle w:val="TableParagraph"/>
              <w:spacing w:before="191"/>
              <w:ind w:left="2" w:right="20"/>
              <w:jc w:val="center"/>
              <w:rPr>
                <w:rFonts w:ascii="Times New Roman"/>
                <w:sz w:val="21"/>
              </w:rPr>
            </w:pPr>
            <w:hyperlink w:history="true" w:anchor="_bookmark88">
              <w:r>
                <w:rPr>
                  <w:rFonts w:ascii="Times New Roman"/>
                  <w:color w:val="0000FF"/>
                  <w:spacing w:val="-2"/>
                  <w:sz w:val="21"/>
                </w:rPr>
                <w:t>8.2.3</w:t>
              </w:r>
            </w:hyperlink>
          </w:p>
        </w:tc>
      </w:tr>
      <w:tr>
        <w:trPr>
          <w:trHeight w:val="624" w:hRule="atLeast"/>
        </w:trPr>
        <w:tc>
          <w:tcPr>
            <w:tcW w:w="1556" w:type="dxa"/>
          </w:tcPr>
          <w:p>
            <w:pPr>
              <w:pStyle w:val="TableParagraph"/>
              <w:spacing w:before="174"/>
              <w:ind w:left="107"/>
              <w:rPr>
                <w:rFonts w:ascii="Times New Roman" w:eastAsia="Times New Roman"/>
                <w:sz w:val="21"/>
              </w:rPr>
            </w:pPr>
            <w:r>
              <w:rPr>
                <w:rFonts w:ascii="Times New Roman" w:eastAsia="Times New Roman"/>
                <w:spacing w:val="-2"/>
                <w:sz w:val="21"/>
              </w:rPr>
              <w:t>AE</w:t>
            </w:r>
            <w:r>
              <w:rPr>
                <w:spacing w:val="-2"/>
                <w:sz w:val="21"/>
              </w:rPr>
              <w:t>、</w:t>
            </w:r>
            <w:r>
              <w:rPr>
                <w:rFonts w:ascii="Times New Roman" w:eastAsia="Times New Roman"/>
                <w:spacing w:val="-5"/>
                <w:sz w:val="21"/>
              </w:rPr>
              <w:t>SAE</w:t>
            </w:r>
          </w:p>
        </w:tc>
        <w:tc>
          <w:tcPr>
            <w:tcW w:w="1276" w:type="dxa"/>
          </w:tcPr>
          <w:p>
            <w:pPr>
              <w:pStyle w:val="TableParagraph"/>
              <w:spacing w:line="273" w:lineRule="exact" w:before="36"/>
              <w:ind w:right="94"/>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e</w:t>
            </w:r>
          </w:p>
          <w:p>
            <w:pPr>
              <w:pStyle w:val="TableParagraph"/>
              <w:spacing w:line="273" w:lineRule="exact"/>
              <w:ind w:right="95"/>
              <w:jc w:val="center"/>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632" w:type="dxa"/>
          </w:tcPr>
          <w:p>
            <w:pPr>
              <w:pStyle w:val="TableParagraph"/>
              <w:spacing w:before="191"/>
              <w:ind w:left="7"/>
              <w:jc w:val="center"/>
              <w:rPr>
                <w:rFonts w:ascii="Times New Roman"/>
                <w:sz w:val="21"/>
              </w:rPr>
            </w:pPr>
            <w:r>
              <w:rPr>
                <w:rFonts w:ascii="Times New Roman"/>
                <w:spacing w:val="-10"/>
                <w:sz w:val="21"/>
              </w:rPr>
              <w:t>X</w:t>
            </w:r>
          </w:p>
        </w:tc>
        <w:tc>
          <w:tcPr>
            <w:tcW w:w="632" w:type="dxa"/>
          </w:tcPr>
          <w:p>
            <w:pPr>
              <w:pStyle w:val="TableParagraph"/>
              <w:spacing w:before="191"/>
              <w:ind w:left="7" w:right="1"/>
              <w:jc w:val="center"/>
              <w:rPr>
                <w:rFonts w:ascii="Times New Roman"/>
                <w:sz w:val="21"/>
              </w:rPr>
            </w:pPr>
            <w:r>
              <w:rPr>
                <w:rFonts w:ascii="Times New Roman"/>
                <w:spacing w:val="-10"/>
                <w:sz w:val="21"/>
              </w:rPr>
              <w:t>X</w:t>
            </w:r>
          </w:p>
        </w:tc>
        <w:tc>
          <w:tcPr>
            <w:tcW w:w="632" w:type="dxa"/>
          </w:tcPr>
          <w:p>
            <w:pPr>
              <w:pStyle w:val="TableParagraph"/>
              <w:spacing w:before="191"/>
              <w:ind w:left="7" w:right="3"/>
              <w:jc w:val="center"/>
              <w:rPr>
                <w:rFonts w:ascii="Times New Roman"/>
                <w:sz w:val="21"/>
              </w:rPr>
            </w:pPr>
            <w:r>
              <w:rPr>
                <w:rFonts w:ascii="Times New Roman"/>
                <w:spacing w:val="-10"/>
                <w:sz w:val="21"/>
              </w:rPr>
              <w:t>X</w:t>
            </w:r>
          </w:p>
        </w:tc>
        <w:tc>
          <w:tcPr>
            <w:tcW w:w="632" w:type="dxa"/>
          </w:tcPr>
          <w:p>
            <w:pPr>
              <w:pStyle w:val="TableParagraph"/>
              <w:spacing w:before="191"/>
              <w:ind w:left="7" w:right="5"/>
              <w:jc w:val="center"/>
              <w:rPr>
                <w:rFonts w:ascii="Times New Roman"/>
                <w:sz w:val="21"/>
              </w:rPr>
            </w:pPr>
            <w:r>
              <w:rPr>
                <w:rFonts w:ascii="Times New Roman"/>
                <w:spacing w:val="-10"/>
                <w:sz w:val="21"/>
              </w:rPr>
              <w:t>X</w:t>
            </w: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spacing w:before="191"/>
              <w:ind w:left="13" w:right="13"/>
              <w:jc w:val="center"/>
              <w:rPr>
                <w:rFonts w:ascii="Times New Roman"/>
                <w:sz w:val="21"/>
              </w:rPr>
            </w:pPr>
            <w:r>
              <w:rPr>
                <w:rFonts w:ascii="Times New Roman"/>
                <w:spacing w:val="-10"/>
                <w:sz w:val="21"/>
              </w:rPr>
              <w:t>X</w:t>
            </w:r>
          </w:p>
        </w:tc>
        <w:tc>
          <w:tcPr>
            <w:tcW w:w="631" w:type="dxa"/>
          </w:tcPr>
          <w:p>
            <w:pPr>
              <w:pStyle w:val="TableParagraph"/>
              <w:spacing w:before="191"/>
              <w:ind w:left="12" w:right="13"/>
              <w:jc w:val="center"/>
              <w:rPr>
                <w:rFonts w:ascii="Times New Roman"/>
                <w:sz w:val="21"/>
              </w:rPr>
            </w:pPr>
            <w:r>
              <w:rPr>
                <w:rFonts w:ascii="Times New Roman"/>
                <w:spacing w:val="-10"/>
                <w:sz w:val="21"/>
              </w:rPr>
              <w:t>X</w:t>
            </w:r>
          </w:p>
        </w:tc>
        <w:tc>
          <w:tcPr>
            <w:tcW w:w="631" w:type="dxa"/>
          </w:tcPr>
          <w:p>
            <w:pPr>
              <w:pStyle w:val="TableParagraph"/>
              <w:spacing w:before="191"/>
              <w:ind w:left="10" w:right="13"/>
              <w:jc w:val="center"/>
              <w:rPr>
                <w:rFonts w:ascii="Times New Roman"/>
                <w:sz w:val="21"/>
              </w:rPr>
            </w:pPr>
            <w:r>
              <w:rPr>
                <w:rFonts w:ascii="Times New Roman"/>
                <w:spacing w:val="-10"/>
                <w:sz w:val="21"/>
              </w:rPr>
              <w:t>X</w:t>
            </w:r>
          </w:p>
        </w:tc>
        <w:tc>
          <w:tcPr>
            <w:tcW w:w="631" w:type="dxa"/>
          </w:tcPr>
          <w:p>
            <w:pPr>
              <w:pStyle w:val="TableParagraph"/>
              <w:spacing w:before="191"/>
              <w:ind w:left="8" w:right="13"/>
              <w:jc w:val="center"/>
              <w:rPr>
                <w:rFonts w:ascii="Times New Roman"/>
                <w:sz w:val="21"/>
              </w:rPr>
            </w:pPr>
            <w:r>
              <w:rPr>
                <w:rFonts w:ascii="Times New Roman"/>
                <w:spacing w:val="-10"/>
                <w:sz w:val="21"/>
              </w:rPr>
              <w:t>X</w:t>
            </w:r>
          </w:p>
        </w:tc>
        <w:tc>
          <w:tcPr>
            <w:tcW w:w="631" w:type="dxa"/>
          </w:tcPr>
          <w:p>
            <w:pPr>
              <w:pStyle w:val="TableParagraph"/>
              <w:spacing w:before="191"/>
              <w:ind w:left="6" w:right="13"/>
              <w:jc w:val="center"/>
              <w:rPr>
                <w:rFonts w:ascii="Times New Roman"/>
                <w:sz w:val="21"/>
              </w:rPr>
            </w:pPr>
            <w:r>
              <w:rPr>
                <w:rFonts w:ascii="Times New Roman"/>
                <w:spacing w:val="-10"/>
                <w:sz w:val="21"/>
              </w:rPr>
              <w:t>X</w:t>
            </w:r>
          </w:p>
        </w:tc>
        <w:tc>
          <w:tcPr>
            <w:tcW w:w="631" w:type="dxa"/>
          </w:tcPr>
          <w:p>
            <w:pPr>
              <w:pStyle w:val="TableParagraph"/>
              <w:spacing w:before="191"/>
              <w:ind w:left="4" w:right="13"/>
              <w:jc w:val="center"/>
              <w:rPr>
                <w:rFonts w:ascii="Times New Roman"/>
                <w:sz w:val="21"/>
              </w:rPr>
            </w:pPr>
            <w:r>
              <w:rPr>
                <w:rFonts w:ascii="Times New Roman"/>
                <w:spacing w:val="-10"/>
                <w:sz w:val="21"/>
              </w:rPr>
              <w:t>X</w:t>
            </w:r>
          </w:p>
        </w:tc>
        <w:tc>
          <w:tcPr>
            <w:tcW w:w="631" w:type="dxa"/>
          </w:tcPr>
          <w:p>
            <w:pPr>
              <w:pStyle w:val="TableParagraph"/>
              <w:spacing w:before="191"/>
              <w:ind w:left="2" w:right="13"/>
              <w:jc w:val="center"/>
              <w:rPr>
                <w:rFonts w:ascii="Times New Roman"/>
                <w:sz w:val="21"/>
              </w:rPr>
            </w:pPr>
            <w:r>
              <w:rPr>
                <w:rFonts w:ascii="Times New Roman"/>
                <w:spacing w:val="-10"/>
                <w:sz w:val="21"/>
              </w:rPr>
              <w:t>X</w:t>
            </w:r>
          </w:p>
        </w:tc>
        <w:tc>
          <w:tcPr>
            <w:tcW w:w="631" w:type="dxa"/>
          </w:tcPr>
          <w:p>
            <w:pPr>
              <w:pStyle w:val="TableParagraph"/>
              <w:spacing w:before="191"/>
              <w:ind w:right="13"/>
              <w:jc w:val="center"/>
              <w:rPr>
                <w:rFonts w:ascii="Times New Roman"/>
                <w:sz w:val="21"/>
              </w:rPr>
            </w:pPr>
            <w:r>
              <w:rPr>
                <w:rFonts w:ascii="Times New Roman"/>
                <w:spacing w:val="-10"/>
                <w:sz w:val="21"/>
              </w:rPr>
              <w:t>X</w:t>
            </w:r>
          </w:p>
        </w:tc>
        <w:tc>
          <w:tcPr>
            <w:tcW w:w="883" w:type="dxa"/>
          </w:tcPr>
          <w:p>
            <w:pPr>
              <w:pStyle w:val="TableParagraph"/>
              <w:spacing w:before="191"/>
              <w:ind w:right="15"/>
              <w:jc w:val="center"/>
              <w:rPr>
                <w:rFonts w:ascii="Times New Roman"/>
                <w:sz w:val="21"/>
              </w:rPr>
            </w:pPr>
            <w:r>
              <w:rPr>
                <w:rFonts w:ascii="Times New Roman"/>
                <w:spacing w:val="-10"/>
                <w:sz w:val="21"/>
              </w:rPr>
              <w:t>X</w:t>
            </w:r>
          </w:p>
        </w:tc>
        <w:tc>
          <w:tcPr>
            <w:tcW w:w="1131" w:type="dxa"/>
          </w:tcPr>
          <w:p>
            <w:pPr>
              <w:pStyle w:val="TableParagraph"/>
              <w:spacing w:before="191"/>
              <w:ind w:right="14"/>
              <w:jc w:val="center"/>
              <w:rPr>
                <w:rFonts w:ascii="Times New Roman"/>
                <w:sz w:val="21"/>
              </w:rPr>
            </w:pPr>
            <w:r>
              <w:rPr>
                <w:rFonts w:ascii="Times New Roman"/>
                <w:spacing w:val="-10"/>
                <w:sz w:val="21"/>
              </w:rPr>
              <w:t>X</w:t>
            </w:r>
          </w:p>
        </w:tc>
        <w:tc>
          <w:tcPr>
            <w:tcW w:w="913" w:type="dxa"/>
          </w:tcPr>
          <w:p>
            <w:pPr>
              <w:pStyle w:val="TableParagraph"/>
              <w:spacing w:before="191"/>
              <w:ind w:right="20"/>
              <w:jc w:val="center"/>
              <w:rPr>
                <w:rFonts w:ascii="Times New Roman"/>
                <w:sz w:val="21"/>
              </w:rPr>
            </w:pPr>
            <w:hyperlink w:history="true" w:anchor="_bookmark93">
              <w:r>
                <w:rPr>
                  <w:rFonts w:ascii="Times New Roman"/>
                  <w:color w:val="0000FF"/>
                  <w:spacing w:val="-5"/>
                  <w:sz w:val="21"/>
                </w:rPr>
                <w:t>8.3</w:t>
              </w:r>
            </w:hyperlink>
          </w:p>
        </w:tc>
      </w:tr>
      <w:tr>
        <w:trPr>
          <w:trHeight w:val="352" w:hRule="atLeast"/>
        </w:trPr>
        <w:tc>
          <w:tcPr>
            <w:tcW w:w="1556" w:type="dxa"/>
          </w:tcPr>
          <w:p>
            <w:pPr>
              <w:pStyle w:val="TableParagraph"/>
              <w:spacing w:before="38"/>
              <w:ind w:left="107"/>
              <w:rPr>
                <w:rFonts w:ascii="Times New Roman" w:eastAsia="Times New Roman"/>
                <w:sz w:val="21"/>
              </w:rPr>
            </w:pPr>
            <w:r>
              <w:rPr>
                <w:spacing w:val="-9"/>
                <w:sz w:val="21"/>
              </w:rPr>
              <w:t>超声心动图 </w:t>
            </w:r>
            <w:r>
              <w:rPr>
                <w:rFonts w:ascii="Times New Roman" w:eastAsia="Times New Roman"/>
                <w:sz w:val="21"/>
                <w:vertAlign w:val="superscript"/>
              </w:rPr>
              <w:t>g,</w:t>
            </w:r>
            <w:r>
              <w:rPr>
                <w:rFonts w:ascii="Times New Roman" w:eastAsia="Times New Roman"/>
                <w:spacing w:val="-20"/>
                <w:sz w:val="21"/>
                <w:vertAlign w:val="baseline"/>
              </w:rPr>
              <w:t> </w:t>
            </w:r>
            <w:r>
              <w:rPr>
                <w:rFonts w:ascii="Times New Roman" w:eastAsia="Times New Roman"/>
                <w:spacing w:val="-10"/>
                <w:sz w:val="21"/>
                <w:vertAlign w:val="superscript"/>
              </w:rPr>
              <w:t>i</w:t>
            </w:r>
          </w:p>
        </w:tc>
        <w:tc>
          <w:tcPr>
            <w:tcW w:w="1276"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55"/>
              <w:ind w:right="13"/>
              <w:jc w:val="center"/>
              <w:rPr>
                <w:rFonts w:ascii="Times New Roman"/>
                <w:sz w:val="21"/>
              </w:rPr>
            </w:pPr>
            <w:r>
              <w:rPr>
                <w:rFonts w:ascii="Times New Roman"/>
                <w:spacing w:val="-10"/>
                <w:sz w:val="21"/>
              </w:rPr>
              <w:t>X</w:t>
            </w:r>
          </w:p>
        </w:tc>
        <w:tc>
          <w:tcPr>
            <w:tcW w:w="883" w:type="dxa"/>
          </w:tcPr>
          <w:p>
            <w:pPr>
              <w:pStyle w:val="TableParagraph"/>
              <w:rPr>
                <w:rFonts w:ascii="Times New Roman"/>
                <w:sz w:val="20"/>
              </w:rPr>
            </w:pPr>
          </w:p>
        </w:tc>
        <w:tc>
          <w:tcPr>
            <w:tcW w:w="1131" w:type="dxa"/>
          </w:tcPr>
          <w:p>
            <w:pPr>
              <w:pStyle w:val="TableParagraph"/>
              <w:spacing w:before="55"/>
              <w:ind w:right="14"/>
              <w:jc w:val="center"/>
              <w:rPr>
                <w:rFonts w:ascii="Times New Roman"/>
                <w:sz w:val="21"/>
              </w:rPr>
            </w:pPr>
            <w:r>
              <w:rPr>
                <w:rFonts w:ascii="Times New Roman"/>
                <w:spacing w:val="-10"/>
                <w:sz w:val="21"/>
              </w:rPr>
              <w:t>X</w:t>
            </w:r>
          </w:p>
        </w:tc>
        <w:tc>
          <w:tcPr>
            <w:tcW w:w="913" w:type="dxa"/>
          </w:tcPr>
          <w:p>
            <w:pPr>
              <w:pStyle w:val="TableParagraph"/>
              <w:spacing w:before="55"/>
              <w:ind w:left="2" w:right="20"/>
              <w:jc w:val="center"/>
              <w:rPr>
                <w:rFonts w:ascii="Times New Roman"/>
                <w:sz w:val="21"/>
              </w:rPr>
            </w:pPr>
            <w:hyperlink w:history="true" w:anchor="_bookmark90">
              <w:r>
                <w:rPr>
                  <w:rFonts w:ascii="Times New Roman"/>
                  <w:color w:val="0000FF"/>
                  <w:spacing w:val="-2"/>
                  <w:sz w:val="21"/>
                </w:rPr>
                <w:t>8.2.5</w:t>
              </w:r>
            </w:hyperlink>
          </w:p>
        </w:tc>
      </w:tr>
      <w:tr>
        <w:trPr>
          <w:trHeight w:val="393" w:hRule="atLeast"/>
        </w:trPr>
        <w:tc>
          <w:tcPr>
            <w:tcW w:w="13966" w:type="dxa"/>
            <w:gridSpan w:val="18"/>
            <w:shd w:val="clear" w:color="auto" w:fill="D9D9D9"/>
          </w:tcPr>
          <w:p>
            <w:pPr>
              <w:pStyle w:val="TableParagraph"/>
              <w:spacing w:before="38"/>
              <w:ind w:left="107"/>
              <w:rPr>
                <w:b/>
                <w:sz w:val="21"/>
              </w:rPr>
            </w:pPr>
            <w:r>
              <w:rPr>
                <w:b/>
                <w:spacing w:val="-4"/>
                <w:sz w:val="21"/>
              </w:rPr>
              <w:t>实验室评估</w:t>
            </w:r>
          </w:p>
        </w:tc>
      </w:tr>
      <w:tr>
        <w:trPr>
          <w:trHeight w:val="895" w:hRule="atLeast"/>
        </w:trPr>
        <w:tc>
          <w:tcPr>
            <w:tcW w:w="1556" w:type="dxa"/>
          </w:tcPr>
          <w:p>
            <w:pPr>
              <w:pStyle w:val="TableParagraph"/>
              <w:spacing w:before="36"/>
              <w:ind w:left="107" w:right="176"/>
              <w:jc w:val="both"/>
              <w:rPr>
                <w:sz w:val="21"/>
              </w:rPr>
            </w:pPr>
            <w:r>
              <w:rPr>
                <w:spacing w:val="-2"/>
                <w:sz w:val="21"/>
              </w:rPr>
              <w:t>临床生化（</w:t>
            </w:r>
            <w:r>
              <w:rPr>
                <w:spacing w:val="-2"/>
                <w:sz w:val="21"/>
              </w:rPr>
              <w:t>包括血浆纤维蛋</w:t>
            </w:r>
            <w:r>
              <w:rPr>
                <w:spacing w:val="-4"/>
                <w:sz w:val="21"/>
              </w:rPr>
              <w:t>白原）</w:t>
            </w:r>
          </w:p>
        </w:tc>
        <w:tc>
          <w:tcPr>
            <w:tcW w:w="1276" w:type="dxa"/>
          </w:tcPr>
          <w:p>
            <w:pPr>
              <w:pStyle w:val="TableParagraph"/>
              <w:spacing w:before="172"/>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before="1"/>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spacing w:before="55"/>
              <w:rPr>
                <w:b/>
                <w:sz w:val="21"/>
              </w:rPr>
            </w:pPr>
          </w:p>
          <w:p>
            <w:pPr>
              <w:pStyle w:val="TableParagraph"/>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55"/>
              <w:rPr>
                <w:b/>
                <w:sz w:val="21"/>
              </w:rPr>
            </w:pPr>
          </w:p>
          <w:p>
            <w:pPr>
              <w:pStyle w:val="TableParagraph"/>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55"/>
              <w:rPr>
                <w:b/>
                <w:sz w:val="21"/>
              </w:rPr>
            </w:pPr>
          </w:p>
          <w:p>
            <w:pPr>
              <w:pStyle w:val="TableParagraph"/>
              <w:ind w:right="13"/>
              <w:jc w:val="center"/>
              <w:rPr>
                <w:rFonts w:ascii="Times New Roman"/>
                <w:sz w:val="21"/>
              </w:rPr>
            </w:pPr>
            <w:r>
              <w:rPr>
                <w:rFonts w:ascii="Times New Roman"/>
                <w:spacing w:val="-10"/>
                <w:sz w:val="21"/>
              </w:rPr>
              <w:t>X</w:t>
            </w:r>
          </w:p>
        </w:tc>
        <w:tc>
          <w:tcPr>
            <w:tcW w:w="883" w:type="dxa"/>
          </w:tcPr>
          <w:p>
            <w:pPr>
              <w:pStyle w:val="TableParagraph"/>
              <w:spacing w:before="55"/>
              <w:rPr>
                <w:b/>
                <w:sz w:val="21"/>
              </w:rPr>
            </w:pPr>
          </w:p>
          <w:p>
            <w:pPr>
              <w:pStyle w:val="TableParagraph"/>
              <w:ind w:right="15"/>
              <w:jc w:val="center"/>
              <w:rPr>
                <w:rFonts w:ascii="Times New Roman"/>
                <w:sz w:val="21"/>
              </w:rPr>
            </w:pPr>
            <w:r>
              <w:rPr>
                <w:rFonts w:ascii="Times New Roman"/>
                <w:spacing w:val="-10"/>
                <w:sz w:val="21"/>
              </w:rPr>
              <w:t>X</w:t>
            </w:r>
          </w:p>
        </w:tc>
        <w:tc>
          <w:tcPr>
            <w:tcW w:w="1131" w:type="dxa"/>
          </w:tcPr>
          <w:p>
            <w:pPr>
              <w:pStyle w:val="TableParagraph"/>
              <w:spacing w:before="55"/>
              <w:rPr>
                <w:b/>
                <w:sz w:val="21"/>
              </w:rPr>
            </w:pPr>
          </w:p>
          <w:p>
            <w:pPr>
              <w:pStyle w:val="TableParagraph"/>
              <w:ind w:right="14"/>
              <w:jc w:val="center"/>
              <w:rPr>
                <w:rFonts w:ascii="Times New Roman"/>
                <w:sz w:val="21"/>
              </w:rPr>
            </w:pPr>
            <w:r>
              <w:rPr>
                <w:rFonts w:ascii="Times New Roman"/>
                <w:spacing w:val="-10"/>
                <w:sz w:val="21"/>
              </w:rPr>
              <w:t>X</w:t>
            </w:r>
          </w:p>
        </w:tc>
        <w:tc>
          <w:tcPr>
            <w:tcW w:w="913" w:type="dxa"/>
          </w:tcPr>
          <w:p>
            <w:pPr>
              <w:pStyle w:val="TableParagraph"/>
              <w:spacing w:before="55"/>
              <w:rPr>
                <w:b/>
                <w:sz w:val="21"/>
              </w:rPr>
            </w:pPr>
          </w:p>
          <w:p>
            <w:pPr>
              <w:pStyle w:val="TableParagraph"/>
              <w:ind w:left="2" w:right="20"/>
              <w:jc w:val="center"/>
              <w:rPr>
                <w:rFonts w:ascii="Times New Roman"/>
                <w:sz w:val="21"/>
              </w:rPr>
            </w:pPr>
            <w:hyperlink w:history="true" w:anchor="_bookmark91">
              <w:r>
                <w:rPr>
                  <w:rFonts w:ascii="Times New Roman"/>
                  <w:color w:val="0000FF"/>
                  <w:spacing w:val="-2"/>
                  <w:sz w:val="21"/>
                </w:rPr>
                <w:t>8.2.6</w:t>
              </w:r>
            </w:hyperlink>
          </w:p>
        </w:tc>
      </w:tr>
      <w:tr>
        <w:trPr>
          <w:trHeight w:val="626" w:hRule="atLeast"/>
        </w:trPr>
        <w:tc>
          <w:tcPr>
            <w:tcW w:w="1556" w:type="dxa"/>
          </w:tcPr>
          <w:p>
            <w:pPr>
              <w:pStyle w:val="TableParagraph"/>
              <w:spacing w:before="192"/>
              <w:ind w:left="107"/>
              <w:rPr>
                <w:rFonts w:ascii="Times New Roman"/>
                <w:sz w:val="21"/>
              </w:rPr>
            </w:pPr>
            <w:r>
              <w:rPr>
                <w:rFonts w:ascii="Times New Roman"/>
                <w:spacing w:val="-2"/>
                <w:sz w:val="21"/>
              </w:rPr>
              <w:t>NT-proBNP</w:t>
            </w:r>
          </w:p>
        </w:tc>
        <w:tc>
          <w:tcPr>
            <w:tcW w:w="1276" w:type="dxa"/>
          </w:tcPr>
          <w:p>
            <w:pPr>
              <w:pStyle w:val="TableParagraph"/>
              <w:spacing w:line="273" w:lineRule="exact" w:before="38"/>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line="273" w:lineRule="exact"/>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91">
              <w:r>
                <w:rPr>
                  <w:rFonts w:ascii="Times New Roman"/>
                  <w:color w:val="0000FF"/>
                  <w:spacing w:val="-2"/>
                  <w:sz w:val="21"/>
                </w:rPr>
                <w:t>8.2.6</w:t>
              </w:r>
            </w:hyperlink>
          </w:p>
        </w:tc>
      </w:tr>
    </w:tbl>
    <w:p>
      <w:pPr>
        <w:spacing w:after="0"/>
        <w:jc w:val="center"/>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6" w:hRule="atLeast"/>
        </w:trPr>
        <w:tc>
          <w:tcPr>
            <w:tcW w:w="1556" w:type="dxa"/>
            <w:shd w:val="clear" w:color="auto" w:fill="D9D9D9"/>
          </w:tcPr>
          <w:p>
            <w:pPr>
              <w:pStyle w:val="TableParagraph"/>
              <w:spacing w:before="37"/>
              <w:rPr>
                <w:b/>
                <w:sz w:val="21"/>
              </w:rPr>
            </w:pPr>
          </w:p>
          <w:p>
            <w:pPr>
              <w:pStyle w:val="TableParagraph"/>
              <w:ind w:left="355"/>
              <w:rPr>
                <w:b/>
                <w:sz w:val="21"/>
              </w:rPr>
            </w:pPr>
            <w:r>
              <w:rPr>
                <w:b/>
                <w:spacing w:val="-4"/>
                <w:sz w:val="21"/>
              </w:rPr>
              <w:t>研究阶段</w:t>
            </w:r>
          </w:p>
        </w:tc>
        <w:tc>
          <w:tcPr>
            <w:tcW w:w="1276" w:type="dxa"/>
            <w:shd w:val="clear" w:color="auto" w:fill="D9D9D9"/>
          </w:tcPr>
          <w:p>
            <w:pPr>
              <w:pStyle w:val="TableParagraph"/>
              <w:spacing w:before="172"/>
              <w:ind w:left="426"/>
              <w:rPr>
                <w:b/>
                <w:sz w:val="21"/>
              </w:rPr>
            </w:pPr>
            <w:r>
              <w:rPr>
                <w:b/>
                <w:spacing w:val="-6"/>
                <w:sz w:val="21"/>
              </w:rPr>
              <w:t>入选</w:t>
            </w:r>
          </w:p>
          <w:p>
            <w:pPr>
              <w:pStyle w:val="TableParagraph"/>
              <w:spacing w:before="1"/>
              <w:ind w:left="116"/>
              <w:rPr>
                <w:b/>
                <w:sz w:val="21"/>
              </w:rPr>
            </w:pPr>
            <w:r>
              <w:rPr>
                <w:b/>
                <w:spacing w:val="-2"/>
                <w:sz w:val="21"/>
              </w:rPr>
              <w:t>（</w:t>
            </w:r>
            <w:r>
              <w:rPr>
                <w:rFonts w:ascii="Times New Roman" w:eastAsia="Times New Roman"/>
                <w:b/>
                <w:spacing w:val="-2"/>
                <w:sz w:val="21"/>
              </w:rPr>
              <w:t>Enrol</w:t>
            </w:r>
            <w:r>
              <w:rPr>
                <w:b/>
                <w:spacing w:val="-2"/>
                <w:sz w:val="21"/>
              </w:rPr>
              <w:t>）</w:t>
            </w:r>
          </w:p>
        </w:tc>
        <w:tc>
          <w:tcPr>
            <w:tcW w:w="8207" w:type="dxa"/>
            <w:gridSpan w:val="13"/>
            <w:shd w:val="clear" w:color="auto" w:fill="D9D9D9"/>
          </w:tcPr>
          <w:p>
            <w:pPr>
              <w:pStyle w:val="TableParagraph"/>
              <w:spacing w:before="37"/>
              <w:rPr>
                <w:b/>
                <w:sz w:val="21"/>
              </w:rPr>
            </w:pPr>
          </w:p>
          <w:p>
            <w:pPr>
              <w:pStyle w:val="TableParagraph"/>
              <w:ind w:right="4"/>
              <w:jc w:val="center"/>
              <w:rPr>
                <w:b/>
                <w:sz w:val="21"/>
              </w:rPr>
            </w:pPr>
            <w:r>
              <w:rPr>
                <w:b/>
                <w:spacing w:val="-2"/>
                <w:sz w:val="21"/>
              </w:rPr>
              <w:t>干预（治疗）</w:t>
            </w:r>
            <w:r>
              <w:rPr>
                <w:b/>
                <w:spacing w:val="-12"/>
                <w:sz w:val="21"/>
              </w:rPr>
              <w:t>期</w:t>
            </w:r>
          </w:p>
        </w:tc>
        <w:tc>
          <w:tcPr>
            <w:tcW w:w="883" w:type="dxa"/>
            <w:shd w:val="clear" w:color="auto" w:fill="D9D9D9"/>
          </w:tcPr>
          <w:p>
            <w:pPr>
              <w:pStyle w:val="TableParagraph"/>
              <w:spacing w:before="172"/>
              <w:ind w:left="112"/>
              <w:rPr>
                <w:b/>
                <w:sz w:val="21"/>
              </w:rPr>
            </w:pPr>
            <w:r>
              <w:rPr>
                <w:b/>
                <w:spacing w:val="-5"/>
                <w:sz w:val="21"/>
              </w:rPr>
              <w:t>随访期</w:t>
            </w:r>
          </w:p>
          <w:p>
            <w:pPr>
              <w:pStyle w:val="TableParagraph"/>
              <w:spacing w:before="1"/>
              <w:ind w:left="24"/>
              <w:rPr>
                <w:b/>
                <w:sz w:val="21"/>
              </w:rPr>
            </w:pPr>
            <w:r>
              <w:rPr>
                <w:b/>
                <w:spacing w:val="-4"/>
                <w:sz w:val="21"/>
              </w:rPr>
              <w:t>（</w:t>
            </w:r>
            <w:r>
              <w:rPr>
                <w:rFonts w:ascii="Times New Roman" w:eastAsia="Times New Roman"/>
                <w:b/>
                <w:spacing w:val="-4"/>
                <w:sz w:val="21"/>
              </w:rPr>
              <w:t>FU</w:t>
            </w:r>
            <w:r>
              <w:rPr>
                <w:b/>
                <w:spacing w:val="-4"/>
                <w:sz w:val="21"/>
              </w:rPr>
              <w:t>）</w:t>
            </w:r>
          </w:p>
        </w:tc>
        <w:tc>
          <w:tcPr>
            <w:tcW w:w="1131" w:type="dxa"/>
            <w:shd w:val="clear" w:color="auto" w:fill="D9D9D9"/>
          </w:tcPr>
          <w:p>
            <w:pPr>
              <w:pStyle w:val="TableParagraph"/>
              <w:spacing w:before="36"/>
              <w:ind w:left="165" w:right="183"/>
              <w:jc w:val="center"/>
              <w:rPr>
                <w:b/>
                <w:sz w:val="21"/>
              </w:rPr>
            </w:pPr>
            <w:r>
              <w:rPr>
                <w:rFonts w:ascii="Times New Roman" w:eastAsia="Times New Roman"/>
                <w:b/>
                <w:spacing w:val="-2"/>
                <w:sz w:val="21"/>
              </w:rPr>
              <w:t>E/D</w:t>
            </w:r>
            <w:r>
              <w:rPr>
                <w:b/>
                <w:spacing w:val="-2"/>
                <w:sz w:val="21"/>
              </w:rPr>
              <w:t>，电</w:t>
            </w:r>
            <w:r>
              <w:rPr>
                <w:b/>
                <w:spacing w:val="-14"/>
                <w:sz w:val="21"/>
              </w:rPr>
              <w:t>话随访 </w:t>
            </w:r>
            <w:r>
              <w:rPr>
                <w:rFonts w:ascii="Times New Roman" w:eastAsia="Times New Roman"/>
                <w:b/>
                <w:sz w:val="21"/>
                <w:vertAlign w:val="superscript"/>
              </w:rPr>
              <w:t>a</w:t>
            </w:r>
            <w:r>
              <w:rPr>
                <w:b/>
                <w:spacing w:val="-6"/>
                <w:sz w:val="21"/>
                <w:vertAlign w:val="baseline"/>
              </w:rP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TableParagraph"/>
              <w:spacing w:line="240" w:lineRule="exact"/>
              <w:ind w:left="241"/>
              <w:rPr>
                <w:rFonts w:ascii="Times New Roman"/>
                <w:b/>
                <w:sz w:val="21"/>
              </w:rPr>
            </w:pPr>
            <w:r>
              <w:rPr>
                <w:rFonts w:ascii="Times New Roman"/>
                <w:b/>
                <w:spacing w:val="-5"/>
                <w:sz w:val="21"/>
              </w:rPr>
              <w:t>CSP</w:t>
            </w:r>
          </w:p>
          <w:p>
            <w:pPr>
              <w:pStyle w:val="TableParagraph"/>
              <w:spacing w:line="272" w:lineRule="exact"/>
              <w:ind w:left="229"/>
              <w:rPr>
                <w:b/>
                <w:sz w:val="21"/>
              </w:rPr>
            </w:pPr>
            <w:r>
              <w:rPr>
                <w:b/>
                <w:spacing w:val="-6"/>
                <w:sz w:val="21"/>
              </w:rPr>
              <w:t>章节</w:t>
            </w:r>
          </w:p>
        </w:tc>
      </w:tr>
      <w:tr>
        <w:trPr>
          <w:trHeight w:val="352" w:hRule="atLeast"/>
        </w:trPr>
        <w:tc>
          <w:tcPr>
            <w:tcW w:w="1556" w:type="dxa"/>
            <w:shd w:val="clear" w:color="auto" w:fill="D9D9D9"/>
          </w:tcPr>
          <w:p>
            <w:pPr>
              <w:pStyle w:val="TableParagraph"/>
              <w:spacing w:before="39"/>
              <w:ind w:left="460"/>
              <w:rPr>
                <w:b/>
                <w:sz w:val="21"/>
              </w:rPr>
            </w:pPr>
            <w:r>
              <w:rPr>
                <w:b/>
                <w:spacing w:val="-5"/>
                <w:sz w:val="21"/>
              </w:rPr>
              <w:t>研究周</w:t>
            </w:r>
          </w:p>
        </w:tc>
        <w:tc>
          <w:tcPr>
            <w:tcW w:w="1276" w:type="dxa"/>
            <w:shd w:val="clear" w:color="auto" w:fill="D9D9D9"/>
          </w:tcPr>
          <w:p>
            <w:pPr>
              <w:pStyle w:val="TableParagraph"/>
              <w:spacing w:before="57"/>
              <w:ind w:left="7"/>
              <w:jc w:val="center"/>
              <w:rPr>
                <w:rFonts w:ascii="Times New Roman"/>
                <w:sz w:val="21"/>
              </w:rPr>
            </w:pPr>
            <w:r>
              <w:rPr>
                <w:rFonts w:ascii="Times New Roman"/>
                <w:spacing w:val="-5"/>
                <w:sz w:val="21"/>
              </w:rPr>
              <w:t>W0</w:t>
            </w:r>
          </w:p>
        </w:tc>
        <w:tc>
          <w:tcPr>
            <w:tcW w:w="632" w:type="dxa"/>
            <w:shd w:val="clear" w:color="auto" w:fill="D9D9D9"/>
          </w:tcPr>
          <w:p>
            <w:pPr>
              <w:pStyle w:val="TableParagraph"/>
              <w:spacing w:before="57"/>
              <w:ind w:left="7" w:right="2"/>
              <w:jc w:val="center"/>
              <w:rPr>
                <w:rFonts w:ascii="Times New Roman"/>
                <w:sz w:val="21"/>
              </w:rPr>
            </w:pPr>
            <w:r>
              <w:rPr>
                <w:rFonts w:ascii="Times New Roman"/>
                <w:spacing w:val="-5"/>
                <w:sz w:val="21"/>
              </w:rPr>
              <w:t>W4</w:t>
            </w:r>
          </w:p>
        </w:tc>
        <w:tc>
          <w:tcPr>
            <w:tcW w:w="632" w:type="dxa"/>
            <w:shd w:val="clear" w:color="auto" w:fill="D9D9D9"/>
          </w:tcPr>
          <w:p>
            <w:pPr>
              <w:pStyle w:val="TableParagraph"/>
              <w:spacing w:before="57"/>
              <w:ind w:left="7" w:right="4"/>
              <w:jc w:val="center"/>
              <w:rPr>
                <w:rFonts w:ascii="Times New Roman"/>
                <w:sz w:val="21"/>
              </w:rPr>
            </w:pPr>
            <w:r>
              <w:rPr>
                <w:rFonts w:ascii="Times New Roman"/>
                <w:spacing w:val="-5"/>
                <w:sz w:val="21"/>
              </w:rPr>
              <w:t>W8</w:t>
            </w:r>
          </w:p>
        </w:tc>
        <w:tc>
          <w:tcPr>
            <w:tcW w:w="632" w:type="dxa"/>
            <w:shd w:val="clear" w:color="auto" w:fill="D9D9D9"/>
          </w:tcPr>
          <w:p>
            <w:pPr>
              <w:pStyle w:val="TableParagraph"/>
              <w:spacing w:before="57"/>
              <w:ind w:left="7" w:right="3"/>
              <w:jc w:val="center"/>
              <w:rPr>
                <w:rFonts w:ascii="Times New Roman"/>
                <w:sz w:val="21"/>
              </w:rPr>
            </w:pPr>
            <w:r>
              <w:rPr>
                <w:rFonts w:ascii="Times New Roman"/>
                <w:spacing w:val="-5"/>
                <w:sz w:val="21"/>
              </w:rPr>
              <w:t>W12</w:t>
            </w:r>
          </w:p>
        </w:tc>
        <w:tc>
          <w:tcPr>
            <w:tcW w:w="632" w:type="dxa"/>
            <w:shd w:val="clear" w:color="auto" w:fill="D9D9D9"/>
          </w:tcPr>
          <w:p>
            <w:pPr>
              <w:pStyle w:val="TableParagraph"/>
              <w:spacing w:before="57"/>
              <w:ind w:left="7" w:right="5"/>
              <w:jc w:val="center"/>
              <w:rPr>
                <w:rFonts w:ascii="Times New Roman"/>
                <w:sz w:val="21"/>
              </w:rPr>
            </w:pPr>
            <w:r>
              <w:rPr>
                <w:rFonts w:ascii="Times New Roman"/>
                <w:spacing w:val="-5"/>
                <w:sz w:val="21"/>
              </w:rPr>
              <w:t>W16</w:t>
            </w:r>
          </w:p>
        </w:tc>
        <w:tc>
          <w:tcPr>
            <w:tcW w:w="631" w:type="dxa"/>
            <w:shd w:val="clear" w:color="auto" w:fill="D9D9D9"/>
          </w:tcPr>
          <w:p>
            <w:pPr>
              <w:pStyle w:val="TableParagraph"/>
              <w:spacing w:before="57"/>
              <w:ind w:left="13" w:right="13"/>
              <w:jc w:val="center"/>
              <w:rPr>
                <w:rFonts w:ascii="Times New Roman"/>
                <w:sz w:val="21"/>
              </w:rPr>
            </w:pPr>
            <w:r>
              <w:rPr>
                <w:rFonts w:ascii="Times New Roman"/>
                <w:spacing w:val="-5"/>
                <w:sz w:val="21"/>
              </w:rPr>
              <w:t>W20</w:t>
            </w:r>
          </w:p>
        </w:tc>
        <w:tc>
          <w:tcPr>
            <w:tcW w:w="631" w:type="dxa"/>
            <w:shd w:val="clear" w:color="auto" w:fill="D9D9D9"/>
          </w:tcPr>
          <w:p>
            <w:pPr>
              <w:pStyle w:val="TableParagraph"/>
              <w:spacing w:before="57"/>
              <w:ind w:left="13" w:right="13"/>
              <w:jc w:val="center"/>
              <w:rPr>
                <w:rFonts w:ascii="Times New Roman"/>
                <w:sz w:val="21"/>
              </w:rPr>
            </w:pPr>
            <w:r>
              <w:rPr>
                <w:rFonts w:ascii="Times New Roman"/>
                <w:spacing w:val="-5"/>
                <w:sz w:val="21"/>
              </w:rPr>
              <w:t>W24</w:t>
            </w:r>
          </w:p>
        </w:tc>
        <w:tc>
          <w:tcPr>
            <w:tcW w:w="631" w:type="dxa"/>
            <w:shd w:val="clear" w:color="auto" w:fill="D9D9D9"/>
          </w:tcPr>
          <w:p>
            <w:pPr>
              <w:pStyle w:val="TableParagraph"/>
              <w:spacing w:before="57"/>
              <w:ind w:left="11" w:right="13"/>
              <w:jc w:val="center"/>
              <w:rPr>
                <w:rFonts w:ascii="Times New Roman"/>
                <w:sz w:val="21"/>
              </w:rPr>
            </w:pPr>
            <w:r>
              <w:rPr>
                <w:rFonts w:ascii="Times New Roman"/>
                <w:spacing w:val="-5"/>
                <w:sz w:val="21"/>
              </w:rPr>
              <w:t>W28</w:t>
            </w:r>
          </w:p>
        </w:tc>
        <w:tc>
          <w:tcPr>
            <w:tcW w:w="631" w:type="dxa"/>
            <w:shd w:val="clear" w:color="auto" w:fill="D9D9D9"/>
          </w:tcPr>
          <w:p>
            <w:pPr>
              <w:pStyle w:val="TableParagraph"/>
              <w:spacing w:before="57"/>
              <w:ind w:left="10" w:right="13"/>
              <w:jc w:val="center"/>
              <w:rPr>
                <w:rFonts w:ascii="Times New Roman"/>
                <w:sz w:val="21"/>
              </w:rPr>
            </w:pPr>
            <w:r>
              <w:rPr>
                <w:rFonts w:ascii="Times New Roman"/>
                <w:spacing w:val="-5"/>
                <w:sz w:val="21"/>
              </w:rPr>
              <w:t>W32</w:t>
            </w:r>
          </w:p>
        </w:tc>
        <w:tc>
          <w:tcPr>
            <w:tcW w:w="631" w:type="dxa"/>
            <w:shd w:val="clear" w:color="auto" w:fill="D9D9D9"/>
          </w:tcPr>
          <w:p>
            <w:pPr>
              <w:pStyle w:val="TableParagraph"/>
              <w:spacing w:before="57"/>
              <w:ind w:left="8" w:right="13"/>
              <w:jc w:val="center"/>
              <w:rPr>
                <w:rFonts w:ascii="Times New Roman"/>
                <w:sz w:val="21"/>
              </w:rPr>
            </w:pPr>
            <w:r>
              <w:rPr>
                <w:rFonts w:ascii="Times New Roman"/>
                <w:spacing w:val="-5"/>
                <w:sz w:val="21"/>
              </w:rPr>
              <w:t>W36</w:t>
            </w:r>
          </w:p>
        </w:tc>
        <w:tc>
          <w:tcPr>
            <w:tcW w:w="631" w:type="dxa"/>
            <w:shd w:val="clear" w:color="auto" w:fill="D9D9D9"/>
          </w:tcPr>
          <w:p>
            <w:pPr>
              <w:pStyle w:val="TableParagraph"/>
              <w:spacing w:before="57"/>
              <w:ind w:left="6" w:right="13"/>
              <w:jc w:val="center"/>
              <w:rPr>
                <w:rFonts w:ascii="Times New Roman"/>
                <w:sz w:val="21"/>
              </w:rPr>
            </w:pPr>
            <w:r>
              <w:rPr>
                <w:rFonts w:ascii="Times New Roman"/>
                <w:spacing w:val="-5"/>
                <w:sz w:val="21"/>
              </w:rPr>
              <w:t>W40</w:t>
            </w:r>
          </w:p>
        </w:tc>
        <w:tc>
          <w:tcPr>
            <w:tcW w:w="631" w:type="dxa"/>
            <w:shd w:val="clear" w:color="auto" w:fill="D9D9D9"/>
          </w:tcPr>
          <w:p>
            <w:pPr>
              <w:pStyle w:val="TableParagraph"/>
              <w:spacing w:before="57"/>
              <w:ind w:left="4" w:right="13"/>
              <w:jc w:val="center"/>
              <w:rPr>
                <w:rFonts w:ascii="Times New Roman"/>
                <w:sz w:val="21"/>
              </w:rPr>
            </w:pPr>
            <w:r>
              <w:rPr>
                <w:rFonts w:ascii="Times New Roman"/>
                <w:spacing w:val="-5"/>
                <w:sz w:val="21"/>
              </w:rPr>
              <w:t>W44</w:t>
            </w:r>
          </w:p>
        </w:tc>
        <w:tc>
          <w:tcPr>
            <w:tcW w:w="631" w:type="dxa"/>
            <w:shd w:val="clear" w:color="auto" w:fill="D9D9D9"/>
          </w:tcPr>
          <w:p>
            <w:pPr>
              <w:pStyle w:val="TableParagraph"/>
              <w:spacing w:before="57"/>
              <w:ind w:left="2" w:right="13"/>
              <w:jc w:val="center"/>
              <w:rPr>
                <w:rFonts w:ascii="Times New Roman"/>
                <w:sz w:val="21"/>
              </w:rPr>
            </w:pPr>
            <w:r>
              <w:rPr>
                <w:rFonts w:ascii="Times New Roman"/>
                <w:spacing w:val="-5"/>
                <w:sz w:val="21"/>
              </w:rPr>
              <w:t>W48</w:t>
            </w:r>
          </w:p>
        </w:tc>
        <w:tc>
          <w:tcPr>
            <w:tcW w:w="631" w:type="dxa"/>
            <w:shd w:val="clear" w:color="auto" w:fill="D9D9D9"/>
          </w:tcPr>
          <w:p>
            <w:pPr>
              <w:pStyle w:val="TableParagraph"/>
              <w:spacing w:before="57"/>
              <w:ind w:right="13"/>
              <w:jc w:val="center"/>
              <w:rPr>
                <w:rFonts w:ascii="Times New Roman"/>
                <w:sz w:val="21"/>
              </w:rPr>
            </w:pPr>
            <w:r>
              <w:rPr>
                <w:rFonts w:ascii="Times New Roman"/>
                <w:spacing w:val="-5"/>
                <w:sz w:val="21"/>
              </w:rPr>
              <w:t>W52</w:t>
            </w:r>
          </w:p>
        </w:tc>
        <w:tc>
          <w:tcPr>
            <w:tcW w:w="883" w:type="dxa"/>
            <w:shd w:val="clear" w:color="auto" w:fill="D9D9D9"/>
          </w:tcPr>
          <w:p>
            <w:pPr>
              <w:pStyle w:val="TableParagraph"/>
              <w:spacing w:before="57"/>
              <w:ind w:right="15"/>
              <w:jc w:val="center"/>
              <w:rPr>
                <w:rFonts w:ascii="Times New Roman"/>
                <w:sz w:val="21"/>
              </w:rPr>
            </w:pPr>
            <w:r>
              <w:rPr>
                <w:rFonts w:ascii="Times New Roman"/>
                <w:spacing w:val="-5"/>
                <w:sz w:val="21"/>
              </w:rPr>
              <w:t>W60</w:t>
            </w:r>
          </w:p>
        </w:tc>
        <w:tc>
          <w:tcPr>
            <w:tcW w:w="1131" w:type="dxa"/>
            <w:vMerge w:val="restart"/>
            <w:shd w:val="clear" w:color="auto" w:fill="D9D9D9"/>
          </w:tcPr>
          <w:p>
            <w:pPr>
              <w:pStyle w:val="TableParagraph"/>
              <w:spacing w:before="38"/>
              <w:ind w:left="121" w:right="139"/>
              <w:jc w:val="center"/>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w:t>
            </w:r>
            <w:r>
              <w:rPr>
                <w:spacing w:val="-14"/>
                <w:sz w:val="21"/>
              </w:rPr>
              <w:t>药后 </w:t>
            </w:r>
            <w:r>
              <w:rPr>
                <w:rFonts w:ascii="Times New Roman" w:eastAsia="Times New Roman"/>
                <w:sz w:val="21"/>
              </w:rPr>
              <w:t>12</w:t>
            </w:r>
            <w:r>
              <w:rPr>
                <w:spacing w:val="-10"/>
                <w:sz w:val="21"/>
              </w:rPr>
              <w:t>周</w:t>
            </w:r>
          </w:p>
        </w:tc>
        <w:tc>
          <w:tcPr>
            <w:tcW w:w="913" w:type="dxa"/>
            <w:vMerge/>
            <w:tcBorders>
              <w:top w:val="nil"/>
            </w:tcBorders>
            <w:shd w:val="clear" w:color="auto" w:fill="D9D9D9"/>
          </w:tcPr>
          <w:p>
            <w:pPr>
              <w:rPr>
                <w:sz w:val="2"/>
                <w:szCs w:val="2"/>
              </w:rPr>
            </w:pPr>
          </w:p>
        </w:tc>
      </w:tr>
      <w:tr>
        <w:trPr>
          <w:trHeight w:val="534" w:hRule="atLeast"/>
        </w:trPr>
        <w:tc>
          <w:tcPr>
            <w:tcW w:w="1556" w:type="dxa"/>
            <w:shd w:val="clear" w:color="auto" w:fill="D9D9D9"/>
          </w:tcPr>
          <w:p>
            <w:pPr>
              <w:pStyle w:val="TableParagraph"/>
              <w:spacing w:before="130"/>
              <w:ind w:left="8"/>
              <w:jc w:val="center"/>
              <w:rPr>
                <w:b/>
                <w:sz w:val="21"/>
              </w:rPr>
            </w:pPr>
            <w:r>
              <w:rPr>
                <w:b/>
                <w:spacing w:val="-6"/>
                <w:sz w:val="21"/>
              </w:rPr>
              <w:t>访视</w:t>
            </w:r>
          </w:p>
        </w:tc>
        <w:tc>
          <w:tcPr>
            <w:tcW w:w="1276" w:type="dxa"/>
            <w:shd w:val="clear" w:color="auto" w:fill="D9D9D9"/>
          </w:tcPr>
          <w:p>
            <w:pPr>
              <w:pStyle w:val="TableParagraph"/>
              <w:spacing w:before="147"/>
              <w:ind w:left="6"/>
              <w:jc w:val="center"/>
              <w:rPr>
                <w:rFonts w:ascii="Times New Roman"/>
                <w:sz w:val="21"/>
              </w:rPr>
            </w:pPr>
            <w:r>
              <w:rPr>
                <w:rFonts w:ascii="Times New Roman"/>
                <w:spacing w:val="-5"/>
                <w:sz w:val="21"/>
              </w:rPr>
              <w:t>V1</w:t>
            </w:r>
          </w:p>
        </w:tc>
        <w:tc>
          <w:tcPr>
            <w:tcW w:w="632" w:type="dxa"/>
            <w:shd w:val="clear" w:color="auto" w:fill="D9D9D9"/>
          </w:tcPr>
          <w:p>
            <w:pPr>
              <w:pStyle w:val="TableParagraph"/>
              <w:spacing w:before="147"/>
              <w:ind w:left="7" w:right="1"/>
              <w:jc w:val="center"/>
              <w:rPr>
                <w:rFonts w:ascii="Times New Roman"/>
                <w:sz w:val="21"/>
              </w:rPr>
            </w:pPr>
            <w:r>
              <w:rPr>
                <w:rFonts w:ascii="Times New Roman"/>
                <w:spacing w:val="-5"/>
                <w:sz w:val="21"/>
              </w:rPr>
              <w:t>V2</w:t>
            </w:r>
          </w:p>
        </w:tc>
        <w:tc>
          <w:tcPr>
            <w:tcW w:w="632" w:type="dxa"/>
            <w:shd w:val="clear" w:color="auto" w:fill="D9D9D9"/>
          </w:tcPr>
          <w:p>
            <w:pPr>
              <w:pStyle w:val="TableParagraph"/>
              <w:spacing w:before="147"/>
              <w:ind w:left="7" w:right="3"/>
              <w:jc w:val="center"/>
              <w:rPr>
                <w:rFonts w:ascii="Times New Roman"/>
                <w:sz w:val="21"/>
              </w:rPr>
            </w:pPr>
            <w:r>
              <w:rPr>
                <w:rFonts w:ascii="Times New Roman"/>
                <w:spacing w:val="-5"/>
                <w:sz w:val="21"/>
              </w:rPr>
              <w:t>V3</w:t>
            </w:r>
          </w:p>
        </w:tc>
        <w:tc>
          <w:tcPr>
            <w:tcW w:w="632" w:type="dxa"/>
            <w:shd w:val="clear" w:color="auto" w:fill="D9D9D9"/>
          </w:tcPr>
          <w:p>
            <w:pPr>
              <w:pStyle w:val="TableParagraph"/>
              <w:spacing w:before="147"/>
              <w:ind w:left="7" w:right="4"/>
              <w:jc w:val="center"/>
              <w:rPr>
                <w:rFonts w:ascii="Times New Roman"/>
                <w:sz w:val="21"/>
              </w:rPr>
            </w:pPr>
            <w:r>
              <w:rPr>
                <w:rFonts w:ascii="Times New Roman"/>
                <w:spacing w:val="-5"/>
                <w:sz w:val="21"/>
              </w:rPr>
              <w:t>V4</w:t>
            </w:r>
          </w:p>
        </w:tc>
        <w:tc>
          <w:tcPr>
            <w:tcW w:w="632" w:type="dxa"/>
            <w:shd w:val="clear" w:color="auto" w:fill="D9D9D9"/>
          </w:tcPr>
          <w:p>
            <w:pPr>
              <w:pStyle w:val="TableParagraph"/>
              <w:spacing w:before="147"/>
              <w:ind w:left="7" w:right="6"/>
              <w:jc w:val="center"/>
              <w:rPr>
                <w:rFonts w:ascii="Times New Roman"/>
                <w:sz w:val="21"/>
              </w:rPr>
            </w:pPr>
            <w:r>
              <w:rPr>
                <w:rFonts w:ascii="Times New Roman"/>
                <w:spacing w:val="-5"/>
                <w:sz w:val="21"/>
              </w:rPr>
              <w:t>V5</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V6</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V7</w:t>
            </w:r>
          </w:p>
        </w:tc>
        <w:tc>
          <w:tcPr>
            <w:tcW w:w="631" w:type="dxa"/>
            <w:shd w:val="clear" w:color="auto" w:fill="D9D9D9"/>
          </w:tcPr>
          <w:p>
            <w:pPr>
              <w:pStyle w:val="TableParagraph"/>
              <w:spacing w:before="147"/>
              <w:ind w:left="11" w:right="13"/>
              <w:jc w:val="center"/>
              <w:rPr>
                <w:rFonts w:ascii="Times New Roman"/>
                <w:sz w:val="21"/>
              </w:rPr>
            </w:pPr>
            <w:r>
              <w:rPr>
                <w:rFonts w:ascii="Times New Roman"/>
                <w:spacing w:val="-5"/>
                <w:sz w:val="21"/>
              </w:rPr>
              <w:t>V8</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V9</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V10</w:t>
            </w:r>
          </w:p>
        </w:tc>
        <w:tc>
          <w:tcPr>
            <w:tcW w:w="631" w:type="dxa"/>
            <w:shd w:val="clear" w:color="auto" w:fill="D9D9D9"/>
          </w:tcPr>
          <w:p>
            <w:pPr>
              <w:pStyle w:val="TableParagraph"/>
              <w:spacing w:before="147"/>
              <w:ind w:left="7" w:right="13"/>
              <w:jc w:val="center"/>
              <w:rPr>
                <w:rFonts w:ascii="Times New Roman"/>
                <w:sz w:val="21"/>
              </w:rPr>
            </w:pPr>
            <w:r>
              <w:rPr>
                <w:rFonts w:ascii="Times New Roman"/>
                <w:spacing w:val="-5"/>
                <w:sz w:val="21"/>
              </w:rPr>
              <w:t>V11</w:t>
            </w:r>
          </w:p>
        </w:tc>
        <w:tc>
          <w:tcPr>
            <w:tcW w:w="631" w:type="dxa"/>
            <w:shd w:val="clear" w:color="auto" w:fill="D9D9D9"/>
          </w:tcPr>
          <w:p>
            <w:pPr>
              <w:pStyle w:val="TableParagraph"/>
              <w:spacing w:before="147"/>
              <w:ind w:left="5" w:right="13"/>
              <w:jc w:val="center"/>
              <w:rPr>
                <w:rFonts w:ascii="Times New Roman"/>
                <w:sz w:val="21"/>
              </w:rPr>
            </w:pPr>
            <w:r>
              <w:rPr>
                <w:rFonts w:ascii="Times New Roman"/>
                <w:spacing w:val="-5"/>
                <w:sz w:val="21"/>
              </w:rPr>
              <w:t>V12</w:t>
            </w:r>
          </w:p>
        </w:tc>
        <w:tc>
          <w:tcPr>
            <w:tcW w:w="631" w:type="dxa"/>
            <w:shd w:val="clear" w:color="auto" w:fill="D9D9D9"/>
          </w:tcPr>
          <w:p>
            <w:pPr>
              <w:pStyle w:val="TableParagraph"/>
              <w:spacing w:before="147"/>
              <w:ind w:left="3" w:right="13"/>
              <w:jc w:val="center"/>
              <w:rPr>
                <w:rFonts w:ascii="Times New Roman"/>
                <w:sz w:val="21"/>
              </w:rPr>
            </w:pPr>
            <w:r>
              <w:rPr>
                <w:rFonts w:ascii="Times New Roman"/>
                <w:spacing w:val="-5"/>
                <w:sz w:val="21"/>
              </w:rPr>
              <w:t>V13</w:t>
            </w:r>
          </w:p>
        </w:tc>
        <w:tc>
          <w:tcPr>
            <w:tcW w:w="631" w:type="dxa"/>
            <w:shd w:val="clear" w:color="auto" w:fill="D9D9D9"/>
          </w:tcPr>
          <w:p>
            <w:pPr>
              <w:pStyle w:val="TableParagraph"/>
              <w:spacing w:before="147"/>
              <w:ind w:left="1" w:right="13"/>
              <w:jc w:val="center"/>
              <w:rPr>
                <w:rFonts w:ascii="Times New Roman"/>
                <w:sz w:val="21"/>
              </w:rPr>
            </w:pPr>
            <w:r>
              <w:rPr>
                <w:rFonts w:ascii="Times New Roman"/>
                <w:spacing w:val="-5"/>
                <w:sz w:val="21"/>
              </w:rPr>
              <w:t>V14</w:t>
            </w:r>
          </w:p>
        </w:tc>
        <w:tc>
          <w:tcPr>
            <w:tcW w:w="883" w:type="dxa"/>
            <w:shd w:val="clear" w:color="auto" w:fill="D9D9D9"/>
          </w:tcPr>
          <w:p>
            <w:pPr>
              <w:pStyle w:val="TableParagraph"/>
              <w:spacing w:before="147"/>
              <w:ind w:left="1" w:right="15"/>
              <w:jc w:val="center"/>
              <w:rPr>
                <w:rFonts w:ascii="Times New Roman"/>
                <w:sz w:val="21"/>
              </w:rPr>
            </w:pPr>
            <w:r>
              <w:rPr>
                <w:rFonts w:ascii="Times New Roman"/>
                <w:spacing w:val="-5"/>
                <w:sz w:val="21"/>
              </w:rPr>
              <w:t>V15</w:t>
            </w:r>
          </w:p>
        </w:tc>
        <w:tc>
          <w:tcPr>
            <w:tcW w:w="1131" w:type="dxa"/>
            <w:vMerge/>
            <w:tcBorders>
              <w:top w:val="nil"/>
            </w:tcBorders>
            <w:shd w:val="clear" w:color="auto" w:fill="D9D9D9"/>
          </w:tcPr>
          <w:p>
            <w:pPr>
              <w:rPr>
                <w:sz w:val="2"/>
                <w:szCs w:val="2"/>
              </w:rPr>
            </w:pPr>
          </w:p>
        </w:tc>
        <w:tc>
          <w:tcPr>
            <w:tcW w:w="913" w:type="dxa"/>
            <w:vMerge/>
            <w:tcBorders>
              <w:top w:val="nil"/>
            </w:tcBorders>
            <w:shd w:val="clear" w:color="auto" w:fill="D9D9D9"/>
          </w:tcPr>
          <w:p>
            <w:pPr>
              <w:rPr>
                <w:sz w:val="2"/>
                <w:szCs w:val="2"/>
              </w:rPr>
            </w:pPr>
          </w:p>
        </w:tc>
      </w:tr>
      <w:tr>
        <w:trPr>
          <w:trHeight w:val="624" w:hRule="atLeast"/>
        </w:trPr>
        <w:tc>
          <w:tcPr>
            <w:tcW w:w="1556" w:type="dxa"/>
            <w:shd w:val="clear" w:color="auto" w:fill="D9D9D9"/>
          </w:tcPr>
          <w:p>
            <w:pPr>
              <w:pStyle w:val="TableParagraph"/>
              <w:spacing w:line="273" w:lineRule="exact" w:before="38"/>
              <w:ind w:left="155"/>
              <w:rPr>
                <w:rFonts w:ascii="Times New Roman" w:eastAsia="Times New Roman"/>
                <w:b/>
                <w:sz w:val="21"/>
              </w:rPr>
            </w:pPr>
            <w:r>
              <w:rPr>
                <w:b/>
                <w:spacing w:val="-19"/>
                <w:sz w:val="21"/>
              </w:rPr>
              <w:t>可选 </w:t>
            </w:r>
            <w:r>
              <w:rPr>
                <w:rFonts w:ascii="Times New Roman" w:eastAsia="Times New Roman"/>
                <w:b/>
                <w:spacing w:val="-2"/>
                <w:sz w:val="21"/>
              </w:rPr>
              <w:t>Telemed</w:t>
            </w:r>
          </w:p>
          <w:p>
            <w:pPr>
              <w:pStyle w:val="TableParagraph"/>
              <w:spacing w:line="273" w:lineRule="exact"/>
              <w:ind w:left="232"/>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spacing w:before="192"/>
              <w:ind w:left="7" w:right="6"/>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12"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11"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7"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3"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szCs w:val="2"/>
              </w:rPr>
            </w:pPr>
          </w:p>
        </w:tc>
      </w:tr>
      <w:tr>
        <w:trPr>
          <w:trHeight w:val="897" w:hRule="atLeast"/>
        </w:trPr>
        <w:tc>
          <w:tcPr>
            <w:tcW w:w="1556" w:type="dxa"/>
          </w:tcPr>
          <w:p>
            <w:pPr>
              <w:pStyle w:val="TableParagraph"/>
              <w:spacing w:before="37"/>
              <w:rPr>
                <w:b/>
                <w:sz w:val="21"/>
              </w:rPr>
            </w:pPr>
          </w:p>
          <w:p>
            <w:pPr>
              <w:pStyle w:val="TableParagraph"/>
              <w:ind w:left="460"/>
              <w:rPr>
                <w:b/>
                <w:sz w:val="21"/>
              </w:rPr>
            </w:pPr>
            <w:r>
              <w:rPr>
                <w:b/>
                <w:spacing w:val="-5"/>
                <w:sz w:val="21"/>
              </w:rPr>
              <w:t>访视窗</w:t>
            </w:r>
          </w:p>
        </w:tc>
        <w:tc>
          <w:tcPr>
            <w:tcW w:w="1276" w:type="dxa"/>
          </w:tcPr>
          <w:p>
            <w:pPr>
              <w:pStyle w:val="TableParagraph"/>
              <w:spacing w:before="36"/>
              <w:ind w:left="112" w:right="101"/>
              <w:jc w:val="center"/>
              <w:rPr>
                <w:rFonts w:ascii="Times New Roman" w:eastAsia="Times New Roman"/>
                <w:sz w:val="21"/>
              </w:rPr>
            </w:pPr>
            <w:r>
              <w:rPr>
                <w:spacing w:val="-2"/>
                <w:sz w:val="21"/>
              </w:rPr>
              <w:t>与前身研究 </w:t>
            </w:r>
            <w:r>
              <w:rPr>
                <w:rFonts w:ascii="Times New Roman" w:eastAsia="Times New Roman"/>
                <w:sz w:val="21"/>
              </w:rPr>
              <w:t>V15</w:t>
            </w:r>
            <w:r>
              <w:rPr>
                <w:rFonts w:ascii="Times New Roman" w:eastAsia="Times New Roman"/>
                <w:spacing w:val="-14"/>
                <w:sz w:val="21"/>
              </w:rPr>
              <w:t> </w:t>
            </w:r>
            <w:r>
              <w:rPr>
                <w:sz w:val="21"/>
              </w:rPr>
              <w:t>同一天</w:t>
            </w:r>
            <w:r>
              <w:rPr>
                <w:spacing w:val="-15"/>
                <w:sz w:val="21"/>
              </w:rPr>
              <w:t>进行 </w:t>
            </w:r>
            <w:r>
              <w:rPr>
                <w:rFonts w:ascii="Times New Roman" w:eastAsia="Times New Roman"/>
                <w:sz w:val="21"/>
                <w:vertAlign w:val="superscript"/>
              </w:rPr>
              <w:t>b</w:t>
            </w:r>
          </w:p>
        </w:tc>
        <w:tc>
          <w:tcPr>
            <w:tcW w:w="9090" w:type="dxa"/>
            <w:gridSpan w:val="14"/>
          </w:tcPr>
          <w:p>
            <w:pPr>
              <w:pStyle w:val="TableParagraph"/>
              <w:spacing w:before="37"/>
              <w:rPr>
                <w:b/>
                <w:sz w:val="21"/>
              </w:rPr>
            </w:pPr>
          </w:p>
          <w:p>
            <w:pPr>
              <w:pStyle w:val="TableParagraph"/>
              <w:ind w:right="4"/>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131" w:type="dxa"/>
          </w:tcPr>
          <w:p>
            <w:pPr>
              <w:pStyle w:val="TableParagraph"/>
              <w:spacing w:before="37"/>
              <w:rPr>
                <w:b/>
                <w:sz w:val="21"/>
              </w:rPr>
            </w:pPr>
          </w:p>
          <w:p>
            <w:pPr>
              <w:pStyle w:val="TableParagraph"/>
              <w:ind w:right="15"/>
              <w:jc w:val="center"/>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913" w:type="dxa"/>
            <w:vMerge/>
            <w:tcBorders>
              <w:top w:val="nil"/>
            </w:tcBorders>
            <w:shd w:val="clear" w:color="auto" w:fill="D9D9D9"/>
          </w:tcPr>
          <w:p>
            <w:pPr>
              <w:rPr>
                <w:sz w:val="2"/>
                <w:szCs w:val="2"/>
              </w:rPr>
            </w:pPr>
          </w:p>
        </w:tc>
      </w:tr>
      <w:tr>
        <w:trPr>
          <w:trHeight w:val="624" w:hRule="atLeast"/>
        </w:trPr>
        <w:tc>
          <w:tcPr>
            <w:tcW w:w="1556" w:type="dxa"/>
          </w:tcPr>
          <w:p>
            <w:pPr>
              <w:pStyle w:val="TableParagraph"/>
              <w:spacing w:before="174"/>
              <w:ind w:left="107"/>
              <w:rPr>
                <w:sz w:val="21"/>
              </w:rPr>
            </w:pPr>
            <w:r>
              <w:rPr>
                <w:spacing w:val="-4"/>
                <w:sz w:val="21"/>
              </w:rPr>
              <w:t>血常规</w:t>
            </w:r>
          </w:p>
        </w:tc>
        <w:tc>
          <w:tcPr>
            <w:tcW w:w="1276" w:type="dxa"/>
          </w:tcPr>
          <w:p>
            <w:pPr>
              <w:pStyle w:val="TableParagraph"/>
              <w:spacing w:before="36"/>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before="1"/>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91">
              <w:r>
                <w:rPr>
                  <w:rFonts w:ascii="Times New Roman"/>
                  <w:color w:val="0000FF"/>
                  <w:spacing w:val="-2"/>
                  <w:sz w:val="21"/>
                </w:rPr>
                <w:t>8.2.6</w:t>
              </w:r>
            </w:hyperlink>
          </w:p>
        </w:tc>
      </w:tr>
      <w:tr>
        <w:trPr>
          <w:trHeight w:val="624" w:hRule="atLeast"/>
        </w:trPr>
        <w:tc>
          <w:tcPr>
            <w:tcW w:w="1556" w:type="dxa"/>
          </w:tcPr>
          <w:p>
            <w:pPr>
              <w:pStyle w:val="TableParagraph"/>
              <w:spacing w:before="174"/>
              <w:ind w:left="107"/>
              <w:rPr>
                <w:sz w:val="21"/>
              </w:rPr>
            </w:pPr>
            <w:r>
              <w:rPr>
                <w:spacing w:val="-3"/>
                <w:sz w:val="21"/>
              </w:rPr>
              <w:t>尿液分析</w:t>
            </w:r>
          </w:p>
        </w:tc>
        <w:tc>
          <w:tcPr>
            <w:tcW w:w="1276" w:type="dxa"/>
          </w:tcPr>
          <w:p>
            <w:pPr>
              <w:pStyle w:val="TableParagraph"/>
              <w:spacing w:before="36"/>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before="1"/>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91">
              <w:r>
                <w:rPr>
                  <w:rFonts w:ascii="Times New Roman"/>
                  <w:color w:val="0000FF"/>
                  <w:spacing w:val="-2"/>
                  <w:sz w:val="21"/>
                </w:rPr>
                <w:t>8.2.6</w:t>
              </w:r>
            </w:hyperlink>
          </w:p>
        </w:tc>
      </w:tr>
      <w:tr>
        <w:trPr>
          <w:trHeight w:val="624" w:hRule="atLeast"/>
        </w:trPr>
        <w:tc>
          <w:tcPr>
            <w:tcW w:w="1556" w:type="dxa"/>
          </w:tcPr>
          <w:p>
            <w:pPr>
              <w:pStyle w:val="TableParagraph"/>
              <w:spacing w:before="36"/>
              <w:ind w:left="107" w:right="422"/>
              <w:rPr>
                <w:rFonts w:ascii="Times New Roman" w:eastAsia="Times New Roman"/>
                <w:sz w:val="21"/>
              </w:rPr>
            </w:pPr>
            <w:r>
              <w:rPr>
                <w:rFonts w:ascii="Times New Roman" w:eastAsia="Times New Roman"/>
                <w:spacing w:val="-2"/>
                <w:sz w:val="21"/>
              </w:rPr>
              <w:t>FSH</w:t>
            </w:r>
            <w:r>
              <w:rPr>
                <w:spacing w:val="-2"/>
                <w:sz w:val="21"/>
              </w:rPr>
              <w:t>（如适</w:t>
            </w:r>
            <w:r>
              <w:rPr>
                <w:spacing w:val="-4"/>
                <w:sz w:val="21"/>
              </w:rPr>
              <w:t>用）</w:t>
            </w:r>
            <w:r>
              <w:rPr>
                <w:rFonts w:ascii="Times New Roman" w:eastAsia="Times New Roman"/>
                <w:spacing w:val="-4"/>
                <w:sz w:val="21"/>
                <w:vertAlign w:val="superscript"/>
              </w:rPr>
              <w:t>j</w:t>
            </w:r>
          </w:p>
        </w:tc>
        <w:tc>
          <w:tcPr>
            <w:tcW w:w="1276" w:type="dxa"/>
          </w:tcPr>
          <w:p>
            <w:pPr>
              <w:pStyle w:val="TableParagraph"/>
              <w:spacing w:before="174"/>
              <w:ind w:right="95"/>
              <w:jc w:val="center"/>
              <w:rPr>
                <w:sz w:val="21"/>
              </w:rPr>
            </w:pPr>
            <w:r>
              <w:rPr>
                <w:spacing w:val="-5"/>
                <w:sz w:val="21"/>
              </w:rPr>
              <w:t>（</w:t>
            </w:r>
            <w:r>
              <w:rPr>
                <w:rFonts w:ascii="Times New Roman" w:eastAsia="Times New Roman"/>
                <w:spacing w:val="-5"/>
                <w:sz w:val="21"/>
              </w:rPr>
              <w:t>X</w:t>
            </w:r>
            <w:r>
              <w:rPr>
                <w:spacing w:val="-5"/>
                <w:sz w:val="21"/>
              </w:rP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TableParagraph"/>
              <w:spacing w:before="191"/>
              <w:ind w:left="2" w:right="20"/>
              <w:jc w:val="center"/>
              <w:rPr>
                <w:rFonts w:ascii="Times New Roman"/>
                <w:sz w:val="21"/>
              </w:rPr>
            </w:pPr>
            <w:hyperlink w:history="true" w:anchor="_bookmark91">
              <w:r>
                <w:rPr>
                  <w:rFonts w:ascii="Times New Roman"/>
                  <w:color w:val="0000FF"/>
                  <w:spacing w:val="-2"/>
                  <w:sz w:val="21"/>
                </w:rPr>
                <w:t>8.2.6</w:t>
              </w:r>
            </w:hyperlink>
          </w:p>
        </w:tc>
      </w:tr>
      <w:tr>
        <w:trPr>
          <w:trHeight w:val="625" w:hRule="atLeast"/>
        </w:trPr>
        <w:tc>
          <w:tcPr>
            <w:tcW w:w="1556" w:type="dxa"/>
          </w:tcPr>
          <w:p>
            <w:pPr>
              <w:pStyle w:val="TableParagraph"/>
              <w:spacing w:line="273" w:lineRule="exact" w:before="36"/>
              <w:ind w:left="107"/>
              <w:rPr>
                <w:sz w:val="21"/>
              </w:rPr>
            </w:pPr>
            <w:r>
              <w:rPr>
                <w:spacing w:val="-2"/>
                <w:sz w:val="21"/>
              </w:rPr>
              <w:t>血清妊娠试验</w:t>
            </w:r>
          </w:p>
          <w:p>
            <w:pPr>
              <w:pStyle w:val="TableParagraph"/>
              <w:ind w:left="3"/>
              <w:rPr>
                <w:rFonts w:ascii="Times New Roman" w:eastAsia="Times New Roman"/>
                <w:sz w:val="21"/>
              </w:rPr>
            </w:pPr>
            <w:r>
              <w:rPr>
                <w:sz w:val="21"/>
              </w:rPr>
              <w:t>（</w:t>
            </w:r>
            <w:r>
              <w:rPr>
                <w:spacing w:val="-27"/>
                <w:sz w:val="21"/>
              </w:rPr>
              <w:t>仅 </w:t>
            </w:r>
            <w:r>
              <w:rPr>
                <w:rFonts w:ascii="Times New Roman" w:eastAsia="Times New Roman"/>
                <w:spacing w:val="-2"/>
                <w:sz w:val="21"/>
              </w:rPr>
              <w:t>FOCBP</w:t>
            </w:r>
            <w:r>
              <w:rPr>
                <w:spacing w:val="-2"/>
                <w:sz w:val="21"/>
              </w:rPr>
              <w:t>）</w:t>
            </w:r>
            <w:r>
              <w:rPr>
                <w:rFonts w:ascii="Times New Roman" w:eastAsia="Times New Roman"/>
                <w:spacing w:val="-2"/>
                <w:sz w:val="21"/>
                <w:vertAlign w:val="superscript"/>
              </w:rPr>
              <w:t>k</w:t>
            </w:r>
          </w:p>
        </w:tc>
        <w:tc>
          <w:tcPr>
            <w:tcW w:w="1276" w:type="dxa"/>
          </w:tcPr>
          <w:p>
            <w:pPr>
              <w:pStyle w:val="TableParagraph"/>
              <w:spacing w:before="191"/>
              <w:ind w:left="7"/>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TableParagraph"/>
              <w:spacing w:before="191"/>
              <w:ind w:left="2" w:right="20"/>
              <w:jc w:val="center"/>
              <w:rPr>
                <w:rFonts w:ascii="Times New Roman"/>
                <w:sz w:val="21"/>
              </w:rPr>
            </w:pPr>
            <w:hyperlink w:history="true" w:anchor="_bookmark91">
              <w:r>
                <w:rPr>
                  <w:rFonts w:ascii="Times New Roman"/>
                  <w:color w:val="0000FF"/>
                  <w:spacing w:val="-2"/>
                  <w:sz w:val="21"/>
                </w:rPr>
                <w:t>8.2.6</w:t>
              </w:r>
            </w:hyperlink>
          </w:p>
        </w:tc>
      </w:tr>
      <w:tr>
        <w:trPr>
          <w:trHeight w:val="895" w:hRule="atLeast"/>
        </w:trPr>
        <w:tc>
          <w:tcPr>
            <w:tcW w:w="1556" w:type="dxa"/>
          </w:tcPr>
          <w:p>
            <w:pPr>
              <w:pStyle w:val="TableParagraph"/>
              <w:spacing w:line="273" w:lineRule="exact" w:before="36"/>
              <w:ind w:left="107"/>
              <w:rPr>
                <w:sz w:val="21"/>
              </w:rPr>
            </w:pPr>
            <w:r>
              <w:rPr>
                <w:spacing w:val="-2"/>
                <w:sz w:val="21"/>
              </w:rPr>
              <w:t>尿液妊娠试验</w:t>
            </w:r>
          </w:p>
          <w:p>
            <w:pPr>
              <w:pStyle w:val="TableParagraph"/>
              <w:spacing w:line="272" w:lineRule="exact"/>
              <w:ind w:left="3"/>
              <w:rPr>
                <w:sz w:val="21"/>
              </w:rPr>
            </w:pPr>
            <w:r>
              <w:rPr>
                <w:sz w:val="21"/>
              </w:rPr>
              <w:t>（</w:t>
            </w:r>
            <w:r>
              <w:rPr>
                <w:spacing w:val="-2"/>
                <w:sz w:val="21"/>
              </w:rPr>
              <w:t>试纸法，仅</w:t>
            </w:r>
          </w:p>
          <w:p>
            <w:pPr>
              <w:pStyle w:val="TableParagraph"/>
              <w:spacing w:line="273" w:lineRule="exact"/>
              <w:ind w:left="107"/>
              <w:rPr>
                <w:rFonts w:ascii="Times New Roman" w:eastAsia="Times New Roman"/>
                <w:sz w:val="21"/>
              </w:rPr>
            </w:pPr>
            <w:r>
              <w:rPr>
                <w:rFonts w:ascii="Times New Roman" w:eastAsia="Times New Roman"/>
                <w:spacing w:val="-2"/>
                <w:sz w:val="21"/>
              </w:rPr>
              <w:t>FOCBP</w:t>
            </w:r>
            <w:r>
              <w:rPr>
                <w:spacing w:val="-2"/>
                <w:sz w:val="21"/>
              </w:rPr>
              <w:t>）</w:t>
            </w:r>
            <w:r>
              <w:rPr>
                <w:rFonts w:ascii="Times New Roman" w:eastAsia="Times New Roman"/>
                <w:spacing w:val="-2"/>
                <w:sz w:val="21"/>
                <w:vertAlign w:val="superscript"/>
              </w:rPr>
              <w:t>l</w:t>
            </w:r>
          </w:p>
        </w:tc>
        <w:tc>
          <w:tcPr>
            <w:tcW w:w="1276" w:type="dxa"/>
          </w:tcPr>
          <w:p>
            <w:pPr>
              <w:pStyle w:val="TableParagraph"/>
              <w:spacing w:before="172"/>
              <w:ind w:right="94"/>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e</w:t>
            </w:r>
          </w:p>
          <w:p>
            <w:pPr>
              <w:pStyle w:val="TableParagraph"/>
              <w:spacing w:before="1"/>
              <w:ind w:right="95"/>
              <w:jc w:val="center"/>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632" w:type="dxa"/>
          </w:tcPr>
          <w:p>
            <w:pPr>
              <w:pStyle w:val="TableParagraph"/>
              <w:spacing w:before="55"/>
              <w:rPr>
                <w:b/>
                <w:sz w:val="21"/>
              </w:rPr>
            </w:pPr>
          </w:p>
          <w:p>
            <w:pPr>
              <w:pStyle w:val="TableParagraph"/>
              <w:ind w:left="7"/>
              <w:jc w:val="center"/>
              <w:rPr>
                <w:rFonts w:ascii="Times New Roman"/>
                <w:sz w:val="21"/>
              </w:rPr>
            </w:pPr>
            <w:r>
              <w:rPr>
                <w:rFonts w:ascii="Times New Roman"/>
                <w:spacing w:val="-10"/>
                <w:sz w:val="21"/>
              </w:rPr>
              <w:t>X</w:t>
            </w:r>
          </w:p>
        </w:tc>
        <w:tc>
          <w:tcPr>
            <w:tcW w:w="632" w:type="dxa"/>
          </w:tcPr>
          <w:p>
            <w:pPr>
              <w:pStyle w:val="TableParagraph"/>
              <w:spacing w:before="55"/>
              <w:rPr>
                <w:b/>
                <w:sz w:val="21"/>
              </w:rPr>
            </w:pPr>
          </w:p>
          <w:p>
            <w:pPr>
              <w:pStyle w:val="TableParagraph"/>
              <w:ind w:left="7" w:right="1"/>
              <w:jc w:val="center"/>
              <w:rPr>
                <w:rFonts w:ascii="Times New Roman"/>
                <w:sz w:val="21"/>
              </w:rPr>
            </w:pPr>
            <w:r>
              <w:rPr>
                <w:rFonts w:ascii="Times New Roman"/>
                <w:spacing w:val="-10"/>
                <w:sz w:val="21"/>
              </w:rPr>
              <w:t>X</w:t>
            </w:r>
          </w:p>
        </w:tc>
        <w:tc>
          <w:tcPr>
            <w:tcW w:w="632" w:type="dxa"/>
          </w:tcPr>
          <w:p>
            <w:pPr>
              <w:pStyle w:val="TableParagraph"/>
              <w:spacing w:before="55"/>
              <w:rPr>
                <w:b/>
                <w:sz w:val="21"/>
              </w:rPr>
            </w:pPr>
          </w:p>
          <w:p>
            <w:pPr>
              <w:pStyle w:val="TableParagraph"/>
              <w:ind w:left="7" w:right="3"/>
              <w:jc w:val="center"/>
              <w:rPr>
                <w:rFonts w:ascii="Times New Roman"/>
                <w:sz w:val="21"/>
              </w:rPr>
            </w:pPr>
            <w:r>
              <w:rPr>
                <w:rFonts w:ascii="Times New Roman"/>
                <w:spacing w:val="-10"/>
                <w:sz w:val="21"/>
              </w:rPr>
              <w:t>X</w:t>
            </w:r>
          </w:p>
        </w:tc>
        <w:tc>
          <w:tcPr>
            <w:tcW w:w="632" w:type="dxa"/>
          </w:tcPr>
          <w:p>
            <w:pPr>
              <w:pStyle w:val="TableParagraph"/>
              <w:spacing w:before="55"/>
              <w:rPr>
                <w:b/>
                <w:sz w:val="21"/>
              </w:rPr>
            </w:pPr>
          </w:p>
          <w:p>
            <w:pPr>
              <w:pStyle w:val="TableParagraph"/>
              <w:ind w:left="7" w:right="5"/>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left="13" w:right="13"/>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left="13" w:right="13"/>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left="12" w:right="13"/>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left="10" w:right="13"/>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left="8" w:right="13"/>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left="6" w:right="13"/>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left="4" w:right="13"/>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left="2" w:right="13"/>
              <w:jc w:val="center"/>
              <w:rPr>
                <w:rFonts w:ascii="Times New Roman"/>
                <w:sz w:val="21"/>
              </w:rPr>
            </w:pPr>
            <w:r>
              <w:rPr>
                <w:rFonts w:ascii="Times New Roman"/>
                <w:spacing w:val="-10"/>
                <w:sz w:val="21"/>
              </w:rPr>
              <w:t>X</w:t>
            </w:r>
          </w:p>
        </w:tc>
        <w:tc>
          <w:tcPr>
            <w:tcW w:w="631" w:type="dxa"/>
          </w:tcPr>
          <w:p>
            <w:pPr>
              <w:pStyle w:val="TableParagraph"/>
              <w:spacing w:before="55"/>
              <w:rPr>
                <w:b/>
                <w:sz w:val="21"/>
              </w:rPr>
            </w:pPr>
          </w:p>
          <w:p>
            <w:pPr>
              <w:pStyle w:val="TableParagraph"/>
              <w:ind w:right="13"/>
              <w:jc w:val="center"/>
              <w:rPr>
                <w:rFonts w:ascii="Times New Roman"/>
                <w:sz w:val="21"/>
              </w:rPr>
            </w:pPr>
            <w:r>
              <w:rPr>
                <w:rFonts w:ascii="Times New Roman"/>
                <w:spacing w:val="-10"/>
                <w:sz w:val="21"/>
              </w:rPr>
              <w:t>X</w:t>
            </w:r>
          </w:p>
        </w:tc>
        <w:tc>
          <w:tcPr>
            <w:tcW w:w="883" w:type="dxa"/>
          </w:tcPr>
          <w:p>
            <w:pPr>
              <w:pStyle w:val="TableParagraph"/>
              <w:spacing w:before="55"/>
              <w:rPr>
                <w:b/>
                <w:sz w:val="21"/>
              </w:rPr>
            </w:pPr>
          </w:p>
          <w:p>
            <w:pPr>
              <w:pStyle w:val="TableParagraph"/>
              <w:ind w:right="15"/>
              <w:jc w:val="center"/>
              <w:rPr>
                <w:rFonts w:ascii="Times New Roman"/>
                <w:sz w:val="21"/>
              </w:rPr>
            </w:pPr>
            <w:r>
              <w:rPr>
                <w:rFonts w:ascii="Times New Roman"/>
                <w:spacing w:val="-10"/>
                <w:sz w:val="21"/>
              </w:rPr>
              <w:t>X</w:t>
            </w:r>
          </w:p>
        </w:tc>
        <w:tc>
          <w:tcPr>
            <w:tcW w:w="1131" w:type="dxa"/>
          </w:tcPr>
          <w:p>
            <w:pPr>
              <w:pStyle w:val="TableParagraph"/>
              <w:spacing w:before="55"/>
              <w:rPr>
                <w:b/>
                <w:sz w:val="21"/>
              </w:rPr>
            </w:pPr>
          </w:p>
          <w:p>
            <w:pPr>
              <w:pStyle w:val="TableParagraph"/>
              <w:ind w:right="14"/>
              <w:jc w:val="center"/>
              <w:rPr>
                <w:rFonts w:ascii="Times New Roman"/>
                <w:sz w:val="21"/>
              </w:rPr>
            </w:pPr>
            <w:r>
              <w:rPr>
                <w:rFonts w:ascii="Times New Roman"/>
                <w:spacing w:val="-10"/>
                <w:sz w:val="21"/>
              </w:rPr>
              <w:t>X</w:t>
            </w:r>
          </w:p>
        </w:tc>
        <w:tc>
          <w:tcPr>
            <w:tcW w:w="913" w:type="dxa"/>
          </w:tcPr>
          <w:p>
            <w:pPr>
              <w:pStyle w:val="TableParagraph"/>
              <w:spacing w:before="55"/>
              <w:rPr>
                <w:b/>
                <w:sz w:val="21"/>
              </w:rPr>
            </w:pPr>
          </w:p>
          <w:p>
            <w:pPr>
              <w:pStyle w:val="TableParagraph"/>
              <w:ind w:left="2" w:right="20"/>
              <w:jc w:val="center"/>
              <w:rPr>
                <w:rFonts w:ascii="Times New Roman"/>
                <w:sz w:val="21"/>
              </w:rPr>
            </w:pPr>
            <w:hyperlink w:history="true" w:anchor="_bookmark91">
              <w:r>
                <w:rPr>
                  <w:rFonts w:ascii="Times New Roman"/>
                  <w:color w:val="0000FF"/>
                  <w:spacing w:val="-2"/>
                  <w:sz w:val="21"/>
                </w:rPr>
                <w:t>8.2.6</w:t>
              </w:r>
            </w:hyperlink>
          </w:p>
        </w:tc>
      </w:tr>
      <w:tr>
        <w:trPr>
          <w:trHeight w:val="624" w:hRule="atLeast"/>
        </w:trPr>
        <w:tc>
          <w:tcPr>
            <w:tcW w:w="1556" w:type="dxa"/>
          </w:tcPr>
          <w:p>
            <w:pPr>
              <w:pStyle w:val="TableParagraph"/>
              <w:spacing w:before="192"/>
              <w:ind w:left="107"/>
              <w:rPr>
                <w:rFonts w:ascii="Times New Roman"/>
                <w:sz w:val="21"/>
              </w:rPr>
            </w:pPr>
            <w:r>
              <w:rPr>
                <w:rFonts w:ascii="Times New Roman"/>
                <w:sz w:val="21"/>
              </w:rPr>
              <w:t>PK</w:t>
            </w:r>
            <w:r>
              <w:rPr>
                <w:rFonts w:ascii="Times New Roman"/>
                <w:spacing w:val="-2"/>
                <w:sz w:val="21"/>
              </w:rPr>
              <w:t> </w:t>
            </w:r>
            <w:r>
              <w:rPr>
                <w:rFonts w:ascii="Times New Roman"/>
                <w:spacing w:val="-10"/>
                <w:sz w:val="21"/>
                <w:vertAlign w:val="superscript"/>
              </w:rPr>
              <w:t>m</w:t>
            </w:r>
          </w:p>
        </w:tc>
        <w:tc>
          <w:tcPr>
            <w:tcW w:w="1276" w:type="dxa"/>
          </w:tcPr>
          <w:p>
            <w:pPr>
              <w:pStyle w:val="TableParagraph"/>
              <w:spacing w:line="273" w:lineRule="exact" w:before="38"/>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line="273" w:lineRule="exact"/>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119">
              <w:r>
                <w:rPr>
                  <w:rFonts w:ascii="Times New Roman"/>
                  <w:color w:val="0000FF"/>
                  <w:spacing w:val="-2"/>
                  <w:sz w:val="21"/>
                </w:rPr>
                <w:t>8.4.1</w:t>
              </w:r>
            </w:hyperlink>
          </w:p>
        </w:tc>
      </w:tr>
      <w:tr>
        <w:trPr>
          <w:trHeight w:val="625" w:hRule="atLeast"/>
        </w:trPr>
        <w:tc>
          <w:tcPr>
            <w:tcW w:w="1556" w:type="dxa"/>
          </w:tcPr>
          <w:p>
            <w:pPr>
              <w:pStyle w:val="TableParagraph"/>
              <w:spacing w:before="174"/>
              <w:ind w:left="107"/>
              <w:rPr>
                <w:rFonts w:ascii="Times New Roman" w:eastAsia="Times New Roman"/>
                <w:sz w:val="21"/>
              </w:rPr>
            </w:pPr>
            <w:r>
              <w:rPr>
                <w:spacing w:val="-18"/>
                <w:sz w:val="21"/>
              </w:rPr>
              <w:t>血清 </w:t>
            </w:r>
            <w:r>
              <w:rPr>
                <w:rFonts w:ascii="Times New Roman" w:eastAsia="Times New Roman"/>
                <w:sz w:val="21"/>
              </w:rPr>
              <w:t>ADA</w:t>
            </w:r>
            <w:r>
              <w:rPr>
                <w:rFonts w:ascii="Times New Roman" w:eastAsia="Times New Roman"/>
                <w:spacing w:val="-3"/>
                <w:sz w:val="21"/>
              </w:rPr>
              <w:t> </w:t>
            </w:r>
            <w:r>
              <w:rPr>
                <w:rFonts w:ascii="Times New Roman" w:eastAsia="Times New Roman"/>
                <w:spacing w:val="-10"/>
                <w:sz w:val="21"/>
                <w:vertAlign w:val="superscript"/>
              </w:rPr>
              <w:t>m</w:t>
            </w:r>
          </w:p>
        </w:tc>
        <w:tc>
          <w:tcPr>
            <w:tcW w:w="1276" w:type="dxa"/>
          </w:tcPr>
          <w:p>
            <w:pPr>
              <w:pStyle w:val="TableParagraph"/>
              <w:spacing w:line="273" w:lineRule="exact" w:before="38"/>
              <w:ind w:right="93"/>
              <w:jc w:val="center"/>
              <w:rPr>
                <w:rFonts w:ascii="Times New Roman" w:eastAsia="Times New Roman"/>
                <w:sz w:val="21"/>
              </w:rPr>
            </w:pPr>
            <w:r>
              <w:rPr>
                <w:spacing w:val="-4"/>
                <w:sz w:val="21"/>
              </w:rPr>
              <w:t>（</w:t>
            </w:r>
            <w:r>
              <w:rPr>
                <w:rFonts w:ascii="Times New Roman" w:eastAsia="Times New Roman"/>
                <w:spacing w:val="-4"/>
                <w:sz w:val="21"/>
              </w:rPr>
              <w:t>X</w:t>
            </w:r>
            <w:r>
              <w:rPr>
                <w:spacing w:val="-4"/>
                <w:sz w:val="21"/>
              </w:rPr>
              <w:t>）</w:t>
            </w:r>
            <w:r>
              <w:rPr>
                <w:rFonts w:ascii="Times New Roman" w:eastAsia="Times New Roman"/>
                <w:spacing w:val="-4"/>
                <w:sz w:val="21"/>
                <w:vertAlign w:val="superscript"/>
              </w:rPr>
              <w:t>d</w:t>
            </w:r>
          </w:p>
          <w:p>
            <w:pPr>
              <w:pStyle w:val="TableParagraph"/>
              <w:spacing w:line="273" w:lineRule="exact"/>
              <w:ind w:right="92"/>
              <w:jc w:val="center"/>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632" w:type="dxa"/>
          </w:tcPr>
          <w:p>
            <w:pPr>
              <w:pStyle w:val="TableParagraph"/>
              <w:rPr>
                <w:rFonts w:ascii="Times New Roman"/>
                <w:sz w:val="20"/>
              </w:rPr>
            </w:pPr>
          </w:p>
        </w:tc>
        <w:tc>
          <w:tcPr>
            <w:tcW w:w="632" w:type="dxa"/>
          </w:tcPr>
          <w:p>
            <w:pPr>
              <w:pStyle w:val="TableParagraph"/>
              <w:rPr>
                <w:rFonts w:ascii="Times New Roman"/>
                <w:sz w:val="20"/>
              </w:rPr>
            </w:pPr>
          </w:p>
        </w:tc>
        <w:tc>
          <w:tcPr>
            <w:tcW w:w="632" w:type="dxa"/>
          </w:tcPr>
          <w:p>
            <w:pPr>
              <w:pStyle w:val="TableParagraph"/>
              <w:spacing w:before="192"/>
              <w:ind w:left="7" w:right="3"/>
              <w:jc w:val="center"/>
              <w:rPr>
                <w:rFonts w:ascii="Times New Roman"/>
                <w:sz w:val="21"/>
              </w:rPr>
            </w:pPr>
            <w:r>
              <w:rPr>
                <w:rFonts w:ascii="Times New Roman"/>
                <w:spacing w:val="-10"/>
                <w:sz w:val="21"/>
              </w:rPr>
              <w:t>X</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left="1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spacing w:before="192"/>
              <w:ind w:right="13"/>
              <w:jc w:val="center"/>
              <w:rPr>
                <w:rFonts w:ascii="Times New Roman"/>
                <w:sz w:val="21"/>
              </w:rPr>
            </w:pPr>
            <w:r>
              <w:rPr>
                <w:rFonts w:ascii="Times New Roman"/>
                <w:spacing w:val="-10"/>
                <w:sz w:val="21"/>
              </w:rPr>
              <w:t>X</w:t>
            </w:r>
          </w:p>
        </w:tc>
        <w:tc>
          <w:tcPr>
            <w:tcW w:w="883" w:type="dxa"/>
          </w:tcPr>
          <w:p>
            <w:pPr>
              <w:pStyle w:val="TableParagraph"/>
              <w:spacing w:before="192"/>
              <w:ind w:right="15"/>
              <w:jc w:val="center"/>
              <w:rPr>
                <w:rFonts w:ascii="Times New Roman"/>
                <w:sz w:val="21"/>
              </w:rPr>
            </w:pPr>
            <w:r>
              <w:rPr>
                <w:rFonts w:ascii="Times New Roman"/>
                <w:spacing w:val="-10"/>
                <w:sz w:val="21"/>
              </w:rPr>
              <w:t>X</w:t>
            </w:r>
          </w:p>
        </w:tc>
        <w:tc>
          <w:tcPr>
            <w:tcW w:w="1131" w:type="dxa"/>
          </w:tcPr>
          <w:p>
            <w:pPr>
              <w:pStyle w:val="TableParagraph"/>
              <w:spacing w:before="192"/>
              <w:ind w:right="14"/>
              <w:jc w:val="center"/>
              <w:rPr>
                <w:rFonts w:ascii="Times New Roman"/>
                <w:sz w:val="21"/>
              </w:rPr>
            </w:pPr>
            <w:r>
              <w:rPr>
                <w:rFonts w:ascii="Times New Roman"/>
                <w:spacing w:val="-10"/>
                <w:sz w:val="21"/>
              </w:rPr>
              <w:t>X</w:t>
            </w:r>
          </w:p>
        </w:tc>
        <w:tc>
          <w:tcPr>
            <w:tcW w:w="913" w:type="dxa"/>
          </w:tcPr>
          <w:p>
            <w:pPr>
              <w:pStyle w:val="TableParagraph"/>
              <w:spacing w:before="192"/>
              <w:ind w:left="2" w:right="20"/>
              <w:jc w:val="center"/>
              <w:rPr>
                <w:rFonts w:ascii="Times New Roman"/>
                <w:sz w:val="21"/>
              </w:rPr>
            </w:pPr>
            <w:hyperlink w:history="true" w:anchor="_bookmark121">
              <w:r>
                <w:rPr>
                  <w:rFonts w:ascii="Times New Roman"/>
                  <w:color w:val="0000FF"/>
                  <w:spacing w:val="-2"/>
                  <w:sz w:val="21"/>
                </w:rPr>
                <w:t>8.4.2</w:t>
              </w:r>
            </w:hyperlink>
          </w:p>
        </w:tc>
      </w:tr>
    </w:tbl>
    <w:p>
      <w:pPr>
        <w:spacing w:after="0"/>
        <w:jc w:val="center"/>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1276"/>
        <w:gridCol w:w="632"/>
        <w:gridCol w:w="632"/>
        <w:gridCol w:w="632"/>
        <w:gridCol w:w="632"/>
        <w:gridCol w:w="631"/>
        <w:gridCol w:w="631"/>
        <w:gridCol w:w="631"/>
        <w:gridCol w:w="631"/>
        <w:gridCol w:w="631"/>
        <w:gridCol w:w="631"/>
        <w:gridCol w:w="631"/>
        <w:gridCol w:w="631"/>
        <w:gridCol w:w="631"/>
        <w:gridCol w:w="883"/>
        <w:gridCol w:w="1131"/>
        <w:gridCol w:w="913"/>
      </w:tblGrid>
      <w:tr>
        <w:trPr>
          <w:trHeight w:val="896" w:hRule="atLeast"/>
        </w:trPr>
        <w:tc>
          <w:tcPr>
            <w:tcW w:w="1556" w:type="dxa"/>
            <w:shd w:val="clear" w:color="auto" w:fill="D9D9D9"/>
          </w:tcPr>
          <w:p>
            <w:pPr>
              <w:pStyle w:val="TableParagraph"/>
              <w:spacing w:before="37"/>
              <w:rPr>
                <w:b/>
                <w:sz w:val="21"/>
              </w:rPr>
            </w:pPr>
          </w:p>
          <w:p>
            <w:pPr>
              <w:pStyle w:val="TableParagraph"/>
              <w:ind w:left="355"/>
              <w:rPr>
                <w:b/>
                <w:sz w:val="21"/>
              </w:rPr>
            </w:pPr>
            <w:r>
              <w:rPr>
                <w:b/>
                <w:spacing w:val="-4"/>
                <w:sz w:val="21"/>
              </w:rPr>
              <w:t>研究阶段</w:t>
            </w:r>
          </w:p>
        </w:tc>
        <w:tc>
          <w:tcPr>
            <w:tcW w:w="1276" w:type="dxa"/>
            <w:shd w:val="clear" w:color="auto" w:fill="D9D9D9"/>
          </w:tcPr>
          <w:p>
            <w:pPr>
              <w:pStyle w:val="TableParagraph"/>
              <w:spacing w:before="172"/>
              <w:ind w:left="426"/>
              <w:rPr>
                <w:b/>
                <w:sz w:val="21"/>
              </w:rPr>
            </w:pPr>
            <w:r>
              <w:rPr>
                <w:b/>
                <w:spacing w:val="-6"/>
                <w:sz w:val="21"/>
              </w:rPr>
              <w:t>入选</w:t>
            </w:r>
          </w:p>
          <w:p>
            <w:pPr>
              <w:pStyle w:val="TableParagraph"/>
              <w:spacing w:before="1"/>
              <w:ind w:left="116"/>
              <w:rPr>
                <w:b/>
                <w:sz w:val="21"/>
              </w:rPr>
            </w:pPr>
            <w:r>
              <w:rPr>
                <w:b/>
                <w:spacing w:val="-2"/>
                <w:sz w:val="21"/>
              </w:rPr>
              <w:t>（</w:t>
            </w:r>
            <w:r>
              <w:rPr>
                <w:rFonts w:ascii="Times New Roman" w:eastAsia="Times New Roman"/>
                <w:b/>
                <w:spacing w:val="-2"/>
                <w:sz w:val="21"/>
              </w:rPr>
              <w:t>Enrol</w:t>
            </w:r>
            <w:r>
              <w:rPr>
                <w:b/>
                <w:spacing w:val="-2"/>
                <w:sz w:val="21"/>
              </w:rPr>
              <w:t>）</w:t>
            </w:r>
          </w:p>
        </w:tc>
        <w:tc>
          <w:tcPr>
            <w:tcW w:w="8207" w:type="dxa"/>
            <w:gridSpan w:val="13"/>
            <w:shd w:val="clear" w:color="auto" w:fill="D9D9D9"/>
          </w:tcPr>
          <w:p>
            <w:pPr>
              <w:pStyle w:val="TableParagraph"/>
              <w:spacing w:before="37"/>
              <w:rPr>
                <w:b/>
                <w:sz w:val="21"/>
              </w:rPr>
            </w:pPr>
          </w:p>
          <w:p>
            <w:pPr>
              <w:pStyle w:val="TableParagraph"/>
              <w:ind w:right="4"/>
              <w:jc w:val="center"/>
              <w:rPr>
                <w:b/>
                <w:sz w:val="21"/>
              </w:rPr>
            </w:pPr>
            <w:r>
              <w:rPr>
                <w:b/>
                <w:spacing w:val="-2"/>
                <w:sz w:val="21"/>
              </w:rPr>
              <w:t>干预（治疗）</w:t>
            </w:r>
            <w:r>
              <w:rPr>
                <w:b/>
                <w:spacing w:val="-12"/>
                <w:sz w:val="21"/>
              </w:rPr>
              <w:t>期</w:t>
            </w:r>
          </w:p>
        </w:tc>
        <w:tc>
          <w:tcPr>
            <w:tcW w:w="883" w:type="dxa"/>
            <w:shd w:val="clear" w:color="auto" w:fill="D9D9D9"/>
          </w:tcPr>
          <w:p>
            <w:pPr>
              <w:pStyle w:val="TableParagraph"/>
              <w:spacing w:before="172"/>
              <w:ind w:left="112"/>
              <w:rPr>
                <w:b/>
                <w:sz w:val="21"/>
              </w:rPr>
            </w:pPr>
            <w:r>
              <w:rPr>
                <w:b/>
                <w:spacing w:val="-5"/>
                <w:sz w:val="21"/>
              </w:rPr>
              <w:t>随访期</w:t>
            </w:r>
          </w:p>
          <w:p>
            <w:pPr>
              <w:pStyle w:val="TableParagraph"/>
              <w:spacing w:before="1"/>
              <w:ind w:left="24"/>
              <w:rPr>
                <w:b/>
                <w:sz w:val="21"/>
              </w:rPr>
            </w:pPr>
            <w:r>
              <w:rPr>
                <w:b/>
                <w:spacing w:val="-4"/>
                <w:sz w:val="21"/>
              </w:rPr>
              <w:t>（</w:t>
            </w:r>
            <w:r>
              <w:rPr>
                <w:rFonts w:ascii="Times New Roman" w:eastAsia="Times New Roman"/>
                <w:b/>
                <w:spacing w:val="-4"/>
                <w:sz w:val="21"/>
              </w:rPr>
              <w:t>FU</w:t>
            </w:r>
            <w:r>
              <w:rPr>
                <w:b/>
                <w:spacing w:val="-4"/>
                <w:sz w:val="21"/>
              </w:rPr>
              <w:t>）</w:t>
            </w:r>
          </w:p>
        </w:tc>
        <w:tc>
          <w:tcPr>
            <w:tcW w:w="1131" w:type="dxa"/>
            <w:shd w:val="clear" w:color="auto" w:fill="D9D9D9"/>
          </w:tcPr>
          <w:p>
            <w:pPr>
              <w:pStyle w:val="TableParagraph"/>
              <w:spacing w:before="36"/>
              <w:ind w:left="165" w:right="183"/>
              <w:jc w:val="center"/>
              <w:rPr>
                <w:b/>
                <w:sz w:val="21"/>
              </w:rPr>
            </w:pPr>
            <w:r>
              <w:rPr>
                <w:rFonts w:ascii="Times New Roman" w:eastAsia="Times New Roman"/>
                <w:b/>
                <w:spacing w:val="-2"/>
                <w:sz w:val="21"/>
              </w:rPr>
              <w:t>E/D</w:t>
            </w:r>
            <w:r>
              <w:rPr>
                <w:b/>
                <w:spacing w:val="-2"/>
                <w:sz w:val="21"/>
              </w:rPr>
              <w:t>，电</w:t>
            </w:r>
            <w:r>
              <w:rPr>
                <w:b/>
                <w:spacing w:val="-14"/>
                <w:sz w:val="21"/>
              </w:rPr>
              <w:t>话随访 </w:t>
            </w:r>
            <w:r>
              <w:rPr>
                <w:rFonts w:ascii="Times New Roman" w:eastAsia="Times New Roman"/>
                <w:b/>
                <w:sz w:val="21"/>
                <w:vertAlign w:val="superscript"/>
              </w:rPr>
              <w:t>a</w:t>
            </w:r>
            <w:r>
              <w:rPr>
                <w:b/>
                <w:spacing w:val="-6"/>
                <w:sz w:val="21"/>
                <w:vertAlign w:val="baseline"/>
              </w:rPr>
              <w:t>之后</w:t>
            </w:r>
          </w:p>
        </w:tc>
        <w:tc>
          <w:tcPr>
            <w:tcW w:w="913" w:type="dxa"/>
            <w:vMerge w:val="restart"/>
            <w:shd w:val="clear" w:color="auto" w:fill="D9D9D9"/>
          </w:tcPr>
          <w:p>
            <w:pPr>
              <w:pStyle w:val="TableParagraph"/>
              <w:rPr>
                <w:b/>
                <w:sz w:val="21"/>
              </w:rPr>
            </w:pPr>
          </w:p>
          <w:p>
            <w:pPr>
              <w:pStyle w:val="TableParagraph"/>
              <w:rPr>
                <w:b/>
                <w:sz w:val="21"/>
              </w:rPr>
            </w:pPr>
          </w:p>
          <w:p>
            <w:pPr>
              <w:pStyle w:val="TableParagraph"/>
              <w:rPr>
                <w:b/>
                <w:sz w:val="21"/>
              </w:rPr>
            </w:pPr>
          </w:p>
          <w:p>
            <w:pPr>
              <w:pStyle w:val="TableParagraph"/>
              <w:rPr>
                <w:b/>
                <w:sz w:val="21"/>
              </w:rPr>
            </w:pPr>
          </w:p>
          <w:p>
            <w:pPr>
              <w:pStyle w:val="TableParagraph"/>
              <w:spacing w:before="50"/>
              <w:rPr>
                <w:b/>
                <w:sz w:val="21"/>
              </w:rPr>
            </w:pPr>
          </w:p>
          <w:p>
            <w:pPr>
              <w:pStyle w:val="TableParagraph"/>
              <w:spacing w:line="240" w:lineRule="exact"/>
              <w:ind w:left="241"/>
              <w:rPr>
                <w:rFonts w:ascii="Times New Roman"/>
                <w:b/>
                <w:sz w:val="21"/>
              </w:rPr>
            </w:pPr>
            <w:r>
              <w:rPr>
                <w:rFonts w:ascii="Times New Roman"/>
                <w:b/>
                <w:spacing w:val="-5"/>
                <w:sz w:val="21"/>
              </w:rPr>
              <w:t>CSP</w:t>
            </w:r>
          </w:p>
          <w:p>
            <w:pPr>
              <w:pStyle w:val="TableParagraph"/>
              <w:spacing w:line="272" w:lineRule="exact"/>
              <w:ind w:left="229"/>
              <w:rPr>
                <w:b/>
                <w:sz w:val="21"/>
              </w:rPr>
            </w:pPr>
            <w:r>
              <w:rPr>
                <w:b/>
                <w:spacing w:val="-6"/>
                <w:sz w:val="21"/>
              </w:rPr>
              <w:t>章节</w:t>
            </w:r>
          </w:p>
        </w:tc>
      </w:tr>
      <w:tr>
        <w:trPr>
          <w:trHeight w:val="352" w:hRule="atLeast"/>
        </w:trPr>
        <w:tc>
          <w:tcPr>
            <w:tcW w:w="1556" w:type="dxa"/>
            <w:shd w:val="clear" w:color="auto" w:fill="D9D9D9"/>
          </w:tcPr>
          <w:p>
            <w:pPr>
              <w:pStyle w:val="TableParagraph"/>
              <w:spacing w:before="39"/>
              <w:ind w:left="460"/>
              <w:rPr>
                <w:b/>
                <w:sz w:val="21"/>
              </w:rPr>
            </w:pPr>
            <w:r>
              <w:rPr>
                <w:b/>
                <w:spacing w:val="-5"/>
                <w:sz w:val="21"/>
              </w:rPr>
              <w:t>研究周</w:t>
            </w:r>
          </w:p>
        </w:tc>
        <w:tc>
          <w:tcPr>
            <w:tcW w:w="1276" w:type="dxa"/>
            <w:shd w:val="clear" w:color="auto" w:fill="D9D9D9"/>
          </w:tcPr>
          <w:p>
            <w:pPr>
              <w:pStyle w:val="TableParagraph"/>
              <w:spacing w:before="57"/>
              <w:ind w:left="7"/>
              <w:jc w:val="center"/>
              <w:rPr>
                <w:rFonts w:ascii="Times New Roman"/>
                <w:sz w:val="21"/>
              </w:rPr>
            </w:pPr>
            <w:r>
              <w:rPr>
                <w:rFonts w:ascii="Times New Roman"/>
                <w:spacing w:val="-5"/>
                <w:sz w:val="21"/>
              </w:rPr>
              <w:t>W0</w:t>
            </w:r>
          </w:p>
        </w:tc>
        <w:tc>
          <w:tcPr>
            <w:tcW w:w="632" w:type="dxa"/>
            <w:shd w:val="clear" w:color="auto" w:fill="D9D9D9"/>
          </w:tcPr>
          <w:p>
            <w:pPr>
              <w:pStyle w:val="TableParagraph"/>
              <w:spacing w:before="57"/>
              <w:ind w:left="7" w:right="2"/>
              <w:jc w:val="center"/>
              <w:rPr>
                <w:rFonts w:ascii="Times New Roman"/>
                <w:sz w:val="21"/>
              </w:rPr>
            </w:pPr>
            <w:r>
              <w:rPr>
                <w:rFonts w:ascii="Times New Roman"/>
                <w:spacing w:val="-5"/>
                <w:sz w:val="21"/>
              </w:rPr>
              <w:t>W4</w:t>
            </w:r>
          </w:p>
        </w:tc>
        <w:tc>
          <w:tcPr>
            <w:tcW w:w="632" w:type="dxa"/>
            <w:shd w:val="clear" w:color="auto" w:fill="D9D9D9"/>
          </w:tcPr>
          <w:p>
            <w:pPr>
              <w:pStyle w:val="TableParagraph"/>
              <w:spacing w:before="57"/>
              <w:ind w:left="7" w:right="4"/>
              <w:jc w:val="center"/>
              <w:rPr>
                <w:rFonts w:ascii="Times New Roman"/>
                <w:sz w:val="21"/>
              </w:rPr>
            </w:pPr>
            <w:r>
              <w:rPr>
                <w:rFonts w:ascii="Times New Roman"/>
                <w:spacing w:val="-5"/>
                <w:sz w:val="21"/>
              </w:rPr>
              <w:t>W8</w:t>
            </w:r>
          </w:p>
        </w:tc>
        <w:tc>
          <w:tcPr>
            <w:tcW w:w="632" w:type="dxa"/>
            <w:shd w:val="clear" w:color="auto" w:fill="D9D9D9"/>
          </w:tcPr>
          <w:p>
            <w:pPr>
              <w:pStyle w:val="TableParagraph"/>
              <w:spacing w:before="57"/>
              <w:ind w:left="7" w:right="3"/>
              <w:jc w:val="center"/>
              <w:rPr>
                <w:rFonts w:ascii="Times New Roman"/>
                <w:sz w:val="21"/>
              </w:rPr>
            </w:pPr>
            <w:r>
              <w:rPr>
                <w:rFonts w:ascii="Times New Roman"/>
                <w:spacing w:val="-5"/>
                <w:sz w:val="21"/>
              </w:rPr>
              <w:t>W12</w:t>
            </w:r>
          </w:p>
        </w:tc>
        <w:tc>
          <w:tcPr>
            <w:tcW w:w="632" w:type="dxa"/>
            <w:shd w:val="clear" w:color="auto" w:fill="D9D9D9"/>
          </w:tcPr>
          <w:p>
            <w:pPr>
              <w:pStyle w:val="TableParagraph"/>
              <w:spacing w:before="57"/>
              <w:ind w:left="7" w:right="5"/>
              <w:jc w:val="center"/>
              <w:rPr>
                <w:rFonts w:ascii="Times New Roman"/>
                <w:sz w:val="21"/>
              </w:rPr>
            </w:pPr>
            <w:r>
              <w:rPr>
                <w:rFonts w:ascii="Times New Roman"/>
                <w:spacing w:val="-5"/>
                <w:sz w:val="21"/>
              </w:rPr>
              <w:t>W16</w:t>
            </w:r>
          </w:p>
        </w:tc>
        <w:tc>
          <w:tcPr>
            <w:tcW w:w="631" w:type="dxa"/>
            <w:shd w:val="clear" w:color="auto" w:fill="D9D9D9"/>
          </w:tcPr>
          <w:p>
            <w:pPr>
              <w:pStyle w:val="TableParagraph"/>
              <w:spacing w:before="57"/>
              <w:ind w:left="13" w:right="13"/>
              <w:jc w:val="center"/>
              <w:rPr>
                <w:rFonts w:ascii="Times New Roman"/>
                <w:sz w:val="21"/>
              </w:rPr>
            </w:pPr>
            <w:r>
              <w:rPr>
                <w:rFonts w:ascii="Times New Roman"/>
                <w:spacing w:val="-5"/>
                <w:sz w:val="21"/>
              </w:rPr>
              <w:t>W20</w:t>
            </w:r>
          </w:p>
        </w:tc>
        <w:tc>
          <w:tcPr>
            <w:tcW w:w="631" w:type="dxa"/>
            <w:shd w:val="clear" w:color="auto" w:fill="D9D9D9"/>
          </w:tcPr>
          <w:p>
            <w:pPr>
              <w:pStyle w:val="TableParagraph"/>
              <w:spacing w:before="57"/>
              <w:ind w:left="13" w:right="13"/>
              <w:jc w:val="center"/>
              <w:rPr>
                <w:rFonts w:ascii="Times New Roman"/>
                <w:sz w:val="21"/>
              </w:rPr>
            </w:pPr>
            <w:r>
              <w:rPr>
                <w:rFonts w:ascii="Times New Roman"/>
                <w:spacing w:val="-5"/>
                <w:sz w:val="21"/>
              </w:rPr>
              <w:t>W24</w:t>
            </w:r>
          </w:p>
        </w:tc>
        <w:tc>
          <w:tcPr>
            <w:tcW w:w="631" w:type="dxa"/>
            <w:shd w:val="clear" w:color="auto" w:fill="D9D9D9"/>
          </w:tcPr>
          <w:p>
            <w:pPr>
              <w:pStyle w:val="TableParagraph"/>
              <w:spacing w:before="57"/>
              <w:ind w:left="11" w:right="13"/>
              <w:jc w:val="center"/>
              <w:rPr>
                <w:rFonts w:ascii="Times New Roman"/>
                <w:sz w:val="21"/>
              </w:rPr>
            </w:pPr>
            <w:r>
              <w:rPr>
                <w:rFonts w:ascii="Times New Roman"/>
                <w:spacing w:val="-5"/>
                <w:sz w:val="21"/>
              </w:rPr>
              <w:t>W28</w:t>
            </w:r>
          </w:p>
        </w:tc>
        <w:tc>
          <w:tcPr>
            <w:tcW w:w="631" w:type="dxa"/>
            <w:shd w:val="clear" w:color="auto" w:fill="D9D9D9"/>
          </w:tcPr>
          <w:p>
            <w:pPr>
              <w:pStyle w:val="TableParagraph"/>
              <w:spacing w:before="57"/>
              <w:ind w:left="10" w:right="13"/>
              <w:jc w:val="center"/>
              <w:rPr>
                <w:rFonts w:ascii="Times New Roman"/>
                <w:sz w:val="21"/>
              </w:rPr>
            </w:pPr>
            <w:r>
              <w:rPr>
                <w:rFonts w:ascii="Times New Roman"/>
                <w:spacing w:val="-5"/>
                <w:sz w:val="21"/>
              </w:rPr>
              <w:t>W32</w:t>
            </w:r>
          </w:p>
        </w:tc>
        <w:tc>
          <w:tcPr>
            <w:tcW w:w="631" w:type="dxa"/>
            <w:shd w:val="clear" w:color="auto" w:fill="D9D9D9"/>
          </w:tcPr>
          <w:p>
            <w:pPr>
              <w:pStyle w:val="TableParagraph"/>
              <w:spacing w:before="57"/>
              <w:ind w:left="8" w:right="13"/>
              <w:jc w:val="center"/>
              <w:rPr>
                <w:rFonts w:ascii="Times New Roman"/>
                <w:sz w:val="21"/>
              </w:rPr>
            </w:pPr>
            <w:r>
              <w:rPr>
                <w:rFonts w:ascii="Times New Roman"/>
                <w:spacing w:val="-5"/>
                <w:sz w:val="21"/>
              </w:rPr>
              <w:t>W36</w:t>
            </w:r>
          </w:p>
        </w:tc>
        <w:tc>
          <w:tcPr>
            <w:tcW w:w="631" w:type="dxa"/>
            <w:shd w:val="clear" w:color="auto" w:fill="D9D9D9"/>
          </w:tcPr>
          <w:p>
            <w:pPr>
              <w:pStyle w:val="TableParagraph"/>
              <w:spacing w:before="57"/>
              <w:ind w:left="6" w:right="13"/>
              <w:jc w:val="center"/>
              <w:rPr>
                <w:rFonts w:ascii="Times New Roman"/>
                <w:sz w:val="21"/>
              </w:rPr>
            </w:pPr>
            <w:r>
              <w:rPr>
                <w:rFonts w:ascii="Times New Roman"/>
                <w:spacing w:val="-5"/>
                <w:sz w:val="21"/>
              </w:rPr>
              <w:t>W40</w:t>
            </w:r>
          </w:p>
        </w:tc>
        <w:tc>
          <w:tcPr>
            <w:tcW w:w="631" w:type="dxa"/>
            <w:shd w:val="clear" w:color="auto" w:fill="D9D9D9"/>
          </w:tcPr>
          <w:p>
            <w:pPr>
              <w:pStyle w:val="TableParagraph"/>
              <w:spacing w:before="57"/>
              <w:ind w:left="4" w:right="13"/>
              <w:jc w:val="center"/>
              <w:rPr>
                <w:rFonts w:ascii="Times New Roman"/>
                <w:sz w:val="21"/>
              </w:rPr>
            </w:pPr>
            <w:r>
              <w:rPr>
                <w:rFonts w:ascii="Times New Roman"/>
                <w:spacing w:val="-5"/>
                <w:sz w:val="21"/>
              </w:rPr>
              <w:t>W44</w:t>
            </w:r>
          </w:p>
        </w:tc>
        <w:tc>
          <w:tcPr>
            <w:tcW w:w="631" w:type="dxa"/>
            <w:shd w:val="clear" w:color="auto" w:fill="D9D9D9"/>
          </w:tcPr>
          <w:p>
            <w:pPr>
              <w:pStyle w:val="TableParagraph"/>
              <w:spacing w:before="57"/>
              <w:ind w:left="2" w:right="13"/>
              <w:jc w:val="center"/>
              <w:rPr>
                <w:rFonts w:ascii="Times New Roman"/>
                <w:sz w:val="21"/>
              </w:rPr>
            </w:pPr>
            <w:r>
              <w:rPr>
                <w:rFonts w:ascii="Times New Roman"/>
                <w:spacing w:val="-5"/>
                <w:sz w:val="21"/>
              </w:rPr>
              <w:t>W48</w:t>
            </w:r>
          </w:p>
        </w:tc>
        <w:tc>
          <w:tcPr>
            <w:tcW w:w="631" w:type="dxa"/>
            <w:shd w:val="clear" w:color="auto" w:fill="D9D9D9"/>
          </w:tcPr>
          <w:p>
            <w:pPr>
              <w:pStyle w:val="TableParagraph"/>
              <w:spacing w:before="57"/>
              <w:ind w:right="13"/>
              <w:jc w:val="center"/>
              <w:rPr>
                <w:rFonts w:ascii="Times New Roman"/>
                <w:sz w:val="21"/>
              </w:rPr>
            </w:pPr>
            <w:r>
              <w:rPr>
                <w:rFonts w:ascii="Times New Roman"/>
                <w:spacing w:val="-5"/>
                <w:sz w:val="21"/>
              </w:rPr>
              <w:t>W52</w:t>
            </w:r>
          </w:p>
        </w:tc>
        <w:tc>
          <w:tcPr>
            <w:tcW w:w="883" w:type="dxa"/>
            <w:shd w:val="clear" w:color="auto" w:fill="D9D9D9"/>
          </w:tcPr>
          <w:p>
            <w:pPr>
              <w:pStyle w:val="TableParagraph"/>
              <w:spacing w:before="57"/>
              <w:ind w:right="15"/>
              <w:jc w:val="center"/>
              <w:rPr>
                <w:rFonts w:ascii="Times New Roman"/>
                <w:sz w:val="21"/>
              </w:rPr>
            </w:pPr>
            <w:r>
              <w:rPr>
                <w:rFonts w:ascii="Times New Roman"/>
                <w:spacing w:val="-5"/>
                <w:sz w:val="21"/>
              </w:rPr>
              <w:t>W60</w:t>
            </w:r>
          </w:p>
        </w:tc>
        <w:tc>
          <w:tcPr>
            <w:tcW w:w="1131" w:type="dxa"/>
            <w:vMerge w:val="restart"/>
            <w:shd w:val="clear" w:color="auto" w:fill="D9D9D9"/>
          </w:tcPr>
          <w:p>
            <w:pPr>
              <w:pStyle w:val="TableParagraph"/>
              <w:spacing w:before="38"/>
              <w:ind w:left="121" w:right="139"/>
              <w:jc w:val="center"/>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w:t>
            </w:r>
            <w:r>
              <w:rPr>
                <w:spacing w:val="-14"/>
                <w:sz w:val="21"/>
              </w:rPr>
              <w:t>药后 </w:t>
            </w:r>
            <w:r>
              <w:rPr>
                <w:rFonts w:ascii="Times New Roman" w:eastAsia="Times New Roman"/>
                <w:sz w:val="21"/>
              </w:rPr>
              <w:t>12</w:t>
            </w:r>
            <w:r>
              <w:rPr>
                <w:spacing w:val="-10"/>
                <w:sz w:val="21"/>
              </w:rPr>
              <w:t>周</w:t>
            </w:r>
          </w:p>
        </w:tc>
        <w:tc>
          <w:tcPr>
            <w:tcW w:w="913" w:type="dxa"/>
            <w:vMerge/>
            <w:tcBorders>
              <w:top w:val="nil"/>
            </w:tcBorders>
            <w:shd w:val="clear" w:color="auto" w:fill="D9D9D9"/>
          </w:tcPr>
          <w:p>
            <w:pPr>
              <w:rPr>
                <w:sz w:val="2"/>
                <w:szCs w:val="2"/>
              </w:rPr>
            </w:pPr>
          </w:p>
        </w:tc>
      </w:tr>
      <w:tr>
        <w:trPr>
          <w:trHeight w:val="534" w:hRule="atLeast"/>
        </w:trPr>
        <w:tc>
          <w:tcPr>
            <w:tcW w:w="1556" w:type="dxa"/>
            <w:shd w:val="clear" w:color="auto" w:fill="D9D9D9"/>
          </w:tcPr>
          <w:p>
            <w:pPr>
              <w:pStyle w:val="TableParagraph"/>
              <w:spacing w:before="130"/>
              <w:ind w:left="8"/>
              <w:jc w:val="center"/>
              <w:rPr>
                <w:b/>
                <w:sz w:val="21"/>
              </w:rPr>
            </w:pPr>
            <w:r>
              <w:rPr>
                <w:b/>
                <w:spacing w:val="-6"/>
                <w:sz w:val="21"/>
              </w:rPr>
              <w:t>访视</w:t>
            </w:r>
          </w:p>
        </w:tc>
        <w:tc>
          <w:tcPr>
            <w:tcW w:w="1276" w:type="dxa"/>
            <w:shd w:val="clear" w:color="auto" w:fill="D9D9D9"/>
          </w:tcPr>
          <w:p>
            <w:pPr>
              <w:pStyle w:val="TableParagraph"/>
              <w:spacing w:before="147"/>
              <w:ind w:left="6"/>
              <w:jc w:val="center"/>
              <w:rPr>
                <w:rFonts w:ascii="Times New Roman"/>
                <w:sz w:val="21"/>
              </w:rPr>
            </w:pPr>
            <w:r>
              <w:rPr>
                <w:rFonts w:ascii="Times New Roman"/>
                <w:spacing w:val="-5"/>
                <w:sz w:val="21"/>
              </w:rPr>
              <w:t>V1</w:t>
            </w:r>
          </w:p>
        </w:tc>
        <w:tc>
          <w:tcPr>
            <w:tcW w:w="632" w:type="dxa"/>
            <w:shd w:val="clear" w:color="auto" w:fill="D9D9D9"/>
          </w:tcPr>
          <w:p>
            <w:pPr>
              <w:pStyle w:val="TableParagraph"/>
              <w:spacing w:before="147"/>
              <w:ind w:left="7" w:right="1"/>
              <w:jc w:val="center"/>
              <w:rPr>
                <w:rFonts w:ascii="Times New Roman"/>
                <w:sz w:val="21"/>
              </w:rPr>
            </w:pPr>
            <w:r>
              <w:rPr>
                <w:rFonts w:ascii="Times New Roman"/>
                <w:spacing w:val="-5"/>
                <w:sz w:val="21"/>
              </w:rPr>
              <w:t>V2</w:t>
            </w:r>
          </w:p>
        </w:tc>
        <w:tc>
          <w:tcPr>
            <w:tcW w:w="632" w:type="dxa"/>
            <w:shd w:val="clear" w:color="auto" w:fill="D9D9D9"/>
          </w:tcPr>
          <w:p>
            <w:pPr>
              <w:pStyle w:val="TableParagraph"/>
              <w:spacing w:before="147"/>
              <w:ind w:left="7" w:right="3"/>
              <w:jc w:val="center"/>
              <w:rPr>
                <w:rFonts w:ascii="Times New Roman"/>
                <w:sz w:val="21"/>
              </w:rPr>
            </w:pPr>
            <w:r>
              <w:rPr>
                <w:rFonts w:ascii="Times New Roman"/>
                <w:spacing w:val="-5"/>
                <w:sz w:val="21"/>
              </w:rPr>
              <w:t>V3</w:t>
            </w:r>
          </w:p>
        </w:tc>
        <w:tc>
          <w:tcPr>
            <w:tcW w:w="632" w:type="dxa"/>
            <w:shd w:val="clear" w:color="auto" w:fill="D9D9D9"/>
          </w:tcPr>
          <w:p>
            <w:pPr>
              <w:pStyle w:val="TableParagraph"/>
              <w:spacing w:before="147"/>
              <w:ind w:left="7" w:right="4"/>
              <w:jc w:val="center"/>
              <w:rPr>
                <w:rFonts w:ascii="Times New Roman"/>
                <w:sz w:val="21"/>
              </w:rPr>
            </w:pPr>
            <w:r>
              <w:rPr>
                <w:rFonts w:ascii="Times New Roman"/>
                <w:spacing w:val="-5"/>
                <w:sz w:val="21"/>
              </w:rPr>
              <w:t>V4</w:t>
            </w:r>
          </w:p>
        </w:tc>
        <w:tc>
          <w:tcPr>
            <w:tcW w:w="632" w:type="dxa"/>
            <w:shd w:val="clear" w:color="auto" w:fill="D9D9D9"/>
          </w:tcPr>
          <w:p>
            <w:pPr>
              <w:pStyle w:val="TableParagraph"/>
              <w:spacing w:before="147"/>
              <w:ind w:left="7" w:right="6"/>
              <w:jc w:val="center"/>
              <w:rPr>
                <w:rFonts w:ascii="Times New Roman"/>
                <w:sz w:val="21"/>
              </w:rPr>
            </w:pPr>
            <w:r>
              <w:rPr>
                <w:rFonts w:ascii="Times New Roman"/>
                <w:spacing w:val="-5"/>
                <w:sz w:val="21"/>
              </w:rPr>
              <w:t>V5</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V6</w:t>
            </w:r>
          </w:p>
        </w:tc>
        <w:tc>
          <w:tcPr>
            <w:tcW w:w="631" w:type="dxa"/>
            <w:shd w:val="clear" w:color="auto" w:fill="D9D9D9"/>
          </w:tcPr>
          <w:p>
            <w:pPr>
              <w:pStyle w:val="TableParagraph"/>
              <w:spacing w:before="147"/>
              <w:ind w:left="12" w:right="13"/>
              <w:jc w:val="center"/>
              <w:rPr>
                <w:rFonts w:ascii="Times New Roman"/>
                <w:sz w:val="21"/>
              </w:rPr>
            </w:pPr>
            <w:r>
              <w:rPr>
                <w:rFonts w:ascii="Times New Roman"/>
                <w:spacing w:val="-5"/>
                <w:sz w:val="21"/>
              </w:rPr>
              <w:t>V7</w:t>
            </w:r>
          </w:p>
        </w:tc>
        <w:tc>
          <w:tcPr>
            <w:tcW w:w="631" w:type="dxa"/>
            <w:shd w:val="clear" w:color="auto" w:fill="D9D9D9"/>
          </w:tcPr>
          <w:p>
            <w:pPr>
              <w:pStyle w:val="TableParagraph"/>
              <w:spacing w:before="147"/>
              <w:ind w:left="11" w:right="13"/>
              <w:jc w:val="center"/>
              <w:rPr>
                <w:rFonts w:ascii="Times New Roman"/>
                <w:sz w:val="21"/>
              </w:rPr>
            </w:pPr>
            <w:r>
              <w:rPr>
                <w:rFonts w:ascii="Times New Roman"/>
                <w:spacing w:val="-5"/>
                <w:sz w:val="21"/>
              </w:rPr>
              <w:t>V8</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V9</w:t>
            </w:r>
          </w:p>
        </w:tc>
        <w:tc>
          <w:tcPr>
            <w:tcW w:w="631" w:type="dxa"/>
            <w:shd w:val="clear" w:color="auto" w:fill="D9D9D9"/>
          </w:tcPr>
          <w:p>
            <w:pPr>
              <w:pStyle w:val="TableParagraph"/>
              <w:spacing w:before="147"/>
              <w:ind w:left="9" w:right="13"/>
              <w:jc w:val="center"/>
              <w:rPr>
                <w:rFonts w:ascii="Times New Roman"/>
                <w:sz w:val="21"/>
              </w:rPr>
            </w:pPr>
            <w:r>
              <w:rPr>
                <w:rFonts w:ascii="Times New Roman"/>
                <w:spacing w:val="-5"/>
                <w:sz w:val="21"/>
              </w:rPr>
              <w:t>V10</w:t>
            </w:r>
          </w:p>
        </w:tc>
        <w:tc>
          <w:tcPr>
            <w:tcW w:w="631" w:type="dxa"/>
            <w:shd w:val="clear" w:color="auto" w:fill="D9D9D9"/>
          </w:tcPr>
          <w:p>
            <w:pPr>
              <w:pStyle w:val="TableParagraph"/>
              <w:spacing w:before="147"/>
              <w:ind w:left="7" w:right="13"/>
              <w:jc w:val="center"/>
              <w:rPr>
                <w:rFonts w:ascii="Times New Roman"/>
                <w:sz w:val="21"/>
              </w:rPr>
            </w:pPr>
            <w:r>
              <w:rPr>
                <w:rFonts w:ascii="Times New Roman"/>
                <w:spacing w:val="-5"/>
                <w:sz w:val="21"/>
              </w:rPr>
              <w:t>V11</w:t>
            </w:r>
          </w:p>
        </w:tc>
        <w:tc>
          <w:tcPr>
            <w:tcW w:w="631" w:type="dxa"/>
            <w:shd w:val="clear" w:color="auto" w:fill="D9D9D9"/>
          </w:tcPr>
          <w:p>
            <w:pPr>
              <w:pStyle w:val="TableParagraph"/>
              <w:spacing w:before="147"/>
              <w:ind w:left="5" w:right="13"/>
              <w:jc w:val="center"/>
              <w:rPr>
                <w:rFonts w:ascii="Times New Roman"/>
                <w:sz w:val="21"/>
              </w:rPr>
            </w:pPr>
            <w:r>
              <w:rPr>
                <w:rFonts w:ascii="Times New Roman"/>
                <w:spacing w:val="-5"/>
                <w:sz w:val="21"/>
              </w:rPr>
              <w:t>V12</w:t>
            </w:r>
          </w:p>
        </w:tc>
        <w:tc>
          <w:tcPr>
            <w:tcW w:w="631" w:type="dxa"/>
            <w:shd w:val="clear" w:color="auto" w:fill="D9D9D9"/>
          </w:tcPr>
          <w:p>
            <w:pPr>
              <w:pStyle w:val="TableParagraph"/>
              <w:spacing w:before="147"/>
              <w:ind w:left="3" w:right="13"/>
              <w:jc w:val="center"/>
              <w:rPr>
                <w:rFonts w:ascii="Times New Roman"/>
                <w:sz w:val="21"/>
              </w:rPr>
            </w:pPr>
            <w:r>
              <w:rPr>
                <w:rFonts w:ascii="Times New Roman"/>
                <w:spacing w:val="-5"/>
                <w:sz w:val="21"/>
              </w:rPr>
              <w:t>V13</w:t>
            </w:r>
          </w:p>
        </w:tc>
        <w:tc>
          <w:tcPr>
            <w:tcW w:w="631" w:type="dxa"/>
            <w:shd w:val="clear" w:color="auto" w:fill="D9D9D9"/>
          </w:tcPr>
          <w:p>
            <w:pPr>
              <w:pStyle w:val="TableParagraph"/>
              <w:spacing w:before="147"/>
              <w:ind w:left="1" w:right="13"/>
              <w:jc w:val="center"/>
              <w:rPr>
                <w:rFonts w:ascii="Times New Roman"/>
                <w:sz w:val="21"/>
              </w:rPr>
            </w:pPr>
            <w:r>
              <w:rPr>
                <w:rFonts w:ascii="Times New Roman"/>
                <w:spacing w:val="-5"/>
                <w:sz w:val="21"/>
              </w:rPr>
              <w:t>V14</w:t>
            </w:r>
          </w:p>
        </w:tc>
        <w:tc>
          <w:tcPr>
            <w:tcW w:w="883" w:type="dxa"/>
            <w:shd w:val="clear" w:color="auto" w:fill="D9D9D9"/>
          </w:tcPr>
          <w:p>
            <w:pPr>
              <w:pStyle w:val="TableParagraph"/>
              <w:spacing w:before="147"/>
              <w:ind w:left="1" w:right="15"/>
              <w:jc w:val="center"/>
              <w:rPr>
                <w:rFonts w:ascii="Times New Roman"/>
                <w:sz w:val="21"/>
              </w:rPr>
            </w:pPr>
            <w:r>
              <w:rPr>
                <w:rFonts w:ascii="Times New Roman"/>
                <w:spacing w:val="-5"/>
                <w:sz w:val="21"/>
              </w:rPr>
              <w:t>V15</w:t>
            </w:r>
          </w:p>
        </w:tc>
        <w:tc>
          <w:tcPr>
            <w:tcW w:w="1131" w:type="dxa"/>
            <w:vMerge/>
            <w:tcBorders>
              <w:top w:val="nil"/>
            </w:tcBorders>
            <w:shd w:val="clear" w:color="auto" w:fill="D9D9D9"/>
          </w:tcPr>
          <w:p>
            <w:pPr>
              <w:rPr>
                <w:sz w:val="2"/>
                <w:szCs w:val="2"/>
              </w:rPr>
            </w:pPr>
          </w:p>
        </w:tc>
        <w:tc>
          <w:tcPr>
            <w:tcW w:w="913" w:type="dxa"/>
            <w:vMerge/>
            <w:tcBorders>
              <w:top w:val="nil"/>
            </w:tcBorders>
            <w:shd w:val="clear" w:color="auto" w:fill="D9D9D9"/>
          </w:tcPr>
          <w:p>
            <w:pPr>
              <w:rPr>
                <w:sz w:val="2"/>
                <w:szCs w:val="2"/>
              </w:rPr>
            </w:pPr>
          </w:p>
        </w:tc>
      </w:tr>
      <w:tr>
        <w:trPr>
          <w:trHeight w:val="624" w:hRule="atLeast"/>
        </w:trPr>
        <w:tc>
          <w:tcPr>
            <w:tcW w:w="1556" w:type="dxa"/>
            <w:shd w:val="clear" w:color="auto" w:fill="D9D9D9"/>
          </w:tcPr>
          <w:p>
            <w:pPr>
              <w:pStyle w:val="TableParagraph"/>
              <w:spacing w:line="273" w:lineRule="exact" w:before="38"/>
              <w:ind w:left="155"/>
              <w:rPr>
                <w:rFonts w:ascii="Times New Roman" w:eastAsia="Times New Roman"/>
                <w:b/>
                <w:sz w:val="21"/>
              </w:rPr>
            </w:pPr>
            <w:r>
              <w:rPr>
                <w:b/>
                <w:spacing w:val="-19"/>
                <w:sz w:val="21"/>
              </w:rPr>
              <w:t>可选 </w:t>
            </w:r>
            <w:r>
              <w:rPr>
                <w:rFonts w:ascii="Times New Roman" w:eastAsia="Times New Roman"/>
                <w:b/>
                <w:spacing w:val="-2"/>
                <w:sz w:val="21"/>
              </w:rPr>
              <w:t>Telemed</w:t>
            </w:r>
          </w:p>
          <w:p>
            <w:pPr>
              <w:pStyle w:val="TableParagraph"/>
              <w:spacing w:line="273" w:lineRule="exact"/>
              <w:ind w:left="232"/>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276"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rPr>
                <w:rFonts w:ascii="Times New Roman"/>
                <w:sz w:val="20"/>
              </w:rPr>
            </w:pPr>
          </w:p>
        </w:tc>
        <w:tc>
          <w:tcPr>
            <w:tcW w:w="632" w:type="dxa"/>
            <w:shd w:val="clear" w:color="auto" w:fill="D9D9D9"/>
          </w:tcPr>
          <w:p>
            <w:pPr>
              <w:pStyle w:val="TableParagraph"/>
              <w:spacing w:before="192"/>
              <w:ind w:left="7" w:right="6"/>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12"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11"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7"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631" w:type="dxa"/>
            <w:shd w:val="clear" w:color="auto" w:fill="D9D9D9"/>
          </w:tcPr>
          <w:p>
            <w:pPr>
              <w:pStyle w:val="TableParagraph"/>
              <w:spacing w:before="192"/>
              <w:ind w:left="3" w:right="13"/>
              <w:jc w:val="center"/>
              <w:rPr>
                <w:rFonts w:ascii="Times New Roman"/>
                <w:sz w:val="21"/>
              </w:rPr>
            </w:pPr>
            <w:r>
              <w:rPr>
                <w:rFonts w:ascii="Times New Roman"/>
                <w:spacing w:val="-10"/>
                <w:sz w:val="21"/>
              </w:rPr>
              <w:t>T</w:t>
            </w:r>
          </w:p>
        </w:tc>
        <w:tc>
          <w:tcPr>
            <w:tcW w:w="631" w:type="dxa"/>
            <w:shd w:val="clear" w:color="auto" w:fill="D9D9D9"/>
          </w:tcPr>
          <w:p>
            <w:pPr>
              <w:pStyle w:val="TableParagraph"/>
              <w:rPr>
                <w:rFonts w:ascii="Times New Roman"/>
                <w:sz w:val="20"/>
              </w:rPr>
            </w:pPr>
          </w:p>
        </w:tc>
        <w:tc>
          <w:tcPr>
            <w:tcW w:w="883" w:type="dxa"/>
            <w:shd w:val="clear" w:color="auto" w:fill="D9D9D9"/>
          </w:tcPr>
          <w:p>
            <w:pPr>
              <w:pStyle w:val="TableParagraph"/>
              <w:rPr>
                <w:rFonts w:ascii="Times New Roman"/>
                <w:sz w:val="20"/>
              </w:rPr>
            </w:pPr>
          </w:p>
        </w:tc>
        <w:tc>
          <w:tcPr>
            <w:tcW w:w="1131" w:type="dxa"/>
            <w:shd w:val="clear" w:color="auto" w:fill="D9D9D9"/>
          </w:tcPr>
          <w:p>
            <w:pPr>
              <w:pStyle w:val="TableParagraph"/>
              <w:rPr>
                <w:rFonts w:ascii="Times New Roman"/>
                <w:sz w:val="20"/>
              </w:rPr>
            </w:pPr>
          </w:p>
        </w:tc>
        <w:tc>
          <w:tcPr>
            <w:tcW w:w="913" w:type="dxa"/>
            <w:vMerge/>
            <w:tcBorders>
              <w:top w:val="nil"/>
            </w:tcBorders>
            <w:shd w:val="clear" w:color="auto" w:fill="D9D9D9"/>
          </w:tcPr>
          <w:p>
            <w:pPr>
              <w:rPr>
                <w:sz w:val="2"/>
                <w:szCs w:val="2"/>
              </w:rPr>
            </w:pPr>
          </w:p>
        </w:tc>
      </w:tr>
      <w:tr>
        <w:trPr>
          <w:trHeight w:val="897" w:hRule="atLeast"/>
        </w:trPr>
        <w:tc>
          <w:tcPr>
            <w:tcW w:w="1556" w:type="dxa"/>
          </w:tcPr>
          <w:p>
            <w:pPr>
              <w:pStyle w:val="TableParagraph"/>
              <w:spacing w:before="37"/>
              <w:rPr>
                <w:b/>
                <w:sz w:val="21"/>
              </w:rPr>
            </w:pPr>
          </w:p>
          <w:p>
            <w:pPr>
              <w:pStyle w:val="TableParagraph"/>
              <w:ind w:left="460"/>
              <w:rPr>
                <w:b/>
                <w:sz w:val="21"/>
              </w:rPr>
            </w:pPr>
            <w:r>
              <w:rPr>
                <w:b/>
                <w:spacing w:val="-5"/>
                <w:sz w:val="21"/>
              </w:rPr>
              <w:t>访视窗</w:t>
            </w:r>
          </w:p>
        </w:tc>
        <w:tc>
          <w:tcPr>
            <w:tcW w:w="1276" w:type="dxa"/>
          </w:tcPr>
          <w:p>
            <w:pPr>
              <w:pStyle w:val="TableParagraph"/>
              <w:spacing w:before="36"/>
              <w:ind w:left="112" w:right="101"/>
              <w:jc w:val="center"/>
              <w:rPr>
                <w:rFonts w:ascii="Times New Roman" w:eastAsia="Times New Roman"/>
                <w:sz w:val="21"/>
              </w:rPr>
            </w:pPr>
            <w:r>
              <w:rPr>
                <w:spacing w:val="-2"/>
                <w:sz w:val="21"/>
              </w:rPr>
              <w:t>与前身研究 </w:t>
            </w:r>
            <w:r>
              <w:rPr>
                <w:rFonts w:ascii="Times New Roman" w:eastAsia="Times New Roman"/>
                <w:sz w:val="21"/>
              </w:rPr>
              <w:t>V15</w:t>
            </w:r>
            <w:r>
              <w:rPr>
                <w:rFonts w:ascii="Times New Roman" w:eastAsia="Times New Roman"/>
                <w:spacing w:val="-14"/>
                <w:sz w:val="21"/>
              </w:rPr>
              <w:t> </w:t>
            </w:r>
            <w:r>
              <w:rPr>
                <w:sz w:val="21"/>
              </w:rPr>
              <w:t>同一天</w:t>
            </w:r>
            <w:r>
              <w:rPr>
                <w:spacing w:val="-15"/>
                <w:sz w:val="21"/>
              </w:rPr>
              <w:t>进行 </w:t>
            </w:r>
            <w:r>
              <w:rPr>
                <w:rFonts w:ascii="Times New Roman" w:eastAsia="Times New Roman"/>
                <w:sz w:val="21"/>
                <w:vertAlign w:val="superscript"/>
              </w:rPr>
              <w:t>b</w:t>
            </w:r>
          </w:p>
        </w:tc>
        <w:tc>
          <w:tcPr>
            <w:tcW w:w="9090" w:type="dxa"/>
            <w:gridSpan w:val="14"/>
          </w:tcPr>
          <w:p>
            <w:pPr>
              <w:pStyle w:val="TableParagraph"/>
              <w:spacing w:before="37"/>
              <w:rPr>
                <w:b/>
                <w:sz w:val="21"/>
              </w:rPr>
            </w:pPr>
          </w:p>
          <w:p>
            <w:pPr>
              <w:pStyle w:val="TableParagraph"/>
              <w:ind w:right="4"/>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131" w:type="dxa"/>
          </w:tcPr>
          <w:p>
            <w:pPr>
              <w:pStyle w:val="TableParagraph"/>
              <w:spacing w:before="37"/>
              <w:rPr>
                <w:b/>
                <w:sz w:val="21"/>
              </w:rPr>
            </w:pPr>
          </w:p>
          <w:p>
            <w:pPr>
              <w:pStyle w:val="TableParagraph"/>
              <w:ind w:left="315"/>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913" w:type="dxa"/>
            <w:vMerge/>
            <w:tcBorders>
              <w:top w:val="nil"/>
            </w:tcBorders>
            <w:shd w:val="clear" w:color="auto" w:fill="D9D9D9"/>
          </w:tcPr>
          <w:p>
            <w:pPr>
              <w:rPr>
                <w:sz w:val="2"/>
                <w:szCs w:val="2"/>
              </w:rPr>
            </w:pPr>
          </w:p>
        </w:tc>
      </w:tr>
      <w:tr>
        <w:trPr>
          <w:trHeight w:val="393" w:hRule="atLeast"/>
        </w:trPr>
        <w:tc>
          <w:tcPr>
            <w:tcW w:w="13966" w:type="dxa"/>
            <w:gridSpan w:val="18"/>
            <w:shd w:val="clear" w:color="auto" w:fill="D9D9D9"/>
          </w:tcPr>
          <w:p>
            <w:pPr>
              <w:pStyle w:val="TableParagraph"/>
              <w:spacing w:before="38"/>
              <w:ind w:left="107"/>
              <w:rPr>
                <w:b/>
                <w:sz w:val="21"/>
              </w:rPr>
            </w:pPr>
            <w:r>
              <w:rPr>
                <w:rFonts w:ascii="Times New Roman" w:eastAsia="Times New Roman"/>
                <w:b/>
                <w:sz w:val="21"/>
              </w:rPr>
              <w:t>IP</w:t>
            </w:r>
            <w:r>
              <w:rPr>
                <w:rFonts w:ascii="Times New Roman" w:eastAsia="Times New Roman"/>
                <w:b/>
                <w:spacing w:val="-12"/>
                <w:sz w:val="21"/>
              </w:rPr>
              <w:t> </w:t>
            </w:r>
            <w:r>
              <w:rPr>
                <w:b/>
                <w:spacing w:val="-5"/>
                <w:sz w:val="21"/>
              </w:rPr>
              <w:t>给药</w:t>
            </w:r>
          </w:p>
        </w:tc>
      </w:tr>
      <w:tr>
        <w:trPr>
          <w:trHeight w:val="352" w:hRule="atLeast"/>
        </w:trPr>
        <w:tc>
          <w:tcPr>
            <w:tcW w:w="1556" w:type="dxa"/>
          </w:tcPr>
          <w:p>
            <w:pPr>
              <w:pStyle w:val="TableParagraph"/>
              <w:spacing w:before="38"/>
              <w:ind w:left="107"/>
              <w:rPr>
                <w:rFonts w:ascii="Times New Roman" w:eastAsia="Times New Roman"/>
                <w:sz w:val="21"/>
              </w:rPr>
            </w:pPr>
            <w:r>
              <w:rPr>
                <w:rFonts w:ascii="Times New Roman" w:eastAsia="Times New Roman"/>
                <w:sz w:val="21"/>
              </w:rPr>
              <w:t>IP</w:t>
            </w:r>
            <w:r>
              <w:rPr>
                <w:rFonts w:ascii="Times New Roman" w:eastAsia="Times New Roman"/>
                <w:spacing w:val="-12"/>
                <w:sz w:val="21"/>
              </w:rPr>
              <w:t> </w:t>
            </w:r>
            <w:r>
              <w:rPr>
                <w:spacing w:val="-18"/>
                <w:sz w:val="21"/>
              </w:rPr>
              <w:t>给药 </w:t>
            </w:r>
            <w:r>
              <w:rPr>
                <w:rFonts w:ascii="Times New Roman" w:eastAsia="Times New Roman"/>
                <w:spacing w:val="-10"/>
                <w:sz w:val="21"/>
                <w:vertAlign w:val="superscript"/>
              </w:rPr>
              <w:t>n</w:t>
            </w:r>
          </w:p>
        </w:tc>
        <w:tc>
          <w:tcPr>
            <w:tcW w:w="1276" w:type="dxa"/>
          </w:tcPr>
          <w:p>
            <w:pPr>
              <w:pStyle w:val="TableParagraph"/>
              <w:spacing w:before="55"/>
              <w:ind w:left="7"/>
              <w:jc w:val="center"/>
              <w:rPr>
                <w:rFonts w:ascii="Times New Roman"/>
                <w:sz w:val="21"/>
              </w:rPr>
            </w:pPr>
            <w:r>
              <w:rPr>
                <w:rFonts w:ascii="Times New Roman"/>
                <w:spacing w:val="-10"/>
                <w:sz w:val="21"/>
              </w:rPr>
              <w:t>X</w:t>
            </w:r>
          </w:p>
        </w:tc>
        <w:tc>
          <w:tcPr>
            <w:tcW w:w="632" w:type="dxa"/>
          </w:tcPr>
          <w:p>
            <w:pPr>
              <w:pStyle w:val="TableParagraph"/>
              <w:spacing w:before="55"/>
              <w:ind w:left="7"/>
              <w:jc w:val="center"/>
              <w:rPr>
                <w:rFonts w:ascii="Times New Roman"/>
                <w:sz w:val="21"/>
              </w:rPr>
            </w:pPr>
            <w:r>
              <w:rPr>
                <w:rFonts w:ascii="Times New Roman"/>
                <w:spacing w:val="-10"/>
                <w:sz w:val="21"/>
              </w:rPr>
              <w:t>X</w:t>
            </w:r>
          </w:p>
        </w:tc>
        <w:tc>
          <w:tcPr>
            <w:tcW w:w="632" w:type="dxa"/>
          </w:tcPr>
          <w:p>
            <w:pPr>
              <w:pStyle w:val="TableParagraph"/>
              <w:spacing w:before="55"/>
              <w:ind w:left="7" w:right="1"/>
              <w:jc w:val="center"/>
              <w:rPr>
                <w:rFonts w:ascii="Times New Roman"/>
                <w:sz w:val="21"/>
              </w:rPr>
            </w:pPr>
            <w:r>
              <w:rPr>
                <w:rFonts w:ascii="Times New Roman"/>
                <w:spacing w:val="-10"/>
                <w:sz w:val="21"/>
              </w:rPr>
              <w:t>X</w:t>
            </w:r>
          </w:p>
        </w:tc>
        <w:tc>
          <w:tcPr>
            <w:tcW w:w="632" w:type="dxa"/>
          </w:tcPr>
          <w:p>
            <w:pPr>
              <w:pStyle w:val="TableParagraph"/>
              <w:spacing w:before="55"/>
              <w:ind w:left="7" w:right="3"/>
              <w:jc w:val="center"/>
              <w:rPr>
                <w:rFonts w:ascii="Times New Roman"/>
                <w:sz w:val="21"/>
              </w:rPr>
            </w:pPr>
            <w:r>
              <w:rPr>
                <w:rFonts w:ascii="Times New Roman"/>
                <w:spacing w:val="-10"/>
                <w:sz w:val="21"/>
              </w:rPr>
              <w:t>X</w:t>
            </w:r>
          </w:p>
        </w:tc>
        <w:tc>
          <w:tcPr>
            <w:tcW w:w="632" w:type="dxa"/>
          </w:tcPr>
          <w:p>
            <w:pPr>
              <w:pStyle w:val="TableParagraph"/>
              <w:spacing w:before="55"/>
              <w:ind w:left="7" w:right="5"/>
              <w:jc w:val="center"/>
              <w:rPr>
                <w:rFonts w:ascii="Times New Roman"/>
                <w:sz w:val="21"/>
              </w:rPr>
            </w:pPr>
            <w:r>
              <w:rPr>
                <w:rFonts w:ascii="Times New Roman"/>
                <w:spacing w:val="-10"/>
                <w:sz w:val="21"/>
              </w:rPr>
              <w:t>X</w:t>
            </w:r>
          </w:p>
        </w:tc>
        <w:tc>
          <w:tcPr>
            <w:tcW w:w="631" w:type="dxa"/>
          </w:tcPr>
          <w:p>
            <w:pPr>
              <w:pStyle w:val="TableParagraph"/>
              <w:spacing w:before="55"/>
              <w:ind w:left="13" w:right="13"/>
              <w:jc w:val="center"/>
              <w:rPr>
                <w:rFonts w:ascii="Times New Roman"/>
                <w:sz w:val="21"/>
              </w:rPr>
            </w:pPr>
            <w:r>
              <w:rPr>
                <w:rFonts w:ascii="Times New Roman"/>
                <w:spacing w:val="-10"/>
                <w:sz w:val="21"/>
              </w:rPr>
              <w:t>X</w:t>
            </w:r>
          </w:p>
        </w:tc>
        <w:tc>
          <w:tcPr>
            <w:tcW w:w="631" w:type="dxa"/>
          </w:tcPr>
          <w:p>
            <w:pPr>
              <w:pStyle w:val="TableParagraph"/>
              <w:spacing w:before="55"/>
              <w:ind w:left="13" w:right="13"/>
              <w:jc w:val="center"/>
              <w:rPr>
                <w:rFonts w:ascii="Times New Roman"/>
                <w:sz w:val="21"/>
              </w:rPr>
            </w:pPr>
            <w:r>
              <w:rPr>
                <w:rFonts w:ascii="Times New Roman"/>
                <w:spacing w:val="-10"/>
                <w:sz w:val="21"/>
              </w:rPr>
              <w:t>X</w:t>
            </w:r>
          </w:p>
        </w:tc>
        <w:tc>
          <w:tcPr>
            <w:tcW w:w="631" w:type="dxa"/>
          </w:tcPr>
          <w:p>
            <w:pPr>
              <w:pStyle w:val="TableParagraph"/>
              <w:spacing w:before="55"/>
              <w:ind w:left="12" w:right="13"/>
              <w:jc w:val="center"/>
              <w:rPr>
                <w:rFonts w:ascii="Times New Roman"/>
                <w:sz w:val="21"/>
              </w:rPr>
            </w:pPr>
            <w:r>
              <w:rPr>
                <w:rFonts w:ascii="Times New Roman"/>
                <w:spacing w:val="-10"/>
                <w:sz w:val="21"/>
              </w:rPr>
              <w:t>X</w:t>
            </w:r>
          </w:p>
        </w:tc>
        <w:tc>
          <w:tcPr>
            <w:tcW w:w="631" w:type="dxa"/>
          </w:tcPr>
          <w:p>
            <w:pPr>
              <w:pStyle w:val="TableParagraph"/>
              <w:spacing w:before="55"/>
              <w:ind w:left="10" w:right="13"/>
              <w:jc w:val="center"/>
              <w:rPr>
                <w:rFonts w:ascii="Times New Roman"/>
                <w:sz w:val="21"/>
              </w:rPr>
            </w:pPr>
            <w:r>
              <w:rPr>
                <w:rFonts w:ascii="Times New Roman"/>
                <w:spacing w:val="-10"/>
                <w:sz w:val="21"/>
              </w:rPr>
              <w:t>X</w:t>
            </w:r>
          </w:p>
        </w:tc>
        <w:tc>
          <w:tcPr>
            <w:tcW w:w="631" w:type="dxa"/>
          </w:tcPr>
          <w:p>
            <w:pPr>
              <w:pStyle w:val="TableParagraph"/>
              <w:spacing w:before="55"/>
              <w:ind w:left="8" w:right="13"/>
              <w:jc w:val="center"/>
              <w:rPr>
                <w:rFonts w:ascii="Times New Roman"/>
                <w:sz w:val="21"/>
              </w:rPr>
            </w:pPr>
            <w:r>
              <w:rPr>
                <w:rFonts w:ascii="Times New Roman"/>
                <w:spacing w:val="-10"/>
                <w:sz w:val="21"/>
              </w:rPr>
              <w:t>X</w:t>
            </w:r>
          </w:p>
        </w:tc>
        <w:tc>
          <w:tcPr>
            <w:tcW w:w="631" w:type="dxa"/>
          </w:tcPr>
          <w:p>
            <w:pPr>
              <w:pStyle w:val="TableParagraph"/>
              <w:spacing w:before="55"/>
              <w:ind w:left="6" w:right="13"/>
              <w:jc w:val="center"/>
              <w:rPr>
                <w:rFonts w:ascii="Times New Roman"/>
                <w:sz w:val="21"/>
              </w:rPr>
            </w:pPr>
            <w:r>
              <w:rPr>
                <w:rFonts w:ascii="Times New Roman"/>
                <w:spacing w:val="-10"/>
                <w:sz w:val="21"/>
              </w:rPr>
              <w:t>X</w:t>
            </w:r>
          </w:p>
        </w:tc>
        <w:tc>
          <w:tcPr>
            <w:tcW w:w="631" w:type="dxa"/>
          </w:tcPr>
          <w:p>
            <w:pPr>
              <w:pStyle w:val="TableParagraph"/>
              <w:spacing w:before="55"/>
              <w:ind w:left="4" w:right="13"/>
              <w:jc w:val="center"/>
              <w:rPr>
                <w:rFonts w:ascii="Times New Roman"/>
                <w:sz w:val="21"/>
              </w:rPr>
            </w:pPr>
            <w:r>
              <w:rPr>
                <w:rFonts w:ascii="Times New Roman"/>
                <w:spacing w:val="-10"/>
                <w:sz w:val="21"/>
              </w:rPr>
              <w:t>X</w:t>
            </w:r>
          </w:p>
        </w:tc>
        <w:tc>
          <w:tcPr>
            <w:tcW w:w="631" w:type="dxa"/>
          </w:tcPr>
          <w:p>
            <w:pPr>
              <w:pStyle w:val="TableParagraph"/>
              <w:spacing w:before="55"/>
              <w:ind w:left="2" w:right="13"/>
              <w:jc w:val="center"/>
              <w:rPr>
                <w:rFonts w:ascii="Times New Roman"/>
                <w:sz w:val="21"/>
              </w:rPr>
            </w:pPr>
            <w:r>
              <w:rPr>
                <w:rFonts w:ascii="Times New Roman"/>
                <w:spacing w:val="-10"/>
                <w:sz w:val="21"/>
              </w:rPr>
              <w:t>X</w:t>
            </w: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TableParagraph"/>
              <w:spacing w:before="55"/>
              <w:ind w:left="1" w:right="20"/>
              <w:jc w:val="center"/>
              <w:rPr>
                <w:rFonts w:ascii="Times New Roman"/>
                <w:sz w:val="21"/>
              </w:rPr>
            </w:pPr>
            <w:hyperlink w:history="true" w:anchor="_bookmark55">
              <w:r>
                <w:rPr>
                  <w:rFonts w:ascii="Times New Roman"/>
                  <w:color w:val="0000FF"/>
                  <w:spacing w:val="-2"/>
                  <w:sz w:val="21"/>
                </w:rPr>
                <w:t>6.2.2.2</w:t>
              </w:r>
            </w:hyperlink>
          </w:p>
        </w:tc>
      </w:tr>
      <w:tr>
        <w:trPr>
          <w:trHeight w:val="624" w:hRule="atLeast"/>
        </w:trPr>
        <w:tc>
          <w:tcPr>
            <w:tcW w:w="1556" w:type="dxa"/>
          </w:tcPr>
          <w:p>
            <w:pPr>
              <w:pStyle w:val="TableParagraph"/>
              <w:spacing w:before="36"/>
              <w:ind w:left="107" w:right="157"/>
              <w:rPr>
                <w:rFonts w:ascii="Times New Roman" w:eastAsia="Times New Roman"/>
                <w:sz w:val="14"/>
              </w:rPr>
            </w:pPr>
            <w:r>
              <w:rPr>
                <w:rFonts w:ascii="Times New Roman" w:eastAsia="Times New Roman"/>
                <w:spacing w:val="-2"/>
                <w:sz w:val="21"/>
              </w:rPr>
              <w:t>IP</w:t>
            </w:r>
            <w:r>
              <w:rPr>
                <w:rFonts w:ascii="Times New Roman" w:eastAsia="Times New Roman"/>
                <w:spacing w:val="-12"/>
                <w:sz w:val="21"/>
              </w:rPr>
              <w:t> </w:t>
            </w:r>
            <w:r>
              <w:rPr>
                <w:spacing w:val="-2"/>
                <w:sz w:val="21"/>
              </w:rPr>
              <w:t>自行给药培</w:t>
            </w:r>
            <w:r>
              <w:rPr>
                <w:spacing w:val="-21"/>
                <w:position w:val="-7"/>
                <w:sz w:val="21"/>
              </w:rPr>
              <w:t>训 </w:t>
            </w:r>
            <w:r>
              <w:rPr>
                <w:rFonts w:ascii="Times New Roman" w:eastAsia="Times New Roman"/>
                <w:sz w:val="14"/>
              </w:rPr>
              <w:t>o</w:t>
            </w:r>
          </w:p>
        </w:tc>
        <w:tc>
          <w:tcPr>
            <w:tcW w:w="1276" w:type="dxa"/>
          </w:tcPr>
          <w:p>
            <w:pPr>
              <w:pStyle w:val="TableParagraph"/>
              <w:rPr>
                <w:rFonts w:ascii="Times New Roman"/>
                <w:sz w:val="20"/>
              </w:rPr>
            </w:pPr>
          </w:p>
        </w:tc>
        <w:tc>
          <w:tcPr>
            <w:tcW w:w="632" w:type="dxa"/>
          </w:tcPr>
          <w:p>
            <w:pPr>
              <w:pStyle w:val="TableParagraph"/>
              <w:spacing w:before="177"/>
              <w:ind w:left="7"/>
              <w:jc w:val="center"/>
              <w:rPr>
                <w:rFonts w:ascii="Times New Roman"/>
                <w:sz w:val="14"/>
              </w:rPr>
            </w:pPr>
            <w:r>
              <w:rPr>
                <w:rFonts w:ascii="Times New Roman"/>
                <w:position w:val="-7"/>
                <w:sz w:val="21"/>
              </w:rPr>
              <w:t>X</w:t>
            </w:r>
            <w:r>
              <w:rPr>
                <w:rFonts w:ascii="Times New Roman"/>
                <w:spacing w:val="-1"/>
                <w:position w:val="-7"/>
                <w:sz w:val="21"/>
              </w:rPr>
              <w:t> </w:t>
            </w:r>
            <w:r>
              <w:rPr>
                <w:rFonts w:ascii="Times New Roman"/>
                <w:spacing w:val="-12"/>
                <w:sz w:val="14"/>
              </w:rPr>
              <w:t>o</w:t>
            </w:r>
          </w:p>
        </w:tc>
        <w:tc>
          <w:tcPr>
            <w:tcW w:w="632" w:type="dxa"/>
          </w:tcPr>
          <w:p>
            <w:pPr>
              <w:pStyle w:val="TableParagraph"/>
              <w:spacing w:before="177"/>
              <w:ind w:left="7" w:right="1"/>
              <w:jc w:val="center"/>
              <w:rPr>
                <w:rFonts w:ascii="Times New Roman"/>
                <w:sz w:val="14"/>
              </w:rPr>
            </w:pPr>
            <w:r>
              <w:rPr>
                <w:rFonts w:ascii="Times New Roman"/>
                <w:position w:val="-7"/>
                <w:sz w:val="21"/>
              </w:rPr>
              <w:t>X</w:t>
            </w:r>
            <w:r>
              <w:rPr>
                <w:rFonts w:ascii="Times New Roman"/>
                <w:spacing w:val="-1"/>
                <w:position w:val="-7"/>
                <w:sz w:val="21"/>
              </w:rPr>
              <w:t> </w:t>
            </w:r>
            <w:r>
              <w:rPr>
                <w:rFonts w:ascii="Times New Roman"/>
                <w:spacing w:val="-12"/>
                <w:sz w:val="14"/>
              </w:rPr>
              <w:t>o</w:t>
            </w:r>
          </w:p>
        </w:tc>
        <w:tc>
          <w:tcPr>
            <w:tcW w:w="632" w:type="dxa"/>
          </w:tcPr>
          <w:p>
            <w:pPr>
              <w:pStyle w:val="TableParagraph"/>
              <w:spacing w:before="177"/>
              <w:ind w:left="7" w:right="3"/>
              <w:jc w:val="center"/>
              <w:rPr>
                <w:rFonts w:ascii="Times New Roman"/>
                <w:sz w:val="14"/>
              </w:rPr>
            </w:pPr>
            <w:r>
              <w:rPr>
                <w:rFonts w:ascii="Times New Roman"/>
                <w:position w:val="-7"/>
                <w:sz w:val="21"/>
              </w:rPr>
              <w:t>X</w:t>
            </w:r>
            <w:r>
              <w:rPr>
                <w:rFonts w:ascii="Times New Roman"/>
                <w:spacing w:val="-1"/>
                <w:position w:val="-7"/>
                <w:sz w:val="21"/>
              </w:rPr>
              <w:t> </w:t>
            </w:r>
            <w:r>
              <w:rPr>
                <w:rFonts w:ascii="Times New Roman"/>
                <w:spacing w:val="-12"/>
                <w:sz w:val="14"/>
              </w:rPr>
              <w:t>o</w:t>
            </w:r>
          </w:p>
        </w:tc>
        <w:tc>
          <w:tcPr>
            <w:tcW w:w="632"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631" w:type="dxa"/>
          </w:tcPr>
          <w:p>
            <w:pPr>
              <w:pStyle w:val="TableParagraph"/>
              <w:rPr>
                <w:rFonts w:ascii="Times New Roman"/>
                <w:sz w:val="20"/>
              </w:rPr>
            </w:pPr>
          </w:p>
        </w:tc>
        <w:tc>
          <w:tcPr>
            <w:tcW w:w="883" w:type="dxa"/>
          </w:tcPr>
          <w:p>
            <w:pPr>
              <w:pStyle w:val="TableParagraph"/>
              <w:rPr>
                <w:rFonts w:ascii="Times New Roman"/>
                <w:sz w:val="20"/>
              </w:rPr>
            </w:pPr>
          </w:p>
        </w:tc>
        <w:tc>
          <w:tcPr>
            <w:tcW w:w="1131" w:type="dxa"/>
          </w:tcPr>
          <w:p>
            <w:pPr>
              <w:pStyle w:val="TableParagraph"/>
              <w:rPr>
                <w:rFonts w:ascii="Times New Roman"/>
                <w:sz w:val="20"/>
              </w:rPr>
            </w:pPr>
          </w:p>
        </w:tc>
        <w:tc>
          <w:tcPr>
            <w:tcW w:w="913" w:type="dxa"/>
          </w:tcPr>
          <w:p>
            <w:pPr>
              <w:pStyle w:val="TableParagraph"/>
              <w:spacing w:before="192"/>
              <w:ind w:left="1" w:right="20"/>
              <w:jc w:val="center"/>
              <w:rPr>
                <w:rFonts w:ascii="Times New Roman"/>
                <w:sz w:val="21"/>
              </w:rPr>
            </w:pPr>
            <w:hyperlink w:history="true" w:anchor="_bookmark56">
              <w:r>
                <w:rPr>
                  <w:rFonts w:ascii="Times New Roman"/>
                  <w:color w:val="0000FF"/>
                  <w:spacing w:val="-2"/>
                  <w:sz w:val="21"/>
                </w:rPr>
                <w:t>6.2.2.3</w:t>
              </w:r>
            </w:hyperlink>
          </w:p>
        </w:tc>
      </w:tr>
    </w:tbl>
    <w:p>
      <w:pPr>
        <w:tabs>
          <w:tab w:pos="524" w:val="left" w:leader="none"/>
        </w:tabs>
        <w:spacing w:before="40"/>
        <w:ind w:left="524" w:right="316" w:hanging="425"/>
        <w:jc w:val="left"/>
        <w:rPr>
          <w:sz w:val="21"/>
        </w:rPr>
      </w:pPr>
      <w:r>
        <w:rPr>
          <w:rFonts w:ascii="Times New Roman" w:eastAsia="Times New Roman"/>
          <w:spacing w:val="-10"/>
          <w:sz w:val="21"/>
          <w:vertAlign w:val="superscript"/>
        </w:rPr>
        <w:t>a</w:t>
      </w:r>
      <w:r>
        <w:rPr>
          <w:rFonts w:ascii="Times New Roman" w:eastAsia="Times New Roman"/>
          <w:sz w:val="21"/>
          <w:vertAlign w:val="baseline"/>
        </w:rPr>
        <w:tab/>
      </w:r>
      <w:r>
        <w:rPr>
          <w:spacing w:val="15"/>
          <w:sz w:val="21"/>
          <w:vertAlign w:val="baseline"/>
        </w:rPr>
        <w:t>应在</w:t>
      </w:r>
      <w:r>
        <w:rPr>
          <w:rFonts w:ascii="Times New Roman" w:eastAsia="Times New Roman"/>
          <w:sz w:val="21"/>
          <w:vertAlign w:val="baseline"/>
        </w:rPr>
        <w:t>IP</w:t>
      </w:r>
      <w:r>
        <w:rPr>
          <w:rFonts w:ascii="Times New Roman" w:eastAsia="Times New Roman"/>
          <w:spacing w:val="-28"/>
          <w:sz w:val="21"/>
          <w:vertAlign w:val="baseline"/>
        </w:rPr>
        <w:t> </w:t>
      </w:r>
      <w:r>
        <w:rPr>
          <w:spacing w:val="6"/>
          <w:sz w:val="21"/>
          <w:vertAlign w:val="baseline"/>
        </w:rPr>
        <w:t>末次给药后</w:t>
      </w:r>
      <w:r>
        <w:rPr>
          <w:rFonts w:ascii="Times New Roman" w:eastAsia="Times New Roman"/>
          <w:sz w:val="21"/>
          <w:vertAlign w:val="baseline"/>
        </w:rPr>
        <w:t>12</w:t>
      </w:r>
      <w:r>
        <w:rPr>
          <w:rFonts w:ascii="Times New Roman" w:eastAsia="Times New Roman"/>
          <w:spacing w:val="-27"/>
          <w:sz w:val="21"/>
          <w:vertAlign w:val="baseline"/>
        </w:rPr>
        <w:t> </w:t>
      </w:r>
      <w:r>
        <w:rPr>
          <w:spacing w:val="6"/>
          <w:sz w:val="21"/>
          <w:vertAlign w:val="baseline"/>
        </w:rPr>
        <w:t>周现场进行</w:t>
      </w:r>
      <w:r>
        <w:rPr>
          <w:rFonts w:ascii="Times New Roman" w:eastAsia="Times New Roman"/>
          <w:sz w:val="21"/>
          <w:vertAlign w:val="baseline"/>
        </w:rPr>
        <w:t>E/D</w:t>
      </w:r>
      <w:r>
        <w:rPr>
          <w:spacing w:val="1"/>
          <w:sz w:val="21"/>
          <w:vertAlign w:val="baseline"/>
        </w:rPr>
        <w:t>访视。至主要报告时间，所有受试者将中止</w:t>
      </w:r>
      <w:r>
        <w:rPr>
          <w:rFonts w:ascii="Times New Roman" w:eastAsia="Times New Roman"/>
          <w:sz w:val="21"/>
          <w:vertAlign w:val="baseline"/>
        </w:rPr>
        <w:t>IP</w:t>
      </w:r>
      <w:r>
        <w:rPr>
          <w:rFonts w:ascii="Times New Roman" w:eastAsia="Times New Roman"/>
          <w:spacing w:val="-28"/>
          <w:sz w:val="21"/>
          <w:vertAlign w:val="baseline"/>
        </w:rPr>
        <w:t> </w:t>
      </w:r>
      <w:r>
        <w:rPr>
          <w:sz w:val="21"/>
          <w:vertAlign w:val="baseline"/>
        </w:rPr>
        <w:t>给药。因此，部分受试者可能在完成全部治疗期之前结束研究。</w:t>
      </w:r>
      <w:r>
        <w:rPr>
          <w:spacing w:val="-3"/>
          <w:sz w:val="21"/>
          <w:vertAlign w:val="baseline"/>
        </w:rPr>
        <w:t>将要求未完成完整治疗期的受试者在 </w:t>
      </w:r>
      <w:r>
        <w:rPr>
          <w:rFonts w:ascii="Times New Roman" w:eastAsia="Times New Roman"/>
          <w:sz w:val="21"/>
          <w:vertAlign w:val="baseline"/>
        </w:rPr>
        <w:t>IP </w:t>
      </w:r>
      <w:r>
        <w:rPr>
          <w:spacing w:val="-6"/>
          <w:sz w:val="21"/>
          <w:vertAlign w:val="baseline"/>
        </w:rPr>
        <w:t>末次给药后 </w:t>
      </w:r>
      <w:r>
        <w:rPr>
          <w:rFonts w:ascii="Times New Roman" w:eastAsia="Times New Roman"/>
          <w:sz w:val="21"/>
          <w:vertAlign w:val="baseline"/>
        </w:rPr>
        <w:t>12 </w:t>
      </w:r>
      <w:r>
        <w:rPr>
          <w:spacing w:val="-9"/>
          <w:sz w:val="21"/>
          <w:vertAlign w:val="baseline"/>
        </w:rPr>
        <w:t>周参与 </w:t>
      </w:r>
      <w:r>
        <w:rPr>
          <w:rFonts w:ascii="Times New Roman" w:eastAsia="Times New Roman"/>
          <w:sz w:val="21"/>
          <w:vertAlign w:val="baseline"/>
        </w:rPr>
        <w:t>E/D </w:t>
      </w:r>
      <w:r>
        <w:rPr>
          <w:spacing w:val="-5"/>
          <w:sz w:val="21"/>
          <w:vertAlign w:val="baseline"/>
        </w:rPr>
        <w:t>访视。有关中止 </w:t>
      </w:r>
      <w:r>
        <w:rPr>
          <w:rFonts w:ascii="Times New Roman" w:eastAsia="Times New Roman"/>
          <w:sz w:val="21"/>
          <w:vertAlign w:val="baseline"/>
        </w:rPr>
        <w:t>IP </w:t>
      </w:r>
      <w:r>
        <w:rPr>
          <w:spacing w:val="-3"/>
          <w:sz w:val="21"/>
          <w:vertAlign w:val="baseline"/>
        </w:rPr>
        <w:t>治疗程序的详细信息，请见第 </w:t>
      </w:r>
      <w:hyperlink w:history="true" w:anchor="_bookmark75">
        <w:r>
          <w:rPr>
            <w:rFonts w:ascii="Times New Roman" w:eastAsia="Times New Roman"/>
            <w:color w:val="0000FF"/>
            <w:sz w:val="21"/>
            <w:vertAlign w:val="baseline"/>
          </w:rPr>
          <w:t>7.1.1</w:t>
        </w:r>
      </w:hyperlink>
      <w:r>
        <w:rPr>
          <w:rFonts w:ascii="Times New Roman" w:eastAsia="Times New Roman"/>
          <w:color w:val="0000FF"/>
          <w:sz w:val="21"/>
          <w:vertAlign w:val="baseline"/>
        </w:rPr>
        <w:t> </w:t>
      </w:r>
      <w:r>
        <w:rPr>
          <w:sz w:val="21"/>
          <w:vertAlign w:val="baseline"/>
        </w:rPr>
        <w:t>节。</w:t>
      </w:r>
    </w:p>
    <w:p>
      <w:pPr>
        <w:tabs>
          <w:tab w:pos="524" w:val="left" w:leader="none"/>
        </w:tabs>
        <w:spacing w:before="40"/>
        <w:ind w:left="524" w:right="318" w:hanging="425"/>
        <w:jc w:val="left"/>
        <w:rPr>
          <w:sz w:val="21"/>
        </w:rPr>
      </w:pPr>
      <w:r>
        <w:rPr>
          <w:rFonts w:ascii="Times New Roman" w:eastAsia="Times New Roman"/>
          <w:spacing w:val="-10"/>
          <w:sz w:val="21"/>
          <w:vertAlign w:val="superscript"/>
        </w:rPr>
        <w:t>b</w:t>
      </w:r>
      <w:r>
        <w:rPr>
          <w:rFonts w:ascii="Times New Roman" w:eastAsia="Times New Roman"/>
          <w:sz w:val="21"/>
          <w:vertAlign w:val="baseline"/>
        </w:rPr>
        <w:tab/>
      </w:r>
      <w:r>
        <w:rPr>
          <w:rFonts w:ascii="Times New Roman" w:eastAsia="Times New Roman"/>
          <w:spacing w:val="-2"/>
          <w:sz w:val="21"/>
          <w:vertAlign w:val="baseline"/>
        </w:rPr>
        <w:t>PROSPERO</w:t>
      </w:r>
      <w:r>
        <w:rPr>
          <w:rFonts w:ascii="Times New Roman" w:eastAsia="Times New Roman"/>
          <w:spacing w:val="-5"/>
          <w:sz w:val="21"/>
          <w:vertAlign w:val="baseline"/>
        </w:rPr>
        <w:t> </w:t>
      </w:r>
      <w:r>
        <w:rPr>
          <w:spacing w:val="-14"/>
          <w:sz w:val="21"/>
          <w:vertAlign w:val="baseline"/>
        </w:rPr>
        <w:t>的访视 </w:t>
      </w:r>
      <w:r>
        <w:rPr>
          <w:rFonts w:ascii="Times New Roman" w:eastAsia="Times New Roman"/>
          <w:spacing w:val="-2"/>
          <w:sz w:val="21"/>
          <w:vertAlign w:val="baseline"/>
        </w:rPr>
        <w:t>1</w:t>
      </w:r>
      <w:r>
        <w:rPr>
          <w:rFonts w:ascii="Times New Roman" w:eastAsia="Times New Roman"/>
          <w:spacing w:val="-6"/>
          <w:sz w:val="21"/>
          <w:vertAlign w:val="baseline"/>
        </w:rPr>
        <w:t> </w:t>
      </w:r>
      <w:r>
        <w:rPr>
          <w:spacing w:val="-8"/>
          <w:sz w:val="21"/>
          <w:vertAlign w:val="baseline"/>
        </w:rPr>
        <w:t>将与前身研究第 </w:t>
      </w:r>
      <w:r>
        <w:rPr>
          <w:rFonts w:ascii="Times New Roman" w:eastAsia="Times New Roman"/>
          <w:spacing w:val="-2"/>
          <w:sz w:val="21"/>
          <w:vertAlign w:val="baseline"/>
        </w:rPr>
        <w:t>52</w:t>
      </w:r>
      <w:r>
        <w:rPr>
          <w:rFonts w:ascii="Times New Roman" w:eastAsia="Times New Roman"/>
          <w:spacing w:val="-6"/>
          <w:sz w:val="21"/>
          <w:vertAlign w:val="baseline"/>
        </w:rPr>
        <w:t> </w:t>
      </w:r>
      <w:r>
        <w:rPr>
          <w:spacing w:val="-2"/>
          <w:sz w:val="21"/>
          <w:vertAlign w:val="baseline"/>
        </w:rPr>
        <w:t>周（</w:t>
      </w:r>
      <w:r>
        <w:rPr>
          <w:spacing w:val="-17"/>
          <w:sz w:val="21"/>
          <w:vertAlign w:val="baseline"/>
        </w:rPr>
        <w:t>访视 </w:t>
      </w:r>
      <w:r>
        <w:rPr>
          <w:rFonts w:ascii="Times New Roman" w:eastAsia="Times New Roman"/>
          <w:spacing w:val="-2"/>
          <w:sz w:val="21"/>
          <w:vertAlign w:val="baseline"/>
        </w:rPr>
        <w:t>15</w:t>
      </w:r>
      <w:r>
        <w:rPr>
          <w:spacing w:val="-2"/>
          <w:sz w:val="21"/>
          <w:vertAlign w:val="baseline"/>
        </w:rPr>
        <w:t>）</w:t>
      </w:r>
      <w:r>
        <w:rPr>
          <w:spacing w:val="-6"/>
          <w:sz w:val="21"/>
          <w:vertAlign w:val="baseline"/>
        </w:rPr>
        <w:t>同一天进行；在某些情况下， </w:t>
      </w:r>
      <w:r>
        <w:rPr>
          <w:rFonts w:ascii="Times New Roman" w:eastAsia="Times New Roman"/>
          <w:spacing w:val="-2"/>
          <w:sz w:val="21"/>
          <w:vertAlign w:val="baseline"/>
        </w:rPr>
        <w:t>PROSPERO</w:t>
      </w:r>
      <w:r>
        <w:rPr>
          <w:rFonts w:ascii="Times New Roman" w:eastAsia="Times New Roman"/>
          <w:spacing w:val="-7"/>
          <w:sz w:val="21"/>
          <w:vertAlign w:val="baseline"/>
        </w:rPr>
        <w:t> </w:t>
      </w:r>
      <w:r>
        <w:rPr>
          <w:spacing w:val="-14"/>
          <w:sz w:val="21"/>
          <w:vertAlign w:val="baseline"/>
        </w:rPr>
        <w:t>的访视 </w:t>
      </w:r>
      <w:r>
        <w:rPr>
          <w:rFonts w:ascii="Times New Roman" w:eastAsia="Times New Roman"/>
          <w:spacing w:val="-2"/>
          <w:sz w:val="21"/>
          <w:vertAlign w:val="baseline"/>
        </w:rPr>
        <w:t>1</w:t>
      </w:r>
      <w:r>
        <w:rPr>
          <w:rFonts w:ascii="Times New Roman" w:eastAsia="Times New Roman"/>
          <w:spacing w:val="-6"/>
          <w:sz w:val="21"/>
          <w:vertAlign w:val="baseline"/>
        </w:rPr>
        <w:t> </w:t>
      </w:r>
      <w:r>
        <w:rPr>
          <w:spacing w:val="-6"/>
          <w:sz w:val="21"/>
          <w:vertAlign w:val="baseline"/>
        </w:rPr>
        <w:t>可能重新安排在前身研究末次 </w:t>
      </w:r>
      <w:r>
        <w:rPr>
          <w:rFonts w:ascii="Times New Roman" w:eastAsia="Times New Roman"/>
          <w:spacing w:val="-2"/>
          <w:sz w:val="21"/>
          <w:vertAlign w:val="baseline"/>
        </w:rPr>
        <w:t>IP</w:t>
      </w:r>
      <w:r>
        <w:rPr>
          <w:rFonts w:ascii="Times New Roman" w:eastAsia="Times New Roman"/>
          <w:spacing w:val="-7"/>
          <w:sz w:val="21"/>
          <w:vertAlign w:val="baseline"/>
        </w:rPr>
        <w:t> </w:t>
      </w:r>
      <w:r>
        <w:rPr>
          <w:spacing w:val="-2"/>
          <w:sz w:val="21"/>
          <w:vertAlign w:val="baseline"/>
        </w:rPr>
        <w:t>给药后较</w:t>
      </w:r>
      <w:r>
        <w:rPr>
          <w:spacing w:val="-3"/>
          <w:sz w:val="21"/>
          <w:vertAlign w:val="baseline"/>
        </w:rPr>
        <w:t>晚日期，但不得晚于 </w:t>
      </w:r>
      <w:r>
        <w:rPr>
          <w:rFonts w:ascii="Times New Roman" w:eastAsia="Times New Roman"/>
          <w:sz w:val="21"/>
          <w:vertAlign w:val="baseline"/>
        </w:rPr>
        <w:t>IP </w:t>
      </w:r>
      <w:r>
        <w:rPr>
          <w:spacing w:val="-5"/>
          <w:sz w:val="21"/>
          <w:vertAlign w:val="baseline"/>
        </w:rPr>
        <w:t>末次给药后 </w:t>
      </w:r>
      <w:r>
        <w:rPr>
          <w:rFonts w:ascii="Times New Roman" w:eastAsia="Times New Roman"/>
          <w:sz w:val="21"/>
          <w:vertAlign w:val="baseline"/>
        </w:rPr>
        <w:t>12 </w:t>
      </w:r>
      <w:r>
        <w:rPr>
          <w:sz w:val="21"/>
          <w:vertAlign w:val="baseline"/>
        </w:rPr>
        <w:t>周，前提是受试者仍处于该研究的随访期（</w:t>
      </w:r>
      <w:r>
        <w:rPr>
          <w:spacing w:val="-3"/>
          <w:sz w:val="21"/>
          <w:vertAlign w:val="baseline"/>
        </w:rPr>
        <w:t>详细信息请见第 </w:t>
      </w:r>
      <w:hyperlink w:history="true" w:anchor="_bookmark24">
        <w:r>
          <w:rPr>
            <w:rFonts w:ascii="Times New Roman" w:eastAsia="Times New Roman"/>
            <w:color w:val="0000FF"/>
            <w:sz w:val="21"/>
            <w:vertAlign w:val="baseline"/>
          </w:rPr>
          <w:t>4.1.1</w:t>
        </w:r>
      </w:hyperlink>
      <w:r>
        <w:rPr>
          <w:rFonts w:ascii="Times New Roman" w:eastAsia="Times New Roman"/>
          <w:color w:val="0000FF"/>
          <w:sz w:val="21"/>
          <w:vertAlign w:val="baseline"/>
        </w:rPr>
        <w:t> </w:t>
      </w:r>
      <w:r>
        <w:rPr>
          <w:sz w:val="21"/>
          <w:vertAlign w:val="baseline"/>
        </w:rPr>
        <w:t>节）。</w:t>
      </w:r>
    </w:p>
    <w:p>
      <w:pPr>
        <w:tabs>
          <w:tab w:pos="524" w:val="left" w:leader="none"/>
        </w:tabs>
        <w:spacing w:before="39"/>
        <w:ind w:left="100" w:right="0" w:firstLine="0"/>
        <w:jc w:val="left"/>
        <w:rPr>
          <w:sz w:val="21"/>
        </w:rPr>
      </w:pPr>
      <w:r>
        <w:rPr>
          <w:rFonts w:ascii="Times New Roman" w:eastAsia="Times New Roman"/>
          <w:spacing w:val="-10"/>
          <w:sz w:val="21"/>
          <w:vertAlign w:val="superscript"/>
        </w:rPr>
        <w:t>c</w:t>
      </w:r>
      <w:r>
        <w:rPr>
          <w:rFonts w:ascii="Times New Roman" w:eastAsia="Times New Roman"/>
          <w:sz w:val="21"/>
          <w:vertAlign w:val="baseline"/>
        </w:rPr>
        <w:tab/>
      </w:r>
      <w:r>
        <w:rPr>
          <w:rFonts w:ascii="Times New Roman" w:eastAsia="Times New Roman"/>
          <w:spacing w:val="-2"/>
          <w:sz w:val="21"/>
          <w:vertAlign w:val="baseline"/>
        </w:rPr>
        <w:t>PROSPERO</w:t>
      </w:r>
      <w:r>
        <w:rPr>
          <w:rFonts w:ascii="Times New Roman" w:eastAsia="Times New Roman"/>
          <w:spacing w:val="-5"/>
          <w:sz w:val="21"/>
          <w:vertAlign w:val="baseline"/>
        </w:rPr>
        <w:t> </w:t>
      </w:r>
      <w:r>
        <w:rPr>
          <w:spacing w:val="-24"/>
          <w:sz w:val="21"/>
          <w:vertAlign w:val="baseline"/>
        </w:rPr>
        <w:t>的 </w:t>
      </w:r>
      <w:r>
        <w:rPr>
          <w:rFonts w:ascii="Times New Roman" w:eastAsia="Times New Roman"/>
          <w:spacing w:val="-2"/>
          <w:sz w:val="21"/>
          <w:vertAlign w:val="baseline"/>
        </w:rPr>
        <w:t>ICF</w:t>
      </w:r>
      <w:r>
        <w:rPr>
          <w:rFonts w:ascii="Times New Roman" w:eastAsia="Times New Roman"/>
          <w:spacing w:val="-4"/>
          <w:sz w:val="21"/>
          <w:vertAlign w:val="baseline"/>
        </w:rPr>
        <w:t> </w:t>
      </w:r>
      <w:r>
        <w:rPr>
          <w:spacing w:val="-7"/>
          <w:sz w:val="21"/>
          <w:vertAlign w:val="baseline"/>
        </w:rPr>
        <w:t>可在前身研究的第 </w:t>
      </w:r>
      <w:r>
        <w:rPr>
          <w:rFonts w:ascii="Times New Roman" w:eastAsia="Times New Roman"/>
          <w:spacing w:val="-2"/>
          <w:sz w:val="21"/>
          <w:vertAlign w:val="baseline"/>
        </w:rPr>
        <w:t>48</w:t>
      </w:r>
      <w:r>
        <w:rPr>
          <w:rFonts w:ascii="Times New Roman" w:eastAsia="Times New Roman"/>
          <w:spacing w:val="-3"/>
          <w:sz w:val="21"/>
          <w:vertAlign w:val="baseline"/>
        </w:rPr>
        <w:t> </w:t>
      </w:r>
      <w:r>
        <w:rPr>
          <w:spacing w:val="-2"/>
          <w:sz w:val="21"/>
          <w:vertAlign w:val="baseline"/>
        </w:rPr>
        <w:t>周（</w:t>
      </w:r>
      <w:r>
        <w:rPr>
          <w:spacing w:val="-16"/>
          <w:sz w:val="21"/>
          <w:vertAlign w:val="baseline"/>
        </w:rPr>
        <w:t>访视 </w:t>
      </w:r>
      <w:r>
        <w:rPr>
          <w:rFonts w:ascii="Times New Roman" w:eastAsia="Times New Roman"/>
          <w:spacing w:val="-2"/>
          <w:sz w:val="21"/>
          <w:vertAlign w:val="baseline"/>
        </w:rPr>
        <w:t>14</w:t>
      </w:r>
      <w:r>
        <w:rPr>
          <w:spacing w:val="-2"/>
          <w:sz w:val="21"/>
          <w:vertAlign w:val="baseline"/>
        </w:rPr>
        <w:t>）</w:t>
      </w:r>
      <w:r>
        <w:rPr>
          <w:spacing w:val="-5"/>
          <w:sz w:val="21"/>
          <w:vertAlign w:val="baseline"/>
        </w:rPr>
        <w:t>提供。</w:t>
      </w:r>
    </w:p>
    <w:p>
      <w:pPr>
        <w:tabs>
          <w:tab w:pos="524" w:val="left" w:leader="none"/>
        </w:tabs>
        <w:spacing w:before="39"/>
        <w:ind w:left="100" w:right="0" w:firstLine="0"/>
        <w:jc w:val="left"/>
        <w:rPr>
          <w:sz w:val="21"/>
        </w:rPr>
      </w:pPr>
      <w:r>
        <w:rPr>
          <w:rFonts w:ascii="Times New Roman" w:eastAsia="Times New Roman"/>
          <w:spacing w:val="-10"/>
          <w:sz w:val="21"/>
          <w:vertAlign w:val="superscript"/>
        </w:rPr>
        <w:t>d</w:t>
      </w:r>
      <w:r>
        <w:rPr>
          <w:rFonts w:ascii="Times New Roman" w:eastAsia="Times New Roman"/>
          <w:sz w:val="21"/>
          <w:vertAlign w:val="baseline"/>
        </w:rPr>
        <w:tab/>
      </w:r>
      <w:r>
        <w:rPr>
          <w:spacing w:val="-19"/>
          <w:sz w:val="21"/>
          <w:vertAlign w:val="baseline"/>
        </w:rPr>
        <w:t>如果 </w:t>
      </w:r>
      <w:r>
        <w:rPr>
          <w:rFonts w:ascii="Times New Roman" w:eastAsia="Times New Roman"/>
          <w:sz w:val="21"/>
          <w:vertAlign w:val="baseline"/>
        </w:rPr>
        <w:t>PROSPERO</w:t>
      </w:r>
      <w:r>
        <w:rPr>
          <w:rFonts w:ascii="Times New Roman" w:eastAsia="Times New Roman"/>
          <w:spacing w:val="-14"/>
          <w:sz w:val="21"/>
          <w:vertAlign w:val="baseline"/>
        </w:rPr>
        <w:t> </w:t>
      </w:r>
      <w:r>
        <w:rPr>
          <w:spacing w:val="-14"/>
          <w:sz w:val="21"/>
          <w:vertAlign w:val="baseline"/>
        </w:rPr>
        <w:t>的访视 </w:t>
      </w:r>
      <w:r>
        <w:rPr>
          <w:rFonts w:ascii="Times New Roman" w:eastAsia="Times New Roman"/>
          <w:sz w:val="21"/>
          <w:vertAlign w:val="baseline"/>
        </w:rPr>
        <w:t>1</w:t>
      </w:r>
      <w:r>
        <w:rPr>
          <w:rFonts w:ascii="Times New Roman" w:eastAsia="Times New Roman"/>
          <w:spacing w:val="-13"/>
          <w:sz w:val="21"/>
          <w:vertAlign w:val="baseline"/>
        </w:rPr>
        <w:t> </w:t>
      </w:r>
      <w:r>
        <w:rPr>
          <w:spacing w:val="-7"/>
          <w:sz w:val="21"/>
          <w:vertAlign w:val="baseline"/>
        </w:rPr>
        <w:t>在前身研究访视 </w:t>
      </w:r>
      <w:r>
        <w:rPr>
          <w:rFonts w:ascii="Times New Roman" w:eastAsia="Times New Roman"/>
          <w:sz w:val="21"/>
          <w:vertAlign w:val="baseline"/>
        </w:rPr>
        <w:t>15</w:t>
      </w:r>
      <w:r>
        <w:rPr>
          <w:sz w:val="21"/>
          <w:vertAlign w:val="baseline"/>
        </w:rPr>
        <w:t>（</w:t>
      </w:r>
      <w:r>
        <w:rPr>
          <w:spacing w:val="-27"/>
          <w:sz w:val="21"/>
          <w:vertAlign w:val="baseline"/>
        </w:rPr>
        <w:t>第 </w:t>
      </w:r>
      <w:r>
        <w:rPr>
          <w:rFonts w:ascii="Times New Roman" w:eastAsia="Times New Roman"/>
          <w:sz w:val="21"/>
          <w:vertAlign w:val="baseline"/>
        </w:rPr>
        <w:t>52</w:t>
      </w:r>
      <w:r>
        <w:rPr>
          <w:rFonts w:ascii="Times New Roman" w:eastAsia="Times New Roman"/>
          <w:spacing w:val="-13"/>
          <w:sz w:val="21"/>
          <w:vertAlign w:val="baseline"/>
        </w:rPr>
        <w:t> </w:t>
      </w:r>
      <w:r>
        <w:rPr>
          <w:sz w:val="21"/>
          <w:vertAlign w:val="baseline"/>
        </w:rPr>
        <w:t>周）</w:t>
      </w:r>
      <w:r>
        <w:rPr>
          <w:spacing w:val="-14"/>
          <w:sz w:val="21"/>
          <w:vertAlign w:val="baseline"/>
        </w:rPr>
        <w:t>后超过 </w:t>
      </w:r>
      <w:r>
        <w:rPr>
          <w:rFonts w:ascii="Times New Roman" w:eastAsia="Times New Roman"/>
          <w:sz w:val="21"/>
          <w:vertAlign w:val="baseline"/>
        </w:rPr>
        <w:t>4</w:t>
      </w:r>
      <w:r>
        <w:rPr>
          <w:rFonts w:ascii="Times New Roman" w:eastAsia="Times New Roman"/>
          <w:spacing w:val="-12"/>
          <w:sz w:val="21"/>
          <w:vertAlign w:val="baseline"/>
        </w:rPr>
        <w:t> </w:t>
      </w:r>
      <w:r>
        <w:rPr>
          <w:sz w:val="21"/>
          <w:vertAlign w:val="baseline"/>
        </w:rPr>
        <w:t>周进行，则必须重复这些安全性相关评估（</w:t>
      </w:r>
      <w:r>
        <w:rPr>
          <w:spacing w:val="-27"/>
          <w:sz w:val="21"/>
          <w:vertAlign w:val="baseline"/>
        </w:rPr>
        <w:t>第 </w:t>
      </w:r>
      <w:hyperlink w:history="true" w:anchor="_bookmark24">
        <w:r>
          <w:rPr>
            <w:rFonts w:ascii="Times New Roman" w:eastAsia="Times New Roman"/>
            <w:color w:val="0000FF"/>
            <w:sz w:val="21"/>
            <w:vertAlign w:val="baseline"/>
          </w:rPr>
          <w:t>4.1.1</w:t>
        </w:r>
      </w:hyperlink>
      <w:r>
        <w:rPr>
          <w:rFonts w:ascii="Times New Roman" w:eastAsia="Times New Roman"/>
          <w:color w:val="0000FF"/>
          <w:spacing w:val="-11"/>
          <w:sz w:val="21"/>
          <w:vertAlign w:val="baseline"/>
        </w:rPr>
        <w:t> </w:t>
      </w:r>
      <w:r>
        <w:rPr>
          <w:sz w:val="21"/>
          <w:vertAlign w:val="baseline"/>
        </w:rPr>
        <w:t>节）</w:t>
      </w:r>
      <w:r>
        <w:rPr>
          <w:spacing w:val="-10"/>
          <w:sz w:val="21"/>
          <w:vertAlign w:val="baseline"/>
        </w:rPr>
        <w:t>。</w:t>
      </w:r>
    </w:p>
    <w:p>
      <w:pPr>
        <w:tabs>
          <w:tab w:pos="524" w:val="left" w:leader="none"/>
        </w:tabs>
        <w:spacing w:before="40"/>
        <w:ind w:left="100" w:right="0" w:firstLine="0"/>
        <w:jc w:val="left"/>
        <w:rPr>
          <w:sz w:val="21"/>
        </w:rPr>
      </w:pPr>
      <w:r>
        <w:rPr>
          <w:rFonts w:ascii="Times New Roman" w:eastAsia="Times New Roman"/>
          <w:spacing w:val="-10"/>
          <w:sz w:val="21"/>
          <w:vertAlign w:val="superscript"/>
        </w:rPr>
        <w:t>e</w:t>
      </w:r>
      <w:r>
        <w:rPr>
          <w:rFonts w:ascii="Times New Roman" w:eastAsia="Times New Roman"/>
          <w:sz w:val="21"/>
          <w:vertAlign w:val="baseline"/>
        </w:rPr>
        <w:tab/>
      </w:r>
      <w:r>
        <w:rPr>
          <w:spacing w:val="-11"/>
          <w:sz w:val="21"/>
          <w:vertAlign w:val="baseline"/>
        </w:rPr>
        <w:t>如果访视 </w:t>
      </w:r>
      <w:r>
        <w:rPr>
          <w:rFonts w:ascii="Times New Roman" w:eastAsia="Times New Roman"/>
          <w:sz w:val="21"/>
          <w:vertAlign w:val="baseline"/>
        </w:rPr>
        <w:t>1</w:t>
      </w:r>
      <w:r>
        <w:rPr>
          <w:rFonts w:ascii="Times New Roman" w:eastAsia="Times New Roman"/>
          <w:spacing w:val="-14"/>
          <w:sz w:val="21"/>
          <w:vertAlign w:val="baseline"/>
        </w:rPr>
        <w:t> </w:t>
      </w:r>
      <w:r>
        <w:rPr>
          <w:spacing w:val="-7"/>
          <w:sz w:val="21"/>
          <w:vertAlign w:val="baseline"/>
        </w:rPr>
        <w:t>与前身研究访视 </w:t>
      </w:r>
      <w:r>
        <w:rPr>
          <w:rFonts w:ascii="Times New Roman" w:eastAsia="Times New Roman"/>
          <w:sz w:val="21"/>
          <w:vertAlign w:val="baseline"/>
        </w:rPr>
        <w:t>15</w:t>
      </w:r>
      <w:r>
        <w:rPr>
          <w:sz w:val="21"/>
          <w:vertAlign w:val="baseline"/>
        </w:rPr>
        <w:t>（</w:t>
      </w:r>
      <w:r>
        <w:rPr>
          <w:spacing w:val="-27"/>
          <w:sz w:val="21"/>
          <w:vertAlign w:val="baseline"/>
        </w:rPr>
        <w:t>第 </w:t>
      </w:r>
      <w:r>
        <w:rPr>
          <w:rFonts w:ascii="Times New Roman" w:eastAsia="Times New Roman"/>
          <w:sz w:val="21"/>
          <w:vertAlign w:val="baseline"/>
        </w:rPr>
        <w:t>52</w:t>
      </w:r>
      <w:r>
        <w:rPr>
          <w:rFonts w:ascii="Times New Roman" w:eastAsia="Times New Roman"/>
          <w:spacing w:val="-12"/>
          <w:sz w:val="21"/>
          <w:vertAlign w:val="baseline"/>
        </w:rPr>
        <w:t> </w:t>
      </w:r>
      <w:r>
        <w:rPr>
          <w:sz w:val="21"/>
          <w:vertAlign w:val="baseline"/>
        </w:rPr>
        <w:t>周）同一天进行，则无需重复这些评估（</w:t>
      </w:r>
      <w:r>
        <w:rPr>
          <w:spacing w:val="-26"/>
          <w:sz w:val="21"/>
          <w:vertAlign w:val="baseline"/>
        </w:rPr>
        <w:t>第 </w:t>
      </w:r>
      <w:hyperlink w:history="true" w:anchor="_bookmark24">
        <w:r>
          <w:rPr>
            <w:rFonts w:ascii="Times New Roman" w:eastAsia="Times New Roman"/>
            <w:color w:val="0000FF"/>
            <w:sz w:val="21"/>
            <w:vertAlign w:val="baseline"/>
          </w:rPr>
          <w:t>4.1.1</w:t>
        </w:r>
      </w:hyperlink>
      <w:r>
        <w:rPr>
          <w:rFonts w:ascii="Times New Roman" w:eastAsia="Times New Roman"/>
          <w:color w:val="0000FF"/>
          <w:spacing w:val="-10"/>
          <w:sz w:val="21"/>
          <w:vertAlign w:val="baseline"/>
        </w:rPr>
        <w:t> </w:t>
      </w:r>
      <w:r>
        <w:rPr>
          <w:sz w:val="21"/>
          <w:vertAlign w:val="baseline"/>
        </w:rPr>
        <w:t>节）</w:t>
      </w:r>
      <w:r>
        <w:rPr>
          <w:spacing w:val="-10"/>
          <w:sz w:val="21"/>
          <w:vertAlign w:val="baseline"/>
        </w:rPr>
        <w:t>。</w:t>
      </w:r>
    </w:p>
    <w:p>
      <w:pPr>
        <w:tabs>
          <w:tab w:pos="524" w:val="left" w:leader="none"/>
        </w:tabs>
        <w:spacing w:before="39"/>
        <w:ind w:left="524" w:right="316" w:hanging="425"/>
        <w:jc w:val="left"/>
        <w:rPr>
          <w:sz w:val="21"/>
        </w:rPr>
      </w:pPr>
      <w:r>
        <w:rPr>
          <w:rFonts w:ascii="Times New Roman" w:hAnsi="Times New Roman" w:eastAsia="Times New Roman"/>
          <w:spacing w:val="-10"/>
          <w:sz w:val="21"/>
          <w:vertAlign w:val="superscript"/>
        </w:rPr>
        <w:t>f</w:t>
      </w:r>
      <w:r>
        <w:rPr>
          <w:rFonts w:ascii="Times New Roman" w:hAnsi="Times New Roman" w:eastAsia="Times New Roman"/>
          <w:sz w:val="21"/>
          <w:vertAlign w:val="baseline"/>
        </w:rPr>
        <w:tab/>
      </w:r>
      <w:r>
        <w:rPr>
          <w:spacing w:val="4"/>
          <w:sz w:val="21"/>
          <w:vertAlign w:val="baseline"/>
        </w:rPr>
        <w:t>仅对前身研究中基线</w:t>
      </w:r>
      <w:r>
        <w:rPr>
          <w:rFonts w:ascii="Times New Roman" w:hAnsi="Times New Roman" w:eastAsia="Times New Roman"/>
          <w:sz w:val="21"/>
          <w:vertAlign w:val="baseline"/>
        </w:rPr>
        <w:t>CT</w:t>
      </w:r>
      <w:r>
        <w:rPr>
          <w:rFonts w:ascii="Times New Roman" w:hAnsi="Times New Roman" w:eastAsia="Times New Roman"/>
          <w:spacing w:val="-17"/>
          <w:sz w:val="21"/>
          <w:vertAlign w:val="baseline"/>
        </w:rPr>
        <w:t> </w:t>
      </w:r>
      <w:r>
        <w:rPr>
          <w:sz w:val="21"/>
          <w:vertAlign w:val="baseline"/>
        </w:rPr>
        <w:t>符合条件（经成像供应商确认）</w:t>
      </w:r>
      <w:r>
        <w:rPr>
          <w:spacing w:val="5"/>
          <w:sz w:val="21"/>
          <w:vertAlign w:val="baseline"/>
        </w:rPr>
        <w:t>的受试者进行随访</w:t>
      </w:r>
      <w:r>
        <w:rPr>
          <w:rFonts w:ascii="Times New Roman" w:hAnsi="Times New Roman" w:eastAsia="Times New Roman"/>
          <w:sz w:val="21"/>
          <w:vertAlign w:val="baseline"/>
        </w:rPr>
        <w:t>CT</w:t>
      </w:r>
      <w:r>
        <w:rPr>
          <w:sz w:val="21"/>
          <w:vertAlign w:val="baseline"/>
        </w:rPr>
        <w:t>（可选）</w:t>
      </w:r>
      <w:r>
        <w:rPr>
          <w:spacing w:val="-6"/>
          <w:sz w:val="21"/>
          <w:vertAlign w:val="baseline"/>
        </w:rPr>
        <w:t>检查。对于提前中止 </w:t>
      </w:r>
      <w:r>
        <w:rPr>
          <w:rFonts w:ascii="Times New Roman" w:hAnsi="Times New Roman" w:eastAsia="Times New Roman"/>
          <w:sz w:val="21"/>
          <w:vertAlign w:val="baseline"/>
        </w:rPr>
        <w:t>IP</w:t>
      </w:r>
      <w:r>
        <w:rPr>
          <w:rFonts w:ascii="Times New Roman" w:hAnsi="Times New Roman" w:eastAsia="Times New Roman"/>
          <w:spacing w:val="-17"/>
          <w:sz w:val="21"/>
          <w:vertAlign w:val="baseline"/>
        </w:rPr>
        <w:t> </w:t>
      </w:r>
      <w:r>
        <w:rPr>
          <w:spacing w:val="-5"/>
          <w:sz w:val="21"/>
          <w:vertAlign w:val="baseline"/>
        </w:rPr>
        <w:t>治疗的受试者，强烈建议在 </w:t>
      </w:r>
      <w:r>
        <w:rPr>
          <w:rFonts w:ascii="Times New Roman" w:hAnsi="Times New Roman" w:eastAsia="Times New Roman"/>
          <w:sz w:val="21"/>
          <w:vertAlign w:val="baseline"/>
        </w:rPr>
        <w:t>E/D</w:t>
      </w:r>
      <w:r>
        <w:rPr>
          <w:rFonts w:ascii="Times New Roman" w:hAnsi="Times New Roman" w:eastAsia="Times New Roman"/>
          <w:spacing w:val="-17"/>
          <w:sz w:val="21"/>
          <w:vertAlign w:val="baseline"/>
        </w:rPr>
        <w:t> </w:t>
      </w:r>
      <w:r>
        <w:rPr>
          <w:sz w:val="21"/>
          <w:vertAlign w:val="baseline"/>
        </w:rPr>
        <w:t>访视</w:t>
      </w:r>
      <w:r>
        <w:rPr>
          <w:spacing w:val="-10"/>
          <w:sz w:val="21"/>
          <w:vertAlign w:val="baseline"/>
        </w:rPr>
        <w:t>时进行 </w:t>
      </w:r>
      <w:r>
        <w:rPr>
          <w:rFonts w:ascii="Times New Roman" w:hAnsi="Times New Roman" w:eastAsia="Times New Roman"/>
          <w:sz w:val="21"/>
          <w:vertAlign w:val="baseline"/>
        </w:rPr>
        <w:t>CT </w:t>
      </w:r>
      <w:r>
        <w:rPr>
          <w:spacing w:val="-4"/>
          <w:sz w:val="21"/>
          <w:vertAlign w:val="baseline"/>
        </w:rPr>
        <w:t>检查，而不是在访视 </w:t>
      </w:r>
      <w:r>
        <w:rPr>
          <w:rFonts w:ascii="Times New Roman" w:hAnsi="Times New Roman" w:eastAsia="Times New Roman"/>
          <w:sz w:val="21"/>
          <w:vertAlign w:val="baseline"/>
        </w:rPr>
        <w:t>14 </w:t>
      </w:r>
      <w:r>
        <w:rPr>
          <w:spacing w:val="-4"/>
          <w:sz w:val="21"/>
          <w:vertAlign w:val="baseline"/>
        </w:rPr>
        <w:t>时进行。但是，如果自 </w:t>
      </w:r>
      <w:r>
        <w:rPr>
          <w:rFonts w:ascii="Times New Roman" w:hAnsi="Times New Roman" w:eastAsia="Times New Roman"/>
          <w:sz w:val="21"/>
          <w:vertAlign w:val="baseline"/>
        </w:rPr>
        <w:t>PROSPERO </w:t>
      </w:r>
      <w:r>
        <w:rPr>
          <w:spacing w:val="-7"/>
          <w:sz w:val="21"/>
          <w:vertAlign w:val="baseline"/>
        </w:rPr>
        <w:t>入选后不到 </w:t>
      </w:r>
      <w:r>
        <w:rPr>
          <w:rFonts w:ascii="Times New Roman" w:hAnsi="Times New Roman" w:eastAsia="Times New Roman"/>
          <w:sz w:val="21"/>
          <w:vertAlign w:val="baseline"/>
        </w:rPr>
        <w:t>24 </w:t>
      </w:r>
      <w:r>
        <w:rPr>
          <w:sz w:val="21"/>
          <w:vertAlign w:val="baseline"/>
        </w:rPr>
        <w:t>周，</w:t>
      </w:r>
      <w:r>
        <w:rPr>
          <w:rFonts w:ascii="Times New Roman" w:hAnsi="Times New Roman" w:eastAsia="Times New Roman"/>
          <w:sz w:val="21"/>
          <w:vertAlign w:val="baseline"/>
        </w:rPr>
        <w:t>CT </w:t>
      </w:r>
      <w:r>
        <w:rPr>
          <w:sz w:val="21"/>
          <w:vertAlign w:val="baseline"/>
        </w:rPr>
        <w:t>扫描则不应进行。</w:t>
      </w:r>
      <w:r>
        <w:rPr>
          <w:rFonts w:ascii="Times New Roman" w:hAnsi="Times New Roman" w:eastAsia="Times New Roman"/>
          <w:sz w:val="21"/>
          <w:vertAlign w:val="baseline"/>
        </w:rPr>
        <w:t>CT </w:t>
      </w:r>
      <w:r>
        <w:rPr>
          <w:sz w:val="21"/>
          <w:vertAlign w:val="baseline"/>
        </w:rPr>
        <w:t>检查的允许时间窗为</w:t>
      </w:r>
      <w:r>
        <w:rPr>
          <w:rFonts w:ascii="Times New Roman" w:hAnsi="Times New Roman" w:eastAsia="Times New Roman"/>
          <w:sz w:val="21"/>
          <w:vertAlign w:val="baseline"/>
        </w:rPr>
        <w:t>±2 </w:t>
      </w:r>
      <w:r>
        <w:rPr>
          <w:sz w:val="21"/>
          <w:vertAlign w:val="baseline"/>
        </w:rPr>
        <w:t>周。</w:t>
      </w:r>
    </w:p>
    <w:p>
      <w:pPr>
        <w:tabs>
          <w:tab w:pos="524" w:val="left" w:leader="none"/>
        </w:tabs>
        <w:spacing w:before="38"/>
        <w:ind w:left="100" w:right="0" w:firstLine="0"/>
        <w:jc w:val="left"/>
        <w:rPr>
          <w:sz w:val="21"/>
        </w:rPr>
      </w:pPr>
      <w:r>
        <w:rPr>
          <w:rFonts w:ascii="Times New Roman" w:eastAsia="Times New Roman"/>
          <w:spacing w:val="-10"/>
          <w:sz w:val="21"/>
          <w:vertAlign w:val="superscript"/>
        </w:rPr>
        <w:t>g</w:t>
      </w:r>
      <w:r>
        <w:rPr>
          <w:rFonts w:ascii="Times New Roman" w:eastAsia="Times New Roman"/>
          <w:sz w:val="21"/>
          <w:vertAlign w:val="baseline"/>
        </w:rPr>
        <w:tab/>
      </w:r>
      <w:r>
        <w:rPr>
          <w:spacing w:val="-5"/>
          <w:sz w:val="21"/>
          <w:vertAlign w:val="baseline"/>
        </w:rPr>
        <w:t>这些程序作为前身研究访视 </w:t>
      </w:r>
      <w:r>
        <w:rPr>
          <w:rFonts w:ascii="Times New Roman" w:eastAsia="Times New Roman"/>
          <w:spacing w:val="-2"/>
          <w:sz w:val="21"/>
          <w:vertAlign w:val="baseline"/>
        </w:rPr>
        <w:t>15</w:t>
      </w:r>
      <w:r>
        <w:rPr>
          <w:spacing w:val="-2"/>
          <w:sz w:val="21"/>
          <w:vertAlign w:val="baseline"/>
        </w:rPr>
        <w:t>（</w:t>
      </w:r>
      <w:r>
        <w:rPr>
          <w:spacing w:val="-21"/>
          <w:sz w:val="21"/>
          <w:vertAlign w:val="baseline"/>
        </w:rPr>
        <w:t>第 </w:t>
      </w:r>
      <w:r>
        <w:rPr>
          <w:rFonts w:ascii="Times New Roman" w:eastAsia="Times New Roman"/>
          <w:spacing w:val="-2"/>
          <w:sz w:val="21"/>
          <w:vertAlign w:val="baseline"/>
        </w:rPr>
        <w:t>52</w:t>
      </w:r>
      <w:r>
        <w:rPr>
          <w:rFonts w:ascii="Times New Roman" w:eastAsia="Times New Roman"/>
          <w:spacing w:val="2"/>
          <w:sz w:val="21"/>
          <w:vertAlign w:val="baseline"/>
        </w:rPr>
        <w:t> </w:t>
      </w:r>
      <w:r>
        <w:rPr>
          <w:spacing w:val="-2"/>
          <w:sz w:val="21"/>
          <w:vertAlign w:val="baseline"/>
        </w:rPr>
        <w:t>周）</w:t>
      </w:r>
      <w:r>
        <w:rPr>
          <w:spacing w:val="-5"/>
          <w:sz w:val="21"/>
          <w:vertAlign w:val="baseline"/>
        </w:rPr>
        <w:t>的一部分必须被完成，在 </w:t>
      </w:r>
      <w:r>
        <w:rPr>
          <w:rFonts w:ascii="Times New Roman" w:eastAsia="Times New Roman"/>
          <w:spacing w:val="-2"/>
          <w:sz w:val="21"/>
          <w:vertAlign w:val="baseline"/>
        </w:rPr>
        <w:t>PROSPERO</w:t>
      </w:r>
      <w:r>
        <w:rPr>
          <w:rFonts w:ascii="Times New Roman" w:eastAsia="Times New Roman"/>
          <w:sz w:val="21"/>
          <w:vertAlign w:val="baseline"/>
        </w:rPr>
        <w:t> </w:t>
      </w:r>
      <w:r>
        <w:rPr>
          <w:spacing w:val="-8"/>
          <w:sz w:val="21"/>
          <w:vertAlign w:val="baseline"/>
        </w:rPr>
        <w:t>研究的访视 </w:t>
      </w:r>
      <w:r>
        <w:rPr>
          <w:rFonts w:ascii="Times New Roman" w:eastAsia="Times New Roman"/>
          <w:spacing w:val="-2"/>
          <w:sz w:val="21"/>
          <w:vertAlign w:val="baseline"/>
        </w:rPr>
        <w:t>1</w:t>
      </w:r>
      <w:r>
        <w:rPr>
          <w:rFonts w:ascii="Times New Roman" w:eastAsia="Times New Roman"/>
          <w:sz w:val="21"/>
          <w:vertAlign w:val="baseline"/>
        </w:rPr>
        <w:t> </w:t>
      </w:r>
      <w:r>
        <w:rPr>
          <w:spacing w:val="-3"/>
          <w:sz w:val="21"/>
          <w:vertAlign w:val="baseline"/>
        </w:rPr>
        <w:t>将不再重复进行。</w:t>
      </w:r>
    </w:p>
    <w:p>
      <w:pPr>
        <w:tabs>
          <w:tab w:pos="524" w:val="left" w:leader="none"/>
        </w:tabs>
        <w:spacing w:before="39"/>
        <w:ind w:left="100" w:right="0" w:firstLine="0"/>
        <w:jc w:val="left"/>
        <w:rPr>
          <w:sz w:val="21"/>
        </w:rPr>
      </w:pPr>
      <w:r>
        <w:rPr>
          <w:rFonts w:ascii="Times New Roman" w:eastAsia="Times New Roman"/>
          <w:spacing w:val="-10"/>
          <w:sz w:val="21"/>
          <w:vertAlign w:val="superscript"/>
        </w:rPr>
        <w:t>h</w:t>
      </w:r>
      <w:r>
        <w:rPr>
          <w:rFonts w:ascii="Times New Roman" w:eastAsia="Times New Roman"/>
          <w:sz w:val="21"/>
          <w:vertAlign w:val="baseline"/>
        </w:rPr>
        <w:tab/>
        <w:t>BD</w:t>
      </w:r>
      <w:r>
        <w:rPr>
          <w:rFonts w:ascii="Times New Roman" w:eastAsia="Times New Roman"/>
          <w:spacing w:val="-11"/>
          <w:sz w:val="21"/>
          <w:vertAlign w:val="baseline"/>
        </w:rPr>
        <w:t> </w:t>
      </w:r>
      <w:r>
        <w:rPr>
          <w:spacing w:val="-1"/>
          <w:sz w:val="21"/>
          <w:vertAlign w:val="baseline"/>
        </w:rPr>
        <w:t>后肺量计测定评估是可选的，如果受试者不能耐受或以其他方式认为不可行，则可跳过该评估。</w:t>
      </w:r>
    </w:p>
    <w:p>
      <w:pPr>
        <w:tabs>
          <w:tab w:pos="524" w:val="left" w:leader="none"/>
        </w:tabs>
        <w:spacing w:before="40"/>
        <w:ind w:left="524" w:right="319" w:hanging="425"/>
        <w:jc w:val="left"/>
        <w:rPr>
          <w:sz w:val="21"/>
        </w:rPr>
      </w:pPr>
      <w:r>
        <w:rPr>
          <w:rFonts w:ascii="Times New Roman" w:eastAsia="Times New Roman"/>
          <w:w w:val="92"/>
          <w:sz w:val="21"/>
          <w:vertAlign w:val="superscript"/>
        </w:rPr>
        <w:t>i</w:t>
      </w:r>
      <w:r>
        <w:rPr>
          <w:rFonts w:ascii="Times New Roman" w:eastAsia="Times New Roman"/>
          <w:sz w:val="21"/>
          <w:vertAlign w:val="baseline"/>
        </w:rPr>
        <w:tab/>
      </w:r>
      <w:r>
        <w:rPr>
          <w:sz w:val="21"/>
          <w:vertAlign w:val="baseline"/>
        </w:rPr>
        <w:t>应在前身研究或本研究中有超声心动图检查结果的受试者中进行超声心动图检查。研究期间，如果怀疑新发心力衰竭或心力衰竭恶化时，必须尽快进行额外的超声心动图评估，也可根据临床指征因其他原因进行评估。</w:t>
      </w:r>
    </w:p>
    <w:p>
      <w:pPr>
        <w:spacing w:after="0"/>
        <w:jc w:val="left"/>
        <w:rPr>
          <w:sz w:val="21"/>
        </w:rPr>
        <w:sectPr>
          <w:pgSz w:w="16840" w:h="11910" w:orient="landscape"/>
          <w:pgMar w:header="761" w:footer="786" w:top="1400" w:bottom="980" w:left="1340" w:right="1120"/>
        </w:sectPr>
      </w:pPr>
    </w:p>
    <w:p>
      <w:pPr>
        <w:pStyle w:val="BodyText"/>
        <w:spacing w:before="6"/>
        <w:ind w:left="0"/>
        <w:rPr>
          <w:sz w:val="21"/>
        </w:rPr>
      </w:pPr>
    </w:p>
    <w:p>
      <w:pPr>
        <w:spacing w:before="1"/>
        <w:ind w:left="100" w:right="0" w:firstLine="0"/>
        <w:jc w:val="both"/>
        <w:rPr>
          <w:sz w:val="21"/>
        </w:rPr>
      </w:pPr>
      <w:r>
        <w:rPr>
          <w:rFonts w:ascii="Times New Roman" w:hAnsi="Times New Roman" w:eastAsia="Times New Roman"/>
          <w:sz w:val="21"/>
          <w:vertAlign w:val="superscript"/>
        </w:rPr>
        <w:t>j</w:t>
      </w:r>
      <w:r>
        <w:rPr>
          <w:rFonts w:ascii="Times New Roman" w:hAnsi="Times New Roman" w:eastAsia="Times New Roman"/>
          <w:spacing w:val="75"/>
          <w:sz w:val="21"/>
          <w:vertAlign w:val="baseline"/>
        </w:rPr>
        <w:t>   </w:t>
      </w:r>
      <w:r>
        <w:rPr>
          <w:spacing w:val="-6"/>
          <w:sz w:val="21"/>
          <w:vertAlign w:val="baseline"/>
        </w:rPr>
        <w:t>仅对女性受试者进行 </w:t>
      </w:r>
      <w:r>
        <w:rPr>
          <w:rFonts w:ascii="Times New Roman" w:hAnsi="Times New Roman" w:eastAsia="Times New Roman"/>
          <w:sz w:val="21"/>
          <w:vertAlign w:val="baseline"/>
        </w:rPr>
        <w:t>FSH</w:t>
      </w:r>
      <w:r>
        <w:rPr>
          <w:rFonts w:ascii="Times New Roman" w:hAnsi="Times New Roman" w:eastAsia="Times New Roman"/>
          <w:spacing w:val="-12"/>
          <w:sz w:val="21"/>
          <w:vertAlign w:val="baseline"/>
        </w:rPr>
        <w:t> </w:t>
      </w:r>
      <w:r>
        <w:rPr>
          <w:spacing w:val="-6"/>
          <w:sz w:val="21"/>
          <w:vertAlign w:val="baseline"/>
        </w:rPr>
        <w:t>检测，以确认小于 </w:t>
      </w:r>
      <w:r>
        <w:rPr>
          <w:rFonts w:ascii="Times New Roman" w:hAnsi="Times New Roman" w:eastAsia="Times New Roman"/>
          <w:sz w:val="21"/>
          <w:vertAlign w:val="baseline"/>
        </w:rPr>
        <w:t>50</w:t>
      </w:r>
      <w:r>
        <w:rPr>
          <w:rFonts w:ascii="Times New Roman" w:hAnsi="Times New Roman" w:eastAsia="Times New Roman"/>
          <w:spacing w:val="-12"/>
          <w:sz w:val="21"/>
          <w:vertAlign w:val="baseline"/>
        </w:rPr>
        <w:t> </w:t>
      </w:r>
      <w:r>
        <w:rPr>
          <w:sz w:val="21"/>
          <w:vertAlign w:val="baseline"/>
        </w:rPr>
        <w:t>岁闭经</w:t>
      </w:r>
      <w:r>
        <w:rPr>
          <w:rFonts w:ascii="Times New Roman" w:hAnsi="Times New Roman" w:eastAsia="Times New Roman"/>
          <w:sz w:val="21"/>
          <w:vertAlign w:val="baseline"/>
        </w:rPr>
        <w:t>≥12</w:t>
      </w:r>
      <w:r>
        <w:rPr>
          <w:rFonts w:ascii="Times New Roman" w:hAnsi="Times New Roman" w:eastAsia="Times New Roman"/>
          <w:spacing w:val="-11"/>
          <w:sz w:val="21"/>
          <w:vertAlign w:val="baseline"/>
        </w:rPr>
        <w:t> </w:t>
      </w:r>
      <w:r>
        <w:rPr>
          <w:spacing w:val="-1"/>
          <w:sz w:val="21"/>
          <w:vertAlign w:val="baseline"/>
        </w:rPr>
        <w:t>个月的女性受试者是否处于绝经后状态。</w:t>
      </w:r>
    </w:p>
    <w:p>
      <w:pPr>
        <w:spacing w:before="39"/>
        <w:ind w:left="100" w:right="0" w:firstLine="0"/>
        <w:jc w:val="both"/>
        <w:rPr>
          <w:sz w:val="21"/>
        </w:rPr>
      </w:pPr>
      <w:r>
        <w:rPr>
          <w:rFonts w:ascii="Times New Roman" w:eastAsia="Times New Roman"/>
          <w:sz w:val="21"/>
          <w:vertAlign w:val="superscript"/>
        </w:rPr>
        <w:t>k</w:t>
      </w:r>
      <w:r>
        <w:rPr>
          <w:rFonts w:ascii="Times New Roman" w:eastAsia="Times New Roman"/>
          <w:spacing w:val="65"/>
          <w:sz w:val="21"/>
          <w:vertAlign w:val="baseline"/>
        </w:rPr>
        <w:t>   </w:t>
      </w:r>
      <w:r>
        <w:rPr>
          <w:spacing w:val="-13"/>
          <w:sz w:val="21"/>
          <w:vertAlign w:val="baseline"/>
        </w:rPr>
        <w:t>必须在 </w:t>
      </w:r>
      <w:r>
        <w:rPr>
          <w:rFonts w:ascii="Times New Roman" w:eastAsia="Times New Roman"/>
          <w:sz w:val="21"/>
          <w:vertAlign w:val="baseline"/>
        </w:rPr>
        <w:t>IP</w:t>
      </w:r>
      <w:r>
        <w:rPr>
          <w:rFonts w:ascii="Times New Roman" w:eastAsia="Times New Roman"/>
          <w:spacing w:val="-12"/>
          <w:sz w:val="21"/>
          <w:vertAlign w:val="baseline"/>
        </w:rPr>
        <w:t> </w:t>
      </w:r>
      <w:r>
        <w:rPr>
          <w:spacing w:val="-3"/>
          <w:sz w:val="21"/>
          <w:vertAlign w:val="baseline"/>
        </w:rPr>
        <w:t>给药前采集样本。受试者可以根据尿妊娠试验阴性在访视 </w:t>
      </w:r>
      <w:r>
        <w:rPr>
          <w:rFonts w:ascii="Times New Roman" w:eastAsia="Times New Roman"/>
          <w:sz w:val="21"/>
          <w:vertAlign w:val="baseline"/>
        </w:rPr>
        <w:t>1</w:t>
      </w:r>
      <w:r>
        <w:rPr>
          <w:rFonts w:ascii="Times New Roman" w:eastAsia="Times New Roman"/>
          <w:spacing w:val="-12"/>
          <w:sz w:val="21"/>
          <w:vertAlign w:val="baseline"/>
        </w:rPr>
        <w:t> </w:t>
      </w:r>
      <w:r>
        <w:rPr>
          <w:spacing w:val="-2"/>
          <w:sz w:val="21"/>
          <w:vertAlign w:val="baseline"/>
        </w:rPr>
        <w:t>接受给药。</w:t>
      </w:r>
    </w:p>
    <w:p>
      <w:pPr>
        <w:spacing w:before="39"/>
        <w:ind w:left="524" w:right="315" w:hanging="425"/>
        <w:jc w:val="both"/>
        <w:rPr>
          <w:sz w:val="21"/>
        </w:rPr>
      </w:pPr>
      <w:r>
        <w:rPr>
          <w:rFonts w:ascii="Times New Roman" w:hAnsi="Times New Roman" w:eastAsia="Times New Roman"/>
          <w:sz w:val="21"/>
          <w:vertAlign w:val="superscript"/>
        </w:rPr>
        <w:t>l</w:t>
      </w:r>
      <w:r>
        <w:rPr>
          <w:rFonts w:ascii="Times New Roman" w:hAnsi="Times New Roman" w:eastAsia="Times New Roman"/>
          <w:spacing w:val="54"/>
          <w:w w:val="150"/>
          <w:sz w:val="21"/>
          <w:vertAlign w:val="baseline"/>
        </w:rPr>
        <w:t>  </w:t>
      </w:r>
      <w:r>
        <w:rPr>
          <w:spacing w:val="-1"/>
          <w:sz w:val="21"/>
          <w:vertAlign w:val="baseline"/>
        </w:rPr>
        <w:t>应使用血清妊娠试验来确认所有尿液妊娠试验阳性结果。对于自行 </w:t>
      </w:r>
      <w:r>
        <w:rPr>
          <w:rFonts w:ascii="Times New Roman" w:hAnsi="Times New Roman" w:eastAsia="Times New Roman"/>
          <w:sz w:val="21"/>
          <w:vertAlign w:val="baseline"/>
        </w:rPr>
        <w:t>IP</w:t>
      </w:r>
      <w:r>
        <w:rPr>
          <w:rFonts w:ascii="Times New Roman" w:hAnsi="Times New Roman" w:eastAsia="Times New Roman"/>
          <w:spacing w:val="-11"/>
          <w:sz w:val="21"/>
          <w:vertAlign w:val="baseline"/>
        </w:rPr>
        <w:t> </w:t>
      </w:r>
      <w:r>
        <w:rPr>
          <w:sz w:val="21"/>
          <w:vertAlign w:val="baseline"/>
        </w:rPr>
        <w:t>给药（</w:t>
      </w:r>
      <w:r>
        <w:rPr>
          <w:spacing w:val="-7"/>
          <w:sz w:val="21"/>
          <w:vertAlign w:val="baseline"/>
        </w:rPr>
        <w:t>从访视 </w:t>
      </w:r>
      <w:r>
        <w:rPr>
          <w:rFonts w:ascii="Times New Roman" w:hAnsi="Times New Roman" w:eastAsia="Times New Roman"/>
          <w:sz w:val="21"/>
          <w:vertAlign w:val="baseline"/>
        </w:rPr>
        <w:t>5</w:t>
      </w:r>
      <w:r>
        <w:rPr>
          <w:rFonts w:ascii="Times New Roman" w:hAnsi="Times New Roman" w:eastAsia="Times New Roman"/>
          <w:spacing w:val="-10"/>
          <w:sz w:val="21"/>
          <w:vertAlign w:val="baseline"/>
        </w:rPr>
        <w:t> </w:t>
      </w:r>
      <w:r>
        <w:rPr>
          <w:spacing w:val="-6"/>
          <w:sz w:val="21"/>
          <w:vertAlign w:val="baseline"/>
        </w:rPr>
        <w:t>开始，第 </w:t>
      </w:r>
      <w:r>
        <w:rPr>
          <w:rFonts w:ascii="Times New Roman" w:hAnsi="Times New Roman" w:eastAsia="Times New Roman"/>
          <w:sz w:val="21"/>
          <w:vertAlign w:val="baseline"/>
        </w:rPr>
        <w:t>16</w:t>
      </w:r>
      <w:r>
        <w:rPr>
          <w:rFonts w:ascii="Times New Roman" w:hAnsi="Times New Roman" w:eastAsia="Times New Roman"/>
          <w:spacing w:val="-10"/>
          <w:sz w:val="21"/>
          <w:vertAlign w:val="baseline"/>
        </w:rPr>
        <w:t> </w:t>
      </w:r>
      <w:r>
        <w:rPr>
          <w:sz w:val="21"/>
          <w:vertAlign w:val="baseline"/>
        </w:rPr>
        <w:t>周）</w:t>
      </w:r>
      <w:r>
        <w:rPr>
          <w:spacing w:val="-3"/>
          <w:sz w:val="21"/>
          <w:vertAlign w:val="baseline"/>
        </w:rPr>
        <w:t>、参加可选远程医疗访视的 </w:t>
      </w:r>
      <w:r>
        <w:rPr>
          <w:rFonts w:ascii="Times New Roman" w:hAnsi="Times New Roman" w:eastAsia="Times New Roman"/>
          <w:sz w:val="21"/>
          <w:vertAlign w:val="baseline"/>
        </w:rPr>
        <w:t>FOCBP</w:t>
      </w:r>
      <w:r>
        <w:rPr>
          <w:rFonts w:ascii="Times New Roman" w:hAnsi="Times New Roman" w:eastAsia="Times New Roman"/>
          <w:spacing w:val="-11"/>
          <w:sz w:val="21"/>
          <w:vertAlign w:val="baseline"/>
        </w:rPr>
        <w:t> </w:t>
      </w:r>
      <w:r>
        <w:rPr>
          <w:sz w:val="21"/>
          <w:vertAlign w:val="baseline"/>
        </w:rPr>
        <w:t>受试者，</w:t>
      </w:r>
      <w:r>
        <w:rPr>
          <w:spacing w:val="-1"/>
          <w:sz w:val="21"/>
          <w:vertAlign w:val="baseline"/>
        </w:rPr>
        <w:t>将向其提供尿妊娠检测试纸，并建议在 </w:t>
      </w:r>
      <w:r>
        <w:rPr>
          <w:rFonts w:ascii="Times New Roman" w:hAnsi="Times New Roman" w:eastAsia="Times New Roman"/>
          <w:sz w:val="21"/>
          <w:vertAlign w:val="baseline"/>
        </w:rPr>
        <w:t>IP </w:t>
      </w:r>
      <w:r>
        <w:rPr>
          <w:spacing w:val="-1"/>
          <w:sz w:val="21"/>
          <w:vertAlign w:val="baseline"/>
        </w:rPr>
        <w:t>自行给药前检测。如果尿妊娠试验结果为阳性，受试者应联系研究中心且不应进行 </w:t>
      </w:r>
      <w:r>
        <w:rPr>
          <w:rFonts w:ascii="Times New Roman" w:hAnsi="Times New Roman" w:eastAsia="Times New Roman"/>
          <w:sz w:val="21"/>
          <w:vertAlign w:val="baseline"/>
        </w:rPr>
        <w:t>IP </w:t>
      </w:r>
      <w:r>
        <w:rPr>
          <w:sz w:val="21"/>
          <w:vertAlign w:val="baseline"/>
        </w:rPr>
        <w:t>给药。如尿妊娠试</w:t>
      </w:r>
      <w:r>
        <w:rPr>
          <w:spacing w:val="-3"/>
          <w:sz w:val="21"/>
          <w:vertAlign w:val="baseline"/>
        </w:rPr>
        <w:t>验结果为阳性，必须通过血清 </w:t>
      </w:r>
      <w:r>
        <w:rPr>
          <w:rFonts w:ascii="Times New Roman" w:hAnsi="Times New Roman" w:eastAsia="Times New Roman"/>
          <w:sz w:val="21"/>
          <w:vertAlign w:val="baseline"/>
        </w:rPr>
        <w:t>β-</w:t>
      </w:r>
      <w:r>
        <w:rPr>
          <w:sz w:val="21"/>
          <w:vertAlign w:val="baseline"/>
        </w:rPr>
        <w:t>人绒毛膜促性腺激素水平检测进行确认。</w:t>
      </w:r>
    </w:p>
    <w:p>
      <w:pPr>
        <w:spacing w:before="38"/>
        <w:ind w:left="100" w:right="0" w:firstLine="0"/>
        <w:jc w:val="both"/>
        <w:rPr>
          <w:sz w:val="21"/>
        </w:rPr>
      </w:pPr>
      <w:r>
        <w:rPr>
          <w:rFonts w:ascii="Times New Roman" w:eastAsia="Times New Roman"/>
          <w:sz w:val="21"/>
          <w:vertAlign w:val="superscript"/>
        </w:rPr>
        <w:t>m</w:t>
      </w:r>
      <w:r>
        <w:rPr>
          <w:rFonts w:ascii="Times New Roman" w:eastAsia="Times New Roman"/>
          <w:spacing w:val="78"/>
          <w:w w:val="150"/>
          <w:sz w:val="21"/>
          <w:vertAlign w:val="baseline"/>
        </w:rPr>
        <w:t>  </w:t>
      </w:r>
      <w:r>
        <w:rPr>
          <w:spacing w:val="-18"/>
          <w:sz w:val="21"/>
          <w:vertAlign w:val="baseline"/>
        </w:rPr>
        <w:t>应在 </w:t>
      </w:r>
      <w:r>
        <w:rPr>
          <w:rFonts w:ascii="Times New Roman" w:eastAsia="Times New Roman"/>
          <w:sz w:val="21"/>
          <w:vertAlign w:val="baseline"/>
        </w:rPr>
        <w:t>IP</w:t>
      </w:r>
      <w:r>
        <w:rPr>
          <w:rFonts w:ascii="Times New Roman" w:eastAsia="Times New Roman"/>
          <w:spacing w:val="-12"/>
          <w:sz w:val="21"/>
          <w:vertAlign w:val="baseline"/>
        </w:rPr>
        <w:t> </w:t>
      </w:r>
      <w:r>
        <w:rPr>
          <w:spacing w:val="-2"/>
          <w:sz w:val="21"/>
          <w:vertAlign w:val="baseline"/>
        </w:rPr>
        <w:t>给药前采集样本。</w:t>
      </w:r>
    </w:p>
    <w:p>
      <w:pPr>
        <w:spacing w:before="40"/>
        <w:ind w:left="100" w:right="0" w:firstLine="0"/>
        <w:jc w:val="both"/>
        <w:rPr>
          <w:sz w:val="21"/>
        </w:rPr>
      </w:pPr>
      <w:r>
        <w:rPr>
          <w:rFonts w:ascii="Times New Roman" w:eastAsia="Times New Roman"/>
          <w:sz w:val="21"/>
          <w:vertAlign w:val="superscript"/>
        </w:rPr>
        <w:t>n</w:t>
      </w:r>
      <w:r>
        <w:rPr>
          <w:rFonts w:ascii="Times New Roman" w:eastAsia="Times New Roman"/>
          <w:spacing w:val="64"/>
          <w:sz w:val="21"/>
          <w:vertAlign w:val="baseline"/>
        </w:rPr>
        <w:t>   </w:t>
      </w:r>
      <w:r>
        <w:rPr>
          <w:spacing w:val="-3"/>
          <w:sz w:val="21"/>
          <w:vertAlign w:val="baseline"/>
        </w:rPr>
        <w:t>在计划访视时，应完成所有其他评估后进行 </w:t>
      </w:r>
      <w:r>
        <w:rPr>
          <w:rFonts w:ascii="Times New Roman" w:eastAsia="Times New Roman"/>
          <w:sz w:val="21"/>
          <w:vertAlign w:val="baseline"/>
        </w:rPr>
        <w:t>IP</w:t>
      </w:r>
      <w:r>
        <w:rPr>
          <w:rFonts w:ascii="Times New Roman" w:eastAsia="Times New Roman"/>
          <w:spacing w:val="-11"/>
          <w:sz w:val="21"/>
          <w:vertAlign w:val="baseline"/>
        </w:rPr>
        <w:t> </w:t>
      </w:r>
      <w:r>
        <w:rPr>
          <w:spacing w:val="-8"/>
          <w:sz w:val="21"/>
          <w:vertAlign w:val="baseline"/>
        </w:rPr>
        <w:t>给药。将使用 </w:t>
      </w:r>
      <w:r>
        <w:rPr>
          <w:rFonts w:ascii="Times New Roman" w:eastAsia="Times New Roman"/>
          <w:sz w:val="21"/>
          <w:vertAlign w:val="baseline"/>
        </w:rPr>
        <w:t>APFS</w:t>
      </w:r>
      <w:r>
        <w:rPr>
          <w:rFonts w:ascii="Times New Roman" w:eastAsia="Times New Roman"/>
          <w:spacing w:val="-12"/>
          <w:sz w:val="21"/>
          <w:vertAlign w:val="baseline"/>
        </w:rPr>
        <w:t> </w:t>
      </w:r>
      <w:r>
        <w:rPr>
          <w:spacing w:val="-1"/>
          <w:sz w:val="21"/>
          <w:vertAlign w:val="baseline"/>
        </w:rPr>
        <w:t>在研究中心、可选居家自行给药或由护理者给药。</w:t>
      </w:r>
    </w:p>
    <w:p>
      <w:pPr>
        <w:tabs>
          <w:tab w:pos="524" w:val="left" w:leader="none"/>
        </w:tabs>
        <w:spacing w:line="261" w:lineRule="auto" w:before="39"/>
        <w:ind w:left="100" w:right="106" w:firstLine="0"/>
        <w:jc w:val="left"/>
        <w:rPr>
          <w:sz w:val="21"/>
        </w:rPr>
      </w:pPr>
      <w:r>
        <w:rPr>
          <w:rFonts w:ascii="Times New Roman" w:eastAsia="Times New Roman"/>
          <w:spacing w:val="-10"/>
          <w:sz w:val="21"/>
          <w:vertAlign w:val="superscript"/>
        </w:rPr>
        <w:t>o</w:t>
      </w:r>
      <w:r>
        <w:rPr>
          <w:rFonts w:ascii="Times New Roman" w:eastAsia="Times New Roman"/>
          <w:sz w:val="21"/>
          <w:vertAlign w:val="baseline"/>
        </w:rPr>
        <w:tab/>
      </w:r>
      <w:r>
        <w:rPr>
          <w:spacing w:val="-4"/>
          <w:sz w:val="21"/>
          <w:vertAlign w:val="baseline"/>
        </w:rPr>
        <w:t>在开始 </w:t>
      </w:r>
      <w:r>
        <w:rPr>
          <w:rFonts w:ascii="Times New Roman" w:eastAsia="Times New Roman"/>
          <w:sz w:val="21"/>
          <w:vertAlign w:val="baseline"/>
        </w:rPr>
        <w:t>IP </w:t>
      </w:r>
      <w:r>
        <w:rPr>
          <w:spacing w:val="-1"/>
          <w:sz w:val="21"/>
          <w:vertAlign w:val="baseline"/>
        </w:rPr>
        <w:t>自行给药之前，应对相应的受试者进行非强制性 </w:t>
      </w:r>
      <w:r>
        <w:rPr>
          <w:rFonts w:ascii="Times New Roman" w:eastAsia="Times New Roman"/>
          <w:sz w:val="21"/>
          <w:vertAlign w:val="baseline"/>
        </w:rPr>
        <w:t>IP </w:t>
      </w:r>
      <w:r>
        <w:rPr>
          <w:sz w:val="21"/>
          <w:vertAlign w:val="baseline"/>
        </w:rPr>
        <w:t>自行给药培训。培训应至少进行一次，根据研究者的判断，可能需要进行多次培训。 </w:t>
      </w:r>
      <w:r>
        <w:rPr>
          <w:rFonts w:ascii="Times New Roman" w:eastAsia="Times New Roman"/>
          <w:spacing w:val="-2"/>
          <w:sz w:val="21"/>
          <w:vertAlign w:val="baseline"/>
        </w:rPr>
        <w:t>ADA</w:t>
      </w:r>
      <w:r>
        <w:rPr>
          <w:spacing w:val="-2"/>
          <w:sz w:val="21"/>
          <w:vertAlign w:val="baseline"/>
        </w:rPr>
        <w:t>，抗药抗体；</w:t>
      </w:r>
      <w:r>
        <w:rPr>
          <w:rFonts w:ascii="Times New Roman" w:eastAsia="Times New Roman"/>
          <w:spacing w:val="-2"/>
          <w:sz w:val="21"/>
          <w:vertAlign w:val="baseline"/>
        </w:rPr>
        <w:t>AE</w:t>
      </w:r>
      <w:r>
        <w:rPr>
          <w:spacing w:val="-2"/>
          <w:sz w:val="21"/>
          <w:vertAlign w:val="baseline"/>
        </w:rPr>
        <w:t>，不良事件；</w:t>
      </w:r>
      <w:r>
        <w:rPr>
          <w:rFonts w:ascii="Times New Roman" w:eastAsia="Times New Roman"/>
          <w:spacing w:val="-2"/>
          <w:sz w:val="21"/>
          <w:vertAlign w:val="baseline"/>
        </w:rPr>
        <w:t>APFS</w:t>
      </w:r>
      <w:r>
        <w:rPr>
          <w:spacing w:val="-2"/>
          <w:sz w:val="21"/>
          <w:vertAlign w:val="baseline"/>
        </w:rPr>
        <w:t>，带配件的预充式注射器；</w:t>
      </w:r>
      <w:r>
        <w:rPr>
          <w:rFonts w:ascii="Times New Roman" w:eastAsia="Times New Roman"/>
          <w:spacing w:val="-2"/>
          <w:sz w:val="21"/>
          <w:vertAlign w:val="baseline"/>
        </w:rPr>
        <w:t>BD</w:t>
      </w:r>
      <w:r>
        <w:rPr>
          <w:spacing w:val="-2"/>
          <w:sz w:val="21"/>
          <w:vertAlign w:val="baseline"/>
        </w:rPr>
        <w:t>，支气管扩张剂；</w:t>
      </w:r>
      <w:r>
        <w:rPr>
          <w:rFonts w:ascii="Times New Roman" w:eastAsia="Times New Roman"/>
          <w:spacing w:val="-2"/>
          <w:sz w:val="21"/>
          <w:vertAlign w:val="baseline"/>
        </w:rPr>
        <w:t>COPD</w:t>
      </w:r>
      <w:r>
        <w:rPr>
          <w:spacing w:val="-2"/>
          <w:sz w:val="21"/>
          <w:vertAlign w:val="baseline"/>
        </w:rPr>
        <w:t>，慢性阻塞性肺疾病；</w:t>
      </w:r>
      <w:r>
        <w:rPr>
          <w:rFonts w:ascii="Times New Roman" w:eastAsia="Times New Roman"/>
          <w:spacing w:val="-2"/>
          <w:sz w:val="21"/>
          <w:vertAlign w:val="baseline"/>
        </w:rPr>
        <w:t>CSP</w:t>
      </w:r>
      <w:r>
        <w:rPr>
          <w:spacing w:val="-2"/>
          <w:sz w:val="21"/>
          <w:vertAlign w:val="baseline"/>
        </w:rPr>
        <w:t>，临床研究方案；</w:t>
      </w:r>
      <w:r>
        <w:rPr>
          <w:rFonts w:ascii="Times New Roman" w:eastAsia="Times New Roman"/>
          <w:spacing w:val="-2"/>
          <w:sz w:val="21"/>
          <w:vertAlign w:val="baseline"/>
        </w:rPr>
        <w:t>CT</w:t>
      </w:r>
      <w:r>
        <w:rPr>
          <w:spacing w:val="-2"/>
          <w:sz w:val="21"/>
          <w:vertAlign w:val="baseline"/>
        </w:rPr>
        <w:t>，计算</w:t>
      </w:r>
      <w:r>
        <w:rPr>
          <w:spacing w:val="80"/>
          <w:sz w:val="21"/>
          <w:vertAlign w:val="baseline"/>
        </w:rPr>
        <w:t>  </w:t>
      </w:r>
      <w:r>
        <w:rPr>
          <w:spacing w:val="-2"/>
          <w:sz w:val="21"/>
          <w:vertAlign w:val="baseline"/>
        </w:rPr>
        <w:t>机断层扫描；</w:t>
      </w:r>
      <w:r>
        <w:rPr>
          <w:rFonts w:ascii="Times New Roman" w:eastAsia="Times New Roman"/>
          <w:spacing w:val="-2"/>
          <w:sz w:val="21"/>
          <w:vertAlign w:val="baseline"/>
        </w:rPr>
        <w:t>ECG</w:t>
      </w:r>
      <w:r>
        <w:rPr>
          <w:spacing w:val="-2"/>
          <w:sz w:val="21"/>
          <w:vertAlign w:val="baseline"/>
        </w:rPr>
        <w:t>，心电图；</w:t>
      </w:r>
      <w:r>
        <w:rPr>
          <w:rFonts w:ascii="Times New Roman" w:eastAsia="Times New Roman"/>
          <w:spacing w:val="-2"/>
          <w:sz w:val="21"/>
          <w:vertAlign w:val="baseline"/>
        </w:rPr>
        <w:t>E/D</w:t>
      </w:r>
      <w:r>
        <w:rPr>
          <w:spacing w:val="-2"/>
          <w:sz w:val="21"/>
          <w:vertAlign w:val="baseline"/>
        </w:rPr>
        <w:t>，提前终止访视；</w:t>
      </w:r>
      <w:r>
        <w:rPr>
          <w:rFonts w:ascii="Times New Roman" w:eastAsia="Times New Roman"/>
          <w:spacing w:val="-2"/>
          <w:sz w:val="21"/>
          <w:vertAlign w:val="baseline"/>
        </w:rPr>
        <w:t>Enrol</w:t>
      </w:r>
      <w:r>
        <w:rPr>
          <w:spacing w:val="-2"/>
          <w:sz w:val="21"/>
          <w:vertAlign w:val="baseline"/>
        </w:rPr>
        <w:t>，入选；</w:t>
      </w:r>
      <w:r>
        <w:rPr>
          <w:rFonts w:ascii="Times New Roman" w:eastAsia="Times New Roman"/>
          <w:spacing w:val="-2"/>
          <w:sz w:val="21"/>
          <w:vertAlign w:val="baseline"/>
        </w:rPr>
        <w:t>exam</w:t>
      </w:r>
      <w:r>
        <w:rPr>
          <w:spacing w:val="-2"/>
          <w:sz w:val="21"/>
          <w:vertAlign w:val="baseline"/>
        </w:rPr>
        <w:t>，检查；</w:t>
      </w:r>
      <w:r>
        <w:rPr>
          <w:rFonts w:ascii="Times New Roman" w:eastAsia="Times New Roman"/>
          <w:spacing w:val="-2"/>
          <w:sz w:val="21"/>
          <w:vertAlign w:val="baseline"/>
        </w:rPr>
        <w:t>FOCBP</w:t>
      </w:r>
      <w:r>
        <w:rPr>
          <w:spacing w:val="-2"/>
          <w:sz w:val="21"/>
          <w:vertAlign w:val="baseline"/>
        </w:rPr>
        <w:t>，有生育能力的女性；</w:t>
      </w:r>
      <w:r>
        <w:rPr>
          <w:rFonts w:ascii="Times New Roman" w:eastAsia="Times New Roman"/>
          <w:spacing w:val="-2"/>
          <w:sz w:val="21"/>
          <w:vertAlign w:val="baseline"/>
        </w:rPr>
        <w:t>FSH</w:t>
      </w:r>
      <w:r>
        <w:rPr>
          <w:spacing w:val="-2"/>
          <w:sz w:val="21"/>
          <w:vertAlign w:val="baseline"/>
        </w:rPr>
        <w:t>，卵泡刺激素；</w:t>
      </w:r>
      <w:r>
        <w:rPr>
          <w:rFonts w:ascii="Times New Roman" w:eastAsia="Times New Roman"/>
          <w:spacing w:val="-2"/>
          <w:sz w:val="21"/>
          <w:vertAlign w:val="baseline"/>
        </w:rPr>
        <w:t>FU</w:t>
      </w:r>
      <w:r>
        <w:rPr>
          <w:spacing w:val="-2"/>
          <w:sz w:val="21"/>
          <w:vertAlign w:val="baseline"/>
        </w:rPr>
        <w:t>，随访访视；</w:t>
      </w:r>
      <w:r>
        <w:rPr>
          <w:rFonts w:ascii="Times New Roman" w:eastAsia="Times New Roman"/>
          <w:spacing w:val="-2"/>
          <w:sz w:val="21"/>
          <w:vertAlign w:val="baseline"/>
        </w:rPr>
        <w:t>HRU</w:t>
      </w:r>
      <w:r>
        <w:rPr>
          <w:spacing w:val="-2"/>
          <w:sz w:val="21"/>
          <w:vertAlign w:val="baseline"/>
        </w:rPr>
        <w:t>，医疗保健资源利用；</w:t>
      </w:r>
      <w:r>
        <w:rPr>
          <w:rFonts w:ascii="Times New Roman" w:eastAsia="Times New Roman"/>
          <w:spacing w:val="-2"/>
          <w:sz w:val="21"/>
          <w:vertAlign w:val="baseline"/>
        </w:rPr>
        <w:t>ICF</w:t>
      </w:r>
      <w:r>
        <w:rPr>
          <w:spacing w:val="-2"/>
          <w:sz w:val="21"/>
          <w:vertAlign w:val="baseline"/>
        </w:rPr>
        <w:t>，知情同意书；</w:t>
      </w:r>
      <w:r>
        <w:rPr>
          <w:rFonts w:ascii="Times New Roman" w:eastAsia="Times New Roman"/>
          <w:spacing w:val="-2"/>
          <w:sz w:val="21"/>
          <w:vertAlign w:val="baseline"/>
        </w:rPr>
        <w:t>IP</w:t>
      </w:r>
      <w:r>
        <w:rPr>
          <w:spacing w:val="-2"/>
          <w:sz w:val="21"/>
          <w:vertAlign w:val="baseline"/>
        </w:rPr>
        <w:t>，研究药物；</w:t>
      </w:r>
      <w:r>
        <w:rPr>
          <w:rFonts w:ascii="Times New Roman" w:eastAsia="Times New Roman"/>
          <w:spacing w:val="-2"/>
          <w:sz w:val="21"/>
          <w:vertAlign w:val="baseline"/>
        </w:rPr>
        <w:t>NT-proBNP</w:t>
      </w:r>
      <w:r>
        <w:rPr>
          <w:spacing w:val="-2"/>
          <w:sz w:val="21"/>
          <w:vertAlign w:val="baseline"/>
        </w:rPr>
        <w:t>，</w:t>
      </w:r>
      <w:r>
        <w:rPr>
          <w:rFonts w:ascii="Times New Roman" w:eastAsia="Times New Roman"/>
          <w:spacing w:val="-2"/>
          <w:sz w:val="21"/>
          <w:vertAlign w:val="baseline"/>
        </w:rPr>
        <w:t>N-</w:t>
      </w:r>
      <w:r>
        <w:rPr>
          <w:spacing w:val="-2"/>
          <w:sz w:val="21"/>
          <w:vertAlign w:val="baseline"/>
        </w:rPr>
        <w:t>末端脑利钠肽前体；</w:t>
      </w:r>
      <w:r>
        <w:rPr>
          <w:rFonts w:ascii="Times New Roman" w:eastAsia="Times New Roman"/>
          <w:spacing w:val="-2"/>
          <w:sz w:val="21"/>
          <w:vertAlign w:val="baseline"/>
        </w:rPr>
        <w:t>PK</w:t>
      </w:r>
      <w:r>
        <w:rPr>
          <w:spacing w:val="-2"/>
          <w:sz w:val="21"/>
          <w:vertAlign w:val="baseline"/>
        </w:rPr>
        <w:t>，药代动力学；</w:t>
      </w:r>
      <w:r>
        <w:rPr>
          <w:rFonts w:ascii="Times New Roman" w:eastAsia="Times New Roman"/>
          <w:spacing w:val="-2"/>
          <w:sz w:val="21"/>
          <w:vertAlign w:val="baseline"/>
        </w:rPr>
        <w:t>Pred</w:t>
      </w:r>
      <w:r>
        <w:rPr>
          <w:spacing w:val="-2"/>
          <w:sz w:val="21"/>
          <w:vertAlign w:val="baseline"/>
        </w:rPr>
        <w:t>，前身；</w:t>
      </w:r>
      <w:r>
        <w:rPr>
          <w:rFonts w:ascii="Times New Roman" w:eastAsia="Times New Roman"/>
          <w:spacing w:val="-2"/>
          <w:sz w:val="21"/>
          <w:vertAlign w:val="baseline"/>
        </w:rPr>
        <w:t>SAE</w:t>
      </w:r>
      <w:r>
        <w:rPr>
          <w:spacing w:val="-2"/>
          <w:sz w:val="21"/>
          <w:vertAlign w:val="baseline"/>
        </w:rPr>
        <w:t>，严重不良事件；</w:t>
      </w:r>
      <w:r>
        <w:rPr>
          <w:spacing w:val="80"/>
          <w:sz w:val="21"/>
          <w:vertAlign w:val="baseline"/>
        </w:rPr>
        <w:t>  </w:t>
      </w:r>
      <w:r>
        <w:rPr>
          <w:rFonts w:ascii="Times New Roman" w:eastAsia="Times New Roman"/>
          <w:spacing w:val="-2"/>
          <w:sz w:val="21"/>
          <w:vertAlign w:val="baseline"/>
        </w:rPr>
        <w:t>SpO</w:t>
      </w:r>
      <w:r>
        <w:rPr>
          <w:rFonts w:ascii="Times New Roman" w:eastAsia="Times New Roman"/>
          <w:spacing w:val="-2"/>
          <w:sz w:val="21"/>
          <w:vertAlign w:val="subscript"/>
        </w:rPr>
        <w:t>2</w:t>
      </w:r>
      <w:r>
        <w:rPr>
          <w:spacing w:val="-2"/>
          <w:sz w:val="21"/>
          <w:vertAlign w:val="baseline"/>
        </w:rPr>
        <w:t>，血氧饱和度；</w:t>
      </w:r>
      <w:r>
        <w:rPr>
          <w:rFonts w:ascii="Times New Roman" w:eastAsia="Times New Roman"/>
          <w:spacing w:val="-2"/>
          <w:sz w:val="21"/>
          <w:vertAlign w:val="baseline"/>
        </w:rPr>
        <w:t>Telemed</w:t>
      </w:r>
      <w:r>
        <w:rPr>
          <w:spacing w:val="-2"/>
          <w:sz w:val="21"/>
          <w:vertAlign w:val="baseline"/>
        </w:rPr>
        <w:t>（</w:t>
      </w:r>
      <w:r>
        <w:rPr>
          <w:rFonts w:ascii="Times New Roman" w:eastAsia="Times New Roman"/>
          <w:spacing w:val="-2"/>
          <w:sz w:val="21"/>
          <w:vertAlign w:val="baseline"/>
        </w:rPr>
        <w:t>T</w:t>
      </w:r>
      <w:r>
        <w:rPr>
          <w:spacing w:val="-2"/>
          <w:sz w:val="21"/>
          <w:vertAlign w:val="baseline"/>
        </w:rPr>
        <w:t>），远程医疗访视（使用电信技术与受试者进行远程联系，包括电话联系、虚拟或视频访视和移动健康设备）；</w:t>
      </w:r>
      <w:r>
        <w:rPr>
          <w:rFonts w:ascii="Times New Roman" w:eastAsia="Times New Roman"/>
          <w:spacing w:val="-2"/>
          <w:sz w:val="21"/>
          <w:vertAlign w:val="baseline"/>
        </w:rPr>
        <w:t>V</w:t>
      </w:r>
      <w:r>
        <w:rPr>
          <w:spacing w:val="-2"/>
          <w:sz w:val="21"/>
          <w:vertAlign w:val="baseline"/>
        </w:rPr>
        <w:t>，访视；</w:t>
      </w:r>
      <w:r>
        <w:rPr>
          <w:rFonts w:ascii="Times New Roman" w:eastAsia="Times New Roman"/>
          <w:spacing w:val="-2"/>
          <w:sz w:val="21"/>
          <w:vertAlign w:val="baseline"/>
        </w:rPr>
        <w:t>W</w:t>
      </w:r>
      <w:r>
        <w:rPr>
          <w:spacing w:val="-2"/>
          <w:sz w:val="21"/>
          <w:vertAlign w:val="baseline"/>
        </w:rPr>
        <w:t>，研究周；</w:t>
      </w:r>
      <w:r>
        <w:rPr>
          <w:rFonts w:ascii="Times New Roman" w:eastAsia="Times New Roman"/>
          <w:spacing w:val="-2"/>
          <w:sz w:val="21"/>
          <w:vertAlign w:val="baseline"/>
        </w:rPr>
        <w:t>wk</w:t>
      </w:r>
      <w:r>
        <w:rPr>
          <w:spacing w:val="-2"/>
          <w:sz w:val="21"/>
          <w:vertAlign w:val="baseline"/>
        </w:rPr>
        <w:t>，周；</w:t>
      </w:r>
      <w:r>
        <w:rPr>
          <w:rFonts w:ascii="Times New Roman" w:eastAsia="Times New Roman"/>
          <w:spacing w:val="-2"/>
          <w:sz w:val="21"/>
          <w:vertAlign w:val="baseline"/>
        </w:rPr>
        <w:t>X</w:t>
      </w:r>
      <w:r>
        <w:rPr>
          <w:spacing w:val="-2"/>
          <w:sz w:val="21"/>
          <w:vertAlign w:val="baseline"/>
        </w:rPr>
        <w:t>，需要进行；（</w:t>
      </w:r>
      <w:r>
        <w:rPr>
          <w:rFonts w:ascii="Times New Roman" w:eastAsia="Times New Roman"/>
          <w:spacing w:val="-2"/>
          <w:sz w:val="21"/>
          <w:vertAlign w:val="baseline"/>
        </w:rPr>
        <w:t>X</w:t>
      </w:r>
      <w:r>
        <w:rPr>
          <w:spacing w:val="-2"/>
          <w:sz w:val="21"/>
          <w:vertAlign w:val="baseline"/>
        </w:rPr>
        <w:t>），需要重复进行或在适用时进行。</w:t>
      </w:r>
    </w:p>
    <w:p>
      <w:pPr>
        <w:spacing w:after="0" w:line="261" w:lineRule="auto"/>
        <w:jc w:val="left"/>
        <w:rPr>
          <w:sz w:val="21"/>
        </w:rPr>
        <w:sectPr>
          <w:pgSz w:w="16840" w:h="11910" w:orient="landscape"/>
          <w:pgMar w:header="761" w:footer="786" w:top="1400" w:bottom="980" w:left="1340" w:right="1120"/>
        </w:sectPr>
      </w:pPr>
    </w:p>
    <w:p>
      <w:pPr>
        <w:tabs>
          <w:tab w:pos="8028" w:val="left" w:leader="none"/>
        </w:tabs>
        <w:spacing w:before="45"/>
        <w:ind w:left="101" w:right="0" w:firstLine="0"/>
        <w:jc w:val="left"/>
        <w:rPr>
          <w:sz w:val="21"/>
        </w:rPr>
      </w:pPr>
      <w:r>
        <w:rPr>
          <w:sz w:val="21"/>
        </w:rPr>
        <w:t>临床研究方案</w:t>
      </w:r>
      <w:r>
        <w:rPr>
          <w:spacing w:val="-52"/>
          <w:sz w:val="21"/>
        </w:rPr>
        <w:t> </w:t>
      </w:r>
      <w:r>
        <w:rPr>
          <w:rFonts w:ascii="Times New Roman" w:hAnsi="Times New Roman" w:eastAsia="Times New Roman"/>
          <w:sz w:val="21"/>
        </w:rPr>
        <w:t>–</w:t>
      </w:r>
      <w:r>
        <w:rPr>
          <w:rFonts w:ascii="Times New Roman" w:hAnsi="Times New Roman" w:eastAsia="Times New Roman"/>
          <w:spacing w:val="-1"/>
          <w:sz w:val="21"/>
        </w:rPr>
        <w:t> </w:t>
      </w:r>
      <w:r>
        <w:rPr>
          <w:rFonts w:ascii="Times New Roman" w:hAnsi="Times New Roman" w:eastAsia="Times New Roman"/>
          <w:spacing w:val="-5"/>
          <w:sz w:val="21"/>
        </w:rPr>
        <w:t>4.0</w:t>
      </w:r>
      <w:r>
        <w:rPr>
          <w:rFonts w:ascii="Times New Roman" w:hAnsi="Times New Roman" w:eastAsia="Times New Roman"/>
          <w:sz w:val="21"/>
        </w:rPr>
        <w:tab/>
      </w:r>
      <w:r>
        <w:rPr>
          <w:sz w:val="21"/>
        </w:rPr>
        <w:t>阿斯利</w:t>
      </w:r>
      <w:r>
        <w:rPr>
          <w:spacing w:val="-10"/>
          <w:sz w:val="21"/>
        </w:rPr>
        <w:t>康</w:t>
      </w:r>
    </w:p>
    <w:p>
      <w:pPr>
        <w:spacing w:before="2"/>
        <w:ind w:left="101" w:right="0" w:firstLine="0"/>
        <w:jc w:val="left"/>
        <w:rPr>
          <w:rFonts w:ascii="Times New Roman"/>
          <w:sz w:val="21"/>
        </w:rPr>
      </w:pPr>
      <w:r>
        <w:rPr>
          <w:rFonts w:ascii="Times New Roman"/>
          <w:sz w:val="21"/>
        </w:rPr>
        <w:t>Tozorakimab</w:t>
      </w:r>
      <w:r>
        <w:rPr>
          <w:rFonts w:ascii="Times New Roman"/>
          <w:spacing w:val="-2"/>
          <w:sz w:val="21"/>
        </w:rPr>
        <w:t> </w:t>
      </w:r>
      <w:r>
        <w:rPr>
          <w:rFonts w:ascii="Times New Roman"/>
          <w:sz w:val="21"/>
        </w:rPr>
        <w:t>-</w:t>
      </w:r>
      <w:r>
        <w:rPr>
          <w:rFonts w:ascii="Times New Roman"/>
          <w:spacing w:val="-2"/>
          <w:sz w:val="21"/>
        </w:rPr>
        <w:t> D9180C00008</w:t>
      </w:r>
    </w:p>
    <w:p>
      <w:pPr>
        <w:pStyle w:val="BodyText"/>
        <w:spacing w:before="177"/>
        <w:ind w:left="0"/>
        <w:rPr>
          <w:rFonts w:ascii="Times New Roman"/>
          <w:sz w:val="26"/>
        </w:rPr>
      </w:pPr>
    </w:p>
    <w:p>
      <w:pPr>
        <w:pStyle w:val="Heading2"/>
        <w:numPr>
          <w:ilvl w:val="2"/>
          <w:numId w:val="3"/>
        </w:numPr>
        <w:tabs>
          <w:tab w:pos="1253" w:val="left" w:leader="none"/>
        </w:tabs>
        <w:spacing w:line="240" w:lineRule="auto" w:before="1" w:after="0"/>
        <w:ind w:left="1253" w:right="0" w:hanging="1152"/>
        <w:jc w:val="left"/>
      </w:pPr>
      <w:bookmarkStart w:name="1.3.2 28周治疗期的研究活动时间表" w:id="19"/>
      <w:bookmarkEnd w:id="19"/>
      <w:r>
        <w:rPr>
          <w:b w:val="0"/>
        </w:rPr>
      </w:r>
      <w:bookmarkStart w:name="_bookmark10" w:id="20"/>
      <w:bookmarkEnd w:id="20"/>
      <w:r>
        <w:rPr>
          <w:b w:val="0"/>
        </w:rPr>
      </w:r>
      <w:r>
        <w:rPr>
          <w:rFonts w:ascii="Times New Roman" w:eastAsia="Times New Roman"/>
          <w:spacing w:val="-2"/>
        </w:rPr>
        <w:t>28</w:t>
      </w:r>
      <w:r>
        <w:rPr>
          <w:rFonts w:ascii="Times New Roman" w:eastAsia="Times New Roman"/>
          <w:spacing w:val="-9"/>
        </w:rPr>
        <w:t> </w:t>
      </w:r>
      <w:r>
        <w:rPr>
          <w:spacing w:val="-3"/>
        </w:rPr>
        <w:t>周治疗期的研究活动时间表</w:t>
      </w:r>
    </w:p>
    <w:p>
      <w:pPr>
        <w:pStyle w:val="BodyText"/>
        <w:spacing w:before="120"/>
        <w:ind w:left="581"/>
      </w:pPr>
      <w:r>
        <w:rPr>
          <w:rFonts w:ascii="Times New Roman" w:eastAsia="Times New Roman"/>
        </w:rPr>
        <w:t>28</w:t>
      </w:r>
      <w:r>
        <w:rPr>
          <w:rFonts w:ascii="Times New Roman" w:eastAsia="Times New Roman"/>
          <w:spacing w:val="3"/>
        </w:rPr>
        <w:t> </w:t>
      </w:r>
      <w:r>
        <w:rPr>
          <w:spacing w:val="-3"/>
        </w:rPr>
        <w:t>周治疗期的研究活动时间表适用于根据 </w:t>
      </w:r>
      <w:r>
        <w:rPr>
          <w:rFonts w:ascii="Times New Roman" w:eastAsia="Times New Roman"/>
        </w:rPr>
        <w:t>CSP</w:t>
      </w:r>
      <w:r>
        <w:rPr>
          <w:rFonts w:ascii="Times New Roman" w:eastAsia="Times New Roman"/>
          <w:spacing w:val="4"/>
        </w:rPr>
        <w:t> </w:t>
      </w:r>
      <w:r>
        <w:rPr>
          <w:spacing w:val="-19"/>
        </w:rPr>
        <w:t>第 </w:t>
      </w:r>
      <w:r>
        <w:rPr>
          <w:rFonts w:ascii="Times New Roman" w:eastAsia="Times New Roman"/>
        </w:rPr>
        <w:t>2.0</w:t>
      </w:r>
      <w:r>
        <w:rPr>
          <w:rFonts w:ascii="Times New Roman" w:eastAsia="Times New Roman"/>
          <w:spacing w:val="6"/>
        </w:rPr>
        <w:t> </w:t>
      </w:r>
      <w:r>
        <w:rPr/>
        <w:t>版入组的受试者，参见</w:t>
      </w:r>
      <w:hyperlink w:history="true" w:anchor="_bookmark11">
        <w:r>
          <w:rPr>
            <w:color w:val="0000FF"/>
            <w:spacing w:val="-10"/>
          </w:rPr>
          <w:t>表</w:t>
        </w:r>
      </w:hyperlink>
    </w:p>
    <w:p>
      <w:pPr>
        <w:pStyle w:val="BodyText"/>
        <w:spacing w:before="46"/>
        <w:ind w:left="101"/>
      </w:pPr>
      <w:hyperlink w:history="true" w:anchor="_bookmark11">
        <w:r>
          <w:rPr>
            <w:rFonts w:ascii="Times New Roman" w:eastAsia="Times New Roman"/>
            <w:color w:val="0000FF"/>
          </w:rPr>
          <w:t>2</w:t>
        </w:r>
      </w:hyperlink>
      <w:r>
        <w:rPr/>
        <w:t>（</w:t>
      </w:r>
      <w:r>
        <w:rPr>
          <w:spacing w:val="-6"/>
        </w:rPr>
        <w:t>更多详细信息参见第 </w:t>
      </w:r>
      <w:hyperlink w:history="true" w:anchor="_bookmark25">
        <w:r>
          <w:rPr>
            <w:rFonts w:ascii="Times New Roman" w:eastAsia="Times New Roman"/>
            <w:color w:val="0000FF"/>
          </w:rPr>
          <w:t>4.1.2</w:t>
        </w:r>
      </w:hyperlink>
      <w:r>
        <w:rPr>
          <w:rFonts w:ascii="Times New Roman" w:eastAsia="Times New Roman"/>
          <w:color w:val="0000FF"/>
          <w:spacing w:val="-12"/>
        </w:rPr>
        <w:t> </w:t>
      </w:r>
      <w:r>
        <w:rPr/>
        <w:t>节）</w:t>
      </w:r>
      <w:r>
        <w:rPr>
          <w:spacing w:val="-10"/>
        </w:rPr>
        <w:t>。</w:t>
      </w:r>
    </w:p>
    <w:p>
      <w:pPr>
        <w:pStyle w:val="BodyText"/>
        <w:spacing w:line="276" w:lineRule="auto" w:before="287"/>
        <w:ind w:left="101" w:right="116" w:firstLine="480"/>
        <w:jc w:val="both"/>
      </w:pPr>
      <w:r>
        <w:rPr>
          <w:spacing w:val="-11"/>
        </w:rPr>
        <w:t>从第 </w:t>
      </w:r>
      <w:r>
        <w:rPr>
          <w:rFonts w:ascii="Times New Roman" w:eastAsia="Times New Roman"/>
          <w:spacing w:val="-2"/>
        </w:rPr>
        <w:t>16</w:t>
      </w:r>
      <w:r>
        <w:rPr>
          <w:rFonts w:ascii="Times New Roman" w:eastAsia="Times New Roman"/>
          <w:spacing w:val="-13"/>
        </w:rPr>
        <w:t> </w:t>
      </w:r>
      <w:r>
        <w:rPr>
          <w:spacing w:val="-2"/>
        </w:rPr>
        <w:t>周（</w:t>
      </w:r>
      <w:r>
        <w:rPr>
          <w:rFonts w:ascii="Times New Roman" w:eastAsia="Times New Roman"/>
          <w:spacing w:val="-2"/>
        </w:rPr>
        <w:t>PROSPERO</w:t>
      </w:r>
      <w:r>
        <w:rPr>
          <w:rFonts w:ascii="Times New Roman" w:eastAsia="Times New Roman"/>
          <w:spacing w:val="-13"/>
        </w:rPr>
        <w:t> </w:t>
      </w:r>
      <w:r>
        <w:rPr>
          <w:spacing w:val="-9"/>
        </w:rPr>
        <w:t>的访视 </w:t>
      </w:r>
      <w:r>
        <w:rPr>
          <w:rFonts w:ascii="Times New Roman" w:eastAsia="Times New Roman"/>
          <w:spacing w:val="-2"/>
        </w:rPr>
        <w:t>5</w:t>
      </w:r>
      <w:r>
        <w:rPr>
          <w:spacing w:val="-2"/>
        </w:rPr>
        <w:t>）开始以及此后每隔一次访视，选择进行虚拟访视、完成培训并被确认为适合自行给药</w:t>
      </w:r>
      <w:r>
        <w:rPr>
          <w:rFonts w:ascii="Times New Roman" w:eastAsia="Times New Roman"/>
          <w:spacing w:val="-2"/>
        </w:rPr>
        <w:t>/</w:t>
      </w:r>
      <w:r>
        <w:rPr>
          <w:spacing w:val="-2"/>
        </w:rPr>
        <w:t>家庭访视的受试者将有机会进行远程医疗</w:t>
      </w:r>
      <w:r>
        <w:rPr>
          <w:spacing w:val="2"/>
        </w:rPr>
        <w:t>访视，于家中自行给予</w:t>
      </w:r>
      <w:r>
        <w:rPr>
          <w:rFonts w:ascii="Times New Roman" w:eastAsia="Times New Roman"/>
        </w:rPr>
        <w:t>IP</w:t>
      </w:r>
      <w:r>
        <w:rPr>
          <w:rFonts w:ascii="Times New Roman" w:eastAsia="Times New Roman"/>
          <w:spacing w:val="-15"/>
        </w:rPr>
        <w:t> </w:t>
      </w:r>
      <w:r>
        <w:rPr/>
        <w:t>或由护理者给药（</w:t>
      </w:r>
      <w:r>
        <w:rPr>
          <w:spacing w:val="-4"/>
        </w:rPr>
        <w:t>详细信息参见第 </w:t>
      </w:r>
      <w:hyperlink w:history="true" w:anchor="_bookmark56">
        <w:r>
          <w:rPr>
            <w:rFonts w:ascii="Times New Roman" w:eastAsia="Times New Roman"/>
            <w:color w:val="0000FF"/>
          </w:rPr>
          <w:t>6.2.2.3</w:t>
        </w:r>
      </w:hyperlink>
      <w:r>
        <w:rPr>
          <w:rFonts w:ascii="Times New Roman" w:eastAsia="Times New Roman"/>
          <w:color w:val="0000FF"/>
          <w:spacing w:val="-15"/>
        </w:rPr>
        <w:t> </w:t>
      </w:r>
      <w:r>
        <w:rPr/>
        <w:t>节）。可选择在</w:t>
      </w:r>
      <w:r>
        <w:rPr>
          <w:spacing w:val="1"/>
        </w:rPr>
        <w:t>家自行给药，可在访视</w:t>
      </w:r>
      <w:r>
        <w:rPr>
          <w:rFonts w:ascii="Times New Roman" w:eastAsia="Times New Roman"/>
        </w:rPr>
        <w:t>5</w:t>
      </w:r>
      <w:r>
        <w:rPr>
          <w:rFonts w:ascii="Times New Roman" w:eastAsia="Times New Roman"/>
          <w:spacing w:val="-15"/>
        </w:rPr>
        <w:t> </w:t>
      </w:r>
      <w:r>
        <w:rPr>
          <w:spacing w:val="5"/>
        </w:rPr>
        <w:t>和访视</w:t>
      </w:r>
      <w:r>
        <w:rPr>
          <w:rFonts w:ascii="Times New Roman" w:eastAsia="Times New Roman"/>
        </w:rPr>
        <w:t>7</w:t>
      </w:r>
      <w:r>
        <w:rPr>
          <w:rFonts w:ascii="Times New Roman" w:eastAsia="Times New Roman"/>
          <w:spacing w:val="-15"/>
        </w:rPr>
        <w:t> </w:t>
      </w:r>
      <w:r>
        <w:rPr/>
        <w:t>时进行。如果未计划通过远程医疗进行研究访视，</w:t>
      </w:r>
      <w:r>
        <w:rPr>
          <w:spacing w:val="-2"/>
        </w:rPr>
        <w:t>则应在现场进行该访视。</w:t>
      </w:r>
    </w:p>
    <w:p>
      <w:pPr>
        <w:spacing w:after="0" w:line="276" w:lineRule="auto"/>
        <w:jc w:val="both"/>
        <w:sectPr>
          <w:headerReference w:type="default" r:id="rId11"/>
          <w:footerReference w:type="default" r:id="rId12"/>
          <w:pgSz w:w="11910" w:h="16840"/>
          <w:pgMar w:header="0" w:footer="784" w:top="500" w:bottom="980" w:left="1600" w:right="1320"/>
        </w:sectPr>
      </w:pPr>
    </w:p>
    <w:p>
      <w:pPr>
        <w:pStyle w:val="Heading3"/>
        <w:tabs>
          <w:tab w:pos="1801" w:val="left" w:leader="none"/>
        </w:tabs>
        <w:spacing w:before="280"/>
        <w:ind w:left="100"/>
      </w:pPr>
      <w:bookmarkStart w:name="_bookmark11" w:id="21"/>
      <w:bookmarkEnd w:id="21"/>
      <w:r>
        <w:rPr>
          <w:b w:val="0"/>
        </w:rPr>
      </w:r>
      <w:r>
        <w:rPr>
          <w:spacing w:val="-4"/>
        </w:rPr>
        <w:t>表</w:t>
      </w:r>
      <w:r>
        <w:rPr>
          <w:spacing w:val="-59"/>
        </w:rPr>
        <w:t> </w:t>
      </w:r>
      <w:r>
        <w:rPr>
          <w:rFonts w:ascii="Times New Roman" w:eastAsia="Times New Roman"/>
          <w:spacing w:val="-10"/>
        </w:rPr>
        <w:t>2</w:t>
      </w:r>
      <w:r>
        <w:rPr>
          <w:rFonts w:ascii="Times New Roman" w:eastAsia="Times New Roman"/>
        </w:rPr>
        <w:tab/>
      </w:r>
      <w:r>
        <w:rPr>
          <w:rFonts w:ascii="Times New Roman" w:eastAsia="Times New Roman"/>
          <w:spacing w:val="-2"/>
        </w:rPr>
        <w:t>28</w:t>
      </w:r>
      <w:r>
        <w:rPr>
          <w:rFonts w:ascii="Times New Roman" w:eastAsia="Times New Roman"/>
          <w:spacing w:val="-10"/>
        </w:rPr>
        <w:t> </w:t>
      </w:r>
      <w:r>
        <w:rPr>
          <w:spacing w:val="-2"/>
        </w:rPr>
        <w:t>周治疗期的研究活动时间</w:t>
      </w:r>
      <w:r>
        <w:rPr>
          <w:spacing w:val="-10"/>
        </w:rPr>
        <w:t>表</w:t>
      </w:r>
    </w:p>
    <w:p>
      <w:pPr>
        <w:pStyle w:val="BodyText"/>
        <w:spacing w:before="4"/>
        <w:ind w:left="0"/>
        <w:rPr>
          <w:b/>
          <w:sz w:val="9"/>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419"/>
        <w:gridCol w:w="977"/>
        <w:gridCol w:w="976"/>
        <w:gridCol w:w="976"/>
        <w:gridCol w:w="978"/>
        <w:gridCol w:w="976"/>
        <w:gridCol w:w="976"/>
        <w:gridCol w:w="977"/>
        <w:gridCol w:w="1127"/>
        <w:gridCol w:w="1413"/>
        <w:gridCol w:w="1176"/>
      </w:tblGrid>
      <w:tr>
        <w:trPr>
          <w:trHeight w:val="625" w:hRule="atLeast"/>
        </w:trPr>
        <w:tc>
          <w:tcPr>
            <w:tcW w:w="1983" w:type="dxa"/>
            <w:shd w:val="clear" w:color="auto" w:fill="DBDBDB"/>
          </w:tcPr>
          <w:p>
            <w:pPr>
              <w:pStyle w:val="TableParagraph"/>
              <w:spacing w:before="175"/>
              <w:ind w:left="568"/>
              <w:rPr>
                <w:b/>
                <w:sz w:val="21"/>
              </w:rPr>
            </w:pPr>
            <w:r>
              <w:rPr>
                <w:b/>
                <w:spacing w:val="-4"/>
                <w:sz w:val="21"/>
              </w:rPr>
              <w:t>研究阶段</w:t>
            </w:r>
          </w:p>
        </w:tc>
        <w:tc>
          <w:tcPr>
            <w:tcW w:w="1419" w:type="dxa"/>
            <w:shd w:val="clear" w:color="auto" w:fill="DBDBDB"/>
          </w:tcPr>
          <w:p>
            <w:pPr>
              <w:pStyle w:val="TableParagraph"/>
              <w:spacing w:before="175"/>
              <w:ind w:left="9" w:right="1"/>
              <w:jc w:val="center"/>
              <w:rPr>
                <w:b/>
                <w:sz w:val="21"/>
              </w:rPr>
            </w:pPr>
            <w:r>
              <w:rPr>
                <w:b/>
                <w:spacing w:val="-6"/>
                <w:sz w:val="21"/>
              </w:rPr>
              <w:t>入组</w:t>
            </w:r>
          </w:p>
        </w:tc>
        <w:tc>
          <w:tcPr>
            <w:tcW w:w="6836" w:type="dxa"/>
            <w:gridSpan w:val="7"/>
            <w:shd w:val="clear" w:color="auto" w:fill="DBDBDB"/>
          </w:tcPr>
          <w:p>
            <w:pPr>
              <w:pStyle w:val="TableParagraph"/>
              <w:spacing w:before="175"/>
              <w:jc w:val="center"/>
              <w:rPr>
                <w:b/>
                <w:sz w:val="21"/>
              </w:rPr>
            </w:pPr>
            <w:r>
              <w:rPr>
                <w:b/>
                <w:spacing w:val="-2"/>
                <w:sz w:val="21"/>
              </w:rPr>
              <w:t>干预（治疗</w:t>
            </w:r>
            <w:r>
              <w:rPr>
                <w:b/>
                <w:spacing w:val="-10"/>
                <w:sz w:val="21"/>
              </w:rPr>
              <w:t>）</w:t>
            </w:r>
          </w:p>
        </w:tc>
        <w:tc>
          <w:tcPr>
            <w:tcW w:w="1127" w:type="dxa"/>
            <w:shd w:val="clear" w:color="auto" w:fill="DBDBDB"/>
          </w:tcPr>
          <w:p>
            <w:pPr>
              <w:pStyle w:val="TableParagraph"/>
              <w:spacing w:before="175"/>
              <w:ind w:left="3"/>
              <w:jc w:val="center"/>
              <w:rPr>
                <w:b/>
                <w:sz w:val="21"/>
              </w:rPr>
            </w:pPr>
            <w:r>
              <w:rPr>
                <w:b/>
                <w:spacing w:val="-6"/>
                <w:sz w:val="21"/>
              </w:rPr>
              <w:t>随访</w:t>
            </w:r>
          </w:p>
        </w:tc>
        <w:tc>
          <w:tcPr>
            <w:tcW w:w="1413" w:type="dxa"/>
            <w:shd w:val="clear" w:color="auto" w:fill="DBDBDB"/>
          </w:tcPr>
          <w:p>
            <w:pPr>
              <w:pStyle w:val="TableParagraph"/>
              <w:spacing w:before="37"/>
              <w:ind w:left="219" w:right="184" w:hanging="32"/>
              <w:rPr>
                <w:rFonts w:ascii="Times New Roman" w:eastAsia="Times New Roman"/>
                <w:b/>
                <w:sz w:val="21"/>
              </w:rPr>
            </w:pPr>
            <w:r>
              <w:rPr>
                <w:rFonts w:ascii="Times New Roman" w:eastAsia="Times New Roman"/>
                <w:b/>
                <w:sz w:val="21"/>
              </w:rPr>
              <w:t>E/D</w:t>
            </w:r>
            <w:r>
              <w:rPr>
                <w:rFonts w:ascii="Times New Roman" w:eastAsia="Times New Roman"/>
                <w:b/>
                <w:spacing w:val="-14"/>
                <w:sz w:val="21"/>
              </w:rPr>
              <w:t> </w:t>
            </w:r>
            <w:r>
              <w:rPr>
                <w:b/>
                <w:sz w:val="21"/>
              </w:rPr>
              <w:t>继之以</w:t>
            </w:r>
            <w:r>
              <w:rPr>
                <w:b/>
                <w:spacing w:val="-12"/>
                <w:sz w:val="21"/>
              </w:rPr>
              <w:t>电话随访 </w:t>
            </w:r>
            <w:r>
              <w:rPr>
                <w:rFonts w:ascii="Times New Roman" w:eastAsia="Times New Roman"/>
                <w:b/>
                <w:spacing w:val="-10"/>
                <w:sz w:val="21"/>
                <w:vertAlign w:val="superscript"/>
              </w:rPr>
              <w:t>a</w:t>
            </w:r>
          </w:p>
        </w:tc>
        <w:tc>
          <w:tcPr>
            <w:tcW w:w="1176" w:type="dxa"/>
            <w:vMerge w:val="restart"/>
            <w:shd w:val="clear" w:color="auto" w:fill="DBDBDB"/>
          </w:tcPr>
          <w:p>
            <w:pPr>
              <w:pStyle w:val="TableParagraph"/>
              <w:rPr>
                <w:b/>
                <w:sz w:val="21"/>
              </w:rPr>
            </w:pPr>
          </w:p>
          <w:p>
            <w:pPr>
              <w:pStyle w:val="TableParagraph"/>
              <w:rPr>
                <w:b/>
                <w:sz w:val="21"/>
              </w:rPr>
            </w:pPr>
          </w:p>
          <w:p>
            <w:pPr>
              <w:pStyle w:val="TableParagraph"/>
              <w:rPr>
                <w:b/>
                <w:sz w:val="21"/>
              </w:rPr>
            </w:pPr>
          </w:p>
          <w:p>
            <w:pPr>
              <w:pStyle w:val="TableParagraph"/>
              <w:spacing w:before="215"/>
              <w:rPr>
                <w:b/>
                <w:sz w:val="21"/>
              </w:rPr>
            </w:pPr>
          </w:p>
          <w:p>
            <w:pPr>
              <w:pStyle w:val="TableParagraph"/>
              <w:spacing w:before="1"/>
              <w:ind w:left="152"/>
              <w:rPr>
                <w:b/>
                <w:sz w:val="21"/>
              </w:rPr>
            </w:pPr>
            <w:r>
              <w:rPr>
                <w:rFonts w:ascii="Times New Roman" w:eastAsia="Times New Roman"/>
                <w:b/>
                <w:sz w:val="21"/>
              </w:rPr>
              <w:t>CSP</w:t>
            </w:r>
            <w:r>
              <w:rPr>
                <w:rFonts w:ascii="Times New Roman" w:eastAsia="Times New Roman"/>
                <w:b/>
                <w:spacing w:val="-13"/>
                <w:sz w:val="21"/>
              </w:rPr>
              <w:t> </w:t>
            </w:r>
            <w:r>
              <w:rPr>
                <w:b/>
                <w:spacing w:val="-5"/>
                <w:sz w:val="21"/>
              </w:rPr>
              <w:t>章节</w:t>
            </w:r>
          </w:p>
        </w:tc>
      </w:tr>
      <w:tr>
        <w:trPr>
          <w:trHeight w:val="352" w:hRule="atLeast"/>
        </w:trPr>
        <w:tc>
          <w:tcPr>
            <w:tcW w:w="1983" w:type="dxa"/>
            <w:shd w:val="clear" w:color="auto" w:fill="DBDBDB"/>
          </w:tcPr>
          <w:p>
            <w:pPr>
              <w:pStyle w:val="TableParagraph"/>
              <w:spacing w:before="38"/>
              <w:ind w:left="9"/>
              <w:jc w:val="center"/>
              <w:rPr>
                <w:b/>
                <w:sz w:val="21"/>
              </w:rPr>
            </w:pPr>
            <w:r>
              <w:rPr>
                <w:b/>
                <w:spacing w:val="-5"/>
                <w:sz w:val="21"/>
              </w:rPr>
              <w:t>研究周</w:t>
            </w:r>
          </w:p>
        </w:tc>
        <w:tc>
          <w:tcPr>
            <w:tcW w:w="1419" w:type="dxa"/>
            <w:shd w:val="clear" w:color="auto" w:fill="DBDBDB"/>
          </w:tcPr>
          <w:p>
            <w:pPr>
              <w:pStyle w:val="TableParagraph"/>
              <w:spacing w:before="38"/>
              <w:ind w:left="9"/>
              <w:jc w:val="center"/>
              <w:rPr>
                <w:sz w:val="21"/>
              </w:rPr>
            </w:pPr>
            <w:r>
              <w:rPr>
                <w:spacing w:val="-27"/>
                <w:sz w:val="21"/>
              </w:rPr>
              <w:t>第 </w:t>
            </w:r>
            <w:r>
              <w:rPr>
                <w:rFonts w:ascii="Times New Roman" w:eastAsia="Times New Roman"/>
                <w:sz w:val="21"/>
              </w:rPr>
              <w:t>0</w:t>
            </w:r>
            <w:r>
              <w:rPr>
                <w:rFonts w:ascii="Times New Roman" w:eastAsia="Times New Roman"/>
                <w:spacing w:val="-10"/>
                <w:sz w:val="21"/>
              </w:rPr>
              <w:t> </w:t>
            </w:r>
            <w:r>
              <w:rPr>
                <w:spacing w:val="-10"/>
                <w:sz w:val="21"/>
              </w:rPr>
              <w:t>周</w:t>
            </w:r>
          </w:p>
        </w:tc>
        <w:tc>
          <w:tcPr>
            <w:tcW w:w="977" w:type="dxa"/>
            <w:shd w:val="clear" w:color="auto" w:fill="DBDBDB"/>
          </w:tcPr>
          <w:p>
            <w:pPr>
              <w:pStyle w:val="TableParagraph"/>
              <w:spacing w:before="38"/>
              <w:ind w:left="6"/>
              <w:jc w:val="center"/>
              <w:rPr>
                <w:sz w:val="21"/>
              </w:rPr>
            </w:pPr>
            <w:r>
              <w:rPr>
                <w:spacing w:val="-27"/>
                <w:sz w:val="21"/>
              </w:rPr>
              <w:t>第 </w:t>
            </w:r>
            <w:r>
              <w:rPr>
                <w:rFonts w:ascii="Times New Roman" w:eastAsia="Times New Roman"/>
                <w:sz w:val="21"/>
              </w:rPr>
              <w:t>4</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8"/>
              <w:ind w:left="7"/>
              <w:jc w:val="center"/>
              <w:rPr>
                <w:sz w:val="21"/>
              </w:rPr>
            </w:pPr>
            <w:r>
              <w:rPr>
                <w:spacing w:val="-27"/>
                <w:sz w:val="21"/>
              </w:rPr>
              <w:t>第 </w:t>
            </w:r>
            <w:r>
              <w:rPr>
                <w:rFonts w:ascii="Times New Roman" w:eastAsia="Times New Roman"/>
                <w:sz w:val="21"/>
              </w:rPr>
              <w:t>8</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8"/>
              <w:ind w:left="7" w:right="1"/>
              <w:jc w:val="center"/>
              <w:rPr>
                <w:sz w:val="21"/>
              </w:rPr>
            </w:pPr>
            <w:r>
              <w:rPr>
                <w:spacing w:val="-27"/>
                <w:sz w:val="21"/>
              </w:rPr>
              <w:t>第 </w:t>
            </w:r>
            <w:r>
              <w:rPr>
                <w:rFonts w:ascii="Times New Roman" w:eastAsia="Times New Roman"/>
                <w:sz w:val="21"/>
              </w:rPr>
              <w:t>12</w:t>
            </w:r>
            <w:r>
              <w:rPr>
                <w:rFonts w:ascii="Times New Roman" w:eastAsia="Times New Roman"/>
                <w:spacing w:val="-10"/>
                <w:sz w:val="21"/>
              </w:rPr>
              <w:t> </w:t>
            </w:r>
            <w:r>
              <w:rPr>
                <w:spacing w:val="-10"/>
                <w:sz w:val="21"/>
              </w:rPr>
              <w:t>周</w:t>
            </w:r>
          </w:p>
        </w:tc>
        <w:tc>
          <w:tcPr>
            <w:tcW w:w="978" w:type="dxa"/>
            <w:shd w:val="clear" w:color="auto" w:fill="DBDBDB"/>
          </w:tcPr>
          <w:p>
            <w:pPr>
              <w:pStyle w:val="TableParagraph"/>
              <w:spacing w:before="38"/>
              <w:ind w:left="4"/>
              <w:jc w:val="center"/>
              <w:rPr>
                <w:sz w:val="21"/>
              </w:rPr>
            </w:pPr>
            <w:r>
              <w:rPr>
                <w:spacing w:val="-27"/>
                <w:sz w:val="21"/>
              </w:rPr>
              <w:t>第 </w:t>
            </w:r>
            <w:r>
              <w:rPr>
                <w:rFonts w:ascii="Times New Roman" w:eastAsia="Times New Roman"/>
                <w:sz w:val="21"/>
              </w:rPr>
              <w:t>16</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8"/>
              <w:ind w:left="7" w:right="3"/>
              <w:jc w:val="center"/>
              <w:rPr>
                <w:sz w:val="21"/>
              </w:rPr>
            </w:pPr>
            <w:r>
              <w:rPr>
                <w:spacing w:val="-27"/>
                <w:sz w:val="21"/>
              </w:rPr>
              <w:t>第 </w:t>
            </w:r>
            <w:r>
              <w:rPr>
                <w:rFonts w:ascii="Times New Roman" w:eastAsia="Times New Roman"/>
                <w:sz w:val="21"/>
              </w:rPr>
              <w:t>20</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8"/>
              <w:ind w:left="7" w:right="4"/>
              <w:jc w:val="center"/>
              <w:rPr>
                <w:sz w:val="21"/>
              </w:rPr>
            </w:pPr>
            <w:r>
              <w:rPr>
                <w:spacing w:val="-27"/>
                <w:sz w:val="21"/>
              </w:rPr>
              <w:t>第 </w:t>
            </w:r>
            <w:r>
              <w:rPr>
                <w:rFonts w:ascii="Times New Roman" w:eastAsia="Times New Roman"/>
                <w:sz w:val="21"/>
              </w:rPr>
              <w:t>24</w:t>
            </w:r>
            <w:r>
              <w:rPr>
                <w:rFonts w:ascii="Times New Roman" w:eastAsia="Times New Roman"/>
                <w:spacing w:val="-10"/>
                <w:sz w:val="21"/>
              </w:rPr>
              <w:t> </w:t>
            </w:r>
            <w:r>
              <w:rPr>
                <w:spacing w:val="-10"/>
                <w:sz w:val="21"/>
              </w:rPr>
              <w:t>周</w:t>
            </w:r>
          </w:p>
        </w:tc>
        <w:tc>
          <w:tcPr>
            <w:tcW w:w="977" w:type="dxa"/>
            <w:shd w:val="clear" w:color="auto" w:fill="DBDBDB"/>
          </w:tcPr>
          <w:p>
            <w:pPr>
              <w:pStyle w:val="TableParagraph"/>
              <w:spacing w:before="38"/>
              <w:ind w:left="6" w:right="5"/>
              <w:jc w:val="center"/>
              <w:rPr>
                <w:sz w:val="21"/>
              </w:rPr>
            </w:pPr>
            <w:r>
              <w:rPr>
                <w:spacing w:val="-27"/>
                <w:sz w:val="21"/>
              </w:rPr>
              <w:t>第 </w:t>
            </w:r>
            <w:r>
              <w:rPr>
                <w:rFonts w:ascii="Times New Roman" w:eastAsia="Times New Roman"/>
                <w:sz w:val="21"/>
              </w:rPr>
              <w:t>28</w:t>
            </w:r>
            <w:r>
              <w:rPr>
                <w:rFonts w:ascii="Times New Roman" w:eastAsia="Times New Roman"/>
                <w:spacing w:val="-10"/>
                <w:sz w:val="21"/>
              </w:rPr>
              <w:t> </w:t>
            </w:r>
            <w:r>
              <w:rPr>
                <w:spacing w:val="-10"/>
                <w:sz w:val="21"/>
              </w:rPr>
              <w:t>周</w:t>
            </w:r>
          </w:p>
        </w:tc>
        <w:tc>
          <w:tcPr>
            <w:tcW w:w="1127" w:type="dxa"/>
            <w:shd w:val="clear" w:color="auto" w:fill="DBDBDB"/>
          </w:tcPr>
          <w:p>
            <w:pPr>
              <w:pStyle w:val="TableParagraph"/>
              <w:spacing w:before="38"/>
              <w:ind w:left="3" w:right="1"/>
              <w:jc w:val="center"/>
              <w:rPr>
                <w:sz w:val="21"/>
              </w:rPr>
            </w:pPr>
            <w:r>
              <w:rPr>
                <w:spacing w:val="-27"/>
                <w:sz w:val="21"/>
              </w:rPr>
              <w:t>第 </w:t>
            </w:r>
            <w:r>
              <w:rPr>
                <w:rFonts w:ascii="Times New Roman" w:eastAsia="Times New Roman"/>
                <w:sz w:val="21"/>
              </w:rPr>
              <w:t>36</w:t>
            </w:r>
            <w:r>
              <w:rPr>
                <w:rFonts w:ascii="Times New Roman" w:eastAsia="Times New Roman"/>
                <w:spacing w:val="-10"/>
                <w:sz w:val="21"/>
              </w:rPr>
              <w:t> </w:t>
            </w:r>
            <w:r>
              <w:rPr>
                <w:spacing w:val="-10"/>
                <w:sz w:val="21"/>
              </w:rPr>
              <w:t>周</w:t>
            </w:r>
          </w:p>
        </w:tc>
        <w:tc>
          <w:tcPr>
            <w:tcW w:w="1413" w:type="dxa"/>
            <w:vMerge w:val="restart"/>
            <w:shd w:val="clear" w:color="auto" w:fill="DBDBDB"/>
          </w:tcPr>
          <w:p>
            <w:pPr>
              <w:pStyle w:val="TableParagraph"/>
              <w:spacing w:before="82"/>
              <w:ind w:left="339" w:right="165" w:hanging="172"/>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末次给药</w:t>
            </w:r>
            <w:r>
              <w:rPr>
                <w:spacing w:val="-12"/>
                <w:sz w:val="21"/>
              </w:rPr>
              <w:t>后 </w:t>
            </w:r>
            <w:r>
              <w:rPr>
                <w:rFonts w:ascii="Times New Roman" w:eastAsia="Times New Roman"/>
                <w:sz w:val="21"/>
              </w:rPr>
              <w:t>12 </w:t>
            </w:r>
            <w:r>
              <w:rPr>
                <w:sz w:val="21"/>
              </w:rPr>
              <w:t>周</w:t>
            </w:r>
          </w:p>
        </w:tc>
        <w:tc>
          <w:tcPr>
            <w:tcW w:w="1176" w:type="dxa"/>
            <w:vMerge/>
            <w:tcBorders>
              <w:top w:val="nil"/>
            </w:tcBorders>
            <w:shd w:val="clear" w:color="auto" w:fill="DBDBDB"/>
          </w:tcPr>
          <w:p>
            <w:pPr>
              <w:rPr>
                <w:sz w:val="2"/>
                <w:szCs w:val="2"/>
              </w:rPr>
            </w:pPr>
          </w:p>
        </w:tc>
      </w:tr>
      <w:tr>
        <w:trPr>
          <w:trHeight w:val="352" w:hRule="atLeast"/>
        </w:trPr>
        <w:tc>
          <w:tcPr>
            <w:tcW w:w="1983" w:type="dxa"/>
            <w:shd w:val="clear" w:color="auto" w:fill="DBDBDB"/>
          </w:tcPr>
          <w:p>
            <w:pPr>
              <w:pStyle w:val="TableParagraph"/>
              <w:spacing w:before="38"/>
              <w:ind w:left="9"/>
              <w:jc w:val="center"/>
              <w:rPr>
                <w:b/>
                <w:sz w:val="21"/>
              </w:rPr>
            </w:pPr>
            <w:r>
              <w:rPr>
                <w:b/>
                <w:spacing w:val="-6"/>
                <w:sz w:val="21"/>
              </w:rPr>
              <w:t>访视</w:t>
            </w:r>
          </w:p>
        </w:tc>
        <w:tc>
          <w:tcPr>
            <w:tcW w:w="1419" w:type="dxa"/>
            <w:shd w:val="clear" w:color="auto" w:fill="DBDBDB"/>
          </w:tcPr>
          <w:p>
            <w:pPr>
              <w:pStyle w:val="TableParagraph"/>
              <w:spacing w:before="38"/>
              <w:ind w:left="9" w:right="1"/>
              <w:jc w:val="center"/>
              <w:rPr>
                <w:rFonts w:ascii="Times New Roman" w:eastAsia="Times New Roman"/>
                <w:sz w:val="21"/>
              </w:rPr>
            </w:pPr>
            <w:r>
              <w:rPr>
                <w:spacing w:val="-18"/>
                <w:sz w:val="21"/>
              </w:rPr>
              <w:t>访视 </w:t>
            </w:r>
            <w:r>
              <w:rPr>
                <w:rFonts w:ascii="Times New Roman" w:eastAsia="Times New Roman"/>
                <w:spacing w:val="-10"/>
                <w:sz w:val="21"/>
              </w:rPr>
              <w:t>1</w:t>
            </w:r>
          </w:p>
        </w:tc>
        <w:tc>
          <w:tcPr>
            <w:tcW w:w="977" w:type="dxa"/>
            <w:shd w:val="clear" w:color="auto" w:fill="DBDBDB"/>
          </w:tcPr>
          <w:p>
            <w:pPr>
              <w:pStyle w:val="TableParagraph"/>
              <w:spacing w:before="38"/>
              <w:ind w:left="6" w:right="2"/>
              <w:jc w:val="center"/>
              <w:rPr>
                <w:rFonts w:ascii="Times New Roman" w:eastAsia="Times New Roman"/>
                <w:sz w:val="21"/>
              </w:rPr>
            </w:pPr>
            <w:r>
              <w:rPr>
                <w:spacing w:val="-18"/>
                <w:sz w:val="21"/>
              </w:rPr>
              <w:t>访视 </w:t>
            </w:r>
            <w:r>
              <w:rPr>
                <w:rFonts w:ascii="Times New Roman" w:eastAsia="Times New Roman"/>
                <w:spacing w:val="-10"/>
                <w:sz w:val="21"/>
              </w:rPr>
              <w:t>2</w:t>
            </w:r>
          </w:p>
        </w:tc>
        <w:tc>
          <w:tcPr>
            <w:tcW w:w="976" w:type="dxa"/>
            <w:shd w:val="clear" w:color="auto" w:fill="DBDBDB"/>
          </w:tcPr>
          <w:p>
            <w:pPr>
              <w:pStyle w:val="TableParagraph"/>
              <w:spacing w:before="38"/>
              <w:ind w:left="7"/>
              <w:jc w:val="center"/>
              <w:rPr>
                <w:rFonts w:ascii="Times New Roman" w:eastAsia="Times New Roman"/>
                <w:sz w:val="21"/>
              </w:rPr>
            </w:pPr>
            <w:r>
              <w:rPr>
                <w:spacing w:val="-18"/>
                <w:sz w:val="21"/>
              </w:rPr>
              <w:t>访视 </w:t>
            </w:r>
            <w:r>
              <w:rPr>
                <w:rFonts w:ascii="Times New Roman" w:eastAsia="Times New Roman"/>
                <w:spacing w:val="-10"/>
                <w:sz w:val="21"/>
              </w:rPr>
              <w:t>3</w:t>
            </w:r>
          </w:p>
        </w:tc>
        <w:tc>
          <w:tcPr>
            <w:tcW w:w="976" w:type="dxa"/>
            <w:shd w:val="clear" w:color="auto" w:fill="DBDBDB"/>
          </w:tcPr>
          <w:p>
            <w:pPr>
              <w:pStyle w:val="TableParagraph"/>
              <w:spacing w:before="38"/>
              <w:ind w:left="7"/>
              <w:jc w:val="center"/>
              <w:rPr>
                <w:rFonts w:ascii="Times New Roman" w:eastAsia="Times New Roman"/>
                <w:sz w:val="21"/>
              </w:rPr>
            </w:pPr>
            <w:r>
              <w:rPr>
                <w:spacing w:val="-18"/>
                <w:sz w:val="21"/>
              </w:rPr>
              <w:t>访视 </w:t>
            </w:r>
            <w:r>
              <w:rPr>
                <w:rFonts w:ascii="Times New Roman" w:eastAsia="Times New Roman"/>
                <w:spacing w:val="-10"/>
                <w:sz w:val="21"/>
              </w:rPr>
              <w:t>4</w:t>
            </w:r>
          </w:p>
        </w:tc>
        <w:tc>
          <w:tcPr>
            <w:tcW w:w="978" w:type="dxa"/>
            <w:shd w:val="clear" w:color="auto" w:fill="DBDBDB"/>
          </w:tcPr>
          <w:p>
            <w:pPr>
              <w:pStyle w:val="TableParagraph"/>
              <w:spacing w:before="38"/>
              <w:ind w:left="4"/>
              <w:jc w:val="center"/>
              <w:rPr>
                <w:rFonts w:ascii="Times New Roman" w:eastAsia="Times New Roman"/>
                <w:sz w:val="21"/>
              </w:rPr>
            </w:pPr>
            <w:r>
              <w:rPr>
                <w:spacing w:val="-18"/>
                <w:sz w:val="21"/>
              </w:rPr>
              <w:t>访视 </w:t>
            </w:r>
            <w:r>
              <w:rPr>
                <w:rFonts w:ascii="Times New Roman" w:eastAsia="Times New Roman"/>
                <w:spacing w:val="-10"/>
                <w:sz w:val="21"/>
              </w:rPr>
              <w:t>5</w:t>
            </w:r>
          </w:p>
        </w:tc>
        <w:tc>
          <w:tcPr>
            <w:tcW w:w="976" w:type="dxa"/>
            <w:shd w:val="clear" w:color="auto" w:fill="DBDBDB"/>
          </w:tcPr>
          <w:p>
            <w:pPr>
              <w:pStyle w:val="TableParagraph"/>
              <w:spacing w:before="38"/>
              <w:ind w:left="7" w:right="3"/>
              <w:jc w:val="center"/>
              <w:rPr>
                <w:rFonts w:ascii="Times New Roman" w:eastAsia="Times New Roman"/>
                <w:sz w:val="21"/>
              </w:rPr>
            </w:pPr>
            <w:r>
              <w:rPr>
                <w:spacing w:val="-18"/>
                <w:sz w:val="21"/>
              </w:rPr>
              <w:t>访视 </w:t>
            </w:r>
            <w:r>
              <w:rPr>
                <w:rFonts w:ascii="Times New Roman" w:eastAsia="Times New Roman"/>
                <w:spacing w:val="-10"/>
                <w:sz w:val="21"/>
              </w:rPr>
              <w:t>6</w:t>
            </w:r>
          </w:p>
        </w:tc>
        <w:tc>
          <w:tcPr>
            <w:tcW w:w="976" w:type="dxa"/>
            <w:shd w:val="clear" w:color="auto" w:fill="DBDBDB"/>
          </w:tcPr>
          <w:p>
            <w:pPr>
              <w:pStyle w:val="TableParagraph"/>
              <w:spacing w:before="38"/>
              <w:ind w:left="7" w:right="4"/>
              <w:jc w:val="center"/>
              <w:rPr>
                <w:rFonts w:ascii="Times New Roman" w:eastAsia="Times New Roman"/>
                <w:sz w:val="21"/>
              </w:rPr>
            </w:pPr>
            <w:r>
              <w:rPr>
                <w:spacing w:val="-18"/>
                <w:sz w:val="21"/>
              </w:rPr>
              <w:t>访视 </w:t>
            </w:r>
            <w:r>
              <w:rPr>
                <w:rFonts w:ascii="Times New Roman" w:eastAsia="Times New Roman"/>
                <w:spacing w:val="-10"/>
                <w:sz w:val="21"/>
              </w:rPr>
              <w:t>7</w:t>
            </w:r>
          </w:p>
        </w:tc>
        <w:tc>
          <w:tcPr>
            <w:tcW w:w="977" w:type="dxa"/>
            <w:shd w:val="clear" w:color="auto" w:fill="DBDBDB"/>
          </w:tcPr>
          <w:p>
            <w:pPr>
              <w:pStyle w:val="TableParagraph"/>
              <w:spacing w:before="38"/>
              <w:ind w:left="6" w:right="4"/>
              <w:jc w:val="center"/>
              <w:rPr>
                <w:rFonts w:ascii="Times New Roman" w:eastAsia="Times New Roman"/>
                <w:sz w:val="21"/>
              </w:rPr>
            </w:pPr>
            <w:r>
              <w:rPr>
                <w:spacing w:val="-18"/>
                <w:sz w:val="21"/>
              </w:rPr>
              <w:t>访视 </w:t>
            </w:r>
            <w:r>
              <w:rPr>
                <w:rFonts w:ascii="Times New Roman" w:eastAsia="Times New Roman"/>
                <w:spacing w:val="-10"/>
                <w:sz w:val="21"/>
              </w:rPr>
              <w:t>8</w:t>
            </w:r>
          </w:p>
        </w:tc>
        <w:tc>
          <w:tcPr>
            <w:tcW w:w="1127" w:type="dxa"/>
            <w:shd w:val="clear" w:color="auto" w:fill="DBDBDB"/>
          </w:tcPr>
          <w:p>
            <w:pPr>
              <w:pStyle w:val="TableParagraph"/>
              <w:spacing w:before="38"/>
              <w:ind w:left="3" w:right="1"/>
              <w:jc w:val="center"/>
              <w:rPr>
                <w:rFonts w:ascii="Times New Roman" w:eastAsia="Times New Roman"/>
                <w:sz w:val="21"/>
              </w:rPr>
            </w:pPr>
            <w:r>
              <w:rPr>
                <w:spacing w:val="-18"/>
                <w:sz w:val="21"/>
              </w:rPr>
              <w:t>访视 </w:t>
            </w:r>
            <w:r>
              <w:rPr>
                <w:rFonts w:ascii="Times New Roman" w:eastAsia="Times New Roman"/>
                <w:spacing w:val="-10"/>
                <w:sz w:val="21"/>
              </w:rPr>
              <w:t>9</w:t>
            </w:r>
          </w:p>
        </w:tc>
        <w:tc>
          <w:tcPr>
            <w:tcW w:w="1413" w:type="dxa"/>
            <w:vMerge/>
            <w:tcBorders>
              <w:top w:val="nil"/>
            </w:tcBorders>
            <w:shd w:val="clear" w:color="auto" w:fill="DBDBDB"/>
          </w:tcPr>
          <w:p>
            <w:pPr>
              <w:rPr>
                <w:sz w:val="2"/>
                <w:szCs w:val="2"/>
              </w:rPr>
            </w:pPr>
          </w:p>
        </w:tc>
        <w:tc>
          <w:tcPr>
            <w:tcW w:w="1176" w:type="dxa"/>
            <w:vMerge/>
            <w:tcBorders>
              <w:top w:val="nil"/>
            </w:tcBorders>
            <w:shd w:val="clear" w:color="auto" w:fill="DBDBDB"/>
          </w:tcPr>
          <w:p>
            <w:pPr>
              <w:rPr>
                <w:sz w:val="2"/>
                <w:szCs w:val="2"/>
              </w:rPr>
            </w:pPr>
          </w:p>
        </w:tc>
      </w:tr>
      <w:tr>
        <w:trPr>
          <w:trHeight w:val="624" w:hRule="atLeast"/>
        </w:trPr>
        <w:tc>
          <w:tcPr>
            <w:tcW w:w="1983" w:type="dxa"/>
            <w:shd w:val="clear" w:color="auto" w:fill="DBDBDB"/>
          </w:tcPr>
          <w:p>
            <w:pPr>
              <w:pStyle w:val="TableParagraph"/>
              <w:spacing w:line="273" w:lineRule="exact" w:before="36"/>
              <w:ind w:left="358"/>
              <w:rPr>
                <w:b/>
                <w:sz w:val="21"/>
              </w:rPr>
            </w:pPr>
            <w:r>
              <w:rPr>
                <w:b/>
                <w:spacing w:val="-4"/>
                <w:sz w:val="21"/>
              </w:rPr>
              <w:t>可选远程医疗</w:t>
            </w:r>
          </w:p>
          <w:p>
            <w:pPr>
              <w:pStyle w:val="TableParagraph"/>
              <w:spacing w:line="273" w:lineRule="exact"/>
              <w:ind w:left="446"/>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419" w:type="dxa"/>
            <w:shd w:val="clear" w:color="auto" w:fill="DBDBDB"/>
          </w:tcPr>
          <w:p>
            <w:pPr>
              <w:pStyle w:val="TableParagraph"/>
              <w:rPr>
                <w:rFonts w:ascii="Times New Roman"/>
                <w:sz w:val="20"/>
              </w:rPr>
            </w:pPr>
          </w:p>
        </w:tc>
        <w:tc>
          <w:tcPr>
            <w:tcW w:w="977"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8" w:type="dxa"/>
            <w:shd w:val="clear" w:color="auto" w:fill="DBDBDB"/>
          </w:tcPr>
          <w:p>
            <w:pPr>
              <w:pStyle w:val="TableParagraph"/>
              <w:spacing w:before="191"/>
              <w:ind w:left="4" w:right="1"/>
              <w:jc w:val="center"/>
              <w:rPr>
                <w:rFonts w:ascii="Times New Roman"/>
                <w:sz w:val="21"/>
              </w:rPr>
            </w:pPr>
            <w:r>
              <w:rPr>
                <w:rFonts w:ascii="Times New Roman"/>
                <w:spacing w:val="-10"/>
                <w:sz w:val="21"/>
              </w:rPr>
              <w:t>T</w:t>
            </w: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spacing w:before="191"/>
              <w:ind w:left="7" w:right="4"/>
              <w:jc w:val="center"/>
              <w:rPr>
                <w:rFonts w:ascii="Times New Roman"/>
                <w:sz w:val="21"/>
              </w:rPr>
            </w:pPr>
            <w:r>
              <w:rPr>
                <w:rFonts w:ascii="Times New Roman"/>
                <w:spacing w:val="-10"/>
                <w:sz w:val="21"/>
              </w:rPr>
              <w:t>T</w:t>
            </w:r>
          </w:p>
        </w:tc>
        <w:tc>
          <w:tcPr>
            <w:tcW w:w="977" w:type="dxa"/>
            <w:shd w:val="clear" w:color="auto" w:fill="DBDBDB"/>
          </w:tcPr>
          <w:p>
            <w:pPr>
              <w:pStyle w:val="TableParagraph"/>
              <w:rPr>
                <w:rFonts w:ascii="Times New Roman"/>
                <w:sz w:val="20"/>
              </w:rPr>
            </w:pPr>
          </w:p>
        </w:tc>
        <w:tc>
          <w:tcPr>
            <w:tcW w:w="1127" w:type="dxa"/>
            <w:shd w:val="clear" w:color="auto" w:fill="DBDBDB"/>
          </w:tcPr>
          <w:p>
            <w:pPr>
              <w:pStyle w:val="TableParagraph"/>
              <w:rPr>
                <w:rFonts w:ascii="Times New Roman"/>
                <w:sz w:val="20"/>
              </w:rPr>
            </w:pPr>
          </w:p>
        </w:tc>
        <w:tc>
          <w:tcPr>
            <w:tcW w:w="1413" w:type="dxa"/>
            <w:shd w:val="clear" w:color="auto" w:fill="DBDBDB"/>
          </w:tcPr>
          <w:p>
            <w:pPr>
              <w:pStyle w:val="TableParagraph"/>
              <w:rPr>
                <w:rFonts w:ascii="Times New Roman"/>
                <w:sz w:val="20"/>
              </w:rPr>
            </w:pPr>
          </w:p>
        </w:tc>
        <w:tc>
          <w:tcPr>
            <w:tcW w:w="1176" w:type="dxa"/>
            <w:vMerge/>
            <w:tcBorders>
              <w:top w:val="nil"/>
            </w:tcBorders>
            <w:shd w:val="clear" w:color="auto" w:fill="DBDBDB"/>
          </w:tcPr>
          <w:p>
            <w:pPr>
              <w:rPr>
                <w:sz w:val="2"/>
                <w:szCs w:val="2"/>
              </w:rPr>
            </w:pPr>
          </w:p>
        </w:tc>
      </w:tr>
      <w:tr>
        <w:trPr>
          <w:trHeight w:val="895" w:hRule="atLeast"/>
        </w:trPr>
        <w:tc>
          <w:tcPr>
            <w:tcW w:w="1983" w:type="dxa"/>
          </w:tcPr>
          <w:p>
            <w:pPr>
              <w:pStyle w:val="TableParagraph"/>
              <w:spacing w:before="37"/>
              <w:rPr>
                <w:b/>
                <w:sz w:val="21"/>
              </w:rPr>
            </w:pPr>
          </w:p>
          <w:p>
            <w:pPr>
              <w:pStyle w:val="TableParagraph"/>
              <w:ind w:left="464"/>
              <w:rPr>
                <w:b/>
                <w:sz w:val="21"/>
              </w:rPr>
            </w:pPr>
            <w:r>
              <w:rPr>
                <w:b/>
                <w:spacing w:val="-4"/>
                <w:sz w:val="21"/>
              </w:rPr>
              <w:t>访视时间窗</w:t>
            </w:r>
          </w:p>
        </w:tc>
        <w:tc>
          <w:tcPr>
            <w:tcW w:w="1419" w:type="dxa"/>
          </w:tcPr>
          <w:p>
            <w:pPr>
              <w:pStyle w:val="TableParagraph"/>
              <w:spacing w:before="36"/>
              <w:ind w:left="179" w:right="169" w:firstLine="3"/>
              <w:jc w:val="both"/>
              <w:rPr>
                <w:rFonts w:ascii="Times New Roman" w:eastAsia="Times New Roman"/>
                <w:sz w:val="21"/>
              </w:rPr>
            </w:pPr>
            <w:r>
              <w:rPr>
                <w:spacing w:val="-2"/>
                <w:sz w:val="21"/>
              </w:rPr>
              <w:t>访视日与前身研究的访</w:t>
            </w:r>
            <w:r>
              <w:rPr>
                <w:spacing w:val="-27"/>
                <w:sz w:val="21"/>
              </w:rPr>
              <w:t>视 </w:t>
            </w:r>
            <w:r>
              <w:rPr>
                <w:rFonts w:ascii="Times New Roman" w:eastAsia="Times New Roman"/>
                <w:sz w:val="21"/>
              </w:rPr>
              <w:t>15</w:t>
            </w:r>
            <w:r>
              <w:rPr>
                <w:rFonts w:ascii="Times New Roman" w:eastAsia="Times New Roman"/>
                <w:spacing w:val="-10"/>
                <w:sz w:val="21"/>
              </w:rPr>
              <w:t> </w:t>
            </w:r>
            <w:r>
              <w:rPr>
                <w:spacing w:val="25"/>
                <w:sz w:val="21"/>
              </w:rPr>
              <w:t>相同</w:t>
            </w:r>
            <w:r>
              <w:rPr>
                <w:rFonts w:ascii="Times New Roman" w:eastAsia="Times New Roman"/>
                <w:spacing w:val="-10"/>
                <w:sz w:val="21"/>
                <w:vertAlign w:val="superscript"/>
              </w:rPr>
              <w:t>b</w:t>
            </w:r>
          </w:p>
        </w:tc>
        <w:tc>
          <w:tcPr>
            <w:tcW w:w="7963" w:type="dxa"/>
            <w:gridSpan w:val="8"/>
          </w:tcPr>
          <w:p>
            <w:pPr>
              <w:pStyle w:val="TableParagraph"/>
              <w:spacing w:before="37"/>
              <w:rPr>
                <w:b/>
                <w:sz w:val="21"/>
              </w:rPr>
            </w:pPr>
          </w:p>
          <w:p>
            <w:pPr>
              <w:pStyle w:val="TableParagraph"/>
              <w:ind w:left="1"/>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413" w:type="dxa"/>
          </w:tcPr>
          <w:p>
            <w:pPr>
              <w:pStyle w:val="TableParagraph"/>
              <w:spacing w:before="37"/>
              <w:rPr>
                <w:b/>
                <w:sz w:val="21"/>
              </w:rPr>
            </w:pPr>
          </w:p>
          <w:p>
            <w:pPr>
              <w:pStyle w:val="TableParagraph"/>
              <w:jc w:val="center"/>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1176" w:type="dxa"/>
            <w:vMerge/>
            <w:tcBorders>
              <w:top w:val="nil"/>
            </w:tcBorders>
            <w:shd w:val="clear" w:color="auto" w:fill="DBDBDB"/>
          </w:tcPr>
          <w:p>
            <w:pPr>
              <w:rPr>
                <w:sz w:val="2"/>
                <w:szCs w:val="2"/>
              </w:rPr>
            </w:pPr>
          </w:p>
        </w:tc>
      </w:tr>
      <w:tr>
        <w:trPr>
          <w:trHeight w:val="352" w:hRule="atLeast"/>
        </w:trPr>
        <w:tc>
          <w:tcPr>
            <w:tcW w:w="13954" w:type="dxa"/>
            <w:gridSpan w:val="12"/>
            <w:shd w:val="clear" w:color="auto" w:fill="DBDBDB"/>
          </w:tcPr>
          <w:p>
            <w:pPr>
              <w:pStyle w:val="TableParagraph"/>
              <w:spacing w:before="39"/>
              <w:ind w:left="107"/>
              <w:rPr>
                <w:b/>
                <w:sz w:val="21"/>
              </w:rPr>
            </w:pPr>
            <w:r>
              <w:rPr>
                <w:b/>
                <w:spacing w:val="-4"/>
                <w:sz w:val="21"/>
              </w:rPr>
              <w:t>一般评估</w:t>
            </w:r>
          </w:p>
        </w:tc>
      </w:tr>
      <w:tr>
        <w:trPr>
          <w:trHeight w:val="322" w:hRule="atLeast"/>
        </w:trPr>
        <w:tc>
          <w:tcPr>
            <w:tcW w:w="1983" w:type="dxa"/>
          </w:tcPr>
          <w:p>
            <w:pPr>
              <w:pStyle w:val="TableParagraph"/>
              <w:spacing w:before="41"/>
              <w:ind w:left="107"/>
              <w:rPr>
                <w:rFonts w:ascii="Times New Roman"/>
                <w:sz w:val="21"/>
              </w:rPr>
            </w:pPr>
            <w:r>
              <w:rPr>
                <w:rFonts w:ascii="Times New Roman"/>
                <w:sz w:val="21"/>
              </w:rPr>
              <w:t>ICF</w:t>
            </w:r>
            <w:r>
              <w:rPr>
                <w:rFonts w:ascii="Times New Roman"/>
                <w:spacing w:val="-3"/>
                <w:sz w:val="21"/>
              </w:rPr>
              <w:t> </w:t>
            </w:r>
            <w:r>
              <w:rPr>
                <w:rFonts w:ascii="Times New Roman"/>
                <w:spacing w:val="-2"/>
                <w:sz w:val="21"/>
              </w:rPr>
              <w:t>PROSPERO</w:t>
            </w:r>
            <w:r>
              <w:rPr>
                <w:rFonts w:ascii="Times New Roman"/>
                <w:spacing w:val="-2"/>
                <w:sz w:val="21"/>
                <w:vertAlign w:val="superscript"/>
              </w:rPr>
              <w:t>c</w:t>
            </w:r>
          </w:p>
        </w:tc>
        <w:tc>
          <w:tcPr>
            <w:tcW w:w="1419" w:type="dxa"/>
          </w:tcPr>
          <w:p>
            <w:pPr>
              <w:pStyle w:val="TableParagraph"/>
              <w:spacing w:before="41"/>
              <w:ind w:left="9"/>
              <w:jc w:val="center"/>
              <w:rPr>
                <w:rFonts w:ascii="Times New Roman"/>
                <w:sz w:val="21"/>
              </w:rPr>
            </w:pPr>
            <w:r>
              <w:rPr>
                <w:rFonts w:ascii="Times New Roman"/>
                <w:spacing w:val="-10"/>
                <w:sz w:val="21"/>
              </w:rP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TableParagraph"/>
              <w:spacing w:before="41"/>
              <w:ind w:left="3" w:right="1"/>
              <w:jc w:val="center"/>
              <w:rPr>
                <w:rFonts w:ascii="Times New Roman"/>
                <w:sz w:val="21"/>
              </w:rPr>
            </w:pPr>
            <w:hyperlink w:history="true" w:anchor="_bookmark24">
              <w:r>
                <w:rPr>
                  <w:rFonts w:ascii="Times New Roman"/>
                  <w:color w:val="0000FF"/>
                  <w:spacing w:val="-2"/>
                  <w:sz w:val="21"/>
                </w:rPr>
                <w:t>4.1.1</w:t>
              </w:r>
            </w:hyperlink>
          </w:p>
        </w:tc>
      </w:tr>
      <w:tr>
        <w:trPr>
          <w:trHeight w:val="352" w:hRule="atLeast"/>
        </w:trPr>
        <w:tc>
          <w:tcPr>
            <w:tcW w:w="1983" w:type="dxa"/>
          </w:tcPr>
          <w:p>
            <w:pPr>
              <w:pStyle w:val="TableParagraph"/>
              <w:spacing w:before="38"/>
              <w:ind w:left="107"/>
              <w:rPr>
                <w:sz w:val="21"/>
              </w:rPr>
            </w:pPr>
            <w:r>
              <w:rPr>
                <w:spacing w:val="-2"/>
                <w:sz w:val="21"/>
              </w:rPr>
              <w:t>合格性标准</w:t>
            </w:r>
          </w:p>
        </w:tc>
        <w:tc>
          <w:tcPr>
            <w:tcW w:w="1419" w:type="dxa"/>
          </w:tcPr>
          <w:p>
            <w:pPr>
              <w:pStyle w:val="TableParagraph"/>
              <w:spacing w:before="55"/>
              <w:ind w:left="9"/>
              <w:jc w:val="center"/>
              <w:rPr>
                <w:rFonts w:ascii="Times New Roman"/>
                <w:sz w:val="21"/>
              </w:rPr>
            </w:pPr>
            <w:r>
              <w:rPr>
                <w:rFonts w:ascii="Times New Roman"/>
                <w:spacing w:val="-10"/>
                <w:sz w:val="21"/>
              </w:rP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TableParagraph"/>
              <w:spacing w:before="38"/>
              <w:ind w:left="3" w:right="1"/>
              <w:jc w:val="center"/>
              <w:rPr>
                <w:rFonts w:ascii="Times New Roman" w:eastAsia="Times New Roman"/>
                <w:sz w:val="21"/>
              </w:rPr>
            </w:pPr>
            <w:hyperlink w:history="true" w:anchor="_bookmark37">
              <w:r>
                <w:rPr>
                  <w:rFonts w:ascii="Times New Roman" w:eastAsia="Times New Roman"/>
                  <w:color w:val="0000FF"/>
                  <w:spacing w:val="-2"/>
                  <w:sz w:val="21"/>
                </w:rPr>
                <w:t>5.1</w:t>
              </w:r>
            </w:hyperlink>
            <w:r>
              <w:rPr>
                <w:color w:val="0000FF"/>
                <w:spacing w:val="-2"/>
                <w:sz w:val="21"/>
              </w:rPr>
              <w:t>、</w:t>
            </w:r>
            <w:hyperlink w:history="true" w:anchor="_bookmark38">
              <w:r>
                <w:rPr>
                  <w:rFonts w:ascii="Times New Roman" w:eastAsia="Times New Roman"/>
                  <w:color w:val="0000FF"/>
                  <w:spacing w:val="-5"/>
                  <w:sz w:val="21"/>
                </w:rPr>
                <w:t>5.2</w:t>
              </w:r>
            </w:hyperlink>
          </w:p>
        </w:tc>
      </w:tr>
      <w:tr>
        <w:trPr>
          <w:trHeight w:val="352" w:hRule="atLeast"/>
        </w:trPr>
        <w:tc>
          <w:tcPr>
            <w:tcW w:w="1983" w:type="dxa"/>
          </w:tcPr>
          <w:p>
            <w:pPr>
              <w:pStyle w:val="TableParagraph"/>
              <w:spacing w:before="38"/>
              <w:ind w:left="107"/>
              <w:rPr>
                <w:sz w:val="21"/>
              </w:rPr>
            </w:pPr>
            <w:r>
              <w:rPr>
                <w:spacing w:val="-2"/>
                <w:sz w:val="21"/>
              </w:rPr>
              <w:t>随机化事项</w:t>
            </w:r>
          </w:p>
        </w:tc>
        <w:tc>
          <w:tcPr>
            <w:tcW w:w="1419" w:type="dxa"/>
          </w:tcPr>
          <w:p>
            <w:pPr>
              <w:pStyle w:val="TableParagraph"/>
              <w:spacing w:before="55"/>
              <w:ind w:left="9"/>
              <w:jc w:val="center"/>
              <w:rPr>
                <w:rFonts w:ascii="Times New Roman"/>
                <w:sz w:val="21"/>
              </w:rPr>
            </w:pPr>
            <w:r>
              <w:rPr>
                <w:rFonts w:ascii="Times New Roman"/>
                <w:spacing w:val="-10"/>
                <w:sz w:val="21"/>
              </w:rP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TableParagraph"/>
              <w:spacing w:before="40"/>
              <w:ind w:left="3" w:right="1"/>
              <w:jc w:val="center"/>
              <w:rPr>
                <w:rFonts w:ascii="Times New Roman"/>
                <w:sz w:val="21"/>
              </w:rPr>
            </w:pPr>
            <w:hyperlink w:history="true" w:anchor="_bookmark24">
              <w:r>
                <w:rPr>
                  <w:rFonts w:ascii="Times New Roman"/>
                  <w:color w:val="0000FF"/>
                  <w:spacing w:val="-2"/>
                  <w:sz w:val="21"/>
                </w:rPr>
                <w:t>4.1.1</w:t>
              </w:r>
            </w:hyperlink>
          </w:p>
        </w:tc>
      </w:tr>
      <w:tr>
        <w:trPr>
          <w:trHeight w:val="351" w:hRule="atLeast"/>
        </w:trPr>
        <w:tc>
          <w:tcPr>
            <w:tcW w:w="13954" w:type="dxa"/>
            <w:gridSpan w:val="12"/>
            <w:shd w:val="clear" w:color="auto" w:fill="DBDBDB"/>
          </w:tcPr>
          <w:p>
            <w:pPr>
              <w:pStyle w:val="TableParagraph"/>
              <w:spacing w:before="38"/>
              <w:ind w:left="107"/>
              <w:rPr>
                <w:b/>
                <w:sz w:val="21"/>
              </w:rPr>
            </w:pPr>
            <w:r>
              <w:rPr>
                <w:b/>
                <w:spacing w:val="-4"/>
                <w:sz w:val="21"/>
              </w:rPr>
              <w:t>临床评估</w:t>
            </w:r>
          </w:p>
        </w:tc>
      </w:tr>
      <w:tr>
        <w:trPr>
          <w:trHeight w:val="352" w:hRule="atLeast"/>
        </w:trPr>
        <w:tc>
          <w:tcPr>
            <w:tcW w:w="1983" w:type="dxa"/>
          </w:tcPr>
          <w:p>
            <w:pPr>
              <w:pStyle w:val="TableParagraph"/>
              <w:spacing w:before="39"/>
              <w:ind w:left="107"/>
              <w:rPr>
                <w:sz w:val="21"/>
              </w:rPr>
            </w:pPr>
            <w:r>
              <w:rPr>
                <w:spacing w:val="-2"/>
                <w:sz w:val="21"/>
              </w:rPr>
              <w:t>全面体格检查</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spacing w:before="57"/>
              <w:jc w:val="center"/>
              <w:rPr>
                <w:rFonts w:ascii="Times New Roman"/>
                <w:sz w:val="21"/>
              </w:rPr>
            </w:pPr>
            <w:r>
              <w:rPr>
                <w:rFonts w:ascii="Times New Roman"/>
                <w:spacing w:val="-10"/>
                <w:sz w:val="21"/>
              </w:rPr>
              <w:t>X</w:t>
            </w:r>
          </w:p>
        </w:tc>
        <w:tc>
          <w:tcPr>
            <w:tcW w:w="1176" w:type="dxa"/>
          </w:tcPr>
          <w:p>
            <w:pPr>
              <w:pStyle w:val="TableParagraph"/>
              <w:spacing w:before="57"/>
              <w:ind w:left="3" w:right="1"/>
              <w:jc w:val="center"/>
              <w:rPr>
                <w:rFonts w:ascii="Times New Roman"/>
                <w:sz w:val="21"/>
              </w:rPr>
            </w:pPr>
            <w:hyperlink w:history="true" w:anchor="_bookmark86">
              <w:r>
                <w:rPr>
                  <w:rFonts w:ascii="Times New Roman"/>
                  <w:color w:val="0000FF"/>
                  <w:spacing w:val="-2"/>
                  <w:sz w:val="21"/>
                </w:rPr>
                <w:t>8.2.1</w:t>
              </w:r>
            </w:hyperlink>
          </w:p>
        </w:tc>
      </w:tr>
      <w:tr>
        <w:trPr>
          <w:trHeight w:val="595" w:hRule="atLeast"/>
        </w:trPr>
        <w:tc>
          <w:tcPr>
            <w:tcW w:w="1983" w:type="dxa"/>
          </w:tcPr>
          <w:p>
            <w:pPr>
              <w:pStyle w:val="TableParagraph"/>
              <w:spacing w:before="159"/>
              <w:ind w:left="107"/>
              <w:rPr>
                <w:sz w:val="21"/>
              </w:rPr>
            </w:pPr>
            <w:r>
              <w:rPr>
                <w:spacing w:val="-2"/>
                <w:sz w:val="21"/>
              </w:rPr>
              <w:t>简单体格检查</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spacing w:before="177"/>
              <w:ind w:left="6" w:right="1"/>
              <w:jc w:val="center"/>
              <w:rPr>
                <w:rFonts w:ascii="Times New Roman"/>
                <w:sz w:val="21"/>
              </w:rPr>
            </w:pPr>
            <w:r>
              <w:rPr>
                <w:rFonts w:ascii="Times New Roman"/>
                <w:spacing w:val="-10"/>
                <w:sz w:val="21"/>
              </w:rPr>
              <w:t>X</w:t>
            </w:r>
          </w:p>
        </w:tc>
        <w:tc>
          <w:tcPr>
            <w:tcW w:w="976" w:type="dxa"/>
          </w:tcPr>
          <w:p>
            <w:pPr>
              <w:pStyle w:val="TableParagraph"/>
              <w:spacing w:before="177"/>
              <w:ind w:left="7" w:right="1"/>
              <w:jc w:val="center"/>
              <w:rPr>
                <w:rFonts w:ascii="Times New Roman"/>
                <w:sz w:val="21"/>
              </w:rPr>
            </w:pPr>
            <w:r>
              <w:rPr>
                <w:rFonts w:ascii="Times New Roman"/>
                <w:spacing w:val="-10"/>
                <w:sz w:val="21"/>
              </w:rPr>
              <w:t>X</w:t>
            </w: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spacing w:before="177"/>
              <w:ind w:left="7" w:right="4"/>
              <w:jc w:val="center"/>
              <w:rPr>
                <w:rFonts w:ascii="Times New Roman"/>
                <w:sz w:val="21"/>
              </w:rPr>
            </w:pPr>
            <w:r>
              <w:rPr>
                <w:rFonts w:ascii="Times New Roman"/>
                <w:spacing w:val="-10"/>
                <w:sz w:val="21"/>
              </w:rPr>
              <w:t>X</w:t>
            </w:r>
          </w:p>
        </w:tc>
        <w:tc>
          <w:tcPr>
            <w:tcW w:w="976" w:type="dxa"/>
          </w:tcPr>
          <w:p>
            <w:pPr>
              <w:pStyle w:val="TableParagraph"/>
              <w:rPr>
                <w:rFonts w:ascii="Times New Roman"/>
                <w:sz w:val="20"/>
              </w:rPr>
            </w:pP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rPr>
                <w:rFonts w:ascii="Times New Roman"/>
                <w:sz w:val="20"/>
              </w:rPr>
            </w:pPr>
          </w:p>
        </w:tc>
        <w:tc>
          <w:tcPr>
            <w:tcW w:w="1176" w:type="dxa"/>
          </w:tcPr>
          <w:p>
            <w:pPr>
              <w:pStyle w:val="TableParagraph"/>
              <w:spacing w:before="177"/>
              <w:ind w:left="3" w:right="1"/>
              <w:jc w:val="center"/>
              <w:rPr>
                <w:rFonts w:ascii="Times New Roman"/>
                <w:sz w:val="21"/>
              </w:rPr>
            </w:pPr>
            <w:hyperlink w:history="true" w:anchor="_bookmark86">
              <w:r>
                <w:rPr>
                  <w:rFonts w:ascii="Times New Roman"/>
                  <w:color w:val="0000FF"/>
                  <w:spacing w:val="-2"/>
                  <w:sz w:val="21"/>
                </w:rPr>
                <w:t>8.2.1</w:t>
              </w:r>
            </w:hyperlink>
          </w:p>
        </w:tc>
      </w:tr>
      <w:tr>
        <w:trPr>
          <w:trHeight w:val="593" w:hRule="atLeast"/>
        </w:trPr>
        <w:tc>
          <w:tcPr>
            <w:tcW w:w="1983" w:type="dxa"/>
          </w:tcPr>
          <w:p>
            <w:pPr>
              <w:pStyle w:val="TableParagraph"/>
              <w:spacing w:before="159"/>
              <w:ind w:left="107"/>
              <w:rPr>
                <w:sz w:val="21"/>
              </w:rPr>
            </w:pPr>
            <w:r>
              <w:rPr>
                <w:spacing w:val="-5"/>
                <w:sz w:val="21"/>
              </w:rPr>
              <w:t>体重</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spacing w:before="175"/>
              <w:ind w:left="6" w:right="1"/>
              <w:jc w:val="center"/>
              <w:rPr>
                <w:rFonts w:ascii="Times New Roman"/>
                <w:sz w:val="21"/>
              </w:rPr>
            </w:pPr>
            <w:r>
              <w:rPr>
                <w:rFonts w:ascii="Times New Roman"/>
                <w:spacing w:val="-10"/>
                <w:sz w:val="21"/>
              </w:rPr>
              <w:t>X</w:t>
            </w:r>
          </w:p>
        </w:tc>
        <w:tc>
          <w:tcPr>
            <w:tcW w:w="976" w:type="dxa"/>
          </w:tcPr>
          <w:p>
            <w:pPr>
              <w:pStyle w:val="TableParagraph"/>
              <w:spacing w:before="175"/>
              <w:ind w:left="7" w:right="1"/>
              <w:jc w:val="center"/>
              <w:rPr>
                <w:rFonts w:ascii="Times New Roman"/>
                <w:sz w:val="21"/>
              </w:rPr>
            </w:pPr>
            <w:r>
              <w:rPr>
                <w:rFonts w:ascii="Times New Roman"/>
                <w:spacing w:val="-10"/>
                <w:sz w:val="21"/>
              </w:rPr>
              <w:t>X</w:t>
            </w:r>
          </w:p>
        </w:tc>
        <w:tc>
          <w:tcPr>
            <w:tcW w:w="976" w:type="dxa"/>
          </w:tcPr>
          <w:p>
            <w:pPr>
              <w:pStyle w:val="TableParagraph"/>
              <w:spacing w:before="175"/>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spacing w:before="175"/>
              <w:ind w:left="7" w:right="4"/>
              <w:jc w:val="center"/>
              <w:rPr>
                <w:rFonts w:ascii="Times New Roman"/>
                <w:sz w:val="21"/>
              </w:rPr>
            </w:pPr>
            <w:r>
              <w:rPr>
                <w:rFonts w:ascii="Times New Roman"/>
                <w:spacing w:val="-10"/>
                <w:sz w:val="21"/>
              </w:rPr>
              <w:t>X</w:t>
            </w:r>
          </w:p>
        </w:tc>
        <w:tc>
          <w:tcPr>
            <w:tcW w:w="976" w:type="dxa"/>
          </w:tcPr>
          <w:p>
            <w:pPr>
              <w:pStyle w:val="TableParagraph"/>
              <w:rPr>
                <w:rFonts w:ascii="Times New Roman"/>
                <w:sz w:val="20"/>
              </w:rPr>
            </w:pPr>
          </w:p>
        </w:tc>
        <w:tc>
          <w:tcPr>
            <w:tcW w:w="977" w:type="dxa"/>
          </w:tcPr>
          <w:p>
            <w:pPr>
              <w:pStyle w:val="TableParagraph"/>
              <w:spacing w:before="175"/>
              <w:ind w:left="6" w:right="6"/>
              <w:jc w:val="center"/>
              <w:rPr>
                <w:rFonts w:ascii="Times New Roman"/>
                <w:sz w:val="21"/>
              </w:rPr>
            </w:pPr>
            <w:r>
              <w:rPr>
                <w:rFonts w:ascii="Times New Roman"/>
                <w:spacing w:val="-10"/>
                <w:sz w:val="21"/>
              </w:rPr>
              <w:t>X</w:t>
            </w:r>
          </w:p>
        </w:tc>
        <w:tc>
          <w:tcPr>
            <w:tcW w:w="1127" w:type="dxa"/>
          </w:tcPr>
          <w:p>
            <w:pPr>
              <w:pStyle w:val="TableParagraph"/>
              <w:rPr>
                <w:rFonts w:ascii="Times New Roman"/>
                <w:sz w:val="20"/>
              </w:rPr>
            </w:pPr>
          </w:p>
        </w:tc>
        <w:tc>
          <w:tcPr>
            <w:tcW w:w="1413" w:type="dxa"/>
          </w:tcPr>
          <w:p>
            <w:pPr>
              <w:pStyle w:val="TableParagraph"/>
              <w:spacing w:before="175"/>
              <w:jc w:val="center"/>
              <w:rPr>
                <w:rFonts w:ascii="Times New Roman"/>
                <w:sz w:val="21"/>
              </w:rPr>
            </w:pPr>
            <w:r>
              <w:rPr>
                <w:rFonts w:ascii="Times New Roman"/>
                <w:spacing w:val="-10"/>
                <w:sz w:val="21"/>
              </w:rPr>
              <w:t>X</w:t>
            </w:r>
          </w:p>
        </w:tc>
        <w:tc>
          <w:tcPr>
            <w:tcW w:w="1176" w:type="dxa"/>
          </w:tcPr>
          <w:p>
            <w:pPr>
              <w:pStyle w:val="TableParagraph"/>
              <w:spacing w:before="175"/>
              <w:ind w:left="3" w:right="1"/>
              <w:jc w:val="center"/>
              <w:rPr>
                <w:rFonts w:ascii="Times New Roman"/>
                <w:sz w:val="21"/>
              </w:rPr>
            </w:pPr>
            <w:hyperlink w:history="true" w:anchor="_bookmark86">
              <w:r>
                <w:rPr>
                  <w:rFonts w:ascii="Times New Roman"/>
                  <w:color w:val="0000FF"/>
                  <w:spacing w:val="-2"/>
                  <w:sz w:val="21"/>
                </w:rPr>
                <w:t>8.2.1</w:t>
              </w:r>
            </w:hyperlink>
          </w:p>
        </w:tc>
      </w:tr>
      <w:tr>
        <w:trPr>
          <w:trHeight w:val="593" w:hRule="atLeast"/>
        </w:trPr>
        <w:tc>
          <w:tcPr>
            <w:tcW w:w="1983" w:type="dxa"/>
          </w:tcPr>
          <w:p>
            <w:pPr>
              <w:pStyle w:val="TableParagraph"/>
              <w:spacing w:before="159"/>
              <w:ind w:left="107"/>
              <w:rPr>
                <w:sz w:val="21"/>
              </w:rPr>
            </w:pPr>
            <w:r>
              <w:rPr>
                <w:spacing w:val="-3"/>
                <w:sz w:val="21"/>
              </w:rPr>
              <w:t>合并用药</w:t>
            </w:r>
          </w:p>
        </w:tc>
        <w:tc>
          <w:tcPr>
            <w:tcW w:w="1419" w:type="dxa"/>
          </w:tcPr>
          <w:p>
            <w:pPr>
              <w:pStyle w:val="TableParagraph"/>
              <w:spacing w:line="240" w:lineRule="exact" w:before="40"/>
              <w:ind w:left="505"/>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e</w:t>
            </w:r>
          </w:p>
          <w:p>
            <w:pPr>
              <w:pStyle w:val="TableParagraph"/>
              <w:spacing w:line="272" w:lineRule="exact"/>
              <w:ind w:left="210"/>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977" w:type="dxa"/>
          </w:tcPr>
          <w:p>
            <w:pPr>
              <w:pStyle w:val="TableParagraph"/>
              <w:spacing w:before="177"/>
              <w:ind w:left="6" w:right="1"/>
              <w:jc w:val="center"/>
              <w:rPr>
                <w:rFonts w:ascii="Times New Roman"/>
                <w:sz w:val="21"/>
              </w:rPr>
            </w:pPr>
            <w:r>
              <w:rPr>
                <w:rFonts w:ascii="Times New Roman"/>
                <w:spacing w:val="-10"/>
                <w:sz w:val="21"/>
              </w:rPr>
              <w:t>X</w:t>
            </w:r>
          </w:p>
        </w:tc>
        <w:tc>
          <w:tcPr>
            <w:tcW w:w="976" w:type="dxa"/>
          </w:tcPr>
          <w:p>
            <w:pPr>
              <w:pStyle w:val="TableParagraph"/>
              <w:spacing w:before="177"/>
              <w:ind w:left="7" w:right="1"/>
              <w:jc w:val="center"/>
              <w:rPr>
                <w:rFonts w:ascii="Times New Roman"/>
                <w:sz w:val="21"/>
              </w:rPr>
            </w:pPr>
            <w:r>
              <w:rPr>
                <w:rFonts w:ascii="Times New Roman"/>
                <w:spacing w:val="-10"/>
                <w:sz w:val="21"/>
              </w:rPr>
              <w:t>X</w:t>
            </w: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spacing w:before="177"/>
              <w:ind w:left="4" w:right="2"/>
              <w:jc w:val="center"/>
              <w:rPr>
                <w:rFonts w:ascii="Times New Roman"/>
                <w:sz w:val="21"/>
              </w:rPr>
            </w:pPr>
            <w:r>
              <w:rPr>
                <w:rFonts w:ascii="Times New Roman"/>
                <w:spacing w:val="-10"/>
                <w:sz w:val="21"/>
              </w:rPr>
              <w:t>X</w:t>
            </w:r>
          </w:p>
        </w:tc>
        <w:tc>
          <w:tcPr>
            <w:tcW w:w="976" w:type="dxa"/>
          </w:tcPr>
          <w:p>
            <w:pPr>
              <w:pStyle w:val="TableParagraph"/>
              <w:spacing w:before="177"/>
              <w:ind w:left="7" w:right="4"/>
              <w:jc w:val="center"/>
              <w:rPr>
                <w:rFonts w:ascii="Times New Roman"/>
                <w:sz w:val="21"/>
              </w:rPr>
            </w:pPr>
            <w:r>
              <w:rPr>
                <w:rFonts w:ascii="Times New Roman"/>
                <w:spacing w:val="-10"/>
                <w:sz w:val="21"/>
              </w:rPr>
              <w:t>X</w:t>
            </w:r>
          </w:p>
        </w:tc>
        <w:tc>
          <w:tcPr>
            <w:tcW w:w="976" w:type="dxa"/>
          </w:tcPr>
          <w:p>
            <w:pPr>
              <w:pStyle w:val="TableParagraph"/>
              <w:spacing w:before="177"/>
              <w:ind w:left="7" w:right="5"/>
              <w:jc w:val="center"/>
              <w:rPr>
                <w:rFonts w:ascii="Times New Roman"/>
                <w:sz w:val="21"/>
              </w:rPr>
            </w:pPr>
            <w:r>
              <w:rPr>
                <w:rFonts w:ascii="Times New Roman"/>
                <w:spacing w:val="-10"/>
                <w:sz w:val="21"/>
              </w:rPr>
              <w:t>X</w:t>
            </w: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jc w:val="center"/>
              <w:rPr>
                <w:rFonts w:ascii="Times New Roman"/>
                <w:sz w:val="21"/>
              </w:rPr>
            </w:pPr>
            <w:hyperlink w:history="true" w:anchor="_bookmark64">
              <w:r>
                <w:rPr>
                  <w:rFonts w:ascii="Times New Roman"/>
                  <w:color w:val="0000FF"/>
                  <w:spacing w:val="-5"/>
                  <w:sz w:val="21"/>
                </w:rPr>
                <w:t>6.5</w:t>
              </w:r>
            </w:hyperlink>
          </w:p>
        </w:tc>
      </w:tr>
      <w:tr>
        <w:trPr>
          <w:trHeight w:val="624" w:hRule="atLeast"/>
        </w:trPr>
        <w:tc>
          <w:tcPr>
            <w:tcW w:w="1983" w:type="dxa"/>
          </w:tcPr>
          <w:p>
            <w:pPr>
              <w:pStyle w:val="TableParagraph"/>
              <w:spacing w:before="36"/>
              <w:ind w:left="107" w:right="183"/>
              <w:rPr>
                <w:sz w:val="21"/>
              </w:rPr>
            </w:pPr>
            <w:r>
              <w:rPr>
                <w:spacing w:val="-2"/>
                <w:sz w:val="21"/>
              </w:rPr>
              <w:t>吸入性维持治疗的</w:t>
            </w:r>
            <w:r>
              <w:rPr>
                <w:spacing w:val="-6"/>
                <w:sz w:val="21"/>
              </w:rPr>
              <w:t>使用</w:t>
            </w:r>
          </w:p>
        </w:tc>
        <w:tc>
          <w:tcPr>
            <w:tcW w:w="1419" w:type="dxa"/>
          </w:tcPr>
          <w:p>
            <w:pPr>
              <w:pStyle w:val="TableParagraph"/>
              <w:spacing w:line="240" w:lineRule="exact" w:before="55"/>
              <w:ind w:left="505"/>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e</w:t>
            </w:r>
          </w:p>
          <w:p>
            <w:pPr>
              <w:pStyle w:val="TableParagraph"/>
              <w:spacing w:line="272" w:lineRule="exact"/>
              <w:ind w:left="210"/>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977" w:type="dxa"/>
          </w:tcPr>
          <w:p>
            <w:pPr>
              <w:pStyle w:val="TableParagraph"/>
              <w:spacing w:before="192"/>
              <w:ind w:left="6" w:right="1"/>
              <w:jc w:val="center"/>
              <w:rPr>
                <w:rFonts w:ascii="Times New Roman"/>
                <w:sz w:val="21"/>
              </w:rPr>
            </w:pPr>
            <w:r>
              <w:rPr>
                <w:rFonts w:ascii="Times New Roman"/>
                <w:spacing w:val="-10"/>
                <w:sz w:val="21"/>
              </w:rPr>
              <w:t>X</w:t>
            </w:r>
          </w:p>
        </w:tc>
        <w:tc>
          <w:tcPr>
            <w:tcW w:w="976" w:type="dxa"/>
          </w:tcPr>
          <w:p>
            <w:pPr>
              <w:pStyle w:val="TableParagraph"/>
              <w:spacing w:before="192"/>
              <w:ind w:left="7" w:right="1"/>
              <w:jc w:val="center"/>
              <w:rPr>
                <w:rFonts w:ascii="Times New Roman"/>
                <w:sz w:val="21"/>
              </w:rPr>
            </w:pPr>
            <w:r>
              <w:rPr>
                <w:rFonts w:ascii="Times New Roman"/>
                <w:spacing w:val="-10"/>
                <w:sz w:val="21"/>
              </w:rPr>
              <w:t>X</w:t>
            </w:r>
          </w:p>
        </w:tc>
        <w:tc>
          <w:tcPr>
            <w:tcW w:w="976" w:type="dxa"/>
          </w:tcPr>
          <w:p>
            <w:pPr>
              <w:pStyle w:val="TableParagraph"/>
              <w:spacing w:before="192"/>
              <w:ind w:left="7" w:right="2"/>
              <w:jc w:val="center"/>
              <w:rPr>
                <w:rFonts w:ascii="Times New Roman"/>
                <w:sz w:val="21"/>
              </w:rPr>
            </w:pPr>
            <w:r>
              <w:rPr>
                <w:rFonts w:ascii="Times New Roman"/>
                <w:spacing w:val="-10"/>
                <w:sz w:val="21"/>
              </w:rPr>
              <w:t>X</w:t>
            </w:r>
          </w:p>
        </w:tc>
        <w:tc>
          <w:tcPr>
            <w:tcW w:w="978" w:type="dxa"/>
          </w:tcPr>
          <w:p>
            <w:pPr>
              <w:pStyle w:val="TableParagraph"/>
              <w:spacing w:before="192"/>
              <w:ind w:left="4" w:right="2"/>
              <w:jc w:val="center"/>
              <w:rPr>
                <w:rFonts w:ascii="Times New Roman"/>
                <w:sz w:val="21"/>
              </w:rPr>
            </w:pPr>
            <w:r>
              <w:rPr>
                <w:rFonts w:ascii="Times New Roman"/>
                <w:spacing w:val="-10"/>
                <w:sz w:val="21"/>
              </w:rPr>
              <w:t>X</w:t>
            </w:r>
          </w:p>
        </w:tc>
        <w:tc>
          <w:tcPr>
            <w:tcW w:w="976" w:type="dxa"/>
          </w:tcPr>
          <w:p>
            <w:pPr>
              <w:pStyle w:val="TableParagraph"/>
              <w:spacing w:before="192"/>
              <w:ind w:left="7" w:right="4"/>
              <w:jc w:val="center"/>
              <w:rPr>
                <w:rFonts w:ascii="Times New Roman"/>
                <w:sz w:val="21"/>
              </w:rPr>
            </w:pPr>
            <w:r>
              <w:rPr>
                <w:rFonts w:ascii="Times New Roman"/>
                <w:spacing w:val="-10"/>
                <w:sz w:val="21"/>
              </w:rPr>
              <w:t>X</w:t>
            </w:r>
          </w:p>
        </w:tc>
        <w:tc>
          <w:tcPr>
            <w:tcW w:w="976" w:type="dxa"/>
          </w:tcPr>
          <w:p>
            <w:pPr>
              <w:pStyle w:val="TableParagraph"/>
              <w:spacing w:before="192"/>
              <w:ind w:left="7" w:right="5"/>
              <w:jc w:val="center"/>
              <w:rPr>
                <w:rFonts w:ascii="Times New Roman"/>
                <w:sz w:val="21"/>
              </w:rPr>
            </w:pPr>
            <w:r>
              <w:rPr>
                <w:rFonts w:ascii="Times New Roman"/>
                <w:spacing w:val="-10"/>
                <w:sz w:val="21"/>
              </w:rPr>
              <w:t>X</w:t>
            </w:r>
          </w:p>
        </w:tc>
        <w:tc>
          <w:tcPr>
            <w:tcW w:w="977" w:type="dxa"/>
          </w:tcPr>
          <w:p>
            <w:pPr>
              <w:pStyle w:val="TableParagraph"/>
              <w:spacing w:before="192"/>
              <w:ind w:left="6" w:right="6"/>
              <w:jc w:val="center"/>
              <w:rPr>
                <w:rFonts w:ascii="Times New Roman"/>
                <w:sz w:val="21"/>
              </w:rPr>
            </w:pPr>
            <w:r>
              <w:rPr>
                <w:rFonts w:ascii="Times New Roman"/>
                <w:spacing w:val="-10"/>
                <w:sz w:val="21"/>
              </w:rPr>
              <w:t>X</w:t>
            </w:r>
          </w:p>
        </w:tc>
        <w:tc>
          <w:tcPr>
            <w:tcW w:w="1127" w:type="dxa"/>
          </w:tcPr>
          <w:p>
            <w:pPr>
              <w:pStyle w:val="TableParagraph"/>
              <w:rPr>
                <w:rFonts w:ascii="Times New Roman"/>
                <w:sz w:val="20"/>
              </w:rPr>
            </w:pPr>
          </w:p>
        </w:tc>
        <w:tc>
          <w:tcPr>
            <w:tcW w:w="1413" w:type="dxa"/>
          </w:tcPr>
          <w:p>
            <w:pPr>
              <w:pStyle w:val="TableParagraph"/>
              <w:spacing w:before="192"/>
              <w:jc w:val="center"/>
              <w:rPr>
                <w:rFonts w:ascii="Times New Roman"/>
                <w:sz w:val="21"/>
              </w:rPr>
            </w:pPr>
            <w:r>
              <w:rPr>
                <w:rFonts w:ascii="Times New Roman"/>
                <w:spacing w:val="-10"/>
                <w:sz w:val="21"/>
              </w:rPr>
              <w:t>X</w:t>
            </w:r>
          </w:p>
        </w:tc>
        <w:tc>
          <w:tcPr>
            <w:tcW w:w="1176" w:type="dxa"/>
          </w:tcPr>
          <w:p>
            <w:pPr>
              <w:pStyle w:val="TableParagraph"/>
              <w:spacing w:before="192"/>
              <w:ind w:left="3" w:right="1"/>
              <w:jc w:val="center"/>
              <w:rPr>
                <w:rFonts w:ascii="Times New Roman"/>
                <w:sz w:val="21"/>
              </w:rPr>
            </w:pPr>
            <w:hyperlink w:history="true" w:anchor="_bookmark66">
              <w:r>
                <w:rPr>
                  <w:rFonts w:ascii="Times New Roman"/>
                  <w:color w:val="0000FF"/>
                  <w:spacing w:val="-2"/>
                  <w:sz w:val="21"/>
                </w:rPr>
                <w:t>6.5.2</w:t>
              </w:r>
            </w:hyperlink>
          </w:p>
        </w:tc>
      </w:tr>
      <w:tr>
        <w:trPr>
          <w:trHeight w:val="593" w:hRule="atLeast"/>
        </w:trPr>
        <w:tc>
          <w:tcPr>
            <w:tcW w:w="1983" w:type="dxa"/>
          </w:tcPr>
          <w:p>
            <w:pPr>
              <w:pStyle w:val="TableParagraph"/>
              <w:spacing w:before="159"/>
              <w:ind w:left="107"/>
              <w:rPr>
                <w:sz w:val="21"/>
              </w:rPr>
            </w:pPr>
            <w:r>
              <w:rPr>
                <w:spacing w:val="-3"/>
                <w:sz w:val="21"/>
              </w:rPr>
              <w:t>吸烟状况</w:t>
            </w:r>
          </w:p>
        </w:tc>
        <w:tc>
          <w:tcPr>
            <w:tcW w:w="1419" w:type="dxa"/>
          </w:tcPr>
          <w:p>
            <w:pPr>
              <w:pStyle w:val="TableParagraph"/>
              <w:spacing w:line="240" w:lineRule="exact" w:before="40"/>
              <w:ind w:left="505"/>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e</w:t>
            </w:r>
          </w:p>
          <w:p>
            <w:pPr>
              <w:pStyle w:val="TableParagraph"/>
              <w:spacing w:line="272" w:lineRule="exact"/>
              <w:ind w:left="210"/>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977" w:type="dxa"/>
          </w:tcPr>
          <w:p>
            <w:pPr>
              <w:pStyle w:val="TableParagraph"/>
              <w:spacing w:before="177"/>
              <w:ind w:left="6" w:right="1"/>
              <w:jc w:val="center"/>
              <w:rPr>
                <w:rFonts w:ascii="Times New Roman"/>
                <w:sz w:val="21"/>
              </w:rPr>
            </w:pPr>
            <w:r>
              <w:rPr>
                <w:rFonts w:ascii="Times New Roman"/>
                <w:spacing w:val="-10"/>
                <w:sz w:val="21"/>
              </w:rPr>
              <w:t>X</w:t>
            </w:r>
          </w:p>
        </w:tc>
        <w:tc>
          <w:tcPr>
            <w:tcW w:w="976" w:type="dxa"/>
          </w:tcPr>
          <w:p>
            <w:pPr>
              <w:pStyle w:val="TableParagraph"/>
              <w:spacing w:before="177"/>
              <w:ind w:left="7" w:right="1"/>
              <w:jc w:val="center"/>
              <w:rPr>
                <w:rFonts w:ascii="Times New Roman"/>
                <w:sz w:val="21"/>
              </w:rPr>
            </w:pPr>
            <w:r>
              <w:rPr>
                <w:rFonts w:ascii="Times New Roman"/>
                <w:spacing w:val="-10"/>
                <w:sz w:val="21"/>
              </w:rPr>
              <w:t>X</w:t>
            </w: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spacing w:before="177"/>
              <w:ind w:left="4" w:right="2"/>
              <w:jc w:val="center"/>
              <w:rPr>
                <w:rFonts w:ascii="Times New Roman"/>
                <w:sz w:val="21"/>
              </w:rPr>
            </w:pPr>
            <w:r>
              <w:rPr>
                <w:rFonts w:ascii="Times New Roman"/>
                <w:spacing w:val="-10"/>
                <w:sz w:val="21"/>
              </w:rPr>
              <w:t>X</w:t>
            </w:r>
          </w:p>
        </w:tc>
        <w:tc>
          <w:tcPr>
            <w:tcW w:w="976" w:type="dxa"/>
          </w:tcPr>
          <w:p>
            <w:pPr>
              <w:pStyle w:val="TableParagraph"/>
              <w:spacing w:before="177"/>
              <w:ind w:left="7" w:right="4"/>
              <w:jc w:val="center"/>
              <w:rPr>
                <w:rFonts w:ascii="Times New Roman"/>
                <w:sz w:val="21"/>
              </w:rPr>
            </w:pPr>
            <w:r>
              <w:rPr>
                <w:rFonts w:ascii="Times New Roman"/>
                <w:spacing w:val="-10"/>
                <w:sz w:val="21"/>
              </w:rPr>
              <w:t>X</w:t>
            </w:r>
          </w:p>
        </w:tc>
        <w:tc>
          <w:tcPr>
            <w:tcW w:w="976" w:type="dxa"/>
          </w:tcPr>
          <w:p>
            <w:pPr>
              <w:pStyle w:val="TableParagraph"/>
              <w:spacing w:before="177"/>
              <w:ind w:left="7" w:right="5"/>
              <w:jc w:val="center"/>
              <w:rPr>
                <w:rFonts w:ascii="Times New Roman"/>
                <w:sz w:val="21"/>
              </w:rPr>
            </w:pPr>
            <w:r>
              <w:rPr>
                <w:rFonts w:ascii="Times New Roman"/>
                <w:spacing w:val="-10"/>
                <w:sz w:val="21"/>
              </w:rPr>
              <w:t>X</w:t>
            </w: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87">
              <w:r>
                <w:rPr>
                  <w:rFonts w:ascii="Times New Roman"/>
                  <w:color w:val="0000FF"/>
                  <w:spacing w:val="-2"/>
                  <w:sz w:val="21"/>
                </w:rPr>
                <w:t>8.2.2</w:t>
              </w:r>
            </w:hyperlink>
          </w:p>
        </w:tc>
      </w:tr>
    </w:tbl>
    <w:p>
      <w:pPr>
        <w:spacing w:after="0"/>
        <w:jc w:val="center"/>
        <w:rPr>
          <w:rFonts w:ascii="Times New Roman"/>
          <w:sz w:val="21"/>
        </w:rPr>
        <w:sectPr>
          <w:headerReference w:type="default" r:id="rId13"/>
          <w:footerReference w:type="default" r:id="rId14"/>
          <w:pgSz w:w="16840" w:h="11910" w:orient="landscape"/>
          <w:pgMar w:header="761" w:footer="786" w:top="1400" w:bottom="980" w:left="1340" w:right="1120"/>
          <w:pgNumType w:start="24"/>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419"/>
        <w:gridCol w:w="977"/>
        <w:gridCol w:w="976"/>
        <w:gridCol w:w="976"/>
        <w:gridCol w:w="978"/>
        <w:gridCol w:w="976"/>
        <w:gridCol w:w="976"/>
        <w:gridCol w:w="977"/>
        <w:gridCol w:w="1127"/>
        <w:gridCol w:w="1413"/>
        <w:gridCol w:w="1176"/>
      </w:tblGrid>
      <w:tr>
        <w:trPr>
          <w:trHeight w:val="623" w:hRule="atLeast"/>
        </w:trPr>
        <w:tc>
          <w:tcPr>
            <w:tcW w:w="1983" w:type="dxa"/>
            <w:shd w:val="clear" w:color="auto" w:fill="DBDBDB"/>
          </w:tcPr>
          <w:p>
            <w:pPr>
              <w:pStyle w:val="TableParagraph"/>
              <w:spacing w:before="173"/>
              <w:ind w:left="568"/>
              <w:rPr>
                <w:b/>
                <w:sz w:val="21"/>
              </w:rPr>
            </w:pPr>
            <w:r>
              <w:rPr>
                <w:b/>
                <w:spacing w:val="-4"/>
                <w:sz w:val="21"/>
              </w:rPr>
              <w:t>研究阶段</w:t>
            </w:r>
          </w:p>
        </w:tc>
        <w:tc>
          <w:tcPr>
            <w:tcW w:w="1419" w:type="dxa"/>
            <w:shd w:val="clear" w:color="auto" w:fill="DBDBDB"/>
          </w:tcPr>
          <w:p>
            <w:pPr>
              <w:pStyle w:val="TableParagraph"/>
              <w:spacing w:before="173"/>
              <w:ind w:left="9" w:right="1"/>
              <w:jc w:val="center"/>
              <w:rPr>
                <w:b/>
                <w:sz w:val="21"/>
              </w:rPr>
            </w:pPr>
            <w:r>
              <w:rPr>
                <w:b/>
                <w:spacing w:val="-6"/>
                <w:sz w:val="21"/>
              </w:rPr>
              <w:t>入组</w:t>
            </w:r>
          </w:p>
        </w:tc>
        <w:tc>
          <w:tcPr>
            <w:tcW w:w="6836" w:type="dxa"/>
            <w:gridSpan w:val="7"/>
            <w:shd w:val="clear" w:color="auto" w:fill="DBDBDB"/>
          </w:tcPr>
          <w:p>
            <w:pPr>
              <w:pStyle w:val="TableParagraph"/>
              <w:spacing w:before="173"/>
              <w:jc w:val="center"/>
              <w:rPr>
                <w:b/>
                <w:sz w:val="21"/>
              </w:rPr>
            </w:pPr>
            <w:r>
              <w:rPr>
                <w:b/>
                <w:spacing w:val="-2"/>
                <w:sz w:val="21"/>
              </w:rPr>
              <w:t>干预（治疗</w:t>
            </w:r>
            <w:r>
              <w:rPr>
                <w:b/>
                <w:spacing w:val="-10"/>
                <w:sz w:val="21"/>
              </w:rPr>
              <w:t>）</w:t>
            </w:r>
          </w:p>
        </w:tc>
        <w:tc>
          <w:tcPr>
            <w:tcW w:w="1127" w:type="dxa"/>
            <w:shd w:val="clear" w:color="auto" w:fill="DBDBDB"/>
          </w:tcPr>
          <w:p>
            <w:pPr>
              <w:pStyle w:val="TableParagraph"/>
              <w:spacing w:before="173"/>
              <w:ind w:left="3"/>
              <w:jc w:val="center"/>
              <w:rPr>
                <w:b/>
                <w:sz w:val="21"/>
              </w:rPr>
            </w:pPr>
            <w:r>
              <w:rPr>
                <w:b/>
                <w:spacing w:val="-6"/>
                <w:sz w:val="21"/>
              </w:rPr>
              <w:t>随访</w:t>
            </w:r>
          </w:p>
        </w:tc>
        <w:tc>
          <w:tcPr>
            <w:tcW w:w="1413" w:type="dxa"/>
            <w:shd w:val="clear" w:color="auto" w:fill="DBDBDB"/>
          </w:tcPr>
          <w:p>
            <w:pPr>
              <w:pStyle w:val="TableParagraph"/>
              <w:spacing w:before="36"/>
              <w:ind w:left="219" w:right="184" w:hanging="32"/>
              <w:rPr>
                <w:rFonts w:ascii="Times New Roman" w:eastAsia="Times New Roman"/>
                <w:b/>
                <w:sz w:val="21"/>
              </w:rPr>
            </w:pPr>
            <w:r>
              <w:rPr>
                <w:rFonts w:ascii="Times New Roman" w:eastAsia="Times New Roman"/>
                <w:b/>
                <w:sz w:val="21"/>
              </w:rPr>
              <w:t>E/D</w:t>
            </w:r>
            <w:r>
              <w:rPr>
                <w:rFonts w:ascii="Times New Roman" w:eastAsia="Times New Roman"/>
                <w:b/>
                <w:spacing w:val="-14"/>
                <w:sz w:val="21"/>
              </w:rPr>
              <w:t> </w:t>
            </w:r>
            <w:r>
              <w:rPr>
                <w:b/>
                <w:sz w:val="21"/>
              </w:rPr>
              <w:t>继之以</w:t>
            </w:r>
            <w:r>
              <w:rPr>
                <w:b/>
                <w:spacing w:val="-12"/>
                <w:sz w:val="21"/>
              </w:rPr>
              <w:t>电话随访 </w:t>
            </w:r>
            <w:r>
              <w:rPr>
                <w:rFonts w:ascii="Times New Roman" w:eastAsia="Times New Roman"/>
                <w:b/>
                <w:spacing w:val="-10"/>
                <w:sz w:val="21"/>
                <w:vertAlign w:val="superscript"/>
              </w:rPr>
              <w:t>a</w:t>
            </w:r>
          </w:p>
        </w:tc>
        <w:tc>
          <w:tcPr>
            <w:tcW w:w="1176" w:type="dxa"/>
            <w:vMerge w:val="restart"/>
            <w:shd w:val="clear" w:color="auto" w:fill="DBDBDB"/>
          </w:tcPr>
          <w:p>
            <w:pPr>
              <w:pStyle w:val="TableParagraph"/>
              <w:rPr>
                <w:b/>
                <w:sz w:val="21"/>
              </w:rPr>
            </w:pPr>
          </w:p>
          <w:p>
            <w:pPr>
              <w:pStyle w:val="TableParagraph"/>
              <w:rPr>
                <w:b/>
                <w:sz w:val="21"/>
              </w:rPr>
            </w:pPr>
          </w:p>
          <w:p>
            <w:pPr>
              <w:pStyle w:val="TableParagraph"/>
              <w:rPr>
                <w:b/>
                <w:sz w:val="21"/>
              </w:rPr>
            </w:pPr>
          </w:p>
          <w:p>
            <w:pPr>
              <w:pStyle w:val="TableParagraph"/>
              <w:spacing w:before="215"/>
              <w:rPr>
                <w:b/>
                <w:sz w:val="21"/>
              </w:rPr>
            </w:pPr>
          </w:p>
          <w:p>
            <w:pPr>
              <w:pStyle w:val="TableParagraph"/>
              <w:spacing w:before="1"/>
              <w:ind w:left="152"/>
              <w:rPr>
                <w:b/>
                <w:sz w:val="21"/>
              </w:rPr>
            </w:pPr>
            <w:r>
              <w:rPr>
                <w:rFonts w:ascii="Times New Roman" w:eastAsia="Times New Roman"/>
                <w:b/>
                <w:sz w:val="21"/>
              </w:rPr>
              <w:t>CSP</w:t>
            </w:r>
            <w:r>
              <w:rPr>
                <w:rFonts w:ascii="Times New Roman" w:eastAsia="Times New Roman"/>
                <w:b/>
                <w:spacing w:val="-13"/>
                <w:sz w:val="21"/>
              </w:rPr>
              <w:t> </w:t>
            </w:r>
            <w:r>
              <w:rPr>
                <w:b/>
                <w:spacing w:val="-5"/>
                <w:sz w:val="21"/>
              </w:rPr>
              <w:t>章节</w:t>
            </w:r>
          </w:p>
        </w:tc>
      </w:tr>
      <w:tr>
        <w:trPr>
          <w:trHeight w:val="352" w:hRule="atLeast"/>
        </w:trPr>
        <w:tc>
          <w:tcPr>
            <w:tcW w:w="1983" w:type="dxa"/>
            <w:shd w:val="clear" w:color="auto" w:fill="DBDBDB"/>
          </w:tcPr>
          <w:p>
            <w:pPr>
              <w:pStyle w:val="TableParagraph"/>
              <w:spacing w:before="39"/>
              <w:ind w:left="9"/>
              <w:jc w:val="center"/>
              <w:rPr>
                <w:b/>
                <w:sz w:val="21"/>
              </w:rPr>
            </w:pPr>
            <w:r>
              <w:rPr>
                <w:b/>
                <w:spacing w:val="-5"/>
                <w:sz w:val="21"/>
              </w:rPr>
              <w:t>研究周</w:t>
            </w:r>
          </w:p>
        </w:tc>
        <w:tc>
          <w:tcPr>
            <w:tcW w:w="1419" w:type="dxa"/>
            <w:shd w:val="clear" w:color="auto" w:fill="DBDBDB"/>
          </w:tcPr>
          <w:p>
            <w:pPr>
              <w:pStyle w:val="TableParagraph"/>
              <w:spacing w:before="39"/>
              <w:ind w:left="9"/>
              <w:jc w:val="center"/>
              <w:rPr>
                <w:sz w:val="21"/>
              </w:rPr>
            </w:pPr>
            <w:r>
              <w:rPr>
                <w:spacing w:val="-27"/>
                <w:sz w:val="21"/>
              </w:rPr>
              <w:t>第 </w:t>
            </w:r>
            <w:r>
              <w:rPr>
                <w:rFonts w:ascii="Times New Roman" w:eastAsia="Times New Roman"/>
                <w:sz w:val="21"/>
              </w:rPr>
              <w:t>0</w:t>
            </w:r>
            <w:r>
              <w:rPr>
                <w:rFonts w:ascii="Times New Roman" w:eastAsia="Times New Roman"/>
                <w:spacing w:val="-10"/>
                <w:sz w:val="21"/>
              </w:rPr>
              <w:t> </w:t>
            </w:r>
            <w:r>
              <w:rPr>
                <w:spacing w:val="-10"/>
                <w:sz w:val="21"/>
              </w:rPr>
              <w:t>周</w:t>
            </w:r>
          </w:p>
        </w:tc>
        <w:tc>
          <w:tcPr>
            <w:tcW w:w="977" w:type="dxa"/>
            <w:shd w:val="clear" w:color="auto" w:fill="DBDBDB"/>
          </w:tcPr>
          <w:p>
            <w:pPr>
              <w:pStyle w:val="TableParagraph"/>
              <w:spacing w:before="39"/>
              <w:ind w:left="6"/>
              <w:jc w:val="center"/>
              <w:rPr>
                <w:sz w:val="21"/>
              </w:rPr>
            </w:pPr>
            <w:r>
              <w:rPr>
                <w:spacing w:val="-27"/>
                <w:sz w:val="21"/>
              </w:rPr>
              <w:t>第 </w:t>
            </w:r>
            <w:r>
              <w:rPr>
                <w:rFonts w:ascii="Times New Roman" w:eastAsia="Times New Roman"/>
                <w:sz w:val="21"/>
              </w:rPr>
              <w:t>4</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jc w:val="center"/>
              <w:rPr>
                <w:sz w:val="21"/>
              </w:rPr>
            </w:pPr>
            <w:r>
              <w:rPr>
                <w:spacing w:val="-27"/>
                <w:sz w:val="21"/>
              </w:rPr>
              <w:t>第 </w:t>
            </w:r>
            <w:r>
              <w:rPr>
                <w:rFonts w:ascii="Times New Roman" w:eastAsia="Times New Roman"/>
                <w:sz w:val="21"/>
              </w:rPr>
              <w:t>8</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1"/>
              <w:jc w:val="center"/>
              <w:rPr>
                <w:sz w:val="21"/>
              </w:rPr>
            </w:pPr>
            <w:r>
              <w:rPr>
                <w:spacing w:val="-27"/>
                <w:sz w:val="21"/>
              </w:rPr>
              <w:t>第 </w:t>
            </w:r>
            <w:r>
              <w:rPr>
                <w:rFonts w:ascii="Times New Roman" w:eastAsia="Times New Roman"/>
                <w:sz w:val="21"/>
              </w:rPr>
              <w:t>12</w:t>
            </w:r>
            <w:r>
              <w:rPr>
                <w:rFonts w:ascii="Times New Roman" w:eastAsia="Times New Roman"/>
                <w:spacing w:val="-10"/>
                <w:sz w:val="21"/>
              </w:rPr>
              <w:t> </w:t>
            </w:r>
            <w:r>
              <w:rPr>
                <w:spacing w:val="-10"/>
                <w:sz w:val="21"/>
              </w:rPr>
              <w:t>周</w:t>
            </w:r>
          </w:p>
        </w:tc>
        <w:tc>
          <w:tcPr>
            <w:tcW w:w="978" w:type="dxa"/>
            <w:shd w:val="clear" w:color="auto" w:fill="DBDBDB"/>
          </w:tcPr>
          <w:p>
            <w:pPr>
              <w:pStyle w:val="TableParagraph"/>
              <w:spacing w:before="39"/>
              <w:ind w:left="4"/>
              <w:jc w:val="center"/>
              <w:rPr>
                <w:sz w:val="21"/>
              </w:rPr>
            </w:pPr>
            <w:r>
              <w:rPr>
                <w:spacing w:val="-27"/>
                <w:sz w:val="21"/>
              </w:rPr>
              <w:t>第 </w:t>
            </w:r>
            <w:r>
              <w:rPr>
                <w:rFonts w:ascii="Times New Roman" w:eastAsia="Times New Roman"/>
                <w:sz w:val="21"/>
              </w:rPr>
              <w:t>16</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3"/>
              <w:jc w:val="center"/>
              <w:rPr>
                <w:sz w:val="21"/>
              </w:rPr>
            </w:pPr>
            <w:r>
              <w:rPr>
                <w:spacing w:val="-27"/>
                <w:sz w:val="21"/>
              </w:rPr>
              <w:t>第 </w:t>
            </w:r>
            <w:r>
              <w:rPr>
                <w:rFonts w:ascii="Times New Roman" w:eastAsia="Times New Roman"/>
                <w:sz w:val="21"/>
              </w:rPr>
              <w:t>20</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4"/>
              <w:jc w:val="center"/>
              <w:rPr>
                <w:sz w:val="21"/>
              </w:rPr>
            </w:pPr>
            <w:r>
              <w:rPr>
                <w:spacing w:val="-27"/>
                <w:sz w:val="21"/>
              </w:rPr>
              <w:t>第 </w:t>
            </w:r>
            <w:r>
              <w:rPr>
                <w:rFonts w:ascii="Times New Roman" w:eastAsia="Times New Roman"/>
                <w:sz w:val="21"/>
              </w:rPr>
              <w:t>24</w:t>
            </w:r>
            <w:r>
              <w:rPr>
                <w:rFonts w:ascii="Times New Roman" w:eastAsia="Times New Roman"/>
                <w:spacing w:val="-10"/>
                <w:sz w:val="21"/>
              </w:rPr>
              <w:t> </w:t>
            </w:r>
            <w:r>
              <w:rPr>
                <w:spacing w:val="-10"/>
                <w:sz w:val="21"/>
              </w:rPr>
              <w:t>周</w:t>
            </w:r>
          </w:p>
        </w:tc>
        <w:tc>
          <w:tcPr>
            <w:tcW w:w="977" w:type="dxa"/>
            <w:shd w:val="clear" w:color="auto" w:fill="DBDBDB"/>
          </w:tcPr>
          <w:p>
            <w:pPr>
              <w:pStyle w:val="TableParagraph"/>
              <w:spacing w:before="39"/>
              <w:ind w:left="6" w:right="5"/>
              <w:jc w:val="center"/>
              <w:rPr>
                <w:sz w:val="21"/>
              </w:rPr>
            </w:pPr>
            <w:r>
              <w:rPr>
                <w:spacing w:val="-27"/>
                <w:sz w:val="21"/>
              </w:rPr>
              <w:t>第 </w:t>
            </w:r>
            <w:r>
              <w:rPr>
                <w:rFonts w:ascii="Times New Roman" w:eastAsia="Times New Roman"/>
                <w:sz w:val="21"/>
              </w:rPr>
              <w:t>28</w:t>
            </w:r>
            <w:r>
              <w:rPr>
                <w:rFonts w:ascii="Times New Roman" w:eastAsia="Times New Roman"/>
                <w:spacing w:val="-10"/>
                <w:sz w:val="21"/>
              </w:rPr>
              <w:t> </w:t>
            </w:r>
            <w:r>
              <w:rPr>
                <w:spacing w:val="-10"/>
                <w:sz w:val="21"/>
              </w:rPr>
              <w:t>周</w:t>
            </w:r>
          </w:p>
        </w:tc>
        <w:tc>
          <w:tcPr>
            <w:tcW w:w="1127" w:type="dxa"/>
            <w:shd w:val="clear" w:color="auto" w:fill="DBDBDB"/>
          </w:tcPr>
          <w:p>
            <w:pPr>
              <w:pStyle w:val="TableParagraph"/>
              <w:spacing w:before="39"/>
              <w:ind w:left="3" w:right="1"/>
              <w:jc w:val="center"/>
              <w:rPr>
                <w:sz w:val="21"/>
              </w:rPr>
            </w:pPr>
            <w:r>
              <w:rPr>
                <w:spacing w:val="-27"/>
                <w:sz w:val="21"/>
              </w:rPr>
              <w:t>第 </w:t>
            </w:r>
            <w:r>
              <w:rPr>
                <w:rFonts w:ascii="Times New Roman" w:eastAsia="Times New Roman"/>
                <w:sz w:val="21"/>
              </w:rPr>
              <w:t>36</w:t>
            </w:r>
            <w:r>
              <w:rPr>
                <w:rFonts w:ascii="Times New Roman" w:eastAsia="Times New Roman"/>
                <w:spacing w:val="-10"/>
                <w:sz w:val="21"/>
              </w:rPr>
              <w:t> </w:t>
            </w:r>
            <w:r>
              <w:rPr>
                <w:spacing w:val="-10"/>
                <w:sz w:val="21"/>
              </w:rPr>
              <w:t>周</w:t>
            </w:r>
          </w:p>
        </w:tc>
        <w:tc>
          <w:tcPr>
            <w:tcW w:w="1413" w:type="dxa"/>
            <w:vMerge w:val="restart"/>
            <w:shd w:val="clear" w:color="auto" w:fill="DBDBDB"/>
          </w:tcPr>
          <w:p>
            <w:pPr>
              <w:pStyle w:val="TableParagraph"/>
              <w:spacing w:before="82"/>
              <w:ind w:left="339" w:right="165" w:hanging="172"/>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末次给药</w:t>
            </w:r>
            <w:r>
              <w:rPr>
                <w:spacing w:val="-12"/>
                <w:sz w:val="21"/>
              </w:rPr>
              <w:t>后 </w:t>
            </w:r>
            <w:r>
              <w:rPr>
                <w:rFonts w:ascii="Times New Roman" w:eastAsia="Times New Roman"/>
                <w:sz w:val="21"/>
              </w:rPr>
              <w:t>12 </w:t>
            </w:r>
            <w:r>
              <w:rPr>
                <w:sz w:val="21"/>
              </w:rPr>
              <w:t>周</w:t>
            </w:r>
          </w:p>
        </w:tc>
        <w:tc>
          <w:tcPr>
            <w:tcW w:w="1176" w:type="dxa"/>
            <w:vMerge/>
            <w:tcBorders>
              <w:top w:val="nil"/>
            </w:tcBorders>
            <w:shd w:val="clear" w:color="auto" w:fill="DBDBDB"/>
          </w:tcPr>
          <w:p>
            <w:pPr>
              <w:rPr>
                <w:sz w:val="2"/>
                <w:szCs w:val="2"/>
              </w:rPr>
            </w:pPr>
          </w:p>
        </w:tc>
      </w:tr>
      <w:tr>
        <w:trPr>
          <w:trHeight w:val="352" w:hRule="atLeast"/>
        </w:trPr>
        <w:tc>
          <w:tcPr>
            <w:tcW w:w="1983" w:type="dxa"/>
            <w:shd w:val="clear" w:color="auto" w:fill="DBDBDB"/>
          </w:tcPr>
          <w:p>
            <w:pPr>
              <w:pStyle w:val="TableParagraph"/>
              <w:spacing w:before="39"/>
              <w:ind w:left="9"/>
              <w:jc w:val="center"/>
              <w:rPr>
                <w:b/>
                <w:sz w:val="21"/>
              </w:rPr>
            </w:pPr>
            <w:r>
              <w:rPr>
                <w:b/>
                <w:spacing w:val="-6"/>
                <w:sz w:val="21"/>
              </w:rPr>
              <w:t>访视</w:t>
            </w:r>
          </w:p>
        </w:tc>
        <w:tc>
          <w:tcPr>
            <w:tcW w:w="1419" w:type="dxa"/>
            <w:shd w:val="clear" w:color="auto" w:fill="DBDBDB"/>
          </w:tcPr>
          <w:p>
            <w:pPr>
              <w:pStyle w:val="TableParagraph"/>
              <w:spacing w:before="39"/>
              <w:ind w:left="9" w:right="1"/>
              <w:jc w:val="center"/>
              <w:rPr>
                <w:rFonts w:ascii="Times New Roman" w:eastAsia="Times New Roman"/>
                <w:sz w:val="21"/>
              </w:rPr>
            </w:pPr>
            <w:r>
              <w:rPr>
                <w:spacing w:val="-18"/>
                <w:sz w:val="21"/>
              </w:rPr>
              <w:t>访视 </w:t>
            </w:r>
            <w:r>
              <w:rPr>
                <w:rFonts w:ascii="Times New Roman" w:eastAsia="Times New Roman"/>
                <w:spacing w:val="-10"/>
                <w:sz w:val="21"/>
              </w:rPr>
              <w:t>1</w:t>
            </w:r>
          </w:p>
        </w:tc>
        <w:tc>
          <w:tcPr>
            <w:tcW w:w="977" w:type="dxa"/>
            <w:shd w:val="clear" w:color="auto" w:fill="DBDBDB"/>
          </w:tcPr>
          <w:p>
            <w:pPr>
              <w:pStyle w:val="TableParagraph"/>
              <w:spacing w:before="39"/>
              <w:ind w:left="6" w:right="2"/>
              <w:jc w:val="center"/>
              <w:rPr>
                <w:rFonts w:ascii="Times New Roman" w:eastAsia="Times New Roman"/>
                <w:sz w:val="21"/>
              </w:rPr>
            </w:pPr>
            <w:r>
              <w:rPr>
                <w:spacing w:val="-18"/>
                <w:sz w:val="21"/>
              </w:rPr>
              <w:t>访视 </w:t>
            </w:r>
            <w:r>
              <w:rPr>
                <w:rFonts w:ascii="Times New Roman" w:eastAsia="Times New Roman"/>
                <w:spacing w:val="-10"/>
                <w:sz w:val="21"/>
              </w:rPr>
              <w:t>2</w:t>
            </w:r>
          </w:p>
        </w:tc>
        <w:tc>
          <w:tcPr>
            <w:tcW w:w="976" w:type="dxa"/>
            <w:shd w:val="clear" w:color="auto" w:fill="DBDBDB"/>
          </w:tcPr>
          <w:p>
            <w:pPr>
              <w:pStyle w:val="TableParagraph"/>
              <w:spacing w:before="39"/>
              <w:ind w:left="7"/>
              <w:jc w:val="center"/>
              <w:rPr>
                <w:rFonts w:ascii="Times New Roman" w:eastAsia="Times New Roman"/>
                <w:sz w:val="21"/>
              </w:rPr>
            </w:pPr>
            <w:r>
              <w:rPr>
                <w:spacing w:val="-18"/>
                <w:sz w:val="21"/>
              </w:rPr>
              <w:t>访视 </w:t>
            </w:r>
            <w:r>
              <w:rPr>
                <w:rFonts w:ascii="Times New Roman" w:eastAsia="Times New Roman"/>
                <w:spacing w:val="-10"/>
                <w:sz w:val="21"/>
              </w:rPr>
              <w:t>3</w:t>
            </w:r>
          </w:p>
        </w:tc>
        <w:tc>
          <w:tcPr>
            <w:tcW w:w="976" w:type="dxa"/>
            <w:shd w:val="clear" w:color="auto" w:fill="DBDBDB"/>
          </w:tcPr>
          <w:p>
            <w:pPr>
              <w:pStyle w:val="TableParagraph"/>
              <w:spacing w:before="39"/>
              <w:ind w:left="7"/>
              <w:jc w:val="center"/>
              <w:rPr>
                <w:rFonts w:ascii="Times New Roman" w:eastAsia="Times New Roman"/>
                <w:sz w:val="21"/>
              </w:rPr>
            </w:pPr>
            <w:r>
              <w:rPr>
                <w:spacing w:val="-18"/>
                <w:sz w:val="21"/>
              </w:rPr>
              <w:t>访视 </w:t>
            </w:r>
            <w:r>
              <w:rPr>
                <w:rFonts w:ascii="Times New Roman" w:eastAsia="Times New Roman"/>
                <w:spacing w:val="-10"/>
                <w:sz w:val="21"/>
              </w:rPr>
              <w:t>4</w:t>
            </w:r>
          </w:p>
        </w:tc>
        <w:tc>
          <w:tcPr>
            <w:tcW w:w="978" w:type="dxa"/>
            <w:shd w:val="clear" w:color="auto" w:fill="DBDBDB"/>
          </w:tcPr>
          <w:p>
            <w:pPr>
              <w:pStyle w:val="TableParagraph"/>
              <w:spacing w:before="39"/>
              <w:ind w:left="4"/>
              <w:jc w:val="center"/>
              <w:rPr>
                <w:rFonts w:ascii="Times New Roman" w:eastAsia="Times New Roman"/>
                <w:sz w:val="21"/>
              </w:rPr>
            </w:pPr>
            <w:r>
              <w:rPr>
                <w:spacing w:val="-18"/>
                <w:sz w:val="21"/>
              </w:rPr>
              <w:t>访视 </w:t>
            </w:r>
            <w:r>
              <w:rPr>
                <w:rFonts w:ascii="Times New Roman" w:eastAsia="Times New Roman"/>
                <w:spacing w:val="-10"/>
                <w:sz w:val="21"/>
              </w:rPr>
              <w:t>5</w:t>
            </w:r>
          </w:p>
        </w:tc>
        <w:tc>
          <w:tcPr>
            <w:tcW w:w="976" w:type="dxa"/>
            <w:shd w:val="clear" w:color="auto" w:fill="DBDBDB"/>
          </w:tcPr>
          <w:p>
            <w:pPr>
              <w:pStyle w:val="TableParagraph"/>
              <w:spacing w:before="39"/>
              <w:ind w:left="7" w:right="3"/>
              <w:jc w:val="center"/>
              <w:rPr>
                <w:rFonts w:ascii="Times New Roman" w:eastAsia="Times New Roman"/>
                <w:sz w:val="21"/>
              </w:rPr>
            </w:pPr>
            <w:r>
              <w:rPr>
                <w:spacing w:val="-18"/>
                <w:sz w:val="21"/>
              </w:rPr>
              <w:t>访视 </w:t>
            </w:r>
            <w:r>
              <w:rPr>
                <w:rFonts w:ascii="Times New Roman" w:eastAsia="Times New Roman"/>
                <w:spacing w:val="-10"/>
                <w:sz w:val="21"/>
              </w:rPr>
              <w:t>6</w:t>
            </w:r>
          </w:p>
        </w:tc>
        <w:tc>
          <w:tcPr>
            <w:tcW w:w="976" w:type="dxa"/>
            <w:shd w:val="clear" w:color="auto" w:fill="DBDBDB"/>
          </w:tcPr>
          <w:p>
            <w:pPr>
              <w:pStyle w:val="TableParagraph"/>
              <w:spacing w:before="39"/>
              <w:ind w:left="7" w:right="4"/>
              <w:jc w:val="center"/>
              <w:rPr>
                <w:rFonts w:ascii="Times New Roman" w:eastAsia="Times New Roman"/>
                <w:sz w:val="21"/>
              </w:rPr>
            </w:pPr>
            <w:r>
              <w:rPr>
                <w:spacing w:val="-18"/>
                <w:sz w:val="21"/>
              </w:rPr>
              <w:t>访视 </w:t>
            </w:r>
            <w:r>
              <w:rPr>
                <w:rFonts w:ascii="Times New Roman" w:eastAsia="Times New Roman"/>
                <w:spacing w:val="-10"/>
                <w:sz w:val="21"/>
              </w:rPr>
              <w:t>7</w:t>
            </w:r>
          </w:p>
        </w:tc>
        <w:tc>
          <w:tcPr>
            <w:tcW w:w="977" w:type="dxa"/>
            <w:shd w:val="clear" w:color="auto" w:fill="DBDBDB"/>
          </w:tcPr>
          <w:p>
            <w:pPr>
              <w:pStyle w:val="TableParagraph"/>
              <w:spacing w:before="39"/>
              <w:ind w:left="6" w:right="4"/>
              <w:jc w:val="center"/>
              <w:rPr>
                <w:rFonts w:ascii="Times New Roman" w:eastAsia="Times New Roman"/>
                <w:sz w:val="21"/>
              </w:rPr>
            </w:pPr>
            <w:r>
              <w:rPr>
                <w:spacing w:val="-18"/>
                <w:sz w:val="21"/>
              </w:rPr>
              <w:t>访视 </w:t>
            </w:r>
            <w:r>
              <w:rPr>
                <w:rFonts w:ascii="Times New Roman" w:eastAsia="Times New Roman"/>
                <w:spacing w:val="-10"/>
                <w:sz w:val="21"/>
              </w:rPr>
              <w:t>8</w:t>
            </w:r>
          </w:p>
        </w:tc>
        <w:tc>
          <w:tcPr>
            <w:tcW w:w="1127" w:type="dxa"/>
            <w:shd w:val="clear" w:color="auto" w:fill="DBDBDB"/>
          </w:tcPr>
          <w:p>
            <w:pPr>
              <w:pStyle w:val="TableParagraph"/>
              <w:spacing w:before="39"/>
              <w:ind w:left="3" w:right="1"/>
              <w:jc w:val="center"/>
              <w:rPr>
                <w:rFonts w:ascii="Times New Roman" w:eastAsia="Times New Roman"/>
                <w:sz w:val="21"/>
              </w:rPr>
            </w:pPr>
            <w:r>
              <w:rPr>
                <w:spacing w:val="-18"/>
                <w:sz w:val="21"/>
              </w:rPr>
              <w:t>访视 </w:t>
            </w:r>
            <w:r>
              <w:rPr>
                <w:rFonts w:ascii="Times New Roman" w:eastAsia="Times New Roman"/>
                <w:spacing w:val="-10"/>
                <w:sz w:val="21"/>
              </w:rPr>
              <w:t>9</w:t>
            </w:r>
          </w:p>
        </w:tc>
        <w:tc>
          <w:tcPr>
            <w:tcW w:w="1413" w:type="dxa"/>
            <w:vMerge/>
            <w:tcBorders>
              <w:top w:val="nil"/>
            </w:tcBorders>
            <w:shd w:val="clear" w:color="auto" w:fill="DBDBDB"/>
          </w:tcPr>
          <w:p>
            <w:pPr>
              <w:rPr>
                <w:sz w:val="2"/>
                <w:szCs w:val="2"/>
              </w:rPr>
            </w:pPr>
          </w:p>
        </w:tc>
        <w:tc>
          <w:tcPr>
            <w:tcW w:w="1176" w:type="dxa"/>
            <w:vMerge/>
            <w:tcBorders>
              <w:top w:val="nil"/>
            </w:tcBorders>
            <w:shd w:val="clear" w:color="auto" w:fill="DBDBDB"/>
          </w:tcPr>
          <w:p>
            <w:pPr>
              <w:rPr>
                <w:sz w:val="2"/>
                <w:szCs w:val="2"/>
              </w:rPr>
            </w:pPr>
          </w:p>
        </w:tc>
      </w:tr>
      <w:tr>
        <w:trPr>
          <w:trHeight w:val="624" w:hRule="atLeast"/>
        </w:trPr>
        <w:tc>
          <w:tcPr>
            <w:tcW w:w="1983" w:type="dxa"/>
            <w:shd w:val="clear" w:color="auto" w:fill="DBDBDB"/>
          </w:tcPr>
          <w:p>
            <w:pPr>
              <w:pStyle w:val="TableParagraph"/>
              <w:spacing w:line="273" w:lineRule="exact" w:before="38"/>
              <w:ind w:left="358"/>
              <w:rPr>
                <w:b/>
                <w:sz w:val="21"/>
              </w:rPr>
            </w:pPr>
            <w:r>
              <w:rPr>
                <w:b/>
                <w:spacing w:val="-4"/>
                <w:sz w:val="21"/>
              </w:rPr>
              <w:t>可选远程医疗</w:t>
            </w:r>
          </w:p>
          <w:p>
            <w:pPr>
              <w:pStyle w:val="TableParagraph"/>
              <w:spacing w:line="273" w:lineRule="exact"/>
              <w:ind w:left="446"/>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419" w:type="dxa"/>
            <w:shd w:val="clear" w:color="auto" w:fill="DBDBDB"/>
          </w:tcPr>
          <w:p>
            <w:pPr>
              <w:pStyle w:val="TableParagraph"/>
              <w:rPr>
                <w:rFonts w:ascii="Times New Roman"/>
                <w:sz w:val="20"/>
              </w:rPr>
            </w:pPr>
          </w:p>
        </w:tc>
        <w:tc>
          <w:tcPr>
            <w:tcW w:w="977"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8" w:type="dxa"/>
            <w:shd w:val="clear" w:color="auto" w:fill="DBDBDB"/>
          </w:tcPr>
          <w:p>
            <w:pPr>
              <w:pStyle w:val="TableParagraph"/>
              <w:spacing w:before="192"/>
              <w:ind w:left="4" w:right="1"/>
              <w:jc w:val="center"/>
              <w:rPr>
                <w:rFonts w:ascii="Times New Roman"/>
                <w:sz w:val="21"/>
              </w:rPr>
            </w:pPr>
            <w:r>
              <w:rPr>
                <w:rFonts w:ascii="Times New Roman"/>
                <w:spacing w:val="-10"/>
                <w:sz w:val="21"/>
              </w:rPr>
              <w:t>T</w:t>
            </w: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spacing w:before="192"/>
              <w:ind w:left="7" w:right="4"/>
              <w:jc w:val="center"/>
              <w:rPr>
                <w:rFonts w:ascii="Times New Roman"/>
                <w:sz w:val="21"/>
              </w:rPr>
            </w:pPr>
            <w:r>
              <w:rPr>
                <w:rFonts w:ascii="Times New Roman"/>
                <w:spacing w:val="-10"/>
                <w:sz w:val="21"/>
              </w:rPr>
              <w:t>T</w:t>
            </w:r>
          </w:p>
        </w:tc>
        <w:tc>
          <w:tcPr>
            <w:tcW w:w="977" w:type="dxa"/>
            <w:shd w:val="clear" w:color="auto" w:fill="DBDBDB"/>
          </w:tcPr>
          <w:p>
            <w:pPr>
              <w:pStyle w:val="TableParagraph"/>
              <w:rPr>
                <w:rFonts w:ascii="Times New Roman"/>
                <w:sz w:val="20"/>
              </w:rPr>
            </w:pPr>
          </w:p>
        </w:tc>
        <w:tc>
          <w:tcPr>
            <w:tcW w:w="1127" w:type="dxa"/>
            <w:shd w:val="clear" w:color="auto" w:fill="DBDBDB"/>
          </w:tcPr>
          <w:p>
            <w:pPr>
              <w:pStyle w:val="TableParagraph"/>
              <w:rPr>
                <w:rFonts w:ascii="Times New Roman"/>
                <w:sz w:val="20"/>
              </w:rPr>
            </w:pPr>
          </w:p>
        </w:tc>
        <w:tc>
          <w:tcPr>
            <w:tcW w:w="1413" w:type="dxa"/>
            <w:shd w:val="clear" w:color="auto" w:fill="DBDBDB"/>
          </w:tcPr>
          <w:p>
            <w:pPr>
              <w:pStyle w:val="TableParagraph"/>
              <w:rPr>
                <w:rFonts w:ascii="Times New Roman"/>
                <w:sz w:val="20"/>
              </w:rPr>
            </w:pPr>
          </w:p>
        </w:tc>
        <w:tc>
          <w:tcPr>
            <w:tcW w:w="1176" w:type="dxa"/>
            <w:vMerge/>
            <w:tcBorders>
              <w:top w:val="nil"/>
            </w:tcBorders>
            <w:shd w:val="clear" w:color="auto" w:fill="DBDBDB"/>
          </w:tcPr>
          <w:p>
            <w:pPr>
              <w:rPr>
                <w:sz w:val="2"/>
                <w:szCs w:val="2"/>
              </w:rPr>
            </w:pPr>
          </w:p>
        </w:tc>
      </w:tr>
      <w:tr>
        <w:trPr>
          <w:trHeight w:val="897" w:hRule="atLeast"/>
        </w:trPr>
        <w:tc>
          <w:tcPr>
            <w:tcW w:w="1983" w:type="dxa"/>
          </w:tcPr>
          <w:p>
            <w:pPr>
              <w:pStyle w:val="TableParagraph"/>
              <w:spacing w:before="38"/>
              <w:rPr>
                <w:b/>
                <w:sz w:val="21"/>
              </w:rPr>
            </w:pPr>
          </w:p>
          <w:p>
            <w:pPr>
              <w:pStyle w:val="TableParagraph"/>
              <w:ind w:left="464"/>
              <w:rPr>
                <w:b/>
                <w:sz w:val="21"/>
              </w:rPr>
            </w:pPr>
            <w:r>
              <w:rPr>
                <w:b/>
                <w:spacing w:val="-4"/>
                <w:sz w:val="21"/>
              </w:rPr>
              <w:t>访视时间窗</w:t>
            </w:r>
          </w:p>
        </w:tc>
        <w:tc>
          <w:tcPr>
            <w:tcW w:w="1419" w:type="dxa"/>
          </w:tcPr>
          <w:p>
            <w:pPr>
              <w:pStyle w:val="TableParagraph"/>
              <w:spacing w:before="38"/>
              <w:ind w:left="179" w:right="169" w:firstLine="3"/>
              <w:jc w:val="both"/>
              <w:rPr>
                <w:rFonts w:ascii="Times New Roman" w:eastAsia="Times New Roman"/>
                <w:sz w:val="21"/>
              </w:rPr>
            </w:pPr>
            <w:r>
              <w:rPr>
                <w:spacing w:val="-2"/>
                <w:sz w:val="21"/>
              </w:rPr>
              <w:t>访视日与前身研究的访</w:t>
            </w:r>
            <w:r>
              <w:rPr>
                <w:spacing w:val="-27"/>
                <w:sz w:val="21"/>
              </w:rPr>
              <w:t>视 </w:t>
            </w:r>
            <w:r>
              <w:rPr>
                <w:rFonts w:ascii="Times New Roman" w:eastAsia="Times New Roman"/>
                <w:sz w:val="21"/>
              </w:rPr>
              <w:t>15</w:t>
            </w:r>
            <w:r>
              <w:rPr>
                <w:rFonts w:ascii="Times New Roman" w:eastAsia="Times New Roman"/>
                <w:spacing w:val="-10"/>
                <w:sz w:val="21"/>
              </w:rPr>
              <w:t> </w:t>
            </w:r>
            <w:r>
              <w:rPr>
                <w:spacing w:val="25"/>
                <w:sz w:val="21"/>
              </w:rPr>
              <w:t>相同</w:t>
            </w:r>
            <w:r>
              <w:rPr>
                <w:rFonts w:ascii="Times New Roman" w:eastAsia="Times New Roman"/>
                <w:spacing w:val="-10"/>
                <w:sz w:val="21"/>
                <w:vertAlign w:val="superscript"/>
              </w:rPr>
              <w:t>b</w:t>
            </w:r>
          </w:p>
        </w:tc>
        <w:tc>
          <w:tcPr>
            <w:tcW w:w="7963" w:type="dxa"/>
            <w:gridSpan w:val="8"/>
          </w:tcPr>
          <w:p>
            <w:pPr>
              <w:pStyle w:val="TableParagraph"/>
              <w:spacing w:before="38"/>
              <w:rPr>
                <w:b/>
                <w:sz w:val="21"/>
              </w:rPr>
            </w:pPr>
          </w:p>
          <w:p>
            <w:pPr>
              <w:pStyle w:val="TableParagraph"/>
              <w:ind w:left="1"/>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413" w:type="dxa"/>
          </w:tcPr>
          <w:p>
            <w:pPr>
              <w:pStyle w:val="TableParagraph"/>
              <w:spacing w:before="38"/>
              <w:rPr>
                <w:b/>
                <w:sz w:val="21"/>
              </w:rPr>
            </w:pPr>
          </w:p>
          <w:p>
            <w:pPr>
              <w:pStyle w:val="TableParagraph"/>
              <w:jc w:val="center"/>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1176" w:type="dxa"/>
            <w:vMerge/>
            <w:tcBorders>
              <w:top w:val="nil"/>
            </w:tcBorders>
            <w:shd w:val="clear" w:color="auto" w:fill="DBDBDB"/>
          </w:tcPr>
          <w:p>
            <w:pPr>
              <w:rPr>
                <w:sz w:val="2"/>
                <w:szCs w:val="2"/>
              </w:rPr>
            </w:pPr>
          </w:p>
        </w:tc>
      </w:tr>
      <w:tr>
        <w:trPr>
          <w:trHeight w:val="593" w:hRule="atLeast"/>
        </w:trPr>
        <w:tc>
          <w:tcPr>
            <w:tcW w:w="1983" w:type="dxa"/>
          </w:tcPr>
          <w:p>
            <w:pPr>
              <w:pStyle w:val="TableParagraph"/>
              <w:spacing w:before="159"/>
              <w:ind w:left="107"/>
              <w:rPr>
                <w:sz w:val="21"/>
              </w:rPr>
            </w:pPr>
            <w:r>
              <w:rPr>
                <w:spacing w:val="-3"/>
                <w:sz w:val="21"/>
              </w:rPr>
              <w:t>吸氧状态</w:t>
            </w:r>
          </w:p>
        </w:tc>
        <w:tc>
          <w:tcPr>
            <w:tcW w:w="1419" w:type="dxa"/>
          </w:tcPr>
          <w:p>
            <w:pPr>
              <w:pStyle w:val="TableParagraph"/>
              <w:spacing w:line="240" w:lineRule="exact" w:before="40"/>
              <w:ind w:left="505"/>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e</w:t>
            </w:r>
          </w:p>
          <w:p>
            <w:pPr>
              <w:pStyle w:val="TableParagraph"/>
              <w:spacing w:line="272" w:lineRule="exact"/>
              <w:ind w:left="210"/>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977" w:type="dxa"/>
          </w:tcPr>
          <w:p>
            <w:pPr>
              <w:pStyle w:val="TableParagraph"/>
              <w:spacing w:before="177"/>
              <w:ind w:left="6" w:right="1"/>
              <w:jc w:val="center"/>
              <w:rPr>
                <w:rFonts w:ascii="Times New Roman"/>
                <w:sz w:val="21"/>
              </w:rPr>
            </w:pPr>
            <w:r>
              <w:rPr>
                <w:rFonts w:ascii="Times New Roman"/>
                <w:spacing w:val="-10"/>
                <w:sz w:val="21"/>
              </w:rPr>
              <w:t>X</w:t>
            </w:r>
          </w:p>
        </w:tc>
        <w:tc>
          <w:tcPr>
            <w:tcW w:w="976" w:type="dxa"/>
          </w:tcPr>
          <w:p>
            <w:pPr>
              <w:pStyle w:val="TableParagraph"/>
              <w:spacing w:before="177"/>
              <w:ind w:left="7" w:right="1"/>
              <w:jc w:val="center"/>
              <w:rPr>
                <w:rFonts w:ascii="Times New Roman"/>
                <w:sz w:val="21"/>
              </w:rPr>
            </w:pPr>
            <w:r>
              <w:rPr>
                <w:rFonts w:ascii="Times New Roman"/>
                <w:spacing w:val="-10"/>
                <w:sz w:val="21"/>
              </w:rPr>
              <w:t>X</w:t>
            </w: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spacing w:before="177"/>
              <w:ind w:left="4" w:right="2"/>
              <w:jc w:val="center"/>
              <w:rPr>
                <w:rFonts w:ascii="Times New Roman"/>
                <w:sz w:val="21"/>
              </w:rPr>
            </w:pPr>
            <w:r>
              <w:rPr>
                <w:rFonts w:ascii="Times New Roman"/>
                <w:spacing w:val="-10"/>
                <w:sz w:val="21"/>
              </w:rPr>
              <w:t>X</w:t>
            </w:r>
          </w:p>
        </w:tc>
        <w:tc>
          <w:tcPr>
            <w:tcW w:w="976" w:type="dxa"/>
          </w:tcPr>
          <w:p>
            <w:pPr>
              <w:pStyle w:val="TableParagraph"/>
              <w:spacing w:before="177"/>
              <w:ind w:left="7" w:right="4"/>
              <w:jc w:val="center"/>
              <w:rPr>
                <w:rFonts w:ascii="Times New Roman"/>
                <w:sz w:val="21"/>
              </w:rPr>
            </w:pPr>
            <w:r>
              <w:rPr>
                <w:rFonts w:ascii="Times New Roman"/>
                <w:spacing w:val="-10"/>
                <w:sz w:val="21"/>
              </w:rPr>
              <w:t>X</w:t>
            </w:r>
          </w:p>
        </w:tc>
        <w:tc>
          <w:tcPr>
            <w:tcW w:w="976" w:type="dxa"/>
          </w:tcPr>
          <w:p>
            <w:pPr>
              <w:pStyle w:val="TableParagraph"/>
              <w:spacing w:before="177"/>
              <w:ind w:left="7" w:right="5"/>
              <w:jc w:val="center"/>
              <w:rPr>
                <w:rFonts w:ascii="Times New Roman"/>
                <w:sz w:val="21"/>
              </w:rPr>
            </w:pPr>
            <w:r>
              <w:rPr>
                <w:rFonts w:ascii="Times New Roman"/>
                <w:spacing w:val="-10"/>
                <w:sz w:val="21"/>
              </w:rPr>
              <w:t>X</w:t>
            </w: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rPr>
                <w:rFonts w:ascii="Times New Roman"/>
                <w:sz w:val="20"/>
              </w:rPr>
            </w:pP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86">
              <w:r>
                <w:rPr>
                  <w:rFonts w:ascii="Times New Roman"/>
                  <w:color w:val="0000FF"/>
                  <w:spacing w:val="-2"/>
                  <w:sz w:val="21"/>
                </w:rPr>
                <w:t>8.2.1</w:t>
              </w:r>
            </w:hyperlink>
          </w:p>
        </w:tc>
      </w:tr>
      <w:tr>
        <w:trPr>
          <w:trHeight w:val="624" w:hRule="atLeast"/>
        </w:trPr>
        <w:tc>
          <w:tcPr>
            <w:tcW w:w="1983" w:type="dxa"/>
          </w:tcPr>
          <w:p>
            <w:pPr>
              <w:pStyle w:val="TableParagraph"/>
              <w:spacing w:before="38"/>
              <w:ind w:left="107" w:right="210"/>
              <w:rPr>
                <w:sz w:val="21"/>
              </w:rPr>
            </w:pPr>
            <w:r>
              <w:rPr>
                <w:rFonts w:ascii="Times New Roman" w:eastAsia="Times New Roman"/>
                <w:spacing w:val="-2"/>
                <w:sz w:val="21"/>
              </w:rPr>
              <w:t>COPD</w:t>
            </w:r>
            <w:r>
              <w:rPr>
                <w:rFonts w:ascii="Times New Roman" w:eastAsia="Times New Roman"/>
                <w:spacing w:val="-12"/>
                <w:sz w:val="21"/>
              </w:rPr>
              <w:t> </w:t>
            </w:r>
            <w:r>
              <w:rPr>
                <w:spacing w:val="-2"/>
                <w:sz w:val="21"/>
              </w:rPr>
              <w:t>急性加重评</w:t>
            </w:r>
            <w:r>
              <w:rPr>
                <w:spacing w:val="-10"/>
                <w:sz w:val="21"/>
              </w:rPr>
              <w:t>价</w:t>
            </w:r>
          </w:p>
        </w:tc>
        <w:tc>
          <w:tcPr>
            <w:tcW w:w="1419" w:type="dxa"/>
          </w:tcPr>
          <w:p>
            <w:pPr>
              <w:pStyle w:val="TableParagraph"/>
              <w:spacing w:line="240" w:lineRule="exact" w:before="55"/>
              <w:ind w:left="505"/>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e</w:t>
            </w:r>
          </w:p>
          <w:p>
            <w:pPr>
              <w:pStyle w:val="TableParagraph"/>
              <w:spacing w:line="272" w:lineRule="exact"/>
              <w:ind w:left="210"/>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977" w:type="dxa"/>
          </w:tcPr>
          <w:p>
            <w:pPr>
              <w:pStyle w:val="TableParagraph"/>
              <w:spacing w:before="192"/>
              <w:ind w:left="6" w:right="1"/>
              <w:jc w:val="center"/>
              <w:rPr>
                <w:rFonts w:ascii="Times New Roman"/>
                <w:sz w:val="21"/>
              </w:rPr>
            </w:pPr>
            <w:r>
              <w:rPr>
                <w:rFonts w:ascii="Times New Roman"/>
                <w:spacing w:val="-10"/>
                <w:sz w:val="21"/>
              </w:rPr>
              <w:t>X</w:t>
            </w:r>
          </w:p>
        </w:tc>
        <w:tc>
          <w:tcPr>
            <w:tcW w:w="976" w:type="dxa"/>
          </w:tcPr>
          <w:p>
            <w:pPr>
              <w:pStyle w:val="TableParagraph"/>
              <w:spacing w:before="192"/>
              <w:ind w:left="7" w:right="1"/>
              <w:jc w:val="center"/>
              <w:rPr>
                <w:rFonts w:ascii="Times New Roman"/>
                <w:sz w:val="21"/>
              </w:rPr>
            </w:pPr>
            <w:r>
              <w:rPr>
                <w:rFonts w:ascii="Times New Roman"/>
                <w:spacing w:val="-10"/>
                <w:sz w:val="21"/>
              </w:rPr>
              <w:t>X</w:t>
            </w:r>
          </w:p>
        </w:tc>
        <w:tc>
          <w:tcPr>
            <w:tcW w:w="976" w:type="dxa"/>
          </w:tcPr>
          <w:p>
            <w:pPr>
              <w:pStyle w:val="TableParagraph"/>
              <w:spacing w:before="192"/>
              <w:ind w:left="7" w:right="2"/>
              <w:jc w:val="center"/>
              <w:rPr>
                <w:rFonts w:ascii="Times New Roman"/>
                <w:sz w:val="21"/>
              </w:rPr>
            </w:pPr>
            <w:r>
              <w:rPr>
                <w:rFonts w:ascii="Times New Roman"/>
                <w:spacing w:val="-10"/>
                <w:sz w:val="21"/>
              </w:rPr>
              <w:t>X</w:t>
            </w:r>
          </w:p>
        </w:tc>
        <w:tc>
          <w:tcPr>
            <w:tcW w:w="978" w:type="dxa"/>
          </w:tcPr>
          <w:p>
            <w:pPr>
              <w:pStyle w:val="TableParagraph"/>
              <w:spacing w:before="192"/>
              <w:ind w:left="4" w:right="2"/>
              <w:jc w:val="center"/>
              <w:rPr>
                <w:rFonts w:ascii="Times New Roman"/>
                <w:sz w:val="21"/>
              </w:rPr>
            </w:pPr>
            <w:r>
              <w:rPr>
                <w:rFonts w:ascii="Times New Roman"/>
                <w:spacing w:val="-10"/>
                <w:sz w:val="21"/>
              </w:rPr>
              <w:t>X</w:t>
            </w:r>
          </w:p>
        </w:tc>
        <w:tc>
          <w:tcPr>
            <w:tcW w:w="976" w:type="dxa"/>
          </w:tcPr>
          <w:p>
            <w:pPr>
              <w:pStyle w:val="TableParagraph"/>
              <w:spacing w:before="192"/>
              <w:ind w:left="7" w:right="4"/>
              <w:jc w:val="center"/>
              <w:rPr>
                <w:rFonts w:ascii="Times New Roman"/>
                <w:sz w:val="21"/>
              </w:rPr>
            </w:pPr>
            <w:r>
              <w:rPr>
                <w:rFonts w:ascii="Times New Roman"/>
                <w:spacing w:val="-10"/>
                <w:sz w:val="21"/>
              </w:rPr>
              <w:t>X</w:t>
            </w:r>
          </w:p>
        </w:tc>
        <w:tc>
          <w:tcPr>
            <w:tcW w:w="976" w:type="dxa"/>
          </w:tcPr>
          <w:p>
            <w:pPr>
              <w:pStyle w:val="TableParagraph"/>
              <w:spacing w:before="192"/>
              <w:ind w:left="7" w:right="5"/>
              <w:jc w:val="center"/>
              <w:rPr>
                <w:rFonts w:ascii="Times New Roman"/>
                <w:sz w:val="21"/>
              </w:rPr>
            </w:pPr>
            <w:r>
              <w:rPr>
                <w:rFonts w:ascii="Times New Roman"/>
                <w:spacing w:val="-10"/>
                <w:sz w:val="21"/>
              </w:rPr>
              <w:t>X</w:t>
            </w:r>
          </w:p>
        </w:tc>
        <w:tc>
          <w:tcPr>
            <w:tcW w:w="977" w:type="dxa"/>
          </w:tcPr>
          <w:p>
            <w:pPr>
              <w:pStyle w:val="TableParagraph"/>
              <w:spacing w:before="192"/>
              <w:ind w:left="6" w:right="6"/>
              <w:jc w:val="center"/>
              <w:rPr>
                <w:rFonts w:ascii="Times New Roman"/>
                <w:sz w:val="21"/>
              </w:rPr>
            </w:pPr>
            <w:r>
              <w:rPr>
                <w:rFonts w:ascii="Times New Roman"/>
                <w:spacing w:val="-10"/>
                <w:sz w:val="21"/>
              </w:rPr>
              <w:t>X</w:t>
            </w:r>
          </w:p>
        </w:tc>
        <w:tc>
          <w:tcPr>
            <w:tcW w:w="1127" w:type="dxa"/>
          </w:tcPr>
          <w:p>
            <w:pPr>
              <w:pStyle w:val="TableParagraph"/>
              <w:spacing w:before="192"/>
              <w:ind w:left="3" w:right="2"/>
              <w:jc w:val="center"/>
              <w:rPr>
                <w:rFonts w:ascii="Times New Roman"/>
                <w:sz w:val="21"/>
              </w:rPr>
            </w:pPr>
            <w:r>
              <w:rPr>
                <w:rFonts w:ascii="Times New Roman"/>
                <w:spacing w:val="-10"/>
                <w:sz w:val="21"/>
              </w:rPr>
              <w:t>X</w:t>
            </w:r>
          </w:p>
        </w:tc>
        <w:tc>
          <w:tcPr>
            <w:tcW w:w="1413" w:type="dxa"/>
          </w:tcPr>
          <w:p>
            <w:pPr>
              <w:pStyle w:val="TableParagraph"/>
              <w:spacing w:before="192"/>
              <w:jc w:val="center"/>
              <w:rPr>
                <w:rFonts w:ascii="Times New Roman"/>
                <w:sz w:val="21"/>
              </w:rPr>
            </w:pPr>
            <w:r>
              <w:rPr>
                <w:rFonts w:ascii="Times New Roman"/>
                <w:spacing w:val="-10"/>
                <w:sz w:val="21"/>
              </w:rPr>
              <w:t>X</w:t>
            </w:r>
          </w:p>
        </w:tc>
        <w:tc>
          <w:tcPr>
            <w:tcW w:w="1176" w:type="dxa"/>
          </w:tcPr>
          <w:p>
            <w:pPr>
              <w:pStyle w:val="TableParagraph"/>
              <w:spacing w:before="192"/>
              <w:ind w:left="3" w:right="1"/>
              <w:jc w:val="center"/>
              <w:rPr>
                <w:rFonts w:ascii="Times New Roman"/>
                <w:sz w:val="21"/>
              </w:rPr>
            </w:pPr>
            <w:hyperlink w:history="true" w:anchor="_bookmark81">
              <w:r>
                <w:rPr>
                  <w:rFonts w:ascii="Times New Roman"/>
                  <w:color w:val="0000FF"/>
                  <w:spacing w:val="-2"/>
                  <w:sz w:val="21"/>
                </w:rPr>
                <w:t>8.1.1</w:t>
              </w:r>
            </w:hyperlink>
          </w:p>
        </w:tc>
      </w:tr>
      <w:tr>
        <w:trPr>
          <w:trHeight w:val="593" w:hRule="atLeast"/>
        </w:trPr>
        <w:tc>
          <w:tcPr>
            <w:tcW w:w="1983" w:type="dxa"/>
          </w:tcPr>
          <w:p>
            <w:pPr>
              <w:pStyle w:val="TableParagraph"/>
              <w:spacing w:before="177"/>
              <w:ind w:left="107"/>
              <w:rPr>
                <w:rFonts w:ascii="Times New Roman"/>
                <w:sz w:val="21"/>
              </w:rPr>
            </w:pPr>
            <w:r>
              <w:rPr>
                <w:rFonts w:ascii="Times New Roman"/>
                <w:spacing w:val="-5"/>
                <w:sz w:val="21"/>
              </w:rPr>
              <w:t>HRU</w:t>
            </w:r>
          </w:p>
        </w:tc>
        <w:tc>
          <w:tcPr>
            <w:tcW w:w="1419" w:type="dxa"/>
          </w:tcPr>
          <w:p>
            <w:pPr>
              <w:pStyle w:val="TableParagraph"/>
              <w:spacing w:line="240" w:lineRule="exact" w:before="40"/>
              <w:ind w:left="505"/>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e</w:t>
            </w:r>
          </w:p>
          <w:p>
            <w:pPr>
              <w:pStyle w:val="TableParagraph"/>
              <w:spacing w:line="272" w:lineRule="exact"/>
              <w:ind w:left="210"/>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977" w:type="dxa"/>
          </w:tcPr>
          <w:p>
            <w:pPr>
              <w:pStyle w:val="TableParagraph"/>
              <w:spacing w:before="177"/>
              <w:ind w:left="6" w:right="1"/>
              <w:jc w:val="center"/>
              <w:rPr>
                <w:rFonts w:ascii="Times New Roman"/>
                <w:sz w:val="21"/>
              </w:rPr>
            </w:pPr>
            <w:r>
              <w:rPr>
                <w:rFonts w:ascii="Times New Roman"/>
                <w:spacing w:val="-10"/>
                <w:sz w:val="21"/>
              </w:rPr>
              <w:t>X</w:t>
            </w:r>
          </w:p>
        </w:tc>
        <w:tc>
          <w:tcPr>
            <w:tcW w:w="976" w:type="dxa"/>
          </w:tcPr>
          <w:p>
            <w:pPr>
              <w:pStyle w:val="TableParagraph"/>
              <w:spacing w:before="177"/>
              <w:ind w:left="7" w:right="1"/>
              <w:jc w:val="center"/>
              <w:rPr>
                <w:rFonts w:ascii="Times New Roman"/>
                <w:sz w:val="21"/>
              </w:rPr>
            </w:pPr>
            <w:r>
              <w:rPr>
                <w:rFonts w:ascii="Times New Roman"/>
                <w:spacing w:val="-10"/>
                <w:sz w:val="21"/>
              </w:rPr>
              <w:t>X</w:t>
            </w: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spacing w:before="177"/>
              <w:ind w:left="4" w:right="2"/>
              <w:jc w:val="center"/>
              <w:rPr>
                <w:rFonts w:ascii="Times New Roman"/>
                <w:sz w:val="21"/>
              </w:rPr>
            </w:pPr>
            <w:r>
              <w:rPr>
                <w:rFonts w:ascii="Times New Roman"/>
                <w:spacing w:val="-10"/>
                <w:sz w:val="21"/>
              </w:rPr>
              <w:t>X</w:t>
            </w:r>
          </w:p>
        </w:tc>
        <w:tc>
          <w:tcPr>
            <w:tcW w:w="976" w:type="dxa"/>
          </w:tcPr>
          <w:p>
            <w:pPr>
              <w:pStyle w:val="TableParagraph"/>
              <w:spacing w:before="177"/>
              <w:ind w:left="7" w:right="4"/>
              <w:jc w:val="center"/>
              <w:rPr>
                <w:rFonts w:ascii="Times New Roman"/>
                <w:sz w:val="21"/>
              </w:rPr>
            </w:pPr>
            <w:r>
              <w:rPr>
                <w:rFonts w:ascii="Times New Roman"/>
                <w:spacing w:val="-10"/>
                <w:sz w:val="21"/>
              </w:rPr>
              <w:t>X</w:t>
            </w:r>
          </w:p>
        </w:tc>
        <w:tc>
          <w:tcPr>
            <w:tcW w:w="976" w:type="dxa"/>
          </w:tcPr>
          <w:p>
            <w:pPr>
              <w:pStyle w:val="TableParagraph"/>
              <w:spacing w:before="177"/>
              <w:ind w:left="7" w:right="5"/>
              <w:jc w:val="center"/>
              <w:rPr>
                <w:rFonts w:ascii="Times New Roman"/>
                <w:sz w:val="21"/>
              </w:rPr>
            </w:pPr>
            <w:r>
              <w:rPr>
                <w:rFonts w:ascii="Times New Roman"/>
                <w:spacing w:val="-10"/>
                <w:sz w:val="21"/>
              </w:rPr>
              <w:t>X</w:t>
            </w: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rPr>
                <w:rFonts w:ascii="Times New Roman"/>
                <w:sz w:val="20"/>
              </w:rPr>
            </w:pP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jc w:val="center"/>
              <w:rPr>
                <w:rFonts w:ascii="Times New Roman"/>
                <w:sz w:val="21"/>
              </w:rPr>
            </w:pPr>
            <w:hyperlink w:history="true" w:anchor="_bookmark125">
              <w:r>
                <w:rPr>
                  <w:rFonts w:ascii="Times New Roman"/>
                  <w:color w:val="0000FF"/>
                  <w:spacing w:val="-5"/>
                  <w:sz w:val="21"/>
                </w:rPr>
                <w:t>8.7</w:t>
              </w:r>
            </w:hyperlink>
          </w:p>
        </w:tc>
      </w:tr>
      <w:tr>
        <w:trPr>
          <w:trHeight w:val="322" w:hRule="atLeast"/>
        </w:trPr>
        <w:tc>
          <w:tcPr>
            <w:tcW w:w="1983" w:type="dxa"/>
          </w:tcPr>
          <w:p>
            <w:pPr>
              <w:pStyle w:val="TableParagraph"/>
              <w:spacing w:before="26"/>
              <w:ind w:left="107"/>
              <w:rPr>
                <w:rFonts w:ascii="Times New Roman"/>
                <w:sz w:val="14"/>
              </w:rPr>
            </w:pPr>
            <w:r>
              <w:rPr>
                <w:rFonts w:ascii="Times New Roman"/>
                <w:position w:val="-7"/>
                <w:sz w:val="21"/>
              </w:rPr>
              <w:t>CT </w:t>
            </w:r>
            <w:r>
              <w:rPr>
                <w:rFonts w:ascii="Times New Roman"/>
                <w:sz w:val="14"/>
              </w:rPr>
              <w:t>f,</w:t>
            </w:r>
            <w:r>
              <w:rPr>
                <w:rFonts w:ascii="Times New Roman"/>
                <w:spacing w:val="-1"/>
                <w:sz w:val="14"/>
              </w:rPr>
              <w:t> </w:t>
            </w:r>
            <w:r>
              <w:rPr>
                <w:rFonts w:ascii="Times New Roman"/>
                <w:spacing w:val="-10"/>
                <w:sz w:val="14"/>
              </w:rPr>
              <w:t>g</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41"/>
              <w:ind w:left="6" w:right="6"/>
              <w:jc w:val="center"/>
              <w:rPr>
                <w:rFonts w:ascii="Times New Roman"/>
                <w:sz w:val="21"/>
              </w:rPr>
            </w:pPr>
            <w:r>
              <w:rPr>
                <w:rFonts w:ascii="Times New Roman"/>
                <w:spacing w:val="-10"/>
                <w:sz w:val="21"/>
              </w:rPr>
              <w:t>X</w:t>
            </w:r>
          </w:p>
        </w:tc>
        <w:tc>
          <w:tcPr>
            <w:tcW w:w="1127" w:type="dxa"/>
          </w:tcPr>
          <w:p>
            <w:pPr>
              <w:pStyle w:val="TableParagraph"/>
              <w:rPr>
                <w:rFonts w:ascii="Times New Roman"/>
                <w:sz w:val="20"/>
              </w:rPr>
            </w:pPr>
          </w:p>
        </w:tc>
        <w:tc>
          <w:tcPr>
            <w:tcW w:w="1413" w:type="dxa"/>
          </w:tcPr>
          <w:p>
            <w:pPr>
              <w:pStyle w:val="TableParagraph"/>
              <w:spacing w:before="41"/>
              <w:jc w:val="center"/>
              <w:rPr>
                <w:rFonts w:ascii="Times New Roman"/>
                <w:sz w:val="21"/>
              </w:rPr>
            </w:pPr>
            <w:r>
              <w:rPr>
                <w:rFonts w:ascii="Times New Roman"/>
                <w:spacing w:val="-10"/>
                <w:sz w:val="21"/>
              </w:rPr>
              <w:t>X</w:t>
            </w:r>
          </w:p>
        </w:tc>
        <w:tc>
          <w:tcPr>
            <w:tcW w:w="1176" w:type="dxa"/>
          </w:tcPr>
          <w:p>
            <w:pPr>
              <w:pStyle w:val="TableParagraph"/>
              <w:spacing w:before="41"/>
              <w:ind w:left="3" w:right="1"/>
              <w:jc w:val="center"/>
              <w:rPr>
                <w:rFonts w:ascii="Times New Roman"/>
                <w:sz w:val="21"/>
              </w:rPr>
            </w:pPr>
            <w:hyperlink w:history="true" w:anchor="_bookmark84">
              <w:r>
                <w:rPr>
                  <w:rFonts w:ascii="Times New Roman"/>
                  <w:color w:val="0000FF"/>
                  <w:spacing w:val="-2"/>
                  <w:sz w:val="21"/>
                </w:rPr>
                <w:t>8.1.4</w:t>
              </w:r>
            </w:hyperlink>
          </w:p>
        </w:tc>
      </w:tr>
      <w:tr>
        <w:trPr>
          <w:trHeight w:val="623" w:hRule="atLeast"/>
        </w:trPr>
        <w:tc>
          <w:tcPr>
            <w:tcW w:w="1983" w:type="dxa"/>
          </w:tcPr>
          <w:p>
            <w:pPr>
              <w:pStyle w:val="TableParagraph"/>
              <w:spacing w:before="36"/>
              <w:ind w:left="107" w:right="269"/>
              <w:rPr>
                <w:rFonts w:ascii="Times New Roman" w:eastAsia="Times New Roman"/>
                <w:sz w:val="21"/>
              </w:rPr>
            </w:pPr>
            <w:r>
              <w:rPr>
                <w:rFonts w:ascii="Times New Roman" w:eastAsia="Times New Roman"/>
                <w:spacing w:val="-2"/>
                <w:sz w:val="21"/>
              </w:rPr>
              <w:t>BD</w:t>
            </w:r>
            <w:r>
              <w:rPr>
                <w:rFonts w:ascii="Times New Roman" w:eastAsia="Times New Roman"/>
                <w:spacing w:val="-12"/>
                <w:sz w:val="21"/>
              </w:rPr>
              <w:t> </w:t>
            </w:r>
            <w:r>
              <w:rPr>
                <w:spacing w:val="-2"/>
                <w:sz w:val="21"/>
              </w:rPr>
              <w:t>给药前肺量计</w:t>
            </w:r>
            <w:r>
              <w:rPr>
                <w:spacing w:val="-15"/>
                <w:sz w:val="21"/>
              </w:rPr>
              <w:t>测定 </w:t>
            </w:r>
            <w:r>
              <w:rPr>
                <w:rFonts w:ascii="Times New Roman" w:eastAsia="Times New Roman"/>
                <w:sz w:val="21"/>
                <w:vertAlign w:val="superscript"/>
              </w:rPr>
              <w:t>g</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91"/>
              <w:ind w:left="6" w:right="6"/>
              <w:jc w:val="center"/>
              <w:rPr>
                <w:rFonts w:ascii="Times New Roman"/>
                <w:sz w:val="21"/>
              </w:rPr>
            </w:pPr>
            <w:r>
              <w:rPr>
                <w:rFonts w:ascii="Times New Roman"/>
                <w:spacing w:val="-10"/>
                <w:sz w:val="21"/>
              </w:rPr>
              <w:t>X</w:t>
            </w:r>
          </w:p>
        </w:tc>
        <w:tc>
          <w:tcPr>
            <w:tcW w:w="1127" w:type="dxa"/>
          </w:tcPr>
          <w:p>
            <w:pPr>
              <w:pStyle w:val="TableParagraph"/>
              <w:rPr>
                <w:rFonts w:ascii="Times New Roman"/>
                <w:sz w:val="20"/>
              </w:rPr>
            </w:pPr>
          </w:p>
        </w:tc>
        <w:tc>
          <w:tcPr>
            <w:tcW w:w="1413" w:type="dxa"/>
          </w:tcPr>
          <w:p>
            <w:pPr>
              <w:pStyle w:val="TableParagraph"/>
              <w:spacing w:before="191"/>
              <w:jc w:val="center"/>
              <w:rPr>
                <w:rFonts w:ascii="Times New Roman"/>
                <w:sz w:val="21"/>
              </w:rPr>
            </w:pPr>
            <w:r>
              <w:rPr>
                <w:rFonts w:ascii="Times New Roman"/>
                <w:spacing w:val="-10"/>
                <w:sz w:val="21"/>
              </w:rPr>
              <w:t>X</w:t>
            </w:r>
          </w:p>
        </w:tc>
        <w:tc>
          <w:tcPr>
            <w:tcW w:w="1176" w:type="dxa"/>
          </w:tcPr>
          <w:p>
            <w:pPr>
              <w:pStyle w:val="TableParagraph"/>
              <w:spacing w:before="52"/>
              <w:ind w:left="269"/>
              <w:rPr>
                <w:sz w:val="21"/>
              </w:rPr>
            </w:pPr>
            <w:hyperlink w:history="true" w:anchor="_bookmark83">
              <w:r>
                <w:rPr>
                  <w:rFonts w:ascii="Times New Roman" w:eastAsia="Times New Roman"/>
                  <w:color w:val="0000FF"/>
                  <w:sz w:val="21"/>
                </w:rPr>
                <w:t>8.1.3</w:t>
              </w:r>
            </w:hyperlink>
            <w:r>
              <w:rPr>
                <w:color w:val="0000FF"/>
                <w:spacing w:val="-10"/>
                <w:sz w:val="21"/>
              </w:rPr>
              <w:t>、</w:t>
            </w:r>
          </w:p>
          <w:p>
            <w:pPr>
              <w:pStyle w:val="TableParagraph"/>
              <w:spacing w:before="3"/>
              <w:ind w:left="373"/>
              <w:rPr>
                <w:rFonts w:ascii="Times New Roman"/>
                <w:sz w:val="21"/>
              </w:rPr>
            </w:pPr>
            <w:hyperlink w:history="true" w:anchor="_bookmark67">
              <w:r>
                <w:rPr>
                  <w:rFonts w:ascii="Times New Roman"/>
                  <w:color w:val="0000FF"/>
                  <w:spacing w:val="-2"/>
                  <w:sz w:val="21"/>
                </w:rPr>
                <w:t>6.5.3</w:t>
              </w:r>
            </w:hyperlink>
          </w:p>
        </w:tc>
      </w:tr>
      <w:tr>
        <w:trPr>
          <w:trHeight w:val="624" w:hRule="atLeast"/>
        </w:trPr>
        <w:tc>
          <w:tcPr>
            <w:tcW w:w="1983" w:type="dxa"/>
          </w:tcPr>
          <w:p>
            <w:pPr>
              <w:pStyle w:val="TableParagraph"/>
              <w:spacing w:before="38"/>
              <w:ind w:left="107" w:right="269"/>
              <w:rPr>
                <w:rFonts w:ascii="Times New Roman" w:eastAsia="Times New Roman"/>
                <w:sz w:val="14"/>
              </w:rPr>
            </w:pPr>
            <w:r>
              <w:rPr>
                <w:rFonts w:ascii="Times New Roman" w:eastAsia="Times New Roman"/>
                <w:spacing w:val="-2"/>
                <w:sz w:val="21"/>
              </w:rPr>
              <w:t>BD</w:t>
            </w:r>
            <w:r>
              <w:rPr>
                <w:rFonts w:ascii="Times New Roman" w:eastAsia="Times New Roman"/>
                <w:spacing w:val="-12"/>
                <w:sz w:val="21"/>
              </w:rPr>
              <w:t> </w:t>
            </w:r>
            <w:r>
              <w:rPr>
                <w:spacing w:val="-2"/>
                <w:sz w:val="21"/>
              </w:rPr>
              <w:t>给药后肺量计</w:t>
            </w:r>
            <w:r>
              <w:rPr>
                <w:spacing w:val="-9"/>
                <w:position w:val="-7"/>
                <w:sz w:val="21"/>
              </w:rPr>
              <w:t>测定 </w:t>
            </w:r>
            <w:r>
              <w:rPr>
                <w:rFonts w:ascii="Times New Roman" w:eastAsia="Times New Roman"/>
                <w:sz w:val="14"/>
              </w:rPr>
              <w:t>g, h</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92"/>
              <w:ind w:left="6" w:right="6"/>
              <w:jc w:val="center"/>
              <w:rPr>
                <w:rFonts w:ascii="Times New Roman"/>
                <w:sz w:val="21"/>
              </w:rPr>
            </w:pPr>
            <w:r>
              <w:rPr>
                <w:rFonts w:ascii="Times New Roman"/>
                <w:spacing w:val="-10"/>
                <w:sz w:val="21"/>
              </w:rPr>
              <w:t>X</w:t>
            </w: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TableParagraph"/>
              <w:spacing w:before="53"/>
              <w:ind w:left="269"/>
              <w:rPr>
                <w:sz w:val="21"/>
              </w:rPr>
            </w:pPr>
            <w:hyperlink w:history="true" w:anchor="_bookmark83">
              <w:r>
                <w:rPr>
                  <w:rFonts w:ascii="Times New Roman" w:eastAsia="Times New Roman"/>
                  <w:color w:val="0000FF"/>
                  <w:sz w:val="21"/>
                </w:rPr>
                <w:t>8.1.3</w:t>
              </w:r>
            </w:hyperlink>
            <w:r>
              <w:rPr>
                <w:color w:val="0000FF"/>
                <w:spacing w:val="-10"/>
                <w:sz w:val="21"/>
              </w:rPr>
              <w:t>、</w:t>
            </w:r>
          </w:p>
          <w:p>
            <w:pPr>
              <w:pStyle w:val="TableParagraph"/>
              <w:spacing w:before="3"/>
              <w:ind w:left="373"/>
              <w:rPr>
                <w:rFonts w:ascii="Times New Roman"/>
                <w:sz w:val="21"/>
              </w:rPr>
            </w:pPr>
            <w:hyperlink w:history="true" w:anchor="_bookmark67">
              <w:r>
                <w:rPr>
                  <w:rFonts w:ascii="Times New Roman"/>
                  <w:color w:val="0000FF"/>
                  <w:spacing w:val="-2"/>
                  <w:sz w:val="21"/>
                </w:rPr>
                <w:t>6.5.3</w:t>
              </w:r>
            </w:hyperlink>
          </w:p>
        </w:tc>
      </w:tr>
      <w:tr>
        <w:trPr>
          <w:trHeight w:val="352" w:hRule="atLeast"/>
        </w:trPr>
        <w:tc>
          <w:tcPr>
            <w:tcW w:w="13954" w:type="dxa"/>
            <w:gridSpan w:val="12"/>
            <w:shd w:val="clear" w:color="auto" w:fill="D9D9D9"/>
          </w:tcPr>
          <w:p>
            <w:pPr>
              <w:pStyle w:val="TableParagraph"/>
              <w:spacing w:before="39"/>
              <w:ind w:left="107"/>
              <w:rPr>
                <w:b/>
                <w:sz w:val="21"/>
              </w:rPr>
            </w:pPr>
            <w:r>
              <w:rPr>
                <w:b/>
                <w:spacing w:val="-4"/>
                <w:sz w:val="21"/>
              </w:rPr>
              <w:t>安全性评估</w:t>
            </w:r>
          </w:p>
        </w:tc>
      </w:tr>
      <w:tr>
        <w:trPr>
          <w:trHeight w:val="594" w:hRule="atLeast"/>
        </w:trPr>
        <w:tc>
          <w:tcPr>
            <w:tcW w:w="1983" w:type="dxa"/>
          </w:tcPr>
          <w:p>
            <w:pPr>
              <w:pStyle w:val="TableParagraph"/>
              <w:spacing w:before="159"/>
              <w:ind w:left="107"/>
              <w:rPr>
                <w:sz w:val="21"/>
              </w:rPr>
            </w:pPr>
            <w:r>
              <w:rPr>
                <w:rFonts w:ascii="Times New Roman" w:eastAsia="Times New Roman"/>
                <w:sz w:val="21"/>
              </w:rPr>
              <w:t>12</w:t>
            </w:r>
            <w:r>
              <w:rPr>
                <w:rFonts w:ascii="Times New Roman" w:eastAsia="Times New Roman"/>
                <w:spacing w:val="-12"/>
                <w:sz w:val="21"/>
              </w:rPr>
              <w:t> </w:t>
            </w:r>
            <w:r>
              <w:rPr>
                <w:spacing w:val="-2"/>
                <w:sz w:val="21"/>
              </w:rPr>
              <w:t>导联心电图</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89">
              <w:r>
                <w:rPr>
                  <w:rFonts w:ascii="Times New Roman"/>
                  <w:color w:val="0000FF"/>
                  <w:spacing w:val="-2"/>
                  <w:sz w:val="21"/>
                </w:rPr>
                <w:t>8.2.4</w:t>
              </w:r>
            </w:hyperlink>
          </w:p>
        </w:tc>
      </w:tr>
      <w:tr>
        <w:trPr>
          <w:trHeight w:val="593" w:hRule="atLeast"/>
        </w:trPr>
        <w:tc>
          <w:tcPr>
            <w:tcW w:w="1983" w:type="dxa"/>
          </w:tcPr>
          <w:p>
            <w:pPr>
              <w:pStyle w:val="TableParagraph"/>
              <w:spacing w:before="158"/>
              <w:ind w:left="107"/>
              <w:rPr>
                <w:sz w:val="21"/>
              </w:rPr>
            </w:pPr>
            <w:r>
              <w:rPr>
                <w:spacing w:val="-3"/>
                <w:sz w:val="21"/>
              </w:rPr>
              <w:t>生命体征</w:t>
            </w:r>
          </w:p>
        </w:tc>
        <w:tc>
          <w:tcPr>
            <w:tcW w:w="1419" w:type="dxa"/>
          </w:tcPr>
          <w:p>
            <w:pPr>
              <w:pStyle w:val="TableParagraph"/>
              <w:spacing w:line="240" w:lineRule="exact" w:before="39"/>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spacing w:before="175"/>
              <w:ind w:left="6" w:right="1"/>
              <w:jc w:val="center"/>
              <w:rPr>
                <w:rFonts w:ascii="Times New Roman"/>
                <w:sz w:val="21"/>
              </w:rPr>
            </w:pPr>
            <w:r>
              <w:rPr>
                <w:rFonts w:ascii="Times New Roman"/>
                <w:spacing w:val="-10"/>
                <w:sz w:val="21"/>
              </w:rPr>
              <w:t>X</w:t>
            </w:r>
          </w:p>
        </w:tc>
        <w:tc>
          <w:tcPr>
            <w:tcW w:w="976" w:type="dxa"/>
          </w:tcPr>
          <w:p>
            <w:pPr>
              <w:pStyle w:val="TableParagraph"/>
              <w:spacing w:before="175"/>
              <w:ind w:left="7" w:right="1"/>
              <w:jc w:val="center"/>
              <w:rPr>
                <w:rFonts w:ascii="Times New Roman"/>
                <w:sz w:val="21"/>
              </w:rPr>
            </w:pPr>
            <w:r>
              <w:rPr>
                <w:rFonts w:ascii="Times New Roman"/>
                <w:spacing w:val="-10"/>
                <w:sz w:val="21"/>
              </w:rPr>
              <w:t>X</w:t>
            </w:r>
          </w:p>
        </w:tc>
        <w:tc>
          <w:tcPr>
            <w:tcW w:w="976" w:type="dxa"/>
          </w:tcPr>
          <w:p>
            <w:pPr>
              <w:pStyle w:val="TableParagraph"/>
              <w:spacing w:before="175"/>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spacing w:before="175"/>
              <w:ind w:left="7" w:right="4"/>
              <w:jc w:val="center"/>
              <w:rPr>
                <w:rFonts w:ascii="Times New Roman"/>
                <w:sz w:val="21"/>
              </w:rPr>
            </w:pPr>
            <w:r>
              <w:rPr>
                <w:rFonts w:ascii="Times New Roman"/>
                <w:spacing w:val="-10"/>
                <w:sz w:val="21"/>
              </w:rPr>
              <w:t>X</w:t>
            </w:r>
          </w:p>
        </w:tc>
        <w:tc>
          <w:tcPr>
            <w:tcW w:w="976" w:type="dxa"/>
          </w:tcPr>
          <w:p>
            <w:pPr>
              <w:pStyle w:val="TableParagraph"/>
              <w:rPr>
                <w:rFonts w:ascii="Times New Roman"/>
                <w:sz w:val="20"/>
              </w:rPr>
            </w:pPr>
          </w:p>
        </w:tc>
        <w:tc>
          <w:tcPr>
            <w:tcW w:w="977" w:type="dxa"/>
          </w:tcPr>
          <w:p>
            <w:pPr>
              <w:pStyle w:val="TableParagraph"/>
              <w:spacing w:before="175"/>
              <w:ind w:left="6" w:right="6"/>
              <w:jc w:val="center"/>
              <w:rPr>
                <w:rFonts w:ascii="Times New Roman"/>
                <w:sz w:val="21"/>
              </w:rPr>
            </w:pPr>
            <w:r>
              <w:rPr>
                <w:rFonts w:ascii="Times New Roman"/>
                <w:spacing w:val="-10"/>
                <w:sz w:val="21"/>
              </w:rPr>
              <w:t>X</w:t>
            </w:r>
          </w:p>
        </w:tc>
        <w:tc>
          <w:tcPr>
            <w:tcW w:w="1127" w:type="dxa"/>
          </w:tcPr>
          <w:p>
            <w:pPr>
              <w:pStyle w:val="TableParagraph"/>
              <w:spacing w:before="175"/>
              <w:ind w:left="3" w:right="2"/>
              <w:jc w:val="center"/>
              <w:rPr>
                <w:rFonts w:ascii="Times New Roman"/>
                <w:sz w:val="21"/>
              </w:rPr>
            </w:pPr>
            <w:r>
              <w:rPr>
                <w:rFonts w:ascii="Times New Roman"/>
                <w:spacing w:val="-10"/>
                <w:sz w:val="21"/>
              </w:rPr>
              <w:t>X</w:t>
            </w:r>
          </w:p>
        </w:tc>
        <w:tc>
          <w:tcPr>
            <w:tcW w:w="1413" w:type="dxa"/>
          </w:tcPr>
          <w:p>
            <w:pPr>
              <w:pStyle w:val="TableParagraph"/>
              <w:spacing w:before="175"/>
              <w:jc w:val="center"/>
              <w:rPr>
                <w:rFonts w:ascii="Times New Roman"/>
                <w:sz w:val="21"/>
              </w:rPr>
            </w:pPr>
            <w:r>
              <w:rPr>
                <w:rFonts w:ascii="Times New Roman"/>
                <w:spacing w:val="-10"/>
                <w:sz w:val="21"/>
              </w:rPr>
              <w:t>X</w:t>
            </w:r>
          </w:p>
        </w:tc>
        <w:tc>
          <w:tcPr>
            <w:tcW w:w="1176" w:type="dxa"/>
          </w:tcPr>
          <w:p>
            <w:pPr>
              <w:pStyle w:val="TableParagraph"/>
              <w:spacing w:before="175"/>
              <w:ind w:left="3" w:right="1"/>
              <w:jc w:val="center"/>
              <w:rPr>
                <w:rFonts w:ascii="Times New Roman"/>
                <w:sz w:val="21"/>
              </w:rPr>
            </w:pPr>
            <w:hyperlink w:history="true" w:anchor="_bookmark88">
              <w:r>
                <w:rPr>
                  <w:rFonts w:ascii="Times New Roman"/>
                  <w:color w:val="0000FF"/>
                  <w:spacing w:val="-2"/>
                  <w:sz w:val="21"/>
                </w:rPr>
                <w:t>8.2.3</w:t>
              </w:r>
            </w:hyperlink>
          </w:p>
        </w:tc>
      </w:tr>
      <w:tr>
        <w:trPr>
          <w:trHeight w:val="593" w:hRule="atLeast"/>
        </w:trPr>
        <w:tc>
          <w:tcPr>
            <w:tcW w:w="1983" w:type="dxa"/>
          </w:tcPr>
          <w:p>
            <w:pPr>
              <w:pStyle w:val="TableParagraph"/>
              <w:spacing w:before="177"/>
              <w:ind w:left="107"/>
              <w:rPr>
                <w:rFonts w:ascii="Times New Roman"/>
                <w:sz w:val="21"/>
              </w:rPr>
            </w:pPr>
            <w:r>
              <w:rPr>
                <w:rFonts w:ascii="Times New Roman"/>
                <w:spacing w:val="-4"/>
                <w:sz w:val="21"/>
              </w:rPr>
              <w:t>SpO</w:t>
            </w:r>
            <w:r>
              <w:rPr>
                <w:rFonts w:ascii="Times New Roman"/>
                <w:spacing w:val="-4"/>
                <w:sz w:val="21"/>
                <w:vertAlign w:val="subscript"/>
              </w:rPr>
              <w:t>2</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spacing w:before="177"/>
              <w:ind w:left="6" w:right="1"/>
              <w:jc w:val="center"/>
              <w:rPr>
                <w:rFonts w:ascii="Times New Roman"/>
                <w:sz w:val="21"/>
              </w:rPr>
            </w:pPr>
            <w:r>
              <w:rPr>
                <w:rFonts w:ascii="Times New Roman"/>
                <w:spacing w:val="-10"/>
                <w:sz w:val="21"/>
              </w:rPr>
              <w:t>X</w:t>
            </w:r>
          </w:p>
        </w:tc>
        <w:tc>
          <w:tcPr>
            <w:tcW w:w="976" w:type="dxa"/>
          </w:tcPr>
          <w:p>
            <w:pPr>
              <w:pStyle w:val="TableParagraph"/>
              <w:spacing w:before="177"/>
              <w:ind w:left="7" w:right="1"/>
              <w:jc w:val="center"/>
              <w:rPr>
                <w:rFonts w:ascii="Times New Roman"/>
                <w:sz w:val="21"/>
              </w:rPr>
            </w:pPr>
            <w:r>
              <w:rPr>
                <w:rFonts w:ascii="Times New Roman"/>
                <w:spacing w:val="-10"/>
                <w:sz w:val="21"/>
              </w:rPr>
              <w:t>X</w:t>
            </w: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spacing w:before="177"/>
              <w:ind w:left="7" w:right="4"/>
              <w:jc w:val="center"/>
              <w:rPr>
                <w:rFonts w:ascii="Times New Roman"/>
                <w:sz w:val="21"/>
              </w:rPr>
            </w:pPr>
            <w:r>
              <w:rPr>
                <w:rFonts w:ascii="Times New Roman"/>
                <w:spacing w:val="-10"/>
                <w:sz w:val="21"/>
              </w:rPr>
              <w:t>X</w:t>
            </w:r>
          </w:p>
        </w:tc>
        <w:tc>
          <w:tcPr>
            <w:tcW w:w="976" w:type="dxa"/>
          </w:tcPr>
          <w:p>
            <w:pPr>
              <w:pStyle w:val="TableParagraph"/>
              <w:rPr>
                <w:rFonts w:ascii="Times New Roman"/>
                <w:sz w:val="20"/>
              </w:rPr>
            </w:pP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88">
              <w:r>
                <w:rPr>
                  <w:rFonts w:ascii="Times New Roman"/>
                  <w:color w:val="0000FF"/>
                  <w:spacing w:val="-2"/>
                  <w:sz w:val="21"/>
                </w:rPr>
                <w:t>8.2.3</w:t>
              </w:r>
            </w:hyperlink>
          </w:p>
        </w:tc>
      </w:tr>
    </w:tbl>
    <w:p>
      <w:pPr>
        <w:spacing w:after="0"/>
        <w:jc w:val="center"/>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419"/>
        <w:gridCol w:w="977"/>
        <w:gridCol w:w="976"/>
        <w:gridCol w:w="976"/>
        <w:gridCol w:w="978"/>
        <w:gridCol w:w="976"/>
        <w:gridCol w:w="976"/>
        <w:gridCol w:w="977"/>
        <w:gridCol w:w="1127"/>
        <w:gridCol w:w="1413"/>
        <w:gridCol w:w="1176"/>
      </w:tblGrid>
      <w:tr>
        <w:trPr>
          <w:trHeight w:val="623" w:hRule="atLeast"/>
        </w:trPr>
        <w:tc>
          <w:tcPr>
            <w:tcW w:w="1983" w:type="dxa"/>
            <w:shd w:val="clear" w:color="auto" w:fill="DBDBDB"/>
          </w:tcPr>
          <w:p>
            <w:pPr>
              <w:pStyle w:val="TableParagraph"/>
              <w:spacing w:before="173"/>
              <w:ind w:left="568"/>
              <w:rPr>
                <w:b/>
                <w:sz w:val="21"/>
              </w:rPr>
            </w:pPr>
            <w:r>
              <w:rPr>
                <w:b/>
                <w:spacing w:val="-4"/>
                <w:sz w:val="21"/>
              </w:rPr>
              <w:t>研究阶段</w:t>
            </w:r>
          </w:p>
        </w:tc>
        <w:tc>
          <w:tcPr>
            <w:tcW w:w="1419" w:type="dxa"/>
            <w:shd w:val="clear" w:color="auto" w:fill="DBDBDB"/>
          </w:tcPr>
          <w:p>
            <w:pPr>
              <w:pStyle w:val="TableParagraph"/>
              <w:spacing w:before="173"/>
              <w:ind w:left="9" w:right="1"/>
              <w:jc w:val="center"/>
              <w:rPr>
                <w:b/>
                <w:sz w:val="21"/>
              </w:rPr>
            </w:pPr>
            <w:r>
              <w:rPr>
                <w:b/>
                <w:spacing w:val="-6"/>
                <w:sz w:val="21"/>
              </w:rPr>
              <w:t>入组</w:t>
            </w:r>
          </w:p>
        </w:tc>
        <w:tc>
          <w:tcPr>
            <w:tcW w:w="6836" w:type="dxa"/>
            <w:gridSpan w:val="7"/>
            <w:shd w:val="clear" w:color="auto" w:fill="DBDBDB"/>
          </w:tcPr>
          <w:p>
            <w:pPr>
              <w:pStyle w:val="TableParagraph"/>
              <w:spacing w:before="173"/>
              <w:jc w:val="center"/>
              <w:rPr>
                <w:b/>
                <w:sz w:val="21"/>
              </w:rPr>
            </w:pPr>
            <w:r>
              <w:rPr>
                <w:b/>
                <w:spacing w:val="-2"/>
                <w:sz w:val="21"/>
              </w:rPr>
              <w:t>干预（治疗</w:t>
            </w:r>
            <w:r>
              <w:rPr>
                <w:b/>
                <w:spacing w:val="-10"/>
                <w:sz w:val="21"/>
              </w:rPr>
              <w:t>）</w:t>
            </w:r>
          </w:p>
        </w:tc>
        <w:tc>
          <w:tcPr>
            <w:tcW w:w="1127" w:type="dxa"/>
            <w:shd w:val="clear" w:color="auto" w:fill="DBDBDB"/>
          </w:tcPr>
          <w:p>
            <w:pPr>
              <w:pStyle w:val="TableParagraph"/>
              <w:spacing w:before="173"/>
              <w:ind w:left="3"/>
              <w:jc w:val="center"/>
              <w:rPr>
                <w:b/>
                <w:sz w:val="21"/>
              </w:rPr>
            </w:pPr>
            <w:r>
              <w:rPr>
                <w:b/>
                <w:spacing w:val="-6"/>
                <w:sz w:val="21"/>
              </w:rPr>
              <w:t>随访</w:t>
            </w:r>
          </w:p>
        </w:tc>
        <w:tc>
          <w:tcPr>
            <w:tcW w:w="1413" w:type="dxa"/>
            <w:shd w:val="clear" w:color="auto" w:fill="DBDBDB"/>
          </w:tcPr>
          <w:p>
            <w:pPr>
              <w:pStyle w:val="TableParagraph"/>
              <w:spacing w:before="36"/>
              <w:ind w:left="219" w:right="184" w:hanging="32"/>
              <w:rPr>
                <w:rFonts w:ascii="Times New Roman" w:eastAsia="Times New Roman"/>
                <w:b/>
                <w:sz w:val="21"/>
              </w:rPr>
            </w:pPr>
            <w:r>
              <w:rPr>
                <w:rFonts w:ascii="Times New Roman" w:eastAsia="Times New Roman"/>
                <w:b/>
                <w:sz w:val="21"/>
              </w:rPr>
              <w:t>E/D</w:t>
            </w:r>
            <w:r>
              <w:rPr>
                <w:rFonts w:ascii="Times New Roman" w:eastAsia="Times New Roman"/>
                <w:b/>
                <w:spacing w:val="-14"/>
                <w:sz w:val="21"/>
              </w:rPr>
              <w:t> </w:t>
            </w:r>
            <w:r>
              <w:rPr>
                <w:b/>
                <w:sz w:val="21"/>
              </w:rPr>
              <w:t>继之以</w:t>
            </w:r>
            <w:r>
              <w:rPr>
                <w:b/>
                <w:spacing w:val="-12"/>
                <w:sz w:val="21"/>
              </w:rPr>
              <w:t>电话随访 </w:t>
            </w:r>
            <w:r>
              <w:rPr>
                <w:rFonts w:ascii="Times New Roman" w:eastAsia="Times New Roman"/>
                <w:b/>
                <w:spacing w:val="-10"/>
                <w:sz w:val="21"/>
                <w:vertAlign w:val="superscript"/>
              </w:rPr>
              <w:t>a</w:t>
            </w:r>
          </w:p>
        </w:tc>
        <w:tc>
          <w:tcPr>
            <w:tcW w:w="1176" w:type="dxa"/>
            <w:vMerge w:val="restart"/>
            <w:shd w:val="clear" w:color="auto" w:fill="DBDBDB"/>
          </w:tcPr>
          <w:p>
            <w:pPr>
              <w:pStyle w:val="TableParagraph"/>
              <w:rPr>
                <w:b/>
                <w:sz w:val="21"/>
              </w:rPr>
            </w:pPr>
          </w:p>
          <w:p>
            <w:pPr>
              <w:pStyle w:val="TableParagraph"/>
              <w:rPr>
                <w:b/>
                <w:sz w:val="21"/>
              </w:rPr>
            </w:pPr>
          </w:p>
          <w:p>
            <w:pPr>
              <w:pStyle w:val="TableParagraph"/>
              <w:rPr>
                <w:b/>
                <w:sz w:val="21"/>
              </w:rPr>
            </w:pPr>
          </w:p>
          <w:p>
            <w:pPr>
              <w:pStyle w:val="TableParagraph"/>
              <w:spacing w:before="215"/>
              <w:rPr>
                <w:b/>
                <w:sz w:val="21"/>
              </w:rPr>
            </w:pPr>
          </w:p>
          <w:p>
            <w:pPr>
              <w:pStyle w:val="TableParagraph"/>
              <w:spacing w:before="1"/>
              <w:ind w:left="152"/>
              <w:rPr>
                <w:b/>
                <w:sz w:val="21"/>
              </w:rPr>
            </w:pPr>
            <w:r>
              <w:rPr>
                <w:rFonts w:ascii="Times New Roman" w:eastAsia="Times New Roman"/>
                <w:b/>
                <w:sz w:val="21"/>
              </w:rPr>
              <w:t>CSP</w:t>
            </w:r>
            <w:r>
              <w:rPr>
                <w:rFonts w:ascii="Times New Roman" w:eastAsia="Times New Roman"/>
                <w:b/>
                <w:spacing w:val="-13"/>
                <w:sz w:val="21"/>
              </w:rPr>
              <w:t> </w:t>
            </w:r>
            <w:r>
              <w:rPr>
                <w:b/>
                <w:spacing w:val="-5"/>
                <w:sz w:val="21"/>
              </w:rPr>
              <w:t>章节</w:t>
            </w:r>
          </w:p>
        </w:tc>
      </w:tr>
      <w:tr>
        <w:trPr>
          <w:trHeight w:val="352" w:hRule="atLeast"/>
        </w:trPr>
        <w:tc>
          <w:tcPr>
            <w:tcW w:w="1983" w:type="dxa"/>
            <w:shd w:val="clear" w:color="auto" w:fill="DBDBDB"/>
          </w:tcPr>
          <w:p>
            <w:pPr>
              <w:pStyle w:val="TableParagraph"/>
              <w:spacing w:before="39"/>
              <w:ind w:left="9"/>
              <w:jc w:val="center"/>
              <w:rPr>
                <w:b/>
                <w:sz w:val="21"/>
              </w:rPr>
            </w:pPr>
            <w:r>
              <w:rPr>
                <w:b/>
                <w:spacing w:val="-5"/>
                <w:sz w:val="21"/>
              </w:rPr>
              <w:t>研究周</w:t>
            </w:r>
          </w:p>
        </w:tc>
        <w:tc>
          <w:tcPr>
            <w:tcW w:w="1419" w:type="dxa"/>
            <w:shd w:val="clear" w:color="auto" w:fill="DBDBDB"/>
          </w:tcPr>
          <w:p>
            <w:pPr>
              <w:pStyle w:val="TableParagraph"/>
              <w:spacing w:before="39"/>
              <w:ind w:left="9"/>
              <w:jc w:val="center"/>
              <w:rPr>
                <w:sz w:val="21"/>
              </w:rPr>
            </w:pPr>
            <w:r>
              <w:rPr>
                <w:spacing w:val="-27"/>
                <w:sz w:val="21"/>
              </w:rPr>
              <w:t>第 </w:t>
            </w:r>
            <w:r>
              <w:rPr>
                <w:rFonts w:ascii="Times New Roman" w:eastAsia="Times New Roman"/>
                <w:sz w:val="21"/>
              </w:rPr>
              <w:t>0</w:t>
            </w:r>
            <w:r>
              <w:rPr>
                <w:rFonts w:ascii="Times New Roman" w:eastAsia="Times New Roman"/>
                <w:spacing w:val="-10"/>
                <w:sz w:val="21"/>
              </w:rPr>
              <w:t> </w:t>
            </w:r>
            <w:r>
              <w:rPr>
                <w:spacing w:val="-10"/>
                <w:sz w:val="21"/>
              </w:rPr>
              <w:t>周</w:t>
            </w:r>
          </w:p>
        </w:tc>
        <w:tc>
          <w:tcPr>
            <w:tcW w:w="977" w:type="dxa"/>
            <w:shd w:val="clear" w:color="auto" w:fill="DBDBDB"/>
          </w:tcPr>
          <w:p>
            <w:pPr>
              <w:pStyle w:val="TableParagraph"/>
              <w:spacing w:before="39"/>
              <w:ind w:left="6"/>
              <w:jc w:val="center"/>
              <w:rPr>
                <w:sz w:val="21"/>
              </w:rPr>
            </w:pPr>
            <w:r>
              <w:rPr>
                <w:spacing w:val="-27"/>
                <w:sz w:val="21"/>
              </w:rPr>
              <w:t>第 </w:t>
            </w:r>
            <w:r>
              <w:rPr>
                <w:rFonts w:ascii="Times New Roman" w:eastAsia="Times New Roman"/>
                <w:sz w:val="21"/>
              </w:rPr>
              <w:t>4</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jc w:val="center"/>
              <w:rPr>
                <w:sz w:val="21"/>
              </w:rPr>
            </w:pPr>
            <w:r>
              <w:rPr>
                <w:spacing w:val="-27"/>
                <w:sz w:val="21"/>
              </w:rPr>
              <w:t>第 </w:t>
            </w:r>
            <w:r>
              <w:rPr>
                <w:rFonts w:ascii="Times New Roman" w:eastAsia="Times New Roman"/>
                <w:sz w:val="21"/>
              </w:rPr>
              <w:t>8</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1"/>
              <w:jc w:val="center"/>
              <w:rPr>
                <w:sz w:val="21"/>
              </w:rPr>
            </w:pPr>
            <w:r>
              <w:rPr>
                <w:spacing w:val="-27"/>
                <w:sz w:val="21"/>
              </w:rPr>
              <w:t>第 </w:t>
            </w:r>
            <w:r>
              <w:rPr>
                <w:rFonts w:ascii="Times New Roman" w:eastAsia="Times New Roman"/>
                <w:sz w:val="21"/>
              </w:rPr>
              <w:t>12</w:t>
            </w:r>
            <w:r>
              <w:rPr>
                <w:rFonts w:ascii="Times New Roman" w:eastAsia="Times New Roman"/>
                <w:spacing w:val="-10"/>
                <w:sz w:val="21"/>
              </w:rPr>
              <w:t> </w:t>
            </w:r>
            <w:r>
              <w:rPr>
                <w:spacing w:val="-10"/>
                <w:sz w:val="21"/>
              </w:rPr>
              <w:t>周</w:t>
            </w:r>
          </w:p>
        </w:tc>
        <w:tc>
          <w:tcPr>
            <w:tcW w:w="978" w:type="dxa"/>
            <w:shd w:val="clear" w:color="auto" w:fill="DBDBDB"/>
          </w:tcPr>
          <w:p>
            <w:pPr>
              <w:pStyle w:val="TableParagraph"/>
              <w:spacing w:before="39"/>
              <w:ind w:left="4"/>
              <w:jc w:val="center"/>
              <w:rPr>
                <w:sz w:val="21"/>
              </w:rPr>
            </w:pPr>
            <w:r>
              <w:rPr>
                <w:spacing w:val="-27"/>
                <w:sz w:val="21"/>
              </w:rPr>
              <w:t>第 </w:t>
            </w:r>
            <w:r>
              <w:rPr>
                <w:rFonts w:ascii="Times New Roman" w:eastAsia="Times New Roman"/>
                <w:sz w:val="21"/>
              </w:rPr>
              <w:t>16</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3"/>
              <w:jc w:val="center"/>
              <w:rPr>
                <w:sz w:val="21"/>
              </w:rPr>
            </w:pPr>
            <w:r>
              <w:rPr>
                <w:spacing w:val="-27"/>
                <w:sz w:val="21"/>
              </w:rPr>
              <w:t>第 </w:t>
            </w:r>
            <w:r>
              <w:rPr>
                <w:rFonts w:ascii="Times New Roman" w:eastAsia="Times New Roman"/>
                <w:sz w:val="21"/>
              </w:rPr>
              <w:t>20</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4"/>
              <w:jc w:val="center"/>
              <w:rPr>
                <w:sz w:val="21"/>
              </w:rPr>
            </w:pPr>
            <w:r>
              <w:rPr>
                <w:spacing w:val="-27"/>
                <w:sz w:val="21"/>
              </w:rPr>
              <w:t>第 </w:t>
            </w:r>
            <w:r>
              <w:rPr>
                <w:rFonts w:ascii="Times New Roman" w:eastAsia="Times New Roman"/>
                <w:sz w:val="21"/>
              </w:rPr>
              <w:t>24</w:t>
            </w:r>
            <w:r>
              <w:rPr>
                <w:rFonts w:ascii="Times New Roman" w:eastAsia="Times New Roman"/>
                <w:spacing w:val="-10"/>
                <w:sz w:val="21"/>
              </w:rPr>
              <w:t> </w:t>
            </w:r>
            <w:r>
              <w:rPr>
                <w:spacing w:val="-10"/>
                <w:sz w:val="21"/>
              </w:rPr>
              <w:t>周</w:t>
            </w:r>
          </w:p>
        </w:tc>
        <w:tc>
          <w:tcPr>
            <w:tcW w:w="977" w:type="dxa"/>
            <w:shd w:val="clear" w:color="auto" w:fill="DBDBDB"/>
          </w:tcPr>
          <w:p>
            <w:pPr>
              <w:pStyle w:val="TableParagraph"/>
              <w:spacing w:before="39"/>
              <w:ind w:left="6" w:right="5"/>
              <w:jc w:val="center"/>
              <w:rPr>
                <w:sz w:val="21"/>
              </w:rPr>
            </w:pPr>
            <w:r>
              <w:rPr>
                <w:spacing w:val="-27"/>
                <w:sz w:val="21"/>
              </w:rPr>
              <w:t>第 </w:t>
            </w:r>
            <w:r>
              <w:rPr>
                <w:rFonts w:ascii="Times New Roman" w:eastAsia="Times New Roman"/>
                <w:sz w:val="21"/>
              </w:rPr>
              <w:t>28</w:t>
            </w:r>
            <w:r>
              <w:rPr>
                <w:rFonts w:ascii="Times New Roman" w:eastAsia="Times New Roman"/>
                <w:spacing w:val="-10"/>
                <w:sz w:val="21"/>
              </w:rPr>
              <w:t> </w:t>
            </w:r>
            <w:r>
              <w:rPr>
                <w:spacing w:val="-10"/>
                <w:sz w:val="21"/>
              </w:rPr>
              <w:t>周</w:t>
            </w:r>
          </w:p>
        </w:tc>
        <w:tc>
          <w:tcPr>
            <w:tcW w:w="1127" w:type="dxa"/>
            <w:shd w:val="clear" w:color="auto" w:fill="DBDBDB"/>
          </w:tcPr>
          <w:p>
            <w:pPr>
              <w:pStyle w:val="TableParagraph"/>
              <w:spacing w:before="39"/>
              <w:ind w:left="3" w:right="1"/>
              <w:jc w:val="center"/>
              <w:rPr>
                <w:sz w:val="21"/>
              </w:rPr>
            </w:pPr>
            <w:r>
              <w:rPr>
                <w:spacing w:val="-27"/>
                <w:sz w:val="21"/>
              </w:rPr>
              <w:t>第 </w:t>
            </w:r>
            <w:r>
              <w:rPr>
                <w:rFonts w:ascii="Times New Roman" w:eastAsia="Times New Roman"/>
                <w:sz w:val="21"/>
              </w:rPr>
              <w:t>36</w:t>
            </w:r>
            <w:r>
              <w:rPr>
                <w:rFonts w:ascii="Times New Roman" w:eastAsia="Times New Roman"/>
                <w:spacing w:val="-10"/>
                <w:sz w:val="21"/>
              </w:rPr>
              <w:t> </w:t>
            </w:r>
            <w:r>
              <w:rPr>
                <w:spacing w:val="-10"/>
                <w:sz w:val="21"/>
              </w:rPr>
              <w:t>周</w:t>
            </w:r>
          </w:p>
        </w:tc>
        <w:tc>
          <w:tcPr>
            <w:tcW w:w="1413" w:type="dxa"/>
            <w:vMerge w:val="restart"/>
            <w:shd w:val="clear" w:color="auto" w:fill="DBDBDB"/>
          </w:tcPr>
          <w:p>
            <w:pPr>
              <w:pStyle w:val="TableParagraph"/>
              <w:spacing w:before="82"/>
              <w:ind w:left="339" w:right="165" w:hanging="172"/>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末次给药</w:t>
            </w:r>
            <w:r>
              <w:rPr>
                <w:spacing w:val="-12"/>
                <w:sz w:val="21"/>
              </w:rPr>
              <w:t>后 </w:t>
            </w:r>
            <w:r>
              <w:rPr>
                <w:rFonts w:ascii="Times New Roman" w:eastAsia="Times New Roman"/>
                <w:sz w:val="21"/>
              </w:rPr>
              <w:t>12 </w:t>
            </w:r>
            <w:r>
              <w:rPr>
                <w:sz w:val="21"/>
              </w:rPr>
              <w:t>周</w:t>
            </w:r>
          </w:p>
        </w:tc>
        <w:tc>
          <w:tcPr>
            <w:tcW w:w="1176" w:type="dxa"/>
            <w:vMerge/>
            <w:tcBorders>
              <w:top w:val="nil"/>
            </w:tcBorders>
            <w:shd w:val="clear" w:color="auto" w:fill="DBDBDB"/>
          </w:tcPr>
          <w:p>
            <w:pPr>
              <w:rPr>
                <w:sz w:val="2"/>
                <w:szCs w:val="2"/>
              </w:rPr>
            </w:pPr>
          </w:p>
        </w:tc>
      </w:tr>
      <w:tr>
        <w:trPr>
          <w:trHeight w:val="352" w:hRule="atLeast"/>
        </w:trPr>
        <w:tc>
          <w:tcPr>
            <w:tcW w:w="1983" w:type="dxa"/>
            <w:shd w:val="clear" w:color="auto" w:fill="DBDBDB"/>
          </w:tcPr>
          <w:p>
            <w:pPr>
              <w:pStyle w:val="TableParagraph"/>
              <w:spacing w:before="39"/>
              <w:ind w:left="9"/>
              <w:jc w:val="center"/>
              <w:rPr>
                <w:b/>
                <w:sz w:val="21"/>
              </w:rPr>
            </w:pPr>
            <w:r>
              <w:rPr>
                <w:b/>
                <w:spacing w:val="-6"/>
                <w:sz w:val="21"/>
              </w:rPr>
              <w:t>访视</w:t>
            </w:r>
          </w:p>
        </w:tc>
        <w:tc>
          <w:tcPr>
            <w:tcW w:w="1419" w:type="dxa"/>
            <w:shd w:val="clear" w:color="auto" w:fill="DBDBDB"/>
          </w:tcPr>
          <w:p>
            <w:pPr>
              <w:pStyle w:val="TableParagraph"/>
              <w:spacing w:before="39"/>
              <w:ind w:left="9" w:right="1"/>
              <w:jc w:val="center"/>
              <w:rPr>
                <w:rFonts w:ascii="Times New Roman" w:eastAsia="Times New Roman"/>
                <w:sz w:val="21"/>
              </w:rPr>
            </w:pPr>
            <w:r>
              <w:rPr>
                <w:spacing w:val="-18"/>
                <w:sz w:val="21"/>
              </w:rPr>
              <w:t>访视 </w:t>
            </w:r>
            <w:r>
              <w:rPr>
                <w:rFonts w:ascii="Times New Roman" w:eastAsia="Times New Roman"/>
                <w:spacing w:val="-10"/>
                <w:sz w:val="21"/>
              </w:rPr>
              <w:t>1</w:t>
            </w:r>
          </w:p>
        </w:tc>
        <w:tc>
          <w:tcPr>
            <w:tcW w:w="977" w:type="dxa"/>
            <w:shd w:val="clear" w:color="auto" w:fill="DBDBDB"/>
          </w:tcPr>
          <w:p>
            <w:pPr>
              <w:pStyle w:val="TableParagraph"/>
              <w:spacing w:before="39"/>
              <w:ind w:left="6" w:right="2"/>
              <w:jc w:val="center"/>
              <w:rPr>
                <w:rFonts w:ascii="Times New Roman" w:eastAsia="Times New Roman"/>
                <w:sz w:val="21"/>
              </w:rPr>
            </w:pPr>
            <w:r>
              <w:rPr>
                <w:spacing w:val="-18"/>
                <w:sz w:val="21"/>
              </w:rPr>
              <w:t>访视 </w:t>
            </w:r>
            <w:r>
              <w:rPr>
                <w:rFonts w:ascii="Times New Roman" w:eastAsia="Times New Roman"/>
                <w:spacing w:val="-10"/>
                <w:sz w:val="21"/>
              </w:rPr>
              <w:t>2</w:t>
            </w:r>
          </w:p>
        </w:tc>
        <w:tc>
          <w:tcPr>
            <w:tcW w:w="976" w:type="dxa"/>
            <w:shd w:val="clear" w:color="auto" w:fill="DBDBDB"/>
          </w:tcPr>
          <w:p>
            <w:pPr>
              <w:pStyle w:val="TableParagraph"/>
              <w:spacing w:before="39"/>
              <w:ind w:left="7"/>
              <w:jc w:val="center"/>
              <w:rPr>
                <w:rFonts w:ascii="Times New Roman" w:eastAsia="Times New Roman"/>
                <w:sz w:val="21"/>
              </w:rPr>
            </w:pPr>
            <w:r>
              <w:rPr>
                <w:spacing w:val="-18"/>
                <w:sz w:val="21"/>
              </w:rPr>
              <w:t>访视 </w:t>
            </w:r>
            <w:r>
              <w:rPr>
                <w:rFonts w:ascii="Times New Roman" w:eastAsia="Times New Roman"/>
                <w:spacing w:val="-10"/>
                <w:sz w:val="21"/>
              </w:rPr>
              <w:t>3</w:t>
            </w:r>
          </w:p>
        </w:tc>
        <w:tc>
          <w:tcPr>
            <w:tcW w:w="976" w:type="dxa"/>
            <w:shd w:val="clear" w:color="auto" w:fill="DBDBDB"/>
          </w:tcPr>
          <w:p>
            <w:pPr>
              <w:pStyle w:val="TableParagraph"/>
              <w:spacing w:before="39"/>
              <w:ind w:left="7"/>
              <w:jc w:val="center"/>
              <w:rPr>
                <w:rFonts w:ascii="Times New Roman" w:eastAsia="Times New Roman"/>
                <w:sz w:val="21"/>
              </w:rPr>
            </w:pPr>
            <w:r>
              <w:rPr>
                <w:spacing w:val="-18"/>
                <w:sz w:val="21"/>
              </w:rPr>
              <w:t>访视 </w:t>
            </w:r>
            <w:r>
              <w:rPr>
                <w:rFonts w:ascii="Times New Roman" w:eastAsia="Times New Roman"/>
                <w:spacing w:val="-10"/>
                <w:sz w:val="21"/>
              </w:rPr>
              <w:t>4</w:t>
            </w:r>
          </w:p>
        </w:tc>
        <w:tc>
          <w:tcPr>
            <w:tcW w:w="978" w:type="dxa"/>
            <w:shd w:val="clear" w:color="auto" w:fill="DBDBDB"/>
          </w:tcPr>
          <w:p>
            <w:pPr>
              <w:pStyle w:val="TableParagraph"/>
              <w:spacing w:before="39"/>
              <w:ind w:left="4"/>
              <w:jc w:val="center"/>
              <w:rPr>
                <w:rFonts w:ascii="Times New Roman" w:eastAsia="Times New Roman"/>
                <w:sz w:val="21"/>
              </w:rPr>
            </w:pPr>
            <w:r>
              <w:rPr>
                <w:spacing w:val="-18"/>
                <w:sz w:val="21"/>
              </w:rPr>
              <w:t>访视 </w:t>
            </w:r>
            <w:r>
              <w:rPr>
                <w:rFonts w:ascii="Times New Roman" w:eastAsia="Times New Roman"/>
                <w:spacing w:val="-10"/>
                <w:sz w:val="21"/>
              </w:rPr>
              <w:t>5</w:t>
            </w:r>
          </w:p>
        </w:tc>
        <w:tc>
          <w:tcPr>
            <w:tcW w:w="976" w:type="dxa"/>
            <w:shd w:val="clear" w:color="auto" w:fill="DBDBDB"/>
          </w:tcPr>
          <w:p>
            <w:pPr>
              <w:pStyle w:val="TableParagraph"/>
              <w:spacing w:before="39"/>
              <w:ind w:left="7" w:right="3"/>
              <w:jc w:val="center"/>
              <w:rPr>
                <w:rFonts w:ascii="Times New Roman" w:eastAsia="Times New Roman"/>
                <w:sz w:val="21"/>
              </w:rPr>
            </w:pPr>
            <w:r>
              <w:rPr>
                <w:spacing w:val="-18"/>
                <w:sz w:val="21"/>
              </w:rPr>
              <w:t>访视 </w:t>
            </w:r>
            <w:r>
              <w:rPr>
                <w:rFonts w:ascii="Times New Roman" w:eastAsia="Times New Roman"/>
                <w:spacing w:val="-10"/>
                <w:sz w:val="21"/>
              </w:rPr>
              <w:t>6</w:t>
            </w:r>
          </w:p>
        </w:tc>
        <w:tc>
          <w:tcPr>
            <w:tcW w:w="976" w:type="dxa"/>
            <w:shd w:val="clear" w:color="auto" w:fill="DBDBDB"/>
          </w:tcPr>
          <w:p>
            <w:pPr>
              <w:pStyle w:val="TableParagraph"/>
              <w:spacing w:before="39"/>
              <w:ind w:left="7" w:right="4"/>
              <w:jc w:val="center"/>
              <w:rPr>
                <w:rFonts w:ascii="Times New Roman" w:eastAsia="Times New Roman"/>
                <w:sz w:val="21"/>
              </w:rPr>
            </w:pPr>
            <w:r>
              <w:rPr>
                <w:spacing w:val="-18"/>
                <w:sz w:val="21"/>
              </w:rPr>
              <w:t>访视 </w:t>
            </w:r>
            <w:r>
              <w:rPr>
                <w:rFonts w:ascii="Times New Roman" w:eastAsia="Times New Roman"/>
                <w:spacing w:val="-10"/>
                <w:sz w:val="21"/>
              </w:rPr>
              <w:t>7</w:t>
            </w:r>
          </w:p>
        </w:tc>
        <w:tc>
          <w:tcPr>
            <w:tcW w:w="977" w:type="dxa"/>
            <w:shd w:val="clear" w:color="auto" w:fill="DBDBDB"/>
          </w:tcPr>
          <w:p>
            <w:pPr>
              <w:pStyle w:val="TableParagraph"/>
              <w:spacing w:before="39"/>
              <w:ind w:left="6" w:right="4"/>
              <w:jc w:val="center"/>
              <w:rPr>
                <w:rFonts w:ascii="Times New Roman" w:eastAsia="Times New Roman"/>
                <w:sz w:val="21"/>
              </w:rPr>
            </w:pPr>
            <w:r>
              <w:rPr>
                <w:spacing w:val="-18"/>
                <w:sz w:val="21"/>
              </w:rPr>
              <w:t>访视 </w:t>
            </w:r>
            <w:r>
              <w:rPr>
                <w:rFonts w:ascii="Times New Roman" w:eastAsia="Times New Roman"/>
                <w:spacing w:val="-10"/>
                <w:sz w:val="21"/>
              </w:rPr>
              <w:t>8</w:t>
            </w:r>
          </w:p>
        </w:tc>
        <w:tc>
          <w:tcPr>
            <w:tcW w:w="1127" w:type="dxa"/>
            <w:shd w:val="clear" w:color="auto" w:fill="DBDBDB"/>
          </w:tcPr>
          <w:p>
            <w:pPr>
              <w:pStyle w:val="TableParagraph"/>
              <w:spacing w:before="39"/>
              <w:ind w:left="3" w:right="1"/>
              <w:jc w:val="center"/>
              <w:rPr>
                <w:rFonts w:ascii="Times New Roman" w:eastAsia="Times New Roman"/>
                <w:sz w:val="21"/>
              </w:rPr>
            </w:pPr>
            <w:r>
              <w:rPr>
                <w:spacing w:val="-18"/>
                <w:sz w:val="21"/>
              </w:rPr>
              <w:t>访视 </w:t>
            </w:r>
            <w:r>
              <w:rPr>
                <w:rFonts w:ascii="Times New Roman" w:eastAsia="Times New Roman"/>
                <w:spacing w:val="-10"/>
                <w:sz w:val="21"/>
              </w:rPr>
              <w:t>9</w:t>
            </w:r>
          </w:p>
        </w:tc>
        <w:tc>
          <w:tcPr>
            <w:tcW w:w="1413" w:type="dxa"/>
            <w:vMerge/>
            <w:tcBorders>
              <w:top w:val="nil"/>
            </w:tcBorders>
            <w:shd w:val="clear" w:color="auto" w:fill="DBDBDB"/>
          </w:tcPr>
          <w:p>
            <w:pPr>
              <w:rPr>
                <w:sz w:val="2"/>
                <w:szCs w:val="2"/>
              </w:rPr>
            </w:pPr>
          </w:p>
        </w:tc>
        <w:tc>
          <w:tcPr>
            <w:tcW w:w="1176" w:type="dxa"/>
            <w:vMerge/>
            <w:tcBorders>
              <w:top w:val="nil"/>
            </w:tcBorders>
            <w:shd w:val="clear" w:color="auto" w:fill="DBDBDB"/>
          </w:tcPr>
          <w:p>
            <w:pPr>
              <w:rPr>
                <w:sz w:val="2"/>
                <w:szCs w:val="2"/>
              </w:rPr>
            </w:pPr>
          </w:p>
        </w:tc>
      </w:tr>
      <w:tr>
        <w:trPr>
          <w:trHeight w:val="624" w:hRule="atLeast"/>
        </w:trPr>
        <w:tc>
          <w:tcPr>
            <w:tcW w:w="1983" w:type="dxa"/>
            <w:shd w:val="clear" w:color="auto" w:fill="DBDBDB"/>
          </w:tcPr>
          <w:p>
            <w:pPr>
              <w:pStyle w:val="TableParagraph"/>
              <w:spacing w:line="273" w:lineRule="exact" w:before="38"/>
              <w:ind w:left="358"/>
              <w:rPr>
                <w:b/>
                <w:sz w:val="21"/>
              </w:rPr>
            </w:pPr>
            <w:r>
              <w:rPr>
                <w:b/>
                <w:spacing w:val="-4"/>
                <w:sz w:val="21"/>
              </w:rPr>
              <w:t>可选远程医疗</w:t>
            </w:r>
          </w:p>
          <w:p>
            <w:pPr>
              <w:pStyle w:val="TableParagraph"/>
              <w:spacing w:line="273" w:lineRule="exact"/>
              <w:ind w:left="446"/>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419" w:type="dxa"/>
            <w:shd w:val="clear" w:color="auto" w:fill="DBDBDB"/>
          </w:tcPr>
          <w:p>
            <w:pPr>
              <w:pStyle w:val="TableParagraph"/>
              <w:rPr>
                <w:rFonts w:ascii="Times New Roman"/>
                <w:sz w:val="20"/>
              </w:rPr>
            </w:pPr>
          </w:p>
        </w:tc>
        <w:tc>
          <w:tcPr>
            <w:tcW w:w="977"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8" w:type="dxa"/>
            <w:shd w:val="clear" w:color="auto" w:fill="DBDBDB"/>
          </w:tcPr>
          <w:p>
            <w:pPr>
              <w:pStyle w:val="TableParagraph"/>
              <w:spacing w:before="192"/>
              <w:ind w:left="4" w:right="1"/>
              <w:jc w:val="center"/>
              <w:rPr>
                <w:rFonts w:ascii="Times New Roman"/>
                <w:sz w:val="21"/>
              </w:rPr>
            </w:pPr>
            <w:r>
              <w:rPr>
                <w:rFonts w:ascii="Times New Roman"/>
                <w:spacing w:val="-10"/>
                <w:sz w:val="21"/>
              </w:rPr>
              <w:t>T</w:t>
            </w: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spacing w:before="192"/>
              <w:ind w:left="7" w:right="4"/>
              <w:jc w:val="center"/>
              <w:rPr>
                <w:rFonts w:ascii="Times New Roman"/>
                <w:sz w:val="21"/>
              </w:rPr>
            </w:pPr>
            <w:r>
              <w:rPr>
                <w:rFonts w:ascii="Times New Roman"/>
                <w:spacing w:val="-10"/>
                <w:sz w:val="21"/>
              </w:rPr>
              <w:t>T</w:t>
            </w:r>
          </w:p>
        </w:tc>
        <w:tc>
          <w:tcPr>
            <w:tcW w:w="977" w:type="dxa"/>
            <w:shd w:val="clear" w:color="auto" w:fill="DBDBDB"/>
          </w:tcPr>
          <w:p>
            <w:pPr>
              <w:pStyle w:val="TableParagraph"/>
              <w:rPr>
                <w:rFonts w:ascii="Times New Roman"/>
                <w:sz w:val="20"/>
              </w:rPr>
            </w:pPr>
          </w:p>
        </w:tc>
        <w:tc>
          <w:tcPr>
            <w:tcW w:w="1127" w:type="dxa"/>
            <w:shd w:val="clear" w:color="auto" w:fill="DBDBDB"/>
          </w:tcPr>
          <w:p>
            <w:pPr>
              <w:pStyle w:val="TableParagraph"/>
              <w:rPr>
                <w:rFonts w:ascii="Times New Roman"/>
                <w:sz w:val="20"/>
              </w:rPr>
            </w:pPr>
          </w:p>
        </w:tc>
        <w:tc>
          <w:tcPr>
            <w:tcW w:w="1413" w:type="dxa"/>
            <w:shd w:val="clear" w:color="auto" w:fill="DBDBDB"/>
          </w:tcPr>
          <w:p>
            <w:pPr>
              <w:pStyle w:val="TableParagraph"/>
              <w:rPr>
                <w:rFonts w:ascii="Times New Roman"/>
                <w:sz w:val="20"/>
              </w:rPr>
            </w:pPr>
          </w:p>
        </w:tc>
        <w:tc>
          <w:tcPr>
            <w:tcW w:w="1176" w:type="dxa"/>
            <w:vMerge/>
            <w:tcBorders>
              <w:top w:val="nil"/>
            </w:tcBorders>
            <w:shd w:val="clear" w:color="auto" w:fill="DBDBDB"/>
          </w:tcPr>
          <w:p>
            <w:pPr>
              <w:rPr>
                <w:sz w:val="2"/>
                <w:szCs w:val="2"/>
              </w:rPr>
            </w:pPr>
          </w:p>
        </w:tc>
      </w:tr>
      <w:tr>
        <w:trPr>
          <w:trHeight w:val="897" w:hRule="atLeast"/>
        </w:trPr>
        <w:tc>
          <w:tcPr>
            <w:tcW w:w="1983" w:type="dxa"/>
          </w:tcPr>
          <w:p>
            <w:pPr>
              <w:pStyle w:val="TableParagraph"/>
              <w:spacing w:before="38"/>
              <w:rPr>
                <w:b/>
                <w:sz w:val="21"/>
              </w:rPr>
            </w:pPr>
          </w:p>
          <w:p>
            <w:pPr>
              <w:pStyle w:val="TableParagraph"/>
              <w:ind w:left="464"/>
              <w:rPr>
                <w:b/>
                <w:sz w:val="21"/>
              </w:rPr>
            </w:pPr>
            <w:r>
              <w:rPr>
                <w:b/>
                <w:spacing w:val="-4"/>
                <w:sz w:val="21"/>
              </w:rPr>
              <w:t>访视时间窗</w:t>
            </w:r>
          </w:p>
        </w:tc>
        <w:tc>
          <w:tcPr>
            <w:tcW w:w="1419" w:type="dxa"/>
          </w:tcPr>
          <w:p>
            <w:pPr>
              <w:pStyle w:val="TableParagraph"/>
              <w:spacing w:before="38"/>
              <w:ind w:left="179" w:right="169" w:firstLine="3"/>
              <w:jc w:val="both"/>
              <w:rPr>
                <w:rFonts w:ascii="Times New Roman" w:eastAsia="Times New Roman"/>
                <w:sz w:val="21"/>
              </w:rPr>
            </w:pPr>
            <w:r>
              <w:rPr>
                <w:spacing w:val="-2"/>
                <w:sz w:val="21"/>
              </w:rPr>
              <w:t>访视日与前身研究的访</w:t>
            </w:r>
            <w:r>
              <w:rPr>
                <w:spacing w:val="-27"/>
                <w:sz w:val="21"/>
              </w:rPr>
              <w:t>视 </w:t>
            </w:r>
            <w:r>
              <w:rPr>
                <w:rFonts w:ascii="Times New Roman" w:eastAsia="Times New Roman"/>
                <w:sz w:val="21"/>
              </w:rPr>
              <w:t>15</w:t>
            </w:r>
            <w:r>
              <w:rPr>
                <w:rFonts w:ascii="Times New Roman" w:eastAsia="Times New Roman"/>
                <w:spacing w:val="-10"/>
                <w:sz w:val="21"/>
              </w:rPr>
              <w:t> </w:t>
            </w:r>
            <w:r>
              <w:rPr>
                <w:spacing w:val="25"/>
                <w:sz w:val="21"/>
              </w:rPr>
              <w:t>相同</w:t>
            </w:r>
            <w:r>
              <w:rPr>
                <w:rFonts w:ascii="Times New Roman" w:eastAsia="Times New Roman"/>
                <w:spacing w:val="-10"/>
                <w:sz w:val="21"/>
                <w:vertAlign w:val="superscript"/>
              </w:rPr>
              <w:t>b</w:t>
            </w:r>
          </w:p>
        </w:tc>
        <w:tc>
          <w:tcPr>
            <w:tcW w:w="7963" w:type="dxa"/>
            <w:gridSpan w:val="8"/>
          </w:tcPr>
          <w:p>
            <w:pPr>
              <w:pStyle w:val="TableParagraph"/>
              <w:spacing w:before="38"/>
              <w:rPr>
                <w:b/>
                <w:sz w:val="21"/>
              </w:rPr>
            </w:pPr>
          </w:p>
          <w:p>
            <w:pPr>
              <w:pStyle w:val="TableParagraph"/>
              <w:ind w:left="1"/>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413" w:type="dxa"/>
          </w:tcPr>
          <w:p>
            <w:pPr>
              <w:pStyle w:val="TableParagraph"/>
              <w:spacing w:before="38"/>
              <w:rPr>
                <w:b/>
                <w:sz w:val="21"/>
              </w:rPr>
            </w:pPr>
          </w:p>
          <w:p>
            <w:pPr>
              <w:pStyle w:val="TableParagraph"/>
              <w:jc w:val="center"/>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1176" w:type="dxa"/>
            <w:vMerge/>
            <w:tcBorders>
              <w:top w:val="nil"/>
            </w:tcBorders>
            <w:shd w:val="clear" w:color="auto" w:fill="DBDBDB"/>
          </w:tcPr>
          <w:p>
            <w:pPr>
              <w:rPr>
                <w:sz w:val="2"/>
                <w:szCs w:val="2"/>
              </w:rPr>
            </w:pPr>
          </w:p>
        </w:tc>
      </w:tr>
      <w:tr>
        <w:trPr>
          <w:trHeight w:val="593" w:hRule="atLeast"/>
        </w:trPr>
        <w:tc>
          <w:tcPr>
            <w:tcW w:w="1983" w:type="dxa"/>
          </w:tcPr>
          <w:p>
            <w:pPr>
              <w:pStyle w:val="TableParagraph"/>
              <w:spacing w:before="159"/>
              <w:ind w:left="107"/>
              <w:rPr>
                <w:rFonts w:ascii="Times New Roman" w:eastAsia="Times New Roman"/>
                <w:sz w:val="21"/>
              </w:rPr>
            </w:pPr>
            <w:r>
              <w:rPr>
                <w:rFonts w:ascii="Times New Roman" w:eastAsia="Times New Roman"/>
                <w:spacing w:val="-2"/>
                <w:sz w:val="21"/>
              </w:rPr>
              <w:t>AE</w:t>
            </w:r>
            <w:r>
              <w:rPr>
                <w:spacing w:val="-2"/>
                <w:sz w:val="21"/>
              </w:rPr>
              <w:t>、</w:t>
            </w:r>
            <w:r>
              <w:rPr>
                <w:rFonts w:ascii="Times New Roman" w:eastAsia="Times New Roman"/>
                <w:spacing w:val="-5"/>
                <w:sz w:val="21"/>
              </w:rPr>
              <w:t>SAE</w:t>
            </w:r>
          </w:p>
        </w:tc>
        <w:tc>
          <w:tcPr>
            <w:tcW w:w="1419" w:type="dxa"/>
          </w:tcPr>
          <w:p>
            <w:pPr>
              <w:pStyle w:val="TableParagraph"/>
              <w:spacing w:line="240" w:lineRule="exact" w:before="40"/>
              <w:ind w:left="505"/>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e</w:t>
            </w:r>
          </w:p>
          <w:p>
            <w:pPr>
              <w:pStyle w:val="TableParagraph"/>
              <w:spacing w:line="272" w:lineRule="exact"/>
              <w:ind w:left="210"/>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977" w:type="dxa"/>
          </w:tcPr>
          <w:p>
            <w:pPr>
              <w:pStyle w:val="TableParagraph"/>
              <w:spacing w:before="177"/>
              <w:ind w:left="6" w:right="1"/>
              <w:jc w:val="center"/>
              <w:rPr>
                <w:rFonts w:ascii="Times New Roman"/>
                <w:sz w:val="21"/>
              </w:rPr>
            </w:pPr>
            <w:r>
              <w:rPr>
                <w:rFonts w:ascii="Times New Roman"/>
                <w:spacing w:val="-10"/>
                <w:sz w:val="21"/>
              </w:rPr>
              <w:t>X</w:t>
            </w:r>
          </w:p>
        </w:tc>
        <w:tc>
          <w:tcPr>
            <w:tcW w:w="976" w:type="dxa"/>
          </w:tcPr>
          <w:p>
            <w:pPr>
              <w:pStyle w:val="TableParagraph"/>
              <w:spacing w:before="177"/>
              <w:ind w:left="7" w:right="1"/>
              <w:jc w:val="center"/>
              <w:rPr>
                <w:rFonts w:ascii="Times New Roman"/>
                <w:sz w:val="21"/>
              </w:rPr>
            </w:pPr>
            <w:r>
              <w:rPr>
                <w:rFonts w:ascii="Times New Roman"/>
                <w:spacing w:val="-10"/>
                <w:sz w:val="21"/>
              </w:rPr>
              <w:t>X</w:t>
            </w: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spacing w:before="177"/>
              <w:ind w:left="4" w:right="2"/>
              <w:jc w:val="center"/>
              <w:rPr>
                <w:rFonts w:ascii="Times New Roman"/>
                <w:sz w:val="21"/>
              </w:rPr>
            </w:pPr>
            <w:r>
              <w:rPr>
                <w:rFonts w:ascii="Times New Roman"/>
                <w:spacing w:val="-10"/>
                <w:sz w:val="21"/>
              </w:rPr>
              <w:t>X</w:t>
            </w:r>
          </w:p>
        </w:tc>
        <w:tc>
          <w:tcPr>
            <w:tcW w:w="976" w:type="dxa"/>
          </w:tcPr>
          <w:p>
            <w:pPr>
              <w:pStyle w:val="TableParagraph"/>
              <w:spacing w:before="177"/>
              <w:ind w:left="7" w:right="4"/>
              <w:jc w:val="center"/>
              <w:rPr>
                <w:rFonts w:ascii="Times New Roman"/>
                <w:sz w:val="21"/>
              </w:rPr>
            </w:pPr>
            <w:r>
              <w:rPr>
                <w:rFonts w:ascii="Times New Roman"/>
                <w:spacing w:val="-10"/>
                <w:sz w:val="21"/>
              </w:rPr>
              <w:t>X</w:t>
            </w:r>
          </w:p>
        </w:tc>
        <w:tc>
          <w:tcPr>
            <w:tcW w:w="976" w:type="dxa"/>
          </w:tcPr>
          <w:p>
            <w:pPr>
              <w:pStyle w:val="TableParagraph"/>
              <w:spacing w:before="177"/>
              <w:ind w:left="7" w:right="5"/>
              <w:jc w:val="center"/>
              <w:rPr>
                <w:rFonts w:ascii="Times New Roman"/>
                <w:sz w:val="21"/>
              </w:rPr>
            </w:pPr>
            <w:r>
              <w:rPr>
                <w:rFonts w:ascii="Times New Roman"/>
                <w:spacing w:val="-10"/>
                <w:sz w:val="21"/>
              </w:rPr>
              <w:t>X</w:t>
            </w: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jc w:val="center"/>
              <w:rPr>
                <w:rFonts w:ascii="Times New Roman"/>
                <w:sz w:val="21"/>
              </w:rPr>
            </w:pPr>
            <w:hyperlink w:history="true" w:anchor="_bookmark93">
              <w:r>
                <w:rPr>
                  <w:rFonts w:ascii="Times New Roman"/>
                  <w:color w:val="0000FF"/>
                  <w:spacing w:val="-5"/>
                  <w:sz w:val="21"/>
                </w:rPr>
                <w:t>8.3</w:t>
              </w:r>
            </w:hyperlink>
          </w:p>
        </w:tc>
      </w:tr>
      <w:tr>
        <w:trPr>
          <w:trHeight w:val="352" w:hRule="atLeast"/>
        </w:trPr>
        <w:tc>
          <w:tcPr>
            <w:tcW w:w="1983" w:type="dxa"/>
          </w:tcPr>
          <w:p>
            <w:pPr>
              <w:pStyle w:val="TableParagraph"/>
              <w:spacing w:before="39"/>
              <w:ind w:left="107"/>
              <w:rPr>
                <w:rFonts w:ascii="Times New Roman" w:eastAsia="Times New Roman"/>
                <w:sz w:val="21"/>
              </w:rPr>
            </w:pPr>
            <w:r>
              <w:rPr>
                <w:spacing w:val="-9"/>
                <w:sz w:val="21"/>
              </w:rPr>
              <w:t>超声心动图 </w:t>
            </w:r>
            <w:r>
              <w:rPr>
                <w:rFonts w:ascii="Times New Roman" w:eastAsia="Times New Roman"/>
                <w:sz w:val="21"/>
                <w:vertAlign w:val="superscript"/>
              </w:rPr>
              <w:t>g</w:t>
            </w:r>
            <w:r>
              <w:rPr>
                <w:rFonts w:ascii="Times New Roman" w:eastAsia="Times New Roman"/>
                <w:spacing w:val="-10"/>
                <w:sz w:val="21"/>
                <w:vertAlign w:val="superscript"/>
              </w:rPr>
              <w:t>, i</w:t>
            </w:r>
          </w:p>
        </w:tc>
        <w:tc>
          <w:tcPr>
            <w:tcW w:w="1419" w:type="dxa"/>
          </w:tcPr>
          <w:p>
            <w:pPr>
              <w:pStyle w:val="TableParagraph"/>
              <w:rPr>
                <w:rFonts w:ascii="Times New Roman"/>
                <w:sz w:val="20"/>
              </w:rPr>
            </w:pP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55"/>
              <w:ind w:left="6" w:right="6"/>
              <w:jc w:val="center"/>
              <w:rPr>
                <w:rFonts w:ascii="Times New Roman"/>
                <w:sz w:val="21"/>
              </w:rPr>
            </w:pPr>
            <w:r>
              <w:rPr>
                <w:rFonts w:ascii="Times New Roman"/>
                <w:spacing w:val="-10"/>
                <w:sz w:val="21"/>
              </w:rPr>
              <w:t>X</w:t>
            </w:r>
          </w:p>
        </w:tc>
        <w:tc>
          <w:tcPr>
            <w:tcW w:w="1127" w:type="dxa"/>
          </w:tcPr>
          <w:p>
            <w:pPr>
              <w:pStyle w:val="TableParagraph"/>
              <w:rPr>
                <w:rFonts w:ascii="Times New Roman"/>
                <w:sz w:val="20"/>
              </w:rPr>
            </w:pPr>
          </w:p>
        </w:tc>
        <w:tc>
          <w:tcPr>
            <w:tcW w:w="1413" w:type="dxa"/>
          </w:tcPr>
          <w:p>
            <w:pPr>
              <w:pStyle w:val="TableParagraph"/>
              <w:spacing w:before="55"/>
              <w:jc w:val="center"/>
              <w:rPr>
                <w:rFonts w:ascii="Times New Roman"/>
                <w:sz w:val="21"/>
              </w:rPr>
            </w:pPr>
            <w:r>
              <w:rPr>
                <w:rFonts w:ascii="Times New Roman"/>
                <w:spacing w:val="-10"/>
                <w:sz w:val="21"/>
              </w:rPr>
              <w:t>X</w:t>
            </w:r>
          </w:p>
        </w:tc>
        <w:tc>
          <w:tcPr>
            <w:tcW w:w="1176" w:type="dxa"/>
          </w:tcPr>
          <w:p>
            <w:pPr>
              <w:pStyle w:val="TableParagraph"/>
              <w:spacing w:before="55"/>
              <w:ind w:left="3" w:right="1"/>
              <w:jc w:val="center"/>
              <w:rPr>
                <w:rFonts w:ascii="Times New Roman"/>
                <w:sz w:val="21"/>
              </w:rPr>
            </w:pPr>
            <w:hyperlink w:history="true" w:anchor="_bookmark90">
              <w:r>
                <w:rPr>
                  <w:rFonts w:ascii="Times New Roman"/>
                  <w:color w:val="0000FF"/>
                  <w:spacing w:val="-2"/>
                  <w:sz w:val="21"/>
                </w:rPr>
                <w:t>8.2.5</w:t>
              </w:r>
            </w:hyperlink>
          </w:p>
        </w:tc>
      </w:tr>
      <w:tr>
        <w:trPr>
          <w:trHeight w:val="352" w:hRule="atLeast"/>
        </w:trPr>
        <w:tc>
          <w:tcPr>
            <w:tcW w:w="13954" w:type="dxa"/>
            <w:gridSpan w:val="12"/>
            <w:shd w:val="clear" w:color="auto" w:fill="D9D9D9"/>
          </w:tcPr>
          <w:p>
            <w:pPr>
              <w:pStyle w:val="TableParagraph"/>
              <w:spacing w:before="39"/>
              <w:ind w:left="107"/>
              <w:rPr>
                <w:b/>
                <w:sz w:val="21"/>
              </w:rPr>
            </w:pPr>
            <w:r>
              <w:rPr>
                <w:b/>
                <w:spacing w:val="-4"/>
                <w:sz w:val="21"/>
              </w:rPr>
              <w:t>实验室评估</w:t>
            </w:r>
          </w:p>
        </w:tc>
      </w:tr>
      <w:tr>
        <w:trPr>
          <w:trHeight w:val="624" w:hRule="atLeast"/>
        </w:trPr>
        <w:tc>
          <w:tcPr>
            <w:tcW w:w="1983" w:type="dxa"/>
          </w:tcPr>
          <w:p>
            <w:pPr>
              <w:pStyle w:val="TableParagraph"/>
              <w:spacing w:before="38"/>
              <w:ind w:left="107" w:right="183"/>
              <w:rPr>
                <w:sz w:val="21"/>
              </w:rPr>
            </w:pPr>
            <w:r>
              <w:rPr>
                <w:spacing w:val="-2"/>
                <w:sz w:val="21"/>
              </w:rPr>
              <w:t>临床生化（包括血浆纤维蛋白原）</w:t>
            </w:r>
          </w:p>
        </w:tc>
        <w:tc>
          <w:tcPr>
            <w:tcW w:w="1419" w:type="dxa"/>
          </w:tcPr>
          <w:p>
            <w:pPr>
              <w:pStyle w:val="TableParagraph"/>
              <w:spacing w:line="240" w:lineRule="exact" w:before="55"/>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spacing w:before="192"/>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92"/>
              <w:ind w:left="6" w:right="6"/>
              <w:jc w:val="center"/>
              <w:rPr>
                <w:rFonts w:ascii="Times New Roman"/>
                <w:sz w:val="21"/>
              </w:rPr>
            </w:pPr>
            <w:r>
              <w:rPr>
                <w:rFonts w:ascii="Times New Roman"/>
                <w:spacing w:val="-10"/>
                <w:sz w:val="21"/>
              </w:rPr>
              <w:t>X</w:t>
            </w:r>
          </w:p>
        </w:tc>
        <w:tc>
          <w:tcPr>
            <w:tcW w:w="1127" w:type="dxa"/>
          </w:tcPr>
          <w:p>
            <w:pPr>
              <w:pStyle w:val="TableParagraph"/>
              <w:spacing w:before="192"/>
              <w:ind w:left="3" w:right="2"/>
              <w:jc w:val="center"/>
              <w:rPr>
                <w:rFonts w:ascii="Times New Roman"/>
                <w:sz w:val="21"/>
              </w:rPr>
            </w:pPr>
            <w:r>
              <w:rPr>
                <w:rFonts w:ascii="Times New Roman"/>
                <w:spacing w:val="-10"/>
                <w:sz w:val="21"/>
              </w:rPr>
              <w:t>X</w:t>
            </w:r>
          </w:p>
        </w:tc>
        <w:tc>
          <w:tcPr>
            <w:tcW w:w="1413" w:type="dxa"/>
          </w:tcPr>
          <w:p>
            <w:pPr>
              <w:pStyle w:val="TableParagraph"/>
              <w:spacing w:before="192"/>
              <w:jc w:val="center"/>
              <w:rPr>
                <w:rFonts w:ascii="Times New Roman"/>
                <w:sz w:val="21"/>
              </w:rPr>
            </w:pPr>
            <w:r>
              <w:rPr>
                <w:rFonts w:ascii="Times New Roman"/>
                <w:spacing w:val="-10"/>
                <w:sz w:val="21"/>
              </w:rPr>
              <w:t>X</w:t>
            </w:r>
          </w:p>
        </w:tc>
        <w:tc>
          <w:tcPr>
            <w:tcW w:w="1176" w:type="dxa"/>
          </w:tcPr>
          <w:p>
            <w:pPr>
              <w:pStyle w:val="TableParagraph"/>
              <w:spacing w:before="192"/>
              <w:ind w:left="3" w:right="1"/>
              <w:jc w:val="center"/>
              <w:rPr>
                <w:rFonts w:ascii="Times New Roman"/>
                <w:sz w:val="21"/>
              </w:rPr>
            </w:pPr>
            <w:hyperlink w:history="true" w:anchor="_bookmark91">
              <w:r>
                <w:rPr>
                  <w:rFonts w:ascii="Times New Roman"/>
                  <w:color w:val="0000FF"/>
                  <w:spacing w:val="-2"/>
                  <w:sz w:val="21"/>
                </w:rPr>
                <w:t>8.2.6</w:t>
              </w:r>
            </w:hyperlink>
          </w:p>
        </w:tc>
      </w:tr>
      <w:tr>
        <w:trPr>
          <w:trHeight w:val="593" w:hRule="atLeast"/>
        </w:trPr>
        <w:tc>
          <w:tcPr>
            <w:tcW w:w="1983" w:type="dxa"/>
          </w:tcPr>
          <w:p>
            <w:pPr>
              <w:pStyle w:val="TableParagraph"/>
              <w:spacing w:before="177"/>
              <w:ind w:left="107"/>
              <w:rPr>
                <w:rFonts w:ascii="Times New Roman"/>
                <w:sz w:val="21"/>
              </w:rPr>
            </w:pPr>
            <w:r>
              <w:rPr>
                <w:rFonts w:ascii="Times New Roman"/>
                <w:spacing w:val="-2"/>
                <w:sz w:val="21"/>
              </w:rPr>
              <w:t>NT-proBNP</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91">
              <w:r>
                <w:rPr>
                  <w:rFonts w:ascii="Times New Roman"/>
                  <w:color w:val="0000FF"/>
                  <w:spacing w:val="-2"/>
                  <w:sz w:val="21"/>
                </w:rPr>
                <w:t>8.2.6</w:t>
              </w:r>
            </w:hyperlink>
          </w:p>
        </w:tc>
      </w:tr>
      <w:tr>
        <w:trPr>
          <w:trHeight w:val="594" w:hRule="atLeast"/>
        </w:trPr>
        <w:tc>
          <w:tcPr>
            <w:tcW w:w="1983" w:type="dxa"/>
          </w:tcPr>
          <w:p>
            <w:pPr>
              <w:pStyle w:val="TableParagraph"/>
              <w:spacing w:before="159"/>
              <w:ind w:left="107"/>
              <w:rPr>
                <w:sz w:val="21"/>
              </w:rPr>
            </w:pPr>
            <w:r>
              <w:rPr>
                <w:spacing w:val="-4"/>
                <w:sz w:val="21"/>
              </w:rPr>
              <w:t>血液学</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91">
              <w:r>
                <w:rPr>
                  <w:rFonts w:ascii="Times New Roman"/>
                  <w:color w:val="0000FF"/>
                  <w:spacing w:val="-2"/>
                  <w:sz w:val="21"/>
                </w:rPr>
                <w:t>8.2.6</w:t>
              </w:r>
            </w:hyperlink>
          </w:p>
        </w:tc>
      </w:tr>
      <w:tr>
        <w:trPr>
          <w:trHeight w:val="594" w:hRule="atLeast"/>
        </w:trPr>
        <w:tc>
          <w:tcPr>
            <w:tcW w:w="1983" w:type="dxa"/>
          </w:tcPr>
          <w:p>
            <w:pPr>
              <w:pStyle w:val="TableParagraph"/>
              <w:spacing w:before="159"/>
              <w:ind w:left="107"/>
              <w:rPr>
                <w:sz w:val="21"/>
              </w:rPr>
            </w:pPr>
            <w:r>
              <w:rPr>
                <w:spacing w:val="-4"/>
                <w:sz w:val="21"/>
              </w:rPr>
              <w:t>尿分析</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91">
              <w:r>
                <w:rPr>
                  <w:rFonts w:ascii="Times New Roman"/>
                  <w:color w:val="0000FF"/>
                  <w:spacing w:val="-2"/>
                  <w:sz w:val="21"/>
                </w:rPr>
                <w:t>8.2.6</w:t>
              </w:r>
            </w:hyperlink>
          </w:p>
        </w:tc>
      </w:tr>
      <w:tr>
        <w:trPr>
          <w:trHeight w:val="352" w:hRule="atLeast"/>
        </w:trPr>
        <w:tc>
          <w:tcPr>
            <w:tcW w:w="1983" w:type="dxa"/>
          </w:tcPr>
          <w:p>
            <w:pPr>
              <w:pStyle w:val="TableParagraph"/>
              <w:spacing w:before="38"/>
              <w:ind w:left="107"/>
              <w:rPr>
                <w:rFonts w:ascii="Times New Roman" w:eastAsia="Times New Roman"/>
                <w:sz w:val="21"/>
              </w:rPr>
            </w:pPr>
            <w:r>
              <w:rPr>
                <w:rFonts w:ascii="Times New Roman" w:eastAsia="Times New Roman"/>
                <w:spacing w:val="-2"/>
                <w:sz w:val="21"/>
              </w:rPr>
              <w:t>FSH</w:t>
            </w:r>
            <w:r>
              <w:rPr>
                <w:spacing w:val="-2"/>
                <w:sz w:val="21"/>
              </w:rPr>
              <w:t>（如适用</w:t>
            </w:r>
            <w:r>
              <w:rPr>
                <w:spacing w:val="-5"/>
                <w:sz w:val="21"/>
              </w:rPr>
              <w:t>）</w:t>
            </w:r>
            <w:r>
              <w:rPr>
                <w:rFonts w:ascii="Times New Roman" w:eastAsia="Times New Roman"/>
                <w:spacing w:val="-5"/>
                <w:sz w:val="21"/>
                <w:vertAlign w:val="superscript"/>
              </w:rPr>
              <w:t>j</w:t>
            </w:r>
          </w:p>
        </w:tc>
        <w:tc>
          <w:tcPr>
            <w:tcW w:w="1419" w:type="dxa"/>
          </w:tcPr>
          <w:p>
            <w:pPr>
              <w:pStyle w:val="TableParagraph"/>
              <w:spacing w:before="55"/>
              <w:ind w:left="9" w:right="3"/>
              <w:jc w:val="center"/>
              <w:rPr>
                <w:rFonts w:ascii="Times New Roman"/>
                <w:sz w:val="21"/>
              </w:rPr>
            </w:pPr>
            <w:r>
              <w:rPr>
                <w:rFonts w:ascii="Times New Roman"/>
                <w:spacing w:val="-5"/>
                <w:sz w:val="21"/>
              </w:rP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TableParagraph"/>
              <w:spacing w:before="40"/>
              <w:ind w:left="3" w:right="1"/>
              <w:jc w:val="center"/>
              <w:rPr>
                <w:rFonts w:ascii="Times New Roman"/>
                <w:sz w:val="21"/>
              </w:rPr>
            </w:pPr>
            <w:hyperlink w:history="true" w:anchor="_bookmark91">
              <w:r>
                <w:rPr>
                  <w:rFonts w:ascii="Times New Roman"/>
                  <w:color w:val="0000FF"/>
                  <w:spacing w:val="-2"/>
                  <w:sz w:val="21"/>
                </w:rPr>
                <w:t>8.2.6</w:t>
              </w:r>
            </w:hyperlink>
          </w:p>
        </w:tc>
      </w:tr>
      <w:tr>
        <w:trPr>
          <w:trHeight w:val="623" w:hRule="atLeast"/>
        </w:trPr>
        <w:tc>
          <w:tcPr>
            <w:tcW w:w="1983" w:type="dxa"/>
          </w:tcPr>
          <w:p>
            <w:pPr>
              <w:pStyle w:val="TableParagraph"/>
              <w:spacing w:before="36"/>
              <w:ind w:left="107" w:right="183"/>
              <w:rPr>
                <w:rFonts w:ascii="Times New Roman" w:eastAsia="Times New Roman"/>
                <w:sz w:val="21"/>
              </w:rPr>
            </w:pPr>
            <w:r>
              <w:rPr>
                <w:spacing w:val="-2"/>
                <w:sz w:val="21"/>
              </w:rPr>
              <w:t>血清妊娠试验（</w:t>
            </w:r>
            <w:r>
              <w:rPr>
                <w:spacing w:val="-2"/>
                <w:sz w:val="21"/>
              </w:rPr>
              <w:t>仅</w:t>
            </w:r>
            <w:r>
              <w:rPr>
                <w:spacing w:val="-14"/>
                <w:sz w:val="21"/>
              </w:rPr>
              <w:t>适用于 </w:t>
            </w:r>
            <w:r>
              <w:rPr>
                <w:rFonts w:ascii="Times New Roman" w:eastAsia="Times New Roman"/>
                <w:spacing w:val="-2"/>
                <w:sz w:val="21"/>
              </w:rPr>
              <w:t>FOCBP</w:t>
            </w:r>
            <w:r>
              <w:rPr>
                <w:spacing w:val="-2"/>
                <w:sz w:val="21"/>
              </w:rPr>
              <w:t>）</w:t>
            </w:r>
            <w:r>
              <w:rPr>
                <w:rFonts w:ascii="Times New Roman" w:eastAsia="Times New Roman"/>
                <w:spacing w:val="-2"/>
                <w:sz w:val="21"/>
                <w:vertAlign w:val="superscript"/>
              </w:rPr>
              <w:t>k</w:t>
            </w:r>
          </w:p>
        </w:tc>
        <w:tc>
          <w:tcPr>
            <w:tcW w:w="1419" w:type="dxa"/>
          </w:tcPr>
          <w:p>
            <w:pPr>
              <w:pStyle w:val="TableParagraph"/>
              <w:spacing w:before="191"/>
              <w:ind w:left="9"/>
              <w:jc w:val="center"/>
              <w:rPr>
                <w:rFonts w:ascii="Times New Roman"/>
                <w:sz w:val="21"/>
              </w:rPr>
            </w:pPr>
            <w:r>
              <w:rPr>
                <w:rFonts w:ascii="Times New Roman"/>
                <w:spacing w:val="-10"/>
                <w:sz w:val="21"/>
              </w:rPr>
              <w:t>X</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TableParagraph"/>
              <w:spacing w:before="191"/>
              <w:ind w:left="3" w:right="1"/>
              <w:jc w:val="center"/>
              <w:rPr>
                <w:rFonts w:ascii="Times New Roman"/>
                <w:sz w:val="21"/>
              </w:rPr>
            </w:pPr>
            <w:hyperlink w:history="true" w:anchor="_bookmark91">
              <w:r>
                <w:rPr>
                  <w:rFonts w:ascii="Times New Roman"/>
                  <w:color w:val="0000FF"/>
                  <w:spacing w:val="-2"/>
                  <w:sz w:val="21"/>
                </w:rPr>
                <w:t>8.2.6</w:t>
              </w:r>
            </w:hyperlink>
          </w:p>
        </w:tc>
      </w:tr>
      <w:tr>
        <w:trPr>
          <w:trHeight w:val="898" w:hRule="atLeast"/>
        </w:trPr>
        <w:tc>
          <w:tcPr>
            <w:tcW w:w="1983" w:type="dxa"/>
          </w:tcPr>
          <w:p>
            <w:pPr>
              <w:pStyle w:val="TableParagraph"/>
              <w:spacing w:before="38"/>
              <w:ind w:left="107" w:right="393"/>
              <w:rPr>
                <w:rFonts w:ascii="Times New Roman" w:eastAsia="Times New Roman"/>
                <w:sz w:val="21"/>
              </w:rPr>
            </w:pPr>
            <w:r>
              <w:rPr>
                <w:spacing w:val="-2"/>
                <w:sz w:val="21"/>
              </w:rPr>
              <w:t>尿妊娠试验（</w:t>
            </w:r>
            <w:r>
              <w:rPr>
                <w:spacing w:val="-2"/>
                <w:sz w:val="21"/>
              </w:rPr>
              <w:t>试纸，仅适用于 </w:t>
            </w:r>
            <w:r>
              <w:rPr>
                <w:rFonts w:ascii="Times New Roman" w:eastAsia="Times New Roman"/>
                <w:spacing w:val="-2"/>
                <w:sz w:val="21"/>
              </w:rPr>
              <w:t>FOCBP</w:t>
            </w:r>
            <w:r>
              <w:rPr>
                <w:spacing w:val="-2"/>
                <w:sz w:val="21"/>
              </w:rPr>
              <w:t>）</w:t>
            </w:r>
            <w:r>
              <w:rPr>
                <w:rFonts w:ascii="Times New Roman" w:eastAsia="Times New Roman"/>
                <w:spacing w:val="-2"/>
                <w:sz w:val="21"/>
                <w:vertAlign w:val="superscript"/>
              </w:rPr>
              <w:t>l</w:t>
            </w:r>
          </w:p>
        </w:tc>
        <w:tc>
          <w:tcPr>
            <w:tcW w:w="1419" w:type="dxa"/>
          </w:tcPr>
          <w:p>
            <w:pPr>
              <w:pStyle w:val="TableParagraph"/>
              <w:spacing w:line="240" w:lineRule="exact" w:before="192"/>
              <w:ind w:left="505"/>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e</w:t>
            </w:r>
          </w:p>
          <w:p>
            <w:pPr>
              <w:pStyle w:val="TableParagraph"/>
              <w:spacing w:line="272" w:lineRule="exact"/>
              <w:ind w:left="210"/>
              <w:rPr>
                <w:sz w:val="21"/>
              </w:rPr>
            </w:pPr>
            <w:r>
              <w:rPr>
                <w:sz w:val="21"/>
              </w:rPr>
              <w:t>（</w:t>
            </w:r>
            <w:r>
              <w:rPr>
                <w:rFonts w:ascii="Times New Roman" w:hAnsi="Times New Roman" w:eastAsia="Times New Roman"/>
                <w:sz w:val="21"/>
              </w:rPr>
              <w:t>≥1</w:t>
            </w:r>
            <w:r>
              <w:rPr>
                <w:rFonts w:ascii="Times New Roman" w:hAnsi="Times New Roman" w:eastAsia="Times New Roman"/>
                <w:spacing w:val="-11"/>
                <w:sz w:val="21"/>
              </w:rPr>
              <w:t> </w:t>
            </w:r>
            <w:r>
              <w:rPr>
                <w:sz w:val="21"/>
              </w:rPr>
              <w:t>天</w:t>
            </w:r>
            <w:r>
              <w:rPr>
                <w:spacing w:val="-10"/>
                <w:sz w:val="21"/>
              </w:rPr>
              <w:t>）</w:t>
            </w:r>
          </w:p>
        </w:tc>
        <w:tc>
          <w:tcPr>
            <w:tcW w:w="977" w:type="dxa"/>
          </w:tcPr>
          <w:p>
            <w:pPr>
              <w:pStyle w:val="TableParagraph"/>
              <w:spacing w:before="56"/>
              <w:rPr>
                <w:b/>
                <w:sz w:val="21"/>
              </w:rPr>
            </w:pPr>
          </w:p>
          <w:p>
            <w:pPr>
              <w:pStyle w:val="TableParagraph"/>
              <w:ind w:left="6" w:right="1"/>
              <w:jc w:val="center"/>
              <w:rPr>
                <w:rFonts w:ascii="Times New Roman"/>
                <w:sz w:val="21"/>
              </w:rPr>
            </w:pPr>
            <w:r>
              <w:rPr>
                <w:rFonts w:ascii="Times New Roman"/>
                <w:spacing w:val="-10"/>
                <w:sz w:val="21"/>
              </w:rPr>
              <w:t>X</w:t>
            </w:r>
          </w:p>
        </w:tc>
        <w:tc>
          <w:tcPr>
            <w:tcW w:w="976" w:type="dxa"/>
          </w:tcPr>
          <w:p>
            <w:pPr>
              <w:pStyle w:val="TableParagraph"/>
              <w:spacing w:before="56"/>
              <w:rPr>
                <w:b/>
                <w:sz w:val="21"/>
              </w:rPr>
            </w:pPr>
          </w:p>
          <w:p>
            <w:pPr>
              <w:pStyle w:val="TableParagraph"/>
              <w:ind w:left="7" w:right="1"/>
              <w:jc w:val="center"/>
              <w:rPr>
                <w:rFonts w:ascii="Times New Roman"/>
                <w:sz w:val="21"/>
              </w:rPr>
            </w:pPr>
            <w:r>
              <w:rPr>
                <w:rFonts w:ascii="Times New Roman"/>
                <w:spacing w:val="-10"/>
                <w:sz w:val="21"/>
              </w:rPr>
              <w:t>X</w:t>
            </w:r>
          </w:p>
        </w:tc>
        <w:tc>
          <w:tcPr>
            <w:tcW w:w="976" w:type="dxa"/>
          </w:tcPr>
          <w:p>
            <w:pPr>
              <w:pStyle w:val="TableParagraph"/>
              <w:spacing w:before="56"/>
              <w:rPr>
                <w:b/>
                <w:sz w:val="21"/>
              </w:rPr>
            </w:pPr>
          </w:p>
          <w:p>
            <w:pPr>
              <w:pStyle w:val="TableParagraph"/>
              <w:ind w:left="7" w:right="2"/>
              <w:jc w:val="center"/>
              <w:rPr>
                <w:rFonts w:ascii="Times New Roman"/>
                <w:sz w:val="21"/>
              </w:rPr>
            </w:pPr>
            <w:r>
              <w:rPr>
                <w:rFonts w:ascii="Times New Roman"/>
                <w:spacing w:val="-10"/>
                <w:sz w:val="21"/>
              </w:rPr>
              <w:t>X</w:t>
            </w:r>
          </w:p>
        </w:tc>
        <w:tc>
          <w:tcPr>
            <w:tcW w:w="978" w:type="dxa"/>
          </w:tcPr>
          <w:p>
            <w:pPr>
              <w:pStyle w:val="TableParagraph"/>
              <w:spacing w:before="56"/>
              <w:rPr>
                <w:b/>
                <w:sz w:val="21"/>
              </w:rPr>
            </w:pPr>
          </w:p>
          <w:p>
            <w:pPr>
              <w:pStyle w:val="TableParagraph"/>
              <w:ind w:left="4" w:right="2"/>
              <w:jc w:val="center"/>
              <w:rPr>
                <w:rFonts w:ascii="Times New Roman"/>
                <w:sz w:val="21"/>
              </w:rPr>
            </w:pPr>
            <w:r>
              <w:rPr>
                <w:rFonts w:ascii="Times New Roman"/>
                <w:spacing w:val="-10"/>
                <w:sz w:val="21"/>
              </w:rPr>
              <w:t>X</w:t>
            </w:r>
          </w:p>
        </w:tc>
        <w:tc>
          <w:tcPr>
            <w:tcW w:w="976" w:type="dxa"/>
          </w:tcPr>
          <w:p>
            <w:pPr>
              <w:pStyle w:val="TableParagraph"/>
              <w:spacing w:before="56"/>
              <w:rPr>
                <w:b/>
                <w:sz w:val="21"/>
              </w:rPr>
            </w:pPr>
          </w:p>
          <w:p>
            <w:pPr>
              <w:pStyle w:val="TableParagraph"/>
              <w:ind w:left="7" w:right="4"/>
              <w:jc w:val="center"/>
              <w:rPr>
                <w:rFonts w:ascii="Times New Roman"/>
                <w:sz w:val="21"/>
              </w:rPr>
            </w:pPr>
            <w:r>
              <w:rPr>
                <w:rFonts w:ascii="Times New Roman"/>
                <w:spacing w:val="-10"/>
                <w:sz w:val="21"/>
              </w:rPr>
              <w:t>X</w:t>
            </w:r>
          </w:p>
        </w:tc>
        <w:tc>
          <w:tcPr>
            <w:tcW w:w="976" w:type="dxa"/>
          </w:tcPr>
          <w:p>
            <w:pPr>
              <w:pStyle w:val="TableParagraph"/>
              <w:spacing w:before="56"/>
              <w:rPr>
                <w:b/>
                <w:sz w:val="21"/>
              </w:rPr>
            </w:pPr>
          </w:p>
          <w:p>
            <w:pPr>
              <w:pStyle w:val="TableParagraph"/>
              <w:ind w:left="7" w:right="5"/>
              <w:jc w:val="center"/>
              <w:rPr>
                <w:rFonts w:ascii="Times New Roman"/>
                <w:sz w:val="21"/>
              </w:rPr>
            </w:pPr>
            <w:r>
              <w:rPr>
                <w:rFonts w:ascii="Times New Roman"/>
                <w:spacing w:val="-10"/>
                <w:sz w:val="21"/>
              </w:rPr>
              <w:t>X</w:t>
            </w:r>
          </w:p>
        </w:tc>
        <w:tc>
          <w:tcPr>
            <w:tcW w:w="977" w:type="dxa"/>
          </w:tcPr>
          <w:p>
            <w:pPr>
              <w:pStyle w:val="TableParagraph"/>
              <w:spacing w:before="56"/>
              <w:rPr>
                <w:b/>
                <w:sz w:val="21"/>
              </w:rPr>
            </w:pPr>
          </w:p>
          <w:p>
            <w:pPr>
              <w:pStyle w:val="TableParagraph"/>
              <w:ind w:left="6" w:right="6"/>
              <w:jc w:val="center"/>
              <w:rPr>
                <w:rFonts w:ascii="Times New Roman"/>
                <w:sz w:val="21"/>
              </w:rPr>
            </w:pPr>
            <w:r>
              <w:rPr>
                <w:rFonts w:ascii="Times New Roman"/>
                <w:spacing w:val="-10"/>
                <w:sz w:val="21"/>
              </w:rPr>
              <w:t>X</w:t>
            </w:r>
          </w:p>
        </w:tc>
        <w:tc>
          <w:tcPr>
            <w:tcW w:w="1127" w:type="dxa"/>
          </w:tcPr>
          <w:p>
            <w:pPr>
              <w:pStyle w:val="TableParagraph"/>
              <w:spacing w:before="56"/>
              <w:rPr>
                <w:b/>
                <w:sz w:val="21"/>
              </w:rPr>
            </w:pPr>
          </w:p>
          <w:p>
            <w:pPr>
              <w:pStyle w:val="TableParagraph"/>
              <w:ind w:left="3" w:right="2"/>
              <w:jc w:val="center"/>
              <w:rPr>
                <w:rFonts w:ascii="Times New Roman"/>
                <w:sz w:val="21"/>
              </w:rPr>
            </w:pPr>
            <w:r>
              <w:rPr>
                <w:rFonts w:ascii="Times New Roman"/>
                <w:spacing w:val="-10"/>
                <w:sz w:val="21"/>
              </w:rPr>
              <w:t>X</w:t>
            </w:r>
          </w:p>
        </w:tc>
        <w:tc>
          <w:tcPr>
            <w:tcW w:w="1413" w:type="dxa"/>
          </w:tcPr>
          <w:p>
            <w:pPr>
              <w:pStyle w:val="TableParagraph"/>
              <w:spacing w:before="56"/>
              <w:rPr>
                <w:b/>
                <w:sz w:val="21"/>
              </w:rPr>
            </w:pPr>
          </w:p>
          <w:p>
            <w:pPr>
              <w:pStyle w:val="TableParagraph"/>
              <w:jc w:val="center"/>
              <w:rPr>
                <w:rFonts w:ascii="Times New Roman"/>
                <w:sz w:val="21"/>
              </w:rPr>
            </w:pPr>
            <w:r>
              <w:rPr>
                <w:rFonts w:ascii="Times New Roman"/>
                <w:spacing w:val="-10"/>
                <w:sz w:val="21"/>
              </w:rPr>
              <w:t>X</w:t>
            </w:r>
          </w:p>
        </w:tc>
        <w:tc>
          <w:tcPr>
            <w:tcW w:w="1176" w:type="dxa"/>
          </w:tcPr>
          <w:p>
            <w:pPr>
              <w:pStyle w:val="TableParagraph"/>
              <w:spacing w:before="56"/>
              <w:rPr>
                <w:b/>
                <w:sz w:val="21"/>
              </w:rPr>
            </w:pPr>
          </w:p>
          <w:p>
            <w:pPr>
              <w:pStyle w:val="TableParagraph"/>
              <w:ind w:left="3" w:right="1"/>
              <w:jc w:val="center"/>
              <w:rPr>
                <w:rFonts w:ascii="Times New Roman"/>
                <w:sz w:val="21"/>
              </w:rPr>
            </w:pPr>
            <w:hyperlink w:history="true" w:anchor="_bookmark91">
              <w:r>
                <w:rPr>
                  <w:rFonts w:ascii="Times New Roman"/>
                  <w:color w:val="0000FF"/>
                  <w:spacing w:val="-2"/>
                  <w:sz w:val="21"/>
                </w:rPr>
                <w:t>8.2.6</w:t>
              </w:r>
            </w:hyperlink>
          </w:p>
        </w:tc>
      </w:tr>
    </w:tbl>
    <w:p>
      <w:pPr>
        <w:spacing w:after="0"/>
        <w:jc w:val="center"/>
        <w:rPr>
          <w:rFonts w:ascii="Times New Roman"/>
          <w:sz w:val="21"/>
        </w:rPr>
        <w:sectPr>
          <w:pgSz w:w="16840" w:h="11910" w:orient="landscape"/>
          <w:pgMar w:header="761" w:footer="786" w:top="1400" w:bottom="980" w:left="1340" w:right="1120"/>
        </w:sectPr>
      </w:pPr>
    </w:p>
    <w:p>
      <w:pPr>
        <w:pStyle w:val="BodyText"/>
        <w:spacing w:before="22"/>
        <w:ind w:left="0"/>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1419"/>
        <w:gridCol w:w="977"/>
        <w:gridCol w:w="976"/>
        <w:gridCol w:w="976"/>
        <w:gridCol w:w="978"/>
        <w:gridCol w:w="976"/>
        <w:gridCol w:w="976"/>
        <w:gridCol w:w="977"/>
        <w:gridCol w:w="1127"/>
        <w:gridCol w:w="1413"/>
        <w:gridCol w:w="1176"/>
      </w:tblGrid>
      <w:tr>
        <w:trPr>
          <w:trHeight w:val="623" w:hRule="atLeast"/>
        </w:trPr>
        <w:tc>
          <w:tcPr>
            <w:tcW w:w="1983" w:type="dxa"/>
            <w:shd w:val="clear" w:color="auto" w:fill="DBDBDB"/>
          </w:tcPr>
          <w:p>
            <w:pPr>
              <w:pStyle w:val="TableParagraph"/>
              <w:spacing w:before="173"/>
              <w:ind w:left="568"/>
              <w:rPr>
                <w:b/>
                <w:sz w:val="21"/>
              </w:rPr>
            </w:pPr>
            <w:r>
              <w:rPr>
                <w:b/>
                <w:spacing w:val="-4"/>
                <w:sz w:val="21"/>
              </w:rPr>
              <w:t>研究阶段</w:t>
            </w:r>
          </w:p>
        </w:tc>
        <w:tc>
          <w:tcPr>
            <w:tcW w:w="1419" w:type="dxa"/>
            <w:shd w:val="clear" w:color="auto" w:fill="DBDBDB"/>
          </w:tcPr>
          <w:p>
            <w:pPr>
              <w:pStyle w:val="TableParagraph"/>
              <w:spacing w:before="173"/>
              <w:ind w:left="9" w:right="1"/>
              <w:jc w:val="center"/>
              <w:rPr>
                <w:b/>
                <w:sz w:val="21"/>
              </w:rPr>
            </w:pPr>
            <w:r>
              <w:rPr>
                <w:b/>
                <w:spacing w:val="-6"/>
                <w:sz w:val="21"/>
              </w:rPr>
              <w:t>入组</w:t>
            </w:r>
          </w:p>
        </w:tc>
        <w:tc>
          <w:tcPr>
            <w:tcW w:w="6836" w:type="dxa"/>
            <w:gridSpan w:val="7"/>
            <w:shd w:val="clear" w:color="auto" w:fill="DBDBDB"/>
          </w:tcPr>
          <w:p>
            <w:pPr>
              <w:pStyle w:val="TableParagraph"/>
              <w:spacing w:before="173"/>
              <w:jc w:val="center"/>
              <w:rPr>
                <w:b/>
                <w:sz w:val="21"/>
              </w:rPr>
            </w:pPr>
            <w:r>
              <w:rPr>
                <w:b/>
                <w:spacing w:val="-2"/>
                <w:sz w:val="21"/>
              </w:rPr>
              <w:t>干预（治疗</w:t>
            </w:r>
            <w:r>
              <w:rPr>
                <w:b/>
                <w:spacing w:val="-10"/>
                <w:sz w:val="21"/>
              </w:rPr>
              <w:t>）</w:t>
            </w:r>
          </w:p>
        </w:tc>
        <w:tc>
          <w:tcPr>
            <w:tcW w:w="1127" w:type="dxa"/>
            <w:shd w:val="clear" w:color="auto" w:fill="DBDBDB"/>
          </w:tcPr>
          <w:p>
            <w:pPr>
              <w:pStyle w:val="TableParagraph"/>
              <w:spacing w:before="173"/>
              <w:ind w:left="3"/>
              <w:jc w:val="center"/>
              <w:rPr>
                <w:b/>
                <w:sz w:val="21"/>
              </w:rPr>
            </w:pPr>
            <w:r>
              <w:rPr>
                <w:b/>
                <w:spacing w:val="-6"/>
                <w:sz w:val="21"/>
              </w:rPr>
              <w:t>随访</w:t>
            </w:r>
          </w:p>
        </w:tc>
        <w:tc>
          <w:tcPr>
            <w:tcW w:w="1413" w:type="dxa"/>
            <w:shd w:val="clear" w:color="auto" w:fill="DBDBDB"/>
          </w:tcPr>
          <w:p>
            <w:pPr>
              <w:pStyle w:val="TableParagraph"/>
              <w:spacing w:before="36"/>
              <w:ind w:left="219" w:right="184" w:hanging="32"/>
              <w:rPr>
                <w:rFonts w:ascii="Times New Roman" w:eastAsia="Times New Roman"/>
                <w:b/>
                <w:sz w:val="21"/>
              </w:rPr>
            </w:pPr>
            <w:r>
              <w:rPr>
                <w:rFonts w:ascii="Times New Roman" w:eastAsia="Times New Roman"/>
                <w:b/>
                <w:sz w:val="21"/>
              </w:rPr>
              <w:t>E/D</w:t>
            </w:r>
            <w:r>
              <w:rPr>
                <w:rFonts w:ascii="Times New Roman" w:eastAsia="Times New Roman"/>
                <w:b/>
                <w:spacing w:val="-14"/>
                <w:sz w:val="21"/>
              </w:rPr>
              <w:t> </w:t>
            </w:r>
            <w:r>
              <w:rPr>
                <w:b/>
                <w:sz w:val="21"/>
              </w:rPr>
              <w:t>继之以</w:t>
            </w:r>
            <w:r>
              <w:rPr>
                <w:b/>
                <w:spacing w:val="-12"/>
                <w:sz w:val="21"/>
              </w:rPr>
              <w:t>电话随访 </w:t>
            </w:r>
            <w:r>
              <w:rPr>
                <w:rFonts w:ascii="Times New Roman" w:eastAsia="Times New Roman"/>
                <w:b/>
                <w:spacing w:val="-10"/>
                <w:sz w:val="21"/>
                <w:vertAlign w:val="superscript"/>
              </w:rPr>
              <w:t>a</w:t>
            </w:r>
          </w:p>
        </w:tc>
        <w:tc>
          <w:tcPr>
            <w:tcW w:w="1176" w:type="dxa"/>
            <w:vMerge w:val="restart"/>
            <w:shd w:val="clear" w:color="auto" w:fill="DBDBDB"/>
          </w:tcPr>
          <w:p>
            <w:pPr>
              <w:pStyle w:val="TableParagraph"/>
              <w:rPr>
                <w:b/>
                <w:sz w:val="21"/>
              </w:rPr>
            </w:pPr>
          </w:p>
          <w:p>
            <w:pPr>
              <w:pStyle w:val="TableParagraph"/>
              <w:rPr>
                <w:b/>
                <w:sz w:val="21"/>
              </w:rPr>
            </w:pPr>
          </w:p>
          <w:p>
            <w:pPr>
              <w:pStyle w:val="TableParagraph"/>
              <w:rPr>
                <w:b/>
                <w:sz w:val="21"/>
              </w:rPr>
            </w:pPr>
          </w:p>
          <w:p>
            <w:pPr>
              <w:pStyle w:val="TableParagraph"/>
              <w:spacing w:before="215"/>
              <w:rPr>
                <w:b/>
                <w:sz w:val="21"/>
              </w:rPr>
            </w:pPr>
          </w:p>
          <w:p>
            <w:pPr>
              <w:pStyle w:val="TableParagraph"/>
              <w:spacing w:before="1"/>
              <w:ind w:left="152"/>
              <w:rPr>
                <w:b/>
                <w:sz w:val="21"/>
              </w:rPr>
            </w:pPr>
            <w:r>
              <w:rPr>
                <w:rFonts w:ascii="Times New Roman" w:eastAsia="Times New Roman"/>
                <w:b/>
                <w:sz w:val="21"/>
              </w:rPr>
              <w:t>CSP</w:t>
            </w:r>
            <w:r>
              <w:rPr>
                <w:rFonts w:ascii="Times New Roman" w:eastAsia="Times New Roman"/>
                <w:b/>
                <w:spacing w:val="-13"/>
                <w:sz w:val="21"/>
              </w:rPr>
              <w:t> </w:t>
            </w:r>
            <w:r>
              <w:rPr>
                <w:b/>
                <w:spacing w:val="-5"/>
                <w:sz w:val="21"/>
              </w:rPr>
              <w:t>章节</w:t>
            </w:r>
          </w:p>
        </w:tc>
      </w:tr>
      <w:tr>
        <w:trPr>
          <w:trHeight w:val="352" w:hRule="atLeast"/>
        </w:trPr>
        <w:tc>
          <w:tcPr>
            <w:tcW w:w="1983" w:type="dxa"/>
            <w:shd w:val="clear" w:color="auto" w:fill="DBDBDB"/>
          </w:tcPr>
          <w:p>
            <w:pPr>
              <w:pStyle w:val="TableParagraph"/>
              <w:spacing w:before="39"/>
              <w:ind w:left="9"/>
              <w:jc w:val="center"/>
              <w:rPr>
                <w:b/>
                <w:sz w:val="21"/>
              </w:rPr>
            </w:pPr>
            <w:r>
              <w:rPr>
                <w:b/>
                <w:spacing w:val="-5"/>
                <w:sz w:val="21"/>
              </w:rPr>
              <w:t>研究周</w:t>
            </w:r>
          </w:p>
        </w:tc>
        <w:tc>
          <w:tcPr>
            <w:tcW w:w="1419" w:type="dxa"/>
            <w:shd w:val="clear" w:color="auto" w:fill="DBDBDB"/>
          </w:tcPr>
          <w:p>
            <w:pPr>
              <w:pStyle w:val="TableParagraph"/>
              <w:spacing w:before="39"/>
              <w:ind w:left="9"/>
              <w:jc w:val="center"/>
              <w:rPr>
                <w:sz w:val="21"/>
              </w:rPr>
            </w:pPr>
            <w:r>
              <w:rPr>
                <w:spacing w:val="-27"/>
                <w:sz w:val="21"/>
              </w:rPr>
              <w:t>第 </w:t>
            </w:r>
            <w:r>
              <w:rPr>
                <w:rFonts w:ascii="Times New Roman" w:eastAsia="Times New Roman"/>
                <w:sz w:val="21"/>
              </w:rPr>
              <w:t>0</w:t>
            </w:r>
            <w:r>
              <w:rPr>
                <w:rFonts w:ascii="Times New Roman" w:eastAsia="Times New Roman"/>
                <w:spacing w:val="-10"/>
                <w:sz w:val="21"/>
              </w:rPr>
              <w:t> </w:t>
            </w:r>
            <w:r>
              <w:rPr>
                <w:spacing w:val="-10"/>
                <w:sz w:val="21"/>
              </w:rPr>
              <w:t>周</w:t>
            </w:r>
          </w:p>
        </w:tc>
        <w:tc>
          <w:tcPr>
            <w:tcW w:w="977" w:type="dxa"/>
            <w:shd w:val="clear" w:color="auto" w:fill="DBDBDB"/>
          </w:tcPr>
          <w:p>
            <w:pPr>
              <w:pStyle w:val="TableParagraph"/>
              <w:spacing w:before="39"/>
              <w:ind w:left="6"/>
              <w:jc w:val="center"/>
              <w:rPr>
                <w:sz w:val="21"/>
              </w:rPr>
            </w:pPr>
            <w:r>
              <w:rPr>
                <w:spacing w:val="-27"/>
                <w:sz w:val="21"/>
              </w:rPr>
              <w:t>第 </w:t>
            </w:r>
            <w:r>
              <w:rPr>
                <w:rFonts w:ascii="Times New Roman" w:eastAsia="Times New Roman"/>
                <w:sz w:val="21"/>
              </w:rPr>
              <w:t>4</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jc w:val="center"/>
              <w:rPr>
                <w:sz w:val="21"/>
              </w:rPr>
            </w:pPr>
            <w:r>
              <w:rPr>
                <w:spacing w:val="-27"/>
                <w:sz w:val="21"/>
              </w:rPr>
              <w:t>第 </w:t>
            </w:r>
            <w:r>
              <w:rPr>
                <w:rFonts w:ascii="Times New Roman" w:eastAsia="Times New Roman"/>
                <w:sz w:val="21"/>
              </w:rPr>
              <w:t>8</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1"/>
              <w:jc w:val="center"/>
              <w:rPr>
                <w:sz w:val="21"/>
              </w:rPr>
            </w:pPr>
            <w:r>
              <w:rPr>
                <w:spacing w:val="-27"/>
                <w:sz w:val="21"/>
              </w:rPr>
              <w:t>第 </w:t>
            </w:r>
            <w:r>
              <w:rPr>
                <w:rFonts w:ascii="Times New Roman" w:eastAsia="Times New Roman"/>
                <w:sz w:val="21"/>
              </w:rPr>
              <w:t>12</w:t>
            </w:r>
            <w:r>
              <w:rPr>
                <w:rFonts w:ascii="Times New Roman" w:eastAsia="Times New Roman"/>
                <w:spacing w:val="-10"/>
                <w:sz w:val="21"/>
              </w:rPr>
              <w:t> </w:t>
            </w:r>
            <w:r>
              <w:rPr>
                <w:spacing w:val="-10"/>
                <w:sz w:val="21"/>
              </w:rPr>
              <w:t>周</w:t>
            </w:r>
          </w:p>
        </w:tc>
        <w:tc>
          <w:tcPr>
            <w:tcW w:w="978" w:type="dxa"/>
            <w:shd w:val="clear" w:color="auto" w:fill="DBDBDB"/>
          </w:tcPr>
          <w:p>
            <w:pPr>
              <w:pStyle w:val="TableParagraph"/>
              <w:spacing w:before="39"/>
              <w:ind w:left="4"/>
              <w:jc w:val="center"/>
              <w:rPr>
                <w:sz w:val="21"/>
              </w:rPr>
            </w:pPr>
            <w:r>
              <w:rPr>
                <w:spacing w:val="-27"/>
                <w:sz w:val="21"/>
              </w:rPr>
              <w:t>第 </w:t>
            </w:r>
            <w:r>
              <w:rPr>
                <w:rFonts w:ascii="Times New Roman" w:eastAsia="Times New Roman"/>
                <w:sz w:val="21"/>
              </w:rPr>
              <w:t>16</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3"/>
              <w:jc w:val="center"/>
              <w:rPr>
                <w:sz w:val="21"/>
              </w:rPr>
            </w:pPr>
            <w:r>
              <w:rPr>
                <w:spacing w:val="-27"/>
                <w:sz w:val="21"/>
              </w:rPr>
              <w:t>第 </w:t>
            </w:r>
            <w:r>
              <w:rPr>
                <w:rFonts w:ascii="Times New Roman" w:eastAsia="Times New Roman"/>
                <w:sz w:val="21"/>
              </w:rPr>
              <w:t>20</w:t>
            </w:r>
            <w:r>
              <w:rPr>
                <w:rFonts w:ascii="Times New Roman" w:eastAsia="Times New Roman"/>
                <w:spacing w:val="-10"/>
                <w:sz w:val="21"/>
              </w:rPr>
              <w:t> </w:t>
            </w:r>
            <w:r>
              <w:rPr>
                <w:spacing w:val="-10"/>
                <w:sz w:val="21"/>
              </w:rPr>
              <w:t>周</w:t>
            </w:r>
          </w:p>
        </w:tc>
        <w:tc>
          <w:tcPr>
            <w:tcW w:w="976" w:type="dxa"/>
            <w:shd w:val="clear" w:color="auto" w:fill="DBDBDB"/>
          </w:tcPr>
          <w:p>
            <w:pPr>
              <w:pStyle w:val="TableParagraph"/>
              <w:spacing w:before="39"/>
              <w:ind w:left="7" w:right="4"/>
              <w:jc w:val="center"/>
              <w:rPr>
                <w:sz w:val="21"/>
              </w:rPr>
            </w:pPr>
            <w:r>
              <w:rPr>
                <w:spacing w:val="-27"/>
                <w:sz w:val="21"/>
              </w:rPr>
              <w:t>第 </w:t>
            </w:r>
            <w:r>
              <w:rPr>
                <w:rFonts w:ascii="Times New Roman" w:eastAsia="Times New Roman"/>
                <w:sz w:val="21"/>
              </w:rPr>
              <w:t>24</w:t>
            </w:r>
            <w:r>
              <w:rPr>
                <w:rFonts w:ascii="Times New Roman" w:eastAsia="Times New Roman"/>
                <w:spacing w:val="-10"/>
                <w:sz w:val="21"/>
              </w:rPr>
              <w:t> </w:t>
            </w:r>
            <w:r>
              <w:rPr>
                <w:spacing w:val="-10"/>
                <w:sz w:val="21"/>
              </w:rPr>
              <w:t>周</w:t>
            </w:r>
          </w:p>
        </w:tc>
        <w:tc>
          <w:tcPr>
            <w:tcW w:w="977" w:type="dxa"/>
            <w:shd w:val="clear" w:color="auto" w:fill="DBDBDB"/>
          </w:tcPr>
          <w:p>
            <w:pPr>
              <w:pStyle w:val="TableParagraph"/>
              <w:spacing w:before="39"/>
              <w:ind w:left="6" w:right="5"/>
              <w:jc w:val="center"/>
              <w:rPr>
                <w:sz w:val="21"/>
              </w:rPr>
            </w:pPr>
            <w:r>
              <w:rPr>
                <w:spacing w:val="-27"/>
                <w:sz w:val="21"/>
              </w:rPr>
              <w:t>第 </w:t>
            </w:r>
            <w:r>
              <w:rPr>
                <w:rFonts w:ascii="Times New Roman" w:eastAsia="Times New Roman"/>
                <w:sz w:val="21"/>
              </w:rPr>
              <w:t>28</w:t>
            </w:r>
            <w:r>
              <w:rPr>
                <w:rFonts w:ascii="Times New Roman" w:eastAsia="Times New Roman"/>
                <w:spacing w:val="-10"/>
                <w:sz w:val="21"/>
              </w:rPr>
              <w:t> </w:t>
            </w:r>
            <w:r>
              <w:rPr>
                <w:spacing w:val="-10"/>
                <w:sz w:val="21"/>
              </w:rPr>
              <w:t>周</w:t>
            </w:r>
          </w:p>
        </w:tc>
        <w:tc>
          <w:tcPr>
            <w:tcW w:w="1127" w:type="dxa"/>
            <w:shd w:val="clear" w:color="auto" w:fill="DBDBDB"/>
          </w:tcPr>
          <w:p>
            <w:pPr>
              <w:pStyle w:val="TableParagraph"/>
              <w:spacing w:before="39"/>
              <w:ind w:left="3" w:right="1"/>
              <w:jc w:val="center"/>
              <w:rPr>
                <w:sz w:val="21"/>
              </w:rPr>
            </w:pPr>
            <w:r>
              <w:rPr>
                <w:spacing w:val="-27"/>
                <w:sz w:val="21"/>
              </w:rPr>
              <w:t>第 </w:t>
            </w:r>
            <w:r>
              <w:rPr>
                <w:rFonts w:ascii="Times New Roman" w:eastAsia="Times New Roman"/>
                <w:sz w:val="21"/>
              </w:rPr>
              <w:t>36</w:t>
            </w:r>
            <w:r>
              <w:rPr>
                <w:rFonts w:ascii="Times New Roman" w:eastAsia="Times New Roman"/>
                <w:spacing w:val="-10"/>
                <w:sz w:val="21"/>
              </w:rPr>
              <w:t> </w:t>
            </w:r>
            <w:r>
              <w:rPr>
                <w:spacing w:val="-10"/>
                <w:sz w:val="21"/>
              </w:rPr>
              <w:t>周</w:t>
            </w:r>
          </w:p>
        </w:tc>
        <w:tc>
          <w:tcPr>
            <w:tcW w:w="1413" w:type="dxa"/>
            <w:vMerge w:val="restart"/>
            <w:shd w:val="clear" w:color="auto" w:fill="DBDBDB"/>
          </w:tcPr>
          <w:p>
            <w:pPr>
              <w:pStyle w:val="TableParagraph"/>
              <w:spacing w:before="82"/>
              <w:ind w:left="339" w:right="165" w:hanging="172"/>
              <w:rPr>
                <w:sz w:val="21"/>
              </w:rPr>
            </w:pPr>
            <w:r>
              <w:rPr>
                <w:rFonts w:ascii="Times New Roman" w:eastAsia="Times New Roman"/>
                <w:spacing w:val="-2"/>
                <w:sz w:val="21"/>
              </w:rPr>
              <w:t>IP</w:t>
            </w:r>
            <w:r>
              <w:rPr>
                <w:rFonts w:ascii="Times New Roman" w:eastAsia="Times New Roman"/>
                <w:spacing w:val="-12"/>
                <w:sz w:val="21"/>
              </w:rPr>
              <w:t> </w:t>
            </w:r>
            <w:r>
              <w:rPr>
                <w:spacing w:val="-2"/>
                <w:sz w:val="21"/>
              </w:rPr>
              <w:t>末次给药</w:t>
            </w:r>
            <w:r>
              <w:rPr>
                <w:spacing w:val="-12"/>
                <w:sz w:val="21"/>
              </w:rPr>
              <w:t>后 </w:t>
            </w:r>
            <w:r>
              <w:rPr>
                <w:rFonts w:ascii="Times New Roman" w:eastAsia="Times New Roman"/>
                <w:sz w:val="21"/>
              </w:rPr>
              <w:t>12 </w:t>
            </w:r>
            <w:r>
              <w:rPr>
                <w:sz w:val="21"/>
              </w:rPr>
              <w:t>周</w:t>
            </w:r>
          </w:p>
        </w:tc>
        <w:tc>
          <w:tcPr>
            <w:tcW w:w="1176" w:type="dxa"/>
            <w:vMerge/>
            <w:tcBorders>
              <w:top w:val="nil"/>
            </w:tcBorders>
            <w:shd w:val="clear" w:color="auto" w:fill="DBDBDB"/>
          </w:tcPr>
          <w:p>
            <w:pPr>
              <w:rPr>
                <w:sz w:val="2"/>
                <w:szCs w:val="2"/>
              </w:rPr>
            </w:pPr>
          </w:p>
        </w:tc>
      </w:tr>
      <w:tr>
        <w:trPr>
          <w:trHeight w:val="352" w:hRule="atLeast"/>
        </w:trPr>
        <w:tc>
          <w:tcPr>
            <w:tcW w:w="1983" w:type="dxa"/>
            <w:shd w:val="clear" w:color="auto" w:fill="DBDBDB"/>
          </w:tcPr>
          <w:p>
            <w:pPr>
              <w:pStyle w:val="TableParagraph"/>
              <w:spacing w:before="39"/>
              <w:ind w:left="9"/>
              <w:jc w:val="center"/>
              <w:rPr>
                <w:b/>
                <w:sz w:val="21"/>
              </w:rPr>
            </w:pPr>
            <w:r>
              <w:rPr>
                <w:b/>
                <w:spacing w:val="-6"/>
                <w:sz w:val="21"/>
              </w:rPr>
              <w:t>访视</w:t>
            </w:r>
          </w:p>
        </w:tc>
        <w:tc>
          <w:tcPr>
            <w:tcW w:w="1419" w:type="dxa"/>
            <w:shd w:val="clear" w:color="auto" w:fill="DBDBDB"/>
          </w:tcPr>
          <w:p>
            <w:pPr>
              <w:pStyle w:val="TableParagraph"/>
              <w:spacing w:before="39"/>
              <w:ind w:left="9" w:right="1"/>
              <w:jc w:val="center"/>
              <w:rPr>
                <w:rFonts w:ascii="Times New Roman" w:eastAsia="Times New Roman"/>
                <w:sz w:val="21"/>
              </w:rPr>
            </w:pPr>
            <w:r>
              <w:rPr>
                <w:spacing w:val="-18"/>
                <w:sz w:val="21"/>
              </w:rPr>
              <w:t>访视 </w:t>
            </w:r>
            <w:r>
              <w:rPr>
                <w:rFonts w:ascii="Times New Roman" w:eastAsia="Times New Roman"/>
                <w:spacing w:val="-10"/>
                <w:sz w:val="21"/>
              </w:rPr>
              <w:t>1</w:t>
            </w:r>
          </w:p>
        </w:tc>
        <w:tc>
          <w:tcPr>
            <w:tcW w:w="977" w:type="dxa"/>
            <w:shd w:val="clear" w:color="auto" w:fill="DBDBDB"/>
          </w:tcPr>
          <w:p>
            <w:pPr>
              <w:pStyle w:val="TableParagraph"/>
              <w:spacing w:before="39"/>
              <w:ind w:left="6" w:right="2"/>
              <w:jc w:val="center"/>
              <w:rPr>
                <w:rFonts w:ascii="Times New Roman" w:eastAsia="Times New Roman"/>
                <w:sz w:val="21"/>
              </w:rPr>
            </w:pPr>
            <w:r>
              <w:rPr>
                <w:spacing w:val="-18"/>
                <w:sz w:val="21"/>
              </w:rPr>
              <w:t>访视 </w:t>
            </w:r>
            <w:r>
              <w:rPr>
                <w:rFonts w:ascii="Times New Roman" w:eastAsia="Times New Roman"/>
                <w:spacing w:val="-10"/>
                <w:sz w:val="21"/>
              </w:rPr>
              <w:t>2</w:t>
            </w:r>
          </w:p>
        </w:tc>
        <w:tc>
          <w:tcPr>
            <w:tcW w:w="976" w:type="dxa"/>
            <w:shd w:val="clear" w:color="auto" w:fill="DBDBDB"/>
          </w:tcPr>
          <w:p>
            <w:pPr>
              <w:pStyle w:val="TableParagraph"/>
              <w:spacing w:before="39"/>
              <w:ind w:left="7"/>
              <w:jc w:val="center"/>
              <w:rPr>
                <w:rFonts w:ascii="Times New Roman" w:eastAsia="Times New Roman"/>
                <w:sz w:val="21"/>
              </w:rPr>
            </w:pPr>
            <w:r>
              <w:rPr>
                <w:spacing w:val="-18"/>
                <w:sz w:val="21"/>
              </w:rPr>
              <w:t>访视 </w:t>
            </w:r>
            <w:r>
              <w:rPr>
                <w:rFonts w:ascii="Times New Roman" w:eastAsia="Times New Roman"/>
                <w:spacing w:val="-10"/>
                <w:sz w:val="21"/>
              </w:rPr>
              <w:t>3</w:t>
            </w:r>
          </w:p>
        </w:tc>
        <w:tc>
          <w:tcPr>
            <w:tcW w:w="976" w:type="dxa"/>
            <w:shd w:val="clear" w:color="auto" w:fill="DBDBDB"/>
          </w:tcPr>
          <w:p>
            <w:pPr>
              <w:pStyle w:val="TableParagraph"/>
              <w:spacing w:before="39"/>
              <w:ind w:left="7"/>
              <w:jc w:val="center"/>
              <w:rPr>
                <w:rFonts w:ascii="Times New Roman" w:eastAsia="Times New Roman"/>
                <w:sz w:val="21"/>
              </w:rPr>
            </w:pPr>
            <w:r>
              <w:rPr>
                <w:spacing w:val="-18"/>
                <w:sz w:val="21"/>
              </w:rPr>
              <w:t>访视 </w:t>
            </w:r>
            <w:r>
              <w:rPr>
                <w:rFonts w:ascii="Times New Roman" w:eastAsia="Times New Roman"/>
                <w:spacing w:val="-10"/>
                <w:sz w:val="21"/>
              </w:rPr>
              <w:t>4</w:t>
            </w:r>
          </w:p>
        </w:tc>
        <w:tc>
          <w:tcPr>
            <w:tcW w:w="978" w:type="dxa"/>
            <w:shd w:val="clear" w:color="auto" w:fill="DBDBDB"/>
          </w:tcPr>
          <w:p>
            <w:pPr>
              <w:pStyle w:val="TableParagraph"/>
              <w:spacing w:before="39"/>
              <w:ind w:left="4"/>
              <w:jc w:val="center"/>
              <w:rPr>
                <w:rFonts w:ascii="Times New Roman" w:eastAsia="Times New Roman"/>
                <w:sz w:val="21"/>
              </w:rPr>
            </w:pPr>
            <w:r>
              <w:rPr>
                <w:spacing w:val="-18"/>
                <w:sz w:val="21"/>
              </w:rPr>
              <w:t>访视 </w:t>
            </w:r>
            <w:r>
              <w:rPr>
                <w:rFonts w:ascii="Times New Roman" w:eastAsia="Times New Roman"/>
                <w:spacing w:val="-10"/>
                <w:sz w:val="21"/>
              </w:rPr>
              <w:t>5</w:t>
            </w:r>
          </w:p>
        </w:tc>
        <w:tc>
          <w:tcPr>
            <w:tcW w:w="976" w:type="dxa"/>
            <w:shd w:val="clear" w:color="auto" w:fill="DBDBDB"/>
          </w:tcPr>
          <w:p>
            <w:pPr>
              <w:pStyle w:val="TableParagraph"/>
              <w:spacing w:before="39"/>
              <w:ind w:left="7" w:right="3"/>
              <w:jc w:val="center"/>
              <w:rPr>
                <w:rFonts w:ascii="Times New Roman" w:eastAsia="Times New Roman"/>
                <w:sz w:val="21"/>
              </w:rPr>
            </w:pPr>
            <w:r>
              <w:rPr>
                <w:spacing w:val="-18"/>
                <w:sz w:val="21"/>
              </w:rPr>
              <w:t>访视 </w:t>
            </w:r>
            <w:r>
              <w:rPr>
                <w:rFonts w:ascii="Times New Roman" w:eastAsia="Times New Roman"/>
                <w:spacing w:val="-10"/>
                <w:sz w:val="21"/>
              </w:rPr>
              <w:t>6</w:t>
            </w:r>
          </w:p>
        </w:tc>
        <w:tc>
          <w:tcPr>
            <w:tcW w:w="976" w:type="dxa"/>
            <w:shd w:val="clear" w:color="auto" w:fill="DBDBDB"/>
          </w:tcPr>
          <w:p>
            <w:pPr>
              <w:pStyle w:val="TableParagraph"/>
              <w:spacing w:before="39"/>
              <w:ind w:left="7" w:right="4"/>
              <w:jc w:val="center"/>
              <w:rPr>
                <w:rFonts w:ascii="Times New Roman" w:eastAsia="Times New Roman"/>
                <w:sz w:val="21"/>
              </w:rPr>
            </w:pPr>
            <w:r>
              <w:rPr>
                <w:spacing w:val="-18"/>
                <w:sz w:val="21"/>
              </w:rPr>
              <w:t>访视 </w:t>
            </w:r>
            <w:r>
              <w:rPr>
                <w:rFonts w:ascii="Times New Roman" w:eastAsia="Times New Roman"/>
                <w:spacing w:val="-10"/>
                <w:sz w:val="21"/>
              </w:rPr>
              <w:t>7</w:t>
            </w:r>
          </w:p>
        </w:tc>
        <w:tc>
          <w:tcPr>
            <w:tcW w:w="977" w:type="dxa"/>
            <w:shd w:val="clear" w:color="auto" w:fill="DBDBDB"/>
          </w:tcPr>
          <w:p>
            <w:pPr>
              <w:pStyle w:val="TableParagraph"/>
              <w:spacing w:before="39"/>
              <w:ind w:left="6" w:right="4"/>
              <w:jc w:val="center"/>
              <w:rPr>
                <w:rFonts w:ascii="Times New Roman" w:eastAsia="Times New Roman"/>
                <w:sz w:val="21"/>
              </w:rPr>
            </w:pPr>
            <w:r>
              <w:rPr>
                <w:spacing w:val="-18"/>
                <w:sz w:val="21"/>
              </w:rPr>
              <w:t>访视 </w:t>
            </w:r>
            <w:r>
              <w:rPr>
                <w:rFonts w:ascii="Times New Roman" w:eastAsia="Times New Roman"/>
                <w:spacing w:val="-10"/>
                <w:sz w:val="21"/>
              </w:rPr>
              <w:t>8</w:t>
            </w:r>
          </w:p>
        </w:tc>
        <w:tc>
          <w:tcPr>
            <w:tcW w:w="1127" w:type="dxa"/>
            <w:shd w:val="clear" w:color="auto" w:fill="DBDBDB"/>
          </w:tcPr>
          <w:p>
            <w:pPr>
              <w:pStyle w:val="TableParagraph"/>
              <w:spacing w:before="39"/>
              <w:ind w:left="3" w:right="1"/>
              <w:jc w:val="center"/>
              <w:rPr>
                <w:rFonts w:ascii="Times New Roman" w:eastAsia="Times New Roman"/>
                <w:sz w:val="21"/>
              </w:rPr>
            </w:pPr>
            <w:r>
              <w:rPr>
                <w:spacing w:val="-18"/>
                <w:sz w:val="21"/>
              </w:rPr>
              <w:t>访视 </w:t>
            </w:r>
            <w:r>
              <w:rPr>
                <w:rFonts w:ascii="Times New Roman" w:eastAsia="Times New Roman"/>
                <w:spacing w:val="-10"/>
                <w:sz w:val="21"/>
              </w:rPr>
              <w:t>9</w:t>
            </w:r>
          </w:p>
        </w:tc>
        <w:tc>
          <w:tcPr>
            <w:tcW w:w="1413" w:type="dxa"/>
            <w:vMerge/>
            <w:tcBorders>
              <w:top w:val="nil"/>
            </w:tcBorders>
            <w:shd w:val="clear" w:color="auto" w:fill="DBDBDB"/>
          </w:tcPr>
          <w:p>
            <w:pPr>
              <w:rPr>
                <w:sz w:val="2"/>
                <w:szCs w:val="2"/>
              </w:rPr>
            </w:pPr>
          </w:p>
        </w:tc>
        <w:tc>
          <w:tcPr>
            <w:tcW w:w="1176" w:type="dxa"/>
            <w:vMerge/>
            <w:tcBorders>
              <w:top w:val="nil"/>
            </w:tcBorders>
            <w:shd w:val="clear" w:color="auto" w:fill="DBDBDB"/>
          </w:tcPr>
          <w:p>
            <w:pPr>
              <w:rPr>
                <w:sz w:val="2"/>
                <w:szCs w:val="2"/>
              </w:rPr>
            </w:pPr>
          </w:p>
        </w:tc>
      </w:tr>
      <w:tr>
        <w:trPr>
          <w:trHeight w:val="624" w:hRule="atLeast"/>
        </w:trPr>
        <w:tc>
          <w:tcPr>
            <w:tcW w:w="1983" w:type="dxa"/>
            <w:shd w:val="clear" w:color="auto" w:fill="DBDBDB"/>
          </w:tcPr>
          <w:p>
            <w:pPr>
              <w:pStyle w:val="TableParagraph"/>
              <w:spacing w:line="273" w:lineRule="exact" w:before="38"/>
              <w:ind w:left="358"/>
              <w:rPr>
                <w:b/>
                <w:sz w:val="21"/>
              </w:rPr>
            </w:pPr>
            <w:r>
              <w:rPr>
                <w:b/>
                <w:spacing w:val="-4"/>
                <w:sz w:val="21"/>
              </w:rPr>
              <w:t>可选远程医疗</w:t>
            </w:r>
          </w:p>
          <w:p>
            <w:pPr>
              <w:pStyle w:val="TableParagraph"/>
              <w:spacing w:line="273" w:lineRule="exact"/>
              <w:ind w:left="446"/>
              <w:rPr>
                <w:b/>
                <w:sz w:val="21"/>
              </w:rPr>
            </w:pPr>
            <w:r>
              <w:rPr>
                <w:b/>
                <w:spacing w:val="-2"/>
                <w:sz w:val="21"/>
              </w:rPr>
              <w:t>（</w:t>
            </w:r>
            <w:r>
              <w:rPr>
                <w:rFonts w:ascii="Times New Roman" w:eastAsia="Times New Roman"/>
                <w:b/>
                <w:spacing w:val="-2"/>
                <w:sz w:val="21"/>
              </w:rPr>
              <w:t>T</w:t>
            </w:r>
            <w:r>
              <w:rPr>
                <w:b/>
                <w:spacing w:val="-2"/>
                <w:sz w:val="21"/>
              </w:rPr>
              <w:t>）</w:t>
            </w:r>
            <w:r>
              <w:rPr>
                <w:b/>
                <w:spacing w:val="-6"/>
                <w:sz w:val="21"/>
              </w:rPr>
              <w:t>访视</w:t>
            </w:r>
          </w:p>
        </w:tc>
        <w:tc>
          <w:tcPr>
            <w:tcW w:w="1419" w:type="dxa"/>
            <w:shd w:val="clear" w:color="auto" w:fill="DBDBDB"/>
          </w:tcPr>
          <w:p>
            <w:pPr>
              <w:pStyle w:val="TableParagraph"/>
              <w:rPr>
                <w:rFonts w:ascii="Times New Roman"/>
                <w:sz w:val="20"/>
              </w:rPr>
            </w:pPr>
          </w:p>
        </w:tc>
        <w:tc>
          <w:tcPr>
            <w:tcW w:w="977"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rPr>
                <w:rFonts w:ascii="Times New Roman"/>
                <w:sz w:val="20"/>
              </w:rPr>
            </w:pPr>
          </w:p>
        </w:tc>
        <w:tc>
          <w:tcPr>
            <w:tcW w:w="978" w:type="dxa"/>
            <w:shd w:val="clear" w:color="auto" w:fill="DBDBDB"/>
          </w:tcPr>
          <w:p>
            <w:pPr>
              <w:pStyle w:val="TableParagraph"/>
              <w:spacing w:before="192"/>
              <w:ind w:left="4" w:right="1"/>
              <w:jc w:val="center"/>
              <w:rPr>
                <w:rFonts w:ascii="Times New Roman"/>
                <w:sz w:val="21"/>
              </w:rPr>
            </w:pPr>
            <w:r>
              <w:rPr>
                <w:rFonts w:ascii="Times New Roman"/>
                <w:spacing w:val="-10"/>
                <w:sz w:val="21"/>
              </w:rPr>
              <w:t>T</w:t>
            </w:r>
          </w:p>
        </w:tc>
        <w:tc>
          <w:tcPr>
            <w:tcW w:w="976" w:type="dxa"/>
            <w:shd w:val="clear" w:color="auto" w:fill="DBDBDB"/>
          </w:tcPr>
          <w:p>
            <w:pPr>
              <w:pStyle w:val="TableParagraph"/>
              <w:rPr>
                <w:rFonts w:ascii="Times New Roman"/>
                <w:sz w:val="20"/>
              </w:rPr>
            </w:pPr>
          </w:p>
        </w:tc>
        <w:tc>
          <w:tcPr>
            <w:tcW w:w="976" w:type="dxa"/>
            <w:shd w:val="clear" w:color="auto" w:fill="DBDBDB"/>
          </w:tcPr>
          <w:p>
            <w:pPr>
              <w:pStyle w:val="TableParagraph"/>
              <w:spacing w:before="192"/>
              <w:ind w:left="7" w:right="4"/>
              <w:jc w:val="center"/>
              <w:rPr>
                <w:rFonts w:ascii="Times New Roman"/>
                <w:sz w:val="21"/>
              </w:rPr>
            </w:pPr>
            <w:r>
              <w:rPr>
                <w:rFonts w:ascii="Times New Roman"/>
                <w:spacing w:val="-10"/>
                <w:sz w:val="21"/>
              </w:rPr>
              <w:t>T</w:t>
            </w:r>
          </w:p>
        </w:tc>
        <w:tc>
          <w:tcPr>
            <w:tcW w:w="977" w:type="dxa"/>
            <w:shd w:val="clear" w:color="auto" w:fill="DBDBDB"/>
          </w:tcPr>
          <w:p>
            <w:pPr>
              <w:pStyle w:val="TableParagraph"/>
              <w:rPr>
                <w:rFonts w:ascii="Times New Roman"/>
                <w:sz w:val="20"/>
              </w:rPr>
            </w:pPr>
          </w:p>
        </w:tc>
        <w:tc>
          <w:tcPr>
            <w:tcW w:w="1127" w:type="dxa"/>
            <w:shd w:val="clear" w:color="auto" w:fill="DBDBDB"/>
          </w:tcPr>
          <w:p>
            <w:pPr>
              <w:pStyle w:val="TableParagraph"/>
              <w:rPr>
                <w:rFonts w:ascii="Times New Roman"/>
                <w:sz w:val="20"/>
              </w:rPr>
            </w:pPr>
          </w:p>
        </w:tc>
        <w:tc>
          <w:tcPr>
            <w:tcW w:w="1413" w:type="dxa"/>
            <w:shd w:val="clear" w:color="auto" w:fill="DBDBDB"/>
          </w:tcPr>
          <w:p>
            <w:pPr>
              <w:pStyle w:val="TableParagraph"/>
              <w:rPr>
                <w:rFonts w:ascii="Times New Roman"/>
                <w:sz w:val="20"/>
              </w:rPr>
            </w:pPr>
          </w:p>
        </w:tc>
        <w:tc>
          <w:tcPr>
            <w:tcW w:w="1176" w:type="dxa"/>
            <w:vMerge/>
            <w:tcBorders>
              <w:top w:val="nil"/>
            </w:tcBorders>
            <w:shd w:val="clear" w:color="auto" w:fill="DBDBDB"/>
          </w:tcPr>
          <w:p>
            <w:pPr>
              <w:rPr>
                <w:sz w:val="2"/>
                <w:szCs w:val="2"/>
              </w:rPr>
            </w:pPr>
          </w:p>
        </w:tc>
      </w:tr>
      <w:tr>
        <w:trPr>
          <w:trHeight w:val="897" w:hRule="atLeast"/>
        </w:trPr>
        <w:tc>
          <w:tcPr>
            <w:tcW w:w="1983" w:type="dxa"/>
          </w:tcPr>
          <w:p>
            <w:pPr>
              <w:pStyle w:val="TableParagraph"/>
              <w:spacing w:before="38"/>
              <w:rPr>
                <w:b/>
                <w:sz w:val="21"/>
              </w:rPr>
            </w:pPr>
          </w:p>
          <w:p>
            <w:pPr>
              <w:pStyle w:val="TableParagraph"/>
              <w:ind w:left="464"/>
              <w:rPr>
                <w:b/>
                <w:sz w:val="21"/>
              </w:rPr>
            </w:pPr>
            <w:r>
              <w:rPr>
                <w:b/>
                <w:spacing w:val="-4"/>
                <w:sz w:val="21"/>
              </w:rPr>
              <w:t>访视时间窗</w:t>
            </w:r>
          </w:p>
        </w:tc>
        <w:tc>
          <w:tcPr>
            <w:tcW w:w="1419" w:type="dxa"/>
          </w:tcPr>
          <w:p>
            <w:pPr>
              <w:pStyle w:val="TableParagraph"/>
              <w:spacing w:before="38"/>
              <w:ind w:left="179" w:right="169" w:firstLine="3"/>
              <w:jc w:val="both"/>
              <w:rPr>
                <w:rFonts w:ascii="Times New Roman" w:eastAsia="Times New Roman"/>
                <w:sz w:val="21"/>
              </w:rPr>
            </w:pPr>
            <w:r>
              <w:rPr>
                <w:spacing w:val="-2"/>
                <w:sz w:val="21"/>
              </w:rPr>
              <w:t>访视日与前身研究的访</w:t>
            </w:r>
            <w:r>
              <w:rPr>
                <w:spacing w:val="-27"/>
                <w:sz w:val="21"/>
              </w:rPr>
              <w:t>视 </w:t>
            </w:r>
            <w:r>
              <w:rPr>
                <w:rFonts w:ascii="Times New Roman" w:eastAsia="Times New Roman"/>
                <w:sz w:val="21"/>
              </w:rPr>
              <w:t>15</w:t>
            </w:r>
            <w:r>
              <w:rPr>
                <w:rFonts w:ascii="Times New Roman" w:eastAsia="Times New Roman"/>
                <w:spacing w:val="-10"/>
                <w:sz w:val="21"/>
              </w:rPr>
              <w:t> </w:t>
            </w:r>
            <w:r>
              <w:rPr>
                <w:spacing w:val="25"/>
                <w:sz w:val="21"/>
              </w:rPr>
              <w:t>相同</w:t>
            </w:r>
            <w:r>
              <w:rPr>
                <w:rFonts w:ascii="Times New Roman" w:eastAsia="Times New Roman"/>
                <w:spacing w:val="-10"/>
                <w:sz w:val="21"/>
                <w:vertAlign w:val="superscript"/>
              </w:rPr>
              <w:t>b</w:t>
            </w:r>
          </w:p>
        </w:tc>
        <w:tc>
          <w:tcPr>
            <w:tcW w:w="7963" w:type="dxa"/>
            <w:gridSpan w:val="8"/>
          </w:tcPr>
          <w:p>
            <w:pPr>
              <w:pStyle w:val="TableParagraph"/>
              <w:spacing w:before="38"/>
              <w:rPr>
                <w:b/>
                <w:sz w:val="21"/>
              </w:rPr>
            </w:pPr>
          </w:p>
          <w:p>
            <w:pPr>
              <w:pStyle w:val="TableParagraph"/>
              <w:ind w:left="1"/>
              <w:jc w:val="center"/>
              <w:rPr>
                <w:sz w:val="21"/>
              </w:rPr>
            </w:pPr>
            <w:r>
              <w:rPr>
                <w:rFonts w:ascii="Times New Roman" w:hAnsi="Times New Roman" w:eastAsia="Times New Roman"/>
                <w:sz w:val="21"/>
              </w:rPr>
              <w:t>±5</w:t>
            </w:r>
            <w:r>
              <w:rPr>
                <w:rFonts w:ascii="Times New Roman" w:hAnsi="Times New Roman" w:eastAsia="Times New Roman"/>
                <w:spacing w:val="-11"/>
                <w:sz w:val="21"/>
              </w:rPr>
              <w:t> </w:t>
            </w:r>
            <w:r>
              <w:rPr>
                <w:spacing w:val="-10"/>
                <w:sz w:val="21"/>
              </w:rPr>
              <w:t>天</w:t>
            </w:r>
          </w:p>
        </w:tc>
        <w:tc>
          <w:tcPr>
            <w:tcW w:w="1413" w:type="dxa"/>
          </w:tcPr>
          <w:p>
            <w:pPr>
              <w:pStyle w:val="TableParagraph"/>
              <w:spacing w:before="38"/>
              <w:rPr>
                <w:b/>
                <w:sz w:val="21"/>
              </w:rPr>
            </w:pPr>
          </w:p>
          <w:p>
            <w:pPr>
              <w:pStyle w:val="TableParagraph"/>
              <w:jc w:val="center"/>
              <w:rPr>
                <w:sz w:val="21"/>
              </w:rPr>
            </w:pPr>
            <w:r>
              <w:rPr>
                <w:rFonts w:ascii="Times New Roman" w:hAnsi="Times New Roman" w:eastAsia="Times New Roman"/>
                <w:sz w:val="21"/>
              </w:rPr>
              <w:t>±7</w:t>
            </w:r>
            <w:r>
              <w:rPr>
                <w:rFonts w:ascii="Times New Roman" w:hAnsi="Times New Roman" w:eastAsia="Times New Roman"/>
                <w:spacing w:val="-11"/>
                <w:sz w:val="21"/>
              </w:rPr>
              <w:t> </w:t>
            </w:r>
            <w:r>
              <w:rPr>
                <w:spacing w:val="-10"/>
                <w:sz w:val="21"/>
              </w:rPr>
              <w:t>天</w:t>
            </w:r>
          </w:p>
        </w:tc>
        <w:tc>
          <w:tcPr>
            <w:tcW w:w="1176" w:type="dxa"/>
            <w:vMerge/>
            <w:tcBorders>
              <w:top w:val="nil"/>
            </w:tcBorders>
            <w:shd w:val="clear" w:color="auto" w:fill="DBDBDB"/>
          </w:tcPr>
          <w:p>
            <w:pPr>
              <w:rPr>
                <w:sz w:val="2"/>
                <w:szCs w:val="2"/>
              </w:rPr>
            </w:pPr>
          </w:p>
        </w:tc>
      </w:tr>
      <w:tr>
        <w:trPr>
          <w:trHeight w:val="593" w:hRule="atLeast"/>
        </w:trPr>
        <w:tc>
          <w:tcPr>
            <w:tcW w:w="1983" w:type="dxa"/>
          </w:tcPr>
          <w:p>
            <w:pPr>
              <w:pStyle w:val="TableParagraph"/>
              <w:spacing w:before="177"/>
              <w:ind w:left="107"/>
              <w:rPr>
                <w:rFonts w:ascii="Times New Roman"/>
                <w:sz w:val="21"/>
              </w:rPr>
            </w:pPr>
            <w:r>
              <w:rPr>
                <w:rFonts w:ascii="Times New Roman"/>
                <w:sz w:val="21"/>
              </w:rPr>
              <w:t>PK</w:t>
            </w:r>
            <w:r>
              <w:rPr>
                <w:rFonts w:ascii="Times New Roman"/>
                <w:spacing w:val="-2"/>
                <w:sz w:val="21"/>
              </w:rPr>
              <w:t> </w:t>
            </w:r>
            <w:r>
              <w:rPr>
                <w:rFonts w:ascii="Times New Roman"/>
                <w:spacing w:val="-10"/>
                <w:sz w:val="21"/>
                <w:vertAlign w:val="superscript"/>
              </w:rPr>
              <w:t>m</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119">
              <w:r>
                <w:rPr>
                  <w:rFonts w:ascii="Times New Roman"/>
                  <w:color w:val="0000FF"/>
                  <w:spacing w:val="-2"/>
                  <w:sz w:val="21"/>
                </w:rPr>
                <w:t>8.4.1</w:t>
              </w:r>
            </w:hyperlink>
          </w:p>
        </w:tc>
      </w:tr>
      <w:tr>
        <w:trPr>
          <w:trHeight w:val="593" w:hRule="atLeast"/>
        </w:trPr>
        <w:tc>
          <w:tcPr>
            <w:tcW w:w="1983" w:type="dxa"/>
          </w:tcPr>
          <w:p>
            <w:pPr>
              <w:pStyle w:val="TableParagraph"/>
              <w:spacing w:before="159"/>
              <w:ind w:left="107"/>
              <w:rPr>
                <w:rFonts w:ascii="Times New Roman" w:eastAsia="Times New Roman"/>
                <w:sz w:val="21"/>
              </w:rPr>
            </w:pPr>
            <w:r>
              <w:rPr>
                <w:spacing w:val="-18"/>
                <w:sz w:val="21"/>
              </w:rPr>
              <w:t>血清 </w:t>
            </w:r>
            <w:r>
              <w:rPr>
                <w:rFonts w:ascii="Times New Roman" w:eastAsia="Times New Roman"/>
                <w:sz w:val="21"/>
              </w:rPr>
              <w:t>ADA</w:t>
            </w:r>
            <w:r>
              <w:rPr>
                <w:rFonts w:ascii="Times New Roman" w:eastAsia="Times New Roman"/>
                <w:spacing w:val="-3"/>
                <w:sz w:val="21"/>
              </w:rPr>
              <w:t> </w:t>
            </w:r>
            <w:r>
              <w:rPr>
                <w:rFonts w:ascii="Times New Roman" w:eastAsia="Times New Roman"/>
                <w:spacing w:val="-10"/>
                <w:sz w:val="21"/>
                <w:vertAlign w:val="superscript"/>
              </w:rPr>
              <w:t>m</w:t>
            </w:r>
          </w:p>
        </w:tc>
        <w:tc>
          <w:tcPr>
            <w:tcW w:w="1419" w:type="dxa"/>
          </w:tcPr>
          <w:p>
            <w:pPr>
              <w:pStyle w:val="TableParagraph"/>
              <w:spacing w:line="240" w:lineRule="exact" w:before="40"/>
              <w:ind w:left="501"/>
              <w:rPr>
                <w:rFonts w:ascii="Times New Roman"/>
                <w:sz w:val="21"/>
              </w:rPr>
            </w:pPr>
            <w:r>
              <w:rPr>
                <w:rFonts w:ascii="Times New Roman"/>
                <w:sz w:val="21"/>
              </w:rPr>
              <w:t>(X)</w:t>
            </w:r>
            <w:r>
              <w:rPr>
                <w:rFonts w:ascii="Times New Roman"/>
                <w:spacing w:val="-3"/>
                <w:sz w:val="21"/>
              </w:rPr>
              <w:t> </w:t>
            </w:r>
            <w:r>
              <w:rPr>
                <w:rFonts w:ascii="Times New Roman"/>
                <w:spacing w:val="-10"/>
                <w:sz w:val="21"/>
                <w:vertAlign w:val="superscript"/>
              </w:rPr>
              <w:t>d</w:t>
            </w:r>
          </w:p>
          <w:p>
            <w:pPr>
              <w:pStyle w:val="TableParagraph"/>
              <w:spacing w:line="272" w:lineRule="exact"/>
              <w:ind w:left="208"/>
              <w:rPr>
                <w:sz w:val="21"/>
              </w:rPr>
            </w:pPr>
            <w:r>
              <w:rPr>
                <w:sz w:val="21"/>
              </w:rPr>
              <w:t>（</w:t>
            </w:r>
            <w:r>
              <w:rPr>
                <w:rFonts w:ascii="Times New Roman" w:eastAsia="Times New Roman"/>
                <w:sz w:val="21"/>
              </w:rPr>
              <w:t>&gt;4</w:t>
            </w:r>
            <w:r>
              <w:rPr>
                <w:rFonts w:ascii="Times New Roman" w:eastAsia="Times New Roman"/>
                <w:spacing w:val="-10"/>
                <w:sz w:val="21"/>
              </w:rPr>
              <w:t> </w:t>
            </w:r>
            <w:r>
              <w:rPr>
                <w:sz w:val="21"/>
              </w:rPr>
              <w:t>周</w:t>
            </w:r>
            <w:r>
              <w:rPr>
                <w:spacing w:val="-10"/>
                <w:sz w:val="21"/>
              </w:rPr>
              <w:t>）</w:t>
            </w:r>
          </w:p>
        </w:tc>
        <w:tc>
          <w:tcPr>
            <w:tcW w:w="977"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spacing w:before="177"/>
              <w:ind w:left="7" w:right="2"/>
              <w:jc w:val="center"/>
              <w:rPr>
                <w:rFonts w:ascii="Times New Roman"/>
                <w:sz w:val="21"/>
              </w:rPr>
            </w:pPr>
            <w:r>
              <w:rPr>
                <w:rFonts w:ascii="Times New Roman"/>
                <w:spacing w:val="-10"/>
                <w:sz w:val="21"/>
              </w:rPr>
              <w:t>X</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spacing w:before="177"/>
              <w:ind w:left="6" w:right="6"/>
              <w:jc w:val="center"/>
              <w:rPr>
                <w:rFonts w:ascii="Times New Roman"/>
                <w:sz w:val="21"/>
              </w:rPr>
            </w:pPr>
            <w:r>
              <w:rPr>
                <w:rFonts w:ascii="Times New Roman"/>
                <w:spacing w:val="-10"/>
                <w:sz w:val="21"/>
              </w:rPr>
              <w:t>X</w:t>
            </w:r>
          </w:p>
        </w:tc>
        <w:tc>
          <w:tcPr>
            <w:tcW w:w="1127" w:type="dxa"/>
          </w:tcPr>
          <w:p>
            <w:pPr>
              <w:pStyle w:val="TableParagraph"/>
              <w:spacing w:before="177"/>
              <w:ind w:left="3" w:right="2"/>
              <w:jc w:val="center"/>
              <w:rPr>
                <w:rFonts w:ascii="Times New Roman"/>
                <w:sz w:val="21"/>
              </w:rPr>
            </w:pPr>
            <w:r>
              <w:rPr>
                <w:rFonts w:ascii="Times New Roman"/>
                <w:spacing w:val="-10"/>
                <w:sz w:val="21"/>
              </w:rPr>
              <w:t>X</w:t>
            </w:r>
          </w:p>
        </w:tc>
        <w:tc>
          <w:tcPr>
            <w:tcW w:w="1413" w:type="dxa"/>
          </w:tcPr>
          <w:p>
            <w:pPr>
              <w:pStyle w:val="TableParagraph"/>
              <w:spacing w:before="177"/>
              <w:jc w:val="center"/>
              <w:rPr>
                <w:rFonts w:ascii="Times New Roman"/>
                <w:sz w:val="21"/>
              </w:rPr>
            </w:pPr>
            <w:r>
              <w:rPr>
                <w:rFonts w:ascii="Times New Roman"/>
                <w:spacing w:val="-10"/>
                <w:sz w:val="21"/>
              </w:rPr>
              <w:t>X</w:t>
            </w:r>
          </w:p>
        </w:tc>
        <w:tc>
          <w:tcPr>
            <w:tcW w:w="1176" w:type="dxa"/>
          </w:tcPr>
          <w:p>
            <w:pPr>
              <w:pStyle w:val="TableParagraph"/>
              <w:spacing w:before="177"/>
              <w:ind w:left="3" w:right="1"/>
              <w:jc w:val="center"/>
              <w:rPr>
                <w:rFonts w:ascii="Times New Roman"/>
                <w:sz w:val="21"/>
              </w:rPr>
            </w:pPr>
            <w:hyperlink w:history="true" w:anchor="_bookmark121">
              <w:r>
                <w:rPr>
                  <w:rFonts w:ascii="Times New Roman"/>
                  <w:color w:val="0000FF"/>
                  <w:spacing w:val="-2"/>
                  <w:sz w:val="21"/>
                </w:rPr>
                <w:t>8.4.2</w:t>
              </w:r>
            </w:hyperlink>
          </w:p>
        </w:tc>
      </w:tr>
      <w:tr>
        <w:trPr>
          <w:trHeight w:val="352" w:hRule="atLeast"/>
        </w:trPr>
        <w:tc>
          <w:tcPr>
            <w:tcW w:w="13954" w:type="dxa"/>
            <w:gridSpan w:val="12"/>
            <w:shd w:val="clear" w:color="auto" w:fill="D9D9D9"/>
          </w:tcPr>
          <w:p>
            <w:pPr>
              <w:pStyle w:val="TableParagraph"/>
              <w:spacing w:before="39"/>
              <w:ind w:left="107"/>
              <w:rPr>
                <w:b/>
                <w:sz w:val="21"/>
              </w:rPr>
            </w:pPr>
            <w:r>
              <w:rPr>
                <w:rFonts w:ascii="Times New Roman" w:eastAsia="Times New Roman"/>
                <w:b/>
                <w:sz w:val="21"/>
              </w:rPr>
              <w:t>IP</w:t>
            </w:r>
            <w:r>
              <w:rPr>
                <w:rFonts w:ascii="Times New Roman" w:eastAsia="Times New Roman"/>
                <w:b/>
                <w:spacing w:val="-12"/>
                <w:sz w:val="21"/>
              </w:rPr>
              <w:t> </w:t>
            </w:r>
            <w:r>
              <w:rPr>
                <w:b/>
                <w:spacing w:val="-5"/>
                <w:sz w:val="21"/>
              </w:rPr>
              <w:t>给药</w:t>
            </w:r>
          </w:p>
        </w:tc>
      </w:tr>
      <w:tr>
        <w:trPr>
          <w:trHeight w:val="352" w:hRule="atLeast"/>
        </w:trPr>
        <w:tc>
          <w:tcPr>
            <w:tcW w:w="1983" w:type="dxa"/>
          </w:tcPr>
          <w:p>
            <w:pPr>
              <w:pStyle w:val="TableParagraph"/>
              <w:spacing w:before="39"/>
              <w:ind w:left="107"/>
              <w:rPr>
                <w:rFonts w:ascii="Times New Roman" w:eastAsia="Times New Roman"/>
                <w:sz w:val="21"/>
              </w:rPr>
            </w:pPr>
            <w:r>
              <w:rPr>
                <w:rFonts w:ascii="Times New Roman" w:eastAsia="Times New Roman"/>
                <w:sz w:val="21"/>
              </w:rPr>
              <w:t>IP</w:t>
            </w:r>
            <w:r>
              <w:rPr>
                <w:rFonts w:ascii="Times New Roman" w:eastAsia="Times New Roman"/>
                <w:spacing w:val="-12"/>
                <w:sz w:val="21"/>
              </w:rPr>
              <w:t> </w:t>
            </w:r>
            <w:r>
              <w:rPr>
                <w:spacing w:val="-18"/>
                <w:sz w:val="21"/>
              </w:rPr>
              <w:t>给药 </w:t>
            </w:r>
            <w:r>
              <w:rPr>
                <w:rFonts w:ascii="Times New Roman" w:eastAsia="Times New Roman"/>
                <w:spacing w:val="-10"/>
                <w:sz w:val="21"/>
                <w:vertAlign w:val="superscript"/>
              </w:rPr>
              <w:t>n</w:t>
            </w:r>
          </w:p>
        </w:tc>
        <w:tc>
          <w:tcPr>
            <w:tcW w:w="1419" w:type="dxa"/>
          </w:tcPr>
          <w:p>
            <w:pPr>
              <w:pStyle w:val="TableParagraph"/>
              <w:spacing w:before="57"/>
              <w:ind w:left="9"/>
              <w:jc w:val="center"/>
              <w:rPr>
                <w:rFonts w:ascii="Times New Roman"/>
                <w:sz w:val="21"/>
              </w:rPr>
            </w:pPr>
            <w:r>
              <w:rPr>
                <w:rFonts w:ascii="Times New Roman"/>
                <w:spacing w:val="-10"/>
                <w:sz w:val="21"/>
              </w:rPr>
              <w:t>X</w:t>
            </w:r>
          </w:p>
        </w:tc>
        <w:tc>
          <w:tcPr>
            <w:tcW w:w="977" w:type="dxa"/>
          </w:tcPr>
          <w:p>
            <w:pPr>
              <w:pStyle w:val="TableParagraph"/>
              <w:spacing w:before="57"/>
              <w:ind w:left="6" w:right="1"/>
              <w:jc w:val="center"/>
              <w:rPr>
                <w:rFonts w:ascii="Times New Roman"/>
                <w:sz w:val="21"/>
              </w:rPr>
            </w:pPr>
            <w:r>
              <w:rPr>
                <w:rFonts w:ascii="Times New Roman"/>
                <w:spacing w:val="-10"/>
                <w:sz w:val="21"/>
              </w:rPr>
              <w:t>X</w:t>
            </w:r>
          </w:p>
        </w:tc>
        <w:tc>
          <w:tcPr>
            <w:tcW w:w="976" w:type="dxa"/>
          </w:tcPr>
          <w:p>
            <w:pPr>
              <w:pStyle w:val="TableParagraph"/>
              <w:spacing w:before="57"/>
              <w:ind w:left="7" w:right="1"/>
              <w:jc w:val="center"/>
              <w:rPr>
                <w:rFonts w:ascii="Times New Roman"/>
                <w:sz w:val="21"/>
              </w:rPr>
            </w:pPr>
            <w:r>
              <w:rPr>
                <w:rFonts w:ascii="Times New Roman"/>
                <w:spacing w:val="-10"/>
                <w:sz w:val="21"/>
              </w:rPr>
              <w:t>X</w:t>
            </w:r>
          </w:p>
        </w:tc>
        <w:tc>
          <w:tcPr>
            <w:tcW w:w="976" w:type="dxa"/>
          </w:tcPr>
          <w:p>
            <w:pPr>
              <w:pStyle w:val="TableParagraph"/>
              <w:spacing w:before="57"/>
              <w:ind w:left="7" w:right="2"/>
              <w:jc w:val="center"/>
              <w:rPr>
                <w:rFonts w:ascii="Times New Roman"/>
                <w:sz w:val="21"/>
              </w:rPr>
            </w:pPr>
            <w:r>
              <w:rPr>
                <w:rFonts w:ascii="Times New Roman"/>
                <w:spacing w:val="-10"/>
                <w:sz w:val="21"/>
              </w:rPr>
              <w:t>X</w:t>
            </w:r>
          </w:p>
        </w:tc>
        <w:tc>
          <w:tcPr>
            <w:tcW w:w="978" w:type="dxa"/>
          </w:tcPr>
          <w:p>
            <w:pPr>
              <w:pStyle w:val="TableParagraph"/>
              <w:spacing w:before="57"/>
              <w:ind w:left="4" w:right="2"/>
              <w:jc w:val="center"/>
              <w:rPr>
                <w:rFonts w:ascii="Times New Roman"/>
                <w:sz w:val="21"/>
              </w:rPr>
            </w:pPr>
            <w:r>
              <w:rPr>
                <w:rFonts w:ascii="Times New Roman"/>
                <w:spacing w:val="-10"/>
                <w:sz w:val="21"/>
              </w:rPr>
              <w:t>X</w:t>
            </w:r>
          </w:p>
        </w:tc>
        <w:tc>
          <w:tcPr>
            <w:tcW w:w="976" w:type="dxa"/>
          </w:tcPr>
          <w:p>
            <w:pPr>
              <w:pStyle w:val="TableParagraph"/>
              <w:spacing w:before="57"/>
              <w:ind w:left="7" w:right="4"/>
              <w:jc w:val="center"/>
              <w:rPr>
                <w:rFonts w:ascii="Times New Roman"/>
                <w:sz w:val="21"/>
              </w:rPr>
            </w:pPr>
            <w:r>
              <w:rPr>
                <w:rFonts w:ascii="Times New Roman"/>
                <w:spacing w:val="-10"/>
                <w:sz w:val="21"/>
              </w:rPr>
              <w:t>X</w:t>
            </w:r>
          </w:p>
        </w:tc>
        <w:tc>
          <w:tcPr>
            <w:tcW w:w="976" w:type="dxa"/>
          </w:tcPr>
          <w:p>
            <w:pPr>
              <w:pStyle w:val="TableParagraph"/>
              <w:spacing w:before="57"/>
              <w:ind w:left="7" w:right="5"/>
              <w:jc w:val="center"/>
              <w:rPr>
                <w:rFonts w:ascii="Times New Roman"/>
                <w:sz w:val="21"/>
              </w:rPr>
            </w:pPr>
            <w:r>
              <w:rPr>
                <w:rFonts w:ascii="Times New Roman"/>
                <w:spacing w:val="-10"/>
                <w:sz w:val="21"/>
              </w:rPr>
              <w:t>X</w:t>
            </w: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TableParagraph"/>
              <w:spacing w:before="57"/>
              <w:ind w:left="3"/>
              <w:jc w:val="center"/>
              <w:rPr>
                <w:rFonts w:ascii="Times New Roman"/>
                <w:sz w:val="21"/>
              </w:rPr>
            </w:pPr>
            <w:hyperlink w:history="true" w:anchor="_bookmark55">
              <w:r>
                <w:rPr>
                  <w:rFonts w:ascii="Times New Roman"/>
                  <w:color w:val="0000FF"/>
                  <w:spacing w:val="-2"/>
                  <w:sz w:val="21"/>
                </w:rPr>
                <w:t>6.2.2.2</w:t>
              </w:r>
            </w:hyperlink>
          </w:p>
        </w:tc>
      </w:tr>
      <w:tr>
        <w:trPr>
          <w:trHeight w:val="353" w:hRule="atLeast"/>
        </w:trPr>
        <w:tc>
          <w:tcPr>
            <w:tcW w:w="1983" w:type="dxa"/>
          </w:tcPr>
          <w:p>
            <w:pPr>
              <w:pStyle w:val="TableParagraph"/>
              <w:spacing w:before="39"/>
              <w:ind w:left="107"/>
              <w:rPr>
                <w:rFonts w:ascii="Times New Roman" w:eastAsia="Times New Roman"/>
                <w:sz w:val="21"/>
              </w:rPr>
            </w:pPr>
            <w:r>
              <w:rPr>
                <w:rFonts w:ascii="Times New Roman" w:eastAsia="Times New Roman"/>
                <w:sz w:val="21"/>
              </w:rPr>
              <w:t>IP</w:t>
            </w:r>
            <w:r>
              <w:rPr>
                <w:rFonts w:ascii="Times New Roman" w:eastAsia="Times New Roman"/>
                <w:spacing w:val="-11"/>
                <w:sz w:val="21"/>
              </w:rPr>
              <w:t> </w:t>
            </w:r>
            <w:r>
              <w:rPr>
                <w:spacing w:val="-8"/>
                <w:sz w:val="21"/>
              </w:rPr>
              <w:t>自行给药培训 </w:t>
            </w:r>
            <w:r>
              <w:rPr>
                <w:rFonts w:ascii="Times New Roman" w:eastAsia="Times New Roman"/>
                <w:spacing w:val="-10"/>
                <w:sz w:val="21"/>
                <w:vertAlign w:val="superscript"/>
              </w:rPr>
              <w:t>o</w:t>
            </w:r>
          </w:p>
        </w:tc>
        <w:tc>
          <w:tcPr>
            <w:tcW w:w="1419" w:type="dxa"/>
          </w:tcPr>
          <w:p>
            <w:pPr>
              <w:pStyle w:val="TableParagraph"/>
              <w:rPr>
                <w:rFonts w:ascii="Times New Roman"/>
                <w:sz w:val="20"/>
              </w:rPr>
            </w:pPr>
          </w:p>
        </w:tc>
        <w:tc>
          <w:tcPr>
            <w:tcW w:w="977" w:type="dxa"/>
          </w:tcPr>
          <w:p>
            <w:pPr>
              <w:pStyle w:val="TableParagraph"/>
              <w:spacing w:before="42"/>
              <w:ind w:left="6"/>
              <w:jc w:val="center"/>
              <w:rPr>
                <w:rFonts w:ascii="Times New Roman"/>
                <w:sz w:val="14"/>
              </w:rPr>
            </w:pPr>
            <w:r>
              <w:rPr>
                <w:rFonts w:ascii="Times New Roman"/>
                <w:position w:val="-7"/>
                <w:sz w:val="21"/>
              </w:rPr>
              <w:t>X</w:t>
            </w:r>
            <w:r>
              <w:rPr>
                <w:rFonts w:ascii="Times New Roman"/>
                <w:spacing w:val="-1"/>
                <w:position w:val="-7"/>
                <w:sz w:val="21"/>
              </w:rPr>
              <w:t> </w:t>
            </w:r>
            <w:r>
              <w:rPr>
                <w:rFonts w:ascii="Times New Roman"/>
                <w:spacing w:val="-12"/>
                <w:sz w:val="14"/>
              </w:rPr>
              <w:t>o</w:t>
            </w:r>
          </w:p>
        </w:tc>
        <w:tc>
          <w:tcPr>
            <w:tcW w:w="976" w:type="dxa"/>
          </w:tcPr>
          <w:p>
            <w:pPr>
              <w:pStyle w:val="TableParagraph"/>
              <w:spacing w:before="42"/>
              <w:ind w:left="7" w:right="1"/>
              <w:jc w:val="center"/>
              <w:rPr>
                <w:rFonts w:ascii="Times New Roman"/>
                <w:sz w:val="14"/>
              </w:rPr>
            </w:pPr>
            <w:r>
              <w:rPr>
                <w:rFonts w:ascii="Times New Roman"/>
                <w:position w:val="-7"/>
                <w:sz w:val="21"/>
              </w:rPr>
              <w:t>X</w:t>
            </w:r>
            <w:r>
              <w:rPr>
                <w:rFonts w:ascii="Times New Roman"/>
                <w:spacing w:val="-1"/>
                <w:position w:val="-7"/>
                <w:sz w:val="21"/>
              </w:rPr>
              <w:t> </w:t>
            </w:r>
            <w:r>
              <w:rPr>
                <w:rFonts w:ascii="Times New Roman"/>
                <w:spacing w:val="-12"/>
                <w:sz w:val="14"/>
              </w:rPr>
              <w:t>o</w:t>
            </w:r>
          </w:p>
        </w:tc>
        <w:tc>
          <w:tcPr>
            <w:tcW w:w="976" w:type="dxa"/>
          </w:tcPr>
          <w:p>
            <w:pPr>
              <w:pStyle w:val="TableParagraph"/>
              <w:spacing w:before="42"/>
              <w:ind w:left="7" w:right="2"/>
              <w:jc w:val="center"/>
              <w:rPr>
                <w:rFonts w:ascii="Times New Roman"/>
                <w:sz w:val="14"/>
              </w:rPr>
            </w:pPr>
            <w:r>
              <w:rPr>
                <w:rFonts w:ascii="Times New Roman"/>
                <w:position w:val="-7"/>
                <w:sz w:val="21"/>
              </w:rPr>
              <w:t>X</w:t>
            </w:r>
            <w:r>
              <w:rPr>
                <w:rFonts w:ascii="Times New Roman"/>
                <w:spacing w:val="-1"/>
                <w:position w:val="-7"/>
                <w:sz w:val="21"/>
              </w:rPr>
              <w:t> </w:t>
            </w:r>
            <w:r>
              <w:rPr>
                <w:rFonts w:ascii="Times New Roman"/>
                <w:spacing w:val="-12"/>
                <w:sz w:val="14"/>
              </w:rPr>
              <w:t>o</w:t>
            </w:r>
          </w:p>
        </w:tc>
        <w:tc>
          <w:tcPr>
            <w:tcW w:w="978" w:type="dxa"/>
          </w:tcPr>
          <w:p>
            <w:pPr>
              <w:pStyle w:val="TableParagraph"/>
              <w:rPr>
                <w:rFonts w:ascii="Times New Roman"/>
                <w:sz w:val="20"/>
              </w:rPr>
            </w:pPr>
          </w:p>
        </w:tc>
        <w:tc>
          <w:tcPr>
            <w:tcW w:w="976" w:type="dxa"/>
          </w:tcPr>
          <w:p>
            <w:pPr>
              <w:pStyle w:val="TableParagraph"/>
              <w:rPr>
                <w:rFonts w:ascii="Times New Roman"/>
                <w:sz w:val="20"/>
              </w:rPr>
            </w:pPr>
          </w:p>
        </w:tc>
        <w:tc>
          <w:tcPr>
            <w:tcW w:w="976" w:type="dxa"/>
          </w:tcPr>
          <w:p>
            <w:pPr>
              <w:pStyle w:val="TableParagraph"/>
              <w:rPr>
                <w:rFonts w:ascii="Times New Roman"/>
                <w:sz w:val="20"/>
              </w:rPr>
            </w:pPr>
          </w:p>
        </w:tc>
        <w:tc>
          <w:tcPr>
            <w:tcW w:w="977" w:type="dxa"/>
          </w:tcPr>
          <w:p>
            <w:pPr>
              <w:pStyle w:val="TableParagraph"/>
              <w:rPr>
                <w:rFonts w:ascii="Times New Roman"/>
                <w:sz w:val="20"/>
              </w:rPr>
            </w:pPr>
          </w:p>
        </w:tc>
        <w:tc>
          <w:tcPr>
            <w:tcW w:w="1127" w:type="dxa"/>
          </w:tcPr>
          <w:p>
            <w:pPr>
              <w:pStyle w:val="TableParagraph"/>
              <w:rPr>
                <w:rFonts w:ascii="Times New Roman"/>
                <w:sz w:val="20"/>
              </w:rPr>
            </w:pPr>
          </w:p>
        </w:tc>
        <w:tc>
          <w:tcPr>
            <w:tcW w:w="1413" w:type="dxa"/>
          </w:tcPr>
          <w:p>
            <w:pPr>
              <w:pStyle w:val="TableParagraph"/>
              <w:rPr>
                <w:rFonts w:ascii="Times New Roman"/>
                <w:sz w:val="20"/>
              </w:rPr>
            </w:pPr>
          </w:p>
        </w:tc>
        <w:tc>
          <w:tcPr>
            <w:tcW w:w="1176" w:type="dxa"/>
          </w:tcPr>
          <w:p>
            <w:pPr>
              <w:pStyle w:val="TableParagraph"/>
              <w:spacing w:before="57"/>
              <w:ind w:left="3"/>
              <w:jc w:val="center"/>
              <w:rPr>
                <w:rFonts w:ascii="Times New Roman"/>
                <w:sz w:val="21"/>
              </w:rPr>
            </w:pPr>
            <w:hyperlink w:history="true" w:anchor="_bookmark56">
              <w:r>
                <w:rPr>
                  <w:rFonts w:ascii="Times New Roman"/>
                  <w:color w:val="0000FF"/>
                  <w:spacing w:val="-2"/>
                  <w:sz w:val="21"/>
                </w:rPr>
                <w:t>6.2.2.3</w:t>
              </w:r>
            </w:hyperlink>
          </w:p>
        </w:tc>
      </w:tr>
    </w:tbl>
    <w:p>
      <w:pPr>
        <w:tabs>
          <w:tab w:pos="524" w:val="left" w:leader="none"/>
        </w:tabs>
        <w:spacing w:before="42"/>
        <w:ind w:left="524" w:right="316" w:hanging="425"/>
        <w:jc w:val="left"/>
        <w:rPr>
          <w:sz w:val="21"/>
        </w:rPr>
      </w:pPr>
      <w:r>
        <w:rPr>
          <w:rFonts w:ascii="Times New Roman" w:eastAsia="Times New Roman"/>
          <w:spacing w:val="-10"/>
          <w:sz w:val="21"/>
          <w:vertAlign w:val="superscript"/>
        </w:rPr>
        <w:t>a</w:t>
      </w:r>
      <w:r>
        <w:rPr>
          <w:rFonts w:ascii="Times New Roman" w:eastAsia="Times New Roman"/>
          <w:sz w:val="21"/>
          <w:vertAlign w:val="baseline"/>
        </w:rPr>
        <w:tab/>
      </w:r>
      <w:r>
        <w:rPr>
          <w:spacing w:val="-15"/>
          <w:sz w:val="21"/>
          <w:vertAlign w:val="baseline"/>
        </w:rPr>
        <w:t>应在 </w:t>
      </w:r>
      <w:r>
        <w:rPr>
          <w:rFonts w:ascii="Times New Roman" w:eastAsia="Times New Roman"/>
          <w:sz w:val="21"/>
          <w:vertAlign w:val="baseline"/>
        </w:rPr>
        <w:t>IP</w:t>
      </w:r>
      <w:r>
        <w:rPr>
          <w:rFonts w:ascii="Times New Roman" w:eastAsia="Times New Roman"/>
          <w:spacing w:val="-14"/>
          <w:sz w:val="21"/>
          <w:vertAlign w:val="baseline"/>
        </w:rPr>
        <w:t> </w:t>
      </w:r>
      <w:r>
        <w:rPr>
          <w:spacing w:val="-8"/>
          <w:sz w:val="21"/>
          <w:vertAlign w:val="baseline"/>
        </w:rPr>
        <w:t>末次给药后 </w:t>
      </w:r>
      <w:r>
        <w:rPr>
          <w:rFonts w:ascii="Times New Roman" w:eastAsia="Times New Roman"/>
          <w:sz w:val="21"/>
          <w:vertAlign w:val="baseline"/>
        </w:rPr>
        <w:t>12</w:t>
      </w:r>
      <w:r>
        <w:rPr>
          <w:rFonts w:ascii="Times New Roman" w:eastAsia="Times New Roman"/>
          <w:spacing w:val="-13"/>
          <w:sz w:val="21"/>
          <w:vertAlign w:val="baseline"/>
        </w:rPr>
        <w:t> </w:t>
      </w:r>
      <w:r>
        <w:rPr>
          <w:spacing w:val="-12"/>
          <w:sz w:val="21"/>
          <w:vertAlign w:val="baseline"/>
        </w:rPr>
        <w:t>周进行 </w:t>
      </w:r>
      <w:r>
        <w:rPr>
          <w:rFonts w:ascii="Times New Roman" w:eastAsia="Times New Roman"/>
          <w:sz w:val="21"/>
          <w:vertAlign w:val="baseline"/>
        </w:rPr>
        <w:t>E/D</w:t>
      </w:r>
      <w:r>
        <w:rPr>
          <w:rFonts w:ascii="Times New Roman" w:eastAsia="Times New Roman"/>
          <w:spacing w:val="-13"/>
          <w:sz w:val="21"/>
          <w:vertAlign w:val="baseline"/>
        </w:rPr>
        <w:t> </w:t>
      </w:r>
      <w:r>
        <w:rPr>
          <w:spacing w:val="-2"/>
          <w:sz w:val="21"/>
          <w:vertAlign w:val="baseline"/>
        </w:rPr>
        <w:t>访视，且应现场进行。至主要报告时间，所有受试者将中止 </w:t>
      </w:r>
      <w:r>
        <w:rPr>
          <w:rFonts w:ascii="Times New Roman" w:eastAsia="Times New Roman"/>
          <w:sz w:val="21"/>
          <w:vertAlign w:val="baseline"/>
        </w:rPr>
        <w:t>IP</w:t>
      </w:r>
      <w:r>
        <w:rPr>
          <w:rFonts w:ascii="Times New Roman" w:eastAsia="Times New Roman"/>
          <w:spacing w:val="-12"/>
          <w:sz w:val="21"/>
          <w:vertAlign w:val="baseline"/>
        </w:rPr>
        <w:t> </w:t>
      </w:r>
      <w:r>
        <w:rPr>
          <w:sz w:val="21"/>
          <w:vertAlign w:val="baseline"/>
        </w:rPr>
        <w:t>给药。因此，部分受试者可能在完成全部治疗期之</w:t>
      </w:r>
      <w:r>
        <w:rPr>
          <w:spacing w:val="-2"/>
          <w:sz w:val="21"/>
          <w:vertAlign w:val="baseline"/>
        </w:rPr>
        <w:t>前结束研究。将要求未完成完整治疗期的受试者在 </w:t>
      </w:r>
      <w:r>
        <w:rPr>
          <w:rFonts w:ascii="Times New Roman" w:eastAsia="Times New Roman"/>
          <w:sz w:val="21"/>
          <w:vertAlign w:val="baseline"/>
        </w:rPr>
        <w:t>IP </w:t>
      </w:r>
      <w:r>
        <w:rPr>
          <w:spacing w:val="-6"/>
          <w:sz w:val="21"/>
          <w:vertAlign w:val="baseline"/>
        </w:rPr>
        <w:t>末次给药后 </w:t>
      </w:r>
      <w:r>
        <w:rPr>
          <w:rFonts w:ascii="Times New Roman" w:eastAsia="Times New Roman"/>
          <w:sz w:val="21"/>
          <w:vertAlign w:val="baseline"/>
        </w:rPr>
        <w:t>12 </w:t>
      </w:r>
      <w:r>
        <w:rPr>
          <w:spacing w:val="-9"/>
          <w:sz w:val="21"/>
          <w:vertAlign w:val="baseline"/>
        </w:rPr>
        <w:t>周参与 </w:t>
      </w:r>
      <w:r>
        <w:rPr>
          <w:rFonts w:ascii="Times New Roman" w:eastAsia="Times New Roman"/>
          <w:sz w:val="21"/>
          <w:vertAlign w:val="baseline"/>
        </w:rPr>
        <w:t>E/D </w:t>
      </w:r>
      <w:r>
        <w:rPr>
          <w:spacing w:val="-5"/>
          <w:sz w:val="21"/>
          <w:vertAlign w:val="baseline"/>
        </w:rPr>
        <w:t>访视。有关终止 </w:t>
      </w:r>
      <w:r>
        <w:rPr>
          <w:rFonts w:ascii="Times New Roman" w:eastAsia="Times New Roman"/>
          <w:sz w:val="21"/>
          <w:vertAlign w:val="baseline"/>
        </w:rPr>
        <w:t>IP </w:t>
      </w:r>
      <w:r>
        <w:rPr>
          <w:spacing w:val="-3"/>
          <w:sz w:val="21"/>
          <w:vertAlign w:val="baseline"/>
        </w:rPr>
        <w:t>治疗程序的详细信息，请见第 </w:t>
      </w:r>
      <w:hyperlink w:history="true" w:anchor="_bookmark75">
        <w:r>
          <w:rPr>
            <w:rFonts w:ascii="Times New Roman" w:eastAsia="Times New Roman"/>
            <w:color w:val="0000FF"/>
            <w:sz w:val="21"/>
            <w:vertAlign w:val="baseline"/>
          </w:rPr>
          <w:t>7.1.1</w:t>
        </w:r>
      </w:hyperlink>
      <w:r>
        <w:rPr>
          <w:rFonts w:ascii="Times New Roman" w:eastAsia="Times New Roman"/>
          <w:color w:val="0000FF"/>
          <w:sz w:val="21"/>
          <w:vertAlign w:val="baseline"/>
        </w:rPr>
        <w:t> </w:t>
      </w:r>
      <w:r>
        <w:rPr>
          <w:sz w:val="21"/>
          <w:vertAlign w:val="baseline"/>
        </w:rPr>
        <w:t>节。</w:t>
      </w:r>
    </w:p>
    <w:p>
      <w:pPr>
        <w:tabs>
          <w:tab w:pos="524" w:val="left" w:leader="none"/>
        </w:tabs>
        <w:spacing w:before="38"/>
        <w:ind w:left="524" w:right="317" w:hanging="425"/>
        <w:jc w:val="left"/>
        <w:rPr>
          <w:sz w:val="21"/>
        </w:rPr>
      </w:pPr>
      <w:r>
        <w:rPr>
          <w:rFonts w:ascii="Times New Roman" w:eastAsia="Times New Roman"/>
          <w:spacing w:val="-10"/>
          <w:sz w:val="21"/>
          <w:vertAlign w:val="superscript"/>
        </w:rPr>
        <w:t>b</w:t>
      </w:r>
      <w:r>
        <w:rPr>
          <w:rFonts w:ascii="Times New Roman" w:eastAsia="Times New Roman"/>
          <w:sz w:val="21"/>
          <w:vertAlign w:val="baseline"/>
        </w:rPr>
        <w:tab/>
        <w:t>PROSPERO</w:t>
      </w:r>
      <w:r>
        <w:rPr>
          <w:rFonts w:ascii="Times New Roman" w:eastAsia="Times New Roman"/>
          <w:spacing w:val="-14"/>
          <w:sz w:val="21"/>
          <w:vertAlign w:val="baseline"/>
        </w:rPr>
        <w:t> </w:t>
      </w:r>
      <w:r>
        <w:rPr>
          <w:spacing w:val="-11"/>
          <w:sz w:val="21"/>
          <w:vertAlign w:val="baseline"/>
        </w:rPr>
        <w:t>的访视 </w:t>
      </w:r>
      <w:r>
        <w:rPr>
          <w:rFonts w:ascii="Times New Roman" w:eastAsia="Times New Roman"/>
          <w:sz w:val="21"/>
          <w:vertAlign w:val="baseline"/>
        </w:rPr>
        <w:t>1</w:t>
      </w:r>
      <w:r>
        <w:rPr>
          <w:rFonts w:ascii="Times New Roman" w:eastAsia="Times New Roman"/>
          <w:spacing w:val="-13"/>
          <w:sz w:val="21"/>
          <w:vertAlign w:val="baseline"/>
        </w:rPr>
        <w:t> </w:t>
      </w:r>
      <w:r>
        <w:rPr>
          <w:spacing w:val="-6"/>
          <w:sz w:val="21"/>
          <w:vertAlign w:val="baseline"/>
        </w:rPr>
        <w:t>将在前身研究第 </w:t>
      </w:r>
      <w:r>
        <w:rPr>
          <w:rFonts w:ascii="Times New Roman" w:eastAsia="Times New Roman"/>
          <w:sz w:val="21"/>
          <w:vertAlign w:val="baseline"/>
        </w:rPr>
        <w:t>52</w:t>
      </w:r>
      <w:r>
        <w:rPr>
          <w:rFonts w:ascii="Times New Roman" w:eastAsia="Times New Roman"/>
          <w:spacing w:val="-10"/>
          <w:sz w:val="21"/>
          <w:vertAlign w:val="baseline"/>
        </w:rPr>
        <w:t> </w:t>
      </w:r>
      <w:r>
        <w:rPr>
          <w:sz w:val="21"/>
          <w:vertAlign w:val="baseline"/>
        </w:rPr>
        <w:t>周（</w:t>
      </w:r>
      <w:r>
        <w:rPr>
          <w:spacing w:val="-15"/>
          <w:sz w:val="21"/>
          <w:vertAlign w:val="baseline"/>
        </w:rPr>
        <w:t>访视 </w:t>
      </w:r>
      <w:r>
        <w:rPr>
          <w:rFonts w:ascii="Times New Roman" w:eastAsia="Times New Roman"/>
          <w:sz w:val="21"/>
          <w:vertAlign w:val="baseline"/>
        </w:rPr>
        <w:t>15</w:t>
      </w:r>
      <w:r>
        <w:rPr>
          <w:sz w:val="21"/>
          <w:vertAlign w:val="baseline"/>
        </w:rPr>
        <w:t>）的同一天进行；在某些情况下，</w:t>
      </w:r>
      <w:r>
        <w:rPr>
          <w:rFonts w:ascii="Times New Roman" w:eastAsia="Times New Roman"/>
          <w:sz w:val="21"/>
          <w:vertAlign w:val="baseline"/>
        </w:rPr>
        <w:t>PROSPERO</w:t>
      </w:r>
      <w:r>
        <w:rPr>
          <w:rFonts w:ascii="Times New Roman" w:eastAsia="Times New Roman"/>
          <w:spacing w:val="-8"/>
          <w:sz w:val="21"/>
          <w:vertAlign w:val="baseline"/>
        </w:rPr>
        <w:t> </w:t>
      </w:r>
      <w:r>
        <w:rPr>
          <w:spacing w:val="-11"/>
          <w:sz w:val="21"/>
          <w:vertAlign w:val="baseline"/>
        </w:rPr>
        <w:t>的访视 </w:t>
      </w:r>
      <w:r>
        <w:rPr>
          <w:rFonts w:ascii="Times New Roman" w:eastAsia="Times New Roman"/>
          <w:sz w:val="21"/>
          <w:vertAlign w:val="baseline"/>
        </w:rPr>
        <w:t>1</w:t>
      </w:r>
      <w:r>
        <w:rPr>
          <w:rFonts w:ascii="Times New Roman" w:eastAsia="Times New Roman"/>
          <w:spacing w:val="-8"/>
          <w:sz w:val="21"/>
          <w:vertAlign w:val="baseline"/>
        </w:rPr>
        <w:t> </w:t>
      </w:r>
      <w:r>
        <w:rPr>
          <w:sz w:val="21"/>
          <w:vertAlign w:val="baseline"/>
        </w:rPr>
        <w:t>可重新安排在较晚日期进行，但不得晚</w:t>
      </w:r>
      <w:r>
        <w:rPr>
          <w:spacing w:val="-4"/>
          <w:sz w:val="21"/>
          <w:vertAlign w:val="baseline"/>
        </w:rPr>
        <w:t>于前身研究 </w:t>
      </w:r>
      <w:r>
        <w:rPr>
          <w:rFonts w:ascii="Times New Roman" w:eastAsia="Times New Roman"/>
          <w:sz w:val="21"/>
          <w:vertAlign w:val="baseline"/>
        </w:rPr>
        <w:t>IP </w:t>
      </w:r>
      <w:r>
        <w:rPr>
          <w:spacing w:val="-5"/>
          <w:sz w:val="21"/>
          <w:vertAlign w:val="baseline"/>
        </w:rPr>
        <w:t>末次给药后 </w:t>
      </w:r>
      <w:r>
        <w:rPr>
          <w:rFonts w:ascii="Times New Roman" w:eastAsia="Times New Roman"/>
          <w:sz w:val="21"/>
          <w:vertAlign w:val="baseline"/>
        </w:rPr>
        <w:t>12 </w:t>
      </w:r>
      <w:r>
        <w:rPr>
          <w:sz w:val="21"/>
          <w:vertAlign w:val="baseline"/>
        </w:rPr>
        <w:t>周，前提是受试者在该研究中仍在参加随访（</w:t>
      </w:r>
      <w:r>
        <w:rPr>
          <w:spacing w:val="-4"/>
          <w:sz w:val="21"/>
          <w:vertAlign w:val="baseline"/>
        </w:rPr>
        <w:t>详情参见第 </w:t>
      </w:r>
      <w:hyperlink w:history="true" w:anchor="_bookmark24">
        <w:r>
          <w:rPr>
            <w:rFonts w:ascii="Times New Roman" w:eastAsia="Times New Roman"/>
            <w:color w:val="0000FF"/>
            <w:sz w:val="21"/>
            <w:vertAlign w:val="baseline"/>
          </w:rPr>
          <w:t>4.1.1</w:t>
        </w:r>
      </w:hyperlink>
      <w:r>
        <w:rPr>
          <w:rFonts w:ascii="Times New Roman" w:eastAsia="Times New Roman"/>
          <w:color w:val="0000FF"/>
          <w:sz w:val="21"/>
          <w:vertAlign w:val="baseline"/>
        </w:rPr>
        <w:t> </w:t>
      </w:r>
      <w:r>
        <w:rPr>
          <w:sz w:val="21"/>
          <w:vertAlign w:val="baseline"/>
        </w:rPr>
        <w:t>节）。</w:t>
      </w:r>
    </w:p>
    <w:p>
      <w:pPr>
        <w:tabs>
          <w:tab w:pos="524" w:val="left" w:leader="none"/>
        </w:tabs>
        <w:spacing w:before="39"/>
        <w:ind w:left="100" w:right="0" w:firstLine="0"/>
        <w:jc w:val="left"/>
        <w:rPr>
          <w:sz w:val="21"/>
        </w:rPr>
      </w:pPr>
      <w:r>
        <w:rPr>
          <w:rFonts w:ascii="Times New Roman" w:eastAsia="Times New Roman"/>
          <w:spacing w:val="-10"/>
          <w:sz w:val="21"/>
          <w:vertAlign w:val="superscript"/>
        </w:rPr>
        <w:t>c</w:t>
      </w:r>
      <w:r>
        <w:rPr>
          <w:rFonts w:ascii="Times New Roman" w:eastAsia="Times New Roman"/>
          <w:sz w:val="21"/>
          <w:vertAlign w:val="baseline"/>
        </w:rPr>
        <w:tab/>
      </w:r>
      <w:r>
        <w:rPr>
          <w:rFonts w:ascii="Times New Roman" w:eastAsia="Times New Roman"/>
          <w:spacing w:val="-2"/>
          <w:sz w:val="21"/>
          <w:vertAlign w:val="baseline"/>
        </w:rPr>
        <w:t>PROSPERO</w:t>
      </w:r>
      <w:r>
        <w:rPr>
          <w:rFonts w:ascii="Times New Roman" w:eastAsia="Times New Roman"/>
          <w:spacing w:val="-5"/>
          <w:sz w:val="21"/>
          <w:vertAlign w:val="baseline"/>
        </w:rPr>
        <w:t> </w:t>
      </w:r>
      <w:r>
        <w:rPr>
          <w:spacing w:val="-24"/>
          <w:sz w:val="21"/>
          <w:vertAlign w:val="baseline"/>
        </w:rPr>
        <w:t>的 </w:t>
      </w:r>
      <w:r>
        <w:rPr>
          <w:rFonts w:ascii="Times New Roman" w:eastAsia="Times New Roman"/>
          <w:spacing w:val="-2"/>
          <w:sz w:val="21"/>
          <w:vertAlign w:val="baseline"/>
        </w:rPr>
        <w:t>ICF</w:t>
      </w:r>
      <w:r>
        <w:rPr>
          <w:rFonts w:ascii="Times New Roman" w:eastAsia="Times New Roman"/>
          <w:spacing w:val="-4"/>
          <w:sz w:val="21"/>
          <w:vertAlign w:val="baseline"/>
        </w:rPr>
        <w:t> </w:t>
      </w:r>
      <w:r>
        <w:rPr>
          <w:spacing w:val="-7"/>
          <w:sz w:val="21"/>
          <w:vertAlign w:val="baseline"/>
        </w:rPr>
        <w:t>可在前身研究的第 </w:t>
      </w:r>
      <w:r>
        <w:rPr>
          <w:rFonts w:ascii="Times New Roman" w:eastAsia="Times New Roman"/>
          <w:spacing w:val="-2"/>
          <w:sz w:val="21"/>
          <w:vertAlign w:val="baseline"/>
        </w:rPr>
        <w:t>48</w:t>
      </w:r>
      <w:r>
        <w:rPr>
          <w:rFonts w:ascii="Times New Roman" w:eastAsia="Times New Roman"/>
          <w:spacing w:val="-3"/>
          <w:sz w:val="21"/>
          <w:vertAlign w:val="baseline"/>
        </w:rPr>
        <w:t> </w:t>
      </w:r>
      <w:r>
        <w:rPr>
          <w:spacing w:val="-2"/>
          <w:sz w:val="21"/>
          <w:vertAlign w:val="baseline"/>
        </w:rPr>
        <w:t>周（</w:t>
      </w:r>
      <w:r>
        <w:rPr>
          <w:spacing w:val="-16"/>
          <w:sz w:val="21"/>
          <w:vertAlign w:val="baseline"/>
        </w:rPr>
        <w:t>访视 </w:t>
      </w:r>
      <w:r>
        <w:rPr>
          <w:rFonts w:ascii="Times New Roman" w:eastAsia="Times New Roman"/>
          <w:spacing w:val="-2"/>
          <w:sz w:val="21"/>
          <w:vertAlign w:val="baseline"/>
        </w:rPr>
        <w:t>14</w:t>
      </w:r>
      <w:r>
        <w:rPr>
          <w:spacing w:val="-2"/>
          <w:sz w:val="21"/>
          <w:vertAlign w:val="baseline"/>
        </w:rPr>
        <w:t>）</w:t>
      </w:r>
      <w:r>
        <w:rPr>
          <w:spacing w:val="-5"/>
          <w:sz w:val="21"/>
          <w:vertAlign w:val="baseline"/>
        </w:rPr>
        <w:t>提供。</w:t>
      </w:r>
    </w:p>
    <w:p>
      <w:pPr>
        <w:tabs>
          <w:tab w:pos="524" w:val="left" w:leader="none"/>
        </w:tabs>
        <w:spacing w:before="40"/>
        <w:ind w:left="100" w:right="0" w:firstLine="0"/>
        <w:jc w:val="left"/>
        <w:rPr>
          <w:sz w:val="21"/>
        </w:rPr>
      </w:pPr>
      <w:r>
        <w:rPr>
          <w:rFonts w:ascii="Times New Roman" w:eastAsia="Times New Roman"/>
          <w:spacing w:val="-10"/>
          <w:sz w:val="21"/>
          <w:vertAlign w:val="superscript"/>
        </w:rPr>
        <w:t>d</w:t>
      </w:r>
      <w:r>
        <w:rPr>
          <w:rFonts w:ascii="Times New Roman" w:eastAsia="Times New Roman"/>
          <w:sz w:val="21"/>
          <w:vertAlign w:val="baseline"/>
        </w:rPr>
        <w:tab/>
      </w:r>
      <w:r>
        <w:rPr>
          <w:spacing w:val="-19"/>
          <w:sz w:val="21"/>
          <w:vertAlign w:val="baseline"/>
        </w:rPr>
        <w:t>如果 </w:t>
      </w:r>
      <w:r>
        <w:rPr>
          <w:rFonts w:ascii="Times New Roman" w:eastAsia="Times New Roman"/>
          <w:sz w:val="21"/>
          <w:vertAlign w:val="baseline"/>
        </w:rPr>
        <w:t>PROSPERO</w:t>
      </w:r>
      <w:r>
        <w:rPr>
          <w:rFonts w:ascii="Times New Roman" w:eastAsia="Times New Roman"/>
          <w:spacing w:val="-14"/>
          <w:sz w:val="21"/>
          <w:vertAlign w:val="baseline"/>
        </w:rPr>
        <w:t> </w:t>
      </w:r>
      <w:r>
        <w:rPr>
          <w:spacing w:val="-14"/>
          <w:sz w:val="21"/>
          <w:vertAlign w:val="baseline"/>
        </w:rPr>
        <w:t>的访视 </w:t>
      </w:r>
      <w:r>
        <w:rPr>
          <w:rFonts w:ascii="Times New Roman" w:eastAsia="Times New Roman"/>
          <w:sz w:val="21"/>
          <w:vertAlign w:val="baseline"/>
        </w:rPr>
        <w:t>1</w:t>
      </w:r>
      <w:r>
        <w:rPr>
          <w:rFonts w:ascii="Times New Roman" w:eastAsia="Times New Roman"/>
          <w:spacing w:val="-13"/>
          <w:sz w:val="21"/>
          <w:vertAlign w:val="baseline"/>
        </w:rPr>
        <w:t> </w:t>
      </w:r>
      <w:r>
        <w:rPr>
          <w:spacing w:val="-6"/>
          <w:sz w:val="21"/>
          <w:vertAlign w:val="baseline"/>
        </w:rPr>
        <w:t>距离前身研究访视 </w:t>
      </w:r>
      <w:r>
        <w:rPr>
          <w:rFonts w:ascii="Times New Roman" w:eastAsia="Times New Roman"/>
          <w:sz w:val="21"/>
          <w:vertAlign w:val="baseline"/>
        </w:rPr>
        <w:t>15</w:t>
      </w:r>
      <w:r>
        <w:rPr>
          <w:sz w:val="21"/>
          <w:vertAlign w:val="baseline"/>
        </w:rPr>
        <w:t>（</w:t>
      </w:r>
      <w:r>
        <w:rPr>
          <w:spacing w:val="-27"/>
          <w:sz w:val="21"/>
          <w:vertAlign w:val="baseline"/>
        </w:rPr>
        <w:t>第 </w:t>
      </w:r>
      <w:r>
        <w:rPr>
          <w:rFonts w:ascii="Times New Roman" w:eastAsia="Times New Roman"/>
          <w:sz w:val="21"/>
          <w:vertAlign w:val="baseline"/>
        </w:rPr>
        <w:t>52</w:t>
      </w:r>
      <w:r>
        <w:rPr>
          <w:rFonts w:ascii="Times New Roman" w:eastAsia="Times New Roman"/>
          <w:spacing w:val="-13"/>
          <w:sz w:val="21"/>
          <w:vertAlign w:val="baseline"/>
        </w:rPr>
        <w:t> </w:t>
      </w:r>
      <w:r>
        <w:rPr>
          <w:sz w:val="21"/>
          <w:vertAlign w:val="baseline"/>
        </w:rPr>
        <w:t>周）</w:t>
      </w:r>
      <w:r>
        <w:rPr>
          <w:spacing w:val="-18"/>
          <w:sz w:val="21"/>
          <w:vertAlign w:val="baseline"/>
        </w:rPr>
        <w:t>超过 </w:t>
      </w:r>
      <w:r>
        <w:rPr>
          <w:rFonts w:ascii="Times New Roman" w:eastAsia="Times New Roman"/>
          <w:sz w:val="21"/>
          <w:vertAlign w:val="baseline"/>
        </w:rPr>
        <w:t>4</w:t>
      </w:r>
      <w:r>
        <w:rPr>
          <w:rFonts w:ascii="Times New Roman" w:eastAsia="Times New Roman"/>
          <w:spacing w:val="-13"/>
          <w:sz w:val="21"/>
          <w:vertAlign w:val="baseline"/>
        </w:rPr>
        <w:t> </w:t>
      </w:r>
      <w:r>
        <w:rPr>
          <w:sz w:val="21"/>
          <w:vertAlign w:val="baseline"/>
        </w:rPr>
        <w:t>周，则必须重复进行这些安全性相关评估（</w:t>
      </w:r>
      <w:r>
        <w:rPr>
          <w:spacing w:val="-26"/>
          <w:sz w:val="21"/>
          <w:vertAlign w:val="baseline"/>
        </w:rPr>
        <w:t>第 </w:t>
      </w:r>
      <w:hyperlink w:history="true" w:anchor="_bookmark24">
        <w:r>
          <w:rPr>
            <w:rFonts w:ascii="Times New Roman" w:eastAsia="Times New Roman"/>
            <w:color w:val="0000FF"/>
            <w:sz w:val="21"/>
            <w:vertAlign w:val="baseline"/>
          </w:rPr>
          <w:t>4.1.1</w:t>
        </w:r>
      </w:hyperlink>
      <w:r>
        <w:rPr>
          <w:rFonts w:ascii="Times New Roman" w:eastAsia="Times New Roman"/>
          <w:color w:val="0000FF"/>
          <w:spacing w:val="-11"/>
          <w:sz w:val="21"/>
          <w:vertAlign w:val="baseline"/>
        </w:rPr>
        <w:t> </w:t>
      </w:r>
      <w:r>
        <w:rPr>
          <w:sz w:val="21"/>
          <w:vertAlign w:val="baseline"/>
        </w:rPr>
        <w:t>节）</w:t>
      </w:r>
      <w:r>
        <w:rPr>
          <w:spacing w:val="-10"/>
          <w:sz w:val="21"/>
          <w:vertAlign w:val="baseline"/>
        </w:rPr>
        <w:t>。</w:t>
      </w:r>
    </w:p>
    <w:p>
      <w:pPr>
        <w:tabs>
          <w:tab w:pos="524" w:val="left" w:leader="none"/>
        </w:tabs>
        <w:spacing w:before="39"/>
        <w:ind w:left="100" w:right="0" w:firstLine="0"/>
        <w:jc w:val="left"/>
        <w:rPr>
          <w:sz w:val="21"/>
        </w:rPr>
      </w:pPr>
      <w:r>
        <w:rPr>
          <w:rFonts w:ascii="Times New Roman" w:eastAsia="Times New Roman"/>
          <w:spacing w:val="-10"/>
          <w:sz w:val="21"/>
          <w:vertAlign w:val="superscript"/>
        </w:rPr>
        <w:t>e</w:t>
      </w:r>
      <w:r>
        <w:rPr>
          <w:rFonts w:ascii="Times New Roman" w:eastAsia="Times New Roman"/>
          <w:sz w:val="21"/>
          <w:vertAlign w:val="baseline"/>
        </w:rPr>
        <w:tab/>
      </w:r>
      <w:r>
        <w:rPr>
          <w:spacing w:val="-11"/>
          <w:sz w:val="21"/>
          <w:vertAlign w:val="baseline"/>
        </w:rPr>
        <w:t>如果访视 </w:t>
      </w:r>
      <w:r>
        <w:rPr>
          <w:rFonts w:ascii="Times New Roman" w:eastAsia="Times New Roman"/>
          <w:sz w:val="21"/>
          <w:vertAlign w:val="baseline"/>
        </w:rPr>
        <w:t>1</w:t>
      </w:r>
      <w:r>
        <w:rPr>
          <w:rFonts w:ascii="Times New Roman" w:eastAsia="Times New Roman"/>
          <w:spacing w:val="-14"/>
          <w:sz w:val="21"/>
          <w:vertAlign w:val="baseline"/>
        </w:rPr>
        <w:t> </w:t>
      </w:r>
      <w:r>
        <w:rPr>
          <w:spacing w:val="-7"/>
          <w:sz w:val="21"/>
          <w:vertAlign w:val="baseline"/>
        </w:rPr>
        <w:t>与前身研究访视 </w:t>
      </w:r>
      <w:r>
        <w:rPr>
          <w:rFonts w:ascii="Times New Roman" w:eastAsia="Times New Roman"/>
          <w:sz w:val="21"/>
          <w:vertAlign w:val="baseline"/>
        </w:rPr>
        <w:t>15</w:t>
      </w:r>
      <w:r>
        <w:rPr>
          <w:sz w:val="21"/>
          <w:vertAlign w:val="baseline"/>
        </w:rPr>
        <w:t>（</w:t>
      </w:r>
      <w:r>
        <w:rPr>
          <w:spacing w:val="-27"/>
          <w:sz w:val="21"/>
          <w:vertAlign w:val="baseline"/>
        </w:rPr>
        <w:t>第 </w:t>
      </w:r>
      <w:r>
        <w:rPr>
          <w:rFonts w:ascii="Times New Roman" w:eastAsia="Times New Roman"/>
          <w:sz w:val="21"/>
          <w:vertAlign w:val="baseline"/>
        </w:rPr>
        <w:t>52</w:t>
      </w:r>
      <w:r>
        <w:rPr>
          <w:rFonts w:ascii="Times New Roman" w:eastAsia="Times New Roman"/>
          <w:spacing w:val="-12"/>
          <w:sz w:val="21"/>
          <w:vertAlign w:val="baseline"/>
        </w:rPr>
        <w:t> </w:t>
      </w:r>
      <w:r>
        <w:rPr>
          <w:sz w:val="21"/>
          <w:vertAlign w:val="baseline"/>
        </w:rPr>
        <w:t>周）同一天进行，则不需要重复进行这些评估（</w:t>
      </w:r>
      <w:r>
        <w:rPr>
          <w:spacing w:val="-26"/>
          <w:sz w:val="21"/>
          <w:vertAlign w:val="baseline"/>
        </w:rPr>
        <w:t>第 </w:t>
      </w:r>
      <w:hyperlink w:history="true" w:anchor="_bookmark24">
        <w:r>
          <w:rPr>
            <w:rFonts w:ascii="Times New Roman" w:eastAsia="Times New Roman"/>
            <w:color w:val="0000FF"/>
            <w:sz w:val="21"/>
            <w:vertAlign w:val="baseline"/>
          </w:rPr>
          <w:t>4.1.1</w:t>
        </w:r>
      </w:hyperlink>
      <w:r>
        <w:rPr>
          <w:rFonts w:ascii="Times New Roman" w:eastAsia="Times New Roman"/>
          <w:color w:val="0000FF"/>
          <w:spacing w:val="-11"/>
          <w:sz w:val="21"/>
          <w:vertAlign w:val="baseline"/>
        </w:rPr>
        <w:t> </w:t>
      </w:r>
      <w:r>
        <w:rPr>
          <w:sz w:val="21"/>
          <w:vertAlign w:val="baseline"/>
        </w:rPr>
        <w:t>节）</w:t>
      </w:r>
      <w:r>
        <w:rPr>
          <w:spacing w:val="-10"/>
          <w:sz w:val="21"/>
          <w:vertAlign w:val="baseline"/>
        </w:rPr>
        <w:t>。</w:t>
      </w:r>
    </w:p>
    <w:p>
      <w:pPr>
        <w:tabs>
          <w:tab w:pos="524" w:val="left" w:leader="none"/>
        </w:tabs>
        <w:spacing w:before="39"/>
        <w:ind w:left="524" w:right="316" w:hanging="425"/>
        <w:jc w:val="left"/>
        <w:rPr>
          <w:sz w:val="21"/>
        </w:rPr>
      </w:pPr>
      <w:r>
        <w:rPr>
          <w:rFonts w:ascii="Times New Roman" w:hAnsi="Times New Roman" w:eastAsia="Times New Roman"/>
          <w:spacing w:val="-10"/>
          <w:sz w:val="21"/>
          <w:vertAlign w:val="superscript"/>
        </w:rPr>
        <w:t>f</w:t>
      </w:r>
      <w:r>
        <w:rPr>
          <w:rFonts w:ascii="Times New Roman" w:hAnsi="Times New Roman" w:eastAsia="Times New Roman"/>
          <w:sz w:val="21"/>
          <w:vertAlign w:val="baseline"/>
        </w:rPr>
        <w:tab/>
      </w:r>
      <w:r>
        <w:rPr>
          <w:spacing w:val="4"/>
          <w:sz w:val="21"/>
          <w:vertAlign w:val="baseline"/>
        </w:rPr>
        <w:t>仅对前身研究中基线</w:t>
      </w:r>
      <w:r>
        <w:rPr>
          <w:rFonts w:ascii="Times New Roman" w:hAnsi="Times New Roman" w:eastAsia="Times New Roman"/>
          <w:sz w:val="21"/>
          <w:vertAlign w:val="baseline"/>
        </w:rPr>
        <w:t>CT</w:t>
      </w:r>
      <w:r>
        <w:rPr>
          <w:rFonts w:ascii="Times New Roman" w:hAnsi="Times New Roman" w:eastAsia="Times New Roman"/>
          <w:spacing w:val="-17"/>
          <w:sz w:val="21"/>
          <w:vertAlign w:val="baseline"/>
        </w:rPr>
        <w:t> </w:t>
      </w:r>
      <w:r>
        <w:rPr>
          <w:sz w:val="21"/>
          <w:vertAlign w:val="baseline"/>
        </w:rPr>
        <w:t>符合条件（经成像供应商确认）</w:t>
      </w:r>
      <w:r>
        <w:rPr>
          <w:spacing w:val="5"/>
          <w:sz w:val="21"/>
          <w:vertAlign w:val="baseline"/>
        </w:rPr>
        <w:t>的受试者进行随访</w:t>
      </w:r>
      <w:r>
        <w:rPr>
          <w:rFonts w:ascii="Times New Roman" w:hAnsi="Times New Roman" w:eastAsia="Times New Roman"/>
          <w:sz w:val="21"/>
          <w:vertAlign w:val="baseline"/>
        </w:rPr>
        <w:t>CT</w:t>
      </w:r>
      <w:r>
        <w:rPr>
          <w:sz w:val="21"/>
          <w:vertAlign w:val="baseline"/>
        </w:rPr>
        <w:t>（可选）</w:t>
      </w:r>
      <w:r>
        <w:rPr>
          <w:spacing w:val="-6"/>
          <w:sz w:val="21"/>
          <w:vertAlign w:val="baseline"/>
        </w:rPr>
        <w:t>检查。对于提前终止 </w:t>
      </w:r>
      <w:r>
        <w:rPr>
          <w:rFonts w:ascii="Times New Roman" w:hAnsi="Times New Roman" w:eastAsia="Times New Roman"/>
          <w:sz w:val="21"/>
          <w:vertAlign w:val="baseline"/>
        </w:rPr>
        <w:t>IP</w:t>
      </w:r>
      <w:r>
        <w:rPr>
          <w:rFonts w:ascii="Times New Roman" w:hAnsi="Times New Roman" w:eastAsia="Times New Roman"/>
          <w:spacing w:val="-17"/>
          <w:sz w:val="21"/>
          <w:vertAlign w:val="baseline"/>
        </w:rPr>
        <w:t> </w:t>
      </w:r>
      <w:r>
        <w:rPr>
          <w:spacing w:val="-5"/>
          <w:sz w:val="21"/>
          <w:vertAlign w:val="baseline"/>
        </w:rPr>
        <w:t>治疗的受试者，强烈建议在 </w:t>
      </w:r>
      <w:r>
        <w:rPr>
          <w:rFonts w:ascii="Times New Roman" w:hAnsi="Times New Roman" w:eastAsia="Times New Roman"/>
          <w:sz w:val="21"/>
          <w:vertAlign w:val="baseline"/>
        </w:rPr>
        <w:t>E/D</w:t>
      </w:r>
      <w:r>
        <w:rPr>
          <w:rFonts w:ascii="Times New Roman" w:hAnsi="Times New Roman" w:eastAsia="Times New Roman"/>
          <w:spacing w:val="-17"/>
          <w:sz w:val="21"/>
          <w:vertAlign w:val="baseline"/>
        </w:rPr>
        <w:t> </w:t>
      </w:r>
      <w:r>
        <w:rPr>
          <w:sz w:val="21"/>
          <w:vertAlign w:val="baseline"/>
        </w:rPr>
        <w:t>访视</w:t>
      </w:r>
      <w:r>
        <w:rPr>
          <w:spacing w:val="-10"/>
          <w:sz w:val="21"/>
          <w:vertAlign w:val="baseline"/>
        </w:rPr>
        <w:t>时进行 </w:t>
      </w:r>
      <w:r>
        <w:rPr>
          <w:rFonts w:ascii="Times New Roman" w:hAnsi="Times New Roman" w:eastAsia="Times New Roman"/>
          <w:sz w:val="21"/>
          <w:vertAlign w:val="baseline"/>
        </w:rPr>
        <w:t>CT </w:t>
      </w:r>
      <w:r>
        <w:rPr>
          <w:spacing w:val="-4"/>
          <w:sz w:val="21"/>
          <w:vertAlign w:val="baseline"/>
        </w:rPr>
        <w:t>检查，而不是在访视 </w:t>
      </w:r>
      <w:r>
        <w:rPr>
          <w:rFonts w:ascii="Times New Roman" w:hAnsi="Times New Roman" w:eastAsia="Times New Roman"/>
          <w:sz w:val="21"/>
          <w:vertAlign w:val="baseline"/>
        </w:rPr>
        <w:t>8 </w:t>
      </w:r>
      <w:r>
        <w:rPr>
          <w:spacing w:val="-4"/>
          <w:sz w:val="21"/>
          <w:vertAlign w:val="baseline"/>
        </w:rPr>
        <w:t>时进行。但是，如果自 </w:t>
      </w:r>
      <w:r>
        <w:rPr>
          <w:rFonts w:ascii="Times New Roman" w:hAnsi="Times New Roman" w:eastAsia="Times New Roman"/>
          <w:sz w:val="21"/>
          <w:vertAlign w:val="baseline"/>
        </w:rPr>
        <w:t>PROSPERO </w:t>
      </w:r>
      <w:r>
        <w:rPr>
          <w:spacing w:val="-6"/>
          <w:sz w:val="21"/>
          <w:vertAlign w:val="baseline"/>
        </w:rPr>
        <w:t>入选后不到 </w:t>
      </w:r>
      <w:r>
        <w:rPr>
          <w:rFonts w:ascii="Times New Roman" w:hAnsi="Times New Roman" w:eastAsia="Times New Roman"/>
          <w:sz w:val="21"/>
          <w:vertAlign w:val="baseline"/>
        </w:rPr>
        <w:t>24 </w:t>
      </w:r>
      <w:r>
        <w:rPr>
          <w:sz w:val="21"/>
          <w:vertAlign w:val="baseline"/>
        </w:rPr>
        <w:t>周，则不应进行该扫描。</w:t>
      </w:r>
      <w:r>
        <w:rPr>
          <w:rFonts w:ascii="Times New Roman" w:hAnsi="Times New Roman" w:eastAsia="Times New Roman"/>
          <w:sz w:val="21"/>
          <w:vertAlign w:val="baseline"/>
        </w:rPr>
        <w:t>CT </w:t>
      </w:r>
      <w:r>
        <w:rPr>
          <w:sz w:val="21"/>
          <w:vertAlign w:val="baseline"/>
        </w:rPr>
        <w:t>检查的允许时间窗为</w:t>
      </w:r>
      <w:r>
        <w:rPr>
          <w:rFonts w:ascii="Times New Roman" w:hAnsi="Times New Roman" w:eastAsia="Times New Roman"/>
          <w:sz w:val="21"/>
          <w:vertAlign w:val="baseline"/>
        </w:rPr>
        <w:t>±2 </w:t>
      </w:r>
      <w:r>
        <w:rPr>
          <w:sz w:val="21"/>
          <w:vertAlign w:val="baseline"/>
        </w:rPr>
        <w:t>周。</w:t>
      </w:r>
    </w:p>
    <w:p>
      <w:pPr>
        <w:tabs>
          <w:tab w:pos="524" w:val="left" w:leader="none"/>
        </w:tabs>
        <w:spacing w:before="40"/>
        <w:ind w:left="100" w:right="0" w:firstLine="0"/>
        <w:jc w:val="left"/>
        <w:rPr>
          <w:sz w:val="21"/>
        </w:rPr>
      </w:pPr>
      <w:r>
        <w:rPr>
          <w:rFonts w:ascii="Times New Roman" w:eastAsia="Times New Roman"/>
          <w:spacing w:val="-10"/>
          <w:sz w:val="21"/>
          <w:vertAlign w:val="superscript"/>
        </w:rPr>
        <w:t>g</w:t>
      </w:r>
      <w:r>
        <w:rPr>
          <w:rFonts w:ascii="Times New Roman" w:eastAsia="Times New Roman"/>
          <w:sz w:val="21"/>
          <w:vertAlign w:val="baseline"/>
        </w:rPr>
        <w:tab/>
      </w:r>
      <w:r>
        <w:rPr>
          <w:spacing w:val="-5"/>
          <w:sz w:val="21"/>
          <w:vertAlign w:val="baseline"/>
        </w:rPr>
        <w:t>这些程序必须作为前身研究访视 </w:t>
      </w:r>
      <w:r>
        <w:rPr>
          <w:rFonts w:ascii="Times New Roman" w:eastAsia="Times New Roman"/>
          <w:spacing w:val="-2"/>
          <w:sz w:val="21"/>
          <w:vertAlign w:val="baseline"/>
        </w:rPr>
        <w:t>15</w:t>
      </w:r>
      <w:r>
        <w:rPr>
          <w:spacing w:val="-2"/>
          <w:sz w:val="21"/>
          <w:vertAlign w:val="baseline"/>
        </w:rPr>
        <w:t>（</w:t>
      </w:r>
      <w:r>
        <w:rPr>
          <w:spacing w:val="-21"/>
          <w:sz w:val="21"/>
          <w:vertAlign w:val="baseline"/>
        </w:rPr>
        <w:t>第 </w:t>
      </w:r>
      <w:r>
        <w:rPr>
          <w:rFonts w:ascii="Times New Roman" w:eastAsia="Times New Roman"/>
          <w:spacing w:val="-2"/>
          <w:sz w:val="21"/>
          <w:vertAlign w:val="baseline"/>
        </w:rPr>
        <w:t>52</w:t>
      </w:r>
      <w:r>
        <w:rPr>
          <w:rFonts w:ascii="Times New Roman" w:eastAsia="Times New Roman"/>
          <w:spacing w:val="2"/>
          <w:sz w:val="21"/>
          <w:vertAlign w:val="baseline"/>
        </w:rPr>
        <w:t> </w:t>
      </w:r>
      <w:r>
        <w:rPr>
          <w:spacing w:val="-2"/>
          <w:sz w:val="21"/>
          <w:vertAlign w:val="baseline"/>
        </w:rPr>
        <w:t>周）</w:t>
      </w:r>
      <w:r>
        <w:rPr>
          <w:spacing w:val="-7"/>
          <w:sz w:val="21"/>
          <w:vertAlign w:val="baseline"/>
        </w:rPr>
        <w:t>的一部分完成，在 </w:t>
      </w:r>
      <w:r>
        <w:rPr>
          <w:rFonts w:ascii="Times New Roman" w:eastAsia="Times New Roman"/>
          <w:spacing w:val="-2"/>
          <w:sz w:val="21"/>
          <w:vertAlign w:val="baseline"/>
        </w:rPr>
        <w:t>PROSPERO</w:t>
      </w:r>
      <w:r>
        <w:rPr>
          <w:rFonts w:ascii="Times New Roman" w:eastAsia="Times New Roman"/>
          <w:sz w:val="21"/>
          <w:vertAlign w:val="baseline"/>
        </w:rPr>
        <w:t> </w:t>
      </w:r>
      <w:r>
        <w:rPr>
          <w:spacing w:val="-9"/>
          <w:sz w:val="21"/>
          <w:vertAlign w:val="baseline"/>
        </w:rPr>
        <w:t>研究的访视 </w:t>
      </w:r>
      <w:r>
        <w:rPr>
          <w:rFonts w:ascii="Times New Roman" w:eastAsia="Times New Roman"/>
          <w:spacing w:val="-2"/>
          <w:sz w:val="21"/>
          <w:vertAlign w:val="baseline"/>
        </w:rPr>
        <w:t>1</w:t>
      </w:r>
      <w:r>
        <w:rPr>
          <w:rFonts w:ascii="Times New Roman" w:eastAsia="Times New Roman"/>
          <w:spacing w:val="2"/>
          <w:sz w:val="21"/>
          <w:vertAlign w:val="baseline"/>
        </w:rPr>
        <w:t> </w:t>
      </w:r>
      <w:r>
        <w:rPr>
          <w:spacing w:val="-3"/>
          <w:sz w:val="21"/>
          <w:vertAlign w:val="baseline"/>
        </w:rPr>
        <w:t>时不再重复进行。</w:t>
      </w:r>
    </w:p>
    <w:p>
      <w:pPr>
        <w:tabs>
          <w:tab w:pos="524" w:val="left" w:leader="none"/>
        </w:tabs>
        <w:spacing w:before="39"/>
        <w:ind w:left="100" w:right="0" w:firstLine="0"/>
        <w:jc w:val="left"/>
        <w:rPr>
          <w:sz w:val="21"/>
        </w:rPr>
      </w:pPr>
      <w:r>
        <w:rPr>
          <w:rFonts w:ascii="Times New Roman" w:eastAsia="Times New Roman"/>
          <w:spacing w:val="-10"/>
          <w:sz w:val="21"/>
          <w:vertAlign w:val="superscript"/>
        </w:rPr>
        <w:t>h</w:t>
      </w:r>
      <w:r>
        <w:rPr>
          <w:rFonts w:ascii="Times New Roman" w:eastAsia="Times New Roman"/>
          <w:sz w:val="21"/>
          <w:vertAlign w:val="baseline"/>
        </w:rPr>
        <w:tab/>
        <w:t>BD</w:t>
      </w:r>
      <w:r>
        <w:rPr>
          <w:rFonts w:ascii="Times New Roman" w:eastAsia="Times New Roman"/>
          <w:spacing w:val="-11"/>
          <w:sz w:val="21"/>
          <w:vertAlign w:val="baseline"/>
        </w:rPr>
        <w:t> </w:t>
      </w:r>
      <w:r>
        <w:rPr>
          <w:spacing w:val="-1"/>
          <w:sz w:val="21"/>
          <w:vertAlign w:val="baseline"/>
        </w:rPr>
        <w:t>后肺量计测定评估是可选的，如果受试者不能耐受或以其他方式认为不可行，则可跳过该评估。</w:t>
      </w:r>
    </w:p>
    <w:p>
      <w:pPr>
        <w:spacing w:after="0"/>
        <w:jc w:val="left"/>
        <w:rPr>
          <w:sz w:val="21"/>
        </w:rPr>
        <w:sectPr>
          <w:pgSz w:w="16840" w:h="11910" w:orient="landscape"/>
          <w:pgMar w:header="761" w:footer="786" w:top="1400" w:bottom="980" w:left="1340" w:right="1120"/>
        </w:sectPr>
      </w:pPr>
    </w:p>
    <w:p>
      <w:pPr>
        <w:pStyle w:val="BodyText"/>
        <w:spacing w:before="5"/>
        <w:ind w:left="0"/>
        <w:rPr>
          <w:sz w:val="21"/>
        </w:rPr>
      </w:pPr>
    </w:p>
    <w:p>
      <w:pPr>
        <w:tabs>
          <w:tab w:pos="524" w:val="left" w:leader="none"/>
        </w:tabs>
        <w:spacing w:before="0"/>
        <w:ind w:left="524" w:right="330" w:hanging="425"/>
        <w:jc w:val="left"/>
        <w:rPr>
          <w:sz w:val="21"/>
        </w:rPr>
      </w:pPr>
      <w:r>
        <w:rPr/>
        <mc:AlternateContent>
          <mc:Choice Requires="wps">
            <w:drawing>
              <wp:anchor distT="0" distB="0" distL="0" distR="0" allowOverlap="1" layoutInCell="1" locked="0" behindDoc="0" simplePos="0" relativeHeight="15731712">
                <wp:simplePos x="0" y="0"/>
                <wp:positionH relativeFrom="page">
                  <wp:posOffset>914400</wp:posOffset>
                </wp:positionH>
                <wp:positionV relativeFrom="paragraph">
                  <wp:posOffset>70794</wp:posOffset>
                </wp:positionV>
                <wp:extent cx="22860" cy="381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2860" cy="3810"/>
                        </a:xfrm>
                        <a:custGeom>
                          <a:avLst/>
                          <a:gdLst/>
                          <a:ahLst/>
                          <a:cxnLst/>
                          <a:rect l="l" t="t" r="r" b="b"/>
                          <a:pathLst>
                            <a:path w="22860" h="3810">
                              <a:moveTo>
                                <a:pt x="22859" y="0"/>
                              </a:moveTo>
                              <a:lnTo>
                                <a:pt x="0" y="0"/>
                              </a:lnTo>
                              <a:lnTo>
                                <a:pt x="0" y="3810"/>
                              </a:lnTo>
                              <a:lnTo>
                                <a:pt x="22859" y="3810"/>
                              </a:lnTo>
                              <a:lnTo>
                                <a:pt x="22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5.574404pt;width:1.8pt;height:.3pt;mso-position-horizontal-relative:page;mso-position-vertical-relative:paragraph;z-index:15731712" id="docshape45" filled="true" fillcolor="#000000" stroked="false">
                <v:fill type="solid"/>
                <w10:wrap type="none"/>
              </v:rect>
            </w:pict>
          </mc:Fallback>
        </mc:AlternateContent>
      </w:r>
      <w:r>
        <w:rPr>
          <w:rFonts w:ascii="Times New Roman" w:eastAsia="Times New Roman"/>
          <w:w w:val="92"/>
          <w:sz w:val="21"/>
          <w:vertAlign w:val="superscript"/>
        </w:rPr>
        <w:t>i</w:t>
      </w:r>
      <w:r>
        <w:rPr>
          <w:rFonts w:ascii="Times New Roman" w:eastAsia="Times New Roman"/>
          <w:sz w:val="21"/>
          <w:vertAlign w:val="baseline"/>
        </w:rPr>
        <w:tab/>
      </w:r>
      <w:r>
        <w:rPr>
          <w:sz w:val="21"/>
          <w:vertAlign w:val="baseline"/>
        </w:rPr>
        <w:t>应在前身研究或本研究中有超声心动图检查结果的受试者中进行超声心动图检查。研究期间，如果怀疑新发心脏衰竭或心脏衰竭恶化，必须尽快进行额外的超声心动图评估，也可根据临床指征因其他原因进行评估。</w:t>
      </w:r>
    </w:p>
    <w:p>
      <w:pPr>
        <w:tabs>
          <w:tab w:pos="524" w:val="left" w:leader="none"/>
        </w:tabs>
        <w:spacing w:before="40"/>
        <w:ind w:left="100" w:right="0" w:firstLine="0"/>
        <w:jc w:val="left"/>
        <w:rPr>
          <w:sz w:val="21"/>
        </w:rPr>
      </w:pPr>
      <w:r>
        <w:rPr>
          <w:rFonts w:ascii="Times New Roman" w:hAnsi="Times New Roman" w:eastAsia="Times New Roman"/>
          <w:spacing w:val="-10"/>
          <w:sz w:val="21"/>
          <w:vertAlign w:val="superscript"/>
        </w:rPr>
        <w:t>j</w:t>
      </w:r>
      <w:r>
        <w:rPr>
          <w:rFonts w:ascii="Times New Roman" w:hAnsi="Times New Roman" w:eastAsia="Times New Roman"/>
          <w:sz w:val="21"/>
          <w:vertAlign w:val="baseline"/>
        </w:rPr>
        <w:tab/>
      </w:r>
      <w:r>
        <w:rPr>
          <w:spacing w:val="-6"/>
          <w:sz w:val="21"/>
          <w:vertAlign w:val="baseline"/>
        </w:rPr>
        <w:t>仅对女性受试者进行 </w:t>
      </w:r>
      <w:r>
        <w:rPr>
          <w:rFonts w:ascii="Times New Roman" w:hAnsi="Times New Roman" w:eastAsia="Times New Roman"/>
          <w:sz w:val="21"/>
          <w:vertAlign w:val="baseline"/>
        </w:rPr>
        <w:t>FSH</w:t>
      </w:r>
      <w:r>
        <w:rPr>
          <w:rFonts w:ascii="Times New Roman" w:hAnsi="Times New Roman" w:eastAsia="Times New Roman"/>
          <w:spacing w:val="-14"/>
          <w:sz w:val="21"/>
          <w:vertAlign w:val="baseline"/>
        </w:rPr>
        <w:t> </w:t>
      </w:r>
      <w:r>
        <w:rPr>
          <w:spacing w:val="-6"/>
          <w:sz w:val="21"/>
          <w:vertAlign w:val="baseline"/>
        </w:rPr>
        <w:t>检测，以确认小于 </w:t>
      </w:r>
      <w:r>
        <w:rPr>
          <w:rFonts w:ascii="Times New Roman" w:hAnsi="Times New Roman" w:eastAsia="Times New Roman"/>
          <w:sz w:val="21"/>
          <w:vertAlign w:val="baseline"/>
        </w:rPr>
        <w:t>50</w:t>
      </w:r>
      <w:r>
        <w:rPr>
          <w:rFonts w:ascii="Times New Roman" w:hAnsi="Times New Roman" w:eastAsia="Times New Roman"/>
          <w:spacing w:val="-13"/>
          <w:sz w:val="21"/>
          <w:vertAlign w:val="baseline"/>
        </w:rPr>
        <w:t> </w:t>
      </w:r>
      <w:r>
        <w:rPr>
          <w:sz w:val="21"/>
          <w:vertAlign w:val="baseline"/>
        </w:rPr>
        <w:t>岁闭经</w:t>
      </w:r>
      <w:r>
        <w:rPr>
          <w:rFonts w:ascii="Times New Roman" w:hAnsi="Times New Roman" w:eastAsia="Times New Roman"/>
          <w:sz w:val="21"/>
          <w:vertAlign w:val="baseline"/>
        </w:rPr>
        <w:t>≥12</w:t>
      </w:r>
      <w:r>
        <w:rPr>
          <w:rFonts w:ascii="Times New Roman" w:hAnsi="Times New Roman" w:eastAsia="Times New Roman"/>
          <w:spacing w:val="-10"/>
          <w:sz w:val="21"/>
          <w:vertAlign w:val="baseline"/>
        </w:rPr>
        <w:t> </w:t>
      </w:r>
      <w:r>
        <w:rPr>
          <w:spacing w:val="-1"/>
          <w:sz w:val="21"/>
          <w:vertAlign w:val="baseline"/>
        </w:rPr>
        <w:t>个月的女性受试者是否处于绝经后状态。</w:t>
      </w:r>
    </w:p>
    <w:p>
      <w:pPr>
        <w:tabs>
          <w:tab w:pos="524" w:val="left" w:leader="none"/>
        </w:tabs>
        <w:spacing w:before="39"/>
        <w:ind w:left="100" w:right="0" w:firstLine="0"/>
        <w:jc w:val="left"/>
        <w:rPr>
          <w:sz w:val="21"/>
        </w:rPr>
      </w:pPr>
      <w:r>
        <w:rPr>
          <w:rFonts w:ascii="Times New Roman" w:eastAsia="Times New Roman"/>
          <w:spacing w:val="-10"/>
          <w:sz w:val="21"/>
          <w:vertAlign w:val="superscript"/>
        </w:rPr>
        <w:t>k</w:t>
      </w:r>
      <w:r>
        <w:rPr>
          <w:rFonts w:ascii="Times New Roman" w:eastAsia="Times New Roman"/>
          <w:sz w:val="21"/>
          <w:vertAlign w:val="baseline"/>
        </w:rPr>
        <w:tab/>
      </w:r>
      <w:r>
        <w:rPr>
          <w:spacing w:val="-14"/>
          <w:sz w:val="21"/>
          <w:vertAlign w:val="baseline"/>
        </w:rPr>
        <w:t>必须在 </w:t>
      </w:r>
      <w:r>
        <w:rPr>
          <w:rFonts w:ascii="Times New Roman" w:eastAsia="Times New Roman"/>
          <w:sz w:val="21"/>
          <w:vertAlign w:val="baseline"/>
        </w:rPr>
        <w:t>IP</w:t>
      </w:r>
      <w:r>
        <w:rPr>
          <w:rFonts w:ascii="Times New Roman" w:eastAsia="Times New Roman"/>
          <w:spacing w:val="-14"/>
          <w:sz w:val="21"/>
          <w:vertAlign w:val="baseline"/>
        </w:rPr>
        <w:t> </w:t>
      </w:r>
      <w:r>
        <w:rPr>
          <w:spacing w:val="-2"/>
          <w:sz w:val="21"/>
          <w:vertAlign w:val="baseline"/>
        </w:rPr>
        <w:t>给药前采集样本。如果尿妊娠试验结果为阴性，则受试者可在访视 </w:t>
      </w:r>
      <w:r>
        <w:rPr>
          <w:rFonts w:ascii="Times New Roman" w:eastAsia="Times New Roman"/>
          <w:sz w:val="21"/>
          <w:vertAlign w:val="baseline"/>
        </w:rPr>
        <w:t>1</w:t>
      </w:r>
      <w:r>
        <w:rPr>
          <w:rFonts w:ascii="Times New Roman" w:eastAsia="Times New Roman"/>
          <w:spacing w:val="-10"/>
          <w:sz w:val="21"/>
          <w:vertAlign w:val="baseline"/>
        </w:rPr>
        <w:t> </w:t>
      </w:r>
      <w:r>
        <w:rPr>
          <w:spacing w:val="-2"/>
          <w:sz w:val="21"/>
          <w:vertAlign w:val="baseline"/>
        </w:rPr>
        <w:t>时接受给药。</w:t>
      </w:r>
    </w:p>
    <w:p>
      <w:pPr>
        <w:spacing w:before="39"/>
        <w:ind w:left="524" w:right="316" w:hanging="425"/>
        <w:jc w:val="both"/>
        <w:rPr>
          <w:sz w:val="21"/>
        </w:rPr>
      </w:pPr>
      <w:r>
        <w:rPr>
          <w:rFonts w:ascii="Times New Roman" w:hAnsi="Times New Roman" w:eastAsia="Times New Roman"/>
          <w:sz w:val="21"/>
          <w:vertAlign w:val="superscript"/>
        </w:rPr>
        <w:t>l</w:t>
      </w:r>
      <w:r>
        <w:rPr>
          <w:rFonts w:ascii="Times New Roman" w:hAnsi="Times New Roman" w:eastAsia="Times New Roman"/>
          <w:spacing w:val="55"/>
          <w:w w:val="150"/>
          <w:sz w:val="21"/>
          <w:vertAlign w:val="baseline"/>
        </w:rPr>
        <w:t>  </w:t>
      </w:r>
      <w:r>
        <w:rPr>
          <w:spacing w:val="-1"/>
          <w:sz w:val="21"/>
          <w:vertAlign w:val="baseline"/>
        </w:rPr>
        <w:t>如果尿妊娠试验为阳性，应使用血清妊娠试验加以确认。对于参加可选远程医疗访视并自行进行 </w:t>
      </w:r>
      <w:r>
        <w:rPr>
          <w:rFonts w:ascii="Times New Roman" w:hAnsi="Times New Roman" w:eastAsia="Times New Roman"/>
          <w:sz w:val="21"/>
          <w:vertAlign w:val="baseline"/>
        </w:rPr>
        <w:t>IP</w:t>
      </w:r>
      <w:r>
        <w:rPr>
          <w:rFonts w:ascii="Times New Roman" w:hAnsi="Times New Roman" w:eastAsia="Times New Roman"/>
          <w:spacing w:val="-11"/>
          <w:sz w:val="21"/>
          <w:vertAlign w:val="baseline"/>
        </w:rPr>
        <w:t> </w:t>
      </w:r>
      <w:r>
        <w:rPr>
          <w:sz w:val="21"/>
          <w:vertAlign w:val="baseline"/>
        </w:rPr>
        <w:t>给药（</w:t>
      </w:r>
      <w:r>
        <w:rPr>
          <w:spacing w:val="-7"/>
          <w:sz w:val="21"/>
          <w:vertAlign w:val="baseline"/>
        </w:rPr>
        <w:t>从访视 </w:t>
      </w:r>
      <w:r>
        <w:rPr>
          <w:rFonts w:ascii="Times New Roman" w:hAnsi="Times New Roman" w:eastAsia="Times New Roman"/>
          <w:sz w:val="21"/>
          <w:vertAlign w:val="baseline"/>
        </w:rPr>
        <w:t>5</w:t>
      </w:r>
      <w:r>
        <w:rPr>
          <w:rFonts w:ascii="Times New Roman" w:hAnsi="Times New Roman" w:eastAsia="Times New Roman"/>
          <w:spacing w:val="-11"/>
          <w:sz w:val="21"/>
          <w:vertAlign w:val="baseline"/>
        </w:rPr>
        <w:t> </w:t>
      </w:r>
      <w:r>
        <w:rPr>
          <w:spacing w:val="-6"/>
          <w:sz w:val="21"/>
          <w:vertAlign w:val="baseline"/>
        </w:rPr>
        <w:t>开始，第 </w:t>
      </w:r>
      <w:r>
        <w:rPr>
          <w:rFonts w:ascii="Times New Roman" w:hAnsi="Times New Roman" w:eastAsia="Times New Roman"/>
          <w:sz w:val="21"/>
          <w:vertAlign w:val="baseline"/>
        </w:rPr>
        <w:t>16</w:t>
      </w:r>
      <w:r>
        <w:rPr>
          <w:rFonts w:ascii="Times New Roman" w:hAnsi="Times New Roman" w:eastAsia="Times New Roman"/>
          <w:spacing w:val="-11"/>
          <w:sz w:val="21"/>
          <w:vertAlign w:val="baseline"/>
        </w:rPr>
        <w:t> </w:t>
      </w:r>
      <w:r>
        <w:rPr>
          <w:sz w:val="21"/>
          <w:vertAlign w:val="baseline"/>
        </w:rPr>
        <w:t>周）</w:t>
      </w:r>
      <w:r>
        <w:rPr>
          <w:spacing w:val="-14"/>
          <w:sz w:val="21"/>
          <w:vertAlign w:val="baseline"/>
        </w:rPr>
        <w:t>的 </w:t>
      </w:r>
      <w:r>
        <w:rPr>
          <w:rFonts w:ascii="Times New Roman" w:hAnsi="Times New Roman" w:eastAsia="Times New Roman"/>
          <w:sz w:val="21"/>
          <w:vertAlign w:val="baseline"/>
        </w:rPr>
        <w:t>FOCBP</w:t>
      </w:r>
      <w:r>
        <w:rPr>
          <w:rFonts w:ascii="Times New Roman" w:hAnsi="Times New Roman" w:eastAsia="Times New Roman"/>
          <w:spacing w:val="-11"/>
          <w:sz w:val="21"/>
          <w:vertAlign w:val="baseline"/>
        </w:rPr>
        <w:t> </w:t>
      </w:r>
      <w:r>
        <w:rPr>
          <w:sz w:val="21"/>
          <w:vertAlign w:val="baseline"/>
        </w:rPr>
        <w:t>受试</w:t>
      </w:r>
      <w:r>
        <w:rPr>
          <w:spacing w:val="-3"/>
          <w:sz w:val="21"/>
          <w:vertAlign w:val="baseline"/>
        </w:rPr>
        <w:t>者，将向其提供尿妊娠试验检测试纸，建议其在 </w:t>
      </w:r>
      <w:r>
        <w:rPr>
          <w:rFonts w:ascii="Times New Roman" w:hAnsi="Times New Roman" w:eastAsia="Times New Roman"/>
          <w:spacing w:val="-2"/>
          <w:sz w:val="21"/>
          <w:vertAlign w:val="baseline"/>
        </w:rPr>
        <w:t>IP</w:t>
      </w:r>
      <w:r>
        <w:rPr>
          <w:rFonts w:ascii="Times New Roman" w:hAnsi="Times New Roman" w:eastAsia="Times New Roman"/>
          <w:spacing w:val="14"/>
          <w:sz w:val="21"/>
          <w:vertAlign w:val="baseline"/>
        </w:rPr>
        <w:t> </w:t>
      </w:r>
      <w:r>
        <w:rPr>
          <w:spacing w:val="-3"/>
          <w:sz w:val="21"/>
          <w:vertAlign w:val="baseline"/>
        </w:rPr>
        <w:t>自行给药前进行检测。如果尿妊娠试验结果为阳性，受试者应联系研究中心，不应自行给予 </w:t>
      </w:r>
      <w:r>
        <w:rPr>
          <w:rFonts w:ascii="Times New Roman" w:hAnsi="Times New Roman" w:eastAsia="Times New Roman"/>
          <w:spacing w:val="-2"/>
          <w:sz w:val="21"/>
          <w:vertAlign w:val="baseline"/>
        </w:rPr>
        <w:t>IP</w:t>
      </w:r>
      <w:r>
        <w:rPr>
          <w:spacing w:val="-2"/>
          <w:sz w:val="21"/>
          <w:vertAlign w:val="baseline"/>
        </w:rPr>
        <w:t>。如尿妊娠试验结果为阳性，必须通过检测血清 </w:t>
      </w:r>
      <w:r>
        <w:rPr>
          <w:rFonts w:ascii="Times New Roman" w:hAnsi="Times New Roman" w:eastAsia="Times New Roman"/>
          <w:sz w:val="21"/>
          <w:vertAlign w:val="baseline"/>
        </w:rPr>
        <w:t>β-</w:t>
      </w:r>
      <w:r>
        <w:rPr>
          <w:sz w:val="21"/>
          <w:vertAlign w:val="baseline"/>
        </w:rPr>
        <w:t>人绒毛膜促性腺激素水平加以确认。</w:t>
      </w:r>
    </w:p>
    <w:p>
      <w:pPr>
        <w:spacing w:before="39"/>
        <w:ind w:left="100" w:right="0" w:firstLine="0"/>
        <w:jc w:val="both"/>
        <w:rPr>
          <w:sz w:val="21"/>
        </w:rPr>
      </w:pPr>
      <w:r>
        <w:rPr>
          <w:rFonts w:ascii="Times New Roman" w:eastAsia="Times New Roman"/>
          <w:sz w:val="21"/>
          <w:vertAlign w:val="superscript"/>
        </w:rPr>
        <w:t>m</w:t>
      </w:r>
      <w:r>
        <w:rPr>
          <w:rFonts w:ascii="Times New Roman" w:eastAsia="Times New Roman"/>
          <w:spacing w:val="78"/>
          <w:w w:val="150"/>
          <w:sz w:val="21"/>
          <w:vertAlign w:val="baseline"/>
        </w:rPr>
        <w:t>  </w:t>
      </w:r>
      <w:r>
        <w:rPr>
          <w:spacing w:val="-18"/>
          <w:sz w:val="21"/>
          <w:vertAlign w:val="baseline"/>
        </w:rPr>
        <w:t>应在 </w:t>
      </w:r>
      <w:r>
        <w:rPr>
          <w:rFonts w:ascii="Times New Roman" w:eastAsia="Times New Roman"/>
          <w:sz w:val="21"/>
          <w:vertAlign w:val="baseline"/>
        </w:rPr>
        <w:t>IP</w:t>
      </w:r>
      <w:r>
        <w:rPr>
          <w:rFonts w:ascii="Times New Roman" w:eastAsia="Times New Roman"/>
          <w:spacing w:val="-12"/>
          <w:sz w:val="21"/>
          <w:vertAlign w:val="baseline"/>
        </w:rPr>
        <w:t> </w:t>
      </w:r>
      <w:r>
        <w:rPr>
          <w:spacing w:val="-2"/>
          <w:sz w:val="21"/>
          <w:vertAlign w:val="baseline"/>
        </w:rPr>
        <w:t>给药前采集样本。</w:t>
      </w:r>
    </w:p>
    <w:p>
      <w:pPr>
        <w:spacing w:before="39"/>
        <w:ind w:left="100" w:right="0" w:firstLine="0"/>
        <w:jc w:val="both"/>
        <w:rPr>
          <w:sz w:val="21"/>
        </w:rPr>
      </w:pPr>
      <w:r>
        <w:rPr>
          <w:rFonts w:ascii="Times New Roman" w:eastAsia="Times New Roman"/>
          <w:sz w:val="21"/>
          <w:vertAlign w:val="superscript"/>
        </w:rPr>
        <w:t>n</w:t>
      </w:r>
      <w:r>
        <w:rPr>
          <w:rFonts w:ascii="Times New Roman" w:eastAsia="Times New Roman"/>
          <w:spacing w:val="64"/>
          <w:sz w:val="21"/>
          <w:vertAlign w:val="baseline"/>
        </w:rPr>
        <w:t>   </w:t>
      </w:r>
      <w:r>
        <w:rPr>
          <w:spacing w:val="-3"/>
          <w:sz w:val="21"/>
          <w:vertAlign w:val="baseline"/>
        </w:rPr>
        <w:t>在计划访视时，应在完成所有其他评估后进行 </w:t>
      </w:r>
      <w:r>
        <w:rPr>
          <w:rFonts w:ascii="Times New Roman" w:eastAsia="Times New Roman"/>
          <w:sz w:val="21"/>
          <w:vertAlign w:val="baseline"/>
        </w:rPr>
        <w:t>IP</w:t>
      </w:r>
      <w:r>
        <w:rPr>
          <w:rFonts w:ascii="Times New Roman" w:eastAsia="Times New Roman"/>
          <w:spacing w:val="-12"/>
          <w:sz w:val="21"/>
          <w:vertAlign w:val="baseline"/>
        </w:rPr>
        <w:t> </w:t>
      </w:r>
      <w:r>
        <w:rPr>
          <w:spacing w:val="-2"/>
          <w:sz w:val="21"/>
          <w:vertAlign w:val="baseline"/>
        </w:rPr>
        <w:t>给药。在研究中心以及可能在家自行给药或由护理者给药时，将使用 </w:t>
      </w:r>
      <w:r>
        <w:rPr>
          <w:rFonts w:ascii="Times New Roman" w:eastAsia="Times New Roman"/>
          <w:sz w:val="21"/>
          <w:vertAlign w:val="baseline"/>
        </w:rPr>
        <w:t>APFS</w:t>
      </w:r>
      <w:r>
        <w:rPr>
          <w:spacing w:val="-10"/>
          <w:sz w:val="21"/>
          <w:vertAlign w:val="baseline"/>
        </w:rPr>
        <w:t>。</w:t>
      </w:r>
    </w:p>
    <w:p>
      <w:pPr>
        <w:tabs>
          <w:tab w:pos="524" w:val="left" w:leader="none"/>
        </w:tabs>
        <w:spacing w:line="261" w:lineRule="auto" w:before="39"/>
        <w:ind w:left="100" w:right="106" w:firstLine="0"/>
        <w:jc w:val="left"/>
        <w:rPr>
          <w:sz w:val="21"/>
        </w:rPr>
      </w:pPr>
      <w:r>
        <w:rPr>
          <w:rFonts w:ascii="Times New Roman" w:eastAsia="Times New Roman"/>
          <w:spacing w:val="-10"/>
          <w:sz w:val="21"/>
          <w:vertAlign w:val="superscript"/>
        </w:rPr>
        <w:t>o</w:t>
      </w:r>
      <w:r>
        <w:rPr>
          <w:rFonts w:ascii="Times New Roman" w:eastAsia="Times New Roman"/>
          <w:sz w:val="21"/>
          <w:vertAlign w:val="baseline"/>
        </w:rPr>
        <w:tab/>
      </w:r>
      <w:r>
        <w:rPr>
          <w:spacing w:val="-4"/>
          <w:sz w:val="21"/>
          <w:vertAlign w:val="baseline"/>
        </w:rPr>
        <w:t>在开始 </w:t>
      </w:r>
      <w:r>
        <w:rPr>
          <w:rFonts w:ascii="Times New Roman" w:eastAsia="Times New Roman"/>
          <w:sz w:val="21"/>
          <w:vertAlign w:val="baseline"/>
        </w:rPr>
        <w:t>IP </w:t>
      </w:r>
      <w:r>
        <w:rPr>
          <w:spacing w:val="-1"/>
          <w:sz w:val="21"/>
          <w:vertAlign w:val="baseline"/>
        </w:rPr>
        <w:t>自行给药之前，应对相应的受试者进行非强制性 </w:t>
      </w:r>
      <w:r>
        <w:rPr>
          <w:rFonts w:ascii="Times New Roman" w:eastAsia="Times New Roman"/>
          <w:sz w:val="21"/>
          <w:vertAlign w:val="baseline"/>
        </w:rPr>
        <w:t>IP </w:t>
      </w:r>
      <w:r>
        <w:rPr>
          <w:sz w:val="21"/>
          <w:vertAlign w:val="baseline"/>
        </w:rPr>
        <w:t>自行给药培训。培训应至少进行一次，根据研究者的判断，可要求进行更多次培训。 </w:t>
      </w:r>
      <w:r>
        <w:rPr>
          <w:rFonts w:ascii="Times New Roman" w:eastAsia="Times New Roman"/>
          <w:spacing w:val="-2"/>
          <w:sz w:val="21"/>
          <w:vertAlign w:val="baseline"/>
        </w:rPr>
        <w:t>ADA</w:t>
      </w:r>
      <w:r>
        <w:rPr>
          <w:spacing w:val="-2"/>
          <w:sz w:val="21"/>
          <w:vertAlign w:val="baseline"/>
        </w:rPr>
        <w:t>，抗药抗体；</w:t>
      </w:r>
      <w:r>
        <w:rPr>
          <w:rFonts w:ascii="Times New Roman" w:eastAsia="Times New Roman"/>
          <w:spacing w:val="-2"/>
          <w:sz w:val="21"/>
          <w:vertAlign w:val="baseline"/>
        </w:rPr>
        <w:t>AE</w:t>
      </w:r>
      <w:r>
        <w:rPr>
          <w:spacing w:val="-2"/>
          <w:sz w:val="21"/>
          <w:vertAlign w:val="baseline"/>
        </w:rPr>
        <w:t>，不良事件；</w:t>
      </w:r>
      <w:r>
        <w:rPr>
          <w:rFonts w:ascii="Times New Roman" w:eastAsia="Times New Roman"/>
          <w:spacing w:val="-2"/>
          <w:sz w:val="21"/>
          <w:vertAlign w:val="baseline"/>
        </w:rPr>
        <w:t>APFS</w:t>
      </w:r>
      <w:r>
        <w:rPr>
          <w:spacing w:val="-2"/>
          <w:sz w:val="21"/>
          <w:vertAlign w:val="baseline"/>
        </w:rPr>
        <w:t>，带配件的预充式注射器；</w:t>
      </w:r>
      <w:r>
        <w:rPr>
          <w:rFonts w:ascii="Times New Roman" w:eastAsia="Times New Roman"/>
          <w:spacing w:val="-2"/>
          <w:sz w:val="21"/>
          <w:vertAlign w:val="baseline"/>
        </w:rPr>
        <w:t>BD</w:t>
      </w:r>
      <w:r>
        <w:rPr>
          <w:spacing w:val="-2"/>
          <w:sz w:val="21"/>
          <w:vertAlign w:val="baseline"/>
        </w:rPr>
        <w:t>，支气管扩张剂；</w:t>
      </w:r>
      <w:r>
        <w:rPr>
          <w:rFonts w:ascii="Times New Roman" w:eastAsia="Times New Roman"/>
          <w:spacing w:val="-2"/>
          <w:sz w:val="21"/>
          <w:vertAlign w:val="baseline"/>
        </w:rPr>
        <w:t>COPD</w:t>
      </w:r>
      <w:r>
        <w:rPr>
          <w:spacing w:val="-2"/>
          <w:sz w:val="21"/>
          <w:vertAlign w:val="baseline"/>
        </w:rPr>
        <w:t>，慢性阻塞性肺疾病；</w:t>
      </w:r>
      <w:r>
        <w:rPr>
          <w:rFonts w:ascii="Times New Roman" w:eastAsia="Times New Roman"/>
          <w:spacing w:val="-2"/>
          <w:sz w:val="21"/>
          <w:vertAlign w:val="baseline"/>
        </w:rPr>
        <w:t>CSP</w:t>
      </w:r>
      <w:r>
        <w:rPr>
          <w:spacing w:val="-2"/>
          <w:sz w:val="21"/>
          <w:vertAlign w:val="baseline"/>
        </w:rPr>
        <w:t>，临床研究方案；</w:t>
      </w:r>
      <w:r>
        <w:rPr>
          <w:rFonts w:ascii="Times New Roman" w:eastAsia="Times New Roman"/>
          <w:spacing w:val="-2"/>
          <w:sz w:val="21"/>
          <w:vertAlign w:val="baseline"/>
        </w:rPr>
        <w:t>CT</w:t>
      </w:r>
      <w:r>
        <w:rPr>
          <w:spacing w:val="-2"/>
          <w:sz w:val="21"/>
          <w:vertAlign w:val="baseline"/>
        </w:rPr>
        <w:t>，计算</w:t>
      </w:r>
      <w:r>
        <w:rPr>
          <w:spacing w:val="80"/>
          <w:sz w:val="21"/>
          <w:vertAlign w:val="baseline"/>
        </w:rPr>
        <w:t>  </w:t>
      </w:r>
      <w:r>
        <w:rPr>
          <w:spacing w:val="-2"/>
          <w:sz w:val="21"/>
          <w:vertAlign w:val="baseline"/>
        </w:rPr>
        <w:t>机断层扫描；</w:t>
      </w:r>
      <w:r>
        <w:rPr>
          <w:rFonts w:ascii="Times New Roman" w:eastAsia="Times New Roman"/>
          <w:spacing w:val="-2"/>
          <w:sz w:val="21"/>
          <w:vertAlign w:val="baseline"/>
        </w:rPr>
        <w:t>ECG</w:t>
      </w:r>
      <w:r>
        <w:rPr>
          <w:spacing w:val="-2"/>
          <w:sz w:val="21"/>
          <w:vertAlign w:val="baseline"/>
        </w:rPr>
        <w:t>，心电图；</w:t>
      </w:r>
      <w:r>
        <w:rPr>
          <w:rFonts w:ascii="Times New Roman" w:eastAsia="Times New Roman"/>
          <w:spacing w:val="-2"/>
          <w:sz w:val="21"/>
          <w:vertAlign w:val="baseline"/>
        </w:rPr>
        <w:t>E/D</w:t>
      </w:r>
      <w:r>
        <w:rPr>
          <w:spacing w:val="-2"/>
          <w:sz w:val="21"/>
          <w:vertAlign w:val="baseline"/>
        </w:rPr>
        <w:t>，提前终止访视；</w:t>
      </w:r>
      <w:r>
        <w:rPr>
          <w:rFonts w:ascii="Times New Roman" w:eastAsia="Times New Roman"/>
          <w:spacing w:val="-2"/>
          <w:sz w:val="21"/>
          <w:vertAlign w:val="baseline"/>
        </w:rPr>
        <w:t>Enrol</w:t>
      </w:r>
      <w:r>
        <w:rPr>
          <w:spacing w:val="-2"/>
          <w:sz w:val="21"/>
          <w:vertAlign w:val="baseline"/>
        </w:rPr>
        <w:t>，入选；</w:t>
      </w:r>
      <w:r>
        <w:rPr>
          <w:rFonts w:ascii="Times New Roman" w:eastAsia="Times New Roman"/>
          <w:spacing w:val="-2"/>
          <w:sz w:val="21"/>
          <w:vertAlign w:val="baseline"/>
        </w:rPr>
        <w:t>exam</w:t>
      </w:r>
      <w:r>
        <w:rPr>
          <w:spacing w:val="-2"/>
          <w:sz w:val="21"/>
          <w:vertAlign w:val="baseline"/>
        </w:rPr>
        <w:t>，检查；</w:t>
      </w:r>
      <w:r>
        <w:rPr>
          <w:rFonts w:ascii="Times New Roman" w:eastAsia="Times New Roman"/>
          <w:spacing w:val="-2"/>
          <w:sz w:val="21"/>
          <w:vertAlign w:val="baseline"/>
        </w:rPr>
        <w:t>FOCBP</w:t>
      </w:r>
      <w:r>
        <w:rPr>
          <w:spacing w:val="-2"/>
          <w:sz w:val="21"/>
          <w:vertAlign w:val="baseline"/>
        </w:rPr>
        <w:t>，有生育能力的女性；</w:t>
      </w:r>
      <w:r>
        <w:rPr>
          <w:rFonts w:ascii="Times New Roman" w:eastAsia="Times New Roman"/>
          <w:spacing w:val="-2"/>
          <w:sz w:val="21"/>
          <w:vertAlign w:val="baseline"/>
        </w:rPr>
        <w:t>FSH</w:t>
      </w:r>
      <w:r>
        <w:rPr>
          <w:spacing w:val="-2"/>
          <w:sz w:val="21"/>
          <w:vertAlign w:val="baseline"/>
        </w:rPr>
        <w:t>，卵泡刺激素；</w:t>
      </w:r>
      <w:r>
        <w:rPr>
          <w:rFonts w:ascii="Times New Roman" w:eastAsia="Times New Roman"/>
          <w:spacing w:val="-2"/>
          <w:sz w:val="21"/>
          <w:vertAlign w:val="baseline"/>
        </w:rPr>
        <w:t>FU</w:t>
      </w:r>
      <w:r>
        <w:rPr>
          <w:spacing w:val="-2"/>
          <w:sz w:val="21"/>
          <w:vertAlign w:val="baseline"/>
        </w:rPr>
        <w:t>，随访访视；</w:t>
      </w:r>
      <w:r>
        <w:rPr>
          <w:rFonts w:ascii="Times New Roman" w:eastAsia="Times New Roman"/>
          <w:spacing w:val="-2"/>
          <w:sz w:val="21"/>
          <w:vertAlign w:val="baseline"/>
        </w:rPr>
        <w:t>HRU</w:t>
      </w:r>
      <w:r>
        <w:rPr>
          <w:spacing w:val="-2"/>
          <w:sz w:val="21"/>
          <w:vertAlign w:val="baseline"/>
        </w:rPr>
        <w:t>，医疗保健资源利用；</w:t>
      </w:r>
      <w:r>
        <w:rPr>
          <w:rFonts w:ascii="Times New Roman" w:eastAsia="Times New Roman"/>
          <w:spacing w:val="-2"/>
          <w:sz w:val="21"/>
          <w:vertAlign w:val="baseline"/>
        </w:rPr>
        <w:t>ICF</w:t>
      </w:r>
      <w:r>
        <w:rPr>
          <w:spacing w:val="-2"/>
          <w:sz w:val="21"/>
          <w:vertAlign w:val="baseline"/>
        </w:rPr>
        <w:t>，知情同意书；</w:t>
      </w:r>
      <w:r>
        <w:rPr>
          <w:rFonts w:ascii="Times New Roman" w:eastAsia="Times New Roman"/>
          <w:spacing w:val="-2"/>
          <w:sz w:val="21"/>
          <w:vertAlign w:val="baseline"/>
        </w:rPr>
        <w:t>IP</w:t>
      </w:r>
      <w:r>
        <w:rPr>
          <w:spacing w:val="-2"/>
          <w:sz w:val="21"/>
          <w:vertAlign w:val="baseline"/>
        </w:rPr>
        <w:t>，研究药物；</w:t>
      </w:r>
      <w:r>
        <w:rPr>
          <w:rFonts w:ascii="Times New Roman" w:eastAsia="Times New Roman"/>
          <w:spacing w:val="-2"/>
          <w:sz w:val="21"/>
          <w:vertAlign w:val="baseline"/>
        </w:rPr>
        <w:t>NT-proBNP</w:t>
      </w:r>
      <w:r>
        <w:rPr>
          <w:spacing w:val="-2"/>
          <w:sz w:val="21"/>
          <w:vertAlign w:val="baseline"/>
        </w:rPr>
        <w:t>，</w:t>
      </w:r>
      <w:r>
        <w:rPr>
          <w:rFonts w:ascii="Times New Roman" w:eastAsia="Times New Roman"/>
          <w:spacing w:val="-2"/>
          <w:sz w:val="21"/>
          <w:vertAlign w:val="baseline"/>
        </w:rPr>
        <w:t>N-</w:t>
      </w:r>
      <w:r>
        <w:rPr>
          <w:spacing w:val="-2"/>
          <w:sz w:val="21"/>
          <w:vertAlign w:val="baseline"/>
        </w:rPr>
        <w:t>末端脑利钠肽前体；</w:t>
      </w:r>
      <w:r>
        <w:rPr>
          <w:rFonts w:ascii="Times New Roman" w:eastAsia="Times New Roman"/>
          <w:spacing w:val="-2"/>
          <w:sz w:val="21"/>
          <w:vertAlign w:val="baseline"/>
        </w:rPr>
        <w:t>PK</w:t>
      </w:r>
      <w:r>
        <w:rPr>
          <w:spacing w:val="-2"/>
          <w:sz w:val="21"/>
          <w:vertAlign w:val="baseline"/>
        </w:rPr>
        <w:t>，药代动力学；</w:t>
      </w:r>
      <w:r>
        <w:rPr>
          <w:rFonts w:ascii="Times New Roman" w:eastAsia="Times New Roman"/>
          <w:spacing w:val="-2"/>
          <w:sz w:val="21"/>
          <w:vertAlign w:val="baseline"/>
        </w:rPr>
        <w:t>Pred</w:t>
      </w:r>
      <w:r>
        <w:rPr>
          <w:spacing w:val="-2"/>
          <w:sz w:val="21"/>
          <w:vertAlign w:val="baseline"/>
        </w:rPr>
        <w:t>，前期；</w:t>
      </w:r>
      <w:r>
        <w:rPr>
          <w:rFonts w:ascii="Times New Roman" w:eastAsia="Times New Roman"/>
          <w:spacing w:val="-2"/>
          <w:sz w:val="21"/>
          <w:vertAlign w:val="baseline"/>
        </w:rPr>
        <w:t>SAE</w:t>
      </w:r>
      <w:r>
        <w:rPr>
          <w:spacing w:val="-2"/>
          <w:sz w:val="21"/>
          <w:vertAlign w:val="baseline"/>
        </w:rPr>
        <w:t>，严重不良事件；</w:t>
      </w:r>
      <w:r>
        <w:rPr>
          <w:spacing w:val="80"/>
          <w:sz w:val="21"/>
          <w:vertAlign w:val="baseline"/>
        </w:rPr>
        <w:t>  </w:t>
      </w:r>
      <w:r>
        <w:rPr>
          <w:rFonts w:ascii="Times New Roman" w:eastAsia="Times New Roman"/>
          <w:spacing w:val="-2"/>
          <w:sz w:val="21"/>
          <w:vertAlign w:val="baseline"/>
        </w:rPr>
        <w:t>SpO</w:t>
      </w:r>
      <w:r>
        <w:rPr>
          <w:rFonts w:ascii="Times New Roman" w:eastAsia="Times New Roman"/>
          <w:spacing w:val="-2"/>
          <w:sz w:val="21"/>
          <w:vertAlign w:val="subscript"/>
        </w:rPr>
        <w:t>2</w:t>
      </w:r>
      <w:r>
        <w:rPr>
          <w:spacing w:val="-2"/>
          <w:sz w:val="21"/>
          <w:vertAlign w:val="baseline"/>
        </w:rPr>
        <w:t>，血氧饱和度；</w:t>
      </w:r>
      <w:r>
        <w:rPr>
          <w:rFonts w:ascii="Times New Roman" w:eastAsia="Times New Roman"/>
          <w:spacing w:val="-2"/>
          <w:sz w:val="21"/>
          <w:vertAlign w:val="baseline"/>
        </w:rPr>
        <w:t>Telemed</w:t>
      </w:r>
      <w:r>
        <w:rPr>
          <w:spacing w:val="-2"/>
          <w:sz w:val="21"/>
          <w:vertAlign w:val="baseline"/>
        </w:rPr>
        <w:t>（</w:t>
      </w:r>
      <w:r>
        <w:rPr>
          <w:rFonts w:ascii="Times New Roman" w:eastAsia="Times New Roman"/>
          <w:spacing w:val="-2"/>
          <w:sz w:val="21"/>
          <w:vertAlign w:val="baseline"/>
        </w:rPr>
        <w:t>T</w:t>
      </w:r>
      <w:r>
        <w:rPr>
          <w:spacing w:val="-2"/>
          <w:sz w:val="21"/>
          <w:vertAlign w:val="baseline"/>
        </w:rPr>
        <w:t>），远程医疗访视（使用通信技术与受试者进行远程联系，包括电话联系、虚拟或视频访视和移动健康设备）；</w:t>
      </w:r>
      <w:r>
        <w:rPr>
          <w:rFonts w:ascii="Times New Roman" w:eastAsia="Times New Roman"/>
          <w:spacing w:val="-2"/>
          <w:sz w:val="21"/>
          <w:vertAlign w:val="baseline"/>
        </w:rPr>
        <w:t>V</w:t>
      </w:r>
      <w:r>
        <w:rPr>
          <w:spacing w:val="-2"/>
          <w:sz w:val="21"/>
          <w:vertAlign w:val="baseline"/>
        </w:rPr>
        <w:t>，访视；</w:t>
      </w:r>
      <w:r>
        <w:rPr>
          <w:rFonts w:ascii="Times New Roman" w:eastAsia="Times New Roman"/>
          <w:spacing w:val="-2"/>
          <w:sz w:val="21"/>
          <w:vertAlign w:val="baseline"/>
        </w:rPr>
        <w:t>W</w:t>
      </w:r>
      <w:r>
        <w:rPr>
          <w:spacing w:val="-2"/>
          <w:sz w:val="21"/>
          <w:vertAlign w:val="baseline"/>
        </w:rPr>
        <w:t>，研究周；</w:t>
      </w:r>
      <w:r>
        <w:rPr>
          <w:rFonts w:ascii="Times New Roman" w:eastAsia="Times New Roman"/>
          <w:spacing w:val="-2"/>
          <w:sz w:val="21"/>
          <w:vertAlign w:val="baseline"/>
        </w:rPr>
        <w:t>wk</w:t>
      </w:r>
      <w:r>
        <w:rPr>
          <w:spacing w:val="-2"/>
          <w:sz w:val="21"/>
          <w:vertAlign w:val="baseline"/>
        </w:rPr>
        <w:t>，周；</w:t>
      </w:r>
      <w:r>
        <w:rPr>
          <w:rFonts w:ascii="Times New Roman" w:eastAsia="Times New Roman"/>
          <w:spacing w:val="-2"/>
          <w:sz w:val="21"/>
          <w:vertAlign w:val="baseline"/>
        </w:rPr>
        <w:t>X</w:t>
      </w:r>
      <w:r>
        <w:rPr>
          <w:spacing w:val="-2"/>
          <w:sz w:val="21"/>
          <w:vertAlign w:val="baseline"/>
        </w:rPr>
        <w:t>，需要进行；（</w:t>
      </w:r>
      <w:r>
        <w:rPr>
          <w:rFonts w:ascii="Times New Roman" w:eastAsia="Times New Roman"/>
          <w:spacing w:val="-2"/>
          <w:sz w:val="21"/>
          <w:vertAlign w:val="baseline"/>
        </w:rPr>
        <w:t>X</w:t>
      </w:r>
      <w:r>
        <w:rPr>
          <w:spacing w:val="-2"/>
          <w:sz w:val="21"/>
          <w:vertAlign w:val="baseline"/>
        </w:rPr>
        <w:t>），需要重复进行或在适用时进行。</w:t>
      </w:r>
    </w:p>
    <w:p>
      <w:pPr>
        <w:spacing w:after="0" w:line="261" w:lineRule="auto"/>
        <w:jc w:val="left"/>
        <w:rPr>
          <w:sz w:val="21"/>
        </w:rPr>
        <w:sectPr>
          <w:pgSz w:w="16840" w:h="11910" w:orient="landscape"/>
          <w:pgMar w:header="761" w:footer="786" w:top="1400" w:bottom="980" w:left="1340" w:right="1120"/>
        </w:sectPr>
      </w:pPr>
    </w:p>
    <w:p>
      <w:pPr>
        <w:pStyle w:val="Heading1"/>
        <w:numPr>
          <w:ilvl w:val="0"/>
          <w:numId w:val="3"/>
        </w:numPr>
        <w:tabs>
          <w:tab w:pos="1355" w:val="left" w:leader="none"/>
        </w:tabs>
        <w:spacing w:line="240" w:lineRule="auto" w:before="88" w:after="0"/>
        <w:ind w:left="1355" w:right="0" w:hanging="1134"/>
        <w:jc w:val="both"/>
      </w:pPr>
      <w:bookmarkStart w:name="2 前言" w:id="22"/>
      <w:bookmarkEnd w:id="22"/>
      <w:r>
        <w:rPr>
          <w:b w:val="0"/>
        </w:rPr>
      </w:r>
      <w:bookmarkStart w:name="_bookmark12" w:id="23"/>
      <w:bookmarkEnd w:id="23"/>
      <w:r>
        <w:rPr>
          <w:b w:val="0"/>
        </w:rPr>
      </w:r>
      <w:r>
        <w:rPr>
          <w:spacing w:val="-6"/>
        </w:rPr>
        <w:t>前言</w:t>
      </w:r>
    </w:p>
    <w:p>
      <w:pPr>
        <w:pStyle w:val="BodyText"/>
        <w:spacing w:line="276" w:lineRule="auto" w:before="119"/>
        <w:ind w:right="357" w:firstLine="480"/>
        <w:jc w:val="both"/>
      </w:pPr>
      <w:r>
        <w:rPr>
          <w:rFonts w:ascii="Times New Roman" w:eastAsia="Times New Roman"/>
        </w:rPr>
        <w:t>Tozorakimab</w:t>
      </w:r>
      <w:r>
        <w:rPr>
          <w:rFonts w:ascii="Times New Roman" w:eastAsia="Times New Roman"/>
          <w:spacing w:val="-15"/>
        </w:rPr>
        <w:t> </w:t>
      </w:r>
      <w:r>
        <w:rPr>
          <w:spacing w:val="-3"/>
        </w:rPr>
        <w:t>是一种人源免疫球蛋白 </w:t>
      </w:r>
      <w:r>
        <w:rPr>
          <w:rFonts w:ascii="Times New Roman" w:eastAsia="Times New Roman"/>
        </w:rPr>
        <w:t>G1</w:t>
      </w:r>
      <w:r>
        <w:rPr>
          <w:rFonts w:ascii="Times New Roman" w:eastAsia="Times New Roman"/>
          <w:spacing w:val="23"/>
        </w:rPr>
        <w:t> </w:t>
      </w:r>
      <w:r>
        <w:rPr>
          <w:rFonts w:ascii="Times New Roman" w:eastAsia="Times New Roman"/>
        </w:rPr>
        <w:t>mAb</w:t>
      </w:r>
      <w:r>
        <w:rPr>
          <w:spacing w:val="-3"/>
        </w:rPr>
        <w:t>，可有效特异性结合 </w:t>
      </w:r>
      <w:r>
        <w:rPr>
          <w:rFonts w:ascii="Times New Roman" w:eastAsia="Times New Roman"/>
        </w:rPr>
        <w:t>IL-33 </w:t>
      </w:r>
      <w:r>
        <w:rPr/>
        <w:t>并阻断</w:t>
      </w:r>
      <w:r>
        <w:rPr>
          <w:spacing w:val="-3"/>
        </w:rPr>
        <w:t>其信号通路。正在开发 </w:t>
      </w:r>
      <w:r>
        <w:rPr>
          <w:rFonts w:ascii="Times New Roman" w:eastAsia="Times New Roman"/>
        </w:rPr>
        <w:t>tozorakimab </w:t>
      </w:r>
      <w:r>
        <w:rPr/>
        <w:t>用于哮喘、</w:t>
      </w:r>
      <w:r>
        <w:rPr>
          <w:rFonts w:ascii="Times New Roman" w:eastAsia="Times New Roman"/>
        </w:rPr>
        <w:t>COPD</w:t>
      </w:r>
      <w:r>
        <w:rPr/>
        <w:t>、糖尿病肾病和重度病毒性肺</w:t>
      </w:r>
      <w:r>
        <w:rPr>
          <w:spacing w:val="-2"/>
        </w:rPr>
        <w:t>部感染。已在特应性皮炎患者中进行了一项 </w:t>
      </w:r>
      <w:r>
        <w:rPr>
          <w:rFonts w:ascii="Times New Roman" w:eastAsia="Times New Roman"/>
        </w:rPr>
        <w:t>II </w:t>
      </w:r>
      <w:r>
        <w:rPr/>
        <w:t>期研究，但该适应症的开发已终止。</w:t>
      </w:r>
      <w:r>
        <w:rPr>
          <w:spacing w:val="-3"/>
        </w:rPr>
        <w:t>在高度未满足医疗需求的具有 </w:t>
      </w:r>
      <w:r>
        <w:rPr>
          <w:rFonts w:ascii="Times New Roman" w:eastAsia="Times New Roman"/>
        </w:rPr>
        <w:t>COPD</w:t>
      </w:r>
      <w:r>
        <w:rPr>
          <w:rFonts w:ascii="Times New Roman" w:eastAsia="Times New Roman"/>
          <w:spacing w:val="-15"/>
        </w:rPr>
        <w:t> </w:t>
      </w:r>
      <w:r>
        <w:rPr>
          <w:spacing w:val="-3"/>
        </w:rPr>
        <w:t>症状负担且面临急性加重风险 </w:t>
      </w:r>
      <w:r>
        <w:rPr>
          <w:rFonts w:ascii="Times New Roman" w:eastAsia="Times New Roman"/>
        </w:rPr>
        <w:t>COPD</w:t>
      </w:r>
      <w:r>
        <w:rPr>
          <w:rFonts w:ascii="Times New Roman" w:eastAsia="Times New Roman"/>
          <w:spacing w:val="-15"/>
        </w:rPr>
        <w:t> </w:t>
      </w:r>
      <w:r>
        <w:rPr/>
        <w:t>患者中， </w:t>
      </w:r>
      <w:r>
        <w:rPr>
          <w:rFonts w:ascii="Times New Roman" w:eastAsia="Times New Roman"/>
        </w:rPr>
        <w:t>Tozorakimab</w:t>
      </w:r>
      <w:r>
        <w:rPr>
          <w:rFonts w:ascii="Times New Roman" w:eastAsia="Times New Roman"/>
          <w:spacing w:val="-5"/>
        </w:rPr>
        <w:t> </w:t>
      </w:r>
      <w:r>
        <w:rPr/>
        <w:t>的作用机制使其成为潜在的治疗选择。</w:t>
      </w:r>
    </w:p>
    <w:p>
      <w:pPr>
        <w:pStyle w:val="Heading1"/>
        <w:numPr>
          <w:ilvl w:val="1"/>
          <w:numId w:val="3"/>
        </w:numPr>
        <w:tabs>
          <w:tab w:pos="1355" w:val="left" w:leader="none"/>
        </w:tabs>
        <w:spacing w:line="240" w:lineRule="auto" w:before="236" w:after="0"/>
        <w:ind w:left="1355" w:right="0" w:hanging="1134"/>
        <w:jc w:val="both"/>
      </w:pPr>
      <w:bookmarkStart w:name="2.1 研究依据" w:id="24"/>
      <w:bookmarkEnd w:id="24"/>
      <w:r>
        <w:rPr>
          <w:b w:val="0"/>
        </w:rPr>
      </w:r>
      <w:bookmarkStart w:name="_bookmark13" w:id="25"/>
      <w:bookmarkEnd w:id="25"/>
      <w:r>
        <w:rPr>
          <w:b w:val="0"/>
        </w:rPr>
      </w:r>
      <w:r>
        <w:rPr>
          <w:spacing w:val="-4"/>
        </w:rPr>
        <w:t>研究依据</w:t>
      </w:r>
    </w:p>
    <w:p>
      <w:pPr>
        <w:pStyle w:val="BodyText"/>
        <w:spacing w:line="276" w:lineRule="auto" w:before="119"/>
        <w:ind w:right="357" w:firstLine="480"/>
        <w:jc w:val="both"/>
      </w:pPr>
      <w:r>
        <w:rPr>
          <w:spacing w:val="-12"/>
        </w:rPr>
        <w:t>预期 </w:t>
      </w:r>
      <w:r>
        <w:rPr>
          <w:rFonts w:ascii="Times New Roman" w:eastAsia="Times New Roman"/>
          <w:spacing w:val="-4"/>
        </w:rPr>
        <w:t>tozorakimab</w:t>
      </w:r>
      <w:r>
        <w:rPr>
          <w:rFonts w:ascii="Times New Roman" w:eastAsia="Times New Roman"/>
          <w:spacing w:val="5"/>
        </w:rPr>
        <w:t> </w:t>
      </w:r>
      <w:r>
        <w:rPr>
          <w:spacing w:val="-8"/>
        </w:rPr>
        <w:t>可以通过降低 </w:t>
      </w:r>
      <w:r>
        <w:rPr>
          <w:rFonts w:ascii="Times New Roman" w:eastAsia="Times New Roman"/>
          <w:spacing w:val="-4"/>
        </w:rPr>
        <w:t>COPD</w:t>
      </w:r>
      <w:r>
        <w:rPr>
          <w:rFonts w:ascii="Times New Roman" w:eastAsia="Times New Roman"/>
          <w:spacing w:val="12"/>
        </w:rPr>
        <w:t> </w:t>
      </w:r>
      <w:r>
        <w:rPr>
          <w:spacing w:val="-6"/>
        </w:rPr>
        <w:t>急性加重的频率和严重程度、改善 </w:t>
      </w:r>
      <w:r>
        <w:rPr>
          <w:rFonts w:ascii="Times New Roman" w:eastAsia="Times New Roman"/>
          <w:spacing w:val="-4"/>
        </w:rPr>
        <w:t>COPD</w:t>
      </w:r>
      <w:r>
        <w:rPr>
          <w:spacing w:val="11"/>
        </w:rPr>
        <w:t>症状和健康相关生活质量，对 </w:t>
      </w:r>
      <w:r>
        <w:rPr>
          <w:rFonts w:ascii="Times New Roman" w:eastAsia="Times New Roman"/>
        </w:rPr>
        <w:t>COPD </w:t>
      </w:r>
      <w:r>
        <w:rPr>
          <w:spacing w:val="13"/>
        </w:rPr>
        <w:t>患者治疗产生有益作用。并且进一步改善</w:t>
      </w:r>
      <w:r>
        <w:rPr/>
        <w:t> </w:t>
      </w:r>
      <w:r>
        <w:rPr>
          <w:rFonts w:ascii="Times New Roman" w:eastAsia="Times New Roman"/>
        </w:rPr>
        <w:t>COPD</w:t>
      </w:r>
      <w:r>
        <w:rPr>
          <w:rFonts w:ascii="Times New Roman" w:eastAsia="Times New Roman"/>
          <w:spacing w:val="-15"/>
        </w:rPr>
        <w:t> </w:t>
      </w:r>
      <w:r>
        <w:rPr/>
        <w:t>患者的肺功能。</w:t>
      </w:r>
      <w:r>
        <w:rPr>
          <w:rFonts w:ascii="Times New Roman" w:eastAsia="Times New Roman"/>
        </w:rPr>
        <w:t>Tozorakimab</w:t>
      </w:r>
      <w:r>
        <w:rPr>
          <w:rFonts w:ascii="Times New Roman" w:eastAsia="Times New Roman"/>
          <w:spacing w:val="-15"/>
        </w:rPr>
        <w:t> </w:t>
      </w:r>
      <w:r>
        <w:rPr>
          <w:spacing w:val="-10"/>
        </w:rPr>
        <w:t>中和 </w:t>
      </w:r>
      <w:r>
        <w:rPr>
          <w:rFonts w:ascii="Times New Roman" w:eastAsia="Times New Roman"/>
        </w:rPr>
        <w:t>IL-33</w:t>
      </w:r>
      <w:r>
        <w:rPr>
          <w:rFonts w:ascii="Times New Roman" w:eastAsia="Times New Roman"/>
          <w:spacing w:val="-15"/>
        </w:rPr>
        <w:t> </w:t>
      </w:r>
      <w:r>
        <w:rPr>
          <w:spacing w:val="-4"/>
        </w:rPr>
        <w:t>活性有可能打破 </w:t>
      </w:r>
      <w:r>
        <w:rPr>
          <w:rFonts w:ascii="Times New Roman" w:eastAsia="Times New Roman"/>
        </w:rPr>
        <w:t>COPD</w:t>
      </w:r>
      <w:r>
        <w:rPr>
          <w:rFonts w:ascii="Times New Roman" w:eastAsia="Times New Roman"/>
          <w:spacing w:val="-15"/>
        </w:rPr>
        <w:t> </w:t>
      </w:r>
      <w:r>
        <w:rPr/>
        <w:t>患者肺部炎症</w:t>
      </w:r>
      <w:r>
        <w:rPr>
          <w:spacing w:val="-2"/>
        </w:rPr>
        <w:t>结构性损伤的循环。</w:t>
      </w:r>
    </w:p>
    <w:p>
      <w:pPr>
        <w:pStyle w:val="BodyText"/>
        <w:spacing w:before="237"/>
        <w:ind w:left="701"/>
      </w:pPr>
      <w:r>
        <w:rPr>
          <w:spacing w:val="7"/>
        </w:rPr>
        <w:t>在 </w:t>
      </w:r>
      <w:r>
        <w:rPr>
          <w:rFonts w:ascii="Times New Roman" w:hAnsi="Times New Roman" w:eastAsia="Times New Roman"/>
        </w:rPr>
        <w:t>COPD</w:t>
      </w:r>
      <w:r>
        <w:rPr>
          <w:rFonts w:ascii="Times New Roman" w:hAnsi="Times New Roman" w:eastAsia="Times New Roman"/>
          <w:spacing w:val="51"/>
        </w:rPr>
        <w:t> </w:t>
      </w:r>
      <w:r>
        <w:rPr>
          <w:spacing w:val="19"/>
        </w:rPr>
        <w:t>患者中开展的两项关键性</w:t>
      </w:r>
      <w:r>
        <w:rPr>
          <w:rFonts w:ascii="Times New Roman" w:hAnsi="Times New Roman" w:eastAsia="Times New Roman"/>
          <w:spacing w:val="18"/>
        </w:rPr>
        <w:t>Ⅲ</w:t>
      </w:r>
      <w:r>
        <w:rPr>
          <w:spacing w:val="15"/>
        </w:rPr>
        <w:t>期研究开始时间为 </w:t>
      </w:r>
      <w:r>
        <w:rPr>
          <w:rFonts w:ascii="Times New Roman" w:hAnsi="Times New Roman" w:eastAsia="Times New Roman"/>
        </w:rPr>
        <w:t>2022</w:t>
      </w:r>
      <w:r>
        <w:rPr>
          <w:rFonts w:ascii="Times New Roman" w:hAnsi="Times New Roman" w:eastAsia="Times New Roman"/>
          <w:spacing w:val="51"/>
        </w:rPr>
        <w:t> </w:t>
      </w:r>
      <w:r>
        <w:rPr>
          <w:spacing w:val="19"/>
        </w:rPr>
        <w:t>年初（</w:t>
      </w:r>
      <w:r>
        <w:rPr>
          <w:spacing w:val="14"/>
        </w:rPr>
        <w:t>研究</w:t>
      </w:r>
    </w:p>
    <w:p>
      <w:pPr>
        <w:pStyle w:val="BodyText"/>
        <w:spacing w:before="45"/>
        <w:jc w:val="both"/>
      </w:pPr>
      <w:r>
        <w:rPr>
          <w:rFonts w:ascii="Times New Roman" w:eastAsia="Times New Roman"/>
        </w:rPr>
        <w:t>D9180C00003</w:t>
      </w:r>
      <w:r>
        <w:rPr>
          <w:rFonts w:ascii="Times New Roman" w:eastAsia="Times New Roman"/>
          <w:spacing w:val="-2"/>
        </w:rPr>
        <w:t> </w:t>
      </w:r>
      <w:r>
        <w:rPr>
          <w:rFonts w:ascii="Times New Roman" w:eastAsia="Times New Roman"/>
        </w:rPr>
        <w:t>[OBERON]</w:t>
      </w:r>
      <w:r>
        <w:rPr>
          <w:rFonts w:ascii="Times New Roman" w:eastAsia="Times New Roman"/>
          <w:spacing w:val="-1"/>
        </w:rPr>
        <w:t> </w:t>
      </w:r>
      <w:r>
        <w:rPr>
          <w:spacing w:val="-15"/>
        </w:rPr>
        <w:t>和研究 </w:t>
      </w:r>
      <w:r>
        <w:rPr>
          <w:rFonts w:ascii="Times New Roman" w:eastAsia="Times New Roman"/>
        </w:rPr>
        <w:t>D9180C00004</w:t>
      </w:r>
      <w:r>
        <w:rPr>
          <w:rFonts w:ascii="Times New Roman" w:eastAsia="Times New Roman"/>
          <w:spacing w:val="-1"/>
        </w:rPr>
        <w:t> </w:t>
      </w:r>
      <w:r>
        <w:rPr>
          <w:rFonts w:ascii="Times New Roman" w:eastAsia="Times New Roman"/>
        </w:rPr>
        <w:t>[TITANIA]</w:t>
      </w:r>
      <w:r>
        <w:rPr>
          <w:rFonts w:ascii="Times New Roman" w:eastAsia="Times New Roman"/>
          <w:spacing w:val="-1"/>
        </w:rPr>
        <w:t> </w:t>
      </w:r>
      <w:r>
        <w:rPr/>
        <w:t>）</w:t>
      </w:r>
      <w:r>
        <w:rPr>
          <w:spacing w:val="-1"/>
        </w:rPr>
        <w:t>。该两项研究入组的受</w:t>
      </w:r>
    </w:p>
    <w:p>
      <w:pPr>
        <w:pStyle w:val="BodyText"/>
        <w:spacing w:before="46"/>
        <w:jc w:val="both"/>
      </w:pPr>
      <w:r>
        <w:rPr>
          <w:spacing w:val="-6"/>
        </w:rPr>
        <w:t>试者均为具有 </w:t>
      </w:r>
      <w:r>
        <w:rPr>
          <w:rFonts w:ascii="Times New Roman" w:eastAsia="Times New Roman"/>
        </w:rPr>
        <w:t>COPD</w:t>
      </w:r>
      <w:r>
        <w:rPr>
          <w:rFonts w:ascii="Times New Roman" w:eastAsia="Times New Roman"/>
          <w:spacing w:val="-1"/>
        </w:rPr>
        <w:t> </w:t>
      </w:r>
      <w:r>
        <w:rPr>
          <w:spacing w:val="-4"/>
        </w:rPr>
        <w:t>急性加重病史的症状性 </w:t>
      </w:r>
      <w:r>
        <w:rPr>
          <w:rFonts w:ascii="Times New Roman" w:eastAsia="Times New Roman"/>
        </w:rPr>
        <w:t>COPD</w:t>
      </w:r>
      <w:r>
        <w:rPr>
          <w:rFonts w:ascii="Times New Roman" w:eastAsia="Times New Roman"/>
          <w:spacing w:val="3"/>
        </w:rPr>
        <w:t> </w:t>
      </w:r>
      <w:r>
        <w:rPr>
          <w:spacing w:val="-1"/>
        </w:rPr>
        <w:t>成人患者；每项研究将招募至多</w:t>
      </w:r>
    </w:p>
    <w:p>
      <w:pPr>
        <w:pStyle w:val="BodyText"/>
        <w:spacing w:before="47"/>
        <w:jc w:val="both"/>
      </w:pPr>
      <w:r>
        <w:rPr>
          <w:rFonts w:ascii="Times New Roman" w:eastAsia="Times New Roman"/>
        </w:rPr>
        <w:t>424</w:t>
      </w:r>
      <w:r>
        <w:rPr>
          <w:rFonts w:ascii="Times New Roman" w:eastAsia="Times New Roman"/>
          <w:spacing w:val="-12"/>
        </w:rPr>
        <w:t> </w:t>
      </w:r>
      <w:r>
        <w:rPr>
          <w:spacing w:val="-8"/>
        </w:rPr>
        <w:t>名受试者分配至 </w:t>
      </w:r>
      <w:r>
        <w:rPr>
          <w:rFonts w:ascii="Times New Roman" w:eastAsia="Times New Roman"/>
        </w:rPr>
        <w:t>300</w:t>
      </w:r>
      <w:r>
        <w:rPr>
          <w:rFonts w:ascii="Times New Roman" w:eastAsia="Times New Roman"/>
          <w:spacing w:val="-3"/>
        </w:rPr>
        <w:t> </w:t>
      </w:r>
      <w:r>
        <w:rPr>
          <w:rFonts w:ascii="Times New Roman" w:eastAsia="Times New Roman"/>
        </w:rPr>
        <w:t>mg</w:t>
      </w:r>
      <w:r>
        <w:rPr>
          <w:rFonts w:ascii="Times New Roman" w:eastAsia="Times New Roman"/>
          <w:spacing w:val="-2"/>
        </w:rPr>
        <w:t> </w:t>
      </w:r>
      <w:r>
        <w:rPr>
          <w:rFonts w:ascii="Times New Roman" w:eastAsia="Times New Roman"/>
        </w:rPr>
        <w:t>Q4W</w:t>
      </w:r>
      <w:r>
        <w:rPr>
          <w:rFonts w:ascii="Times New Roman" w:eastAsia="Times New Roman"/>
          <w:spacing w:val="-13"/>
        </w:rPr>
        <w:t> </w:t>
      </w:r>
      <w:r>
        <w:rPr>
          <w:spacing w:val="-4"/>
        </w:rPr>
        <w:t>治疗组和安慰剂治疗组，以及约 </w:t>
      </w:r>
      <w:r>
        <w:rPr>
          <w:rFonts w:ascii="Times New Roman" w:eastAsia="Times New Roman"/>
        </w:rPr>
        <w:t>212</w:t>
      </w:r>
      <w:r>
        <w:rPr>
          <w:rFonts w:ascii="Times New Roman" w:eastAsia="Times New Roman"/>
          <w:spacing w:val="-12"/>
        </w:rPr>
        <w:t> </w:t>
      </w:r>
      <w:r>
        <w:rPr>
          <w:spacing w:val="-2"/>
        </w:rPr>
        <w:t>例受试者分配</w:t>
      </w:r>
    </w:p>
    <w:p>
      <w:pPr>
        <w:pStyle w:val="BodyText"/>
        <w:spacing w:line="276" w:lineRule="auto" w:before="45"/>
        <w:ind w:right="353"/>
        <w:jc w:val="both"/>
      </w:pPr>
      <w:r>
        <w:rPr>
          <w:spacing w:val="-15"/>
        </w:rPr>
        <w:t>至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rFonts w:ascii="Times New Roman" w:eastAsia="Times New Roman"/>
        </w:rPr>
        <w:t>Q8W</w:t>
      </w:r>
      <w:r>
        <w:rPr>
          <w:rFonts w:ascii="Times New Roman" w:eastAsia="Times New Roman"/>
          <w:spacing w:val="-7"/>
        </w:rPr>
        <w:t> </w:t>
      </w:r>
      <w:r>
        <w:rPr/>
        <w:t>治疗组（</w:t>
      </w:r>
      <w:r>
        <w:rPr>
          <w:spacing w:val="-5"/>
        </w:rPr>
        <w:t>详情参见第 </w:t>
      </w:r>
      <w:hyperlink w:history="true" w:anchor="_bookmark131">
        <w:r>
          <w:rPr>
            <w:rFonts w:ascii="Times New Roman" w:eastAsia="Times New Roman"/>
            <w:color w:val="0000FF"/>
          </w:rPr>
          <w:t>9.2</w:t>
        </w:r>
      </w:hyperlink>
      <w:r>
        <w:rPr>
          <w:rFonts w:ascii="Times New Roman" w:eastAsia="Times New Roman"/>
          <w:color w:val="0000FF"/>
          <w:spacing w:val="-2"/>
        </w:rPr>
        <w:t> </w:t>
      </w:r>
      <w:r>
        <w:rPr/>
        <w:t>节），</w:t>
      </w:r>
      <w:r>
        <w:rPr>
          <w:spacing w:val="-4"/>
        </w:rPr>
        <w:t>并对其进行为期 </w:t>
      </w:r>
      <w:r>
        <w:rPr>
          <w:rFonts w:ascii="Times New Roman" w:eastAsia="Times New Roman"/>
        </w:rPr>
        <w:t>52</w:t>
      </w:r>
      <w:r>
        <w:rPr>
          <w:rFonts w:ascii="Times New Roman" w:eastAsia="Times New Roman"/>
          <w:spacing w:val="-3"/>
        </w:rPr>
        <w:t> </w:t>
      </w:r>
      <w:r>
        <w:rPr/>
        <w:t>周的治疗。主要</w:t>
      </w:r>
      <w:r>
        <w:rPr>
          <w:spacing w:val="-3"/>
        </w:rPr>
        <w:t>终点均为中度至重度 </w:t>
      </w:r>
      <w:r>
        <w:rPr>
          <w:rFonts w:ascii="Times New Roman" w:eastAsia="Times New Roman"/>
        </w:rPr>
        <w:t>COPD </w:t>
      </w:r>
      <w:r>
        <w:rPr/>
        <w:t>急性加重的年发生率，在戒烟者中进行主要人群分析，</w:t>
      </w:r>
      <w:r>
        <w:rPr>
          <w:spacing w:val="-2"/>
        </w:rPr>
        <w:t>随后在戒烟者或目前吸烟者中进行总体人群分析。两项研究的研究方案相同，但在不同国家</w:t>
      </w:r>
      <w:r>
        <w:rPr>
          <w:rFonts w:ascii="Times New Roman" w:eastAsia="Times New Roman"/>
          <w:spacing w:val="-2"/>
        </w:rPr>
        <w:t>/</w:t>
      </w:r>
      <w:r>
        <w:rPr>
          <w:spacing w:val="-2"/>
        </w:rPr>
        <w:t>地区进行。</w:t>
      </w:r>
    </w:p>
    <w:p>
      <w:pPr>
        <w:pStyle w:val="BodyText"/>
        <w:spacing w:line="276" w:lineRule="auto" w:before="237"/>
        <w:ind w:right="357" w:firstLine="480"/>
        <w:jc w:val="both"/>
      </w:pPr>
      <w:r>
        <w:rPr>
          <w:spacing w:val="38"/>
        </w:rPr>
        <w:t>本项</w:t>
      </w:r>
      <w:r>
        <w:rPr>
          <w:rFonts w:ascii="Times New Roman" w:hAnsi="Times New Roman" w:eastAsia="Times New Roman"/>
          <w:spacing w:val="-8"/>
        </w:rPr>
        <w:t>Ⅲ </w:t>
      </w:r>
      <w:r>
        <w:rPr>
          <w:spacing w:val="38"/>
        </w:rPr>
        <w:t>期研究</w:t>
      </w:r>
      <w:r>
        <w:rPr/>
        <w:t>（</w:t>
      </w:r>
      <w:r>
        <w:rPr>
          <w:spacing w:val="-30"/>
        </w:rPr>
        <w:t> </w:t>
      </w:r>
      <w:r>
        <w:rPr>
          <w:rFonts w:ascii="Times New Roman" w:hAnsi="Times New Roman" w:eastAsia="Times New Roman"/>
        </w:rPr>
        <w:t>PROSPERO</w:t>
      </w:r>
      <w:r>
        <w:rPr>
          <w:rFonts w:ascii="Times New Roman" w:hAnsi="Times New Roman" w:eastAsia="Times New Roman"/>
          <w:spacing w:val="-15"/>
        </w:rPr>
        <w:t> </w:t>
      </w:r>
      <w:r>
        <w:rPr>
          <w:spacing w:val="38"/>
        </w:rPr>
        <w:t>）</w:t>
      </w:r>
      <w:r>
        <w:rPr>
          <w:spacing w:val="20"/>
        </w:rPr>
        <w:t>的目的是， 在完成前身研究 </w:t>
      </w:r>
      <w:r>
        <w:rPr>
          <w:rFonts w:ascii="Times New Roman" w:hAnsi="Times New Roman" w:eastAsia="Times New Roman"/>
        </w:rPr>
        <w:t>OBERON</w:t>
      </w:r>
      <w:r>
        <w:rPr>
          <w:rFonts w:ascii="Times New Roman" w:hAnsi="Times New Roman" w:eastAsia="Times New Roman"/>
          <w:spacing w:val="-8"/>
        </w:rPr>
        <w:t> </w:t>
      </w:r>
      <w:r>
        <w:rPr/>
        <w:t>或 </w:t>
      </w:r>
      <w:r>
        <w:rPr>
          <w:rFonts w:ascii="Times New Roman" w:hAnsi="Times New Roman" w:eastAsia="Times New Roman"/>
        </w:rPr>
        <w:t>TITANIA </w:t>
      </w:r>
      <w:r>
        <w:rPr>
          <w:spacing w:val="-6"/>
        </w:rPr>
        <w:t>的症状性 </w:t>
      </w:r>
      <w:r>
        <w:rPr>
          <w:rFonts w:ascii="Times New Roman" w:hAnsi="Times New Roman" w:eastAsia="Times New Roman"/>
        </w:rPr>
        <w:t>COPD </w:t>
      </w:r>
      <w:r>
        <w:rPr>
          <w:spacing w:val="-3"/>
        </w:rPr>
        <w:t>成人受试者中继续评估 </w:t>
      </w:r>
      <w:r>
        <w:rPr>
          <w:rFonts w:ascii="Times New Roman" w:hAnsi="Times New Roman" w:eastAsia="Times New Roman"/>
        </w:rPr>
        <w:t>tozorakimab </w:t>
      </w:r>
      <w:r>
        <w:rPr/>
        <w:t>的长期有效性和安全</w:t>
      </w:r>
      <w:r>
        <w:rPr>
          <w:spacing w:val="-6"/>
        </w:rPr>
        <w:t>性。</w:t>
      </w:r>
    </w:p>
    <w:p>
      <w:pPr>
        <w:pStyle w:val="BodyText"/>
        <w:spacing w:line="276" w:lineRule="auto" w:before="238"/>
        <w:ind w:right="353" w:firstLine="480"/>
      </w:pPr>
      <w:r>
        <w:rPr/>
        <w:t>预计这项研究与前身研究相结合，将提供足够数量的重度急性加重事件，从而</w:t>
      </w:r>
      <w:r>
        <w:rPr>
          <w:spacing w:val="3"/>
        </w:rPr>
        <w:t>能够证明与安慰剂相比，在</w:t>
      </w:r>
      <w:r>
        <w:rPr>
          <w:rFonts w:ascii="Times New Roman" w:eastAsia="Times New Roman"/>
        </w:rPr>
        <w:t>SoC</w:t>
      </w:r>
      <w:r>
        <w:rPr>
          <w:rFonts w:ascii="Times New Roman" w:eastAsia="Times New Roman"/>
          <w:spacing w:val="-20"/>
        </w:rPr>
        <w:t> </w:t>
      </w:r>
      <w:r>
        <w:rPr>
          <w:spacing w:val="-12"/>
        </w:rPr>
        <w:t>基础上加用 </w:t>
      </w:r>
      <w:r>
        <w:rPr>
          <w:rFonts w:ascii="Times New Roman" w:eastAsia="Times New Roman"/>
        </w:rPr>
        <w:t>tozorakimab</w:t>
      </w:r>
      <w:r>
        <w:rPr>
          <w:rFonts w:ascii="Times New Roman" w:eastAsia="Times New Roman"/>
          <w:spacing w:val="-20"/>
        </w:rPr>
        <w:t> </w:t>
      </w:r>
      <w:r>
        <w:rPr>
          <w:spacing w:val="-12"/>
        </w:rPr>
        <w:t>在减少重度 </w:t>
      </w:r>
      <w:r>
        <w:rPr>
          <w:rFonts w:ascii="Times New Roman" w:eastAsia="Times New Roman"/>
        </w:rPr>
        <w:t>COPD</w:t>
      </w:r>
      <w:r>
        <w:rPr>
          <w:rFonts w:ascii="Times New Roman" w:eastAsia="Times New Roman"/>
          <w:spacing w:val="-20"/>
        </w:rPr>
        <w:t> </w:t>
      </w:r>
      <w:r>
        <w:rPr>
          <w:spacing w:val="-3"/>
        </w:rPr>
        <w:t>急性加重</w:t>
      </w:r>
    </w:p>
    <w:p>
      <w:pPr>
        <w:pStyle w:val="BodyText"/>
        <w:spacing w:line="276" w:lineRule="auto"/>
        <w:ind w:right="117" w:hanging="120"/>
      </w:pPr>
      <w:r>
        <w:rPr/>
        <w:t>（</w:t>
      </w:r>
      <w:r>
        <w:rPr>
          <w:spacing w:val="-9"/>
        </w:rPr>
        <w:t>至首次住院和因 </w:t>
      </w:r>
      <w:r>
        <w:rPr>
          <w:rFonts w:ascii="Times New Roman" w:eastAsia="Times New Roman"/>
          <w:spacing w:val="-1"/>
        </w:rPr>
        <w:t>COP</w:t>
      </w:r>
      <w:r>
        <w:rPr>
          <w:rFonts w:ascii="Times New Roman" w:eastAsia="Times New Roman"/>
        </w:rPr>
        <w:t>D</w:t>
      </w:r>
      <w:r>
        <w:rPr>
          <w:rFonts w:ascii="Times New Roman" w:eastAsia="Times New Roman"/>
          <w:spacing w:val="-18"/>
        </w:rPr>
        <w:t> </w:t>
      </w:r>
      <w:r>
        <w:rPr/>
        <w:t>死亡的时间）</w:t>
      </w:r>
      <w:r>
        <w:rPr>
          <w:spacing w:val="-7"/>
        </w:rPr>
        <w:t>方面的有效性。鉴于自 </w:t>
      </w:r>
      <w:r>
        <w:rPr>
          <w:rFonts w:ascii="Times New Roman" w:eastAsia="Times New Roman"/>
          <w:spacing w:val="-1"/>
        </w:rPr>
        <w:t>SARS</w:t>
      </w:r>
      <w:r>
        <w:rPr>
          <w:rFonts w:ascii="Times New Roman" w:eastAsia="Times New Roman"/>
        </w:rPr>
        <w:t>-</w:t>
      </w:r>
      <w:r>
        <w:rPr>
          <w:rFonts w:ascii="Times New Roman" w:eastAsia="Times New Roman"/>
          <w:spacing w:val="-1"/>
        </w:rPr>
        <w:t>CoV</w:t>
      </w:r>
      <w:r>
        <w:rPr>
          <w:rFonts w:ascii="Times New Roman" w:eastAsia="Times New Roman"/>
        </w:rPr>
        <w:t>-2</w:t>
      </w:r>
      <w:r>
        <w:rPr>
          <w:rFonts w:ascii="Times New Roman" w:eastAsia="Times New Roman"/>
          <w:spacing w:val="-17"/>
        </w:rPr>
        <w:t> </w:t>
      </w:r>
      <w:r>
        <w:rPr/>
        <w:t>大流行以</w:t>
      </w:r>
      <w:r>
        <w:rPr/>
        <w:t>   来住院率一直较低（</w:t>
      </w:r>
      <w:hyperlink w:history="true" w:anchor="_bookmark174">
        <w:r>
          <w:rPr>
            <w:rFonts w:ascii="Times New Roman" w:eastAsia="Times New Roman"/>
            <w:color w:val="0000FF"/>
          </w:rPr>
          <w:t>Alqahtani</w:t>
        </w:r>
        <w:r>
          <w:rPr>
            <w:rFonts w:ascii="Times New Roman" w:eastAsia="Times New Roman"/>
            <w:color w:val="0000FF"/>
            <w:spacing w:val="29"/>
          </w:rPr>
          <w:t> </w:t>
        </w:r>
        <w:r>
          <w:rPr>
            <w:rFonts w:ascii="Times New Roman" w:eastAsia="Times New Roman"/>
            <w:color w:val="0000FF"/>
          </w:rPr>
          <w:t>et</w:t>
        </w:r>
        <w:r>
          <w:rPr>
            <w:rFonts w:ascii="Times New Roman" w:eastAsia="Times New Roman"/>
            <w:color w:val="0000FF"/>
            <w:spacing w:val="-15"/>
          </w:rPr>
          <w:t>  </w:t>
        </w:r>
        <w:r>
          <w:rPr>
            <w:rFonts w:ascii="Times New Roman" w:eastAsia="Times New Roman"/>
            <w:color w:val="0000FF"/>
            <w:spacing w:val="-1"/>
          </w:rPr>
          <w:t>a</w:t>
        </w:r>
        <w:r>
          <w:rPr>
            <w:rFonts w:ascii="Times New Roman" w:eastAsia="Times New Roman"/>
            <w:color w:val="0000FF"/>
          </w:rPr>
          <w:t>l</w:t>
        </w:r>
        <w:r>
          <w:rPr>
            <w:rFonts w:ascii="Times New Roman" w:eastAsia="Times New Roman"/>
            <w:color w:val="0000FF"/>
            <w:spacing w:val="-15"/>
          </w:rPr>
          <w:t>  </w:t>
        </w:r>
        <w:r>
          <w:rPr>
            <w:rFonts w:ascii="Times New Roman" w:eastAsia="Times New Roman"/>
            <w:color w:val="0000FF"/>
          </w:rPr>
          <w:t>2021</w:t>
        </w:r>
      </w:hyperlink>
      <w:r>
        <w:rPr/>
        <w:t>），将对前身研究的数据进行汇总分析，从而</w:t>
      </w:r>
      <w:r>
        <w:rPr>
          <w:spacing w:val="-1"/>
        </w:rPr>
        <w:t>允许收集更多重度 </w:t>
      </w:r>
      <w:r>
        <w:rPr>
          <w:rFonts w:ascii="Times New Roman" w:eastAsia="Times New Roman"/>
          <w:spacing w:val="-1"/>
        </w:rPr>
        <w:t>CO</w:t>
      </w:r>
      <w:r>
        <w:rPr>
          <w:rFonts w:ascii="Times New Roman" w:eastAsia="Times New Roman"/>
        </w:rPr>
        <w:t>PD</w:t>
      </w:r>
      <w:r>
        <w:rPr>
          <w:rFonts w:ascii="Times New Roman" w:eastAsia="Times New Roman"/>
          <w:spacing w:val="-15"/>
        </w:rPr>
        <w:t>  </w:t>
      </w:r>
      <w:r>
        <w:rPr/>
        <w:t>急性加重事件，以评估自前身研究随机化以来的有效性。本</w:t>
      </w:r>
      <w:r>
        <w:rPr>
          <w:spacing w:val="9"/>
        </w:rPr>
        <w:t>研究还将评估</w:t>
      </w:r>
      <w:r>
        <w:rPr>
          <w:rFonts w:ascii="Times New Roman" w:eastAsia="Times New Roman"/>
        </w:rPr>
        <w:t>tozor</w:t>
      </w:r>
      <w:r>
        <w:rPr>
          <w:rFonts w:ascii="Times New Roman" w:eastAsia="Times New Roman"/>
          <w:spacing w:val="-1"/>
        </w:rPr>
        <w:t>a</w:t>
      </w:r>
      <w:r>
        <w:rPr>
          <w:rFonts w:ascii="Times New Roman" w:eastAsia="Times New Roman"/>
        </w:rPr>
        <w:t>kimab</w:t>
      </w:r>
      <w:r>
        <w:rPr>
          <w:rFonts w:ascii="Times New Roman" w:eastAsia="Times New Roman"/>
          <w:spacing w:val="-15"/>
        </w:rPr>
        <w:t> </w:t>
      </w:r>
      <w:r>
        <w:rPr>
          <w:spacing w:val="57"/>
        </w:rPr>
        <w:t>在</w:t>
      </w:r>
      <w:r>
        <w:rPr>
          <w:rFonts w:ascii="Times New Roman" w:eastAsia="Times New Roman"/>
          <w:spacing w:val="-2"/>
        </w:rPr>
        <w:t>C</w:t>
      </w:r>
      <w:r>
        <w:rPr>
          <w:rFonts w:ascii="Times New Roman" w:eastAsia="Times New Roman"/>
          <w:spacing w:val="-1"/>
        </w:rPr>
        <w:t>OP</w:t>
      </w:r>
      <w:r>
        <w:rPr>
          <w:rFonts w:ascii="Times New Roman" w:eastAsia="Times New Roman"/>
        </w:rPr>
        <w:t>D</w:t>
      </w:r>
      <w:r>
        <w:rPr>
          <w:rFonts w:ascii="Times New Roman" w:eastAsia="Times New Roman"/>
          <w:spacing w:val="-15"/>
        </w:rPr>
        <w:t> </w:t>
      </w:r>
      <w:r>
        <w:rPr/>
        <w:t>患者中的长期安全性特征，以便进一步表征获益</w:t>
      </w:r>
      <w:r>
        <w:rPr>
          <w:rFonts w:ascii="Times New Roman" w:eastAsia="Times New Roman"/>
          <w:spacing w:val="1"/>
        </w:rPr>
        <w:t>-</w:t>
      </w:r>
      <w:r>
        <w:rPr/>
        <w:t>风险特征。纳入安慰剂队列是为了提供对照组，以便能够对长期有效性进行持续比较，特别是对重度急性加重发生率的比较，同时作为背景治疗的对照以进行安全性观察。然而，与前身研究相比，安慰剂队列的样本量将大幅减少：</w:t>
      </w:r>
      <w:r>
        <w:rPr>
          <w:rFonts w:ascii="Times New Roman" w:eastAsia="Times New Roman"/>
        </w:rPr>
        <w:t>50</w:t>
      </w:r>
      <w:r>
        <w:rPr>
          <w:rFonts w:ascii="Times New Roman" w:eastAsia="Times New Roman"/>
          <w:spacing w:val="4"/>
        </w:rPr>
        <w:t>%</w:t>
      </w:r>
      <w:r>
        <w:rPr/>
        <w:t>的安慰剂组受试者将被重新随机分配至活性药物治疗组（</w:t>
      </w:r>
      <w:r>
        <w:rPr>
          <w:spacing w:val="-8"/>
        </w:rPr>
        <w:t>详细信息请见第 </w:t>
      </w:r>
      <w:hyperlink w:history="true" w:anchor="_bookmark22">
        <w:r>
          <w:rPr>
            <w:rFonts w:ascii="Times New Roman" w:eastAsia="Times New Roman"/>
            <w:color w:val="0000FF"/>
          </w:rPr>
          <w:t>4.1</w:t>
        </w:r>
      </w:hyperlink>
      <w:r>
        <w:rPr>
          <w:rFonts w:ascii="Times New Roman" w:eastAsia="Times New Roman"/>
          <w:color w:val="0000FF"/>
          <w:spacing w:val="-12"/>
        </w:rPr>
        <w:t> </w:t>
      </w:r>
      <w:r>
        <w:rPr/>
        <w:t>节）。</w:t>
      </w:r>
    </w:p>
    <w:p>
      <w:pPr>
        <w:spacing w:after="0" w:line="276" w:lineRule="auto"/>
        <w:sectPr>
          <w:headerReference w:type="default" r:id="rId15"/>
          <w:footerReference w:type="default" r:id="rId16"/>
          <w:pgSz w:w="11910" w:h="16840"/>
          <w:pgMar w:header="590" w:footer="784" w:top="1340" w:bottom="980" w:left="1480" w:right="1080"/>
        </w:sectPr>
      </w:pPr>
    </w:p>
    <w:p>
      <w:pPr>
        <w:pStyle w:val="Heading1"/>
        <w:numPr>
          <w:ilvl w:val="1"/>
          <w:numId w:val="3"/>
        </w:numPr>
        <w:tabs>
          <w:tab w:pos="1355" w:val="left" w:leader="none"/>
        </w:tabs>
        <w:spacing w:line="240" w:lineRule="auto" w:before="88" w:after="0"/>
        <w:ind w:left="1355" w:right="0" w:hanging="1134"/>
        <w:jc w:val="both"/>
      </w:pPr>
      <w:bookmarkStart w:name="2.2 背景信息" w:id="26"/>
      <w:bookmarkEnd w:id="26"/>
      <w:r>
        <w:rPr>
          <w:b w:val="0"/>
        </w:rPr>
      </w:r>
      <w:bookmarkStart w:name="_bookmark14" w:id="27"/>
      <w:bookmarkEnd w:id="27"/>
      <w:r>
        <w:rPr>
          <w:b w:val="0"/>
        </w:rPr>
      </w:r>
      <w:r>
        <w:rPr>
          <w:spacing w:val="-4"/>
        </w:rPr>
        <w:t>背景信息</w:t>
      </w:r>
    </w:p>
    <w:p>
      <w:pPr>
        <w:pStyle w:val="BodyText"/>
        <w:spacing w:line="276" w:lineRule="auto" w:before="119"/>
        <w:ind w:right="355" w:firstLine="480"/>
        <w:jc w:val="both"/>
      </w:pPr>
      <w:r>
        <w:rPr>
          <w:spacing w:val="-4"/>
        </w:rPr>
        <w:t>慢性阻塞性肺疾病是全球第四大死亡原因，预计到 </w:t>
      </w:r>
      <w:r>
        <w:rPr>
          <w:rFonts w:ascii="Times New Roman" w:eastAsia="Times New Roman"/>
          <w:spacing w:val="-2"/>
        </w:rPr>
        <w:t>2030</w:t>
      </w:r>
      <w:r>
        <w:rPr>
          <w:rFonts w:ascii="Times New Roman" w:eastAsia="Times New Roman"/>
          <w:spacing w:val="13"/>
        </w:rPr>
        <w:t> </w:t>
      </w:r>
      <w:r>
        <w:rPr>
          <w:spacing w:val="-2"/>
        </w:rPr>
        <w:t>年将成为全球第三大死</w:t>
      </w:r>
      <w:r>
        <w:rPr/>
        <w:t>亡原因（</w:t>
      </w:r>
      <w:hyperlink w:history="true" w:anchor="_bookmark172">
        <w:r>
          <w:rPr>
            <w:rFonts w:ascii="Times New Roman" w:eastAsia="Times New Roman"/>
            <w:color w:val="0000FF"/>
          </w:rPr>
          <w:t>Adeloye et al 2015</w:t>
        </w:r>
      </w:hyperlink>
      <w:r>
        <w:rPr/>
        <w:t>）。慢性阻塞性肺疾病表现为气道和</w:t>
      </w:r>
      <w:r>
        <w:rPr>
          <w:rFonts w:ascii="Times New Roman" w:eastAsia="Times New Roman"/>
        </w:rPr>
        <w:t>/</w:t>
      </w:r>
      <w:r>
        <w:rPr/>
        <w:t>或肺泡异常所致持</w:t>
      </w:r>
      <w:r>
        <w:rPr>
          <w:spacing w:val="-2"/>
          <w:position w:val="1"/>
        </w:rPr>
        <w:t>续性呼吸道症状和气流受限（</w:t>
      </w:r>
      <w:r>
        <w:rPr>
          <w:rFonts w:ascii="Times New Roman" w:eastAsia="Times New Roman"/>
          <w:spacing w:val="-2"/>
          <w:position w:val="1"/>
        </w:rPr>
        <w:t>BD</w:t>
      </w:r>
      <w:r>
        <w:rPr>
          <w:rFonts w:ascii="Times New Roman" w:eastAsia="Times New Roman"/>
          <w:spacing w:val="-8"/>
          <w:position w:val="1"/>
        </w:rPr>
        <w:t> </w:t>
      </w:r>
      <w:r>
        <w:rPr>
          <w:spacing w:val="-9"/>
          <w:position w:val="1"/>
        </w:rPr>
        <w:t>给药后 </w:t>
      </w:r>
      <w:r>
        <w:rPr>
          <w:rFonts w:ascii="Times New Roman" w:eastAsia="Times New Roman"/>
          <w:spacing w:val="-2"/>
          <w:position w:val="1"/>
        </w:rPr>
        <w:t>FEV</w:t>
      </w:r>
      <w:r>
        <w:rPr>
          <w:rFonts w:ascii="Times New Roman" w:eastAsia="Times New Roman"/>
          <w:spacing w:val="-2"/>
          <w:sz w:val="16"/>
        </w:rPr>
        <w:t>1</w:t>
      </w:r>
      <w:r>
        <w:rPr>
          <w:rFonts w:ascii="Times New Roman" w:eastAsia="Times New Roman"/>
          <w:spacing w:val="-2"/>
          <w:position w:val="1"/>
        </w:rPr>
        <w:t>/FVC&lt;0.70</w:t>
      </w:r>
      <w:r>
        <w:rPr>
          <w:spacing w:val="-2"/>
          <w:position w:val="1"/>
        </w:rPr>
        <w:t>），通常由于大量暴露于有</w:t>
      </w:r>
      <w:r>
        <w:rPr>
          <w:spacing w:val="-2"/>
        </w:rPr>
        <w:t>害颗粒或气体（其中烟草烟雾占主导地位）引发，并受宿主因素（包括肺部发育异</w:t>
      </w:r>
      <w:r>
        <w:rPr/>
        <w:t>常）影响。重大合并症可能影响发病率和死亡率（</w:t>
      </w:r>
      <w:hyperlink w:history="true" w:anchor="_bookmark179">
        <w:r>
          <w:rPr>
            <w:rFonts w:ascii="Times New Roman" w:eastAsia="Times New Roman"/>
            <w:color w:val="0000FF"/>
          </w:rPr>
          <w:t>GOLD 2022</w:t>
        </w:r>
      </w:hyperlink>
      <w:r>
        <w:rPr/>
        <w:t>）。慢性阻塞性肺疾</w:t>
      </w:r>
      <w:r>
        <w:rPr>
          <w:spacing w:val="-2"/>
        </w:rPr>
        <w:t>病是一种危及生命的呼吸系统疾病，病程表现为长期功能缺失，导致健康相关生活</w:t>
      </w:r>
      <w:r>
        <w:rPr/>
        <w:t>质量显著下降和日常生活受限（</w:t>
      </w:r>
      <w:hyperlink w:history="true" w:anchor="_bookmark213">
        <w:r>
          <w:rPr>
            <w:rFonts w:ascii="Times New Roman" w:eastAsia="Times New Roman"/>
            <w:color w:val="0000FF"/>
          </w:rPr>
          <w:t>van Manen et al 2003</w:t>
        </w:r>
      </w:hyperlink>
      <w:r>
        <w:rPr/>
        <w:t>）。</w:t>
      </w:r>
    </w:p>
    <w:p>
      <w:pPr>
        <w:pStyle w:val="BodyText"/>
        <w:spacing w:line="276" w:lineRule="auto" w:before="235"/>
        <w:ind w:right="353" w:firstLine="480"/>
        <w:jc w:val="both"/>
      </w:pPr>
      <w:r>
        <w:rPr>
          <w:spacing w:val="-2"/>
        </w:rPr>
        <w:t>慢性阻塞性肺疾病是一种不完全可逆的、病程通常呈进行性、并伴有肺部慢性</w:t>
      </w:r>
      <w:r>
        <w:rPr/>
        <w:t>炎症反应增强的疾病。越来越多的证据表明，</w:t>
      </w:r>
      <w:r>
        <w:rPr>
          <w:rFonts w:ascii="Times New Roman" w:eastAsia="Times New Roman"/>
        </w:rPr>
        <w:t>COPD </w:t>
      </w:r>
      <w:r>
        <w:rPr/>
        <w:t>总体症状负担对患者健康相关</w:t>
      </w:r>
      <w:r>
        <w:rPr>
          <w:spacing w:val="-1"/>
        </w:rPr>
        <w:t>生活质量造成显著的不利影响，并且导致急性加重风险的增加以及更差的疾病预后</w:t>
      </w:r>
    </w:p>
    <w:p>
      <w:pPr>
        <w:pStyle w:val="BodyText"/>
        <w:spacing w:line="308" w:lineRule="exact"/>
        <w:ind w:left="101"/>
        <w:jc w:val="both"/>
      </w:pPr>
      <w:r>
        <w:rPr/>
        <w:t>（</w:t>
      </w:r>
      <w:hyperlink w:history="true" w:anchor="_bookmark190">
        <w:r>
          <w:rPr>
            <w:rFonts w:ascii="Times New Roman" w:eastAsia="Times New Roman"/>
            <w:color w:val="0000FF"/>
          </w:rPr>
          <w:t>Miravitlles</w:t>
        </w:r>
        <w:r>
          <w:rPr>
            <w:rFonts w:ascii="Times New Roman" w:eastAsia="Times New Roman"/>
            <w:color w:val="0000FF"/>
            <w:spacing w:val="-1"/>
          </w:rPr>
          <w:t> </w:t>
        </w:r>
        <w:r>
          <w:rPr>
            <w:rFonts w:ascii="Times New Roman" w:eastAsia="Times New Roman"/>
            <w:color w:val="0000FF"/>
          </w:rPr>
          <w:t>and</w:t>
        </w:r>
        <w:r>
          <w:rPr>
            <w:rFonts w:ascii="Times New Roman" w:eastAsia="Times New Roman"/>
            <w:color w:val="0000FF"/>
            <w:spacing w:val="-1"/>
          </w:rPr>
          <w:t> </w:t>
        </w:r>
        <w:r>
          <w:rPr>
            <w:rFonts w:ascii="Times New Roman" w:eastAsia="Times New Roman"/>
            <w:color w:val="0000FF"/>
          </w:rPr>
          <w:t>Ribera</w:t>
        </w:r>
        <w:r>
          <w:rPr>
            <w:rFonts w:ascii="Times New Roman" w:eastAsia="Times New Roman"/>
            <w:color w:val="0000FF"/>
            <w:spacing w:val="-1"/>
          </w:rPr>
          <w:t> </w:t>
        </w:r>
        <w:r>
          <w:rPr>
            <w:rFonts w:ascii="Times New Roman" w:eastAsia="Times New Roman"/>
            <w:color w:val="0000FF"/>
          </w:rPr>
          <w:t>2017</w:t>
        </w:r>
      </w:hyperlink>
      <w:r>
        <w:rPr/>
        <w:t>）</w:t>
      </w:r>
      <w:r>
        <w:rPr>
          <w:spacing w:val="-10"/>
        </w:rPr>
        <w:t>。</w:t>
      </w:r>
    </w:p>
    <w:p>
      <w:pPr>
        <w:pStyle w:val="BodyText"/>
        <w:spacing w:before="286"/>
        <w:ind w:left="701"/>
      </w:pPr>
      <w:r>
        <w:rPr>
          <w:rFonts w:ascii="Times New Roman" w:eastAsia="Times New Roman"/>
        </w:rPr>
        <w:t>COPD</w:t>
      </w:r>
      <w:r>
        <w:rPr>
          <w:rFonts w:ascii="Times New Roman" w:eastAsia="Times New Roman"/>
          <w:spacing w:val="70"/>
        </w:rPr>
        <w:t> </w:t>
      </w:r>
      <w:r>
        <w:rPr>
          <w:spacing w:val="38"/>
        </w:rPr>
        <w:t>急性加重是症状恶化后的急性起病，对患者造成显著不良后果</w:t>
      </w:r>
    </w:p>
    <w:p>
      <w:pPr>
        <w:pStyle w:val="BodyText"/>
        <w:spacing w:line="276" w:lineRule="auto" w:before="46"/>
        <w:ind w:right="356" w:hanging="120"/>
        <w:jc w:val="both"/>
        <w:rPr>
          <w:rFonts w:ascii="Times New Roman" w:eastAsia="Times New Roman"/>
        </w:rPr>
      </w:pPr>
      <w:r>
        <w:rPr/>
        <w:t>（</w:t>
      </w:r>
      <w:hyperlink w:history="true" w:anchor="_bookmark216">
        <w:r>
          <w:rPr>
            <w:rFonts w:ascii="Times New Roman" w:eastAsia="Times New Roman"/>
            <w:color w:val="0000FF"/>
          </w:rPr>
          <w:t>Wedzicha and Seemungal 2007</w:t>
        </w:r>
      </w:hyperlink>
      <w:r>
        <w:rPr/>
        <w:t>）。急性加重频率增加与肺功能加速降低、健康相关</w:t>
      </w:r>
      <w:r>
        <w:rPr/>
        <w:t>生活质量被破坏及死亡率升高相关（</w:t>
      </w:r>
      <w:hyperlink w:history="true" w:anchor="_bookmark177">
        <w:r>
          <w:rPr>
            <w:rFonts w:ascii="Times New Roman" w:eastAsia="Times New Roman"/>
            <w:color w:val="0000FF"/>
          </w:rPr>
          <w:t>Donaldson et al 2002</w:t>
        </w:r>
      </w:hyperlink>
      <w:r>
        <w:rPr>
          <w:color w:val="0000FF"/>
        </w:rPr>
        <w:t>，</w:t>
      </w:r>
      <w:hyperlink w:history="true" w:anchor="_bookmark204">
        <w:r>
          <w:rPr>
            <w:rFonts w:ascii="Times New Roman" w:eastAsia="Times New Roman"/>
            <w:color w:val="0000FF"/>
          </w:rPr>
          <w:t>Seemungal et al 1998</w:t>
        </w:r>
      </w:hyperlink>
      <w:r>
        <w:rPr>
          <w:color w:val="0000FF"/>
        </w:rPr>
        <w:t>， </w:t>
      </w:r>
      <w:hyperlink w:history="true" w:anchor="_bookmark206">
        <w:r>
          <w:rPr>
            <w:rFonts w:ascii="Times New Roman" w:eastAsia="Times New Roman"/>
            <w:color w:val="0000FF"/>
          </w:rPr>
          <w:t>Soler-Cataluna</w:t>
        </w:r>
        <w:r>
          <w:rPr>
            <w:rFonts w:ascii="Times New Roman" w:eastAsia="Times New Roman"/>
            <w:color w:val="0000FF"/>
            <w:spacing w:val="-15"/>
          </w:rPr>
          <w:t> </w:t>
        </w:r>
        <w:r>
          <w:rPr>
            <w:rFonts w:ascii="Times New Roman" w:eastAsia="Times New Roman"/>
            <w:color w:val="0000FF"/>
          </w:rPr>
          <w:t>et</w:t>
        </w:r>
        <w:r>
          <w:rPr>
            <w:rFonts w:ascii="Times New Roman" w:eastAsia="Times New Roman"/>
            <w:color w:val="0000FF"/>
            <w:spacing w:val="-4"/>
          </w:rPr>
          <w:t> </w:t>
        </w:r>
        <w:r>
          <w:rPr>
            <w:rFonts w:ascii="Times New Roman" w:eastAsia="Times New Roman"/>
            <w:color w:val="0000FF"/>
          </w:rPr>
          <w:t>al</w:t>
        </w:r>
        <w:r>
          <w:rPr>
            <w:rFonts w:ascii="Times New Roman" w:eastAsia="Times New Roman"/>
            <w:color w:val="0000FF"/>
            <w:spacing w:val="10"/>
          </w:rPr>
          <w:t> </w:t>
        </w:r>
        <w:r>
          <w:rPr>
            <w:rFonts w:ascii="Times New Roman" w:eastAsia="Times New Roman"/>
            <w:color w:val="0000FF"/>
          </w:rPr>
          <w:t>2005</w:t>
        </w:r>
      </w:hyperlink>
      <w:r>
        <w:rPr/>
        <w:t>）</w:t>
      </w:r>
      <w:r>
        <w:rPr>
          <w:spacing w:val="-5"/>
        </w:rPr>
        <w:t>。此外，随着 </w:t>
      </w:r>
      <w:r>
        <w:rPr>
          <w:rFonts w:ascii="Times New Roman" w:eastAsia="Times New Roman"/>
        </w:rPr>
        <w:t>COPD</w:t>
      </w:r>
      <w:r>
        <w:rPr>
          <w:rFonts w:ascii="Times New Roman" w:eastAsia="Times New Roman"/>
          <w:spacing w:val="-15"/>
        </w:rPr>
        <w:t> </w:t>
      </w:r>
      <w:r>
        <w:rPr/>
        <w:t>发病率的升高，急性加重给医疗保健系统也带来更大的负担，在美国有每年超过 </w:t>
      </w:r>
      <w:r>
        <w:rPr>
          <w:rFonts w:ascii="Times New Roman" w:eastAsia="Times New Roman"/>
        </w:rPr>
        <w:t>100 </w:t>
      </w:r>
      <w:r>
        <w:rPr/>
        <w:t>万非计划就诊患者（</w:t>
      </w:r>
      <w:hyperlink w:history="true" w:anchor="_bookmark189">
        <w:r>
          <w:rPr>
            <w:rFonts w:ascii="Times New Roman" w:eastAsia="Times New Roman"/>
            <w:color w:val="0000FF"/>
          </w:rPr>
          <w:t>Mannino and</w:t>
        </w:r>
      </w:hyperlink>
      <w:r>
        <w:rPr>
          <w:rFonts w:ascii="Times New Roman" w:eastAsia="Times New Roman"/>
          <w:color w:val="0000FF"/>
        </w:rPr>
        <w:t> </w:t>
      </w:r>
      <w:hyperlink w:history="true" w:anchor="_bookmark189">
        <w:r>
          <w:rPr>
            <w:rFonts w:ascii="Times New Roman" w:eastAsia="Times New Roman"/>
            <w:color w:val="0000FF"/>
            <w:spacing w:val="-2"/>
          </w:rPr>
          <w:t>Braman</w:t>
        </w:r>
        <w:r>
          <w:rPr>
            <w:rFonts w:ascii="Times New Roman" w:eastAsia="Times New Roman"/>
            <w:color w:val="0000FF"/>
            <w:spacing w:val="-13"/>
          </w:rPr>
          <w:t> </w:t>
        </w:r>
        <w:r>
          <w:rPr>
            <w:rFonts w:ascii="Times New Roman" w:eastAsia="Times New Roman"/>
            <w:color w:val="0000FF"/>
            <w:spacing w:val="-2"/>
          </w:rPr>
          <w:t>2007</w:t>
        </w:r>
      </w:hyperlink>
      <w:r>
        <w:rPr>
          <w:spacing w:val="-2"/>
        </w:rPr>
        <w:t>）</w:t>
      </w:r>
      <w:r>
        <w:rPr>
          <w:spacing w:val="-9"/>
        </w:rPr>
        <w:t>。美国 </w:t>
      </w:r>
      <w:r>
        <w:rPr>
          <w:rFonts w:ascii="Times New Roman" w:eastAsia="Times New Roman"/>
          <w:spacing w:val="-2"/>
        </w:rPr>
        <w:t>COPD</w:t>
      </w:r>
      <w:r>
        <w:rPr>
          <w:rFonts w:ascii="Times New Roman" w:eastAsia="Times New Roman"/>
          <w:spacing w:val="-10"/>
        </w:rPr>
        <w:t> </w:t>
      </w:r>
      <w:r>
        <w:rPr>
          <w:spacing w:val="-4"/>
        </w:rPr>
        <w:t>患者治疗的直接费用每年超过 </w:t>
      </w:r>
      <w:r>
        <w:rPr>
          <w:rFonts w:ascii="Times New Roman" w:eastAsia="Times New Roman"/>
          <w:spacing w:val="-2"/>
        </w:rPr>
        <w:t>320</w:t>
      </w:r>
      <w:r>
        <w:rPr>
          <w:rFonts w:ascii="Times New Roman" w:eastAsia="Times New Roman"/>
          <w:spacing w:val="-3"/>
        </w:rPr>
        <w:t> </w:t>
      </w:r>
      <w:r>
        <w:rPr>
          <w:spacing w:val="-2"/>
        </w:rPr>
        <w:t>亿美元，急性加重治</w:t>
      </w:r>
      <w:r>
        <w:rPr>
          <w:spacing w:val="-5"/>
        </w:rPr>
        <w:t>疗费用预计占这些医疗费用的 </w:t>
      </w:r>
      <w:r>
        <w:rPr>
          <w:rFonts w:ascii="Times New Roman" w:eastAsia="Times New Roman"/>
        </w:rPr>
        <w:t>50%~75%</w:t>
      </w:r>
      <w:r>
        <w:rPr/>
        <w:t>（</w:t>
      </w:r>
      <w:hyperlink w:history="true" w:anchor="_bookmark175">
        <w:r>
          <w:rPr>
            <w:rFonts w:ascii="Times New Roman" w:eastAsia="Times New Roman"/>
            <w:color w:val="0000FF"/>
          </w:rPr>
          <w:t>Celli et</w:t>
        </w:r>
        <w:r>
          <w:rPr>
            <w:rFonts w:ascii="Times New Roman" w:eastAsia="Times New Roman"/>
            <w:color w:val="0000FF"/>
            <w:spacing w:val="1"/>
          </w:rPr>
          <w:t> </w:t>
        </w:r>
        <w:r>
          <w:rPr>
            <w:rFonts w:ascii="Times New Roman" w:eastAsia="Times New Roman"/>
            <w:color w:val="0000FF"/>
          </w:rPr>
          <w:t>al</w:t>
        </w:r>
        <w:r>
          <w:rPr>
            <w:rFonts w:ascii="Times New Roman" w:eastAsia="Times New Roman"/>
            <w:color w:val="0000FF"/>
            <w:spacing w:val="1"/>
          </w:rPr>
          <w:t> </w:t>
        </w:r>
        <w:r>
          <w:rPr>
            <w:rFonts w:ascii="Times New Roman" w:eastAsia="Times New Roman"/>
            <w:color w:val="0000FF"/>
          </w:rPr>
          <w:t>2004</w:t>
        </w:r>
      </w:hyperlink>
      <w:r>
        <w:rPr>
          <w:color w:val="0000FF"/>
        </w:rPr>
        <w:t>，</w:t>
      </w:r>
      <w:hyperlink w:history="true" w:anchor="_bookmark182">
        <w:r>
          <w:rPr>
            <w:rFonts w:ascii="Times New Roman" w:eastAsia="Times New Roman"/>
            <w:color w:val="0000FF"/>
          </w:rPr>
          <w:t>Guarascio</w:t>
        </w:r>
        <w:r>
          <w:rPr>
            <w:rFonts w:ascii="Times New Roman" w:eastAsia="Times New Roman"/>
            <w:color w:val="0000FF"/>
            <w:spacing w:val="1"/>
          </w:rPr>
          <w:t> </w:t>
        </w:r>
        <w:r>
          <w:rPr>
            <w:rFonts w:ascii="Times New Roman" w:eastAsia="Times New Roman"/>
            <w:color w:val="0000FF"/>
          </w:rPr>
          <w:t>et</w:t>
        </w:r>
        <w:r>
          <w:rPr>
            <w:rFonts w:ascii="Times New Roman" w:eastAsia="Times New Roman"/>
            <w:color w:val="0000FF"/>
            <w:spacing w:val="1"/>
          </w:rPr>
          <w:t> </w:t>
        </w:r>
        <w:r>
          <w:rPr>
            <w:rFonts w:ascii="Times New Roman" w:eastAsia="Times New Roman"/>
            <w:color w:val="0000FF"/>
          </w:rPr>
          <w:t>al</w:t>
        </w:r>
        <w:r>
          <w:rPr>
            <w:rFonts w:ascii="Times New Roman" w:eastAsia="Times New Roman"/>
            <w:color w:val="0000FF"/>
            <w:spacing w:val="1"/>
          </w:rPr>
          <w:t> </w:t>
        </w:r>
        <w:r>
          <w:rPr>
            <w:rFonts w:ascii="Times New Roman" w:eastAsia="Times New Roman"/>
            <w:color w:val="0000FF"/>
            <w:spacing w:val="-2"/>
          </w:rPr>
          <w:t>2013</w:t>
        </w:r>
      </w:hyperlink>
      <w:r>
        <w:rPr>
          <w:color w:val="0000FF"/>
          <w:spacing w:val="-2"/>
        </w:rPr>
        <w:t>，</w:t>
      </w:r>
      <w:hyperlink w:history="true" w:anchor="_bookmark212">
        <w:r>
          <w:rPr>
            <w:rFonts w:ascii="Times New Roman" w:eastAsia="Times New Roman"/>
            <w:color w:val="0000FF"/>
            <w:spacing w:val="-2"/>
          </w:rPr>
          <w:t>Toy</w:t>
        </w:r>
      </w:hyperlink>
    </w:p>
    <w:p>
      <w:pPr>
        <w:pStyle w:val="BodyText"/>
        <w:spacing w:line="276" w:lineRule="auto"/>
        <w:ind w:right="116"/>
      </w:pPr>
      <w:hyperlink w:history="true" w:anchor="_bookmark212">
        <w:r>
          <w:rPr>
            <w:rFonts w:ascii="Times New Roman" w:eastAsia="Times New Roman"/>
            <w:color w:val="0000FF"/>
          </w:rPr>
          <w:t>et</w:t>
        </w:r>
        <w:r>
          <w:rPr>
            <w:rFonts w:ascii="Times New Roman" w:eastAsia="Times New Roman"/>
            <w:color w:val="0000FF"/>
            <w:spacing w:val="13"/>
          </w:rPr>
          <w:t> </w:t>
        </w:r>
        <w:r>
          <w:rPr>
            <w:rFonts w:ascii="Times New Roman" w:eastAsia="Times New Roman"/>
            <w:color w:val="0000FF"/>
          </w:rPr>
          <w:t>al</w:t>
        </w:r>
        <w:r>
          <w:rPr>
            <w:rFonts w:ascii="Times New Roman" w:eastAsia="Times New Roman"/>
            <w:color w:val="0000FF"/>
            <w:spacing w:val="21"/>
          </w:rPr>
          <w:t> </w:t>
        </w:r>
        <w:r>
          <w:rPr>
            <w:rFonts w:ascii="Times New Roman" w:eastAsia="Times New Roman"/>
            <w:color w:val="0000FF"/>
          </w:rPr>
          <w:t>2010</w:t>
        </w:r>
      </w:hyperlink>
      <w:r>
        <w:rPr/>
        <w:t>）</w:t>
      </w:r>
      <w:r>
        <w:rPr>
          <w:spacing w:val="-4"/>
        </w:rPr>
        <w:t>。急性加重也是 </w:t>
      </w:r>
      <w:r>
        <w:rPr>
          <w:rFonts w:ascii="Times New Roman" w:eastAsia="Times New Roman"/>
        </w:rPr>
        <w:t>COPD </w:t>
      </w:r>
      <w:r>
        <w:rPr/>
        <w:t>的重要结局指标，急性期治疗旨在加速疾病恢复，而长期吸入性维持治疗是为了预防和降低急性加重发生频率和严重程度（</w:t>
      </w:r>
      <w:hyperlink w:history="true" w:anchor="_bookmark200">
        <w:r>
          <w:rPr>
            <w:rFonts w:ascii="Times New Roman" w:eastAsia="Times New Roman"/>
            <w:color w:val="0000FF"/>
          </w:rPr>
          <w:t>Ritchie</w:t>
        </w:r>
        <w:r>
          <w:rPr>
            <w:rFonts w:ascii="Times New Roman" w:eastAsia="Times New Roman"/>
            <w:color w:val="0000FF"/>
            <w:spacing w:val="-11"/>
          </w:rPr>
          <w:t> </w:t>
        </w:r>
        <w:r>
          <w:rPr>
            <w:rFonts w:ascii="Times New Roman" w:eastAsia="Times New Roman"/>
            <w:color w:val="0000FF"/>
          </w:rPr>
          <w:t>and</w:t>
        </w:r>
      </w:hyperlink>
      <w:r>
        <w:rPr>
          <w:rFonts w:ascii="Times New Roman" w:eastAsia="Times New Roman"/>
          <w:color w:val="0000FF"/>
        </w:rPr>
        <w:t> </w:t>
      </w:r>
      <w:hyperlink w:history="true" w:anchor="_bookmark200">
        <w:r>
          <w:rPr>
            <w:rFonts w:ascii="Times New Roman" w:eastAsia="Times New Roman"/>
            <w:color w:val="0000FF"/>
          </w:rPr>
          <w:t>Wedzicha 2020</w:t>
        </w:r>
      </w:hyperlink>
      <w:r>
        <w:rPr/>
        <w:t>）。</w:t>
      </w:r>
    </w:p>
    <w:p>
      <w:pPr>
        <w:pStyle w:val="BodyText"/>
        <w:spacing w:line="276" w:lineRule="auto" w:before="233"/>
        <w:ind w:right="357" w:firstLine="480"/>
        <w:jc w:val="both"/>
      </w:pPr>
      <w:r>
        <w:rPr>
          <w:spacing w:val="-3"/>
        </w:rPr>
        <w:t>尽管采用优化的吸入性维持疗法进行了充分治疗，仍有约 </w:t>
      </w:r>
      <w:r>
        <w:rPr>
          <w:rFonts w:ascii="Times New Roman" w:hAnsi="Times New Roman" w:eastAsia="Times New Roman"/>
          <w:spacing w:val="-2"/>
        </w:rPr>
        <w:t>30%~40%</w:t>
      </w:r>
      <w:r>
        <w:rPr>
          <w:spacing w:val="-2"/>
        </w:rPr>
        <w:t>患者发生中</w:t>
      </w:r>
      <w:r>
        <w:rPr/>
        <w:t>度或重度急性加重（</w:t>
      </w:r>
      <w:hyperlink w:history="true" w:anchor="_bookmark191">
        <w:r>
          <w:rPr>
            <w:rFonts w:ascii="Times New Roman" w:hAnsi="Times New Roman" w:eastAsia="Times New Roman"/>
            <w:color w:val="0000FF"/>
          </w:rPr>
          <w:t>Müllerová</w:t>
        </w:r>
        <w:r>
          <w:rPr>
            <w:rFonts w:ascii="Times New Roman" w:hAnsi="Times New Roman" w:eastAsia="Times New Roman"/>
            <w:color w:val="0000FF"/>
            <w:spacing w:val="-15"/>
          </w:rPr>
          <w:t> </w:t>
        </w:r>
        <w:r>
          <w:rPr>
            <w:rFonts w:ascii="Times New Roman" w:hAnsi="Times New Roman" w:eastAsia="Times New Roman"/>
            <w:color w:val="0000FF"/>
          </w:rPr>
          <w:t>et</w:t>
        </w:r>
        <w:r>
          <w:rPr>
            <w:rFonts w:ascii="Times New Roman" w:hAnsi="Times New Roman" w:eastAsia="Times New Roman"/>
            <w:color w:val="0000FF"/>
            <w:spacing w:val="-15"/>
          </w:rPr>
          <w:t> </w:t>
        </w:r>
        <w:r>
          <w:rPr>
            <w:rFonts w:ascii="Times New Roman" w:hAnsi="Times New Roman" w:eastAsia="Times New Roman"/>
            <w:color w:val="0000FF"/>
          </w:rPr>
          <w:t>al</w:t>
        </w:r>
        <w:r>
          <w:rPr>
            <w:rFonts w:ascii="Times New Roman" w:hAnsi="Times New Roman" w:eastAsia="Times New Roman"/>
            <w:color w:val="0000FF"/>
            <w:spacing w:val="-15"/>
          </w:rPr>
          <w:t> </w:t>
        </w:r>
        <w:r>
          <w:rPr>
            <w:rFonts w:ascii="Times New Roman" w:hAnsi="Times New Roman" w:eastAsia="Times New Roman"/>
            <w:color w:val="0000FF"/>
          </w:rPr>
          <w:t>2017</w:t>
        </w:r>
      </w:hyperlink>
      <w:r>
        <w:rPr>
          <w:color w:val="0000FF"/>
        </w:rPr>
        <w:t>，</w:t>
      </w:r>
      <w:hyperlink w:history="true" w:anchor="_bookmark214">
        <w:r>
          <w:rPr>
            <w:rFonts w:ascii="Times New Roman" w:hAnsi="Times New Roman" w:eastAsia="Times New Roman"/>
            <w:color w:val="0000FF"/>
          </w:rPr>
          <w:t>Vestbo</w:t>
        </w:r>
        <w:r>
          <w:rPr>
            <w:rFonts w:ascii="Times New Roman" w:hAnsi="Times New Roman" w:eastAsia="Times New Roman"/>
            <w:color w:val="0000FF"/>
            <w:spacing w:val="-3"/>
          </w:rPr>
          <w:t> </w:t>
        </w:r>
        <w:r>
          <w:rPr>
            <w:rFonts w:ascii="Times New Roman" w:hAnsi="Times New Roman" w:eastAsia="Times New Roman"/>
            <w:color w:val="0000FF"/>
          </w:rPr>
          <w:t>et</w:t>
        </w:r>
        <w:r>
          <w:rPr>
            <w:rFonts w:ascii="Times New Roman" w:hAnsi="Times New Roman" w:eastAsia="Times New Roman"/>
            <w:color w:val="0000FF"/>
            <w:spacing w:val="-5"/>
          </w:rPr>
          <w:t> </w:t>
        </w:r>
        <w:r>
          <w:rPr>
            <w:rFonts w:ascii="Times New Roman" w:hAnsi="Times New Roman" w:eastAsia="Times New Roman"/>
            <w:color w:val="0000FF"/>
          </w:rPr>
          <w:t>al</w:t>
        </w:r>
        <w:r>
          <w:rPr>
            <w:rFonts w:ascii="Times New Roman" w:hAnsi="Times New Roman" w:eastAsia="Times New Roman"/>
            <w:color w:val="0000FF"/>
            <w:spacing w:val="-5"/>
          </w:rPr>
          <w:t> </w:t>
        </w:r>
        <w:r>
          <w:rPr>
            <w:rFonts w:ascii="Times New Roman" w:hAnsi="Times New Roman" w:eastAsia="Times New Roman"/>
            <w:color w:val="0000FF"/>
          </w:rPr>
          <w:t>2017</w:t>
        </w:r>
      </w:hyperlink>
      <w:r>
        <w:rPr/>
        <w:t>）</w:t>
      </w:r>
      <w:r>
        <w:rPr>
          <w:spacing w:val="-8"/>
        </w:rPr>
        <w:t>。重度 </w:t>
      </w:r>
      <w:r>
        <w:rPr>
          <w:rFonts w:ascii="Times New Roman" w:hAnsi="Times New Roman" w:eastAsia="Times New Roman"/>
        </w:rPr>
        <w:t>COPD</w:t>
      </w:r>
      <w:r>
        <w:rPr>
          <w:rFonts w:ascii="Times New Roman" w:hAnsi="Times New Roman" w:eastAsia="Times New Roman"/>
          <w:spacing w:val="-15"/>
        </w:rPr>
        <w:t> </w:t>
      </w:r>
      <w:r>
        <w:rPr/>
        <w:t>急性加重</w:t>
      </w:r>
      <w:r>
        <w:rPr>
          <w:spacing w:val="-13"/>
        </w:rPr>
        <w:t>使 </w:t>
      </w:r>
      <w:r>
        <w:rPr>
          <w:rFonts w:ascii="Times New Roman" w:hAnsi="Times New Roman" w:eastAsia="Times New Roman"/>
        </w:rPr>
        <w:t>COPD</w:t>
      </w:r>
      <w:r>
        <w:rPr>
          <w:rFonts w:ascii="Times New Roman" w:hAnsi="Times New Roman" w:eastAsia="Times New Roman"/>
          <w:spacing w:val="16"/>
        </w:rPr>
        <w:t> </w:t>
      </w:r>
      <w:r>
        <w:rPr/>
        <w:t>病程恶化，包括健康状况迅速下降、疾病的进展和死亡率增加，每次重度 </w:t>
      </w:r>
      <w:r>
        <w:rPr>
          <w:rFonts w:ascii="Times New Roman" w:hAnsi="Times New Roman" w:eastAsia="Times New Roman"/>
        </w:rPr>
        <w:t>COPD</w:t>
      </w:r>
      <w:r>
        <w:rPr>
          <w:rFonts w:ascii="Times New Roman" w:hAnsi="Times New Roman" w:eastAsia="Times New Roman"/>
          <w:spacing w:val="-15"/>
        </w:rPr>
        <w:t> </w:t>
      </w:r>
      <w:r>
        <w:rPr/>
        <w:t>急性加重都会增加再次急性加重（</w:t>
      </w:r>
      <w:hyperlink w:history="true" w:anchor="_bookmark217">
        <w:r>
          <w:rPr>
            <w:rFonts w:ascii="Times New Roman" w:hAnsi="Times New Roman" w:eastAsia="Times New Roman"/>
            <w:color w:val="0000FF"/>
          </w:rPr>
          <w:t>Wedzicha</w:t>
        </w:r>
        <w:r>
          <w:rPr>
            <w:rFonts w:ascii="Times New Roman" w:hAnsi="Times New Roman" w:eastAsia="Times New Roman"/>
            <w:color w:val="0000FF"/>
            <w:spacing w:val="-14"/>
          </w:rPr>
          <w:t> </w:t>
        </w:r>
        <w:r>
          <w:rPr>
            <w:rFonts w:ascii="Times New Roman" w:hAnsi="Times New Roman" w:eastAsia="Times New Roman"/>
            <w:color w:val="0000FF"/>
          </w:rPr>
          <w:t>et</w:t>
        </w:r>
        <w:r>
          <w:rPr>
            <w:rFonts w:ascii="Times New Roman" w:hAnsi="Times New Roman" w:eastAsia="Times New Roman"/>
            <w:color w:val="0000FF"/>
            <w:spacing w:val="-10"/>
          </w:rPr>
          <w:t> </w:t>
        </w:r>
        <w:r>
          <w:rPr>
            <w:rFonts w:ascii="Times New Roman" w:hAnsi="Times New Roman" w:eastAsia="Times New Roman"/>
            <w:color w:val="0000FF"/>
          </w:rPr>
          <w:t>al</w:t>
        </w:r>
        <w:r>
          <w:rPr>
            <w:rFonts w:ascii="Times New Roman" w:hAnsi="Times New Roman" w:eastAsia="Times New Roman"/>
            <w:color w:val="0000FF"/>
            <w:spacing w:val="-12"/>
          </w:rPr>
          <w:t> </w:t>
        </w:r>
        <w:r>
          <w:rPr>
            <w:rFonts w:ascii="Times New Roman" w:hAnsi="Times New Roman" w:eastAsia="Times New Roman"/>
            <w:color w:val="0000FF"/>
          </w:rPr>
          <w:t>2013</w:t>
        </w:r>
      </w:hyperlink>
      <w:r>
        <w:rPr/>
        <w:t>）、再次住院（</w:t>
      </w:r>
      <w:hyperlink w:history="true" w:anchor="_bookmark192">
        <w:r>
          <w:rPr>
            <w:rFonts w:ascii="Times New Roman" w:hAnsi="Times New Roman" w:eastAsia="Times New Roman"/>
            <w:color w:val="0000FF"/>
          </w:rPr>
          <w:t>Myers</w:t>
        </w:r>
        <w:r>
          <w:rPr>
            <w:rFonts w:ascii="Times New Roman" w:hAnsi="Times New Roman" w:eastAsia="Times New Roman"/>
            <w:color w:val="0000FF"/>
            <w:spacing w:val="-12"/>
          </w:rPr>
          <w:t> </w:t>
        </w:r>
        <w:r>
          <w:rPr>
            <w:rFonts w:ascii="Times New Roman" w:hAnsi="Times New Roman" w:eastAsia="Times New Roman"/>
            <w:color w:val="0000FF"/>
          </w:rPr>
          <w:t>et</w:t>
        </w:r>
      </w:hyperlink>
      <w:r>
        <w:rPr>
          <w:rFonts w:ascii="Times New Roman" w:hAnsi="Times New Roman" w:eastAsia="Times New Roman"/>
          <w:color w:val="0000FF"/>
        </w:rPr>
        <w:t> </w:t>
      </w:r>
      <w:hyperlink w:history="true" w:anchor="_bookmark192">
        <w:r>
          <w:rPr>
            <w:rFonts w:ascii="Times New Roman" w:hAnsi="Times New Roman" w:eastAsia="Times New Roman"/>
            <w:color w:val="0000FF"/>
          </w:rPr>
          <w:t>al</w:t>
        </w:r>
        <w:r>
          <w:rPr>
            <w:rFonts w:ascii="Times New Roman" w:hAnsi="Times New Roman" w:eastAsia="Times New Roman"/>
            <w:color w:val="0000FF"/>
            <w:spacing w:val="74"/>
          </w:rPr>
          <w:t> </w:t>
        </w:r>
        <w:r>
          <w:rPr>
            <w:rFonts w:ascii="Times New Roman" w:hAnsi="Times New Roman" w:eastAsia="Times New Roman"/>
            <w:color w:val="0000FF"/>
          </w:rPr>
          <w:t>2020</w:t>
        </w:r>
      </w:hyperlink>
      <w:r>
        <w:rPr>
          <w:rFonts w:ascii="Times New Roman" w:hAnsi="Times New Roman" w:eastAsia="Times New Roman"/>
          <w:color w:val="0000FF"/>
          <w:spacing w:val="-10"/>
        </w:rPr>
        <w:t> </w:t>
      </w:r>
      <w:r>
        <w:rPr/>
        <w:t>）</w:t>
      </w:r>
      <w:r>
        <w:rPr>
          <w:spacing w:val="20"/>
        </w:rPr>
        <w:t> 和死亡</w:t>
      </w:r>
      <w:r>
        <w:rPr/>
        <w:t>（</w:t>
      </w:r>
      <w:r>
        <w:rPr>
          <w:spacing w:val="-69"/>
        </w:rPr>
        <w:t> </w:t>
      </w:r>
      <w:hyperlink w:history="true" w:anchor="_bookmark211">
        <w:r>
          <w:rPr>
            <w:rFonts w:ascii="Times New Roman" w:hAnsi="Times New Roman" w:eastAsia="Times New Roman"/>
            <w:color w:val="0000FF"/>
          </w:rPr>
          <w:t>Suissa</w:t>
        </w:r>
        <w:r>
          <w:rPr>
            <w:rFonts w:ascii="Times New Roman" w:hAnsi="Times New Roman" w:eastAsia="Times New Roman"/>
            <w:color w:val="0000FF"/>
            <w:spacing w:val="76"/>
          </w:rPr>
          <w:t> </w:t>
        </w:r>
        <w:r>
          <w:rPr>
            <w:rFonts w:ascii="Times New Roman" w:hAnsi="Times New Roman" w:eastAsia="Times New Roman"/>
            <w:color w:val="0000FF"/>
          </w:rPr>
          <w:t>2012</w:t>
        </w:r>
      </w:hyperlink>
      <w:r>
        <w:rPr>
          <w:rFonts w:ascii="Times New Roman" w:hAnsi="Times New Roman" w:eastAsia="Times New Roman"/>
          <w:color w:val="0000FF"/>
          <w:spacing w:val="-10"/>
        </w:rPr>
        <w:t> </w:t>
      </w:r>
      <w:r>
        <w:rPr/>
        <w:t>）</w:t>
      </w:r>
      <w:r>
        <w:rPr>
          <w:spacing w:val="28"/>
        </w:rPr>
        <w:t> 的风险。 即使采用最大程度的三联疗法</w:t>
      </w:r>
    </w:p>
    <w:p>
      <w:pPr>
        <w:pStyle w:val="BodyText"/>
        <w:spacing w:line="276" w:lineRule="auto"/>
        <w:ind w:right="359" w:hanging="120"/>
        <w:jc w:val="both"/>
      </w:pPr>
      <w:r>
        <w:rPr/>
        <w:t>（</w:t>
      </w:r>
      <w:r>
        <w:rPr>
          <w:rFonts w:ascii="Times New Roman" w:eastAsia="Times New Roman"/>
        </w:rPr>
        <w:t>LABA+LAMA+ICS</w:t>
      </w:r>
      <w:r>
        <w:rPr/>
        <w:t>），也仍有可能不足以预防所有此类事件（</w:t>
      </w:r>
      <w:hyperlink w:history="true" w:anchor="_bookmark196">
        <w:r>
          <w:rPr>
            <w:rFonts w:ascii="Times New Roman" w:eastAsia="Times New Roman"/>
            <w:color w:val="0000FF"/>
          </w:rPr>
          <w:t>Rabe et al 2020</w:t>
        </w:r>
      </w:hyperlink>
      <w:r>
        <w:rPr/>
        <w:t>）；</w:t>
      </w:r>
      <w:r>
        <w:rPr>
          <w:spacing w:val="-2"/>
        </w:rPr>
        <w:t>因此，目前仍然存在尚未满足的医疗需求。</w:t>
      </w:r>
    </w:p>
    <w:p>
      <w:pPr>
        <w:pStyle w:val="BodyText"/>
        <w:spacing w:line="276" w:lineRule="auto" w:before="234"/>
        <w:ind w:right="356" w:firstLine="480"/>
        <w:jc w:val="both"/>
        <w:rPr>
          <w:rFonts w:ascii="Times New Roman" w:eastAsia="Times New Roman"/>
        </w:rPr>
      </w:pPr>
      <w:r>
        <w:rPr>
          <w:rFonts w:ascii="Times New Roman" w:eastAsia="Times New Roman"/>
        </w:rPr>
        <w:t>Tozorakimab </w:t>
      </w:r>
      <w:r>
        <w:rPr>
          <w:spacing w:val="-4"/>
        </w:rPr>
        <w:t>是一种全人源化 </w:t>
      </w:r>
      <w:r>
        <w:rPr>
          <w:rFonts w:ascii="Times New Roman" w:eastAsia="Times New Roman"/>
        </w:rPr>
        <w:t>IgG1</w:t>
      </w:r>
      <w:r>
        <w:rPr>
          <w:rFonts w:ascii="Times New Roman" w:eastAsia="Times New Roman"/>
          <w:spacing w:val="22"/>
        </w:rPr>
        <w:t> </w:t>
      </w:r>
      <w:r>
        <w:rPr>
          <w:rFonts w:ascii="Times New Roman" w:eastAsia="Times New Roman"/>
        </w:rPr>
        <w:t>mAb</w:t>
      </w:r>
      <w:r>
        <w:rPr>
          <w:spacing w:val="-7"/>
        </w:rPr>
        <w:t>，可与 </w:t>
      </w:r>
      <w:r>
        <w:rPr>
          <w:rFonts w:ascii="Times New Roman" w:eastAsia="Times New Roman"/>
        </w:rPr>
        <w:t>IL-33 </w:t>
      </w:r>
      <w:r>
        <w:rPr/>
        <w:t>结合，并有效、特异性阻</w:t>
      </w:r>
      <w:r>
        <w:rPr>
          <w:spacing w:val="-6"/>
        </w:rPr>
        <w:t>断所有形式的 </w:t>
      </w:r>
      <w:r>
        <w:rPr>
          <w:rFonts w:ascii="Times New Roman" w:eastAsia="Times New Roman"/>
          <w:spacing w:val="-2"/>
        </w:rPr>
        <w:t>IL-33</w:t>
      </w:r>
      <w:r>
        <w:rPr>
          <w:spacing w:val="-2"/>
        </w:rPr>
        <w:t>，从而阻断其信号通路（</w:t>
      </w:r>
      <w:hyperlink w:history="true" w:anchor="_bookmark183">
        <w:r>
          <w:rPr>
            <w:rFonts w:ascii="Times New Roman" w:eastAsia="Times New Roman"/>
            <w:color w:val="0000FF"/>
            <w:spacing w:val="-2"/>
          </w:rPr>
          <w:t>Kearley</w:t>
        </w:r>
        <w:r>
          <w:rPr>
            <w:rFonts w:ascii="Times New Roman" w:eastAsia="Times New Roman"/>
            <w:color w:val="0000FF"/>
            <w:spacing w:val="-13"/>
          </w:rPr>
          <w:t> </w:t>
        </w:r>
        <w:r>
          <w:rPr>
            <w:rFonts w:ascii="Times New Roman" w:eastAsia="Times New Roman"/>
            <w:color w:val="0000FF"/>
            <w:spacing w:val="-2"/>
          </w:rPr>
          <w:t>et</w:t>
        </w:r>
        <w:r>
          <w:rPr>
            <w:rFonts w:ascii="Times New Roman" w:eastAsia="Times New Roman"/>
            <w:color w:val="0000FF"/>
            <w:spacing w:val="-13"/>
          </w:rPr>
          <w:t> </w:t>
        </w:r>
        <w:r>
          <w:rPr>
            <w:rFonts w:ascii="Times New Roman" w:eastAsia="Times New Roman"/>
            <w:color w:val="0000FF"/>
            <w:spacing w:val="-2"/>
          </w:rPr>
          <w:t>al</w:t>
        </w:r>
        <w:r>
          <w:rPr>
            <w:rFonts w:ascii="Times New Roman" w:eastAsia="Times New Roman"/>
            <w:color w:val="0000FF"/>
            <w:spacing w:val="-4"/>
          </w:rPr>
          <w:t> </w:t>
        </w:r>
        <w:r>
          <w:rPr>
            <w:rFonts w:ascii="Times New Roman" w:eastAsia="Times New Roman"/>
            <w:color w:val="0000FF"/>
            <w:spacing w:val="-2"/>
          </w:rPr>
          <w:t>2015</w:t>
        </w:r>
      </w:hyperlink>
      <w:r>
        <w:rPr>
          <w:spacing w:val="-2"/>
        </w:rPr>
        <w:t>）</w:t>
      </w:r>
      <w:r>
        <w:rPr>
          <w:spacing w:val="-8"/>
        </w:rPr>
        <w:t>。通过与 </w:t>
      </w:r>
      <w:r>
        <w:rPr>
          <w:rFonts w:ascii="Times New Roman" w:eastAsia="Times New Roman"/>
          <w:spacing w:val="-2"/>
        </w:rPr>
        <w:t>IL-33 </w:t>
      </w:r>
      <w:r>
        <w:rPr>
          <w:spacing w:val="-2"/>
        </w:rPr>
        <w:t>的还</w:t>
      </w:r>
      <w:r>
        <w:rPr/>
        <w:t>原形式（</w:t>
      </w:r>
      <w:r>
        <w:rPr>
          <w:rFonts w:ascii="Times New Roman" w:eastAsia="Times New Roman"/>
        </w:rPr>
        <w:t>IL-33</w:t>
      </w:r>
      <w:r>
        <w:rPr>
          <w:rFonts w:ascii="Times New Roman" w:eastAsia="Times New Roman"/>
          <w:vertAlign w:val="superscript"/>
        </w:rPr>
        <w:t>red</w:t>
      </w:r>
      <w:r>
        <w:rPr>
          <w:vertAlign w:val="baseline"/>
        </w:rPr>
        <w:t>）结合，</w:t>
      </w:r>
      <w:r>
        <w:rPr>
          <w:rFonts w:ascii="Times New Roman" w:eastAsia="Times New Roman"/>
          <w:vertAlign w:val="baseline"/>
        </w:rPr>
        <w:t>tozorakimab </w:t>
      </w:r>
      <w:r>
        <w:rPr>
          <w:vertAlign w:val="baseline"/>
        </w:rPr>
        <w:t>可强效抑制几种原代人细胞和过敏原驱动的体</w:t>
      </w:r>
      <w:r>
        <w:rPr>
          <w:spacing w:val="8"/>
          <w:vertAlign w:val="baseline"/>
        </w:rPr>
        <w:t>内 </w:t>
      </w:r>
      <w:r>
        <w:rPr>
          <w:rFonts w:ascii="Times New Roman" w:eastAsia="Times New Roman"/>
          <w:vertAlign w:val="baseline"/>
        </w:rPr>
        <w:t>COPD</w:t>
      </w:r>
      <w:r>
        <w:rPr>
          <w:rFonts w:ascii="Times New Roman" w:eastAsia="Times New Roman"/>
          <w:spacing w:val="51"/>
          <w:vertAlign w:val="baseline"/>
        </w:rPr>
        <w:t> </w:t>
      </w:r>
      <w:r>
        <w:rPr>
          <w:spacing w:val="3"/>
          <w:vertAlign w:val="baseline"/>
        </w:rPr>
        <w:t>模型中的 </w:t>
      </w:r>
      <w:r>
        <w:rPr>
          <w:rFonts w:ascii="Times New Roman" w:eastAsia="Times New Roman"/>
          <w:vertAlign w:val="baseline"/>
        </w:rPr>
        <w:t>ST2</w:t>
      </w:r>
      <w:r>
        <w:rPr>
          <w:rFonts w:ascii="Times New Roman" w:eastAsia="Times New Roman"/>
          <w:spacing w:val="50"/>
          <w:vertAlign w:val="baseline"/>
        </w:rPr>
        <w:t> </w:t>
      </w:r>
      <w:r>
        <w:rPr>
          <w:spacing w:val="1"/>
          <w:vertAlign w:val="baseline"/>
        </w:rPr>
        <w:t>依赖性炎症反应。氧化型 </w:t>
      </w:r>
      <w:r>
        <w:rPr>
          <w:rFonts w:ascii="Times New Roman" w:eastAsia="Times New Roman"/>
          <w:vertAlign w:val="baseline"/>
        </w:rPr>
        <w:t>IL-33</w:t>
      </w:r>
      <w:r>
        <w:rPr>
          <w:vertAlign w:val="baseline"/>
        </w:rPr>
        <w:t>（</w:t>
      </w:r>
      <w:r>
        <w:rPr>
          <w:rFonts w:ascii="Times New Roman" w:eastAsia="Times New Roman"/>
          <w:vertAlign w:val="baseline"/>
        </w:rPr>
        <w:t>IL-33</w:t>
      </w:r>
      <w:r>
        <w:rPr>
          <w:rFonts w:ascii="Times New Roman" w:eastAsia="Times New Roman"/>
          <w:vertAlign w:val="superscript"/>
        </w:rPr>
        <w:t>ox</w:t>
      </w:r>
      <w:r>
        <w:rPr>
          <w:vertAlign w:val="baseline"/>
        </w:rPr>
        <w:t>）</w:t>
      </w:r>
      <w:r>
        <w:rPr>
          <w:spacing w:val="3"/>
          <w:vertAlign w:val="baseline"/>
        </w:rPr>
        <w:t>不能结合 </w:t>
      </w:r>
      <w:r>
        <w:rPr>
          <w:rFonts w:ascii="Times New Roman" w:eastAsia="Times New Roman"/>
          <w:spacing w:val="-5"/>
          <w:vertAlign w:val="baseline"/>
        </w:rPr>
        <w:t>ST2</w:t>
      </w:r>
    </w:p>
    <w:p>
      <w:pPr>
        <w:pStyle w:val="BodyText"/>
        <w:spacing w:line="276" w:lineRule="auto"/>
        <w:ind w:right="357" w:hanging="120"/>
        <w:jc w:val="both"/>
      </w:pPr>
      <w:r>
        <w:rPr/>
        <w:t>（</w:t>
      </w:r>
      <w:hyperlink w:history="true" w:anchor="_bookmark176">
        <w:r>
          <w:rPr>
            <w:rFonts w:ascii="Times New Roman" w:eastAsia="Times New Roman"/>
            <w:color w:val="0000FF"/>
          </w:rPr>
          <w:t>Cohen</w:t>
        </w:r>
        <w:r>
          <w:rPr>
            <w:rFonts w:ascii="Times New Roman" w:eastAsia="Times New Roman"/>
            <w:color w:val="0000FF"/>
            <w:spacing w:val="-15"/>
          </w:rPr>
          <w:t> </w:t>
        </w:r>
        <w:r>
          <w:rPr>
            <w:rFonts w:ascii="Times New Roman" w:eastAsia="Times New Roman"/>
            <w:color w:val="0000FF"/>
          </w:rPr>
          <w:t>et al </w:t>
        </w:r>
        <w:r>
          <w:rPr>
            <w:rFonts w:ascii="Times New Roman" w:eastAsia="Times New Roman"/>
            <w:color w:val="0000FF"/>
            <w:spacing w:val="9"/>
          </w:rPr>
          <w:t>2015</w:t>
        </w:r>
      </w:hyperlink>
      <w:r>
        <w:rPr>
          <w:spacing w:val="9"/>
        </w:rPr>
        <w:t>），</w:t>
      </w:r>
      <w:r>
        <w:rPr>
          <w:spacing w:val="11"/>
        </w:rPr>
        <w:t>而是通过 </w:t>
      </w:r>
      <w:r>
        <w:rPr>
          <w:rFonts w:ascii="Times New Roman" w:eastAsia="Times New Roman"/>
        </w:rPr>
        <w:t>RAGE/EGFR</w:t>
      </w:r>
      <w:r>
        <w:rPr>
          <w:rFonts w:ascii="Times New Roman" w:eastAsia="Times New Roman"/>
          <w:spacing w:val="20"/>
        </w:rPr>
        <w:t> </w:t>
      </w:r>
      <w:r>
        <w:rPr>
          <w:spacing w:val="18"/>
        </w:rPr>
        <w:t>通路传导信号</w:t>
      </w:r>
      <w:r>
        <w:rPr/>
        <w:t>（</w:t>
      </w:r>
      <w:r>
        <w:rPr>
          <w:spacing w:val="-30"/>
        </w:rPr>
        <w:t> </w:t>
      </w:r>
      <w:hyperlink w:history="true" w:anchor="_bookmark203">
        <w:r>
          <w:rPr>
            <w:rFonts w:ascii="Times New Roman" w:eastAsia="Times New Roman"/>
            <w:color w:val="0000FF"/>
          </w:rPr>
          <w:t>Scott et al 2022</w:t>
        </w:r>
      </w:hyperlink>
      <w:r>
        <w:rPr>
          <w:color w:val="0000FF"/>
        </w:rPr>
        <w:t>， </w:t>
      </w:r>
      <w:hyperlink w:history="true" w:anchor="_bookmark210">
        <w:r>
          <w:rPr>
            <w:rFonts w:ascii="Times New Roman" w:eastAsia="Times New Roman"/>
            <w:color w:val="0000FF"/>
          </w:rPr>
          <w:t>Strickson</w:t>
        </w:r>
        <w:r>
          <w:rPr>
            <w:rFonts w:ascii="Times New Roman" w:eastAsia="Times New Roman"/>
            <w:color w:val="0000FF"/>
            <w:spacing w:val="-15"/>
          </w:rPr>
          <w:t> </w:t>
        </w:r>
        <w:r>
          <w:rPr>
            <w:rFonts w:ascii="Times New Roman" w:eastAsia="Times New Roman"/>
            <w:color w:val="0000FF"/>
          </w:rPr>
          <w:t>et al</w:t>
        </w:r>
        <w:r>
          <w:rPr>
            <w:rFonts w:ascii="Times New Roman" w:eastAsia="Times New Roman"/>
            <w:color w:val="0000FF"/>
            <w:spacing w:val="24"/>
          </w:rPr>
          <w:t> </w:t>
        </w:r>
        <w:r>
          <w:rPr>
            <w:rFonts w:ascii="Times New Roman" w:eastAsia="Times New Roman"/>
            <w:color w:val="0000FF"/>
          </w:rPr>
          <w:t>2022</w:t>
        </w:r>
      </w:hyperlink>
      <w:r>
        <w:rPr/>
        <w:t>）。</w:t>
      </w:r>
      <w:r>
        <w:rPr>
          <w:rFonts w:ascii="Times New Roman" w:eastAsia="Times New Roman"/>
        </w:rPr>
        <w:t>tozorakimab</w:t>
      </w:r>
      <w:r>
        <w:rPr>
          <w:rFonts w:ascii="Times New Roman" w:eastAsia="Times New Roman"/>
          <w:spacing w:val="-12"/>
        </w:rPr>
        <w:t> </w:t>
      </w:r>
      <w:r>
        <w:rPr>
          <w:spacing w:val="-6"/>
        </w:rPr>
        <w:t>不能结合 </w:t>
      </w:r>
      <w:r>
        <w:rPr>
          <w:rFonts w:ascii="Times New Roman" w:eastAsia="Times New Roman"/>
        </w:rPr>
        <w:t>IL-33</w:t>
      </w:r>
      <w:r>
        <w:rPr>
          <w:rFonts w:ascii="Times New Roman" w:eastAsia="Times New Roman"/>
          <w:vertAlign w:val="superscript"/>
        </w:rPr>
        <w:t>ox</w:t>
      </w:r>
      <w:r>
        <w:rPr>
          <w:spacing w:val="-5"/>
          <w:vertAlign w:val="baseline"/>
        </w:rPr>
        <w:t>，但可阻止 </w:t>
      </w:r>
      <w:r>
        <w:rPr>
          <w:rFonts w:ascii="Times New Roman" w:eastAsia="Times New Roman"/>
          <w:vertAlign w:val="baseline"/>
        </w:rPr>
        <w:t>IL-33</w:t>
      </w:r>
      <w:r>
        <w:rPr>
          <w:rFonts w:ascii="Times New Roman" w:eastAsia="Times New Roman"/>
          <w:spacing w:val="-13"/>
          <w:vertAlign w:val="baseline"/>
        </w:rPr>
        <w:t> </w:t>
      </w:r>
      <w:r>
        <w:rPr>
          <w:vertAlign w:val="baseline"/>
        </w:rPr>
        <w:t>氧化和阻断通</w:t>
      </w:r>
      <w:r>
        <w:rPr>
          <w:spacing w:val="15"/>
          <w:vertAlign w:val="baseline"/>
        </w:rPr>
        <w:t>过 </w:t>
      </w:r>
      <w:r>
        <w:rPr>
          <w:rFonts w:ascii="Times New Roman" w:eastAsia="Times New Roman"/>
          <w:vertAlign w:val="baseline"/>
        </w:rPr>
        <w:t>RAGE/EGFR</w:t>
      </w:r>
      <w:r>
        <w:rPr>
          <w:rFonts w:ascii="Times New Roman" w:eastAsia="Times New Roman"/>
          <w:spacing w:val="62"/>
          <w:vertAlign w:val="baseline"/>
        </w:rPr>
        <w:t> </w:t>
      </w:r>
      <w:r>
        <w:rPr>
          <w:spacing w:val="6"/>
          <w:vertAlign w:val="baseline"/>
        </w:rPr>
        <w:t>复合物的 </w:t>
      </w:r>
      <w:r>
        <w:rPr>
          <w:rFonts w:ascii="Times New Roman" w:eastAsia="Times New Roman"/>
          <w:vertAlign w:val="baseline"/>
        </w:rPr>
        <w:t>IL-33</w:t>
      </w:r>
      <w:r>
        <w:rPr>
          <w:rFonts w:ascii="Times New Roman" w:eastAsia="Times New Roman"/>
          <w:vertAlign w:val="superscript"/>
        </w:rPr>
        <w:t>ox</w:t>
      </w:r>
      <w:r>
        <w:rPr>
          <w:rFonts w:ascii="Times New Roman" w:eastAsia="Times New Roman"/>
          <w:spacing w:val="25"/>
          <w:vertAlign w:val="baseline"/>
        </w:rPr>
        <w:t> </w:t>
      </w:r>
      <w:r>
        <w:rPr>
          <w:spacing w:val="2"/>
          <w:vertAlign w:val="baseline"/>
        </w:rPr>
        <w:t>依赖性信号传导，并模拟可溶性 </w:t>
      </w:r>
      <w:r>
        <w:rPr>
          <w:rFonts w:ascii="Times New Roman" w:eastAsia="Times New Roman"/>
          <w:vertAlign w:val="baseline"/>
        </w:rPr>
        <w:t>ST2</w:t>
      </w:r>
      <w:r>
        <w:rPr>
          <w:rFonts w:ascii="Times New Roman" w:eastAsia="Times New Roman"/>
          <w:spacing w:val="62"/>
          <w:vertAlign w:val="baseline"/>
        </w:rPr>
        <w:t> </w:t>
      </w:r>
      <w:r>
        <w:rPr>
          <w:spacing w:val="-3"/>
          <w:vertAlign w:val="baseline"/>
        </w:rPr>
        <w:t>的作用。</w:t>
      </w:r>
    </w:p>
    <w:p>
      <w:pPr>
        <w:spacing w:after="0" w:line="276" w:lineRule="auto"/>
        <w:jc w:val="both"/>
        <w:sectPr>
          <w:pgSz w:w="11910" w:h="16840"/>
          <w:pgMar w:header="590" w:footer="784" w:top="1340" w:bottom="980" w:left="1480" w:right="1080"/>
        </w:sectPr>
      </w:pPr>
    </w:p>
    <w:p>
      <w:pPr>
        <w:pStyle w:val="BodyText"/>
        <w:spacing w:line="276" w:lineRule="auto" w:before="88"/>
        <w:ind w:right="357"/>
        <w:jc w:val="both"/>
      </w:pPr>
      <w:r>
        <w:rPr>
          <w:rFonts w:ascii="Times New Roman" w:eastAsia="Times New Roman"/>
          <w:spacing w:val="-2"/>
        </w:rPr>
        <w:t>tozorakimab </w:t>
      </w:r>
      <w:r>
        <w:rPr>
          <w:spacing w:val="-11"/>
        </w:rPr>
        <w:t>抑制 </w:t>
      </w:r>
      <w:r>
        <w:rPr>
          <w:rFonts w:ascii="Times New Roman" w:eastAsia="Times New Roman"/>
          <w:spacing w:val="-2"/>
        </w:rPr>
        <w:t>IL-33</w:t>
      </w:r>
      <w:r>
        <w:rPr>
          <w:rFonts w:ascii="Times New Roman" w:eastAsia="Times New Roman"/>
          <w:spacing w:val="-2"/>
          <w:vertAlign w:val="superscript"/>
        </w:rPr>
        <w:t>ox</w:t>
      </w:r>
      <w:r>
        <w:rPr>
          <w:rFonts w:ascii="Times New Roman" w:eastAsia="Times New Roman"/>
          <w:spacing w:val="-13"/>
          <w:vertAlign w:val="baseline"/>
        </w:rPr>
        <w:t> </w:t>
      </w:r>
      <w:r>
        <w:rPr>
          <w:spacing w:val="-2"/>
          <w:vertAlign w:val="baseline"/>
        </w:rPr>
        <w:t>信号传导可改善气道上皮修复功能，并逆转呼吸系统疾病的</w:t>
      </w:r>
      <w:r>
        <w:rPr>
          <w:vertAlign w:val="baseline"/>
        </w:rPr>
        <w:t>气道上皮功能障碍，包括粘液过度分泌（</w:t>
      </w:r>
      <w:hyperlink w:history="true" w:anchor="_bookmark210">
        <w:r>
          <w:rPr>
            <w:rFonts w:ascii="Times New Roman" w:eastAsia="Times New Roman"/>
            <w:color w:val="0000FF"/>
            <w:vertAlign w:val="baseline"/>
          </w:rPr>
          <w:t>Strickson et al 2022</w:t>
        </w:r>
      </w:hyperlink>
      <w:r>
        <w:rPr>
          <w:color w:val="0000FF"/>
          <w:vertAlign w:val="baseline"/>
        </w:rPr>
        <w:t>；</w:t>
      </w:r>
      <w:hyperlink w:history="true" w:anchor="_bookmark203">
        <w:r>
          <w:rPr>
            <w:rFonts w:ascii="Times New Roman" w:eastAsia="Times New Roman"/>
            <w:color w:val="0000FF"/>
            <w:vertAlign w:val="baseline"/>
          </w:rPr>
          <w:t>Scott et al 2022</w:t>
        </w:r>
      </w:hyperlink>
      <w:r>
        <w:rPr>
          <w:vertAlign w:val="baseline"/>
        </w:rPr>
        <w:t>）。</w:t>
      </w:r>
    </w:p>
    <w:p>
      <w:pPr>
        <w:pStyle w:val="BodyText"/>
        <w:spacing w:line="276" w:lineRule="auto" w:before="239"/>
        <w:ind w:right="357" w:firstLine="480"/>
        <w:jc w:val="both"/>
      </w:pPr>
      <w:r>
        <w:rPr/>
        <w:t>中和 </w:t>
      </w:r>
      <w:r>
        <w:rPr>
          <w:rFonts w:ascii="Times New Roman" w:eastAsia="Times New Roman"/>
        </w:rPr>
        <w:t>IL-33 </w:t>
      </w:r>
      <w:r>
        <w:rPr/>
        <w:t>可能会打破炎症性损伤的循环，使气道上皮细胞得以修复。近期临</w:t>
      </w:r>
      <w:r>
        <w:rPr>
          <w:spacing w:val="-2"/>
        </w:rPr>
        <w:t>床数据表明，在优化维持疗法的基础上抑制 </w:t>
      </w:r>
      <w:r>
        <w:rPr>
          <w:rFonts w:ascii="Times New Roman" w:eastAsia="Times New Roman"/>
        </w:rPr>
        <w:t>IL-33 </w:t>
      </w:r>
      <w:r>
        <w:rPr>
          <w:spacing w:val="-3"/>
        </w:rPr>
        <w:t>对减少中度至重度 </w:t>
      </w:r>
      <w:r>
        <w:rPr>
          <w:rFonts w:ascii="Times New Roman" w:eastAsia="Times New Roman"/>
        </w:rPr>
        <w:t>COPD </w:t>
      </w:r>
      <w:r>
        <w:rPr/>
        <w:t>急性加重具有显著的获益作用（</w:t>
      </w:r>
      <w:hyperlink w:history="true" w:anchor="_bookmark197">
        <w:r>
          <w:rPr>
            <w:rFonts w:ascii="Times New Roman" w:eastAsia="Times New Roman"/>
            <w:color w:val="0000FF"/>
          </w:rPr>
          <w:t>Rabe et al 2021</w:t>
        </w:r>
      </w:hyperlink>
      <w:r>
        <w:rPr/>
        <w:t>）。</w:t>
      </w:r>
    </w:p>
    <w:p>
      <w:pPr>
        <w:pStyle w:val="BodyText"/>
        <w:spacing w:before="236"/>
        <w:ind w:left="701"/>
      </w:pPr>
      <w:r>
        <w:rPr>
          <w:spacing w:val="-13"/>
        </w:rPr>
        <w:t>有关 </w:t>
      </w:r>
      <w:r>
        <w:rPr>
          <w:rFonts w:ascii="Times New Roman" w:eastAsia="Times New Roman"/>
          <w:spacing w:val="-2"/>
        </w:rPr>
        <w:t>tozorakimab</w:t>
      </w:r>
      <w:r>
        <w:rPr>
          <w:rFonts w:ascii="Times New Roman" w:eastAsia="Times New Roman"/>
          <w:spacing w:val="9"/>
        </w:rPr>
        <w:t> </w:t>
      </w:r>
      <w:r>
        <w:rPr>
          <w:spacing w:val="-4"/>
        </w:rPr>
        <w:t>的化学、药理学、作用机制和安全性的详细介绍，请见 </w:t>
      </w:r>
      <w:r>
        <w:rPr>
          <w:rFonts w:ascii="Times New Roman" w:eastAsia="Times New Roman"/>
          <w:spacing w:val="-2"/>
        </w:rPr>
        <w:t>IB</w:t>
      </w:r>
      <w:r>
        <w:rPr>
          <w:spacing w:val="-10"/>
        </w:rPr>
        <w:t>。</w:t>
      </w:r>
    </w:p>
    <w:p>
      <w:pPr>
        <w:pStyle w:val="Heading1"/>
        <w:numPr>
          <w:ilvl w:val="1"/>
          <w:numId w:val="3"/>
        </w:numPr>
        <w:tabs>
          <w:tab w:pos="1355" w:val="left" w:leader="none"/>
        </w:tabs>
        <w:spacing w:line="240" w:lineRule="auto" w:before="287" w:after="0"/>
        <w:ind w:left="1355" w:right="0" w:hanging="1134"/>
        <w:jc w:val="left"/>
      </w:pPr>
      <w:bookmarkStart w:name="2.3 获益/风险评估" w:id="28"/>
      <w:bookmarkEnd w:id="28"/>
      <w:r>
        <w:rPr>
          <w:b w:val="0"/>
        </w:rPr>
      </w:r>
      <w:bookmarkStart w:name="_bookmark15" w:id="29"/>
      <w:bookmarkEnd w:id="29"/>
      <w:r>
        <w:rPr>
          <w:b w:val="0"/>
        </w:rPr>
      </w:r>
      <w:r>
        <w:rPr>
          <w:spacing w:val="-2"/>
        </w:rPr>
        <w:t>获益</w:t>
      </w:r>
      <w:r>
        <w:rPr>
          <w:rFonts w:ascii="Times New Roman" w:eastAsia="Times New Roman"/>
          <w:spacing w:val="-2"/>
        </w:rPr>
        <w:t>/</w:t>
      </w:r>
      <w:r>
        <w:rPr>
          <w:spacing w:val="-4"/>
        </w:rPr>
        <w:t>风险评估</w:t>
      </w:r>
    </w:p>
    <w:p>
      <w:pPr>
        <w:pStyle w:val="BodyText"/>
        <w:spacing w:line="276" w:lineRule="auto" w:before="118"/>
        <w:ind w:right="357" w:firstLine="480"/>
        <w:jc w:val="both"/>
      </w:pPr>
      <w:r>
        <w:rPr>
          <w:spacing w:val="3"/>
        </w:rPr>
        <w:t>为评估</w:t>
      </w:r>
      <w:r>
        <w:rPr>
          <w:rFonts w:ascii="Times New Roman" w:eastAsia="Times New Roman"/>
        </w:rPr>
        <w:t>tozorakimab</w:t>
      </w:r>
      <w:r>
        <w:rPr>
          <w:rFonts w:ascii="Times New Roman" w:eastAsia="Times New Roman"/>
          <w:spacing w:val="-15"/>
        </w:rPr>
        <w:t> </w:t>
      </w:r>
      <w:r>
        <w:rPr/>
        <w:t>的临床获益</w:t>
      </w:r>
      <w:r>
        <w:rPr>
          <w:rFonts w:ascii="Times New Roman" w:eastAsia="Times New Roman"/>
        </w:rPr>
        <w:t>/</w:t>
      </w:r>
      <w:r>
        <w:rPr/>
        <w:t>风险平衡，考虑了非临床数据和临床数据，也对</w:t>
      </w:r>
      <w:r>
        <w:rPr>
          <w:spacing w:val="-2"/>
        </w:rPr>
        <w:t>正在开发用于治疗 </w:t>
      </w:r>
      <w:r>
        <w:rPr>
          <w:rFonts w:ascii="Times New Roman" w:eastAsia="Times New Roman"/>
        </w:rPr>
        <w:t>COPD </w:t>
      </w:r>
      <w:r>
        <w:rPr>
          <w:spacing w:val="-9"/>
        </w:rPr>
        <w:t>的 </w:t>
      </w:r>
      <w:r>
        <w:rPr>
          <w:rFonts w:ascii="Times New Roman" w:eastAsia="Times New Roman"/>
        </w:rPr>
        <w:t>mAb </w:t>
      </w:r>
      <w:r>
        <w:rPr/>
        <w:t>的可用信息进行了审查。</w:t>
      </w:r>
    </w:p>
    <w:p>
      <w:pPr>
        <w:pStyle w:val="BodyText"/>
        <w:spacing w:before="239"/>
        <w:ind w:left="701"/>
      </w:pPr>
      <w:r>
        <w:rPr>
          <w:spacing w:val="-13"/>
        </w:rPr>
        <w:t>有关 </w:t>
      </w:r>
      <w:r>
        <w:rPr>
          <w:rFonts w:ascii="Times New Roman" w:eastAsia="Times New Roman"/>
          <w:spacing w:val="-2"/>
        </w:rPr>
        <w:t>tozorakimab</w:t>
      </w:r>
      <w:r>
        <w:rPr>
          <w:rFonts w:ascii="Times New Roman" w:eastAsia="Times New Roman"/>
          <w:spacing w:val="9"/>
        </w:rPr>
        <w:t> </w:t>
      </w:r>
      <w:r>
        <w:rPr>
          <w:spacing w:val="-4"/>
        </w:rPr>
        <w:t>的已知和预期获益与潜在风险的更多详细信息，请见 </w:t>
      </w:r>
      <w:r>
        <w:rPr>
          <w:rFonts w:ascii="Times New Roman" w:eastAsia="Times New Roman"/>
          <w:spacing w:val="-2"/>
        </w:rPr>
        <w:t>IB</w:t>
      </w:r>
      <w:r>
        <w:rPr>
          <w:spacing w:val="-10"/>
        </w:rPr>
        <w:t>。</w:t>
      </w:r>
    </w:p>
    <w:p>
      <w:pPr>
        <w:pStyle w:val="Heading2"/>
        <w:numPr>
          <w:ilvl w:val="2"/>
          <w:numId w:val="3"/>
        </w:numPr>
        <w:tabs>
          <w:tab w:pos="1373" w:val="left" w:leader="none"/>
        </w:tabs>
        <w:spacing w:line="240" w:lineRule="auto" w:before="285" w:after="0"/>
        <w:ind w:left="1373" w:right="0" w:hanging="1152"/>
        <w:jc w:val="left"/>
      </w:pPr>
      <w:bookmarkStart w:name="2.3.1 风险评估" w:id="30"/>
      <w:bookmarkEnd w:id="30"/>
      <w:r>
        <w:rPr>
          <w:b w:val="0"/>
        </w:rPr>
      </w:r>
      <w:bookmarkStart w:name="_bookmark16" w:id="31"/>
      <w:bookmarkEnd w:id="31"/>
      <w:r>
        <w:rPr>
          <w:b w:val="0"/>
        </w:rPr>
      </w:r>
      <w:r>
        <w:rPr>
          <w:spacing w:val="-4"/>
        </w:rPr>
        <w:t>风险评估</w:t>
      </w:r>
    </w:p>
    <w:p>
      <w:pPr>
        <w:pStyle w:val="Heading3"/>
        <w:spacing w:before="120"/>
        <w:jc w:val="both"/>
      </w:pPr>
      <w:r>
        <w:rPr>
          <w:rFonts w:ascii="Times New Roman" w:eastAsia="Times New Roman"/>
          <w:spacing w:val="-2"/>
        </w:rPr>
        <w:t>Tozorakimab</w:t>
      </w:r>
      <w:r>
        <w:rPr>
          <w:rFonts w:ascii="Times New Roman" w:eastAsia="Times New Roman"/>
          <w:spacing w:val="-7"/>
        </w:rPr>
        <w:t> </w:t>
      </w:r>
      <w:r>
        <w:rPr>
          <w:spacing w:val="-2"/>
        </w:rPr>
        <w:t>的潜在风险如下（</w:t>
      </w:r>
      <w:r>
        <w:rPr>
          <w:spacing w:val="-8"/>
        </w:rPr>
        <w:t>更多详细内容请见 </w:t>
      </w:r>
      <w:r>
        <w:rPr>
          <w:rFonts w:ascii="Times New Roman" w:eastAsia="Times New Roman"/>
          <w:spacing w:val="-4"/>
        </w:rPr>
        <w:t>IB</w:t>
      </w:r>
      <w:r>
        <w:rPr>
          <w:spacing w:val="-4"/>
        </w:rPr>
        <w:t>）：</w:t>
      </w:r>
    </w:p>
    <w:p>
      <w:pPr>
        <w:pStyle w:val="ListParagraph"/>
        <w:numPr>
          <w:ilvl w:val="0"/>
          <w:numId w:val="7"/>
        </w:numPr>
        <w:tabs>
          <w:tab w:pos="646" w:val="left" w:leader="none"/>
        </w:tabs>
        <w:spacing w:line="240" w:lineRule="auto" w:before="119" w:after="0"/>
        <w:ind w:left="646" w:right="356" w:hanging="425"/>
        <w:jc w:val="both"/>
        <w:rPr>
          <w:sz w:val="24"/>
        </w:rPr>
      </w:pPr>
      <w:r>
        <w:rPr>
          <w:rFonts w:ascii="Times New Roman" w:hAnsi="Times New Roman" w:eastAsia="Times New Roman"/>
          <w:sz w:val="24"/>
        </w:rPr>
        <w:t>IL-33/ST2</w:t>
      </w:r>
      <w:r>
        <w:rPr>
          <w:rFonts w:ascii="Times New Roman" w:hAnsi="Times New Roman" w:eastAsia="Times New Roman"/>
          <w:spacing w:val="-14"/>
          <w:sz w:val="24"/>
        </w:rPr>
        <w:t>  </w:t>
      </w:r>
      <w:r>
        <w:rPr>
          <w:spacing w:val="-1"/>
          <w:sz w:val="24"/>
        </w:rPr>
        <w:t>轴参与宿主对病原体的应答，然而，尚未确定 </w:t>
      </w:r>
      <w:r>
        <w:rPr>
          <w:rFonts w:ascii="Times New Roman" w:hAnsi="Times New Roman" w:eastAsia="Times New Roman"/>
          <w:sz w:val="24"/>
        </w:rPr>
        <w:t>I</w:t>
      </w:r>
      <w:r>
        <w:rPr>
          <w:rFonts w:ascii="Times New Roman" w:hAnsi="Times New Roman" w:eastAsia="Times New Roman"/>
          <w:spacing w:val="-1"/>
          <w:sz w:val="24"/>
        </w:rPr>
        <w:t>L</w:t>
      </w:r>
      <w:r>
        <w:rPr>
          <w:rFonts w:ascii="Times New Roman" w:hAnsi="Times New Roman" w:eastAsia="Times New Roman"/>
          <w:sz w:val="24"/>
        </w:rPr>
        <w:t>-33</w:t>
      </w:r>
      <w:r>
        <w:rPr>
          <w:rFonts w:ascii="Times New Roman" w:hAnsi="Times New Roman" w:eastAsia="Times New Roman"/>
          <w:spacing w:val="-14"/>
          <w:sz w:val="24"/>
        </w:rPr>
        <w:t>  </w:t>
      </w:r>
      <w:r>
        <w:rPr>
          <w:spacing w:val="-2"/>
          <w:sz w:val="24"/>
        </w:rPr>
        <w:t>抑制与严重感染</w:t>
      </w:r>
      <w:r>
        <w:rPr>
          <w:sz w:val="24"/>
        </w:rPr>
        <w:t>之间的关系。因此，严重感染（包括机会性感染）</w:t>
      </w:r>
      <w:r>
        <w:rPr>
          <w:spacing w:val="-10"/>
          <w:sz w:val="24"/>
        </w:rPr>
        <w:t>是 </w:t>
      </w:r>
      <w:r>
        <w:rPr>
          <w:rFonts w:ascii="Times New Roman" w:hAnsi="Times New Roman" w:eastAsia="Times New Roman"/>
          <w:sz w:val="24"/>
        </w:rPr>
        <w:t>tozorakimab</w:t>
      </w:r>
      <w:r>
        <w:rPr>
          <w:rFonts w:ascii="Times New Roman" w:hAnsi="Times New Roman" w:eastAsia="Times New Roman"/>
          <w:spacing w:val="20"/>
          <w:sz w:val="24"/>
        </w:rPr>
        <w:t> </w:t>
      </w:r>
      <w:r>
        <w:rPr>
          <w:spacing w:val="-3"/>
          <w:sz w:val="24"/>
        </w:rPr>
        <w:t>的理论风险。</w:t>
      </w:r>
      <w:r>
        <w:rPr>
          <w:spacing w:val="4"/>
          <w:sz w:val="24"/>
        </w:rPr>
        <w:t>风险最小化措施包括在前身研究中排除易患感染疾病</w:t>
      </w:r>
      <w:r>
        <w:rPr>
          <w:spacing w:val="5"/>
          <w:sz w:val="24"/>
        </w:rPr>
        <w:t>（</w:t>
      </w:r>
      <w:r>
        <w:rPr>
          <w:spacing w:val="3"/>
          <w:sz w:val="24"/>
        </w:rPr>
        <w:t>例如，已知的原发性或</w:t>
      </w:r>
      <w:r>
        <w:rPr>
          <w:spacing w:val="4"/>
          <w:sz w:val="24"/>
        </w:rPr>
        <w:t>继发性免疫缺陷综合征</w:t>
      </w:r>
      <w:r>
        <w:rPr>
          <w:spacing w:val="5"/>
          <w:sz w:val="24"/>
        </w:rPr>
        <w:t>）</w:t>
      </w:r>
      <w:r>
        <w:rPr>
          <w:spacing w:val="3"/>
          <w:sz w:val="24"/>
        </w:rPr>
        <w:t>或近期发生重度感染的受试者。在迄今为止报告的特</w:t>
      </w:r>
      <w:r>
        <w:rPr>
          <w:spacing w:val="-3"/>
          <w:sz w:val="24"/>
        </w:rPr>
        <w:t>应性皮炎和哮喘的 </w:t>
      </w:r>
      <w:r>
        <w:rPr>
          <w:rFonts w:ascii="Times New Roman" w:hAnsi="Times New Roman" w:eastAsia="Times New Roman"/>
          <w:sz w:val="24"/>
        </w:rPr>
        <w:t>I</w:t>
      </w:r>
      <w:r>
        <w:rPr>
          <w:rFonts w:ascii="Times New Roman" w:hAnsi="Times New Roman" w:eastAsia="Times New Roman"/>
          <w:spacing w:val="2"/>
          <w:sz w:val="24"/>
        </w:rPr>
        <w:t> </w:t>
      </w:r>
      <w:r>
        <w:rPr>
          <w:spacing w:val="-9"/>
          <w:sz w:val="24"/>
        </w:rPr>
        <w:t>期研究或 </w:t>
      </w:r>
      <w:r>
        <w:rPr>
          <w:rFonts w:ascii="Times New Roman" w:hAnsi="Times New Roman" w:eastAsia="Times New Roman"/>
          <w:sz w:val="24"/>
        </w:rPr>
        <w:t>II</w:t>
      </w:r>
      <w:r>
        <w:rPr>
          <w:rFonts w:ascii="Times New Roman" w:hAnsi="Times New Roman" w:eastAsia="Times New Roman"/>
          <w:spacing w:val="1"/>
          <w:sz w:val="24"/>
        </w:rPr>
        <w:t> </w:t>
      </w:r>
      <w:r>
        <w:rPr>
          <w:spacing w:val="-5"/>
          <w:sz w:val="24"/>
        </w:rPr>
        <w:t>期研究中，未观察到 </w:t>
      </w:r>
      <w:r>
        <w:rPr>
          <w:rFonts w:ascii="Times New Roman" w:hAnsi="Times New Roman" w:eastAsia="Times New Roman"/>
          <w:sz w:val="24"/>
        </w:rPr>
        <w:t>tozorakimab</w:t>
      </w:r>
      <w:r>
        <w:rPr>
          <w:rFonts w:ascii="Times New Roman" w:hAnsi="Times New Roman" w:eastAsia="Times New Roman"/>
          <w:spacing w:val="1"/>
          <w:sz w:val="24"/>
        </w:rPr>
        <w:t> </w:t>
      </w:r>
      <w:r>
        <w:rPr>
          <w:spacing w:val="-2"/>
          <w:sz w:val="24"/>
        </w:rPr>
        <w:t>给药后严重感</w:t>
      </w:r>
      <w:r>
        <w:rPr>
          <w:sz w:val="24"/>
        </w:rPr>
        <w:t>染或机会性感染发生率显著增加。</w:t>
      </w:r>
    </w:p>
    <w:p>
      <w:pPr>
        <w:pStyle w:val="BodyText"/>
        <w:spacing w:before="55"/>
        <w:ind w:left="646" w:right="357"/>
        <w:jc w:val="both"/>
      </w:pPr>
      <w:r>
        <w:rPr>
          <w:spacing w:val="-3"/>
        </w:rPr>
        <w:t>注：申办者目前尚未获知 </w:t>
      </w:r>
      <w:r>
        <w:rPr>
          <w:rFonts w:ascii="Times New Roman" w:eastAsia="Times New Roman"/>
        </w:rPr>
        <w:t>IL-33</w:t>
      </w:r>
      <w:r>
        <w:rPr>
          <w:rFonts w:ascii="Times New Roman" w:eastAsia="Times New Roman"/>
          <w:spacing w:val="-15"/>
        </w:rPr>
        <w:t> </w:t>
      </w:r>
      <w:r>
        <w:rPr>
          <w:spacing w:val="-15"/>
        </w:rPr>
        <w:t>或 </w:t>
      </w:r>
      <w:r>
        <w:rPr>
          <w:rFonts w:ascii="Times New Roman" w:eastAsia="Times New Roman"/>
        </w:rPr>
        <w:t>IL-33</w:t>
      </w:r>
      <w:r>
        <w:rPr>
          <w:rFonts w:ascii="Times New Roman" w:eastAsia="Times New Roman"/>
          <w:spacing w:val="-15"/>
        </w:rPr>
        <w:t> </w:t>
      </w:r>
      <w:r>
        <w:rPr>
          <w:spacing w:val="-8"/>
        </w:rPr>
        <w:t>抑制与 </w:t>
      </w:r>
      <w:r>
        <w:rPr>
          <w:rFonts w:ascii="Times New Roman" w:eastAsia="Times New Roman"/>
        </w:rPr>
        <w:t>SARS-CoV-2</w:t>
      </w:r>
      <w:r>
        <w:rPr>
          <w:rFonts w:ascii="Times New Roman" w:eastAsia="Times New Roman"/>
          <w:spacing w:val="-15"/>
        </w:rPr>
        <w:t> </w:t>
      </w:r>
      <w:r>
        <w:rPr>
          <w:spacing w:val="-8"/>
        </w:rPr>
        <w:t>感染和 </w:t>
      </w:r>
      <w:r>
        <w:rPr>
          <w:rFonts w:ascii="Times New Roman" w:eastAsia="Times New Roman"/>
        </w:rPr>
        <w:t>COVID-19</w:t>
      </w:r>
      <w:r>
        <w:rPr>
          <w:spacing w:val="-4"/>
        </w:rPr>
        <w:t>感染后疾病早期直接相关的任何证据。推测 </w:t>
      </w:r>
      <w:r>
        <w:rPr>
          <w:rFonts w:ascii="Times New Roman" w:eastAsia="Times New Roman"/>
          <w:spacing w:val="-2"/>
        </w:rPr>
        <w:t>IL-33</w:t>
      </w:r>
      <w:r>
        <w:rPr>
          <w:rFonts w:ascii="Times New Roman" w:eastAsia="Times New Roman"/>
          <w:spacing w:val="-13"/>
        </w:rPr>
        <w:t> </w:t>
      </w:r>
      <w:r>
        <w:rPr>
          <w:spacing w:val="-6"/>
        </w:rPr>
        <w:t>抑制可能对重度 </w:t>
      </w:r>
      <w:r>
        <w:rPr>
          <w:rFonts w:ascii="Times New Roman" w:eastAsia="Times New Roman"/>
          <w:spacing w:val="-2"/>
        </w:rPr>
        <w:t>COVID-19</w:t>
      </w:r>
      <w:r>
        <w:rPr>
          <w:rFonts w:ascii="Times New Roman" w:eastAsia="Times New Roman"/>
          <w:spacing w:val="-11"/>
        </w:rPr>
        <w:t> </w:t>
      </w:r>
      <w:r>
        <w:rPr>
          <w:spacing w:val="-2"/>
        </w:rPr>
        <w:t>疾</w:t>
      </w:r>
      <w:r>
        <w:rPr/>
        <w:t>病后期、炎症阶段有益（</w:t>
      </w:r>
      <w:hyperlink w:history="true" w:anchor="_bookmark207">
        <w:r>
          <w:rPr>
            <w:rFonts w:ascii="Times New Roman" w:eastAsia="Times New Roman"/>
            <w:color w:val="0000FF"/>
          </w:rPr>
          <w:t>Stanczak</w:t>
        </w:r>
        <w:r>
          <w:rPr>
            <w:rFonts w:ascii="Times New Roman" w:eastAsia="Times New Roman"/>
            <w:color w:val="0000FF"/>
            <w:spacing w:val="-15"/>
          </w:rPr>
          <w:t> </w:t>
        </w:r>
        <w:r>
          <w:rPr>
            <w:rFonts w:ascii="Times New Roman" w:eastAsia="Times New Roman"/>
            <w:color w:val="0000FF"/>
          </w:rPr>
          <w:t>et</w:t>
        </w:r>
        <w:r>
          <w:rPr>
            <w:rFonts w:ascii="Times New Roman" w:eastAsia="Times New Roman"/>
            <w:color w:val="0000FF"/>
            <w:spacing w:val="-15"/>
          </w:rPr>
          <w:t> </w:t>
        </w:r>
        <w:r>
          <w:rPr>
            <w:rFonts w:ascii="Times New Roman" w:eastAsia="Times New Roman"/>
            <w:color w:val="0000FF"/>
          </w:rPr>
          <w:t>al</w:t>
        </w:r>
        <w:r>
          <w:rPr>
            <w:rFonts w:ascii="Times New Roman" w:eastAsia="Times New Roman"/>
            <w:color w:val="0000FF"/>
            <w:spacing w:val="-15"/>
          </w:rPr>
          <w:t> </w:t>
        </w:r>
        <w:r>
          <w:rPr>
            <w:rFonts w:ascii="Times New Roman" w:eastAsia="Times New Roman"/>
            <w:color w:val="0000FF"/>
          </w:rPr>
          <w:t>2021</w:t>
        </w:r>
      </w:hyperlink>
      <w:r>
        <w:rPr/>
        <w:t>）</w:t>
      </w:r>
      <w:r>
        <w:rPr>
          <w:spacing w:val="-5"/>
        </w:rPr>
        <w:t>。还应遵循与 </w:t>
      </w:r>
      <w:r>
        <w:rPr>
          <w:rFonts w:ascii="Times New Roman" w:eastAsia="Times New Roman"/>
        </w:rPr>
        <w:t>COVID-19</w:t>
      </w:r>
      <w:r>
        <w:rPr>
          <w:rFonts w:ascii="Times New Roman" w:eastAsia="Times New Roman"/>
          <w:spacing w:val="-15"/>
        </w:rPr>
        <w:t> </w:t>
      </w:r>
      <w:r>
        <w:rPr/>
        <w:t>相关的当</w:t>
      </w:r>
      <w:r>
        <w:rPr>
          <w:spacing w:val="-2"/>
        </w:rPr>
        <w:t>地及国家指南规定的任何其他感染控制措施。</w:t>
      </w:r>
    </w:p>
    <w:p>
      <w:pPr>
        <w:pStyle w:val="ListParagraph"/>
        <w:numPr>
          <w:ilvl w:val="0"/>
          <w:numId w:val="7"/>
        </w:numPr>
        <w:tabs>
          <w:tab w:pos="646" w:val="left" w:leader="none"/>
        </w:tabs>
        <w:spacing w:line="240" w:lineRule="auto" w:before="57" w:after="0"/>
        <w:ind w:left="646" w:right="358" w:hanging="425"/>
        <w:jc w:val="both"/>
        <w:rPr>
          <w:sz w:val="24"/>
        </w:rPr>
      </w:pPr>
      <w:r>
        <w:rPr>
          <w:spacing w:val="-3"/>
          <w:sz w:val="24"/>
        </w:rPr>
        <w:t>认为心力衰竭进展是 </w:t>
      </w:r>
      <w:r>
        <w:rPr>
          <w:rFonts w:ascii="Times New Roman" w:hAnsi="Times New Roman" w:eastAsia="Times New Roman"/>
          <w:sz w:val="24"/>
        </w:rPr>
        <w:t>tozorakimab</w:t>
      </w:r>
      <w:r>
        <w:rPr>
          <w:rFonts w:ascii="Times New Roman" w:hAnsi="Times New Roman" w:eastAsia="Times New Roman"/>
          <w:spacing w:val="-4"/>
          <w:sz w:val="24"/>
        </w:rPr>
        <w:t> </w:t>
      </w:r>
      <w:r>
        <w:rPr>
          <w:sz w:val="24"/>
        </w:rPr>
        <w:t>的理论潜在风险。在心力衰竭和内皮细胞功能</w:t>
      </w:r>
      <w:r>
        <w:rPr>
          <w:sz w:val="24"/>
        </w:rPr>
        <w:t>异常动物模型中，现有临床前数据发现 </w:t>
      </w:r>
      <w:r>
        <w:rPr>
          <w:rFonts w:ascii="Times New Roman" w:hAnsi="Times New Roman" w:eastAsia="Times New Roman"/>
          <w:sz w:val="24"/>
        </w:rPr>
        <w:t>IL-33/ST2</w:t>
      </w:r>
      <w:r>
        <w:rPr>
          <w:rFonts w:ascii="Times New Roman" w:hAnsi="Times New Roman" w:eastAsia="Times New Roman"/>
          <w:spacing w:val="40"/>
          <w:sz w:val="24"/>
        </w:rPr>
        <w:t> </w:t>
      </w:r>
      <w:r>
        <w:rPr>
          <w:sz w:val="24"/>
        </w:rPr>
        <w:t>通路的保护和危害双重作用</w:t>
      </w:r>
    </w:p>
    <w:p>
      <w:pPr>
        <w:pStyle w:val="BodyText"/>
        <w:spacing w:line="310" w:lineRule="exact"/>
        <w:ind w:left="526"/>
        <w:jc w:val="both"/>
      </w:pPr>
      <w:r>
        <w:rPr/>
        <w:t>（</w:t>
      </w:r>
      <w:r>
        <w:rPr>
          <w:spacing w:val="-96"/>
        </w:rPr>
        <w:t> </w:t>
      </w:r>
      <w:hyperlink w:history="true" w:anchor="_bookmark194">
        <w:r>
          <w:rPr>
            <w:rFonts w:ascii="Times New Roman" w:eastAsia="Times New Roman"/>
            <w:color w:val="0000FF"/>
          </w:rPr>
          <w:t>Parikh</w:t>
        </w:r>
        <w:r>
          <w:rPr>
            <w:rFonts w:ascii="Times New Roman" w:eastAsia="Times New Roman"/>
            <w:color w:val="0000FF"/>
            <w:spacing w:val="49"/>
          </w:rPr>
          <w:t> </w:t>
        </w:r>
        <w:r>
          <w:rPr>
            <w:rFonts w:ascii="Times New Roman" w:eastAsia="Times New Roman"/>
            <w:color w:val="0000FF"/>
          </w:rPr>
          <w:t>et</w:t>
        </w:r>
        <w:r>
          <w:rPr>
            <w:rFonts w:ascii="Times New Roman" w:eastAsia="Times New Roman"/>
            <w:color w:val="0000FF"/>
            <w:spacing w:val="49"/>
          </w:rPr>
          <w:t> </w:t>
        </w:r>
        <w:r>
          <w:rPr>
            <w:rFonts w:ascii="Times New Roman" w:eastAsia="Times New Roman"/>
            <w:color w:val="0000FF"/>
          </w:rPr>
          <w:t>al</w:t>
        </w:r>
        <w:r>
          <w:rPr>
            <w:rFonts w:ascii="Times New Roman" w:eastAsia="Times New Roman"/>
            <w:color w:val="0000FF"/>
            <w:spacing w:val="50"/>
          </w:rPr>
          <w:t> </w:t>
        </w:r>
        <w:r>
          <w:rPr>
            <w:rFonts w:ascii="Times New Roman" w:eastAsia="Times New Roman"/>
            <w:color w:val="0000FF"/>
          </w:rPr>
          <w:t>2016</w:t>
        </w:r>
        <w:r>
          <w:rPr>
            <w:rFonts w:ascii="Times New Roman" w:eastAsia="Times New Roman"/>
            <w:color w:val="0000FF"/>
            <w:spacing w:val="-38"/>
          </w:rPr>
          <w:t> </w:t>
        </w:r>
      </w:hyperlink>
      <w:r>
        <w:rPr>
          <w:spacing w:val="24"/>
        </w:rPr>
        <w:t>）</w:t>
      </w:r>
      <w:r>
        <w:rPr>
          <w:spacing w:val="14"/>
        </w:rPr>
        <w:t>。在 </w:t>
      </w:r>
      <w:r>
        <w:rPr>
          <w:rFonts w:ascii="Times New Roman" w:eastAsia="Times New Roman"/>
        </w:rPr>
        <w:t>3</w:t>
      </w:r>
      <w:r>
        <w:rPr>
          <w:rFonts w:ascii="Times New Roman" w:eastAsia="Times New Roman"/>
          <w:spacing w:val="56"/>
        </w:rPr>
        <w:t> </w:t>
      </w:r>
      <w:r>
        <w:rPr>
          <w:spacing w:val="20"/>
        </w:rPr>
        <w:t>个单独的队列中，表达 </w:t>
      </w:r>
      <w:r>
        <w:rPr>
          <w:rFonts w:ascii="Times New Roman" w:eastAsia="Times New Roman"/>
        </w:rPr>
        <w:t>IL-33</w:t>
      </w:r>
      <w:r>
        <w:rPr>
          <w:rFonts w:ascii="Times New Roman" w:eastAsia="Times New Roman"/>
          <w:spacing w:val="55"/>
        </w:rPr>
        <w:t> </w:t>
      </w:r>
      <w:r>
        <w:rPr>
          <w:spacing w:val="18"/>
        </w:rPr>
        <w:t>功能缺失变异体</w:t>
      </w:r>
    </w:p>
    <w:p>
      <w:pPr>
        <w:pStyle w:val="BodyText"/>
        <w:ind w:left="646" w:right="358" w:hanging="120"/>
        <w:jc w:val="both"/>
      </w:pPr>
      <w:r>
        <w:rPr>
          <w:spacing w:val="8"/>
        </w:rPr>
        <w:t>（</w:t>
      </w:r>
      <w:r>
        <w:rPr>
          <w:rFonts w:ascii="Times New Roman" w:eastAsia="Times New Roman"/>
          <w:spacing w:val="-1"/>
        </w:rPr>
        <w:t>r</w:t>
      </w:r>
      <w:r>
        <w:rPr>
          <w:rFonts w:ascii="Times New Roman" w:eastAsia="Times New Roman"/>
        </w:rPr>
        <w:t>s146597587-</w:t>
      </w:r>
      <w:r>
        <w:rPr>
          <w:rFonts w:ascii="Times New Roman" w:eastAsia="Times New Roman"/>
          <w:spacing w:val="7"/>
        </w:rPr>
        <w:t>C</w:t>
      </w:r>
      <w:r>
        <w:rPr>
          <w:spacing w:val="8"/>
        </w:rPr>
        <w:t>）的个体不会增加发生心力衰竭风险</w:t>
      </w:r>
      <w:r>
        <w:rPr>
          <w:spacing w:val="9"/>
        </w:rPr>
        <w:t>（</w:t>
      </w:r>
      <w:r>
        <w:rPr>
          <w:spacing w:val="7"/>
        </w:rPr>
        <w:t>申办者未发表的观察结果），</w:t>
      </w:r>
      <w:r>
        <w:rPr>
          <w:spacing w:val="-4"/>
        </w:rPr>
        <w:t>这种罕见的 </w:t>
      </w:r>
      <w:r>
        <w:rPr>
          <w:rFonts w:ascii="Times New Roman" w:eastAsia="Times New Roman"/>
        </w:rPr>
        <w:t>I</w:t>
      </w:r>
      <w:r>
        <w:rPr>
          <w:rFonts w:ascii="Times New Roman" w:eastAsia="Times New Roman"/>
          <w:spacing w:val="-1"/>
        </w:rPr>
        <w:t>L</w:t>
      </w:r>
      <w:r>
        <w:rPr>
          <w:rFonts w:ascii="Times New Roman" w:eastAsia="Times New Roman"/>
        </w:rPr>
        <w:t>-</w:t>
      </w:r>
      <w:r>
        <w:rPr>
          <w:rFonts w:ascii="Times New Roman" w:eastAsia="Times New Roman"/>
          <w:spacing w:val="-2"/>
        </w:rPr>
        <w:t>3</w:t>
      </w:r>
      <w:r>
        <w:rPr>
          <w:rFonts w:ascii="Times New Roman" w:eastAsia="Times New Roman"/>
        </w:rPr>
        <w:t>3</w:t>
      </w:r>
      <w:r>
        <w:rPr>
          <w:rFonts w:ascii="Times New Roman" w:eastAsia="Times New Roman"/>
          <w:spacing w:val="-10"/>
        </w:rPr>
        <w:t> </w:t>
      </w:r>
      <w:r>
        <w:rPr>
          <w:spacing w:val="-1"/>
        </w:rPr>
        <w:t>变异体的纯合子未表明预期存活时间缩短或生育力降低</w:t>
      </w:r>
    </w:p>
    <w:p>
      <w:pPr>
        <w:pStyle w:val="BodyText"/>
        <w:ind w:left="646" w:right="356" w:hanging="120"/>
        <w:jc w:val="both"/>
      </w:pPr>
      <w:r>
        <w:rPr>
          <w:spacing w:val="-2"/>
        </w:rPr>
        <w:t>（</w:t>
      </w:r>
      <w:hyperlink w:history="true" w:anchor="_bookmark205">
        <w:r>
          <w:rPr>
            <w:rFonts w:ascii="Times New Roman" w:hAnsi="Times New Roman" w:eastAsia="Times New Roman"/>
            <w:color w:val="0000FF"/>
            <w:spacing w:val="-2"/>
          </w:rPr>
          <w:t>Smith</w:t>
        </w:r>
        <w:r>
          <w:rPr>
            <w:rFonts w:ascii="Times New Roman" w:hAnsi="Times New Roman" w:eastAsia="Times New Roman"/>
            <w:color w:val="0000FF"/>
            <w:spacing w:val="-13"/>
          </w:rPr>
          <w:t> </w:t>
        </w:r>
        <w:r>
          <w:rPr>
            <w:rFonts w:ascii="Times New Roman" w:hAnsi="Times New Roman" w:eastAsia="Times New Roman"/>
            <w:color w:val="0000FF"/>
            <w:spacing w:val="-2"/>
          </w:rPr>
          <w:t>et</w:t>
        </w:r>
        <w:r>
          <w:rPr>
            <w:rFonts w:ascii="Times New Roman" w:hAnsi="Times New Roman" w:eastAsia="Times New Roman"/>
            <w:color w:val="0000FF"/>
            <w:spacing w:val="-13"/>
          </w:rPr>
          <w:t> </w:t>
        </w:r>
        <w:r>
          <w:rPr>
            <w:rFonts w:ascii="Times New Roman" w:hAnsi="Times New Roman" w:eastAsia="Times New Roman"/>
            <w:color w:val="0000FF"/>
            <w:spacing w:val="-2"/>
          </w:rPr>
          <w:t>al</w:t>
        </w:r>
        <w:r>
          <w:rPr>
            <w:rFonts w:ascii="Times New Roman" w:hAnsi="Times New Roman" w:eastAsia="Times New Roman"/>
            <w:color w:val="0000FF"/>
            <w:spacing w:val="-13"/>
          </w:rPr>
          <w:t> </w:t>
        </w:r>
        <w:r>
          <w:rPr>
            <w:rFonts w:ascii="Times New Roman" w:hAnsi="Times New Roman" w:eastAsia="Times New Roman"/>
            <w:color w:val="0000FF"/>
            <w:spacing w:val="-2"/>
          </w:rPr>
          <w:t>2017</w:t>
        </w:r>
      </w:hyperlink>
      <w:r>
        <w:rPr>
          <w:spacing w:val="-2"/>
        </w:rPr>
        <w:t>）</w:t>
      </w:r>
      <w:r>
        <w:rPr>
          <w:spacing w:val="-6"/>
        </w:rPr>
        <w:t>。在已完成的 </w:t>
      </w:r>
      <w:r>
        <w:rPr>
          <w:rFonts w:ascii="Times New Roman" w:hAnsi="Times New Roman" w:eastAsia="Times New Roman"/>
          <w:spacing w:val="-2"/>
        </w:rPr>
        <w:t>tozorakimab</w:t>
      </w:r>
      <w:r>
        <w:rPr>
          <w:rFonts w:ascii="Times New Roman" w:hAnsi="Times New Roman" w:eastAsia="Times New Roman"/>
          <w:spacing w:val="-13"/>
        </w:rPr>
        <w:t> </w:t>
      </w:r>
      <w:r>
        <w:rPr>
          <w:rFonts w:ascii="Times New Roman" w:hAnsi="Times New Roman" w:eastAsia="Times New Roman"/>
          <w:spacing w:val="-2"/>
        </w:rPr>
        <w:t>Q2W</w:t>
      </w:r>
      <w:r>
        <w:rPr>
          <w:rFonts w:ascii="Times New Roman" w:hAnsi="Times New Roman" w:eastAsia="Times New Roman"/>
          <w:spacing w:val="-7"/>
        </w:rPr>
        <w:t> </w:t>
      </w:r>
      <w:r>
        <w:rPr>
          <w:rFonts w:ascii="Times New Roman" w:hAnsi="Times New Roman" w:eastAsia="Times New Roman"/>
          <w:spacing w:val="-2"/>
        </w:rPr>
        <w:t>I</w:t>
      </w:r>
      <w:r>
        <w:rPr>
          <w:rFonts w:ascii="Times New Roman" w:hAnsi="Times New Roman" w:eastAsia="Times New Roman"/>
          <w:spacing w:val="-3"/>
        </w:rPr>
        <w:t> </w:t>
      </w:r>
      <w:r>
        <w:rPr>
          <w:spacing w:val="-6"/>
        </w:rPr>
        <w:t>期研究或评价 </w:t>
      </w:r>
      <w:r>
        <w:rPr>
          <w:rFonts w:ascii="Times New Roman" w:hAnsi="Times New Roman" w:eastAsia="Times New Roman"/>
          <w:spacing w:val="-2"/>
        </w:rPr>
        <w:t>tozorakimab</w:t>
      </w:r>
      <w:r>
        <w:rPr>
          <w:rFonts w:ascii="Times New Roman" w:hAnsi="Times New Roman" w:eastAsia="Times New Roman"/>
          <w:spacing w:val="-5"/>
        </w:rPr>
        <w:t> </w:t>
      </w:r>
      <w:r>
        <w:rPr>
          <w:spacing w:val="-2"/>
        </w:rPr>
        <w:t>治</w:t>
      </w:r>
      <w:r>
        <w:rPr/>
        <w:t>疗特应性皮炎和哮喘的 </w:t>
      </w:r>
      <w:r>
        <w:rPr>
          <w:rFonts w:ascii="Times New Roman" w:hAnsi="Times New Roman" w:eastAsia="Times New Roman"/>
        </w:rPr>
        <w:t>II </w:t>
      </w:r>
      <w:r>
        <w:rPr/>
        <w:t>期研究的最终分析中，未发生心力衰竭事件。规避心力衰竭进展风险的措施包括：排除患有任何不稳定型心血管疾病、</w:t>
      </w:r>
      <w:r>
        <w:rPr>
          <w:rFonts w:ascii="Times New Roman" w:hAnsi="Times New Roman" w:eastAsia="Times New Roman"/>
        </w:rPr>
        <w:t>NYHA Ⅲ-Ⅳ</w:t>
      </w:r>
      <w:r>
        <w:rPr/>
        <w:t>级心力衰竭和</w:t>
      </w:r>
      <w:r>
        <w:rPr>
          <w:rFonts w:ascii="Times New Roman" w:hAnsi="Times New Roman" w:eastAsia="Times New Roman"/>
        </w:rPr>
        <w:t>/</w:t>
      </w:r>
      <w:r>
        <w:rPr>
          <w:spacing w:val="-5"/>
        </w:rPr>
        <w:t>或前身研究中 </w:t>
      </w:r>
      <w:r>
        <w:rPr>
          <w:rFonts w:ascii="Times New Roman" w:hAnsi="Times New Roman" w:eastAsia="Times New Roman"/>
        </w:rPr>
        <w:t>LVEF&lt;30%</w:t>
      </w:r>
      <w:r>
        <w:rPr>
          <w:spacing w:val="-3"/>
        </w:rPr>
        <w:t>的受试者，在心力衰竭 </w:t>
      </w:r>
      <w:r>
        <w:rPr>
          <w:rFonts w:ascii="Times New Roman" w:hAnsi="Times New Roman" w:eastAsia="Times New Roman"/>
        </w:rPr>
        <w:t>NYHAI-II</w:t>
      </w:r>
      <w:r>
        <w:rPr>
          <w:rFonts w:ascii="Times New Roman" w:hAnsi="Times New Roman" w:eastAsia="Times New Roman"/>
          <w:spacing w:val="-14"/>
        </w:rPr>
        <w:t> </w:t>
      </w:r>
      <w:r>
        <w:rPr/>
        <w:t>级和</w:t>
      </w:r>
      <w:r>
        <w:rPr>
          <w:rFonts w:ascii="Times New Roman" w:hAnsi="Times New Roman" w:eastAsia="Times New Roman"/>
        </w:rPr>
        <w:t>/</w:t>
      </w:r>
      <w:r>
        <w:rPr/>
        <w:t>或高风险心力衰竭受试者进行超声心动图监测，以及在整个研究期间进行 </w:t>
      </w:r>
      <w:r>
        <w:rPr>
          <w:rFonts w:ascii="Times New Roman" w:hAnsi="Times New Roman" w:eastAsia="Times New Roman"/>
        </w:rPr>
        <w:t>ECG</w:t>
      </w:r>
      <w:r>
        <w:rPr>
          <w:spacing w:val="-12"/>
        </w:rPr>
        <w:t>和 </w:t>
      </w:r>
      <w:r>
        <w:rPr>
          <w:rFonts w:ascii="Times New Roman" w:hAnsi="Times New Roman" w:eastAsia="Times New Roman"/>
        </w:rPr>
        <w:t>NT-proBNP </w:t>
      </w:r>
      <w:r>
        <w:rPr/>
        <w:t>监测。</w:t>
      </w:r>
    </w:p>
    <w:p>
      <w:pPr>
        <w:pStyle w:val="ListParagraph"/>
        <w:numPr>
          <w:ilvl w:val="0"/>
          <w:numId w:val="7"/>
        </w:numPr>
        <w:tabs>
          <w:tab w:pos="646" w:val="left" w:leader="none"/>
        </w:tabs>
        <w:spacing w:line="240" w:lineRule="auto" w:before="54" w:after="0"/>
        <w:ind w:left="646" w:right="358" w:hanging="425"/>
        <w:jc w:val="both"/>
        <w:rPr>
          <w:sz w:val="24"/>
        </w:rPr>
      </w:pPr>
      <w:r>
        <w:rPr>
          <w:sz w:val="24"/>
        </w:rPr>
        <w:t>严重超敏反应（</w:t>
      </w:r>
      <w:r>
        <w:rPr>
          <w:spacing w:val="-14"/>
          <w:sz w:val="24"/>
        </w:rPr>
        <w:t>包括 </w:t>
      </w:r>
      <w:r>
        <w:rPr>
          <w:rFonts w:ascii="Times New Roman" w:hAnsi="Times New Roman" w:eastAsia="Times New Roman"/>
          <w:sz w:val="24"/>
        </w:rPr>
        <w:t>1</w:t>
      </w:r>
      <w:r>
        <w:rPr>
          <w:rFonts w:ascii="Times New Roman" w:hAnsi="Times New Roman" w:eastAsia="Times New Roman"/>
          <w:spacing w:val="-1"/>
          <w:sz w:val="24"/>
        </w:rPr>
        <w:t>~</w:t>
      </w:r>
      <w:r>
        <w:rPr>
          <w:rFonts w:ascii="Times New Roman" w:hAnsi="Times New Roman" w:eastAsia="Times New Roman"/>
          <w:sz w:val="24"/>
        </w:rPr>
        <w:t>4</w:t>
      </w:r>
      <w:r>
        <w:rPr>
          <w:rFonts w:ascii="Times New Roman" w:hAnsi="Times New Roman" w:eastAsia="Times New Roman"/>
          <w:spacing w:val="4"/>
          <w:sz w:val="24"/>
        </w:rPr>
        <w:t> </w:t>
      </w:r>
      <w:r>
        <w:rPr>
          <w:sz w:val="24"/>
        </w:rPr>
        <w:t>型超敏反应）：</w:t>
      </w:r>
      <w:r>
        <w:rPr>
          <w:spacing w:val="-14"/>
          <w:sz w:val="24"/>
        </w:rPr>
        <w:t>由于 </w:t>
      </w:r>
      <w:r>
        <w:rPr>
          <w:rFonts w:ascii="Times New Roman" w:hAnsi="Times New Roman" w:eastAsia="Times New Roman"/>
          <w:sz w:val="24"/>
        </w:rPr>
        <w:t>mAb</w:t>
      </w:r>
      <w:r>
        <w:rPr>
          <w:rFonts w:ascii="Times New Roman" w:hAnsi="Times New Roman" w:eastAsia="Times New Roman"/>
          <w:spacing w:val="5"/>
          <w:sz w:val="24"/>
        </w:rPr>
        <w:t> </w:t>
      </w:r>
      <w:r>
        <w:rPr>
          <w:spacing w:val="-2"/>
          <w:sz w:val="24"/>
        </w:rPr>
        <w:t>为外源蛋白，因此其可能引</w:t>
      </w:r>
      <w:r>
        <w:rPr>
          <w:spacing w:val="3"/>
          <w:sz w:val="24"/>
        </w:rPr>
        <w:t>发超敏反应。为了规避严重超敏反应风险，将具有需要住院的重度过敏反应史的受试者从前身研究中排除。</w:t>
      </w:r>
    </w:p>
    <w:p>
      <w:pPr>
        <w:spacing w:after="0" w:line="240" w:lineRule="auto"/>
        <w:jc w:val="both"/>
        <w:rPr>
          <w:sz w:val="24"/>
        </w:rPr>
        <w:sectPr>
          <w:pgSz w:w="11910" w:h="16840"/>
          <w:pgMar w:header="590" w:footer="784" w:top="1340" w:bottom="980" w:left="1480" w:right="1080"/>
        </w:sectPr>
      </w:pPr>
    </w:p>
    <w:p>
      <w:pPr>
        <w:pStyle w:val="ListParagraph"/>
        <w:numPr>
          <w:ilvl w:val="0"/>
          <w:numId w:val="7"/>
        </w:numPr>
        <w:tabs>
          <w:tab w:pos="646" w:val="left" w:leader="none"/>
        </w:tabs>
        <w:spacing w:line="240" w:lineRule="auto" w:before="86" w:after="0"/>
        <w:ind w:left="646" w:right="357" w:hanging="425"/>
        <w:jc w:val="both"/>
        <w:rPr>
          <w:sz w:val="24"/>
        </w:rPr>
      </w:pPr>
      <w:r>
        <w:rPr>
          <w:spacing w:val="-7"/>
          <w:sz w:val="24"/>
        </w:rPr>
        <w:t>基于 </w:t>
      </w:r>
      <w:r>
        <w:rPr>
          <w:rFonts w:ascii="Times New Roman" w:hAnsi="Times New Roman" w:eastAsia="Times New Roman"/>
          <w:spacing w:val="-1"/>
          <w:sz w:val="24"/>
        </w:rPr>
        <w:t>S</w:t>
      </w:r>
      <w:r>
        <w:rPr>
          <w:rFonts w:ascii="Times New Roman" w:hAnsi="Times New Roman" w:eastAsia="Times New Roman"/>
          <w:sz w:val="24"/>
        </w:rPr>
        <w:t>C</w:t>
      </w:r>
      <w:r>
        <w:rPr>
          <w:rFonts w:ascii="Times New Roman" w:hAnsi="Times New Roman" w:eastAsia="Times New Roman"/>
          <w:spacing w:val="21"/>
          <w:sz w:val="24"/>
        </w:rPr>
        <w:t> </w:t>
      </w:r>
      <w:r>
        <w:rPr>
          <w:spacing w:val="-3"/>
          <w:sz w:val="24"/>
        </w:rPr>
        <w:t>给药途径并且 </w:t>
      </w:r>
      <w:r>
        <w:rPr>
          <w:rFonts w:ascii="Times New Roman" w:hAnsi="Times New Roman" w:eastAsia="Times New Roman"/>
          <w:sz w:val="24"/>
        </w:rPr>
        <w:t>tozora</w:t>
      </w:r>
      <w:r>
        <w:rPr>
          <w:rFonts w:ascii="Times New Roman" w:hAnsi="Times New Roman" w:eastAsia="Times New Roman"/>
          <w:spacing w:val="-1"/>
          <w:sz w:val="24"/>
        </w:rPr>
        <w:t>k</w:t>
      </w:r>
      <w:r>
        <w:rPr>
          <w:rFonts w:ascii="Times New Roman" w:hAnsi="Times New Roman" w:eastAsia="Times New Roman"/>
          <w:sz w:val="24"/>
        </w:rPr>
        <w:t>imab</w:t>
      </w:r>
      <w:r>
        <w:rPr>
          <w:rFonts w:ascii="Times New Roman" w:hAnsi="Times New Roman" w:eastAsia="Times New Roman"/>
          <w:spacing w:val="22"/>
          <w:sz w:val="24"/>
        </w:rPr>
        <w:t> </w:t>
      </w:r>
      <w:r>
        <w:rPr>
          <w:spacing w:val="-1"/>
          <w:sz w:val="24"/>
        </w:rPr>
        <w:t>在本质上属于外源性蛋白物质，故认为注射</w:t>
      </w:r>
      <w:r>
        <w:rPr>
          <w:spacing w:val="3"/>
          <w:sz w:val="24"/>
        </w:rPr>
        <w:t>部位反应是潜在风险。规避措施包括每次访视时对研究中心工作人员进行注射技术、注射部位轮换以及常规注射部位评估方面的指导。</w:t>
      </w:r>
    </w:p>
    <w:p>
      <w:pPr>
        <w:pStyle w:val="ListParagraph"/>
        <w:numPr>
          <w:ilvl w:val="0"/>
          <w:numId w:val="7"/>
        </w:numPr>
        <w:tabs>
          <w:tab w:pos="646" w:val="left" w:leader="none"/>
        </w:tabs>
        <w:spacing w:line="240" w:lineRule="auto" w:before="58" w:after="0"/>
        <w:ind w:left="646" w:right="357" w:hanging="425"/>
        <w:jc w:val="both"/>
        <w:rPr>
          <w:sz w:val="24"/>
        </w:rPr>
      </w:pPr>
      <w:r>
        <w:rPr>
          <w:spacing w:val="36"/>
          <w:sz w:val="24"/>
        </w:rPr>
        <w:t>在</w:t>
      </w:r>
      <w:r>
        <w:rPr>
          <w:rFonts w:ascii="Times New Roman" w:hAnsi="Times New Roman" w:eastAsia="Times New Roman"/>
          <w:sz w:val="24"/>
        </w:rPr>
        <w:t>tozora</w:t>
      </w:r>
      <w:r>
        <w:rPr>
          <w:rFonts w:ascii="Times New Roman" w:hAnsi="Times New Roman" w:eastAsia="Times New Roman"/>
          <w:spacing w:val="-1"/>
          <w:sz w:val="24"/>
        </w:rPr>
        <w:t>k</w:t>
      </w:r>
      <w:r>
        <w:rPr>
          <w:rFonts w:ascii="Times New Roman" w:hAnsi="Times New Roman" w:eastAsia="Times New Roman"/>
          <w:sz w:val="24"/>
        </w:rPr>
        <w:t>imab</w:t>
      </w:r>
      <w:r>
        <w:rPr>
          <w:rFonts w:ascii="Times New Roman" w:hAnsi="Times New Roman" w:eastAsia="Times New Roman"/>
          <w:spacing w:val="-31"/>
          <w:sz w:val="24"/>
        </w:rPr>
        <w:t> </w:t>
      </w:r>
      <w:r>
        <w:rPr>
          <w:spacing w:val="1"/>
          <w:sz w:val="24"/>
        </w:rPr>
        <w:t>的长期毒性临床前研究中观察到偶尔发生的小肠</w:t>
      </w:r>
      <w:r>
        <w:rPr>
          <w:rFonts w:ascii="Times New Roman" w:hAnsi="Times New Roman" w:eastAsia="Times New Roman"/>
          <w:spacing w:val="-1"/>
          <w:sz w:val="24"/>
        </w:rPr>
        <w:t>A</w:t>
      </w:r>
      <w:r>
        <w:rPr>
          <w:rFonts w:ascii="Times New Roman" w:hAnsi="Times New Roman" w:eastAsia="Times New Roman"/>
          <w:sz w:val="24"/>
        </w:rPr>
        <w:t>E</w:t>
      </w:r>
      <w:r>
        <w:rPr>
          <w:sz w:val="24"/>
        </w:rPr>
        <w:t>（结肠炎）</w:t>
      </w:r>
      <w:r>
        <w:rPr>
          <w:spacing w:val="-14"/>
          <w:sz w:val="24"/>
        </w:rPr>
        <w:t>。</w:t>
      </w:r>
      <w:r>
        <w:rPr>
          <w:spacing w:val="3"/>
          <w:sz w:val="24"/>
        </w:rPr>
        <w:t>为了规避任何潜在风险，近期有活动性炎症性肠病病史的受试者将从前身研究</w:t>
      </w:r>
      <w:r>
        <w:rPr>
          <w:spacing w:val="-2"/>
          <w:sz w:val="24"/>
        </w:rPr>
        <w:t>中排除。研究期间，应对胃肠道 </w:t>
      </w:r>
      <w:r>
        <w:rPr>
          <w:rFonts w:ascii="Times New Roman" w:hAnsi="Times New Roman" w:eastAsia="Times New Roman"/>
          <w:spacing w:val="-1"/>
          <w:sz w:val="24"/>
        </w:rPr>
        <w:t>A</w:t>
      </w:r>
      <w:r>
        <w:rPr>
          <w:rFonts w:ascii="Times New Roman" w:hAnsi="Times New Roman" w:eastAsia="Times New Roman"/>
          <w:sz w:val="24"/>
        </w:rPr>
        <w:t>E</w:t>
      </w:r>
      <w:r>
        <w:rPr>
          <w:rFonts w:ascii="Times New Roman" w:hAnsi="Times New Roman" w:eastAsia="Times New Roman"/>
          <w:spacing w:val="-13"/>
          <w:sz w:val="24"/>
        </w:rPr>
        <w:t> </w:t>
      </w:r>
      <w:r>
        <w:rPr>
          <w:sz w:val="24"/>
        </w:rPr>
        <w:t>密切进行安全性监测。</w:t>
      </w:r>
    </w:p>
    <w:p>
      <w:pPr>
        <w:pStyle w:val="BodyText"/>
        <w:spacing w:before="143"/>
        <w:ind w:left="0"/>
      </w:pPr>
    </w:p>
    <w:p>
      <w:pPr>
        <w:pStyle w:val="Heading3"/>
      </w:pPr>
      <w:r>
        <w:rPr>
          <w:spacing w:val="-5"/>
        </w:rPr>
        <w:t>研究操作风险如下：</w:t>
      </w:r>
    </w:p>
    <w:p>
      <w:pPr>
        <w:pStyle w:val="ListParagraph"/>
        <w:numPr>
          <w:ilvl w:val="0"/>
          <w:numId w:val="7"/>
        </w:numPr>
        <w:tabs>
          <w:tab w:pos="646" w:val="left" w:leader="none"/>
        </w:tabs>
        <w:spacing w:line="240" w:lineRule="auto" w:before="119" w:after="0"/>
        <w:ind w:left="646" w:right="357" w:hanging="425"/>
        <w:jc w:val="both"/>
        <w:rPr>
          <w:sz w:val="24"/>
        </w:rPr>
      </w:pPr>
      <w:r>
        <w:rPr>
          <w:spacing w:val="3"/>
          <w:sz w:val="24"/>
        </w:rPr>
        <w:t>用力肺功能测定可能产生具有传播呼吸道感染性疾病风险的气溶胶。风险针对对象是工作人员和周围的其他受试者，而不是接受操作的受试者。操作期间应遵循常规感染控制措施，包括按照中心供应商的说明在用力肺功能测定期间使</w:t>
      </w:r>
      <w:r>
        <w:rPr>
          <w:spacing w:val="6"/>
          <w:sz w:val="24"/>
        </w:rPr>
        <w:t>用过滤器。还应遵循与</w:t>
      </w:r>
      <w:r>
        <w:rPr>
          <w:rFonts w:ascii="Times New Roman" w:hAnsi="Times New Roman" w:eastAsia="Times New Roman"/>
          <w:spacing w:val="-1"/>
          <w:sz w:val="24"/>
        </w:rPr>
        <w:t>COVID</w:t>
      </w:r>
      <w:r>
        <w:rPr>
          <w:rFonts w:ascii="Times New Roman" w:hAnsi="Times New Roman" w:eastAsia="Times New Roman"/>
          <w:sz w:val="24"/>
        </w:rPr>
        <w:t>-19</w:t>
      </w:r>
      <w:r>
        <w:rPr>
          <w:rFonts w:ascii="Times New Roman" w:hAnsi="Times New Roman" w:eastAsia="Times New Roman"/>
          <w:spacing w:val="-33"/>
          <w:sz w:val="24"/>
        </w:rPr>
        <w:t> </w:t>
      </w:r>
      <w:r>
        <w:rPr>
          <w:spacing w:val="-1"/>
          <w:sz w:val="24"/>
        </w:rPr>
        <w:t>相关的当地及国家指南规定的任何其他感染控</w:t>
      </w:r>
      <w:r>
        <w:rPr>
          <w:sz w:val="24"/>
        </w:rPr>
        <w:t>制措施。</w:t>
      </w:r>
    </w:p>
    <w:p>
      <w:pPr>
        <w:pStyle w:val="ListParagraph"/>
        <w:numPr>
          <w:ilvl w:val="0"/>
          <w:numId w:val="7"/>
        </w:numPr>
        <w:tabs>
          <w:tab w:pos="646" w:val="left" w:leader="none"/>
        </w:tabs>
        <w:spacing w:line="240" w:lineRule="auto" w:before="55" w:after="0"/>
        <w:ind w:left="646" w:right="357" w:hanging="425"/>
        <w:jc w:val="both"/>
        <w:rPr>
          <w:sz w:val="24"/>
        </w:rPr>
      </w:pPr>
      <w:r>
        <w:rPr>
          <w:spacing w:val="-9"/>
          <w:sz w:val="24"/>
        </w:rPr>
        <w:t>低剂量 </w:t>
      </w:r>
      <w:r>
        <w:rPr>
          <w:rFonts w:ascii="Times New Roman" w:hAnsi="Times New Roman" w:eastAsia="Times New Roman"/>
          <w:spacing w:val="-2"/>
          <w:sz w:val="24"/>
        </w:rPr>
        <w:t>CT </w:t>
      </w:r>
      <w:r>
        <w:rPr>
          <w:spacing w:val="-2"/>
          <w:sz w:val="24"/>
        </w:rPr>
        <w:t>产生的电离辐射可能在吸烟史致癌风险升高的受试者中使癌症发生风</w:t>
      </w:r>
      <w:r>
        <w:rPr>
          <w:spacing w:val="-4"/>
          <w:sz w:val="24"/>
        </w:rPr>
        <w:t>险小幅增加。在入选研究前，将告知受试者与 </w:t>
      </w:r>
      <w:r>
        <w:rPr>
          <w:rFonts w:ascii="Times New Roman" w:hAnsi="Times New Roman" w:eastAsia="Times New Roman"/>
          <w:spacing w:val="-2"/>
          <w:sz w:val="24"/>
        </w:rPr>
        <w:t>CT </w:t>
      </w:r>
      <w:r>
        <w:rPr>
          <w:spacing w:val="-2"/>
          <w:sz w:val="24"/>
        </w:rPr>
        <w:t>相关的风险，而且并非研究中</w:t>
      </w:r>
      <w:r>
        <w:rPr>
          <w:spacing w:val="-5"/>
          <w:sz w:val="24"/>
        </w:rPr>
        <w:t>的每名受试者均接受 </w:t>
      </w:r>
      <w:r>
        <w:rPr>
          <w:rFonts w:ascii="Times New Roman" w:hAnsi="Times New Roman" w:eastAsia="Times New Roman"/>
          <w:spacing w:val="-2"/>
          <w:sz w:val="24"/>
        </w:rPr>
        <w:t>CT</w:t>
      </w:r>
      <w:r>
        <w:rPr>
          <w:spacing w:val="-2"/>
          <w:sz w:val="24"/>
        </w:rPr>
        <w:t>（</w:t>
      </w:r>
      <w:r>
        <w:rPr>
          <w:spacing w:val="-15"/>
          <w:sz w:val="24"/>
        </w:rPr>
        <w:t>第 </w:t>
      </w:r>
      <w:hyperlink w:history="true" w:anchor="_bookmark84">
        <w:r>
          <w:rPr>
            <w:rFonts w:ascii="Times New Roman" w:hAnsi="Times New Roman" w:eastAsia="Times New Roman"/>
            <w:color w:val="0000FF"/>
            <w:spacing w:val="-2"/>
            <w:sz w:val="24"/>
          </w:rPr>
          <w:t>8.1.4</w:t>
        </w:r>
      </w:hyperlink>
      <w:r>
        <w:rPr>
          <w:rFonts w:ascii="Times New Roman" w:hAnsi="Times New Roman" w:eastAsia="Times New Roman"/>
          <w:color w:val="0000FF"/>
          <w:spacing w:val="-13"/>
          <w:sz w:val="24"/>
        </w:rPr>
        <w:t> </w:t>
      </w:r>
      <w:r>
        <w:rPr>
          <w:spacing w:val="-2"/>
          <w:sz w:val="24"/>
        </w:rPr>
        <w:t>节）。根据</w:t>
      </w:r>
      <w:r>
        <w:rPr>
          <w:rFonts w:ascii="Times New Roman" w:hAnsi="Times New Roman" w:eastAsia="Times New Roman"/>
          <w:spacing w:val="-2"/>
          <w:sz w:val="24"/>
        </w:rPr>
        <w:t>ALARA</w:t>
      </w:r>
      <w:r>
        <w:rPr>
          <w:rFonts w:ascii="Times New Roman" w:hAnsi="Times New Roman" w:eastAsia="Times New Roman"/>
          <w:sz w:val="24"/>
        </w:rPr>
        <w:t> </w:t>
      </w:r>
      <w:r>
        <w:rPr>
          <w:spacing w:val="-2"/>
          <w:sz w:val="24"/>
        </w:rPr>
        <w:t>概念（尽可能低的合理实现），</w:t>
      </w:r>
      <w:r>
        <w:rPr>
          <w:spacing w:val="-6"/>
          <w:sz w:val="24"/>
        </w:rPr>
        <w:t>试验使用优化的 </w:t>
      </w:r>
      <w:r>
        <w:rPr>
          <w:rFonts w:ascii="Times New Roman" w:hAnsi="Times New Roman" w:eastAsia="Times New Roman"/>
          <w:spacing w:val="-2"/>
          <w:sz w:val="24"/>
        </w:rPr>
        <w:t>CT </w:t>
      </w:r>
      <w:r>
        <w:rPr>
          <w:spacing w:val="-2"/>
          <w:sz w:val="24"/>
        </w:rPr>
        <w:t>扫描方案，对每名受试者使用最低可能辐射剂量，以</w:t>
      </w:r>
      <w:r>
        <w:rPr>
          <w:spacing w:val="-3"/>
          <w:sz w:val="24"/>
        </w:rPr>
        <w:t>便为研究中进行的定量测量提供可接受的图像质量。有关 </w:t>
      </w:r>
      <w:r>
        <w:rPr>
          <w:rFonts w:ascii="Times New Roman" w:hAnsi="Times New Roman" w:eastAsia="Times New Roman"/>
          <w:spacing w:val="-2"/>
          <w:sz w:val="24"/>
        </w:rPr>
        <w:t>CT </w:t>
      </w:r>
      <w:r>
        <w:rPr>
          <w:spacing w:val="-2"/>
          <w:sz w:val="24"/>
        </w:rPr>
        <w:t>辐射剂量、成像风险和最佳成像操作的更多详细信息，请见研究放射学手册。</w:t>
      </w:r>
    </w:p>
    <w:p>
      <w:pPr>
        <w:pStyle w:val="ListParagraph"/>
        <w:numPr>
          <w:ilvl w:val="0"/>
          <w:numId w:val="7"/>
        </w:numPr>
        <w:tabs>
          <w:tab w:pos="646" w:val="left" w:leader="none"/>
        </w:tabs>
        <w:spacing w:line="240" w:lineRule="auto" w:before="57" w:after="0"/>
        <w:ind w:left="646" w:right="356" w:hanging="425"/>
        <w:jc w:val="both"/>
        <w:rPr>
          <w:sz w:val="24"/>
        </w:rPr>
      </w:pPr>
      <w:r>
        <w:rPr>
          <w:spacing w:val="3"/>
          <w:sz w:val="24"/>
        </w:rPr>
        <w:t>结合常规药物警戒活动的执行，风险最小化措施包括在前身研究和本研究中排</w:t>
      </w:r>
      <w:r>
        <w:rPr>
          <w:sz w:val="24"/>
        </w:rPr>
        <w:t>除对 </w:t>
      </w:r>
      <w:r>
        <w:rPr>
          <w:rFonts w:ascii="Times New Roman" w:hAnsi="Times New Roman" w:eastAsia="Times New Roman"/>
          <w:sz w:val="24"/>
        </w:rPr>
        <w:t>IP</w:t>
      </w:r>
      <w:r>
        <w:rPr>
          <w:rFonts w:ascii="Times New Roman" w:hAnsi="Times New Roman" w:eastAsia="Times New Roman"/>
          <w:spacing w:val="-14"/>
          <w:sz w:val="24"/>
        </w:rPr>
        <w:t>  </w:t>
      </w:r>
      <w:r>
        <w:rPr>
          <w:spacing w:val="-1"/>
          <w:sz w:val="24"/>
        </w:rPr>
        <w:t>制剂的任何成分过敏或反应、活动性恶性肿瘤或近期恶性肿瘤、不稳定</w:t>
      </w:r>
      <w:r>
        <w:rPr>
          <w:spacing w:val="1"/>
          <w:sz w:val="24"/>
        </w:rPr>
        <w:t>心血管合并症、炎症性肠病以及活动性重大感染的受试者。此外，非盲态</w:t>
      </w:r>
      <w:r>
        <w:rPr>
          <w:rFonts w:ascii="Times New Roman" w:hAnsi="Times New Roman" w:eastAsia="Times New Roman"/>
          <w:spacing w:val="-4"/>
          <w:sz w:val="24"/>
        </w:rPr>
        <w:t>IDM</w:t>
      </w:r>
      <w:r>
        <w:rPr>
          <w:rFonts w:ascii="Times New Roman" w:hAnsi="Times New Roman" w:eastAsia="Times New Roman"/>
          <w:spacing w:val="-4"/>
          <w:sz w:val="24"/>
        </w:rPr>
        <w:t>C</w:t>
      </w:r>
      <w:r>
        <w:rPr>
          <w:sz w:val="24"/>
        </w:rPr>
        <w:t>和盲态医学监查员将定期评价本研究的安全性数据（</w:t>
      </w:r>
      <w:r>
        <w:rPr>
          <w:spacing w:val="-1"/>
          <w:sz w:val="24"/>
        </w:rPr>
        <w:t>第 </w:t>
      </w:r>
      <w:hyperlink w:history="true" w:anchor="_bookmark147">
        <w:r>
          <w:rPr>
            <w:rFonts w:ascii="Times New Roman" w:hAnsi="Times New Roman" w:eastAsia="Times New Roman"/>
            <w:color w:val="0000FF"/>
            <w:sz w:val="24"/>
          </w:rPr>
          <w:t>9.6</w:t>
        </w:r>
      </w:hyperlink>
      <w:r>
        <w:rPr>
          <w:rFonts w:ascii="Times New Roman" w:hAnsi="Times New Roman" w:eastAsia="Times New Roman"/>
          <w:color w:val="0000FF"/>
          <w:spacing w:val="-13"/>
          <w:sz w:val="24"/>
        </w:rPr>
        <w:t>  </w:t>
      </w:r>
      <w:r>
        <w:rPr>
          <w:sz w:val="24"/>
        </w:rPr>
        <w:t>节）</w:t>
      </w:r>
      <w:r>
        <w:rPr>
          <w:spacing w:val="-1"/>
          <w:sz w:val="24"/>
        </w:rPr>
        <w:t>。此外，</w:t>
      </w:r>
      <w:r>
        <w:rPr>
          <w:rFonts w:ascii="Times New Roman" w:hAnsi="Times New Roman" w:eastAsia="Times New Roman"/>
          <w:spacing w:val="-3"/>
          <w:sz w:val="24"/>
        </w:rPr>
        <w:t>IDMC</w:t>
      </w:r>
      <w:r>
        <w:rPr>
          <w:sz w:val="24"/>
        </w:rPr>
        <w:t>将在整个前身研究期间定期评价安全性数据。</w:t>
      </w:r>
    </w:p>
    <w:p>
      <w:pPr>
        <w:pStyle w:val="BodyText"/>
        <w:spacing w:before="140"/>
        <w:ind w:left="0"/>
      </w:pPr>
    </w:p>
    <w:p>
      <w:pPr>
        <w:pStyle w:val="Heading2"/>
        <w:numPr>
          <w:ilvl w:val="2"/>
          <w:numId w:val="3"/>
        </w:numPr>
        <w:tabs>
          <w:tab w:pos="1373" w:val="left" w:leader="none"/>
        </w:tabs>
        <w:spacing w:line="240" w:lineRule="auto" w:before="1" w:after="0"/>
        <w:ind w:left="1373" w:right="0" w:hanging="1152"/>
        <w:jc w:val="left"/>
      </w:pPr>
      <w:bookmarkStart w:name="2.3.2 获益评估" w:id="32"/>
      <w:bookmarkEnd w:id="32"/>
      <w:r>
        <w:rPr>
          <w:b w:val="0"/>
        </w:rPr>
      </w:r>
      <w:bookmarkStart w:name="_bookmark17" w:id="33"/>
      <w:bookmarkEnd w:id="33"/>
      <w:r>
        <w:rPr>
          <w:b w:val="0"/>
        </w:rPr>
      </w:r>
      <w:r>
        <w:rPr>
          <w:spacing w:val="-4"/>
        </w:rPr>
        <w:t>获益评估</w:t>
      </w:r>
    </w:p>
    <w:p>
      <w:pPr>
        <w:pStyle w:val="BodyText"/>
        <w:spacing w:line="276" w:lineRule="auto" w:before="120"/>
        <w:ind w:right="117" w:firstLine="480"/>
      </w:pPr>
      <w:r>
        <w:rPr/>
        <w:t>本项</w:t>
      </w:r>
      <w:r>
        <w:rPr>
          <w:rFonts w:ascii="Times New Roman" w:hAnsi="Times New Roman" w:eastAsia="Times New Roman"/>
        </w:rPr>
        <w:t>Ⅲ</w:t>
      </w:r>
      <w:r>
        <w:rPr/>
        <w:t>期研究的目的是在完成前身研究 </w:t>
      </w:r>
      <w:r>
        <w:rPr>
          <w:rFonts w:ascii="Times New Roman" w:hAnsi="Times New Roman" w:eastAsia="Times New Roman"/>
        </w:rPr>
        <w:t>OBERON</w:t>
      </w:r>
      <w:r>
        <w:rPr>
          <w:rFonts w:ascii="Times New Roman" w:hAnsi="Times New Roman" w:eastAsia="Times New Roman"/>
          <w:spacing w:val="40"/>
        </w:rPr>
        <w:t> </w:t>
      </w:r>
      <w:r>
        <w:rPr/>
        <w:t>或 </w:t>
      </w:r>
      <w:r>
        <w:rPr>
          <w:rFonts w:ascii="Times New Roman" w:hAnsi="Times New Roman" w:eastAsia="Times New Roman"/>
        </w:rPr>
        <w:t>TITANIA</w:t>
      </w:r>
      <w:r>
        <w:rPr>
          <w:rFonts w:ascii="Times New Roman" w:hAnsi="Times New Roman" w:eastAsia="Times New Roman"/>
          <w:spacing w:val="40"/>
        </w:rPr>
        <w:t> </w:t>
      </w:r>
      <w:r>
        <w:rPr/>
        <w:t>治疗期的症状性 </w:t>
      </w:r>
      <w:r>
        <w:rPr>
          <w:rFonts w:ascii="Times New Roman" w:hAnsi="Times New Roman" w:eastAsia="Times New Roman"/>
        </w:rPr>
        <w:t>COPD </w:t>
      </w:r>
      <w:r>
        <w:rPr/>
        <w:t>受试者中评价 </w:t>
      </w:r>
      <w:r>
        <w:rPr>
          <w:rFonts w:ascii="Times New Roman" w:hAnsi="Times New Roman" w:eastAsia="Times New Roman"/>
        </w:rPr>
        <w:t>tozorakimab </w:t>
      </w:r>
      <w:r>
        <w:rPr/>
        <w:t>的长期有效性和安全性。要求受试者在整个研究期</w:t>
      </w:r>
      <w:r>
        <w:rPr/>
        <w:t> </w:t>
      </w:r>
      <w:r>
        <w:rPr>
          <w:spacing w:val="-3"/>
        </w:rPr>
        <w:t>间持续接受剂量稳定的 </w:t>
      </w:r>
      <w:r>
        <w:rPr>
          <w:rFonts w:ascii="Times New Roman" w:hAnsi="Times New Roman" w:eastAsia="Times New Roman"/>
        </w:rPr>
        <w:t>COPD</w:t>
      </w:r>
      <w:r>
        <w:rPr>
          <w:rFonts w:ascii="Times New Roman" w:hAnsi="Times New Roman" w:eastAsia="Times New Roman"/>
          <w:spacing w:val="16"/>
        </w:rPr>
        <w:t> </w:t>
      </w:r>
      <w:r>
        <w:rPr/>
        <w:t>维持治疗，以便将研究期间疾病恶化的风险降至最低，</w:t>
      </w:r>
      <w:r>
        <w:rPr>
          <w:spacing w:val="-7"/>
        </w:rPr>
        <w:t>并且将根据医学指征对 </w:t>
      </w:r>
      <w:r>
        <w:rPr>
          <w:rFonts w:ascii="Times New Roman" w:hAnsi="Times New Roman" w:eastAsia="Times New Roman"/>
          <w:spacing w:val="-2"/>
        </w:rPr>
        <w:t>COPD</w:t>
      </w:r>
      <w:r>
        <w:rPr>
          <w:rFonts w:ascii="Times New Roman" w:hAnsi="Times New Roman" w:eastAsia="Times New Roman"/>
          <w:spacing w:val="-5"/>
        </w:rPr>
        <w:t> </w:t>
      </w:r>
      <w:r>
        <w:rPr>
          <w:spacing w:val="-5"/>
        </w:rPr>
        <w:t>急性加重进行治疗。对于随机分配至 </w:t>
      </w:r>
      <w:r>
        <w:rPr>
          <w:rFonts w:ascii="Times New Roman" w:hAnsi="Times New Roman" w:eastAsia="Times New Roman"/>
          <w:spacing w:val="-2"/>
        </w:rPr>
        <w:t>tozorakimab </w:t>
      </w:r>
      <w:r>
        <w:rPr>
          <w:spacing w:val="-2"/>
        </w:rPr>
        <w:t>组的受</w:t>
      </w:r>
      <w:r>
        <w:rPr>
          <w:spacing w:val="-3"/>
        </w:rPr>
        <w:t>试者，其在减少 </w:t>
      </w:r>
      <w:r>
        <w:rPr>
          <w:rFonts w:ascii="Times New Roman" w:hAnsi="Times New Roman" w:eastAsia="Times New Roman"/>
        </w:rPr>
        <w:t>COPD </w:t>
      </w:r>
      <w:r>
        <w:rPr>
          <w:spacing w:val="-3"/>
        </w:rPr>
        <w:t>急性加重、改善 </w:t>
      </w:r>
      <w:r>
        <w:rPr>
          <w:rFonts w:ascii="Times New Roman" w:hAnsi="Times New Roman" w:eastAsia="Times New Roman"/>
        </w:rPr>
        <w:t>COPD </w:t>
      </w:r>
      <w:r>
        <w:rPr/>
        <w:t>症状以及健康相关生活质量方面存 在</w:t>
      </w:r>
      <w:r>
        <w:rPr>
          <w:spacing w:val="4"/>
        </w:rPr>
        <w:t>潜在获益。最近一项</w:t>
      </w:r>
      <w:r>
        <w:rPr>
          <w:rFonts w:ascii="Times New Roman" w:hAnsi="Times New Roman" w:eastAsia="Times New Roman"/>
        </w:rPr>
        <w:t>II</w:t>
      </w:r>
      <w:r>
        <w:rPr>
          <w:rFonts w:ascii="Times New Roman" w:hAnsi="Times New Roman" w:eastAsia="Times New Roman"/>
          <w:spacing w:val="-28"/>
        </w:rPr>
        <w:t> </w:t>
      </w:r>
      <w:r>
        <w:rPr/>
        <w:t>期临床试验表明，</w:t>
      </w:r>
      <w:r>
        <w:rPr>
          <w:rFonts w:ascii="Times New Roman" w:hAnsi="Times New Roman" w:eastAsia="Times New Roman"/>
        </w:rPr>
        <w:t>itepekimab</w:t>
      </w:r>
      <w:r>
        <w:rPr/>
        <w:t>（</w:t>
      </w:r>
      <w:r>
        <w:rPr>
          <w:spacing w:val="18"/>
        </w:rPr>
        <w:t>原名</w:t>
      </w:r>
      <w:r>
        <w:rPr>
          <w:rFonts w:ascii="Times New Roman" w:hAnsi="Times New Roman" w:eastAsia="Times New Roman"/>
        </w:rPr>
        <w:t>REGN3500/SAR440340</w:t>
      </w:r>
      <w:r>
        <w:rPr/>
        <w:t>；一种结合 </w:t>
      </w:r>
      <w:r>
        <w:rPr>
          <w:rFonts w:ascii="Times New Roman" w:hAnsi="Times New Roman" w:eastAsia="Times New Roman"/>
        </w:rPr>
        <w:t>IL-33</w:t>
      </w:r>
      <w:r>
        <w:rPr>
          <w:rFonts w:ascii="Times New Roman" w:hAnsi="Times New Roman" w:eastAsia="Times New Roman"/>
          <w:spacing w:val="40"/>
        </w:rPr>
        <w:t> </w:t>
      </w:r>
      <w:r>
        <w:rPr/>
        <w:t>的竞争性 </w:t>
      </w:r>
      <w:r>
        <w:rPr>
          <w:rFonts w:ascii="Times New Roman" w:hAnsi="Times New Roman" w:eastAsia="Times New Roman"/>
        </w:rPr>
        <w:t>mAb</w:t>
      </w:r>
      <w:r>
        <w:rPr/>
        <w:t>，作用机制与 </w:t>
      </w:r>
      <w:r>
        <w:rPr>
          <w:rFonts w:ascii="Times New Roman" w:hAnsi="Times New Roman" w:eastAsia="Times New Roman"/>
        </w:rPr>
        <w:t>tozorakimab</w:t>
      </w:r>
      <w:r>
        <w:rPr>
          <w:rFonts w:ascii="Times New Roman" w:hAnsi="Times New Roman" w:eastAsia="Times New Roman"/>
          <w:spacing w:val="40"/>
        </w:rPr>
        <w:t> </w:t>
      </w:r>
      <w:r>
        <w:rPr/>
        <w:t>非常相似）可明显减少 </w:t>
      </w:r>
      <w:r>
        <w:rPr>
          <w:rFonts w:ascii="Times New Roman" w:hAnsi="Times New Roman" w:eastAsia="Times New Roman"/>
          <w:position w:val="1"/>
        </w:rPr>
        <w:t>COPD</w:t>
      </w:r>
      <w:r>
        <w:rPr>
          <w:rFonts w:ascii="Times New Roman" w:hAnsi="Times New Roman" w:eastAsia="Times New Roman"/>
          <w:spacing w:val="20"/>
          <w:position w:val="1"/>
        </w:rPr>
        <w:t> </w:t>
      </w:r>
      <w:r>
        <w:rPr>
          <w:spacing w:val="14"/>
          <w:position w:val="1"/>
        </w:rPr>
        <w:t>急性加重并显著改善戒烟者的 </w:t>
      </w:r>
      <w:r>
        <w:rPr>
          <w:rFonts w:ascii="Times New Roman" w:hAnsi="Times New Roman" w:eastAsia="Times New Roman"/>
          <w:position w:val="1"/>
        </w:rPr>
        <w:t>FEV</w:t>
      </w:r>
      <w:r>
        <w:rPr>
          <w:rFonts w:ascii="Times New Roman" w:hAnsi="Times New Roman" w:eastAsia="Times New Roman"/>
          <w:sz w:val="16"/>
        </w:rPr>
        <w:t>1</w:t>
      </w:r>
      <w:r>
        <w:rPr>
          <w:rFonts w:ascii="Times New Roman" w:hAnsi="Times New Roman" w:eastAsia="Times New Roman"/>
          <w:spacing w:val="-16"/>
          <w:sz w:val="16"/>
        </w:rPr>
        <w:t> </w:t>
      </w:r>
      <w:r>
        <w:rPr>
          <w:position w:val="1"/>
        </w:rPr>
        <w:t>（</w:t>
      </w:r>
      <w:hyperlink w:history="true" w:anchor="_bookmark197">
        <w:r>
          <w:rPr>
            <w:rFonts w:ascii="Times New Roman" w:hAnsi="Times New Roman" w:eastAsia="Times New Roman"/>
            <w:color w:val="0000FF"/>
            <w:position w:val="1"/>
          </w:rPr>
          <w:t>Rabe</w:t>
        </w:r>
        <w:r>
          <w:rPr>
            <w:rFonts w:ascii="Times New Roman" w:hAnsi="Times New Roman" w:eastAsia="Times New Roman"/>
            <w:color w:val="0000FF"/>
            <w:spacing w:val="40"/>
            <w:position w:val="1"/>
          </w:rPr>
          <w:t> </w:t>
        </w:r>
        <w:r>
          <w:rPr>
            <w:rFonts w:ascii="Times New Roman" w:hAnsi="Times New Roman" w:eastAsia="Times New Roman"/>
            <w:color w:val="0000FF"/>
            <w:position w:val="1"/>
          </w:rPr>
          <w:t>et</w:t>
        </w:r>
        <w:r>
          <w:rPr>
            <w:rFonts w:ascii="Times New Roman" w:hAnsi="Times New Roman" w:eastAsia="Times New Roman"/>
            <w:color w:val="0000FF"/>
            <w:spacing w:val="40"/>
            <w:position w:val="1"/>
          </w:rPr>
          <w:t> </w:t>
        </w:r>
        <w:r>
          <w:rPr>
            <w:rFonts w:ascii="Times New Roman" w:hAnsi="Times New Roman" w:eastAsia="Times New Roman"/>
            <w:color w:val="0000FF"/>
            <w:position w:val="1"/>
          </w:rPr>
          <w:t>al</w:t>
        </w:r>
        <w:r>
          <w:rPr>
            <w:rFonts w:ascii="Times New Roman" w:hAnsi="Times New Roman" w:eastAsia="Times New Roman"/>
            <w:color w:val="0000FF"/>
            <w:spacing w:val="40"/>
            <w:position w:val="1"/>
          </w:rPr>
          <w:t> </w:t>
        </w:r>
        <w:r>
          <w:rPr>
            <w:rFonts w:ascii="Times New Roman" w:hAnsi="Times New Roman" w:eastAsia="Times New Roman"/>
            <w:color w:val="0000FF"/>
            <w:position w:val="1"/>
          </w:rPr>
          <w:t>2021</w:t>
        </w:r>
      </w:hyperlink>
      <w:r>
        <w:rPr>
          <w:position w:val="1"/>
        </w:rPr>
        <w:t>）</w:t>
      </w:r>
      <w:r>
        <w:rPr>
          <w:spacing w:val="15"/>
          <w:position w:val="1"/>
        </w:rPr>
        <w:t>。虽然尚未确定</w:t>
      </w:r>
      <w:r>
        <w:rPr>
          <w:position w:val="1"/>
        </w:rPr>
        <w:t> </w:t>
      </w:r>
      <w:r>
        <w:rPr>
          <w:rFonts w:ascii="Times New Roman" w:hAnsi="Times New Roman" w:eastAsia="Times New Roman"/>
          <w:spacing w:val="-2"/>
        </w:rPr>
        <w:t>tozorakimab</w:t>
      </w:r>
      <w:r>
        <w:rPr>
          <w:rFonts w:ascii="Times New Roman" w:hAnsi="Times New Roman" w:eastAsia="Times New Roman"/>
          <w:spacing w:val="-10"/>
        </w:rPr>
        <w:t> </w:t>
      </w:r>
      <w:r>
        <w:rPr>
          <w:spacing w:val="-31"/>
        </w:rPr>
        <w:t>在 </w:t>
      </w:r>
      <w:r>
        <w:rPr>
          <w:rFonts w:ascii="Times New Roman" w:hAnsi="Times New Roman" w:eastAsia="Times New Roman"/>
          <w:spacing w:val="-2"/>
        </w:rPr>
        <w:t>COPD</w:t>
      </w:r>
      <w:r>
        <w:rPr>
          <w:rFonts w:ascii="Times New Roman" w:hAnsi="Times New Roman" w:eastAsia="Times New Roman"/>
          <w:spacing w:val="-10"/>
        </w:rPr>
        <w:t> </w:t>
      </w:r>
      <w:r>
        <w:rPr>
          <w:spacing w:val="-7"/>
        </w:rPr>
        <w:t>患者中的临床作用，但预期 </w:t>
      </w:r>
      <w:r>
        <w:rPr>
          <w:rFonts w:ascii="Times New Roman" w:hAnsi="Times New Roman" w:eastAsia="Times New Roman"/>
          <w:spacing w:val="-2"/>
        </w:rPr>
        <w:t>tozorakimab</w:t>
      </w:r>
      <w:r>
        <w:rPr>
          <w:rFonts w:ascii="Times New Roman" w:hAnsi="Times New Roman" w:eastAsia="Times New Roman"/>
          <w:spacing w:val="-10"/>
        </w:rPr>
        <w:t> </w:t>
      </w:r>
      <w:r>
        <w:rPr>
          <w:spacing w:val="-2"/>
        </w:rPr>
        <w:t>治疗将产生相似改善。但是受试者有可能不会从参与本研究获得任何个体获益。</w:t>
      </w:r>
    </w:p>
    <w:p>
      <w:pPr>
        <w:pStyle w:val="Heading2"/>
        <w:numPr>
          <w:ilvl w:val="2"/>
          <w:numId w:val="3"/>
        </w:numPr>
        <w:tabs>
          <w:tab w:pos="1373" w:val="left" w:leader="none"/>
        </w:tabs>
        <w:spacing w:line="240" w:lineRule="auto" w:before="230" w:after="0"/>
        <w:ind w:left="1373" w:right="0" w:hanging="1152"/>
        <w:jc w:val="left"/>
      </w:pPr>
      <w:bookmarkStart w:name="2.3.3 总体获益：风险结论" w:id="34"/>
      <w:bookmarkEnd w:id="34"/>
      <w:r>
        <w:rPr>
          <w:b w:val="0"/>
        </w:rPr>
      </w:r>
      <w:bookmarkStart w:name="_bookmark18" w:id="35"/>
      <w:bookmarkEnd w:id="35"/>
      <w:r>
        <w:rPr>
          <w:b w:val="0"/>
        </w:rPr>
      </w:r>
      <w:r>
        <w:rPr>
          <w:spacing w:val="-5"/>
        </w:rPr>
        <w:t>总体获益：风险结论</w:t>
      </w:r>
    </w:p>
    <w:p>
      <w:pPr>
        <w:pStyle w:val="BodyText"/>
        <w:spacing w:line="276" w:lineRule="auto" w:before="120"/>
        <w:ind w:right="357" w:firstLine="480"/>
      </w:pPr>
      <w:r>
        <w:rPr>
          <w:spacing w:val="16"/>
        </w:rPr>
        <w:t>截至</w:t>
      </w:r>
      <w:r>
        <w:rPr>
          <w:rFonts w:ascii="Times New Roman" w:eastAsia="Times New Roman"/>
        </w:rPr>
        <w:t>2023</w:t>
      </w:r>
      <w:r>
        <w:rPr>
          <w:rFonts w:ascii="Times New Roman" w:eastAsia="Times New Roman"/>
          <w:spacing w:val="-33"/>
        </w:rPr>
        <w:t> </w:t>
      </w:r>
      <w:r>
        <w:rPr>
          <w:spacing w:val="32"/>
        </w:rPr>
        <w:t>年</w:t>
      </w:r>
      <w:r>
        <w:rPr>
          <w:rFonts w:ascii="Times New Roman" w:eastAsia="Times New Roman"/>
        </w:rPr>
        <w:t>5</w:t>
      </w:r>
      <w:r>
        <w:rPr>
          <w:rFonts w:ascii="Times New Roman" w:eastAsia="Times New Roman"/>
          <w:spacing w:val="-33"/>
        </w:rPr>
        <w:t> </w:t>
      </w:r>
      <w:r>
        <w:rPr>
          <w:spacing w:val="2"/>
        </w:rPr>
        <w:t>月，多种适应症中估计有</w:t>
      </w:r>
      <w:r>
        <w:rPr>
          <w:rFonts w:ascii="Times New Roman" w:eastAsia="Times New Roman"/>
        </w:rPr>
        <w:t>1500</w:t>
      </w:r>
      <w:r>
        <w:rPr>
          <w:rFonts w:ascii="Times New Roman" w:eastAsia="Times New Roman"/>
          <w:spacing w:val="-33"/>
        </w:rPr>
        <w:t> </w:t>
      </w:r>
      <w:r>
        <w:rPr>
          <w:spacing w:val="4"/>
        </w:rPr>
        <w:t>例受试者接受了</w:t>
      </w:r>
      <w:r>
        <w:rPr>
          <w:rFonts w:ascii="Times New Roman" w:eastAsia="Times New Roman"/>
        </w:rPr>
        <w:t>tozorakimab</w:t>
      </w:r>
      <w:r>
        <w:rPr>
          <w:rFonts w:ascii="Times New Roman" w:eastAsia="Times New Roman"/>
          <w:spacing w:val="-32"/>
        </w:rPr>
        <w:t> </w:t>
      </w:r>
      <w:r>
        <w:rPr/>
        <w:t>给药。</w:t>
      </w:r>
      <w:r>
        <w:rPr>
          <w:spacing w:val="-4"/>
        </w:rPr>
        <w:t>迄今为止收集的安全性数据，包括 </w:t>
      </w:r>
      <w:r>
        <w:rPr>
          <w:rFonts w:ascii="Times New Roman" w:eastAsia="Times New Roman"/>
        </w:rPr>
        <w:t>tozorakimab</w:t>
      </w:r>
      <w:r>
        <w:rPr>
          <w:rFonts w:ascii="Times New Roman" w:eastAsia="Times New Roman"/>
          <w:spacing w:val="-15"/>
        </w:rPr>
        <w:t> </w:t>
      </w:r>
      <w:r>
        <w:rPr>
          <w:spacing w:val="5"/>
        </w:rPr>
        <w:t>治疗哮喘和特应性皮炎的</w:t>
      </w:r>
      <w:r>
        <w:rPr>
          <w:rFonts w:ascii="Times New Roman" w:eastAsia="Times New Roman"/>
        </w:rPr>
        <w:t>II</w:t>
      </w:r>
      <w:r>
        <w:rPr>
          <w:rFonts w:ascii="Times New Roman" w:eastAsia="Times New Roman"/>
          <w:spacing w:val="-15"/>
        </w:rPr>
        <w:t> </w:t>
      </w:r>
      <w:r>
        <w:rPr>
          <w:spacing w:val="-3"/>
        </w:rPr>
        <w:t>期研究数</w:t>
      </w:r>
    </w:p>
    <w:p>
      <w:pPr>
        <w:spacing w:after="0" w:line="276" w:lineRule="auto"/>
        <w:sectPr>
          <w:pgSz w:w="11910" w:h="16840"/>
          <w:pgMar w:header="590" w:footer="784" w:top="1340" w:bottom="980" w:left="1480" w:right="1080"/>
        </w:sectPr>
      </w:pPr>
    </w:p>
    <w:p>
      <w:pPr>
        <w:pStyle w:val="BodyText"/>
        <w:spacing w:line="276" w:lineRule="auto" w:before="88"/>
        <w:ind w:right="356"/>
      </w:pPr>
      <w:r>
        <w:rPr>
          <w:spacing w:val="-6"/>
        </w:rPr>
        <w:t>据，支持 </w:t>
      </w:r>
      <w:r>
        <w:rPr>
          <w:rFonts w:ascii="Times New Roman" w:eastAsia="Times New Roman"/>
        </w:rPr>
        <w:t>PROSPERO</w:t>
      </w:r>
      <w:r>
        <w:rPr>
          <w:rFonts w:ascii="Times New Roman" w:eastAsia="Times New Roman"/>
          <w:spacing w:val="8"/>
        </w:rPr>
        <w:t> </w:t>
      </w:r>
      <w:r>
        <w:rPr>
          <w:spacing w:val="-4"/>
        </w:rPr>
        <w:t>研究中评价的所有 </w:t>
      </w:r>
      <w:r>
        <w:rPr>
          <w:rFonts w:ascii="Times New Roman" w:eastAsia="Times New Roman"/>
        </w:rPr>
        <w:t>tozorakimab</w:t>
      </w:r>
      <w:r>
        <w:rPr>
          <w:rFonts w:ascii="Times New Roman" w:eastAsia="Times New Roman"/>
          <w:spacing w:val="10"/>
        </w:rPr>
        <w:t> </w:t>
      </w:r>
      <w:r>
        <w:rPr/>
        <w:t>给药方案均具有良好安全性特</w:t>
      </w:r>
      <w:r>
        <w:rPr>
          <w:spacing w:val="-6"/>
        </w:rPr>
        <w:t>征。</w:t>
      </w:r>
    </w:p>
    <w:p>
      <w:pPr>
        <w:pStyle w:val="BodyText"/>
        <w:spacing w:line="276" w:lineRule="auto" w:before="239"/>
        <w:ind w:right="356" w:firstLine="480"/>
      </w:pPr>
      <w:r>
        <w:rPr>
          <w:spacing w:val="-2"/>
        </w:rPr>
        <w:t>考虑到为尽可能减少本研究受试者的风险而采取的措施，认为 </w:t>
      </w:r>
      <w:r>
        <w:rPr>
          <w:rFonts w:ascii="Times New Roman" w:eastAsia="Times New Roman"/>
        </w:rPr>
        <w:t>tozorakimab</w:t>
      </w:r>
      <w:r>
        <w:rPr>
          <w:rFonts w:ascii="Times New Roman" w:eastAsia="Times New Roman"/>
          <w:spacing w:val="-15"/>
        </w:rPr>
        <w:t> </w:t>
      </w:r>
      <w:r>
        <w:rPr/>
        <w:t>在具</w:t>
      </w:r>
      <w:r>
        <w:rPr>
          <w:spacing w:val="-2"/>
        </w:rPr>
        <w:t>有急性加重病史的症状性 </w:t>
      </w:r>
      <w:r>
        <w:rPr>
          <w:rFonts w:ascii="Times New Roman" w:eastAsia="Times New Roman"/>
        </w:rPr>
        <w:t>COPD </w:t>
      </w:r>
      <w:r>
        <w:rPr/>
        <w:t>受试者中的获益</w:t>
      </w:r>
      <w:r>
        <w:rPr>
          <w:rFonts w:ascii="Times New Roman" w:eastAsia="Times New Roman"/>
        </w:rPr>
        <w:t>/</w:t>
      </w:r>
      <w:r>
        <w:rPr/>
        <w:t>风险评估结果有利。</w:t>
      </w:r>
    </w:p>
    <w:p>
      <w:pPr>
        <w:pStyle w:val="BodyText"/>
        <w:spacing w:line="276" w:lineRule="auto" w:before="237"/>
        <w:ind w:right="357" w:firstLine="480"/>
      </w:pPr>
      <w:r>
        <w:rPr>
          <w:spacing w:val="-17"/>
        </w:rPr>
        <w:t>有关 </w:t>
      </w:r>
      <w:r>
        <w:rPr>
          <w:rFonts w:ascii="Times New Roman" w:eastAsia="Times New Roman"/>
        </w:rPr>
        <w:t>tozorakimab</w:t>
      </w:r>
      <w:r>
        <w:rPr>
          <w:rFonts w:ascii="Times New Roman" w:eastAsia="Times New Roman"/>
          <w:spacing w:val="-15"/>
        </w:rPr>
        <w:t> </w:t>
      </w:r>
      <w:r>
        <w:rPr/>
        <w:t>的已知和预期获益与风险以及安全性特征的更多详细信息，请</w:t>
      </w:r>
      <w:r>
        <w:rPr>
          <w:spacing w:val="-21"/>
        </w:rPr>
        <w:t>见 </w:t>
      </w:r>
      <w:r>
        <w:rPr>
          <w:rFonts w:ascii="Times New Roman" w:eastAsia="Times New Roman"/>
        </w:rPr>
        <w:t>IB</w:t>
      </w:r>
      <w:r>
        <w:rPr/>
        <w:t>。</w:t>
      </w:r>
    </w:p>
    <w:p>
      <w:pPr>
        <w:pStyle w:val="Heading1"/>
        <w:numPr>
          <w:ilvl w:val="0"/>
          <w:numId w:val="3"/>
        </w:numPr>
        <w:tabs>
          <w:tab w:pos="1355" w:val="left" w:leader="none"/>
        </w:tabs>
        <w:spacing w:line="240" w:lineRule="auto" w:before="239" w:after="0"/>
        <w:ind w:left="1355" w:right="0" w:hanging="1134"/>
        <w:jc w:val="left"/>
      </w:pPr>
      <w:bookmarkStart w:name="3 研究目的和终点" w:id="36"/>
      <w:bookmarkEnd w:id="36"/>
      <w:r>
        <w:rPr>
          <w:b w:val="0"/>
        </w:rPr>
      </w:r>
      <w:bookmarkStart w:name="_bookmark19" w:id="37"/>
      <w:bookmarkEnd w:id="37"/>
      <w:r>
        <w:rPr>
          <w:b w:val="0"/>
        </w:rPr>
      </w:r>
      <w:r>
        <w:rPr>
          <w:spacing w:val="-5"/>
        </w:rPr>
        <w:t>研究目的和终点</w:t>
      </w:r>
    </w:p>
    <w:p>
      <w:pPr>
        <w:pStyle w:val="BodyText"/>
        <w:spacing w:line="276" w:lineRule="auto" w:before="119"/>
        <w:ind w:right="357" w:firstLine="480"/>
      </w:pPr>
      <w:r>
        <w:rPr>
          <w:spacing w:val="-3"/>
        </w:rPr>
        <w:t>与有效性终点相关的所有数据将与前身研究中获得的 </w:t>
      </w:r>
      <w:r>
        <w:rPr>
          <w:rFonts w:ascii="Times New Roman" w:eastAsia="Times New Roman"/>
        </w:rPr>
        <w:t>52</w:t>
      </w:r>
      <w:r>
        <w:rPr>
          <w:rFonts w:ascii="Times New Roman" w:eastAsia="Times New Roman"/>
          <w:spacing w:val="-15"/>
        </w:rPr>
        <w:t> </w:t>
      </w:r>
      <w:r>
        <w:rPr/>
        <w:t>周数据合并以进行综合</w:t>
      </w:r>
      <w:r>
        <w:rPr>
          <w:spacing w:val="-4"/>
        </w:rPr>
        <w:t>分析。</w:t>
      </w:r>
    </w:p>
    <w:p>
      <w:pPr>
        <w:pStyle w:val="Heading3"/>
        <w:tabs>
          <w:tab w:pos="1923" w:val="left" w:leader="none"/>
        </w:tabs>
        <w:spacing w:before="238"/>
      </w:pPr>
      <w:bookmarkStart w:name="_bookmark20" w:id="38"/>
      <w:bookmarkEnd w:id="38"/>
      <w:r>
        <w:rPr>
          <w:b w:val="0"/>
        </w:rPr>
      </w:r>
      <w:r>
        <w:rPr>
          <w:spacing w:val="-4"/>
        </w:rPr>
        <w:t>表</w:t>
      </w:r>
      <w:r>
        <w:rPr>
          <w:spacing w:val="-59"/>
        </w:rPr>
        <w:t> </w:t>
      </w:r>
      <w:r>
        <w:rPr>
          <w:rFonts w:ascii="Times New Roman" w:eastAsia="Times New Roman"/>
          <w:spacing w:val="-10"/>
        </w:rPr>
        <w:t>3</w:t>
      </w:r>
      <w:r>
        <w:rPr>
          <w:rFonts w:ascii="Times New Roman" w:eastAsia="Times New Roman"/>
        </w:rPr>
        <w:tab/>
      </w:r>
      <w:r>
        <w:rPr>
          <w:spacing w:val="-4"/>
        </w:rPr>
        <w:t>研究目的和终</w:t>
      </w:r>
      <w:r>
        <w:rPr>
          <w:spacing w:val="-10"/>
        </w:rPr>
        <w:t>点</w:t>
      </w:r>
    </w:p>
    <w:p>
      <w:pPr>
        <w:pStyle w:val="BodyText"/>
        <w:spacing w:before="4"/>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8"/>
        <w:gridCol w:w="5720"/>
      </w:tblGrid>
      <w:tr>
        <w:trPr>
          <w:trHeight w:val="352" w:hRule="atLeast"/>
        </w:trPr>
        <w:tc>
          <w:tcPr>
            <w:tcW w:w="3038" w:type="dxa"/>
          </w:tcPr>
          <w:p>
            <w:pPr>
              <w:pStyle w:val="TableParagraph"/>
              <w:spacing w:before="39"/>
              <w:ind w:left="10"/>
              <w:jc w:val="center"/>
              <w:rPr>
                <w:b/>
                <w:sz w:val="21"/>
              </w:rPr>
            </w:pPr>
            <w:r>
              <w:rPr>
                <w:b/>
                <w:spacing w:val="-4"/>
                <w:sz w:val="21"/>
              </w:rPr>
              <w:t>研究目的</w:t>
            </w:r>
          </w:p>
        </w:tc>
        <w:tc>
          <w:tcPr>
            <w:tcW w:w="5720" w:type="dxa"/>
          </w:tcPr>
          <w:p>
            <w:pPr>
              <w:pStyle w:val="TableParagraph"/>
              <w:spacing w:before="39"/>
              <w:ind w:left="8"/>
              <w:jc w:val="center"/>
              <w:rPr>
                <w:b/>
                <w:sz w:val="21"/>
              </w:rPr>
            </w:pPr>
            <w:r>
              <w:rPr>
                <w:b/>
                <w:spacing w:val="-2"/>
                <w:sz w:val="21"/>
              </w:rPr>
              <w:t>研究终点</w:t>
            </w:r>
            <w:r>
              <w:rPr>
                <w:rFonts w:ascii="Times New Roman" w:eastAsia="Times New Roman"/>
                <w:b/>
                <w:spacing w:val="-2"/>
                <w:sz w:val="21"/>
              </w:rPr>
              <w:t>/</w:t>
            </w:r>
            <w:r>
              <w:rPr>
                <w:b/>
                <w:spacing w:val="-4"/>
                <w:sz w:val="21"/>
              </w:rPr>
              <w:t>估计目标</w:t>
            </w:r>
          </w:p>
        </w:tc>
      </w:tr>
      <w:tr>
        <w:trPr>
          <w:trHeight w:val="393" w:hRule="atLeast"/>
        </w:trPr>
        <w:tc>
          <w:tcPr>
            <w:tcW w:w="8758" w:type="dxa"/>
            <w:gridSpan w:val="2"/>
            <w:shd w:val="clear" w:color="auto" w:fill="D9D9D9"/>
          </w:tcPr>
          <w:p>
            <w:pPr>
              <w:pStyle w:val="TableParagraph"/>
              <w:spacing w:before="39"/>
              <w:ind w:left="107"/>
              <w:rPr>
                <w:b/>
                <w:sz w:val="21"/>
              </w:rPr>
            </w:pPr>
            <w:r>
              <w:rPr>
                <w:b/>
                <w:spacing w:val="-4"/>
                <w:sz w:val="21"/>
              </w:rPr>
              <w:t>主要目的</w:t>
            </w:r>
          </w:p>
        </w:tc>
      </w:tr>
      <w:tr>
        <w:trPr>
          <w:trHeight w:val="1392" w:hRule="atLeast"/>
        </w:trPr>
        <w:tc>
          <w:tcPr>
            <w:tcW w:w="3038" w:type="dxa"/>
            <w:tcBorders>
              <w:bottom w:val="nil"/>
            </w:tcBorders>
          </w:tcPr>
          <w:p>
            <w:pPr>
              <w:pStyle w:val="TableParagraph"/>
              <w:spacing w:line="276" w:lineRule="auto" w:before="38"/>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13"/>
                <w:sz w:val="21"/>
              </w:rPr>
              <w:t>对 </w:t>
            </w:r>
            <w:r>
              <w:rPr>
                <w:rFonts w:ascii="Times New Roman" w:eastAsia="Times New Roman"/>
                <w:spacing w:val="-2"/>
                <w:sz w:val="21"/>
              </w:rPr>
              <w:t>COPD</w:t>
            </w:r>
            <w:r>
              <w:rPr>
                <w:spacing w:val="-5"/>
                <w:sz w:val="21"/>
              </w:rPr>
              <w:t>戒烟者重度 </w:t>
            </w:r>
            <w:r>
              <w:rPr>
                <w:rFonts w:ascii="Times New Roman" w:eastAsia="Times New Roman"/>
                <w:sz w:val="21"/>
              </w:rPr>
              <w:t>COPD</w:t>
            </w:r>
            <w:r>
              <w:rPr>
                <w:rFonts w:ascii="Times New Roman" w:eastAsia="Times New Roman"/>
                <w:spacing w:val="-6"/>
                <w:sz w:val="21"/>
              </w:rPr>
              <w:t> </w:t>
            </w:r>
            <w:r>
              <w:rPr>
                <w:sz w:val="21"/>
              </w:rPr>
              <w:t>急性加重发</w:t>
            </w:r>
            <w:r>
              <w:rPr>
                <w:spacing w:val="-2"/>
                <w:sz w:val="21"/>
              </w:rPr>
              <w:t>生率的长期影响。</w:t>
            </w:r>
          </w:p>
        </w:tc>
        <w:tc>
          <w:tcPr>
            <w:tcW w:w="5720" w:type="dxa"/>
            <w:tcBorders>
              <w:bottom w:val="nil"/>
            </w:tcBorders>
          </w:tcPr>
          <w:p>
            <w:pPr>
              <w:pStyle w:val="TableParagraph"/>
              <w:spacing w:line="309" w:lineRule="auto" w:before="39"/>
              <w:ind w:left="107" w:right="1796"/>
              <w:rPr>
                <w:sz w:val="21"/>
              </w:rPr>
            </w:pPr>
            <w:r>
              <w:rPr>
                <w:spacing w:val="-11"/>
                <w:sz w:val="21"/>
              </w:rPr>
              <w:t>终点：重度 </w:t>
            </w:r>
            <w:r>
              <w:rPr>
                <w:rFonts w:ascii="Times New Roman" w:eastAsia="Times New Roman"/>
                <w:spacing w:val="-2"/>
                <w:sz w:val="21"/>
              </w:rPr>
              <w:t>COPD</w:t>
            </w:r>
            <w:r>
              <w:rPr>
                <w:rFonts w:ascii="Times New Roman" w:eastAsia="Times New Roman"/>
                <w:spacing w:val="-12"/>
                <w:sz w:val="21"/>
              </w:rPr>
              <w:t> </w:t>
            </w:r>
            <w:r>
              <w:rPr>
                <w:spacing w:val="-2"/>
                <w:sz w:val="21"/>
              </w:rPr>
              <w:t>急性加重的年发生率。汇总分析指标：发生率比值。</w:t>
            </w:r>
          </w:p>
          <w:p>
            <w:pPr>
              <w:pStyle w:val="TableParagraph"/>
              <w:spacing w:before="1"/>
              <w:ind w:left="107"/>
              <w:rPr>
                <w:sz w:val="21"/>
              </w:rPr>
            </w:pPr>
            <w:r>
              <w:rPr>
                <w:spacing w:val="-1"/>
                <w:sz w:val="21"/>
              </w:rPr>
              <w:t>人群：全分析集，戒烟者。</w:t>
            </w:r>
          </w:p>
          <w:p>
            <w:pPr>
              <w:pStyle w:val="TableParagraph"/>
              <w:spacing w:before="80"/>
              <w:ind w:left="107"/>
              <w:rPr>
                <w:sz w:val="21"/>
              </w:rPr>
            </w:pPr>
            <w:r>
              <w:rPr>
                <w:spacing w:val="4"/>
                <w:sz w:val="21"/>
              </w:rPr>
              <w:t>伴发事件：使用疗法策略，不考虑研究期间的治疗终止情</w:t>
            </w:r>
          </w:p>
        </w:tc>
      </w:tr>
      <w:tr>
        <w:trPr>
          <w:trHeight w:val="313" w:hRule="atLeast"/>
        </w:trPr>
        <w:tc>
          <w:tcPr>
            <w:tcW w:w="3038" w:type="dxa"/>
            <w:tcBorders>
              <w:top w:val="nil"/>
              <w:bottom w:val="nil"/>
            </w:tcBorders>
          </w:tcPr>
          <w:p>
            <w:pPr>
              <w:pStyle w:val="TableParagraph"/>
              <w:rPr>
                <w:rFonts w:ascii="Times New Roman"/>
                <w:sz w:val="20"/>
              </w:rPr>
            </w:pPr>
          </w:p>
        </w:tc>
        <w:tc>
          <w:tcPr>
            <w:tcW w:w="5720" w:type="dxa"/>
            <w:tcBorders>
              <w:top w:val="nil"/>
              <w:bottom w:val="nil"/>
            </w:tcBorders>
          </w:tcPr>
          <w:p>
            <w:pPr>
              <w:pStyle w:val="TableParagraph"/>
              <w:spacing w:before="18"/>
              <w:ind w:left="107"/>
              <w:rPr>
                <w:sz w:val="21"/>
              </w:rPr>
            </w:pPr>
            <w:r>
              <w:rPr>
                <w:spacing w:val="-1"/>
                <w:sz w:val="21"/>
              </w:rPr>
              <w:t>况，并且填补重新随机化后的数据，或基于退出研究的原因</w:t>
            </w:r>
          </w:p>
        </w:tc>
      </w:tr>
      <w:tr>
        <w:trPr>
          <w:trHeight w:val="373" w:hRule="atLeast"/>
        </w:trPr>
        <w:tc>
          <w:tcPr>
            <w:tcW w:w="3038" w:type="dxa"/>
            <w:tcBorders>
              <w:top w:val="nil"/>
            </w:tcBorders>
          </w:tcPr>
          <w:p>
            <w:pPr>
              <w:pStyle w:val="TableParagraph"/>
              <w:rPr>
                <w:rFonts w:ascii="Times New Roman"/>
                <w:sz w:val="20"/>
              </w:rPr>
            </w:pPr>
          </w:p>
        </w:tc>
        <w:tc>
          <w:tcPr>
            <w:tcW w:w="5720" w:type="dxa"/>
            <w:tcBorders>
              <w:top w:val="nil"/>
            </w:tcBorders>
          </w:tcPr>
          <w:p>
            <w:pPr>
              <w:pStyle w:val="TableParagraph"/>
              <w:spacing w:before="18"/>
              <w:ind w:left="107"/>
              <w:rPr>
                <w:sz w:val="21"/>
              </w:rPr>
            </w:pPr>
            <w:r>
              <w:rPr>
                <w:spacing w:val="-1"/>
                <w:sz w:val="21"/>
              </w:rPr>
              <w:t>填补退出研究后的数据。</w:t>
            </w:r>
          </w:p>
        </w:tc>
      </w:tr>
      <w:tr>
        <w:trPr>
          <w:trHeight w:val="393" w:hRule="atLeast"/>
        </w:trPr>
        <w:tc>
          <w:tcPr>
            <w:tcW w:w="8758" w:type="dxa"/>
            <w:gridSpan w:val="2"/>
            <w:shd w:val="clear" w:color="auto" w:fill="D9D9D9"/>
          </w:tcPr>
          <w:p>
            <w:pPr>
              <w:pStyle w:val="TableParagraph"/>
              <w:spacing w:before="38"/>
              <w:ind w:left="107"/>
              <w:rPr>
                <w:b/>
                <w:sz w:val="21"/>
              </w:rPr>
            </w:pPr>
            <w:r>
              <w:rPr>
                <w:b/>
                <w:spacing w:val="-4"/>
                <w:sz w:val="21"/>
              </w:rPr>
              <w:t>关键次要目的</w:t>
            </w:r>
          </w:p>
        </w:tc>
      </w:tr>
      <w:tr>
        <w:trPr>
          <w:trHeight w:val="1392" w:hRule="atLeast"/>
        </w:trPr>
        <w:tc>
          <w:tcPr>
            <w:tcW w:w="3038" w:type="dxa"/>
            <w:tcBorders>
              <w:bottom w:val="nil"/>
            </w:tcBorders>
          </w:tcPr>
          <w:p>
            <w:pPr>
              <w:pStyle w:val="TableParagraph"/>
              <w:spacing w:line="276" w:lineRule="auto" w:before="36"/>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13"/>
                <w:sz w:val="21"/>
              </w:rPr>
              <w:t>对 </w:t>
            </w:r>
            <w:r>
              <w:rPr>
                <w:rFonts w:ascii="Times New Roman" w:eastAsia="Times New Roman"/>
                <w:spacing w:val="-2"/>
                <w:sz w:val="21"/>
              </w:rPr>
              <w:t>COPD</w:t>
            </w:r>
            <w:r>
              <w:rPr>
                <w:spacing w:val="-3"/>
                <w:sz w:val="21"/>
              </w:rPr>
              <w:t>戒烟者或吸烟者重度 </w:t>
            </w:r>
            <w:r>
              <w:rPr>
                <w:rFonts w:ascii="Times New Roman" w:eastAsia="Times New Roman"/>
                <w:sz w:val="21"/>
              </w:rPr>
              <w:t>COPD</w:t>
            </w:r>
            <w:r>
              <w:rPr>
                <w:rFonts w:ascii="Times New Roman" w:eastAsia="Times New Roman"/>
                <w:spacing w:val="-6"/>
                <w:sz w:val="21"/>
              </w:rPr>
              <w:t> </w:t>
            </w:r>
            <w:r>
              <w:rPr>
                <w:sz w:val="21"/>
              </w:rPr>
              <w:t>急</w:t>
            </w:r>
            <w:r>
              <w:rPr>
                <w:spacing w:val="-2"/>
                <w:sz w:val="21"/>
              </w:rPr>
              <w:t>性加重发生率的长期影响。</w:t>
            </w:r>
          </w:p>
        </w:tc>
        <w:tc>
          <w:tcPr>
            <w:tcW w:w="5720" w:type="dxa"/>
            <w:tcBorders>
              <w:bottom w:val="nil"/>
            </w:tcBorders>
          </w:tcPr>
          <w:p>
            <w:pPr>
              <w:pStyle w:val="TableParagraph"/>
              <w:spacing w:line="309" w:lineRule="auto" w:before="38"/>
              <w:ind w:left="107" w:right="1796"/>
              <w:rPr>
                <w:sz w:val="21"/>
              </w:rPr>
            </w:pPr>
            <w:r>
              <w:rPr>
                <w:spacing w:val="-11"/>
                <w:sz w:val="21"/>
              </w:rPr>
              <w:t>终点：重度 </w:t>
            </w:r>
            <w:r>
              <w:rPr>
                <w:rFonts w:ascii="Times New Roman" w:eastAsia="Times New Roman"/>
                <w:spacing w:val="-2"/>
                <w:sz w:val="21"/>
              </w:rPr>
              <w:t>COPD</w:t>
            </w:r>
            <w:r>
              <w:rPr>
                <w:rFonts w:ascii="Times New Roman" w:eastAsia="Times New Roman"/>
                <w:spacing w:val="-12"/>
                <w:sz w:val="21"/>
              </w:rPr>
              <w:t> </w:t>
            </w:r>
            <w:r>
              <w:rPr>
                <w:spacing w:val="-2"/>
                <w:sz w:val="21"/>
              </w:rPr>
              <w:t>急性加重的年发生率。汇总分析指标：发生率比值。</w:t>
            </w:r>
          </w:p>
          <w:p>
            <w:pPr>
              <w:pStyle w:val="TableParagraph"/>
              <w:spacing w:before="1"/>
              <w:ind w:left="107"/>
              <w:rPr>
                <w:sz w:val="21"/>
              </w:rPr>
            </w:pPr>
            <w:r>
              <w:rPr>
                <w:spacing w:val="-1"/>
                <w:sz w:val="21"/>
              </w:rPr>
              <w:t>人群：全分析集，戒烟者或目前吸烟者。</w:t>
            </w:r>
          </w:p>
          <w:p>
            <w:pPr>
              <w:pStyle w:val="TableParagraph"/>
              <w:spacing w:before="81"/>
              <w:ind w:left="107"/>
              <w:rPr>
                <w:sz w:val="21"/>
              </w:rPr>
            </w:pPr>
            <w:r>
              <w:rPr>
                <w:spacing w:val="4"/>
                <w:sz w:val="21"/>
              </w:rPr>
              <w:t>伴发事件：使用疗法策略，不考虑研究期间的治疗终止情</w:t>
            </w:r>
          </w:p>
        </w:tc>
      </w:tr>
      <w:tr>
        <w:trPr>
          <w:trHeight w:val="313" w:hRule="atLeast"/>
        </w:trPr>
        <w:tc>
          <w:tcPr>
            <w:tcW w:w="3038" w:type="dxa"/>
            <w:tcBorders>
              <w:top w:val="nil"/>
              <w:bottom w:val="nil"/>
            </w:tcBorders>
          </w:tcPr>
          <w:p>
            <w:pPr>
              <w:pStyle w:val="TableParagraph"/>
              <w:rPr>
                <w:rFonts w:ascii="Times New Roman"/>
                <w:sz w:val="20"/>
              </w:rPr>
            </w:pPr>
          </w:p>
        </w:tc>
        <w:tc>
          <w:tcPr>
            <w:tcW w:w="5720" w:type="dxa"/>
            <w:tcBorders>
              <w:top w:val="nil"/>
              <w:bottom w:val="nil"/>
            </w:tcBorders>
          </w:tcPr>
          <w:p>
            <w:pPr>
              <w:pStyle w:val="TableParagraph"/>
              <w:spacing w:before="18"/>
              <w:ind w:left="107"/>
              <w:rPr>
                <w:sz w:val="21"/>
              </w:rPr>
            </w:pPr>
            <w:r>
              <w:rPr>
                <w:spacing w:val="-1"/>
                <w:sz w:val="21"/>
              </w:rPr>
              <w:t>况，并且填补重新随机化后的数据，或基于退出研究的原因</w:t>
            </w:r>
          </w:p>
        </w:tc>
      </w:tr>
      <w:tr>
        <w:trPr>
          <w:trHeight w:val="373" w:hRule="atLeast"/>
        </w:trPr>
        <w:tc>
          <w:tcPr>
            <w:tcW w:w="3038" w:type="dxa"/>
            <w:tcBorders>
              <w:top w:val="nil"/>
            </w:tcBorders>
          </w:tcPr>
          <w:p>
            <w:pPr>
              <w:pStyle w:val="TableParagraph"/>
              <w:rPr>
                <w:rFonts w:ascii="Times New Roman"/>
                <w:sz w:val="20"/>
              </w:rPr>
            </w:pPr>
          </w:p>
        </w:tc>
        <w:tc>
          <w:tcPr>
            <w:tcW w:w="5720" w:type="dxa"/>
            <w:tcBorders>
              <w:top w:val="nil"/>
            </w:tcBorders>
          </w:tcPr>
          <w:p>
            <w:pPr>
              <w:pStyle w:val="TableParagraph"/>
              <w:spacing w:before="18"/>
              <w:ind w:left="107"/>
              <w:rPr>
                <w:sz w:val="21"/>
              </w:rPr>
            </w:pPr>
            <w:r>
              <w:rPr>
                <w:spacing w:val="-1"/>
                <w:sz w:val="21"/>
              </w:rPr>
              <w:t>填补退出研究后的数据。</w:t>
            </w:r>
          </w:p>
        </w:tc>
      </w:tr>
      <w:tr>
        <w:trPr>
          <w:trHeight w:val="1412" w:hRule="atLeast"/>
        </w:trPr>
        <w:tc>
          <w:tcPr>
            <w:tcW w:w="3038" w:type="dxa"/>
            <w:tcBorders>
              <w:bottom w:val="nil"/>
            </w:tcBorders>
          </w:tcPr>
          <w:p>
            <w:pPr>
              <w:pStyle w:val="TableParagraph"/>
              <w:spacing w:line="276" w:lineRule="auto" w:before="36"/>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对至首次</w:t>
            </w:r>
            <w:r>
              <w:rPr>
                <w:spacing w:val="-9"/>
                <w:sz w:val="21"/>
              </w:rPr>
              <w:t>重度 </w:t>
            </w:r>
            <w:r>
              <w:rPr>
                <w:rFonts w:ascii="Times New Roman" w:eastAsia="Times New Roman"/>
                <w:sz w:val="21"/>
              </w:rPr>
              <w:t>COPD</w:t>
            </w:r>
            <w:r>
              <w:rPr>
                <w:rFonts w:ascii="Times New Roman" w:eastAsia="Times New Roman"/>
                <w:spacing w:val="-6"/>
                <w:sz w:val="21"/>
              </w:rPr>
              <w:t> </w:t>
            </w:r>
            <w:r>
              <w:rPr>
                <w:sz w:val="21"/>
              </w:rPr>
              <w:t>急性加重时间的长</w:t>
            </w:r>
            <w:r>
              <w:rPr>
                <w:spacing w:val="-4"/>
                <w:sz w:val="21"/>
              </w:rPr>
              <w:t>期影响。</w:t>
            </w:r>
          </w:p>
        </w:tc>
        <w:tc>
          <w:tcPr>
            <w:tcW w:w="5720" w:type="dxa"/>
            <w:tcBorders>
              <w:bottom w:val="nil"/>
            </w:tcBorders>
          </w:tcPr>
          <w:p>
            <w:pPr>
              <w:pStyle w:val="TableParagraph"/>
              <w:spacing w:line="309" w:lineRule="auto" w:before="38"/>
              <w:ind w:left="107" w:right="1586"/>
              <w:rPr>
                <w:sz w:val="21"/>
              </w:rPr>
            </w:pPr>
            <w:r>
              <w:rPr>
                <w:spacing w:val="-8"/>
                <w:sz w:val="21"/>
              </w:rPr>
              <w:t>终点：至首次重度 </w:t>
            </w:r>
            <w:r>
              <w:rPr>
                <w:rFonts w:ascii="Times New Roman" w:eastAsia="Times New Roman"/>
                <w:spacing w:val="-2"/>
                <w:sz w:val="21"/>
              </w:rPr>
              <w:t>COPD</w:t>
            </w:r>
            <w:r>
              <w:rPr>
                <w:rFonts w:ascii="Times New Roman" w:eastAsia="Times New Roman"/>
                <w:spacing w:val="-11"/>
                <w:sz w:val="21"/>
              </w:rPr>
              <w:t> </w:t>
            </w:r>
            <w:r>
              <w:rPr>
                <w:spacing w:val="-2"/>
                <w:sz w:val="21"/>
              </w:rPr>
              <w:t>急性加重的时间。汇总分析指标：风险比。</w:t>
            </w:r>
          </w:p>
          <w:p>
            <w:pPr>
              <w:pStyle w:val="TableParagraph"/>
              <w:spacing w:before="1"/>
              <w:ind w:left="107"/>
              <w:rPr>
                <w:sz w:val="21"/>
              </w:rPr>
            </w:pPr>
            <w:r>
              <w:rPr>
                <w:spacing w:val="-1"/>
                <w:sz w:val="21"/>
              </w:rPr>
              <w:t>人群：全分析集，戒烟者。</w:t>
            </w:r>
          </w:p>
          <w:p>
            <w:pPr>
              <w:pStyle w:val="TableParagraph"/>
              <w:spacing w:before="81"/>
              <w:ind w:left="107"/>
              <w:rPr>
                <w:sz w:val="21"/>
              </w:rPr>
            </w:pPr>
            <w:r>
              <w:rPr>
                <w:spacing w:val="-1"/>
                <w:sz w:val="21"/>
              </w:rPr>
              <w:t>在戒烟者或吸烟者中进一步进行关键次要分析。</w:t>
            </w:r>
          </w:p>
        </w:tc>
      </w:tr>
      <w:tr>
        <w:trPr>
          <w:trHeight w:val="332" w:hRule="atLeast"/>
        </w:trPr>
        <w:tc>
          <w:tcPr>
            <w:tcW w:w="3038" w:type="dxa"/>
            <w:tcBorders>
              <w:top w:val="nil"/>
              <w:bottom w:val="nil"/>
            </w:tcBorders>
          </w:tcPr>
          <w:p>
            <w:pPr>
              <w:pStyle w:val="TableParagraph"/>
              <w:rPr>
                <w:rFonts w:ascii="Times New Roman"/>
                <w:sz w:val="20"/>
              </w:rPr>
            </w:pPr>
          </w:p>
        </w:tc>
        <w:tc>
          <w:tcPr>
            <w:tcW w:w="5720" w:type="dxa"/>
            <w:tcBorders>
              <w:top w:val="nil"/>
              <w:bottom w:val="nil"/>
            </w:tcBorders>
          </w:tcPr>
          <w:p>
            <w:pPr>
              <w:pStyle w:val="TableParagraph"/>
              <w:spacing w:before="38"/>
              <w:ind w:left="107"/>
              <w:rPr>
                <w:sz w:val="21"/>
              </w:rPr>
            </w:pPr>
            <w:r>
              <w:rPr>
                <w:spacing w:val="4"/>
                <w:sz w:val="21"/>
              </w:rPr>
              <w:t>伴发事件：使用疗法策略，不考虑研究期间的治疗终止情</w:t>
            </w:r>
          </w:p>
        </w:tc>
      </w:tr>
      <w:tr>
        <w:trPr>
          <w:trHeight w:val="313" w:hRule="atLeast"/>
        </w:trPr>
        <w:tc>
          <w:tcPr>
            <w:tcW w:w="3038" w:type="dxa"/>
            <w:tcBorders>
              <w:top w:val="nil"/>
              <w:bottom w:val="nil"/>
            </w:tcBorders>
          </w:tcPr>
          <w:p>
            <w:pPr>
              <w:pStyle w:val="TableParagraph"/>
              <w:rPr>
                <w:rFonts w:ascii="Times New Roman"/>
                <w:sz w:val="20"/>
              </w:rPr>
            </w:pPr>
          </w:p>
        </w:tc>
        <w:tc>
          <w:tcPr>
            <w:tcW w:w="5720" w:type="dxa"/>
            <w:tcBorders>
              <w:top w:val="nil"/>
              <w:bottom w:val="nil"/>
            </w:tcBorders>
          </w:tcPr>
          <w:p>
            <w:pPr>
              <w:pStyle w:val="TableParagraph"/>
              <w:spacing w:before="18"/>
              <w:ind w:left="107"/>
              <w:rPr>
                <w:sz w:val="21"/>
              </w:rPr>
            </w:pPr>
            <w:r>
              <w:rPr>
                <w:spacing w:val="-1"/>
                <w:sz w:val="21"/>
              </w:rPr>
              <w:t>况，并且填补重新随机化后的数据，或基于退出研究的原因</w:t>
            </w:r>
          </w:p>
        </w:tc>
      </w:tr>
      <w:tr>
        <w:trPr>
          <w:trHeight w:val="373" w:hRule="atLeast"/>
        </w:trPr>
        <w:tc>
          <w:tcPr>
            <w:tcW w:w="3038" w:type="dxa"/>
            <w:tcBorders>
              <w:top w:val="nil"/>
            </w:tcBorders>
          </w:tcPr>
          <w:p>
            <w:pPr>
              <w:pStyle w:val="TableParagraph"/>
              <w:rPr>
                <w:rFonts w:ascii="Times New Roman"/>
                <w:sz w:val="20"/>
              </w:rPr>
            </w:pPr>
          </w:p>
        </w:tc>
        <w:tc>
          <w:tcPr>
            <w:tcW w:w="5720" w:type="dxa"/>
            <w:tcBorders>
              <w:top w:val="nil"/>
            </w:tcBorders>
          </w:tcPr>
          <w:p>
            <w:pPr>
              <w:pStyle w:val="TableParagraph"/>
              <w:spacing w:before="18"/>
              <w:ind w:left="107"/>
              <w:rPr>
                <w:sz w:val="21"/>
              </w:rPr>
            </w:pPr>
            <w:r>
              <w:rPr>
                <w:spacing w:val="-1"/>
                <w:sz w:val="21"/>
              </w:rPr>
              <w:t>填补退出研究后的数据。</w:t>
            </w:r>
          </w:p>
        </w:tc>
      </w:tr>
      <w:tr>
        <w:trPr>
          <w:trHeight w:val="337" w:hRule="atLeast"/>
        </w:trPr>
        <w:tc>
          <w:tcPr>
            <w:tcW w:w="3038" w:type="dxa"/>
            <w:tcBorders>
              <w:bottom w:val="nil"/>
            </w:tcBorders>
          </w:tcPr>
          <w:p>
            <w:pPr>
              <w:pStyle w:val="TableParagraph"/>
              <w:spacing w:before="38"/>
              <w:ind w:left="107"/>
              <w:rPr>
                <w:sz w:val="21"/>
              </w:rPr>
            </w:pPr>
            <w:r>
              <w:rPr>
                <w:spacing w:val="-12"/>
                <w:sz w:val="21"/>
              </w:rPr>
              <w:t>与 </w:t>
            </w:r>
            <w:r>
              <w:rPr>
                <w:rFonts w:ascii="Times New Roman" w:eastAsia="Times New Roman"/>
                <w:sz w:val="21"/>
              </w:rPr>
              <w:t>SoC</w:t>
            </w:r>
            <w:r>
              <w:rPr>
                <w:rFonts w:ascii="Times New Roman" w:eastAsia="Times New Roman"/>
                <w:spacing w:val="14"/>
                <w:sz w:val="21"/>
              </w:rPr>
              <w:t> </w:t>
            </w:r>
            <w:r>
              <w:rPr>
                <w:spacing w:val="-1"/>
                <w:sz w:val="21"/>
              </w:rPr>
              <w:t>添加安慰剂相比，评价</w:t>
            </w:r>
          </w:p>
        </w:tc>
        <w:tc>
          <w:tcPr>
            <w:tcW w:w="5720" w:type="dxa"/>
            <w:tcBorders>
              <w:bottom w:val="nil"/>
            </w:tcBorders>
          </w:tcPr>
          <w:p>
            <w:pPr>
              <w:pStyle w:val="TableParagraph"/>
              <w:spacing w:before="38"/>
              <w:ind w:left="107"/>
              <w:rPr>
                <w:sz w:val="21"/>
              </w:rPr>
            </w:pPr>
            <w:r>
              <w:rPr>
                <w:sz w:val="21"/>
              </w:rPr>
              <w:t>终点：需要住院治疗和</w:t>
            </w:r>
            <w:r>
              <w:rPr>
                <w:rFonts w:ascii="Times New Roman" w:eastAsia="Times New Roman"/>
                <w:sz w:val="21"/>
              </w:rPr>
              <w:t>/</w:t>
            </w:r>
            <w:r>
              <w:rPr>
                <w:spacing w:val="-14"/>
                <w:sz w:val="21"/>
              </w:rPr>
              <w:t>或 </w:t>
            </w:r>
            <w:r>
              <w:rPr>
                <w:rFonts w:ascii="Times New Roman" w:eastAsia="Times New Roman"/>
                <w:sz w:val="21"/>
              </w:rPr>
              <w:t>ER/ED</w:t>
            </w:r>
            <w:r>
              <w:rPr>
                <w:rFonts w:ascii="Times New Roman" w:eastAsia="Times New Roman"/>
                <w:spacing w:val="8"/>
                <w:sz w:val="21"/>
              </w:rPr>
              <w:t> </w:t>
            </w:r>
            <w:r>
              <w:rPr>
                <w:spacing w:val="-7"/>
                <w:sz w:val="21"/>
              </w:rPr>
              <w:t>就诊的 </w:t>
            </w:r>
            <w:r>
              <w:rPr>
                <w:rFonts w:ascii="Times New Roman" w:eastAsia="Times New Roman"/>
                <w:sz w:val="21"/>
              </w:rPr>
              <w:t>COPD</w:t>
            </w:r>
            <w:r>
              <w:rPr>
                <w:rFonts w:ascii="Times New Roman" w:eastAsia="Times New Roman"/>
                <w:spacing w:val="10"/>
                <w:sz w:val="21"/>
              </w:rPr>
              <w:t> </w:t>
            </w:r>
            <w:r>
              <w:rPr>
                <w:spacing w:val="-2"/>
                <w:sz w:val="21"/>
              </w:rPr>
              <w:t>急性加重年</w:t>
            </w:r>
          </w:p>
        </w:tc>
      </w:tr>
      <w:tr>
        <w:trPr>
          <w:trHeight w:val="316" w:hRule="atLeast"/>
        </w:trPr>
        <w:tc>
          <w:tcPr>
            <w:tcW w:w="3038" w:type="dxa"/>
            <w:tcBorders>
              <w:top w:val="nil"/>
              <w:bottom w:val="nil"/>
            </w:tcBorders>
          </w:tcPr>
          <w:p>
            <w:pPr>
              <w:pStyle w:val="TableParagraph"/>
              <w:spacing w:before="13"/>
              <w:ind w:left="107"/>
              <w:rPr>
                <w:rFonts w:ascii="Times New Roman" w:eastAsia="Times New Roman"/>
                <w:sz w:val="21"/>
              </w:rPr>
            </w:pPr>
            <w:r>
              <w:rPr>
                <w:rFonts w:ascii="Times New Roman" w:eastAsia="Times New Roman"/>
                <w:sz w:val="21"/>
              </w:rPr>
              <w:t>tozorakimab</w:t>
            </w:r>
            <w:r>
              <w:rPr>
                <w:rFonts w:ascii="Times New Roman" w:eastAsia="Times New Roman"/>
                <w:spacing w:val="-7"/>
                <w:sz w:val="21"/>
              </w:rPr>
              <w:t> </w:t>
            </w:r>
            <w:r>
              <w:rPr>
                <w:spacing w:val="-15"/>
                <w:sz w:val="21"/>
              </w:rPr>
              <w:t>联合 </w:t>
            </w:r>
            <w:r>
              <w:rPr>
                <w:rFonts w:ascii="Times New Roman" w:eastAsia="Times New Roman"/>
                <w:sz w:val="21"/>
              </w:rPr>
              <w:t>SoC</w:t>
            </w:r>
            <w:r>
              <w:rPr>
                <w:rFonts w:ascii="Times New Roman" w:eastAsia="Times New Roman"/>
                <w:spacing w:val="-3"/>
                <w:sz w:val="21"/>
              </w:rPr>
              <w:t> </w:t>
            </w:r>
            <w:r>
              <w:rPr>
                <w:spacing w:val="-23"/>
                <w:sz w:val="21"/>
              </w:rPr>
              <w:t>对 </w:t>
            </w:r>
            <w:r>
              <w:rPr>
                <w:rFonts w:ascii="Times New Roman" w:eastAsia="Times New Roman"/>
                <w:spacing w:val="-4"/>
                <w:sz w:val="21"/>
              </w:rPr>
              <w:t>COPD</w:t>
            </w:r>
          </w:p>
        </w:tc>
        <w:tc>
          <w:tcPr>
            <w:tcW w:w="5720" w:type="dxa"/>
            <w:tcBorders>
              <w:top w:val="nil"/>
              <w:bottom w:val="nil"/>
            </w:tcBorders>
          </w:tcPr>
          <w:p>
            <w:pPr>
              <w:pStyle w:val="TableParagraph"/>
              <w:spacing w:before="13"/>
              <w:ind w:left="107"/>
              <w:rPr>
                <w:sz w:val="21"/>
              </w:rPr>
            </w:pPr>
            <w:r>
              <w:rPr>
                <w:spacing w:val="-3"/>
                <w:sz w:val="21"/>
              </w:rPr>
              <w:t>发生率。</w:t>
            </w:r>
          </w:p>
        </w:tc>
      </w:tr>
      <w:tr>
        <w:trPr>
          <w:trHeight w:val="325" w:hRule="atLeast"/>
        </w:trPr>
        <w:tc>
          <w:tcPr>
            <w:tcW w:w="3038" w:type="dxa"/>
            <w:tcBorders>
              <w:top w:val="nil"/>
              <w:bottom w:val="nil"/>
            </w:tcBorders>
          </w:tcPr>
          <w:p>
            <w:pPr>
              <w:pStyle w:val="TableParagraph"/>
              <w:spacing w:before="10"/>
              <w:ind w:left="107"/>
              <w:rPr>
                <w:sz w:val="21"/>
              </w:rPr>
            </w:pPr>
            <w:r>
              <w:rPr>
                <w:spacing w:val="-1"/>
                <w:sz w:val="21"/>
              </w:rPr>
              <w:t>相关医疗保健资源利用的长期</w:t>
            </w:r>
          </w:p>
        </w:tc>
        <w:tc>
          <w:tcPr>
            <w:tcW w:w="5720" w:type="dxa"/>
            <w:tcBorders>
              <w:top w:val="nil"/>
              <w:bottom w:val="nil"/>
            </w:tcBorders>
          </w:tcPr>
          <w:p>
            <w:pPr>
              <w:pStyle w:val="TableParagraph"/>
              <w:spacing w:line="255" w:lineRule="exact" w:before="49"/>
              <w:ind w:left="107"/>
              <w:rPr>
                <w:sz w:val="21"/>
              </w:rPr>
            </w:pPr>
            <w:r>
              <w:rPr>
                <w:spacing w:val="-1"/>
                <w:sz w:val="21"/>
              </w:rPr>
              <w:t>汇总分析指标：风险比。</w:t>
            </w:r>
          </w:p>
        </w:tc>
      </w:tr>
      <w:tr>
        <w:trPr>
          <w:trHeight w:val="354" w:hRule="atLeast"/>
        </w:trPr>
        <w:tc>
          <w:tcPr>
            <w:tcW w:w="3038" w:type="dxa"/>
            <w:tcBorders>
              <w:top w:val="nil"/>
            </w:tcBorders>
          </w:tcPr>
          <w:p>
            <w:pPr>
              <w:pStyle w:val="TableParagraph"/>
              <w:spacing w:line="271" w:lineRule="exact"/>
              <w:ind w:left="107"/>
              <w:rPr>
                <w:sz w:val="21"/>
              </w:rPr>
            </w:pPr>
            <w:r>
              <w:rPr>
                <w:spacing w:val="-4"/>
                <w:sz w:val="21"/>
              </w:rPr>
              <w:t>影响。</w:t>
            </w:r>
          </w:p>
        </w:tc>
        <w:tc>
          <w:tcPr>
            <w:tcW w:w="5720" w:type="dxa"/>
            <w:tcBorders>
              <w:top w:val="nil"/>
            </w:tcBorders>
          </w:tcPr>
          <w:p>
            <w:pPr>
              <w:pStyle w:val="TableParagraph"/>
              <w:rPr>
                <w:rFonts w:ascii="Times New Roman"/>
                <w:sz w:val="20"/>
              </w:rPr>
            </w:pPr>
          </w:p>
        </w:tc>
      </w:tr>
    </w:tbl>
    <w:p>
      <w:pPr>
        <w:spacing w:after="0"/>
        <w:rPr>
          <w:rFonts w:ascii="Times New Roman"/>
          <w:sz w:val="20"/>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8"/>
        <w:gridCol w:w="5720"/>
      </w:tblGrid>
      <w:tr>
        <w:trPr>
          <w:trHeight w:val="352" w:hRule="atLeast"/>
        </w:trPr>
        <w:tc>
          <w:tcPr>
            <w:tcW w:w="3038" w:type="dxa"/>
          </w:tcPr>
          <w:p>
            <w:pPr>
              <w:pStyle w:val="TableParagraph"/>
              <w:spacing w:before="38"/>
              <w:ind w:left="10"/>
              <w:jc w:val="center"/>
              <w:rPr>
                <w:b/>
                <w:sz w:val="21"/>
              </w:rPr>
            </w:pPr>
            <w:r>
              <w:rPr>
                <w:b/>
                <w:spacing w:val="-4"/>
                <w:sz w:val="21"/>
              </w:rPr>
              <w:t>研究目的</w:t>
            </w:r>
          </w:p>
        </w:tc>
        <w:tc>
          <w:tcPr>
            <w:tcW w:w="5720" w:type="dxa"/>
          </w:tcPr>
          <w:p>
            <w:pPr>
              <w:pStyle w:val="TableParagraph"/>
              <w:spacing w:before="38"/>
              <w:ind w:left="8"/>
              <w:jc w:val="center"/>
              <w:rPr>
                <w:b/>
                <w:sz w:val="21"/>
              </w:rPr>
            </w:pPr>
            <w:r>
              <w:rPr>
                <w:b/>
                <w:spacing w:val="-2"/>
                <w:sz w:val="21"/>
              </w:rPr>
              <w:t>研究终点</w:t>
            </w:r>
            <w:r>
              <w:rPr>
                <w:rFonts w:ascii="Times New Roman" w:eastAsia="Times New Roman"/>
                <w:b/>
                <w:spacing w:val="-2"/>
                <w:sz w:val="21"/>
              </w:rPr>
              <w:t>/</w:t>
            </w:r>
            <w:r>
              <w:rPr>
                <w:b/>
                <w:spacing w:val="-4"/>
                <w:sz w:val="21"/>
              </w:rPr>
              <w:t>估计目标</w:t>
            </w:r>
          </w:p>
        </w:tc>
      </w:tr>
      <w:tr>
        <w:trPr>
          <w:trHeight w:val="1686" w:hRule="atLeast"/>
        </w:trPr>
        <w:tc>
          <w:tcPr>
            <w:tcW w:w="3038" w:type="dxa"/>
          </w:tcPr>
          <w:p>
            <w:pPr>
              <w:pStyle w:val="TableParagraph"/>
              <w:rPr>
                <w:rFonts w:ascii="Times New Roman"/>
                <w:sz w:val="20"/>
              </w:rPr>
            </w:pPr>
          </w:p>
        </w:tc>
        <w:tc>
          <w:tcPr>
            <w:tcW w:w="5720" w:type="dxa"/>
          </w:tcPr>
          <w:p>
            <w:pPr>
              <w:pStyle w:val="TableParagraph"/>
              <w:spacing w:line="270" w:lineRule="exact"/>
              <w:ind w:left="107"/>
              <w:rPr>
                <w:sz w:val="21"/>
              </w:rPr>
            </w:pPr>
            <w:r>
              <w:rPr>
                <w:spacing w:val="-1"/>
                <w:sz w:val="21"/>
              </w:rPr>
              <w:t>人群：全分析集，戒烟者。</w:t>
            </w:r>
          </w:p>
          <w:p>
            <w:pPr>
              <w:pStyle w:val="TableParagraph"/>
              <w:spacing w:before="81"/>
              <w:ind w:left="107"/>
              <w:rPr>
                <w:sz w:val="21"/>
              </w:rPr>
            </w:pPr>
            <w:r>
              <w:rPr>
                <w:spacing w:val="-1"/>
                <w:sz w:val="21"/>
              </w:rPr>
              <w:t>在戒烟者或吸烟者中进行的进一步关键次要分析。</w:t>
            </w:r>
          </w:p>
          <w:p>
            <w:pPr>
              <w:pStyle w:val="TableParagraph"/>
              <w:spacing w:line="276" w:lineRule="auto" w:before="80"/>
              <w:ind w:left="107" w:right="95"/>
              <w:jc w:val="both"/>
              <w:rPr>
                <w:sz w:val="21"/>
              </w:rPr>
            </w:pPr>
            <w:r>
              <w:rPr>
                <w:spacing w:val="2"/>
                <w:sz w:val="21"/>
              </w:rPr>
              <w:t>伴发事件：使用疗法策略，不考虑研究期间的治疗终止情</w:t>
            </w:r>
            <w:r>
              <w:rPr>
                <w:spacing w:val="-2"/>
                <w:sz w:val="21"/>
              </w:rPr>
              <w:t>况，并且基于退出研究的原因填补退出研究后的数据或填补</w:t>
            </w:r>
            <w:r>
              <w:rPr>
                <w:spacing w:val="-2"/>
                <w:sz w:val="21"/>
              </w:rPr>
              <w:t>重新随机化后的数据。</w:t>
            </w:r>
          </w:p>
        </w:tc>
      </w:tr>
      <w:tr>
        <w:trPr>
          <w:trHeight w:val="393" w:hRule="atLeast"/>
        </w:trPr>
        <w:tc>
          <w:tcPr>
            <w:tcW w:w="8758" w:type="dxa"/>
            <w:gridSpan w:val="2"/>
            <w:shd w:val="clear" w:color="auto" w:fill="D9D9D9"/>
          </w:tcPr>
          <w:p>
            <w:pPr>
              <w:pStyle w:val="TableParagraph"/>
              <w:spacing w:before="39"/>
              <w:ind w:left="107"/>
              <w:rPr>
                <w:b/>
                <w:sz w:val="21"/>
              </w:rPr>
            </w:pPr>
            <w:r>
              <w:rPr>
                <w:b/>
                <w:spacing w:val="-4"/>
                <w:sz w:val="21"/>
              </w:rPr>
              <w:t>次要目的</w:t>
            </w:r>
          </w:p>
        </w:tc>
      </w:tr>
      <w:tr>
        <w:trPr>
          <w:trHeight w:val="2392" w:hRule="atLeast"/>
        </w:trPr>
        <w:tc>
          <w:tcPr>
            <w:tcW w:w="3038" w:type="dxa"/>
          </w:tcPr>
          <w:p>
            <w:pPr>
              <w:pStyle w:val="TableParagraph"/>
              <w:spacing w:line="276" w:lineRule="auto" w:before="38"/>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对至首次</w:t>
            </w:r>
            <w:r>
              <w:rPr>
                <w:spacing w:val="-5"/>
                <w:sz w:val="21"/>
              </w:rPr>
              <w:t>中度至重度 </w:t>
            </w:r>
            <w:r>
              <w:rPr>
                <w:rFonts w:ascii="Times New Roman" w:eastAsia="Times New Roman"/>
                <w:sz w:val="21"/>
              </w:rPr>
              <w:t>COPD</w:t>
            </w:r>
            <w:r>
              <w:rPr>
                <w:rFonts w:ascii="Times New Roman" w:eastAsia="Times New Roman"/>
                <w:spacing w:val="-6"/>
                <w:sz w:val="21"/>
              </w:rPr>
              <w:t> </w:t>
            </w:r>
            <w:r>
              <w:rPr>
                <w:sz w:val="21"/>
              </w:rPr>
              <w:t>急性加重时</w:t>
            </w:r>
            <w:r>
              <w:rPr>
                <w:spacing w:val="-2"/>
                <w:sz w:val="21"/>
              </w:rPr>
              <w:t>间的长期影响。</w:t>
            </w:r>
          </w:p>
        </w:tc>
        <w:tc>
          <w:tcPr>
            <w:tcW w:w="5720" w:type="dxa"/>
          </w:tcPr>
          <w:p>
            <w:pPr>
              <w:pStyle w:val="TableParagraph"/>
              <w:spacing w:line="309" w:lineRule="auto" w:before="39"/>
              <w:ind w:left="107" w:right="955"/>
              <w:rPr>
                <w:sz w:val="21"/>
              </w:rPr>
            </w:pPr>
            <w:r>
              <w:rPr>
                <w:spacing w:val="-6"/>
                <w:sz w:val="21"/>
              </w:rPr>
              <w:t>终点：至首次中度至重度 </w:t>
            </w:r>
            <w:r>
              <w:rPr>
                <w:rFonts w:ascii="Times New Roman" w:eastAsia="Times New Roman"/>
                <w:spacing w:val="-2"/>
                <w:sz w:val="21"/>
              </w:rPr>
              <w:t>COPD</w:t>
            </w:r>
            <w:r>
              <w:rPr>
                <w:rFonts w:ascii="Times New Roman" w:eastAsia="Times New Roman"/>
                <w:spacing w:val="-7"/>
                <w:sz w:val="21"/>
              </w:rPr>
              <w:t> </w:t>
            </w:r>
            <w:r>
              <w:rPr>
                <w:spacing w:val="-2"/>
                <w:sz w:val="21"/>
              </w:rPr>
              <w:t>急性加重的时间。汇总分析指标：风险比</w:t>
            </w:r>
          </w:p>
          <w:p>
            <w:pPr>
              <w:pStyle w:val="TableParagraph"/>
              <w:spacing w:line="276" w:lineRule="auto" w:before="1"/>
              <w:ind w:left="107" w:right="103"/>
              <w:rPr>
                <w:sz w:val="21"/>
              </w:rPr>
            </w:pPr>
            <w:r>
              <w:rPr>
                <w:spacing w:val="-2"/>
                <w:sz w:val="21"/>
              </w:rPr>
              <w:t>人群：全分析集，戒烟者。在戒烟者或目前吸烟者中进行的进一步支持性分析。</w:t>
            </w:r>
          </w:p>
          <w:p>
            <w:pPr>
              <w:pStyle w:val="TableParagraph"/>
              <w:spacing w:line="276" w:lineRule="auto" w:before="38"/>
              <w:ind w:left="107" w:right="103"/>
              <w:jc w:val="both"/>
              <w:rPr>
                <w:sz w:val="21"/>
              </w:rPr>
            </w:pPr>
            <w:r>
              <w:rPr>
                <w:spacing w:val="-2"/>
                <w:sz w:val="21"/>
              </w:rPr>
              <w:t>伴发事件：在治策略。将剔除相关伴发事件（终止随机分配</w:t>
            </w:r>
            <w:r>
              <w:rPr>
                <w:spacing w:val="-2"/>
                <w:sz w:val="21"/>
              </w:rPr>
              <w:t>的治疗（允许给药间隔），开始使用禁用的生物制剂）发生后收集的数据。</w:t>
            </w:r>
          </w:p>
        </w:tc>
      </w:tr>
      <w:tr>
        <w:trPr>
          <w:trHeight w:val="2392" w:hRule="atLeast"/>
        </w:trPr>
        <w:tc>
          <w:tcPr>
            <w:tcW w:w="3038" w:type="dxa"/>
          </w:tcPr>
          <w:p>
            <w:pPr>
              <w:pStyle w:val="TableParagraph"/>
              <w:spacing w:line="276" w:lineRule="auto" w:before="38"/>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对中度至</w:t>
            </w:r>
            <w:r>
              <w:rPr>
                <w:spacing w:val="-9"/>
                <w:sz w:val="21"/>
              </w:rPr>
              <w:t>重度 </w:t>
            </w:r>
            <w:r>
              <w:rPr>
                <w:rFonts w:ascii="Times New Roman" w:eastAsia="Times New Roman"/>
                <w:sz w:val="21"/>
              </w:rPr>
              <w:t>COPD</w:t>
            </w:r>
            <w:r>
              <w:rPr>
                <w:rFonts w:ascii="Times New Roman" w:eastAsia="Times New Roman"/>
                <w:spacing w:val="-6"/>
                <w:sz w:val="21"/>
              </w:rPr>
              <w:t> </w:t>
            </w:r>
            <w:r>
              <w:rPr>
                <w:sz w:val="21"/>
              </w:rPr>
              <w:t>急性加重发生率的</w:t>
            </w:r>
            <w:r>
              <w:rPr>
                <w:spacing w:val="-2"/>
                <w:sz w:val="21"/>
              </w:rPr>
              <w:t>长期影响。</w:t>
            </w:r>
          </w:p>
        </w:tc>
        <w:tc>
          <w:tcPr>
            <w:tcW w:w="5720" w:type="dxa"/>
          </w:tcPr>
          <w:p>
            <w:pPr>
              <w:pStyle w:val="TableParagraph"/>
              <w:spacing w:line="309" w:lineRule="auto" w:before="39"/>
              <w:ind w:left="107" w:right="1166"/>
              <w:rPr>
                <w:sz w:val="21"/>
              </w:rPr>
            </w:pPr>
            <w:r>
              <w:rPr>
                <w:spacing w:val="-8"/>
                <w:sz w:val="21"/>
              </w:rPr>
              <w:t>终点：中度至重度 </w:t>
            </w:r>
            <w:r>
              <w:rPr>
                <w:rFonts w:ascii="Times New Roman" w:eastAsia="Times New Roman"/>
                <w:spacing w:val="-2"/>
                <w:sz w:val="21"/>
              </w:rPr>
              <w:t>COPD</w:t>
            </w:r>
            <w:r>
              <w:rPr>
                <w:rFonts w:ascii="Times New Roman" w:eastAsia="Times New Roman"/>
                <w:spacing w:val="-9"/>
                <w:sz w:val="21"/>
              </w:rPr>
              <w:t> </w:t>
            </w:r>
            <w:r>
              <w:rPr>
                <w:spacing w:val="-2"/>
                <w:sz w:val="21"/>
              </w:rPr>
              <w:t>急性加重的年发生率。汇总分析指标：发生率比值</w:t>
            </w:r>
          </w:p>
          <w:p>
            <w:pPr>
              <w:pStyle w:val="TableParagraph"/>
              <w:spacing w:line="276" w:lineRule="auto" w:before="1"/>
              <w:ind w:left="107" w:right="103"/>
              <w:rPr>
                <w:sz w:val="21"/>
              </w:rPr>
            </w:pPr>
            <w:r>
              <w:rPr>
                <w:spacing w:val="-2"/>
                <w:sz w:val="21"/>
              </w:rPr>
              <w:t>人群：全分析集，戒烟者。在戒烟者或吸烟者中进行的进一步支持性分析。</w:t>
            </w:r>
          </w:p>
          <w:p>
            <w:pPr>
              <w:pStyle w:val="TableParagraph"/>
              <w:spacing w:line="276" w:lineRule="auto" w:before="38"/>
              <w:ind w:left="107" w:right="103"/>
              <w:jc w:val="both"/>
              <w:rPr>
                <w:sz w:val="21"/>
              </w:rPr>
            </w:pPr>
            <w:r>
              <w:rPr>
                <w:spacing w:val="-2"/>
                <w:sz w:val="21"/>
              </w:rPr>
              <w:t>伴发事件：在治策略。将剔除相关伴发事件（终止随机分配</w:t>
            </w:r>
            <w:r>
              <w:rPr>
                <w:spacing w:val="-2"/>
                <w:sz w:val="21"/>
              </w:rPr>
              <w:t>的治疗（允许给药间隔），开始使用禁用的生物制剂）发生后收集的数据。</w:t>
            </w:r>
          </w:p>
        </w:tc>
      </w:tr>
      <w:tr>
        <w:trPr>
          <w:trHeight w:val="2392" w:hRule="atLeast"/>
        </w:trPr>
        <w:tc>
          <w:tcPr>
            <w:tcW w:w="3038" w:type="dxa"/>
          </w:tcPr>
          <w:p>
            <w:pPr>
              <w:pStyle w:val="TableParagraph"/>
              <w:spacing w:line="276" w:lineRule="auto" w:before="38"/>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对至全因死亡的时间的影响。</w:t>
            </w:r>
          </w:p>
        </w:tc>
        <w:tc>
          <w:tcPr>
            <w:tcW w:w="5720" w:type="dxa"/>
          </w:tcPr>
          <w:p>
            <w:pPr>
              <w:pStyle w:val="TableParagraph"/>
              <w:spacing w:line="309" w:lineRule="auto" w:before="39"/>
              <w:ind w:left="107" w:right="3080"/>
              <w:rPr>
                <w:sz w:val="21"/>
              </w:rPr>
            </w:pPr>
            <w:r>
              <w:rPr>
                <w:spacing w:val="-2"/>
                <w:sz w:val="21"/>
              </w:rPr>
              <w:t>终点：至全因死亡的时间。汇总分析指标：风险比</w:t>
            </w:r>
          </w:p>
          <w:p>
            <w:pPr>
              <w:pStyle w:val="TableParagraph"/>
              <w:spacing w:line="276" w:lineRule="auto"/>
              <w:ind w:left="107" w:right="103"/>
              <w:rPr>
                <w:sz w:val="21"/>
              </w:rPr>
            </w:pPr>
            <w:r>
              <w:rPr>
                <w:spacing w:val="-2"/>
                <w:sz w:val="21"/>
              </w:rPr>
              <w:t>人群：全分析集，戒烟者。在戒烟者或目前吸烟者中进行的进一步支持性分析。</w:t>
            </w:r>
          </w:p>
          <w:p>
            <w:pPr>
              <w:pStyle w:val="TableParagraph"/>
              <w:spacing w:line="276" w:lineRule="auto" w:before="39"/>
              <w:ind w:left="107" w:right="102"/>
              <w:jc w:val="both"/>
              <w:rPr>
                <w:sz w:val="21"/>
              </w:rPr>
            </w:pPr>
            <w:r>
              <w:rPr>
                <w:spacing w:val="2"/>
                <w:sz w:val="21"/>
              </w:rPr>
              <w:t>伴发事件：使用疗法策略，不考虑研究期间的治疗终止情</w:t>
            </w:r>
            <w:r>
              <w:rPr>
                <w:spacing w:val="-2"/>
                <w:sz w:val="21"/>
              </w:rPr>
              <w:t>况，并且填补重新随机化后的数据，或基于退出研究的原因填补退出研究后的数据。</w:t>
            </w:r>
          </w:p>
        </w:tc>
      </w:tr>
      <w:tr>
        <w:trPr>
          <w:trHeight w:val="706" w:hRule="atLeast"/>
        </w:trPr>
        <w:tc>
          <w:tcPr>
            <w:tcW w:w="3038" w:type="dxa"/>
          </w:tcPr>
          <w:p>
            <w:pPr>
              <w:pStyle w:val="TableParagraph"/>
              <w:spacing w:line="276" w:lineRule="auto" w:before="36"/>
              <w:ind w:left="107" w:right="96"/>
              <w:rPr>
                <w:sz w:val="21"/>
              </w:rPr>
            </w:pPr>
            <w:r>
              <w:rPr>
                <w:spacing w:val="-13"/>
                <w:sz w:val="21"/>
              </w:rPr>
              <w:t>评价 </w:t>
            </w:r>
            <w:r>
              <w:rPr>
                <w:rFonts w:ascii="Times New Roman" w:eastAsia="Times New Roman"/>
                <w:sz w:val="21"/>
              </w:rPr>
              <w:t>tozorakimab</w:t>
            </w:r>
            <w:r>
              <w:rPr>
                <w:rFonts w:ascii="Times New Roman" w:eastAsia="Times New Roman"/>
                <w:spacing w:val="-14"/>
                <w:sz w:val="21"/>
              </w:rPr>
              <w:t> </w:t>
            </w:r>
            <w:r>
              <w:rPr>
                <w:spacing w:val="-19"/>
                <w:sz w:val="21"/>
              </w:rPr>
              <w:t>的 </w:t>
            </w:r>
            <w:r>
              <w:rPr>
                <w:rFonts w:ascii="Times New Roman" w:eastAsia="Times New Roman"/>
                <w:sz w:val="21"/>
              </w:rPr>
              <w:t>PK</w:t>
            </w:r>
            <w:r>
              <w:rPr>
                <w:rFonts w:ascii="Times New Roman" w:eastAsia="Times New Roman"/>
                <w:spacing w:val="-13"/>
                <w:sz w:val="21"/>
              </w:rPr>
              <w:t> </w:t>
            </w:r>
            <w:r>
              <w:rPr>
                <w:sz w:val="21"/>
              </w:rPr>
              <w:t>和免疫</w:t>
            </w:r>
            <w:r>
              <w:rPr>
                <w:spacing w:val="-4"/>
                <w:sz w:val="21"/>
              </w:rPr>
              <w:t>原性。</w:t>
            </w:r>
          </w:p>
        </w:tc>
        <w:tc>
          <w:tcPr>
            <w:tcW w:w="5720" w:type="dxa"/>
          </w:tcPr>
          <w:p>
            <w:pPr>
              <w:pStyle w:val="TableParagraph"/>
              <w:numPr>
                <w:ilvl w:val="0"/>
                <w:numId w:val="8"/>
              </w:numPr>
              <w:tabs>
                <w:tab w:pos="532" w:val="left" w:leader="none"/>
              </w:tabs>
              <w:spacing w:line="240" w:lineRule="auto" w:before="59" w:after="0"/>
              <w:ind w:left="532" w:right="0" w:hanging="425"/>
              <w:jc w:val="left"/>
              <w:rPr>
                <w:sz w:val="21"/>
              </w:rPr>
            </w:pPr>
            <w:r>
              <w:rPr>
                <w:spacing w:val="-9"/>
                <w:sz w:val="21"/>
              </w:rPr>
              <w:t>治疗期间 </w:t>
            </w:r>
            <w:r>
              <w:rPr>
                <w:rFonts w:ascii="Times New Roman" w:hAnsi="Times New Roman" w:eastAsia="Times New Roman"/>
                <w:spacing w:val="-2"/>
                <w:sz w:val="21"/>
              </w:rPr>
              <w:t>tozorakimab</w:t>
            </w:r>
            <w:r>
              <w:rPr>
                <w:rFonts w:ascii="Times New Roman" w:hAnsi="Times New Roman" w:eastAsia="Times New Roman"/>
                <w:spacing w:val="8"/>
                <w:sz w:val="21"/>
              </w:rPr>
              <w:t> </w:t>
            </w:r>
            <w:r>
              <w:rPr>
                <w:spacing w:val="-4"/>
                <w:sz w:val="21"/>
              </w:rPr>
              <w:t>的血清谷浓度。</w:t>
            </w:r>
          </w:p>
          <w:p>
            <w:pPr>
              <w:pStyle w:val="TableParagraph"/>
              <w:numPr>
                <w:ilvl w:val="0"/>
                <w:numId w:val="8"/>
              </w:numPr>
              <w:tabs>
                <w:tab w:pos="532" w:val="left" w:leader="none"/>
              </w:tabs>
              <w:spacing w:line="240" w:lineRule="auto" w:before="38" w:after="0"/>
              <w:ind w:left="532" w:right="0" w:hanging="425"/>
              <w:jc w:val="left"/>
              <w:rPr>
                <w:sz w:val="21"/>
              </w:rPr>
            </w:pPr>
            <w:r>
              <w:rPr>
                <w:spacing w:val="-2"/>
                <w:sz w:val="21"/>
              </w:rPr>
              <w:t>抗药抗体的存在。</w:t>
            </w:r>
          </w:p>
        </w:tc>
      </w:tr>
      <w:tr>
        <w:trPr>
          <w:trHeight w:val="393" w:hRule="atLeast"/>
        </w:trPr>
        <w:tc>
          <w:tcPr>
            <w:tcW w:w="8758" w:type="dxa"/>
            <w:gridSpan w:val="2"/>
            <w:shd w:val="clear" w:color="auto" w:fill="D9D9D9"/>
          </w:tcPr>
          <w:p>
            <w:pPr>
              <w:pStyle w:val="TableParagraph"/>
              <w:spacing w:before="38"/>
              <w:ind w:left="107"/>
              <w:rPr>
                <w:b/>
                <w:sz w:val="21"/>
              </w:rPr>
            </w:pPr>
            <w:r>
              <w:rPr>
                <w:b/>
                <w:spacing w:val="-5"/>
                <w:sz w:val="21"/>
              </w:rPr>
              <w:t>安全性</w:t>
            </w:r>
          </w:p>
        </w:tc>
      </w:tr>
      <w:tr>
        <w:trPr>
          <w:trHeight w:val="2580" w:hRule="atLeast"/>
        </w:trPr>
        <w:tc>
          <w:tcPr>
            <w:tcW w:w="3038" w:type="dxa"/>
          </w:tcPr>
          <w:p>
            <w:pPr>
              <w:pStyle w:val="TableParagraph"/>
              <w:spacing w:line="276" w:lineRule="auto" w:before="36"/>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的长期安全性和耐受性。</w:t>
            </w:r>
          </w:p>
        </w:tc>
        <w:tc>
          <w:tcPr>
            <w:tcW w:w="5720" w:type="dxa"/>
          </w:tcPr>
          <w:p>
            <w:pPr>
              <w:pStyle w:val="TableParagraph"/>
              <w:spacing w:before="38"/>
              <w:ind w:left="107"/>
              <w:rPr>
                <w:sz w:val="21"/>
              </w:rPr>
            </w:pPr>
            <w:r>
              <w:rPr>
                <w:rFonts w:ascii="Times New Roman" w:eastAsia="Times New Roman"/>
                <w:spacing w:val="-2"/>
                <w:sz w:val="21"/>
              </w:rPr>
              <w:t>AE</w:t>
            </w:r>
            <w:r>
              <w:rPr>
                <w:spacing w:val="-4"/>
                <w:sz w:val="21"/>
              </w:rPr>
              <w:t>、生命体征、实验室评估和 </w:t>
            </w:r>
            <w:r>
              <w:rPr>
                <w:rFonts w:ascii="Times New Roman" w:eastAsia="Times New Roman"/>
                <w:spacing w:val="-2"/>
                <w:sz w:val="21"/>
              </w:rPr>
              <w:t>ECG</w:t>
            </w:r>
            <w:r>
              <w:rPr>
                <w:spacing w:val="-2"/>
                <w:sz w:val="21"/>
              </w:rPr>
              <w:t>。</w:t>
            </w:r>
            <w:r>
              <w:rPr>
                <w:rFonts w:ascii="Times New Roman" w:eastAsia="Times New Roman"/>
                <w:spacing w:val="-2"/>
                <w:sz w:val="21"/>
              </w:rPr>
              <w:t>AE</w:t>
            </w:r>
            <w:r>
              <w:rPr>
                <w:rFonts w:ascii="Times New Roman" w:eastAsia="Times New Roman"/>
                <w:spacing w:val="11"/>
                <w:sz w:val="21"/>
              </w:rPr>
              <w:t> </w:t>
            </w:r>
            <w:r>
              <w:rPr>
                <w:spacing w:val="-4"/>
                <w:sz w:val="21"/>
              </w:rPr>
              <w:t>相关评估包括：</w:t>
            </w:r>
          </w:p>
          <w:p>
            <w:pPr>
              <w:pStyle w:val="TableParagraph"/>
              <w:numPr>
                <w:ilvl w:val="0"/>
                <w:numId w:val="9"/>
              </w:numPr>
              <w:tabs>
                <w:tab w:pos="532" w:val="left" w:leader="none"/>
              </w:tabs>
              <w:spacing w:line="240" w:lineRule="auto" w:before="79" w:after="0"/>
              <w:ind w:left="532" w:right="0" w:hanging="425"/>
              <w:jc w:val="left"/>
              <w:rPr>
                <w:sz w:val="21"/>
              </w:rPr>
            </w:pPr>
            <w:r>
              <w:rPr>
                <w:sz w:val="21"/>
              </w:rPr>
              <w:t>发生率</w:t>
            </w:r>
            <w:r>
              <w:rPr>
                <w:rFonts w:ascii="Times New Roman" w:hAnsi="Times New Roman" w:eastAsia="Times New Roman"/>
                <w:sz w:val="21"/>
              </w:rPr>
              <w:t>/</w:t>
            </w:r>
            <w:r>
              <w:rPr>
                <w:spacing w:val="-2"/>
                <w:sz w:val="21"/>
              </w:rPr>
              <w:t>发生频率。</w:t>
            </w:r>
          </w:p>
          <w:p>
            <w:pPr>
              <w:pStyle w:val="TableParagraph"/>
              <w:numPr>
                <w:ilvl w:val="0"/>
                <w:numId w:val="9"/>
              </w:numPr>
              <w:tabs>
                <w:tab w:pos="532" w:val="left" w:leader="none"/>
              </w:tabs>
              <w:spacing w:line="240" w:lineRule="auto" w:before="39" w:after="0"/>
              <w:ind w:left="532" w:right="0" w:hanging="425"/>
              <w:jc w:val="left"/>
              <w:rPr>
                <w:sz w:val="21"/>
              </w:rPr>
            </w:pPr>
            <w:r>
              <w:rPr>
                <w:spacing w:val="-27"/>
                <w:sz w:val="21"/>
              </w:rPr>
              <w:t>与 </w:t>
            </w:r>
            <w:r>
              <w:rPr>
                <w:rFonts w:ascii="Times New Roman" w:hAnsi="Times New Roman" w:eastAsia="Times New Roman"/>
                <w:sz w:val="21"/>
              </w:rPr>
              <w:t>IP</w:t>
            </w:r>
            <w:r>
              <w:rPr>
                <w:rFonts w:ascii="Times New Roman" w:hAnsi="Times New Roman" w:eastAsia="Times New Roman"/>
                <w:spacing w:val="-12"/>
                <w:sz w:val="21"/>
              </w:rPr>
              <w:t> </w:t>
            </w:r>
            <w:r>
              <w:rPr>
                <w:spacing w:val="-1"/>
                <w:sz w:val="21"/>
              </w:rPr>
              <w:t>的关系，根据研究者的评估。</w:t>
            </w:r>
          </w:p>
          <w:p>
            <w:pPr>
              <w:pStyle w:val="TableParagraph"/>
              <w:numPr>
                <w:ilvl w:val="0"/>
                <w:numId w:val="9"/>
              </w:numPr>
              <w:tabs>
                <w:tab w:pos="532" w:val="left" w:leader="none"/>
              </w:tabs>
              <w:spacing w:line="240" w:lineRule="auto" w:before="41" w:after="0"/>
              <w:ind w:left="532" w:right="0" w:hanging="425"/>
              <w:jc w:val="left"/>
              <w:rPr>
                <w:sz w:val="21"/>
              </w:rPr>
            </w:pPr>
            <w:r>
              <w:rPr>
                <w:spacing w:val="-2"/>
                <w:sz w:val="21"/>
              </w:rPr>
              <w:t>严重程度。</w:t>
            </w:r>
          </w:p>
          <w:p>
            <w:pPr>
              <w:pStyle w:val="TableParagraph"/>
              <w:numPr>
                <w:ilvl w:val="0"/>
                <w:numId w:val="9"/>
              </w:numPr>
              <w:tabs>
                <w:tab w:pos="532" w:val="left" w:leader="none"/>
              </w:tabs>
              <w:spacing w:line="240" w:lineRule="auto" w:before="39" w:after="0"/>
              <w:ind w:left="532" w:right="0" w:hanging="425"/>
              <w:jc w:val="left"/>
              <w:rPr>
                <w:sz w:val="21"/>
              </w:rPr>
            </w:pPr>
            <w:r>
              <w:rPr>
                <w:spacing w:val="-3"/>
                <w:sz w:val="21"/>
              </w:rPr>
              <w:t>严重性。</w:t>
            </w:r>
          </w:p>
          <w:p>
            <w:pPr>
              <w:pStyle w:val="TableParagraph"/>
              <w:numPr>
                <w:ilvl w:val="0"/>
                <w:numId w:val="9"/>
              </w:numPr>
              <w:tabs>
                <w:tab w:pos="532" w:val="left" w:leader="none"/>
              </w:tabs>
              <w:spacing w:line="240" w:lineRule="auto" w:before="39" w:after="0"/>
              <w:ind w:left="532" w:right="0" w:hanging="425"/>
              <w:jc w:val="left"/>
              <w:rPr>
                <w:sz w:val="21"/>
              </w:rPr>
            </w:pPr>
            <w:r>
              <w:rPr>
                <w:spacing w:val="-4"/>
                <w:sz w:val="21"/>
              </w:rPr>
              <w:t>死亡。</w:t>
            </w:r>
          </w:p>
          <w:p>
            <w:pPr>
              <w:pStyle w:val="TableParagraph"/>
              <w:numPr>
                <w:ilvl w:val="0"/>
                <w:numId w:val="9"/>
              </w:numPr>
              <w:tabs>
                <w:tab w:pos="532" w:val="left" w:leader="none"/>
              </w:tabs>
              <w:spacing w:line="240" w:lineRule="auto" w:before="40" w:after="0"/>
              <w:ind w:left="532" w:right="0" w:hanging="425"/>
              <w:jc w:val="left"/>
              <w:rPr>
                <w:sz w:val="21"/>
              </w:rPr>
            </w:pPr>
            <w:r>
              <w:rPr>
                <w:spacing w:val="-18"/>
                <w:sz w:val="21"/>
              </w:rPr>
              <w:t>导致 </w:t>
            </w:r>
            <w:r>
              <w:rPr>
                <w:rFonts w:ascii="Times New Roman" w:hAnsi="Times New Roman" w:eastAsia="Times New Roman"/>
                <w:sz w:val="21"/>
              </w:rPr>
              <w:t>IP</w:t>
            </w:r>
            <w:r>
              <w:rPr>
                <w:rFonts w:ascii="Times New Roman" w:hAnsi="Times New Roman" w:eastAsia="Times New Roman"/>
                <w:spacing w:val="-13"/>
                <w:sz w:val="21"/>
              </w:rPr>
              <w:t> </w:t>
            </w:r>
            <w:r>
              <w:rPr>
                <w:spacing w:val="-14"/>
                <w:sz w:val="21"/>
              </w:rPr>
              <w:t>终止的 </w:t>
            </w:r>
            <w:r>
              <w:rPr>
                <w:rFonts w:ascii="Times New Roman" w:hAnsi="Times New Roman" w:eastAsia="Times New Roman"/>
                <w:sz w:val="21"/>
              </w:rPr>
              <w:t>AE</w:t>
            </w:r>
            <w:r>
              <w:rPr>
                <w:spacing w:val="-10"/>
                <w:sz w:val="21"/>
              </w:rPr>
              <w:t>。</w:t>
            </w:r>
          </w:p>
          <w:p>
            <w:pPr>
              <w:pStyle w:val="TableParagraph"/>
              <w:numPr>
                <w:ilvl w:val="0"/>
                <w:numId w:val="9"/>
              </w:numPr>
              <w:tabs>
                <w:tab w:pos="532" w:val="left" w:leader="none"/>
              </w:tabs>
              <w:spacing w:line="240" w:lineRule="auto" w:before="39" w:after="0"/>
              <w:ind w:left="532" w:right="0" w:hanging="425"/>
              <w:jc w:val="left"/>
              <w:rPr>
                <w:sz w:val="21"/>
              </w:rPr>
            </w:pPr>
            <w:r>
              <w:rPr>
                <w:spacing w:val="-10"/>
                <w:sz w:val="21"/>
              </w:rPr>
              <w:t>其他重要 </w:t>
            </w:r>
            <w:r>
              <w:rPr>
                <w:rFonts w:ascii="Times New Roman" w:hAnsi="Times New Roman" w:eastAsia="Times New Roman"/>
                <w:spacing w:val="-2"/>
                <w:sz w:val="21"/>
              </w:rPr>
              <w:t>AE</w:t>
            </w:r>
            <w:r>
              <w:rPr>
                <w:spacing w:val="-10"/>
                <w:sz w:val="21"/>
              </w:rPr>
              <w:t>。</w:t>
            </w:r>
          </w:p>
        </w:tc>
      </w:tr>
    </w:tbl>
    <w:p>
      <w:pPr>
        <w:spacing w:after="0" w:line="240" w:lineRule="auto"/>
        <w:jc w:val="left"/>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8"/>
        <w:gridCol w:w="5720"/>
      </w:tblGrid>
      <w:tr>
        <w:trPr>
          <w:trHeight w:val="352" w:hRule="atLeast"/>
        </w:trPr>
        <w:tc>
          <w:tcPr>
            <w:tcW w:w="3038" w:type="dxa"/>
          </w:tcPr>
          <w:p>
            <w:pPr>
              <w:pStyle w:val="TableParagraph"/>
              <w:spacing w:before="38"/>
              <w:ind w:left="10"/>
              <w:jc w:val="center"/>
              <w:rPr>
                <w:b/>
                <w:sz w:val="21"/>
              </w:rPr>
            </w:pPr>
            <w:r>
              <w:rPr>
                <w:b/>
                <w:spacing w:val="-4"/>
                <w:sz w:val="21"/>
              </w:rPr>
              <w:t>研究目的</w:t>
            </w:r>
          </w:p>
        </w:tc>
        <w:tc>
          <w:tcPr>
            <w:tcW w:w="5720" w:type="dxa"/>
          </w:tcPr>
          <w:p>
            <w:pPr>
              <w:pStyle w:val="TableParagraph"/>
              <w:spacing w:before="38"/>
              <w:ind w:left="8"/>
              <w:jc w:val="center"/>
              <w:rPr>
                <w:b/>
                <w:sz w:val="21"/>
              </w:rPr>
            </w:pPr>
            <w:r>
              <w:rPr>
                <w:b/>
                <w:spacing w:val="-2"/>
                <w:sz w:val="21"/>
              </w:rPr>
              <w:t>研究终点</w:t>
            </w:r>
            <w:r>
              <w:rPr>
                <w:rFonts w:ascii="Times New Roman" w:eastAsia="Times New Roman"/>
                <w:b/>
                <w:spacing w:val="-2"/>
                <w:sz w:val="21"/>
              </w:rPr>
              <w:t>/</w:t>
            </w:r>
            <w:r>
              <w:rPr>
                <w:b/>
                <w:spacing w:val="-4"/>
                <w:sz w:val="21"/>
              </w:rPr>
              <w:t>估计目标</w:t>
            </w:r>
          </w:p>
        </w:tc>
      </w:tr>
      <w:tr>
        <w:trPr>
          <w:trHeight w:val="393" w:hRule="atLeast"/>
        </w:trPr>
        <w:tc>
          <w:tcPr>
            <w:tcW w:w="8758" w:type="dxa"/>
            <w:gridSpan w:val="2"/>
            <w:shd w:val="clear" w:color="auto" w:fill="D9D9D9"/>
          </w:tcPr>
          <w:p>
            <w:pPr>
              <w:pStyle w:val="TableParagraph"/>
              <w:spacing w:before="38"/>
              <w:ind w:left="107"/>
              <w:rPr>
                <w:rFonts w:ascii="Times New Roman" w:eastAsia="Times New Roman"/>
                <w:b/>
                <w:sz w:val="21"/>
              </w:rPr>
            </w:pPr>
            <w:r>
              <w:rPr>
                <w:b/>
                <w:spacing w:val="-15"/>
                <w:sz w:val="21"/>
              </w:rPr>
              <w:t>探索性 </w:t>
            </w:r>
            <w:r>
              <w:rPr>
                <w:rFonts w:ascii="Times New Roman" w:eastAsia="Times New Roman"/>
                <w:b/>
                <w:spacing w:val="-10"/>
                <w:sz w:val="21"/>
                <w:vertAlign w:val="superscript"/>
              </w:rPr>
              <w:t>a</w:t>
            </w:r>
          </w:p>
        </w:tc>
      </w:tr>
      <w:tr>
        <w:trPr>
          <w:trHeight w:val="1290" w:hRule="atLeast"/>
        </w:trPr>
        <w:tc>
          <w:tcPr>
            <w:tcW w:w="3038" w:type="dxa"/>
          </w:tcPr>
          <w:p>
            <w:pPr>
              <w:pStyle w:val="TableParagraph"/>
              <w:spacing w:line="276" w:lineRule="auto" w:before="36"/>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对肺功能的长期影响。</w:t>
            </w:r>
          </w:p>
        </w:tc>
        <w:tc>
          <w:tcPr>
            <w:tcW w:w="5720" w:type="dxa"/>
          </w:tcPr>
          <w:p>
            <w:pPr>
              <w:pStyle w:val="TableParagraph"/>
              <w:numPr>
                <w:ilvl w:val="0"/>
                <w:numId w:val="10"/>
              </w:numPr>
              <w:tabs>
                <w:tab w:pos="532" w:val="left" w:leader="none"/>
              </w:tabs>
              <w:spacing w:line="240" w:lineRule="auto" w:before="38" w:after="0"/>
              <w:ind w:left="532" w:right="0" w:hanging="425"/>
              <w:jc w:val="left"/>
              <w:rPr>
                <w:sz w:val="21"/>
              </w:rPr>
            </w:pPr>
            <w:r>
              <w:rPr>
                <w:spacing w:val="-8"/>
                <w:sz w:val="21"/>
              </w:rPr>
              <w:t>研究期间 </w:t>
            </w:r>
            <w:r>
              <w:rPr>
                <w:rFonts w:ascii="Times New Roman" w:hAnsi="Times New Roman" w:eastAsia="Times New Roman"/>
                <w:spacing w:val="-2"/>
                <w:sz w:val="21"/>
              </w:rPr>
              <w:t>FEV</w:t>
            </w:r>
            <w:r>
              <w:rPr>
                <w:rFonts w:ascii="Times New Roman" w:hAnsi="Times New Roman" w:eastAsia="Times New Roman"/>
                <w:spacing w:val="-2"/>
                <w:sz w:val="21"/>
                <w:vertAlign w:val="subscript"/>
              </w:rPr>
              <w:t>1</w:t>
            </w:r>
            <w:r>
              <w:rPr>
                <w:rFonts w:ascii="Times New Roman" w:hAnsi="Times New Roman" w:eastAsia="Times New Roman"/>
                <w:spacing w:val="-11"/>
                <w:sz w:val="21"/>
                <w:vertAlign w:val="baseline"/>
              </w:rPr>
              <w:t> </w:t>
            </w:r>
            <w:r>
              <w:rPr>
                <w:spacing w:val="-2"/>
                <w:sz w:val="21"/>
                <w:vertAlign w:val="baseline"/>
              </w:rPr>
              <w:t>谷值（</w:t>
            </w:r>
            <w:r>
              <w:rPr>
                <w:rFonts w:ascii="Times New Roman" w:hAnsi="Times New Roman" w:eastAsia="Times New Roman"/>
                <w:spacing w:val="-2"/>
                <w:sz w:val="21"/>
                <w:vertAlign w:val="baseline"/>
              </w:rPr>
              <w:t>mL</w:t>
            </w:r>
            <w:r>
              <w:rPr>
                <w:spacing w:val="-2"/>
                <w:sz w:val="21"/>
                <w:vertAlign w:val="baseline"/>
              </w:rPr>
              <w:t>）</w:t>
            </w:r>
            <w:r>
              <w:rPr>
                <w:spacing w:val="-3"/>
                <w:sz w:val="21"/>
                <w:vertAlign w:val="baseline"/>
              </w:rPr>
              <w:t>相对于基线的变化。</w:t>
            </w:r>
          </w:p>
          <w:p>
            <w:pPr>
              <w:pStyle w:val="TableParagraph"/>
              <w:numPr>
                <w:ilvl w:val="0"/>
                <w:numId w:val="10"/>
              </w:numPr>
              <w:tabs>
                <w:tab w:pos="532" w:val="left" w:leader="none"/>
              </w:tabs>
              <w:spacing w:line="240" w:lineRule="auto" w:before="39" w:after="0"/>
              <w:ind w:left="532" w:right="0" w:hanging="425"/>
              <w:jc w:val="left"/>
              <w:rPr>
                <w:sz w:val="21"/>
              </w:rPr>
            </w:pPr>
            <w:r>
              <w:rPr>
                <w:spacing w:val="-10"/>
                <w:sz w:val="21"/>
              </w:rPr>
              <w:t>研究期间 </w:t>
            </w:r>
            <w:r>
              <w:rPr>
                <w:rFonts w:ascii="Times New Roman" w:hAnsi="Times New Roman" w:eastAsia="Times New Roman"/>
                <w:spacing w:val="-2"/>
                <w:sz w:val="21"/>
              </w:rPr>
              <w:t>BD</w:t>
            </w:r>
            <w:r>
              <w:rPr>
                <w:rFonts w:ascii="Times New Roman" w:hAnsi="Times New Roman" w:eastAsia="Times New Roman"/>
                <w:spacing w:val="2"/>
                <w:sz w:val="21"/>
              </w:rPr>
              <w:t> </w:t>
            </w:r>
            <w:r>
              <w:rPr>
                <w:spacing w:val="-11"/>
                <w:sz w:val="21"/>
              </w:rPr>
              <w:t>给药后 </w:t>
            </w:r>
            <w:r>
              <w:rPr>
                <w:rFonts w:ascii="Times New Roman" w:hAnsi="Times New Roman" w:eastAsia="Times New Roman"/>
                <w:spacing w:val="-2"/>
                <w:sz w:val="21"/>
              </w:rPr>
              <w:t>FEV</w:t>
            </w:r>
            <w:r>
              <w:rPr>
                <w:rFonts w:ascii="Times New Roman" w:hAnsi="Times New Roman" w:eastAsia="Times New Roman"/>
                <w:spacing w:val="-2"/>
                <w:sz w:val="21"/>
                <w:vertAlign w:val="subscript"/>
              </w:rPr>
              <w:t>1</w:t>
            </w:r>
            <w:r>
              <w:rPr>
                <w:spacing w:val="-2"/>
                <w:sz w:val="21"/>
                <w:vertAlign w:val="baseline"/>
              </w:rPr>
              <w:t>（</w:t>
            </w:r>
            <w:r>
              <w:rPr>
                <w:rFonts w:ascii="Times New Roman" w:hAnsi="Times New Roman" w:eastAsia="Times New Roman"/>
                <w:spacing w:val="-2"/>
                <w:sz w:val="21"/>
                <w:vertAlign w:val="baseline"/>
              </w:rPr>
              <w:t>mL</w:t>
            </w:r>
            <w:r>
              <w:rPr>
                <w:spacing w:val="-2"/>
                <w:sz w:val="21"/>
                <w:vertAlign w:val="baseline"/>
              </w:rPr>
              <w:t>）</w:t>
            </w:r>
            <w:r>
              <w:rPr>
                <w:spacing w:val="-3"/>
                <w:sz w:val="21"/>
                <w:vertAlign w:val="baseline"/>
              </w:rPr>
              <w:t>相对于基线的变化。</w:t>
            </w:r>
          </w:p>
          <w:p>
            <w:pPr>
              <w:pStyle w:val="TableParagraph"/>
              <w:numPr>
                <w:ilvl w:val="0"/>
                <w:numId w:val="10"/>
              </w:numPr>
              <w:tabs>
                <w:tab w:pos="532" w:val="left" w:leader="none"/>
              </w:tabs>
              <w:spacing w:line="240" w:lineRule="auto" w:before="39" w:after="0"/>
              <w:ind w:left="532" w:right="0" w:hanging="425"/>
              <w:jc w:val="left"/>
              <w:rPr>
                <w:sz w:val="21"/>
              </w:rPr>
            </w:pPr>
            <w:r>
              <w:rPr>
                <w:spacing w:val="-9"/>
                <w:sz w:val="21"/>
              </w:rPr>
              <w:t>研究期间 </w:t>
            </w:r>
            <w:r>
              <w:rPr>
                <w:rFonts w:ascii="Times New Roman" w:hAnsi="Times New Roman" w:eastAsia="Times New Roman"/>
                <w:spacing w:val="-2"/>
                <w:sz w:val="21"/>
              </w:rPr>
              <w:t>FEV</w:t>
            </w:r>
            <w:r>
              <w:rPr>
                <w:rFonts w:ascii="Times New Roman" w:hAnsi="Times New Roman" w:eastAsia="Times New Roman"/>
                <w:spacing w:val="-2"/>
                <w:sz w:val="21"/>
                <w:vertAlign w:val="subscript"/>
              </w:rPr>
              <w:t>1</w:t>
            </w:r>
            <w:r>
              <w:rPr>
                <w:rFonts w:ascii="Times New Roman" w:hAnsi="Times New Roman" w:eastAsia="Times New Roman"/>
                <w:spacing w:val="-13"/>
                <w:sz w:val="21"/>
                <w:vertAlign w:val="baseline"/>
              </w:rPr>
              <w:t> </w:t>
            </w:r>
            <w:r>
              <w:rPr>
                <w:spacing w:val="-2"/>
                <w:sz w:val="21"/>
                <w:vertAlign w:val="baseline"/>
              </w:rPr>
              <w:t>谷值（</w:t>
            </w:r>
            <w:r>
              <w:rPr>
                <w:rFonts w:ascii="Times New Roman" w:hAnsi="Times New Roman" w:eastAsia="Times New Roman"/>
                <w:spacing w:val="-2"/>
                <w:sz w:val="21"/>
                <w:vertAlign w:val="baseline"/>
              </w:rPr>
              <w:t>mL</w:t>
            </w:r>
            <w:r>
              <w:rPr>
                <w:spacing w:val="-2"/>
                <w:sz w:val="21"/>
                <w:vertAlign w:val="baseline"/>
              </w:rPr>
              <w:t>）</w:t>
            </w:r>
            <w:r>
              <w:rPr>
                <w:spacing w:val="-4"/>
                <w:sz w:val="21"/>
                <w:vertAlign w:val="baseline"/>
              </w:rPr>
              <w:t>的下降速率。</w:t>
            </w:r>
          </w:p>
          <w:p>
            <w:pPr>
              <w:pStyle w:val="TableParagraph"/>
              <w:numPr>
                <w:ilvl w:val="0"/>
                <w:numId w:val="10"/>
              </w:numPr>
              <w:tabs>
                <w:tab w:pos="532" w:val="left" w:leader="none"/>
              </w:tabs>
              <w:spacing w:line="240" w:lineRule="auto" w:before="39" w:after="0"/>
              <w:ind w:left="532" w:right="0" w:hanging="425"/>
              <w:jc w:val="left"/>
              <w:rPr>
                <w:sz w:val="21"/>
              </w:rPr>
            </w:pPr>
            <w:r>
              <w:rPr>
                <w:spacing w:val="-10"/>
                <w:sz w:val="21"/>
              </w:rPr>
              <w:t>研究期间 </w:t>
            </w:r>
            <w:r>
              <w:rPr>
                <w:rFonts w:ascii="Times New Roman" w:hAnsi="Times New Roman" w:eastAsia="Times New Roman"/>
                <w:spacing w:val="-2"/>
                <w:sz w:val="21"/>
              </w:rPr>
              <w:t>BD</w:t>
            </w:r>
            <w:r>
              <w:rPr>
                <w:rFonts w:ascii="Times New Roman" w:hAnsi="Times New Roman" w:eastAsia="Times New Roman"/>
                <w:sz w:val="21"/>
              </w:rPr>
              <w:t> </w:t>
            </w:r>
            <w:r>
              <w:rPr>
                <w:spacing w:val="-11"/>
                <w:sz w:val="21"/>
              </w:rPr>
              <w:t>给药后 </w:t>
            </w:r>
            <w:r>
              <w:rPr>
                <w:rFonts w:ascii="Times New Roman" w:hAnsi="Times New Roman" w:eastAsia="Times New Roman"/>
                <w:spacing w:val="-2"/>
                <w:sz w:val="21"/>
              </w:rPr>
              <w:t>FEV</w:t>
            </w:r>
            <w:r>
              <w:rPr>
                <w:rFonts w:ascii="Times New Roman" w:hAnsi="Times New Roman" w:eastAsia="Times New Roman"/>
                <w:spacing w:val="-2"/>
                <w:sz w:val="21"/>
                <w:vertAlign w:val="subscript"/>
              </w:rPr>
              <w:t>1</w:t>
            </w:r>
            <w:r>
              <w:rPr>
                <w:spacing w:val="-2"/>
                <w:sz w:val="21"/>
                <w:vertAlign w:val="baseline"/>
              </w:rPr>
              <w:t>（</w:t>
            </w:r>
            <w:r>
              <w:rPr>
                <w:rFonts w:ascii="Times New Roman" w:hAnsi="Times New Roman" w:eastAsia="Times New Roman"/>
                <w:spacing w:val="-2"/>
                <w:sz w:val="21"/>
                <w:vertAlign w:val="baseline"/>
              </w:rPr>
              <w:t>mL</w:t>
            </w:r>
            <w:r>
              <w:rPr>
                <w:spacing w:val="-2"/>
                <w:sz w:val="21"/>
                <w:vertAlign w:val="baseline"/>
              </w:rPr>
              <w:t>）</w:t>
            </w:r>
            <w:r>
              <w:rPr>
                <w:spacing w:val="-4"/>
                <w:sz w:val="21"/>
                <w:vertAlign w:val="baseline"/>
              </w:rPr>
              <w:t>的下降速率。</w:t>
            </w:r>
          </w:p>
        </w:tc>
      </w:tr>
      <w:tr>
        <w:trPr>
          <w:trHeight w:val="2226" w:hRule="atLeast"/>
        </w:trPr>
        <w:tc>
          <w:tcPr>
            <w:tcW w:w="3038" w:type="dxa"/>
          </w:tcPr>
          <w:p>
            <w:pPr>
              <w:pStyle w:val="TableParagraph"/>
              <w:spacing w:line="276" w:lineRule="auto" w:before="36"/>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对粘液阻</w:t>
            </w:r>
            <w:r>
              <w:rPr>
                <w:spacing w:val="-2"/>
                <w:sz w:val="21"/>
              </w:rPr>
              <w:t>塞、气道结构和功能以及肺气肿进展的长期影响。</w:t>
            </w:r>
          </w:p>
        </w:tc>
        <w:tc>
          <w:tcPr>
            <w:tcW w:w="5720" w:type="dxa"/>
          </w:tcPr>
          <w:p>
            <w:pPr>
              <w:pStyle w:val="TableParagraph"/>
              <w:spacing w:before="38"/>
              <w:ind w:left="107"/>
              <w:rPr>
                <w:sz w:val="21"/>
              </w:rPr>
            </w:pPr>
            <w:r>
              <w:rPr>
                <w:spacing w:val="-1"/>
                <w:sz w:val="21"/>
              </w:rPr>
              <w:t>以下指标相对于基线的变化：</w:t>
            </w:r>
          </w:p>
          <w:p>
            <w:pPr>
              <w:pStyle w:val="TableParagraph"/>
              <w:numPr>
                <w:ilvl w:val="0"/>
                <w:numId w:val="11"/>
              </w:numPr>
              <w:tabs>
                <w:tab w:pos="532" w:val="left" w:leader="none"/>
              </w:tabs>
              <w:spacing w:line="240" w:lineRule="auto" w:before="79" w:after="0"/>
              <w:ind w:left="532" w:right="104" w:hanging="425"/>
              <w:jc w:val="left"/>
              <w:rPr>
                <w:sz w:val="21"/>
              </w:rPr>
            </w:pPr>
            <w:r>
              <w:rPr>
                <w:spacing w:val="9"/>
                <w:sz w:val="21"/>
              </w:rPr>
              <w:t>气道壁和气道腔尺寸（</w:t>
            </w:r>
            <w:r>
              <w:rPr>
                <w:spacing w:val="8"/>
                <w:sz w:val="21"/>
              </w:rPr>
              <w:t>气道壁面积百分比、气道壁面</w:t>
            </w:r>
            <w:r>
              <w:rPr>
                <w:spacing w:val="-2"/>
                <w:sz w:val="21"/>
              </w:rPr>
              <w:t>积、气道壁厚度和气道腔面积）</w:t>
            </w:r>
          </w:p>
          <w:p>
            <w:pPr>
              <w:pStyle w:val="TableParagraph"/>
              <w:numPr>
                <w:ilvl w:val="0"/>
                <w:numId w:val="11"/>
              </w:numPr>
              <w:tabs>
                <w:tab w:pos="532" w:val="left" w:leader="none"/>
              </w:tabs>
              <w:spacing w:line="240" w:lineRule="auto" w:before="39" w:after="0"/>
              <w:ind w:left="532" w:right="0" w:hanging="425"/>
              <w:jc w:val="left"/>
              <w:rPr>
                <w:rFonts w:ascii="Times New Roman" w:hAnsi="Times New Roman" w:eastAsia="Times New Roman"/>
                <w:sz w:val="21"/>
              </w:rPr>
            </w:pPr>
            <w:r>
              <w:rPr>
                <w:rFonts w:ascii="Times New Roman" w:hAnsi="Times New Roman" w:eastAsia="Times New Roman"/>
                <w:sz w:val="21"/>
              </w:rPr>
              <w:t>ATI</w:t>
            </w:r>
            <w:r>
              <w:rPr>
                <w:rFonts w:ascii="Times New Roman" w:hAnsi="Times New Roman" w:eastAsia="Times New Roman"/>
                <w:spacing w:val="-12"/>
                <w:sz w:val="21"/>
              </w:rPr>
              <w:t> </w:t>
            </w:r>
            <w:r>
              <w:rPr>
                <w:spacing w:val="-27"/>
                <w:sz w:val="21"/>
              </w:rPr>
              <w:t>和 </w:t>
            </w:r>
            <w:r>
              <w:rPr>
                <w:rFonts w:ascii="Times New Roman" w:hAnsi="Times New Roman" w:eastAsia="Times New Roman"/>
                <w:spacing w:val="-5"/>
                <w:sz w:val="21"/>
              </w:rPr>
              <w:t>E/I</w:t>
            </w:r>
          </w:p>
          <w:p>
            <w:pPr>
              <w:pStyle w:val="TableParagraph"/>
              <w:numPr>
                <w:ilvl w:val="0"/>
                <w:numId w:val="11"/>
              </w:numPr>
              <w:tabs>
                <w:tab w:pos="532" w:val="left" w:leader="none"/>
              </w:tabs>
              <w:spacing w:line="240" w:lineRule="auto" w:before="39" w:after="0"/>
              <w:ind w:left="532" w:right="0" w:hanging="425"/>
              <w:jc w:val="left"/>
              <w:rPr>
                <w:sz w:val="21"/>
              </w:rPr>
            </w:pPr>
            <w:r>
              <w:rPr>
                <w:sz w:val="21"/>
              </w:rPr>
              <w:t>疾病概率和参数响应映射（</w:t>
            </w:r>
            <w:r>
              <w:rPr>
                <w:rFonts w:ascii="Times New Roman" w:hAnsi="Times New Roman" w:eastAsia="Times New Roman"/>
                <w:sz w:val="21"/>
              </w:rPr>
              <w:t>fEmph</w:t>
            </w:r>
            <w:r>
              <w:rPr>
                <w:rFonts w:ascii="Times New Roman" w:hAnsi="Times New Roman" w:eastAsia="Times New Roman"/>
                <w:spacing w:val="-11"/>
                <w:sz w:val="21"/>
              </w:rPr>
              <w:t> </w:t>
            </w:r>
            <w:r>
              <w:rPr>
                <w:spacing w:val="-27"/>
                <w:sz w:val="21"/>
              </w:rPr>
              <w:t>和 </w:t>
            </w:r>
            <w:r>
              <w:rPr>
                <w:rFonts w:ascii="Times New Roman" w:hAnsi="Times New Roman" w:eastAsia="Times New Roman"/>
                <w:spacing w:val="-2"/>
                <w:sz w:val="21"/>
              </w:rPr>
              <w:t>fSAD</w:t>
            </w:r>
            <w:r>
              <w:rPr>
                <w:spacing w:val="-2"/>
                <w:sz w:val="21"/>
              </w:rPr>
              <w:t>）</w:t>
            </w:r>
          </w:p>
          <w:p>
            <w:pPr>
              <w:pStyle w:val="TableParagraph"/>
              <w:numPr>
                <w:ilvl w:val="0"/>
                <w:numId w:val="11"/>
              </w:numPr>
              <w:tabs>
                <w:tab w:pos="532" w:val="left" w:leader="none"/>
              </w:tabs>
              <w:spacing w:line="240" w:lineRule="auto" w:before="40" w:after="0"/>
              <w:ind w:left="532" w:right="0" w:hanging="425"/>
              <w:jc w:val="left"/>
              <w:rPr>
                <w:rFonts w:ascii="Times New Roman" w:hAnsi="Times New Roman" w:eastAsia="Times New Roman"/>
                <w:sz w:val="21"/>
              </w:rPr>
            </w:pPr>
            <w:r>
              <w:rPr>
                <w:spacing w:val="-8"/>
                <w:sz w:val="21"/>
              </w:rPr>
              <w:t>容积校正后的 </w:t>
            </w:r>
            <w:r>
              <w:rPr>
                <w:rFonts w:ascii="Times New Roman" w:hAnsi="Times New Roman" w:eastAsia="Times New Roman"/>
                <w:spacing w:val="-4"/>
                <w:sz w:val="21"/>
              </w:rPr>
              <w:t>PD15</w:t>
            </w:r>
          </w:p>
          <w:p>
            <w:pPr>
              <w:pStyle w:val="TableParagraph"/>
              <w:numPr>
                <w:ilvl w:val="0"/>
                <w:numId w:val="11"/>
              </w:numPr>
              <w:tabs>
                <w:tab w:pos="532" w:val="left" w:leader="none"/>
              </w:tabs>
              <w:spacing w:line="240" w:lineRule="auto" w:before="39" w:after="0"/>
              <w:ind w:left="532" w:right="0" w:hanging="425"/>
              <w:jc w:val="left"/>
              <w:rPr>
                <w:sz w:val="21"/>
              </w:rPr>
            </w:pPr>
            <w:r>
              <w:rPr>
                <w:spacing w:val="-3"/>
                <w:sz w:val="21"/>
              </w:rPr>
              <w:t>粘液评分</w:t>
            </w:r>
          </w:p>
        </w:tc>
      </w:tr>
      <w:tr>
        <w:trPr>
          <w:trHeight w:val="1955" w:hRule="atLeast"/>
        </w:trPr>
        <w:tc>
          <w:tcPr>
            <w:tcW w:w="3038" w:type="dxa"/>
          </w:tcPr>
          <w:p>
            <w:pPr>
              <w:pStyle w:val="TableParagraph"/>
              <w:spacing w:line="276" w:lineRule="auto" w:before="36"/>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对总体和 </w:t>
            </w:r>
            <w:r>
              <w:rPr>
                <w:rFonts w:ascii="Times New Roman" w:eastAsia="Times New Roman"/>
                <w:sz w:val="21"/>
              </w:rPr>
              <w:t>COPD </w:t>
            </w:r>
            <w:r>
              <w:rPr>
                <w:sz w:val="21"/>
              </w:rPr>
              <w:t>相关医疗资源使用的影</w:t>
            </w:r>
            <w:r>
              <w:rPr>
                <w:spacing w:val="-6"/>
                <w:sz w:val="21"/>
              </w:rPr>
              <w:t>响。</w:t>
            </w:r>
          </w:p>
        </w:tc>
        <w:tc>
          <w:tcPr>
            <w:tcW w:w="5720" w:type="dxa"/>
          </w:tcPr>
          <w:p>
            <w:pPr>
              <w:pStyle w:val="TableParagraph"/>
              <w:spacing w:before="38"/>
              <w:ind w:left="107"/>
              <w:rPr>
                <w:sz w:val="21"/>
              </w:rPr>
            </w:pPr>
            <w:r>
              <w:rPr>
                <w:spacing w:val="-14"/>
                <w:sz w:val="21"/>
              </w:rPr>
              <w:t>总体和 </w:t>
            </w:r>
            <w:r>
              <w:rPr>
                <w:rFonts w:ascii="Times New Roman" w:eastAsia="Times New Roman"/>
                <w:spacing w:val="-2"/>
                <w:sz w:val="21"/>
              </w:rPr>
              <w:t>COPD</w:t>
            </w:r>
            <w:r>
              <w:rPr>
                <w:rFonts w:ascii="Times New Roman" w:eastAsia="Times New Roman"/>
                <w:spacing w:val="-7"/>
                <w:sz w:val="21"/>
              </w:rPr>
              <w:t> </w:t>
            </w:r>
            <w:r>
              <w:rPr>
                <w:spacing w:val="-17"/>
                <w:sz w:val="21"/>
              </w:rPr>
              <w:t>相关 </w:t>
            </w:r>
            <w:r>
              <w:rPr>
                <w:rFonts w:ascii="Times New Roman" w:eastAsia="Times New Roman"/>
                <w:spacing w:val="-2"/>
                <w:sz w:val="21"/>
              </w:rPr>
              <w:t>HRU</w:t>
            </w:r>
            <w:r>
              <w:rPr>
                <w:rFonts w:ascii="Times New Roman" w:eastAsia="Times New Roman"/>
                <w:spacing w:val="-4"/>
                <w:sz w:val="21"/>
              </w:rPr>
              <w:t> </w:t>
            </w:r>
            <w:r>
              <w:rPr>
                <w:spacing w:val="-5"/>
                <w:sz w:val="21"/>
              </w:rPr>
              <w:t>数据：</w:t>
            </w:r>
          </w:p>
          <w:p>
            <w:pPr>
              <w:pStyle w:val="TableParagraph"/>
              <w:numPr>
                <w:ilvl w:val="0"/>
                <w:numId w:val="12"/>
              </w:numPr>
              <w:tabs>
                <w:tab w:pos="532" w:val="left" w:leader="none"/>
              </w:tabs>
              <w:spacing w:line="240" w:lineRule="auto" w:before="79" w:after="0"/>
              <w:ind w:left="532" w:right="0" w:hanging="425"/>
              <w:jc w:val="left"/>
              <w:rPr>
                <w:sz w:val="21"/>
              </w:rPr>
            </w:pPr>
            <w:r>
              <w:rPr>
                <w:spacing w:val="-2"/>
                <w:sz w:val="21"/>
              </w:rPr>
              <w:t>年住院率。</w:t>
            </w:r>
          </w:p>
          <w:p>
            <w:pPr>
              <w:pStyle w:val="TableParagraph"/>
              <w:numPr>
                <w:ilvl w:val="0"/>
                <w:numId w:val="12"/>
              </w:numPr>
              <w:tabs>
                <w:tab w:pos="532" w:val="left" w:leader="none"/>
              </w:tabs>
              <w:spacing w:line="240" w:lineRule="auto" w:before="39" w:after="0"/>
              <w:ind w:left="532" w:right="0" w:hanging="425"/>
              <w:jc w:val="left"/>
              <w:rPr>
                <w:sz w:val="21"/>
              </w:rPr>
            </w:pPr>
            <w:r>
              <w:rPr>
                <w:spacing w:val="-24"/>
                <w:sz w:val="21"/>
              </w:rPr>
              <w:t>年 </w:t>
            </w:r>
            <w:r>
              <w:rPr>
                <w:rFonts w:ascii="Times New Roman" w:hAnsi="Times New Roman" w:eastAsia="Times New Roman"/>
                <w:spacing w:val="-2"/>
                <w:sz w:val="21"/>
              </w:rPr>
              <w:t>ER/ED</w:t>
            </w:r>
            <w:r>
              <w:rPr>
                <w:rFonts w:ascii="Times New Roman" w:hAnsi="Times New Roman" w:eastAsia="Times New Roman"/>
                <w:spacing w:val="-4"/>
                <w:sz w:val="21"/>
              </w:rPr>
              <w:t> </w:t>
            </w:r>
            <w:r>
              <w:rPr>
                <w:spacing w:val="-4"/>
                <w:sz w:val="21"/>
              </w:rPr>
              <w:t>访视率。</w:t>
            </w:r>
          </w:p>
          <w:p>
            <w:pPr>
              <w:pStyle w:val="TableParagraph"/>
              <w:numPr>
                <w:ilvl w:val="0"/>
                <w:numId w:val="12"/>
              </w:numPr>
              <w:tabs>
                <w:tab w:pos="532" w:val="left" w:leader="none"/>
              </w:tabs>
              <w:spacing w:line="240" w:lineRule="auto" w:before="41" w:after="0"/>
              <w:ind w:left="532" w:right="0" w:hanging="425"/>
              <w:jc w:val="left"/>
              <w:rPr>
                <w:sz w:val="21"/>
              </w:rPr>
            </w:pPr>
            <w:r>
              <w:rPr>
                <w:spacing w:val="-9"/>
                <w:sz w:val="21"/>
              </w:rPr>
              <w:t>合并住院和 </w:t>
            </w:r>
            <w:r>
              <w:rPr>
                <w:rFonts w:ascii="Times New Roman" w:hAnsi="Times New Roman" w:eastAsia="Times New Roman"/>
                <w:sz w:val="21"/>
              </w:rPr>
              <w:t>ER/ED</w:t>
            </w:r>
            <w:r>
              <w:rPr>
                <w:rFonts w:ascii="Times New Roman" w:hAnsi="Times New Roman" w:eastAsia="Times New Roman"/>
                <w:spacing w:val="-12"/>
                <w:sz w:val="21"/>
              </w:rPr>
              <w:t> </w:t>
            </w:r>
            <w:r>
              <w:rPr>
                <w:spacing w:val="-2"/>
                <w:sz w:val="21"/>
              </w:rPr>
              <w:t>访视的年发生率。</w:t>
            </w:r>
          </w:p>
          <w:p>
            <w:pPr>
              <w:pStyle w:val="TableParagraph"/>
              <w:numPr>
                <w:ilvl w:val="0"/>
                <w:numId w:val="12"/>
              </w:numPr>
              <w:tabs>
                <w:tab w:pos="532" w:val="left" w:leader="none"/>
              </w:tabs>
              <w:spacing w:line="240" w:lineRule="auto" w:before="39" w:after="0"/>
              <w:ind w:left="532" w:right="0" w:hanging="425"/>
              <w:jc w:val="left"/>
              <w:rPr>
                <w:sz w:val="21"/>
              </w:rPr>
            </w:pPr>
            <w:r>
              <w:rPr>
                <w:sz w:val="21"/>
              </w:rPr>
              <w:t>住院总天数，包括入住医院、普通病房、</w:t>
            </w:r>
            <w:r>
              <w:rPr>
                <w:rFonts w:ascii="Times New Roman" w:hAnsi="Times New Roman" w:eastAsia="Times New Roman"/>
                <w:sz w:val="21"/>
              </w:rPr>
              <w:t>ICU</w:t>
            </w:r>
            <w:r>
              <w:rPr>
                <w:rFonts w:ascii="Times New Roman" w:hAnsi="Times New Roman" w:eastAsia="Times New Roman"/>
                <w:spacing w:val="-14"/>
                <w:sz w:val="21"/>
              </w:rPr>
              <w:t> </w:t>
            </w:r>
            <w:r>
              <w:rPr>
                <w:spacing w:val="42"/>
                <w:sz w:val="21"/>
              </w:rPr>
              <w:t>和</w:t>
            </w:r>
            <w:r>
              <w:rPr>
                <w:rFonts w:ascii="Times New Roman" w:hAnsi="Times New Roman" w:eastAsia="Times New Roman"/>
                <w:sz w:val="21"/>
              </w:rPr>
              <w:t>CCU</w:t>
            </w:r>
            <w:r>
              <w:rPr>
                <w:spacing w:val="-10"/>
                <w:sz w:val="21"/>
              </w:rPr>
              <w:t>。</w:t>
            </w:r>
          </w:p>
          <w:p>
            <w:pPr>
              <w:pStyle w:val="TableParagraph"/>
              <w:numPr>
                <w:ilvl w:val="0"/>
                <w:numId w:val="12"/>
              </w:numPr>
              <w:tabs>
                <w:tab w:pos="532" w:val="left" w:leader="none"/>
              </w:tabs>
              <w:spacing w:line="240" w:lineRule="auto" w:before="39" w:after="0"/>
              <w:ind w:left="532" w:right="0" w:hanging="425"/>
              <w:jc w:val="left"/>
              <w:rPr>
                <w:sz w:val="21"/>
              </w:rPr>
            </w:pPr>
            <w:r>
              <w:rPr>
                <w:spacing w:val="-2"/>
                <w:sz w:val="21"/>
              </w:rPr>
              <w:t>再次入院率。</w:t>
            </w:r>
          </w:p>
        </w:tc>
      </w:tr>
      <w:tr>
        <w:trPr>
          <w:trHeight w:val="1020" w:hRule="atLeast"/>
        </w:trPr>
        <w:tc>
          <w:tcPr>
            <w:tcW w:w="3038" w:type="dxa"/>
          </w:tcPr>
          <w:p>
            <w:pPr>
              <w:pStyle w:val="TableParagraph"/>
              <w:spacing w:line="276" w:lineRule="auto" w:before="36"/>
              <w:ind w:left="107" w:right="96"/>
              <w:jc w:val="both"/>
              <w:rPr>
                <w:sz w:val="21"/>
              </w:rPr>
            </w:pPr>
            <w:r>
              <w:rPr>
                <w:spacing w:val="-14"/>
                <w:sz w:val="21"/>
              </w:rPr>
              <w:t>与 </w:t>
            </w:r>
            <w:r>
              <w:rPr>
                <w:rFonts w:ascii="Times New Roman" w:eastAsia="Times New Roman"/>
                <w:sz w:val="21"/>
              </w:rPr>
              <w:t>SoC</w:t>
            </w:r>
            <w:r>
              <w:rPr>
                <w:rFonts w:ascii="Times New Roman" w:eastAsia="Times New Roman"/>
                <w:spacing w:val="-13"/>
                <w:sz w:val="21"/>
              </w:rPr>
              <w:t> </w:t>
            </w:r>
            <w:r>
              <w:rPr>
                <w:sz w:val="21"/>
              </w:rPr>
              <w:t>添加安慰剂相比，评价 </w:t>
            </w:r>
            <w:r>
              <w:rPr>
                <w:rFonts w:ascii="Times New Roman" w:eastAsia="Times New Roman"/>
                <w:spacing w:val="-2"/>
                <w:sz w:val="21"/>
              </w:rPr>
              <w:t>tozorakimab</w:t>
            </w:r>
            <w:r>
              <w:rPr>
                <w:rFonts w:ascii="Times New Roman" w:eastAsia="Times New Roman"/>
                <w:spacing w:val="-12"/>
                <w:sz w:val="21"/>
              </w:rPr>
              <w:t> </w:t>
            </w:r>
            <w:r>
              <w:rPr>
                <w:spacing w:val="-10"/>
                <w:sz w:val="21"/>
              </w:rPr>
              <w:t>联合 </w:t>
            </w:r>
            <w:r>
              <w:rPr>
                <w:rFonts w:ascii="Times New Roman" w:eastAsia="Times New Roman"/>
                <w:spacing w:val="-2"/>
                <w:sz w:val="21"/>
              </w:rPr>
              <w:t>SoC</w:t>
            </w:r>
            <w:r>
              <w:rPr>
                <w:rFonts w:ascii="Times New Roman" w:eastAsia="Times New Roman"/>
                <w:spacing w:val="-11"/>
                <w:sz w:val="21"/>
              </w:rPr>
              <w:t> </w:t>
            </w:r>
            <w:r>
              <w:rPr>
                <w:spacing w:val="-2"/>
                <w:sz w:val="21"/>
              </w:rPr>
              <w:t>对至呼吸相关死亡的时间的影响。</w:t>
            </w:r>
          </w:p>
        </w:tc>
        <w:tc>
          <w:tcPr>
            <w:tcW w:w="5720" w:type="dxa"/>
          </w:tcPr>
          <w:p>
            <w:pPr>
              <w:pStyle w:val="TableParagraph"/>
              <w:spacing w:before="38"/>
              <w:ind w:left="107"/>
              <w:rPr>
                <w:sz w:val="21"/>
              </w:rPr>
            </w:pPr>
            <w:r>
              <w:rPr>
                <w:spacing w:val="-1"/>
                <w:sz w:val="21"/>
              </w:rPr>
              <w:t>至呼吸相关死亡的时间。</w:t>
            </w:r>
          </w:p>
        </w:tc>
      </w:tr>
    </w:tbl>
    <w:p>
      <w:pPr>
        <w:spacing w:line="259" w:lineRule="auto" w:before="38"/>
        <w:ind w:left="221" w:right="148" w:firstLine="0"/>
        <w:jc w:val="left"/>
        <w:rPr>
          <w:sz w:val="21"/>
        </w:rPr>
      </w:pPr>
      <w:r>
        <w:rPr>
          <w:rFonts w:ascii="Times New Roman" w:eastAsia="Times New Roman"/>
          <w:spacing w:val="-2"/>
          <w:sz w:val="21"/>
        </w:rPr>
        <w:t>AE</w:t>
      </w:r>
      <w:r>
        <w:rPr>
          <w:spacing w:val="-2"/>
          <w:sz w:val="21"/>
        </w:rPr>
        <w:t>，不良事件；</w:t>
      </w:r>
      <w:r>
        <w:rPr>
          <w:rFonts w:ascii="Times New Roman" w:eastAsia="Times New Roman"/>
          <w:spacing w:val="-2"/>
          <w:sz w:val="21"/>
        </w:rPr>
        <w:t>ATI</w:t>
      </w:r>
      <w:r>
        <w:rPr>
          <w:spacing w:val="-2"/>
          <w:sz w:val="21"/>
        </w:rPr>
        <w:t>，空气潴留指数；</w:t>
      </w:r>
      <w:r>
        <w:rPr>
          <w:rFonts w:ascii="Times New Roman" w:eastAsia="Times New Roman"/>
          <w:spacing w:val="-2"/>
          <w:sz w:val="21"/>
        </w:rPr>
        <w:t>BD</w:t>
      </w:r>
      <w:r>
        <w:rPr>
          <w:spacing w:val="-2"/>
          <w:sz w:val="21"/>
        </w:rPr>
        <w:t>，支气管扩张剂；</w:t>
      </w:r>
      <w:r>
        <w:rPr>
          <w:rFonts w:ascii="Times New Roman" w:eastAsia="Times New Roman"/>
          <w:spacing w:val="-2"/>
          <w:sz w:val="21"/>
        </w:rPr>
        <w:t>CCU</w:t>
      </w:r>
      <w:r>
        <w:rPr>
          <w:spacing w:val="-2"/>
          <w:sz w:val="21"/>
        </w:rPr>
        <w:t>，重症监护室；</w:t>
      </w:r>
      <w:r>
        <w:rPr>
          <w:rFonts w:ascii="Times New Roman" w:eastAsia="Times New Roman"/>
          <w:spacing w:val="-2"/>
          <w:sz w:val="21"/>
        </w:rPr>
        <w:t>COPD</w:t>
      </w:r>
      <w:r>
        <w:rPr>
          <w:spacing w:val="-2"/>
          <w:sz w:val="21"/>
        </w:rPr>
        <w:t>，慢性</w:t>
      </w:r>
      <w:r>
        <w:rPr>
          <w:spacing w:val="40"/>
          <w:sz w:val="21"/>
        </w:rPr>
        <w:t>  </w:t>
      </w:r>
      <w:r>
        <w:rPr>
          <w:spacing w:val="-2"/>
          <w:sz w:val="21"/>
        </w:rPr>
        <w:t>阻塞性肺疾病；</w:t>
      </w:r>
      <w:r>
        <w:rPr>
          <w:rFonts w:ascii="Times New Roman" w:eastAsia="Times New Roman"/>
          <w:spacing w:val="-2"/>
          <w:sz w:val="21"/>
        </w:rPr>
        <w:t>CSR</w:t>
      </w:r>
      <w:r>
        <w:rPr>
          <w:spacing w:val="-2"/>
          <w:sz w:val="21"/>
        </w:rPr>
        <w:t>，临床研究报告；</w:t>
      </w:r>
      <w:r>
        <w:rPr>
          <w:rFonts w:ascii="Times New Roman" w:eastAsia="Times New Roman"/>
          <w:spacing w:val="-2"/>
          <w:sz w:val="21"/>
        </w:rPr>
        <w:t>CT</w:t>
      </w:r>
      <w:r>
        <w:rPr>
          <w:spacing w:val="-2"/>
          <w:sz w:val="21"/>
        </w:rPr>
        <w:t>，计算机断层扫描；</w:t>
      </w:r>
      <w:r>
        <w:rPr>
          <w:rFonts w:ascii="Times New Roman" w:eastAsia="Times New Roman"/>
          <w:spacing w:val="-2"/>
          <w:sz w:val="21"/>
        </w:rPr>
        <w:t>ECG</w:t>
      </w:r>
      <w:r>
        <w:rPr>
          <w:spacing w:val="-2"/>
          <w:sz w:val="21"/>
        </w:rPr>
        <w:t>，心电图；</w:t>
      </w:r>
      <w:r>
        <w:rPr>
          <w:rFonts w:ascii="Times New Roman" w:eastAsia="Times New Roman"/>
          <w:spacing w:val="-2"/>
          <w:sz w:val="21"/>
        </w:rPr>
        <w:t>ED</w:t>
      </w:r>
      <w:r>
        <w:rPr>
          <w:spacing w:val="-2"/>
          <w:sz w:val="21"/>
        </w:rPr>
        <w:t>，急诊科；</w:t>
      </w:r>
      <w:r>
        <w:rPr>
          <w:rFonts w:ascii="Times New Roman" w:eastAsia="Times New Roman"/>
          <w:spacing w:val="-2"/>
          <w:sz w:val="21"/>
        </w:rPr>
        <w:t>E/I</w:t>
      </w:r>
      <w:r>
        <w:rPr>
          <w:spacing w:val="-2"/>
          <w:sz w:val="21"/>
        </w:rPr>
        <w:t>，呼气</w:t>
      </w:r>
      <w:r>
        <w:rPr>
          <w:rFonts w:ascii="Times New Roman" w:eastAsia="Times New Roman"/>
          <w:spacing w:val="-2"/>
          <w:sz w:val="21"/>
        </w:rPr>
        <w:t>/</w:t>
      </w:r>
      <w:r>
        <w:rPr>
          <w:spacing w:val="-2"/>
          <w:sz w:val="21"/>
        </w:rPr>
        <w:t>吸气密度比；</w:t>
      </w:r>
      <w:r>
        <w:rPr>
          <w:rFonts w:ascii="Times New Roman" w:eastAsia="Times New Roman"/>
          <w:spacing w:val="-2"/>
          <w:sz w:val="21"/>
        </w:rPr>
        <w:t>ER</w:t>
      </w:r>
      <w:r>
        <w:rPr>
          <w:spacing w:val="-2"/>
          <w:sz w:val="21"/>
        </w:rPr>
        <w:t>，急诊室；</w:t>
      </w:r>
      <w:r>
        <w:rPr>
          <w:rFonts w:ascii="Times New Roman" w:eastAsia="Times New Roman"/>
          <w:spacing w:val="-2"/>
          <w:sz w:val="21"/>
        </w:rPr>
        <w:t>FEV</w:t>
      </w:r>
      <w:r>
        <w:rPr>
          <w:rFonts w:ascii="Times New Roman" w:eastAsia="Times New Roman"/>
          <w:spacing w:val="-2"/>
          <w:sz w:val="21"/>
          <w:vertAlign w:val="subscript"/>
        </w:rPr>
        <w:t>1</w:t>
      </w:r>
      <w:r>
        <w:rPr>
          <w:spacing w:val="-2"/>
          <w:sz w:val="21"/>
          <w:vertAlign w:val="baseline"/>
        </w:rPr>
        <w:t>，第一秒用力呼气量；</w:t>
      </w:r>
      <w:r>
        <w:rPr>
          <w:rFonts w:ascii="Times New Roman" w:eastAsia="Times New Roman"/>
          <w:spacing w:val="-2"/>
          <w:sz w:val="21"/>
          <w:vertAlign w:val="baseline"/>
        </w:rPr>
        <w:t>ICU</w:t>
      </w:r>
      <w:r>
        <w:rPr>
          <w:spacing w:val="-2"/>
          <w:sz w:val="21"/>
          <w:vertAlign w:val="baseline"/>
        </w:rPr>
        <w:t>，重症监护室；</w:t>
      </w:r>
      <w:r>
        <w:rPr>
          <w:rFonts w:ascii="Times New Roman" w:eastAsia="Times New Roman"/>
          <w:spacing w:val="-2"/>
          <w:sz w:val="21"/>
          <w:vertAlign w:val="baseline"/>
        </w:rPr>
        <w:t>HRU</w:t>
      </w:r>
      <w:r>
        <w:rPr>
          <w:spacing w:val="-2"/>
          <w:sz w:val="21"/>
          <w:vertAlign w:val="baseline"/>
        </w:rPr>
        <w:t>，医疗资源</w:t>
      </w:r>
      <w:r>
        <w:rPr>
          <w:sz w:val="21"/>
          <w:vertAlign w:val="baseline"/>
        </w:rPr>
        <w:t>使用；</w:t>
      </w:r>
      <w:r>
        <w:rPr>
          <w:rFonts w:ascii="Times New Roman" w:eastAsia="Times New Roman"/>
          <w:sz w:val="21"/>
          <w:vertAlign w:val="baseline"/>
        </w:rPr>
        <w:t>IP</w:t>
      </w:r>
      <w:r>
        <w:rPr>
          <w:sz w:val="21"/>
          <w:vertAlign w:val="baseline"/>
        </w:rPr>
        <w:t>，研究药物；</w:t>
      </w:r>
      <w:r>
        <w:rPr>
          <w:rFonts w:ascii="Times New Roman" w:eastAsia="Times New Roman"/>
          <w:sz w:val="21"/>
          <w:vertAlign w:val="baseline"/>
        </w:rPr>
        <w:t>PD</w:t>
      </w:r>
      <w:r>
        <w:rPr>
          <w:sz w:val="21"/>
          <w:vertAlign w:val="baseline"/>
        </w:rPr>
        <w:t>，</w:t>
      </w:r>
      <w:r>
        <w:rPr>
          <w:rFonts w:ascii="Times New Roman" w:eastAsia="Times New Roman"/>
          <w:sz w:val="21"/>
          <w:vertAlign w:val="baseline"/>
        </w:rPr>
        <w:t>CT</w:t>
      </w:r>
      <w:r>
        <w:rPr>
          <w:rFonts w:ascii="Times New Roman" w:eastAsia="Times New Roman"/>
          <w:spacing w:val="20"/>
          <w:sz w:val="21"/>
          <w:vertAlign w:val="baseline"/>
        </w:rPr>
        <w:t> </w:t>
      </w:r>
      <w:r>
        <w:rPr>
          <w:spacing w:val="-2"/>
          <w:sz w:val="21"/>
          <w:vertAlign w:val="baseline"/>
        </w:rPr>
        <w:t>肺密度直方图的第 </w:t>
      </w:r>
      <w:r>
        <w:rPr>
          <w:rFonts w:ascii="Times New Roman" w:eastAsia="Times New Roman"/>
          <w:sz w:val="21"/>
          <w:vertAlign w:val="baseline"/>
        </w:rPr>
        <w:t>15</w:t>
      </w:r>
      <w:r>
        <w:rPr>
          <w:rFonts w:ascii="Times New Roman" w:eastAsia="Times New Roman"/>
          <w:spacing w:val="19"/>
          <w:sz w:val="21"/>
          <w:vertAlign w:val="baseline"/>
        </w:rPr>
        <w:t> </w:t>
      </w:r>
      <w:r>
        <w:rPr>
          <w:sz w:val="21"/>
          <w:vertAlign w:val="baseline"/>
        </w:rPr>
        <w:t>百分位数；</w:t>
      </w:r>
      <w:r>
        <w:rPr>
          <w:rFonts w:ascii="Times New Roman" w:eastAsia="Times New Roman"/>
          <w:sz w:val="21"/>
          <w:vertAlign w:val="baseline"/>
        </w:rPr>
        <w:t>PK</w:t>
      </w:r>
      <w:r>
        <w:rPr>
          <w:sz w:val="21"/>
          <w:vertAlign w:val="baseline"/>
        </w:rPr>
        <w:t>，药代动力学；</w:t>
      </w:r>
      <w:r>
        <w:rPr>
          <w:rFonts w:ascii="Times New Roman" w:eastAsia="Times New Roman"/>
          <w:sz w:val="21"/>
          <w:vertAlign w:val="baseline"/>
        </w:rPr>
        <w:t>SoC</w:t>
      </w:r>
      <w:r>
        <w:rPr>
          <w:sz w:val="21"/>
          <w:vertAlign w:val="baseline"/>
        </w:rPr>
        <w:t>，标准治</w:t>
      </w:r>
      <w:r>
        <w:rPr>
          <w:spacing w:val="-6"/>
          <w:sz w:val="21"/>
          <w:vertAlign w:val="baseline"/>
        </w:rPr>
        <w:t>疗。</w:t>
      </w:r>
    </w:p>
    <w:p>
      <w:pPr>
        <w:spacing w:line="259" w:lineRule="auto" w:before="36"/>
        <w:ind w:left="221" w:right="362" w:firstLine="0"/>
        <w:jc w:val="left"/>
        <w:rPr>
          <w:sz w:val="21"/>
        </w:rPr>
      </w:pPr>
      <w:r>
        <w:rPr>
          <w:spacing w:val="2"/>
          <w:sz w:val="21"/>
        </w:rPr>
        <w:t>注：与主要和次要目的相同，还将分别在由戒烟者或吸烟者组成的全人群以及戒烟人群中分析其他探索性目的。</w:t>
      </w:r>
    </w:p>
    <w:p>
      <w:pPr>
        <w:tabs>
          <w:tab w:pos="646" w:val="left" w:leader="none"/>
        </w:tabs>
        <w:spacing w:line="273" w:lineRule="exact" w:before="38"/>
        <w:ind w:left="221" w:right="0" w:firstLine="0"/>
        <w:jc w:val="left"/>
        <w:rPr>
          <w:sz w:val="21"/>
        </w:rPr>
      </w:pPr>
      <w:r>
        <w:rPr>
          <w:rFonts w:ascii="Times New Roman" w:eastAsia="Times New Roman"/>
          <w:spacing w:val="-10"/>
          <w:sz w:val="21"/>
          <w:vertAlign w:val="superscript"/>
        </w:rPr>
        <w:t>a</w:t>
      </w:r>
      <w:r>
        <w:rPr>
          <w:rFonts w:ascii="Times New Roman" w:eastAsia="Times New Roman"/>
          <w:sz w:val="21"/>
          <w:vertAlign w:val="baseline"/>
        </w:rPr>
        <w:tab/>
      </w:r>
      <w:r>
        <w:rPr>
          <w:spacing w:val="-6"/>
          <w:sz w:val="21"/>
          <w:vertAlign w:val="baseline"/>
        </w:rPr>
        <w:t>可能在 </w:t>
      </w:r>
      <w:r>
        <w:rPr>
          <w:rFonts w:ascii="Times New Roman" w:eastAsia="Times New Roman"/>
          <w:sz w:val="21"/>
          <w:vertAlign w:val="baseline"/>
        </w:rPr>
        <w:t>CSR</w:t>
      </w:r>
      <w:r>
        <w:rPr>
          <w:rFonts w:ascii="Times New Roman" w:eastAsia="Times New Roman"/>
          <w:spacing w:val="13"/>
          <w:sz w:val="21"/>
          <w:vertAlign w:val="baseline"/>
        </w:rPr>
        <w:t> </w:t>
      </w:r>
      <w:r>
        <w:rPr>
          <w:sz w:val="21"/>
          <w:vertAlign w:val="baseline"/>
        </w:rPr>
        <w:t>之外报告的探索性终点。</w:t>
      </w:r>
      <w:r>
        <w:rPr>
          <w:rFonts w:ascii="Times New Roman" w:eastAsia="Times New Roman"/>
          <w:sz w:val="21"/>
          <w:vertAlign w:val="baseline"/>
        </w:rPr>
        <w:t>qCT</w:t>
      </w:r>
      <w:r>
        <w:rPr>
          <w:rFonts w:ascii="Times New Roman" w:eastAsia="Times New Roman"/>
          <w:spacing w:val="16"/>
          <w:sz w:val="21"/>
          <w:vertAlign w:val="baseline"/>
        </w:rPr>
        <w:t> </w:t>
      </w:r>
      <w:r>
        <w:rPr>
          <w:spacing w:val="-1"/>
          <w:sz w:val="21"/>
          <w:vertAlign w:val="baseline"/>
        </w:rPr>
        <w:t>终点将使用综合分析以获得足够的图像，故将在</w:t>
      </w:r>
    </w:p>
    <w:p>
      <w:pPr>
        <w:spacing w:line="273" w:lineRule="exact" w:before="0"/>
        <w:ind w:left="646" w:right="0" w:firstLine="0"/>
        <w:jc w:val="left"/>
        <w:rPr>
          <w:sz w:val="21"/>
        </w:rPr>
      </w:pPr>
      <w:r>
        <w:rPr>
          <w:rFonts w:ascii="Times New Roman" w:eastAsia="Times New Roman"/>
          <w:sz w:val="21"/>
        </w:rPr>
        <w:t>CSR</w:t>
      </w:r>
      <w:r>
        <w:rPr>
          <w:rFonts w:ascii="Times New Roman" w:eastAsia="Times New Roman"/>
          <w:spacing w:val="-10"/>
          <w:sz w:val="21"/>
        </w:rPr>
        <w:t> </w:t>
      </w:r>
      <w:r>
        <w:rPr>
          <w:spacing w:val="-2"/>
          <w:sz w:val="21"/>
        </w:rPr>
        <w:t>之外汇报结果。</w:t>
      </w:r>
    </w:p>
    <w:p>
      <w:pPr>
        <w:spacing w:after="0" w:line="273" w:lineRule="exact"/>
        <w:jc w:val="left"/>
        <w:rPr>
          <w:sz w:val="21"/>
        </w:rPr>
        <w:sectPr>
          <w:pgSz w:w="11910" w:h="16840"/>
          <w:pgMar w:header="590" w:footer="784" w:top="1340" w:bottom="980" w:left="1480" w:right="1080"/>
        </w:sectPr>
      </w:pPr>
    </w:p>
    <w:p>
      <w:pPr>
        <w:pStyle w:val="Heading1"/>
        <w:numPr>
          <w:ilvl w:val="0"/>
          <w:numId w:val="3"/>
        </w:numPr>
        <w:tabs>
          <w:tab w:pos="1355" w:val="left" w:leader="none"/>
        </w:tabs>
        <w:spacing w:line="240" w:lineRule="auto" w:before="88" w:after="0"/>
        <w:ind w:left="1355" w:right="0" w:hanging="1134"/>
        <w:jc w:val="left"/>
      </w:pPr>
      <w:bookmarkStart w:name="4 研究设计" w:id="39"/>
      <w:bookmarkEnd w:id="39"/>
      <w:r>
        <w:rPr>
          <w:b w:val="0"/>
        </w:rPr>
      </w:r>
      <w:bookmarkStart w:name="_bookmark21" w:id="40"/>
      <w:bookmarkEnd w:id="40"/>
      <w:r>
        <w:rPr>
          <w:b w:val="0"/>
        </w:rPr>
      </w:r>
      <w:r>
        <w:rPr>
          <w:spacing w:val="-4"/>
        </w:rPr>
        <w:t>研究设计</w:t>
      </w:r>
    </w:p>
    <w:p>
      <w:pPr>
        <w:pStyle w:val="Heading1"/>
        <w:numPr>
          <w:ilvl w:val="1"/>
          <w:numId w:val="3"/>
        </w:numPr>
        <w:tabs>
          <w:tab w:pos="1355" w:val="left" w:leader="none"/>
        </w:tabs>
        <w:spacing w:line="240" w:lineRule="auto" w:before="119" w:after="0"/>
        <w:ind w:left="1355" w:right="0" w:hanging="1134"/>
        <w:jc w:val="left"/>
      </w:pPr>
      <w:bookmarkStart w:name="4.1 总体研究设计" w:id="41"/>
      <w:bookmarkEnd w:id="41"/>
      <w:r>
        <w:rPr>
          <w:b w:val="0"/>
        </w:rPr>
      </w:r>
      <w:bookmarkStart w:name="_bookmark22" w:id="42"/>
      <w:bookmarkEnd w:id="42"/>
      <w:r>
        <w:rPr>
          <w:b w:val="0"/>
        </w:rPr>
      </w:r>
      <w:r>
        <w:rPr>
          <w:spacing w:val="-5"/>
        </w:rPr>
        <w:t>总体研究设计</w:t>
      </w:r>
    </w:p>
    <w:p>
      <w:pPr>
        <w:pStyle w:val="Heading3"/>
        <w:tabs>
          <w:tab w:pos="1923" w:val="left" w:leader="none"/>
        </w:tabs>
        <w:spacing w:before="119"/>
      </w:pPr>
      <w:r>
        <w:rPr/>
        <mc:AlternateContent>
          <mc:Choice Requires="wps">
            <w:drawing>
              <wp:anchor distT="0" distB="0" distL="0" distR="0" allowOverlap="1" layoutInCell="1" locked="0" behindDoc="0" simplePos="0" relativeHeight="15732224">
                <wp:simplePos x="0" y="0"/>
                <wp:positionH relativeFrom="page">
                  <wp:posOffset>1108480</wp:posOffset>
                </wp:positionH>
                <wp:positionV relativeFrom="paragraph">
                  <wp:posOffset>350855</wp:posOffset>
                </wp:positionV>
                <wp:extent cx="5786120" cy="164655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5786120" cy="1646555"/>
                          <a:chExt cx="5786120" cy="1646555"/>
                        </a:xfrm>
                      </wpg:grpSpPr>
                      <pic:pic>
                        <pic:nvPicPr>
                          <pic:cNvPr id="51" name="Image 51" descr="A picture containing text, screenshot, font, line  Description automatically generated"/>
                          <pic:cNvPicPr/>
                        </pic:nvPicPr>
                        <pic:blipFill>
                          <a:blip r:embed="rId17" cstate="print"/>
                          <a:stretch>
                            <a:fillRect/>
                          </a:stretch>
                        </pic:blipFill>
                        <pic:spPr>
                          <a:xfrm>
                            <a:off x="0" y="45514"/>
                            <a:ext cx="5703209" cy="1487264"/>
                          </a:xfrm>
                          <a:prstGeom prst="rect">
                            <a:avLst/>
                          </a:prstGeom>
                        </pic:spPr>
                      </pic:pic>
                      <wps:wsp>
                        <wps:cNvPr id="52" name="Graphic 52"/>
                        <wps:cNvSpPr/>
                        <wps:spPr>
                          <a:xfrm>
                            <a:off x="9754" y="0"/>
                            <a:ext cx="5775960" cy="1646555"/>
                          </a:xfrm>
                          <a:custGeom>
                            <a:avLst/>
                            <a:gdLst/>
                            <a:ahLst/>
                            <a:cxnLst/>
                            <a:rect l="l" t="t" r="r" b="b"/>
                            <a:pathLst>
                              <a:path w="5775960" h="1646555">
                                <a:moveTo>
                                  <a:pt x="1669288" y="0"/>
                                </a:moveTo>
                                <a:lnTo>
                                  <a:pt x="0" y="0"/>
                                </a:lnTo>
                                <a:lnTo>
                                  <a:pt x="0" y="401802"/>
                                </a:lnTo>
                                <a:lnTo>
                                  <a:pt x="1669288" y="401802"/>
                                </a:lnTo>
                                <a:lnTo>
                                  <a:pt x="1669288" y="0"/>
                                </a:lnTo>
                                <a:close/>
                              </a:path>
                              <a:path w="5775960" h="1646555">
                                <a:moveTo>
                                  <a:pt x="5738800" y="1374571"/>
                                </a:moveTo>
                                <a:lnTo>
                                  <a:pt x="4687062" y="1374571"/>
                                </a:lnTo>
                                <a:lnTo>
                                  <a:pt x="4687062" y="1646021"/>
                                </a:lnTo>
                                <a:lnTo>
                                  <a:pt x="5738800" y="1646021"/>
                                </a:lnTo>
                                <a:lnTo>
                                  <a:pt x="5738800" y="1374571"/>
                                </a:lnTo>
                                <a:close/>
                              </a:path>
                              <a:path w="5775960" h="1646555">
                                <a:moveTo>
                                  <a:pt x="5775960" y="104749"/>
                                </a:moveTo>
                                <a:lnTo>
                                  <a:pt x="5015611" y="104749"/>
                                </a:lnTo>
                                <a:lnTo>
                                  <a:pt x="5015611" y="409041"/>
                                </a:lnTo>
                                <a:lnTo>
                                  <a:pt x="5775960" y="409041"/>
                                </a:lnTo>
                                <a:lnTo>
                                  <a:pt x="5775960" y="104749"/>
                                </a:lnTo>
                                <a:close/>
                              </a:path>
                            </a:pathLst>
                          </a:custGeom>
                          <a:solidFill>
                            <a:srgbClr val="FFFFFF"/>
                          </a:solidFill>
                        </wps:spPr>
                        <wps:bodyPr wrap="square" lIns="0" tIns="0" rIns="0" bIns="0" rtlCol="0">
                          <a:prstTxWarp prst="textNoShape">
                            <a:avLst/>
                          </a:prstTxWarp>
                          <a:noAutofit/>
                        </wps:bodyPr>
                      </wps:wsp>
                      <wps:wsp>
                        <wps:cNvPr id="53" name="Textbox 53"/>
                        <wps:cNvSpPr txBox="1"/>
                        <wps:spPr>
                          <a:xfrm>
                            <a:off x="13183" y="18939"/>
                            <a:ext cx="843915" cy="334645"/>
                          </a:xfrm>
                          <a:prstGeom prst="rect">
                            <a:avLst/>
                          </a:prstGeom>
                        </wps:spPr>
                        <wps:txbx>
                          <w:txbxContent>
                            <w:p>
                              <w:pPr>
                                <w:spacing w:line="246" w:lineRule="exact" w:before="0"/>
                                <w:ind w:left="0" w:right="0" w:firstLine="0"/>
                                <w:jc w:val="left"/>
                                <w:rPr>
                                  <w:rFonts w:ascii="Times New Roman" w:eastAsia="Times New Roman"/>
                                  <w:b/>
                                  <w:sz w:val="21"/>
                                </w:rPr>
                              </w:pPr>
                              <w:r>
                                <w:rPr>
                                  <w:rFonts w:ascii="Times New Roman" w:eastAsia="Times New Roman"/>
                                  <w:b/>
                                  <w:color w:val="929F00"/>
                                  <w:spacing w:val="-2"/>
                                  <w:sz w:val="21"/>
                                </w:rPr>
                                <w:t>CSP</w:t>
                              </w:r>
                              <w:r>
                                <w:rPr>
                                  <w:rFonts w:ascii="Times New Roman" w:eastAsia="Times New Roman"/>
                                  <w:b/>
                                  <w:color w:val="929F00"/>
                                  <w:spacing w:val="-7"/>
                                  <w:sz w:val="21"/>
                                </w:rPr>
                                <w:t> </w:t>
                              </w:r>
                              <w:r>
                                <w:rPr>
                                  <w:b/>
                                  <w:color w:val="929F00"/>
                                  <w:spacing w:val="-18"/>
                                  <w:sz w:val="21"/>
                                </w:rPr>
                                <w:t>版本 </w:t>
                              </w:r>
                              <w:r>
                                <w:rPr>
                                  <w:rFonts w:ascii="Times New Roman" w:eastAsia="Times New Roman"/>
                                  <w:b/>
                                  <w:color w:val="929F00"/>
                                  <w:spacing w:val="-5"/>
                                  <w:sz w:val="21"/>
                                </w:rPr>
                                <w:t>1.0</w:t>
                              </w:r>
                            </w:p>
                            <w:p>
                              <w:pPr>
                                <w:spacing w:line="259" w:lineRule="exact" w:before="21"/>
                                <w:ind w:left="0" w:right="0" w:firstLine="0"/>
                                <w:jc w:val="left"/>
                                <w:rPr>
                                  <w:b/>
                                  <w:sz w:val="21"/>
                                </w:rPr>
                              </w:pPr>
                              <w:r>
                                <w:rPr>
                                  <w:b/>
                                  <w:color w:val="929F00"/>
                                  <w:spacing w:val="-2"/>
                                  <w:sz w:val="21"/>
                                </w:rPr>
                                <w:t>治疗期：</w:t>
                              </w:r>
                              <w:r>
                                <w:rPr>
                                  <w:rFonts w:ascii="Times New Roman" w:eastAsia="Times New Roman"/>
                                  <w:b/>
                                  <w:color w:val="929F00"/>
                                  <w:spacing w:val="-2"/>
                                  <w:sz w:val="21"/>
                                </w:rPr>
                                <w:t>52</w:t>
                              </w:r>
                              <w:r>
                                <w:rPr>
                                  <w:rFonts w:ascii="Times New Roman" w:eastAsia="Times New Roman"/>
                                  <w:b/>
                                  <w:color w:val="929F00"/>
                                  <w:spacing w:val="-3"/>
                                  <w:sz w:val="21"/>
                                </w:rPr>
                                <w:t> </w:t>
                              </w:r>
                              <w:r>
                                <w:rPr>
                                  <w:b/>
                                  <w:color w:val="929F00"/>
                                  <w:spacing w:val="-12"/>
                                  <w:sz w:val="21"/>
                                </w:rPr>
                                <w:t>周</w:t>
                              </w:r>
                            </w:p>
                          </w:txbxContent>
                        </wps:txbx>
                        <wps:bodyPr wrap="square" lIns="0" tIns="0" rIns="0" bIns="0" rtlCol="0">
                          <a:noAutofit/>
                        </wps:bodyPr>
                      </wps:wsp>
                      <wps:wsp>
                        <wps:cNvPr id="54" name="Textbox 54"/>
                        <wps:cNvSpPr txBox="1"/>
                        <wps:spPr>
                          <a:xfrm>
                            <a:off x="5202149" y="123827"/>
                            <a:ext cx="421640" cy="250825"/>
                          </a:xfrm>
                          <a:prstGeom prst="rect">
                            <a:avLst/>
                          </a:prstGeom>
                        </wps:spPr>
                        <wps:txbx>
                          <w:txbxContent>
                            <w:p>
                              <w:pPr>
                                <w:spacing w:line="182" w:lineRule="exact" w:before="0"/>
                                <w:ind w:left="0" w:right="18" w:firstLine="0"/>
                                <w:jc w:val="center"/>
                                <w:rPr>
                                  <w:b/>
                                  <w:sz w:val="16"/>
                                </w:rPr>
                              </w:pPr>
                              <w:r>
                                <w:rPr>
                                  <w:b/>
                                  <w:color w:val="830051"/>
                                  <w:spacing w:val="-4"/>
                                  <w:sz w:val="16"/>
                                </w:rPr>
                                <w:t>随访期：</w:t>
                              </w:r>
                            </w:p>
                            <w:p>
                              <w:pPr>
                                <w:spacing w:line="198" w:lineRule="exact" w:before="15"/>
                                <w:ind w:left="0" w:right="20" w:firstLine="0"/>
                                <w:jc w:val="center"/>
                                <w:rPr>
                                  <w:b/>
                                  <w:sz w:val="16"/>
                                </w:rPr>
                              </w:pPr>
                              <w:r>
                                <w:rPr>
                                  <w:rFonts w:ascii="Times New Roman" w:eastAsia="Times New Roman"/>
                                  <w:b/>
                                  <w:color w:val="830051"/>
                                  <w:sz w:val="16"/>
                                </w:rPr>
                                <w:t>8</w:t>
                              </w:r>
                              <w:r>
                                <w:rPr>
                                  <w:rFonts w:ascii="Times New Roman" w:eastAsia="Times New Roman"/>
                                  <w:b/>
                                  <w:color w:val="830051"/>
                                  <w:spacing w:val="-7"/>
                                  <w:sz w:val="16"/>
                                </w:rPr>
                                <w:t> </w:t>
                              </w:r>
                              <w:r>
                                <w:rPr>
                                  <w:b/>
                                  <w:color w:val="830051"/>
                                  <w:spacing w:val="-10"/>
                                  <w:sz w:val="16"/>
                                </w:rPr>
                                <w:t>周</w:t>
                              </w:r>
                            </w:p>
                          </w:txbxContent>
                        </wps:txbx>
                        <wps:bodyPr wrap="square" lIns="0" tIns="0" rIns="0" bIns="0" rtlCol="0">
                          <a:noAutofit/>
                        </wps:bodyPr>
                      </wps:wsp>
                      <wps:wsp>
                        <wps:cNvPr id="55" name="Textbox 55"/>
                        <wps:cNvSpPr txBox="1"/>
                        <wps:spPr>
                          <a:xfrm>
                            <a:off x="383769" y="546568"/>
                            <a:ext cx="2072639" cy="112395"/>
                          </a:xfrm>
                          <a:prstGeom prst="rect">
                            <a:avLst/>
                          </a:prstGeom>
                        </wps:spPr>
                        <wps:txbx>
                          <w:txbxContent>
                            <w:p>
                              <w:pPr>
                                <w:tabs>
                                  <w:tab w:pos="3243" w:val="left" w:leader="none"/>
                                </w:tabs>
                                <w:spacing w:line="177" w:lineRule="exact" w:before="0"/>
                                <w:ind w:left="0" w:right="0" w:firstLine="0"/>
                                <w:jc w:val="left"/>
                                <w:rPr>
                                  <w:b/>
                                  <w:sz w:val="16"/>
                                </w:rPr>
                              </w:pPr>
                              <w:r>
                                <w:rPr>
                                  <w:rFonts w:ascii="Times New Roman" w:eastAsia="Times New Roman"/>
                                  <w:b/>
                                  <w:color w:val="FFFFFF"/>
                                  <w:spacing w:val="-2"/>
                                  <w:sz w:val="16"/>
                                  <w:shd w:fill="929F00" w:color="auto" w:val="clear"/>
                                </w:rPr>
                                <w:t>OBERON </w:t>
                              </w:r>
                              <w:r>
                                <w:rPr>
                                  <w:b/>
                                  <w:color w:val="FFFFFF"/>
                                  <w:spacing w:val="-2"/>
                                  <w:sz w:val="16"/>
                                  <w:shd w:fill="929F00" w:color="auto" w:val="clear"/>
                                </w:rPr>
                                <w:t>和</w:t>
                              </w:r>
                              <w:r>
                                <w:rPr>
                                  <w:b/>
                                  <w:color w:val="FFFFFF"/>
                                  <w:spacing w:val="-36"/>
                                  <w:sz w:val="16"/>
                                  <w:shd w:fill="929F00" w:color="auto" w:val="clear"/>
                                </w:rPr>
                                <w:t> </w:t>
                              </w:r>
                              <w:r>
                                <w:rPr>
                                  <w:rFonts w:ascii="Times New Roman" w:eastAsia="Times New Roman"/>
                                  <w:b/>
                                  <w:color w:val="FFFFFF"/>
                                  <w:spacing w:val="-2"/>
                                  <w:sz w:val="16"/>
                                  <w:shd w:fill="929F00" w:color="auto" w:val="clear"/>
                                </w:rPr>
                                <w:t>TITANIA</w:t>
                              </w:r>
                              <w:r>
                                <w:rPr>
                                  <w:rFonts w:ascii="Times New Roman" w:eastAsia="Times New Roman"/>
                                  <w:b/>
                                  <w:color w:val="FFFFFF"/>
                                  <w:spacing w:val="-4"/>
                                  <w:sz w:val="16"/>
                                  <w:shd w:fill="929F00" w:color="auto" w:val="clear"/>
                                </w:rPr>
                                <w:t> </w:t>
                              </w:r>
                              <w:r>
                                <w:rPr>
                                  <w:b/>
                                  <w:color w:val="FFFFFF"/>
                                  <w:spacing w:val="-2"/>
                                  <w:sz w:val="16"/>
                                  <w:shd w:fill="929F00" w:color="auto" w:val="clear"/>
                                </w:rPr>
                                <w:t>前身研</w:t>
                              </w:r>
                              <w:r>
                                <w:rPr>
                                  <w:b/>
                                  <w:color w:val="FFFFFF"/>
                                  <w:spacing w:val="-10"/>
                                  <w:sz w:val="16"/>
                                  <w:shd w:fill="929F00" w:color="auto" w:val="clear"/>
                                </w:rPr>
                                <w:t>究</w:t>
                              </w:r>
                              <w:r>
                                <w:rPr>
                                  <w:b/>
                                  <w:color w:val="FFFFFF"/>
                                  <w:sz w:val="16"/>
                                  <w:shd w:fill="929F00" w:color="auto" w:val="clear"/>
                                </w:rPr>
                                <w:tab/>
                              </w:r>
                            </w:p>
                          </w:txbxContent>
                        </wps:txbx>
                        <wps:bodyPr wrap="square" lIns="0" tIns="0" rIns="0" bIns="0" rtlCol="0">
                          <a:noAutofit/>
                        </wps:bodyPr>
                      </wps:wsp>
                      <wps:wsp>
                        <wps:cNvPr id="56" name="Textbox 56"/>
                        <wps:cNvSpPr txBox="1"/>
                        <wps:spPr>
                          <a:xfrm>
                            <a:off x="3628619" y="561046"/>
                            <a:ext cx="1152525" cy="112395"/>
                          </a:xfrm>
                          <a:prstGeom prst="rect">
                            <a:avLst/>
                          </a:prstGeom>
                        </wps:spPr>
                        <wps:txbx>
                          <w:txbxContent>
                            <w:p>
                              <w:pPr>
                                <w:tabs>
                                  <w:tab w:pos="1793" w:val="left" w:leader="none"/>
                                </w:tabs>
                                <w:spacing w:line="177" w:lineRule="exact" w:before="0"/>
                                <w:ind w:left="0" w:right="0" w:firstLine="0"/>
                                <w:jc w:val="left"/>
                                <w:rPr>
                                  <w:b/>
                                  <w:sz w:val="16"/>
                                </w:rPr>
                              </w:pPr>
                              <w:r>
                                <w:rPr>
                                  <w:rFonts w:ascii="Times New Roman" w:eastAsia="Times New Roman"/>
                                  <w:b/>
                                  <w:color w:val="FFFFFF"/>
                                  <w:spacing w:val="-2"/>
                                  <w:sz w:val="16"/>
                                  <w:shd w:fill="929F00" w:color="auto" w:val="clear"/>
                                </w:rPr>
                                <w:t>PROSPERO</w:t>
                              </w:r>
                              <w:r>
                                <w:rPr>
                                  <w:rFonts w:ascii="Times New Roman" w:eastAsia="Times New Roman"/>
                                  <w:b/>
                                  <w:color w:val="FFFFFF"/>
                                  <w:spacing w:val="3"/>
                                  <w:sz w:val="16"/>
                                  <w:shd w:fill="929F00" w:color="auto" w:val="clear"/>
                                </w:rPr>
                                <w:t> </w:t>
                              </w:r>
                              <w:r>
                                <w:rPr>
                                  <w:rFonts w:ascii="Times New Roman" w:eastAsia="Times New Roman"/>
                                  <w:b/>
                                  <w:color w:val="FFFFFF"/>
                                  <w:spacing w:val="-2"/>
                                  <w:sz w:val="16"/>
                                  <w:shd w:fill="929F00" w:color="auto" w:val="clear"/>
                                </w:rPr>
                                <w:t>LTE</w:t>
                              </w:r>
                              <w:r>
                                <w:rPr>
                                  <w:rFonts w:ascii="Times New Roman" w:eastAsia="Times New Roman"/>
                                  <w:b/>
                                  <w:color w:val="FFFFFF"/>
                                  <w:spacing w:val="-3"/>
                                  <w:sz w:val="16"/>
                                  <w:shd w:fill="929F00" w:color="auto" w:val="clear"/>
                                </w:rPr>
                                <w:t> </w:t>
                              </w:r>
                              <w:r>
                                <w:rPr>
                                  <w:b/>
                                  <w:color w:val="FFFFFF"/>
                                  <w:spacing w:val="-2"/>
                                  <w:sz w:val="16"/>
                                  <w:shd w:fill="929F00" w:color="auto" w:val="clear"/>
                                </w:rPr>
                                <w:t>研</w:t>
                              </w:r>
                              <w:r>
                                <w:rPr>
                                  <w:b/>
                                  <w:color w:val="FFFFFF"/>
                                  <w:spacing w:val="-10"/>
                                  <w:sz w:val="16"/>
                                  <w:shd w:fill="929F00" w:color="auto" w:val="clear"/>
                                </w:rPr>
                                <w:t>究</w:t>
                              </w:r>
                              <w:r>
                                <w:rPr>
                                  <w:b/>
                                  <w:color w:val="FFFFFF"/>
                                  <w:sz w:val="16"/>
                                  <w:shd w:fill="929F00" w:color="auto" w:val="clear"/>
                                </w:rPr>
                                <w:tab/>
                              </w:r>
                            </w:p>
                          </w:txbxContent>
                        </wps:txbx>
                        <wps:bodyPr wrap="square" lIns="0" tIns="0" rIns="0" bIns="0" rtlCol="0">
                          <a:noAutofit/>
                        </wps:bodyPr>
                      </wps:wsp>
                      <wps:wsp>
                        <wps:cNvPr id="57" name="Textbox 57"/>
                        <wps:cNvSpPr txBox="1"/>
                        <wps:spPr>
                          <a:xfrm>
                            <a:off x="171679" y="1196554"/>
                            <a:ext cx="2075814" cy="112395"/>
                          </a:xfrm>
                          <a:prstGeom prst="rect">
                            <a:avLst/>
                          </a:prstGeom>
                        </wps:spPr>
                        <wps:txbx>
                          <w:txbxContent>
                            <w:p>
                              <w:pPr>
                                <w:tabs>
                                  <w:tab w:pos="1058" w:val="left" w:leader="none"/>
                                  <w:tab w:pos="3248" w:val="left" w:leader="none"/>
                                </w:tabs>
                                <w:spacing w:line="177" w:lineRule="exact" w:before="0"/>
                                <w:ind w:left="0" w:right="0" w:firstLine="0"/>
                                <w:jc w:val="left"/>
                                <w:rPr>
                                  <w:rFonts w:ascii="Times New Roman" w:eastAsia="Times New Roman"/>
                                  <w:b/>
                                  <w:sz w:val="16"/>
                                </w:rPr>
                              </w:pPr>
                              <w:r>
                                <w:rPr>
                                  <w:rFonts w:ascii="Times New Roman" w:eastAsia="Times New Roman"/>
                                  <w:b/>
                                  <w:color w:val="929F00"/>
                                  <w:sz w:val="16"/>
                                  <w:shd w:fill="F9FFC4" w:color="auto" w:val="clear"/>
                                </w:rPr>
                                <w:tab/>
                              </w:r>
                              <w:r>
                                <w:rPr>
                                  <w:b/>
                                  <w:color w:val="929F00"/>
                                  <w:sz w:val="16"/>
                                  <w:shd w:fill="F9FFC4" w:color="auto" w:val="clear"/>
                                </w:rPr>
                                <w:t>安慰剂</w:t>
                              </w:r>
                              <w:r>
                                <w:rPr>
                                  <w:b/>
                                  <w:color w:val="929F00"/>
                                  <w:spacing w:val="-40"/>
                                  <w:sz w:val="16"/>
                                  <w:shd w:fill="F9FFC4" w:color="auto" w:val="clear"/>
                                </w:rPr>
                                <w:t> </w:t>
                              </w:r>
                              <w:r>
                                <w:rPr>
                                  <w:rFonts w:ascii="Times New Roman" w:eastAsia="Times New Roman"/>
                                  <w:b/>
                                  <w:color w:val="929F00"/>
                                  <w:sz w:val="16"/>
                                  <w:shd w:fill="F9FFC4" w:color="auto" w:val="clear"/>
                                </w:rPr>
                                <w:t>Q4W</w:t>
                              </w:r>
                              <w:r>
                                <w:rPr>
                                  <w:rFonts w:ascii="Times New Roman" w:eastAsia="Times New Roman"/>
                                  <w:b/>
                                  <w:color w:val="929F00"/>
                                  <w:spacing w:val="-9"/>
                                  <w:sz w:val="16"/>
                                  <w:shd w:fill="F9FFC4" w:color="auto" w:val="clear"/>
                                </w:rPr>
                                <w:t> </w:t>
                              </w:r>
                              <w:r>
                                <w:rPr>
                                  <w:rFonts w:ascii="Times New Roman" w:eastAsia="Times New Roman"/>
                                  <w:b/>
                                  <w:color w:val="929F00"/>
                                  <w:spacing w:val="-5"/>
                                  <w:sz w:val="16"/>
                                  <w:shd w:fill="F9FFC4" w:color="auto" w:val="clear"/>
                                </w:rPr>
                                <w:t>SC</w:t>
                              </w:r>
                              <w:r>
                                <w:rPr>
                                  <w:rFonts w:ascii="Times New Roman" w:eastAsia="Times New Roman"/>
                                  <w:b/>
                                  <w:color w:val="929F00"/>
                                  <w:sz w:val="16"/>
                                  <w:shd w:fill="F9FFC4" w:color="auto" w:val="clear"/>
                                </w:rPr>
                                <w:tab/>
                              </w:r>
                            </w:p>
                          </w:txbxContent>
                        </wps:txbx>
                        <wps:bodyPr wrap="square" lIns="0" tIns="0" rIns="0" bIns="0" rtlCol="0">
                          <a:noAutofit/>
                        </wps:bodyPr>
                      </wps:wsp>
                      <wps:wsp>
                        <wps:cNvPr id="58" name="Textbox 58"/>
                        <wps:cNvSpPr txBox="1"/>
                        <wps:spPr>
                          <a:xfrm>
                            <a:off x="3089504" y="1196554"/>
                            <a:ext cx="2435860" cy="393065"/>
                          </a:xfrm>
                          <a:prstGeom prst="rect">
                            <a:avLst/>
                          </a:prstGeom>
                        </wps:spPr>
                        <wps:txbx>
                          <w:txbxContent>
                            <w:p>
                              <w:pPr>
                                <w:tabs>
                                  <w:tab w:pos="1058" w:val="left" w:leader="none"/>
                                  <w:tab w:pos="3248" w:val="left" w:leader="none"/>
                                </w:tabs>
                                <w:spacing w:line="187" w:lineRule="exact" w:before="0"/>
                                <w:ind w:left="0" w:right="0" w:firstLine="0"/>
                                <w:jc w:val="left"/>
                                <w:rPr>
                                  <w:rFonts w:ascii="Times New Roman" w:eastAsia="Times New Roman"/>
                                  <w:b/>
                                  <w:sz w:val="16"/>
                                </w:rPr>
                              </w:pPr>
                              <w:r>
                                <w:rPr>
                                  <w:rFonts w:ascii="Times New Roman" w:eastAsia="Times New Roman"/>
                                  <w:b/>
                                  <w:color w:val="929F00"/>
                                  <w:sz w:val="16"/>
                                  <w:shd w:fill="F9FFC4" w:color="auto" w:val="clear"/>
                                </w:rPr>
                                <w:tab/>
                              </w:r>
                              <w:r>
                                <w:rPr>
                                  <w:b/>
                                  <w:color w:val="929F00"/>
                                  <w:sz w:val="16"/>
                                  <w:shd w:fill="F9FFC4" w:color="auto" w:val="clear"/>
                                </w:rPr>
                                <w:t>安慰剂</w:t>
                              </w:r>
                              <w:r>
                                <w:rPr>
                                  <w:b/>
                                  <w:color w:val="929F00"/>
                                  <w:spacing w:val="-40"/>
                                  <w:sz w:val="16"/>
                                  <w:shd w:fill="F9FFC4" w:color="auto" w:val="clear"/>
                                </w:rPr>
                                <w:t> </w:t>
                              </w:r>
                              <w:r>
                                <w:rPr>
                                  <w:rFonts w:ascii="Times New Roman" w:eastAsia="Times New Roman"/>
                                  <w:b/>
                                  <w:color w:val="929F00"/>
                                  <w:sz w:val="16"/>
                                  <w:shd w:fill="F9FFC4" w:color="auto" w:val="clear"/>
                                </w:rPr>
                                <w:t>Q4W</w:t>
                              </w:r>
                              <w:r>
                                <w:rPr>
                                  <w:rFonts w:ascii="Times New Roman" w:eastAsia="Times New Roman"/>
                                  <w:b/>
                                  <w:color w:val="929F00"/>
                                  <w:spacing w:val="-9"/>
                                  <w:sz w:val="16"/>
                                  <w:shd w:fill="F9FFC4" w:color="auto" w:val="clear"/>
                                </w:rPr>
                                <w:t> </w:t>
                              </w:r>
                              <w:r>
                                <w:rPr>
                                  <w:rFonts w:ascii="Times New Roman" w:eastAsia="Times New Roman"/>
                                  <w:b/>
                                  <w:color w:val="929F00"/>
                                  <w:spacing w:val="-5"/>
                                  <w:sz w:val="16"/>
                                  <w:shd w:fill="F9FFC4" w:color="auto" w:val="clear"/>
                                </w:rPr>
                                <w:t>SC</w:t>
                              </w:r>
                              <w:r>
                                <w:rPr>
                                  <w:rFonts w:ascii="Times New Roman" w:eastAsia="Times New Roman"/>
                                  <w:b/>
                                  <w:color w:val="929F00"/>
                                  <w:sz w:val="16"/>
                                  <w:shd w:fill="F9FFC4" w:color="auto" w:val="clear"/>
                                </w:rPr>
                                <w:tab/>
                              </w:r>
                            </w:p>
                            <w:p>
                              <w:pPr>
                                <w:spacing w:line="180" w:lineRule="atLeast" w:before="71"/>
                                <w:ind w:left="2903" w:right="18" w:firstLine="54"/>
                                <w:jc w:val="left"/>
                                <w:rPr>
                                  <w:b/>
                                  <w:sz w:val="13"/>
                                </w:rPr>
                              </w:pPr>
                              <w:r>
                                <w:rPr>
                                  <w:b/>
                                  <w:color w:val="006FC0"/>
                                  <w:spacing w:val="-13"/>
                                  <w:sz w:val="13"/>
                                </w:rPr>
                                <w:t>从 </w:t>
                              </w:r>
                              <w:r>
                                <w:rPr>
                                  <w:rFonts w:ascii="Times New Roman" w:eastAsia="Times New Roman"/>
                                  <w:b/>
                                  <w:color w:val="006FC0"/>
                                  <w:sz w:val="13"/>
                                </w:rPr>
                                <w:t>O/T </w:t>
                              </w:r>
                              <w:r>
                                <w:rPr>
                                  <w:b/>
                                  <w:color w:val="006FC0"/>
                                  <w:sz w:val="13"/>
                                </w:rPr>
                                <w:t>开始的</w:t>
                              </w:r>
                              <w:r>
                                <w:rPr>
                                  <w:b/>
                                  <w:color w:val="006FC0"/>
                                  <w:spacing w:val="-4"/>
                                  <w:sz w:val="13"/>
                                </w:rPr>
                                <w:t>主要有效性比较</w:t>
                              </w:r>
                            </w:p>
                          </w:txbxContent>
                        </wps:txbx>
                        <wps:bodyPr wrap="square" lIns="0" tIns="0" rIns="0" bIns="0" rtlCol="0">
                          <a:noAutofit/>
                        </wps:bodyPr>
                      </wps:wsp>
                      <wps:wsp>
                        <wps:cNvPr id="59" name="Textbox 59"/>
                        <wps:cNvSpPr txBox="1"/>
                        <wps:spPr>
                          <a:xfrm>
                            <a:off x="3532352" y="257733"/>
                            <a:ext cx="1160145" cy="175895"/>
                          </a:xfrm>
                          <a:prstGeom prst="rect">
                            <a:avLst/>
                          </a:prstGeom>
                          <a:solidFill>
                            <a:srgbClr val="FFFFFF"/>
                          </a:solidFill>
                        </wps:spPr>
                        <wps:txbx>
                          <w:txbxContent>
                            <w:p>
                              <w:pPr>
                                <w:spacing w:before="46"/>
                                <w:ind w:left="414" w:right="0" w:firstLine="0"/>
                                <w:jc w:val="left"/>
                                <w:rPr>
                                  <w:b/>
                                  <w:color w:val="000000"/>
                                  <w:sz w:val="16"/>
                                </w:rPr>
                              </w:pPr>
                              <w:r>
                                <w:rPr>
                                  <w:b/>
                                  <w:color w:val="830051"/>
                                  <w:spacing w:val="-2"/>
                                  <w:sz w:val="16"/>
                                </w:rPr>
                                <w:t>治疗期：</w:t>
                              </w:r>
                              <w:r>
                                <w:rPr>
                                  <w:rFonts w:ascii="Times New Roman" w:eastAsia="Times New Roman"/>
                                  <w:b/>
                                  <w:color w:val="830051"/>
                                  <w:spacing w:val="-2"/>
                                  <w:sz w:val="16"/>
                                </w:rPr>
                                <w:t>52</w:t>
                              </w:r>
                              <w:r>
                                <w:rPr>
                                  <w:rFonts w:ascii="Times New Roman" w:eastAsia="Times New Roman"/>
                                  <w:b/>
                                  <w:color w:val="830051"/>
                                  <w:spacing w:val="1"/>
                                  <w:sz w:val="16"/>
                                </w:rPr>
                                <w:t> </w:t>
                              </w:r>
                              <w:r>
                                <w:rPr>
                                  <w:b/>
                                  <w:color w:val="830051"/>
                                  <w:spacing w:val="-10"/>
                                  <w:sz w:val="16"/>
                                </w:rPr>
                                <w:t>周</w:t>
                              </w:r>
                            </w:p>
                          </w:txbxContent>
                        </wps:txbx>
                        <wps:bodyPr wrap="square" lIns="0" tIns="0" rIns="0" bIns="0" rtlCol="0">
                          <a:noAutofit/>
                        </wps:bodyPr>
                      </wps:wsp>
                      <wps:wsp>
                        <wps:cNvPr id="60" name="Textbox 60"/>
                        <wps:cNvSpPr txBox="1"/>
                        <wps:spPr>
                          <a:xfrm>
                            <a:off x="2510511" y="133057"/>
                            <a:ext cx="1022350" cy="300355"/>
                          </a:xfrm>
                          <a:prstGeom prst="rect">
                            <a:avLst/>
                          </a:prstGeom>
                          <a:solidFill>
                            <a:srgbClr val="FFFFFF"/>
                          </a:solidFill>
                        </wps:spPr>
                        <wps:txbx>
                          <w:txbxContent>
                            <w:p>
                              <w:pPr>
                                <w:spacing w:before="3"/>
                                <w:ind w:left="0" w:right="1" w:firstLine="0"/>
                                <w:jc w:val="center"/>
                                <w:rPr>
                                  <w:b/>
                                  <w:color w:val="000000"/>
                                  <w:sz w:val="16"/>
                                </w:rPr>
                              </w:pPr>
                              <w:r>
                                <w:rPr>
                                  <w:b/>
                                  <w:color w:val="830051"/>
                                  <w:spacing w:val="-7"/>
                                  <w:sz w:val="16"/>
                                </w:rPr>
                                <w:t>入选</w:t>
                              </w:r>
                            </w:p>
                            <w:p>
                              <w:pPr>
                                <w:spacing w:before="16"/>
                                <w:ind w:left="0" w:right="1" w:firstLine="0"/>
                                <w:jc w:val="center"/>
                                <w:rPr>
                                  <w:b/>
                                  <w:color w:val="000000"/>
                                  <w:sz w:val="16"/>
                                </w:rPr>
                              </w:pPr>
                              <w:r>
                                <w:rPr>
                                  <w:b/>
                                  <w:color w:val="830051"/>
                                  <w:spacing w:val="-20"/>
                                  <w:sz w:val="16"/>
                                </w:rPr>
                                <w:t>与 </w:t>
                              </w:r>
                              <w:r>
                                <w:rPr>
                                  <w:rFonts w:ascii="Times New Roman" w:eastAsia="Times New Roman"/>
                                  <w:b/>
                                  <w:color w:val="830051"/>
                                  <w:sz w:val="16"/>
                                </w:rPr>
                                <w:t>O/T</w:t>
                              </w:r>
                              <w:r>
                                <w:rPr>
                                  <w:rFonts w:ascii="Times New Roman" w:eastAsia="Times New Roman"/>
                                  <w:b/>
                                  <w:color w:val="830051"/>
                                  <w:spacing w:val="-6"/>
                                  <w:sz w:val="16"/>
                                </w:rPr>
                                <w:t> </w:t>
                              </w:r>
                              <w:r>
                                <w:rPr>
                                  <w:rFonts w:ascii="Times New Roman" w:eastAsia="Times New Roman"/>
                                  <w:b/>
                                  <w:color w:val="830051"/>
                                  <w:sz w:val="16"/>
                                </w:rPr>
                                <w:t>V15</w:t>
                              </w:r>
                              <w:r>
                                <w:rPr>
                                  <w:rFonts w:ascii="Times New Roman" w:eastAsia="Times New Roman"/>
                                  <w:b/>
                                  <w:color w:val="830051"/>
                                  <w:spacing w:val="-9"/>
                                  <w:sz w:val="16"/>
                                </w:rPr>
                                <w:t> </w:t>
                              </w:r>
                              <w:r>
                                <w:rPr>
                                  <w:b/>
                                  <w:color w:val="830051"/>
                                  <w:spacing w:val="-4"/>
                                  <w:sz w:val="16"/>
                                </w:rPr>
                                <w:t>同一天</w:t>
                              </w:r>
                            </w:p>
                          </w:txbxContent>
                        </wps:txbx>
                        <wps:bodyPr wrap="square" lIns="0" tIns="0" rIns="0" bIns="0" rtlCol="0">
                          <a:noAutofit/>
                        </wps:bodyPr>
                      </wps:wsp>
                    </wpg:wgp>
                  </a:graphicData>
                </a:graphic>
              </wp:anchor>
            </w:drawing>
          </mc:Choice>
          <mc:Fallback>
            <w:pict>
              <v:group style="position:absolute;margin-left:87.281967pt;margin-top:27.626453pt;width:455.6pt;height:129.65pt;mso-position-horizontal-relative:page;mso-position-vertical-relative:paragraph;z-index:15732224" id="docshapegroup50" coordorigin="1746,553" coordsize="9112,2593">
                <v:shape style="position:absolute;left:1745;top:624;width:8982;height:2343" type="#_x0000_t75" id="docshape51" alt="A picture containing text, screenshot, font, line  Description automatically generated" stroked="false">
                  <v:imagedata r:id="rId17" o:title=""/>
                </v:shape>
                <v:shape style="position:absolute;left:1761;top:552;width:9096;height:2593" id="docshape52" coordorigin="1761,553" coordsize="9096,2593" path="m4390,553l1761,553,1761,1185,4390,1185,4390,553xm10798,2717l9142,2717,9142,3145,10798,3145,10798,2717xm10857,717l9660,717,9660,1197,10857,1197,10857,717xe" filled="true" fillcolor="#ffffff" stroked="false">
                  <v:path arrowok="t"/>
                  <v:fill type="solid"/>
                </v:shape>
                <v:shape style="position:absolute;left:1766;top:582;width:1329;height:527" type="#_x0000_t202" id="docshape53" filled="false" stroked="false">
                  <v:textbox inset="0,0,0,0">
                    <w:txbxContent>
                      <w:p>
                        <w:pPr>
                          <w:spacing w:line="246" w:lineRule="exact" w:before="0"/>
                          <w:ind w:left="0" w:right="0" w:firstLine="0"/>
                          <w:jc w:val="left"/>
                          <w:rPr>
                            <w:rFonts w:ascii="Times New Roman" w:eastAsia="Times New Roman"/>
                            <w:b/>
                            <w:sz w:val="21"/>
                          </w:rPr>
                        </w:pPr>
                        <w:r>
                          <w:rPr>
                            <w:rFonts w:ascii="Times New Roman" w:eastAsia="Times New Roman"/>
                            <w:b/>
                            <w:color w:val="929F00"/>
                            <w:spacing w:val="-2"/>
                            <w:sz w:val="21"/>
                          </w:rPr>
                          <w:t>CSP</w:t>
                        </w:r>
                        <w:r>
                          <w:rPr>
                            <w:rFonts w:ascii="Times New Roman" w:eastAsia="Times New Roman"/>
                            <w:b/>
                            <w:color w:val="929F00"/>
                            <w:spacing w:val="-7"/>
                            <w:sz w:val="21"/>
                          </w:rPr>
                          <w:t> </w:t>
                        </w:r>
                        <w:r>
                          <w:rPr>
                            <w:b/>
                            <w:color w:val="929F00"/>
                            <w:spacing w:val="-18"/>
                            <w:sz w:val="21"/>
                          </w:rPr>
                          <w:t>版本 </w:t>
                        </w:r>
                        <w:r>
                          <w:rPr>
                            <w:rFonts w:ascii="Times New Roman" w:eastAsia="Times New Roman"/>
                            <w:b/>
                            <w:color w:val="929F00"/>
                            <w:spacing w:val="-5"/>
                            <w:sz w:val="21"/>
                          </w:rPr>
                          <w:t>1.0</w:t>
                        </w:r>
                      </w:p>
                      <w:p>
                        <w:pPr>
                          <w:spacing w:line="259" w:lineRule="exact" w:before="21"/>
                          <w:ind w:left="0" w:right="0" w:firstLine="0"/>
                          <w:jc w:val="left"/>
                          <w:rPr>
                            <w:b/>
                            <w:sz w:val="21"/>
                          </w:rPr>
                        </w:pPr>
                        <w:r>
                          <w:rPr>
                            <w:b/>
                            <w:color w:val="929F00"/>
                            <w:spacing w:val="-2"/>
                            <w:sz w:val="21"/>
                          </w:rPr>
                          <w:t>治疗期：</w:t>
                        </w:r>
                        <w:r>
                          <w:rPr>
                            <w:rFonts w:ascii="Times New Roman" w:eastAsia="Times New Roman"/>
                            <w:b/>
                            <w:color w:val="929F00"/>
                            <w:spacing w:val="-2"/>
                            <w:sz w:val="21"/>
                          </w:rPr>
                          <w:t>52</w:t>
                        </w:r>
                        <w:r>
                          <w:rPr>
                            <w:rFonts w:ascii="Times New Roman" w:eastAsia="Times New Roman"/>
                            <w:b/>
                            <w:color w:val="929F00"/>
                            <w:spacing w:val="-3"/>
                            <w:sz w:val="21"/>
                          </w:rPr>
                          <w:t> </w:t>
                        </w:r>
                        <w:r>
                          <w:rPr>
                            <w:b/>
                            <w:color w:val="929F00"/>
                            <w:spacing w:val="-12"/>
                            <w:sz w:val="21"/>
                          </w:rPr>
                          <w:t>周</w:t>
                        </w:r>
                      </w:p>
                    </w:txbxContent>
                  </v:textbox>
                  <w10:wrap type="none"/>
                </v:shape>
                <v:shape style="position:absolute;left:9938;top:747;width:664;height:395" type="#_x0000_t202" id="docshape54" filled="false" stroked="false">
                  <v:textbox inset="0,0,0,0">
                    <w:txbxContent>
                      <w:p>
                        <w:pPr>
                          <w:spacing w:line="182" w:lineRule="exact" w:before="0"/>
                          <w:ind w:left="0" w:right="18" w:firstLine="0"/>
                          <w:jc w:val="center"/>
                          <w:rPr>
                            <w:b/>
                            <w:sz w:val="16"/>
                          </w:rPr>
                        </w:pPr>
                        <w:r>
                          <w:rPr>
                            <w:b/>
                            <w:color w:val="830051"/>
                            <w:spacing w:val="-4"/>
                            <w:sz w:val="16"/>
                          </w:rPr>
                          <w:t>随访期：</w:t>
                        </w:r>
                      </w:p>
                      <w:p>
                        <w:pPr>
                          <w:spacing w:line="198" w:lineRule="exact" w:before="15"/>
                          <w:ind w:left="0" w:right="20" w:firstLine="0"/>
                          <w:jc w:val="center"/>
                          <w:rPr>
                            <w:b/>
                            <w:sz w:val="16"/>
                          </w:rPr>
                        </w:pPr>
                        <w:r>
                          <w:rPr>
                            <w:rFonts w:ascii="Times New Roman" w:eastAsia="Times New Roman"/>
                            <w:b/>
                            <w:color w:val="830051"/>
                            <w:sz w:val="16"/>
                          </w:rPr>
                          <w:t>8</w:t>
                        </w:r>
                        <w:r>
                          <w:rPr>
                            <w:rFonts w:ascii="Times New Roman" w:eastAsia="Times New Roman"/>
                            <w:b/>
                            <w:color w:val="830051"/>
                            <w:spacing w:val="-7"/>
                            <w:sz w:val="16"/>
                          </w:rPr>
                          <w:t> </w:t>
                        </w:r>
                        <w:r>
                          <w:rPr>
                            <w:b/>
                            <w:color w:val="830051"/>
                            <w:spacing w:val="-10"/>
                            <w:sz w:val="16"/>
                          </w:rPr>
                          <w:t>周</w:t>
                        </w:r>
                      </w:p>
                    </w:txbxContent>
                  </v:textbox>
                  <w10:wrap type="none"/>
                </v:shape>
                <v:shape style="position:absolute;left:2350;top:1413;width:3264;height:177" type="#_x0000_t202" id="docshape55" filled="false" stroked="false">
                  <v:textbox inset="0,0,0,0">
                    <w:txbxContent>
                      <w:p>
                        <w:pPr>
                          <w:tabs>
                            <w:tab w:pos="3243" w:val="left" w:leader="none"/>
                          </w:tabs>
                          <w:spacing w:line="177" w:lineRule="exact" w:before="0"/>
                          <w:ind w:left="0" w:right="0" w:firstLine="0"/>
                          <w:jc w:val="left"/>
                          <w:rPr>
                            <w:b/>
                            <w:sz w:val="16"/>
                          </w:rPr>
                        </w:pPr>
                        <w:r>
                          <w:rPr>
                            <w:rFonts w:ascii="Times New Roman" w:eastAsia="Times New Roman"/>
                            <w:b/>
                            <w:color w:val="FFFFFF"/>
                            <w:spacing w:val="-2"/>
                            <w:sz w:val="16"/>
                            <w:shd w:fill="929F00" w:color="auto" w:val="clear"/>
                          </w:rPr>
                          <w:t>OBERON </w:t>
                        </w:r>
                        <w:r>
                          <w:rPr>
                            <w:b/>
                            <w:color w:val="FFFFFF"/>
                            <w:spacing w:val="-2"/>
                            <w:sz w:val="16"/>
                            <w:shd w:fill="929F00" w:color="auto" w:val="clear"/>
                          </w:rPr>
                          <w:t>和</w:t>
                        </w:r>
                        <w:r>
                          <w:rPr>
                            <w:b/>
                            <w:color w:val="FFFFFF"/>
                            <w:spacing w:val="-36"/>
                            <w:sz w:val="16"/>
                            <w:shd w:fill="929F00" w:color="auto" w:val="clear"/>
                          </w:rPr>
                          <w:t> </w:t>
                        </w:r>
                        <w:r>
                          <w:rPr>
                            <w:rFonts w:ascii="Times New Roman" w:eastAsia="Times New Roman"/>
                            <w:b/>
                            <w:color w:val="FFFFFF"/>
                            <w:spacing w:val="-2"/>
                            <w:sz w:val="16"/>
                            <w:shd w:fill="929F00" w:color="auto" w:val="clear"/>
                          </w:rPr>
                          <w:t>TITANIA</w:t>
                        </w:r>
                        <w:r>
                          <w:rPr>
                            <w:rFonts w:ascii="Times New Roman" w:eastAsia="Times New Roman"/>
                            <w:b/>
                            <w:color w:val="FFFFFF"/>
                            <w:spacing w:val="-4"/>
                            <w:sz w:val="16"/>
                            <w:shd w:fill="929F00" w:color="auto" w:val="clear"/>
                          </w:rPr>
                          <w:t> </w:t>
                        </w:r>
                        <w:r>
                          <w:rPr>
                            <w:b/>
                            <w:color w:val="FFFFFF"/>
                            <w:spacing w:val="-2"/>
                            <w:sz w:val="16"/>
                            <w:shd w:fill="929F00" w:color="auto" w:val="clear"/>
                          </w:rPr>
                          <w:t>前身研</w:t>
                        </w:r>
                        <w:r>
                          <w:rPr>
                            <w:b/>
                            <w:color w:val="FFFFFF"/>
                            <w:spacing w:val="-10"/>
                            <w:sz w:val="16"/>
                            <w:shd w:fill="929F00" w:color="auto" w:val="clear"/>
                          </w:rPr>
                          <w:t>究</w:t>
                        </w:r>
                        <w:r>
                          <w:rPr>
                            <w:b/>
                            <w:color w:val="FFFFFF"/>
                            <w:sz w:val="16"/>
                            <w:shd w:fill="929F00" w:color="auto" w:val="clear"/>
                          </w:rPr>
                          <w:tab/>
                        </w:r>
                      </w:p>
                    </w:txbxContent>
                  </v:textbox>
                  <w10:wrap type="none"/>
                </v:shape>
                <v:shape style="position:absolute;left:7460;top:1436;width:1815;height:177" type="#_x0000_t202" id="docshape56" filled="false" stroked="false">
                  <v:textbox inset="0,0,0,0">
                    <w:txbxContent>
                      <w:p>
                        <w:pPr>
                          <w:tabs>
                            <w:tab w:pos="1793" w:val="left" w:leader="none"/>
                          </w:tabs>
                          <w:spacing w:line="177" w:lineRule="exact" w:before="0"/>
                          <w:ind w:left="0" w:right="0" w:firstLine="0"/>
                          <w:jc w:val="left"/>
                          <w:rPr>
                            <w:b/>
                            <w:sz w:val="16"/>
                          </w:rPr>
                        </w:pPr>
                        <w:r>
                          <w:rPr>
                            <w:rFonts w:ascii="Times New Roman" w:eastAsia="Times New Roman"/>
                            <w:b/>
                            <w:color w:val="FFFFFF"/>
                            <w:spacing w:val="-2"/>
                            <w:sz w:val="16"/>
                            <w:shd w:fill="929F00" w:color="auto" w:val="clear"/>
                          </w:rPr>
                          <w:t>PROSPERO</w:t>
                        </w:r>
                        <w:r>
                          <w:rPr>
                            <w:rFonts w:ascii="Times New Roman" w:eastAsia="Times New Roman"/>
                            <w:b/>
                            <w:color w:val="FFFFFF"/>
                            <w:spacing w:val="3"/>
                            <w:sz w:val="16"/>
                            <w:shd w:fill="929F00" w:color="auto" w:val="clear"/>
                          </w:rPr>
                          <w:t> </w:t>
                        </w:r>
                        <w:r>
                          <w:rPr>
                            <w:rFonts w:ascii="Times New Roman" w:eastAsia="Times New Roman"/>
                            <w:b/>
                            <w:color w:val="FFFFFF"/>
                            <w:spacing w:val="-2"/>
                            <w:sz w:val="16"/>
                            <w:shd w:fill="929F00" w:color="auto" w:val="clear"/>
                          </w:rPr>
                          <w:t>LTE</w:t>
                        </w:r>
                        <w:r>
                          <w:rPr>
                            <w:rFonts w:ascii="Times New Roman" w:eastAsia="Times New Roman"/>
                            <w:b/>
                            <w:color w:val="FFFFFF"/>
                            <w:spacing w:val="-3"/>
                            <w:sz w:val="16"/>
                            <w:shd w:fill="929F00" w:color="auto" w:val="clear"/>
                          </w:rPr>
                          <w:t> </w:t>
                        </w:r>
                        <w:r>
                          <w:rPr>
                            <w:b/>
                            <w:color w:val="FFFFFF"/>
                            <w:spacing w:val="-2"/>
                            <w:sz w:val="16"/>
                            <w:shd w:fill="929F00" w:color="auto" w:val="clear"/>
                          </w:rPr>
                          <w:t>研</w:t>
                        </w:r>
                        <w:r>
                          <w:rPr>
                            <w:b/>
                            <w:color w:val="FFFFFF"/>
                            <w:spacing w:val="-10"/>
                            <w:sz w:val="16"/>
                            <w:shd w:fill="929F00" w:color="auto" w:val="clear"/>
                          </w:rPr>
                          <w:t>究</w:t>
                        </w:r>
                        <w:r>
                          <w:rPr>
                            <w:b/>
                            <w:color w:val="FFFFFF"/>
                            <w:sz w:val="16"/>
                            <w:shd w:fill="929F00" w:color="auto" w:val="clear"/>
                          </w:rPr>
                          <w:tab/>
                        </w:r>
                      </w:p>
                    </w:txbxContent>
                  </v:textbox>
                  <w10:wrap type="none"/>
                </v:shape>
                <v:shape style="position:absolute;left:2016;top:2436;width:3269;height:177" type="#_x0000_t202" id="docshape57" filled="false" stroked="false">
                  <v:textbox inset="0,0,0,0">
                    <w:txbxContent>
                      <w:p>
                        <w:pPr>
                          <w:tabs>
                            <w:tab w:pos="1058" w:val="left" w:leader="none"/>
                            <w:tab w:pos="3248" w:val="left" w:leader="none"/>
                          </w:tabs>
                          <w:spacing w:line="177" w:lineRule="exact" w:before="0"/>
                          <w:ind w:left="0" w:right="0" w:firstLine="0"/>
                          <w:jc w:val="left"/>
                          <w:rPr>
                            <w:rFonts w:ascii="Times New Roman" w:eastAsia="Times New Roman"/>
                            <w:b/>
                            <w:sz w:val="16"/>
                          </w:rPr>
                        </w:pPr>
                        <w:r>
                          <w:rPr>
                            <w:rFonts w:ascii="Times New Roman" w:eastAsia="Times New Roman"/>
                            <w:b/>
                            <w:color w:val="929F00"/>
                            <w:sz w:val="16"/>
                            <w:shd w:fill="F9FFC4" w:color="auto" w:val="clear"/>
                          </w:rPr>
                          <w:tab/>
                        </w:r>
                        <w:r>
                          <w:rPr>
                            <w:b/>
                            <w:color w:val="929F00"/>
                            <w:sz w:val="16"/>
                            <w:shd w:fill="F9FFC4" w:color="auto" w:val="clear"/>
                          </w:rPr>
                          <w:t>安慰剂</w:t>
                        </w:r>
                        <w:r>
                          <w:rPr>
                            <w:b/>
                            <w:color w:val="929F00"/>
                            <w:spacing w:val="-40"/>
                            <w:sz w:val="16"/>
                            <w:shd w:fill="F9FFC4" w:color="auto" w:val="clear"/>
                          </w:rPr>
                          <w:t> </w:t>
                        </w:r>
                        <w:r>
                          <w:rPr>
                            <w:rFonts w:ascii="Times New Roman" w:eastAsia="Times New Roman"/>
                            <w:b/>
                            <w:color w:val="929F00"/>
                            <w:sz w:val="16"/>
                            <w:shd w:fill="F9FFC4" w:color="auto" w:val="clear"/>
                          </w:rPr>
                          <w:t>Q4W</w:t>
                        </w:r>
                        <w:r>
                          <w:rPr>
                            <w:rFonts w:ascii="Times New Roman" w:eastAsia="Times New Roman"/>
                            <w:b/>
                            <w:color w:val="929F00"/>
                            <w:spacing w:val="-9"/>
                            <w:sz w:val="16"/>
                            <w:shd w:fill="F9FFC4" w:color="auto" w:val="clear"/>
                          </w:rPr>
                          <w:t> </w:t>
                        </w:r>
                        <w:r>
                          <w:rPr>
                            <w:rFonts w:ascii="Times New Roman" w:eastAsia="Times New Roman"/>
                            <w:b/>
                            <w:color w:val="929F00"/>
                            <w:spacing w:val="-5"/>
                            <w:sz w:val="16"/>
                            <w:shd w:fill="F9FFC4" w:color="auto" w:val="clear"/>
                          </w:rPr>
                          <w:t>SC</w:t>
                        </w:r>
                        <w:r>
                          <w:rPr>
                            <w:rFonts w:ascii="Times New Roman" w:eastAsia="Times New Roman"/>
                            <w:b/>
                            <w:color w:val="929F00"/>
                            <w:sz w:val="16"/>
                            <w:shd w:fill="F9FFC4" w:color="auto" w:val="clear"/>
                          </w:rPr>
                          <w:tab/>
                        </w:r>
                      </w:p>
                    </w:txbxContent>
                  </v:textbox>
                  <w10:wrap type="none"/>
                </v:shape>
                <v:shape style="position:absolute;left:6611;top:2436;width:3836;height:619" type="#_x0000_t202" id="docshape58" filled="false" stroked="false">
                  <v:textbox inset="0,0,0,0">
                    <w:txbxContent>
                      <w:p>
                        <w:pPr>
                          <w:tabs>
                            <w:tab w:pos="1058" w:val="left" w:leader="none"/>
                            <w:tab w:pos="3248" w:val="left" w:leader="none"/>
                          </w:tabs>
                          <w:spacing w:line="187" w:lineRule="exact" w:before="0"/>
                          <w:ind w:left="0" w:right="0" w:firstLine="0"/>
                          <w:jc w:val="left"/>
                          <w:rPr>
                            <w:rFonts w:ascii="Times New Roman" w:eastAsia="Times New Roman"/>
                            <w:b/>
                            <w:sz w:val="16"/>
                          </w:rPr>
                        </w:pPr>
                        <w:r>
                          <w:rPr>
                            <w:rFonts w:ascii="Times New Roman" w:eastAsia="Times New Roman"/>
                            <w:b/>
                            <w:color w:val="929F00"/>
                            <w:sz w:val="16"/>
                            <w:shd w:fill="F9FFC4" w:color="auto" w:val="clear"/>
                          </w:rPr>
                          <w:tab/>
                        </w:r>
                        <w:r>
                          <w:rPr>
                            <w:b/>
                            <w:color w:val="929F00"/>
                            <w:sz w:val="16"/>
                            <w:shd w:fill="F9FFC4" w:color="auto" w:val="clear"/>
                          </w:rPr>
                          <w:t>安慰剂</w:t>
                        </w:r>
                        <w:r>
                          <w:rPr>
                            <w:b/>
                            <w:color w:val="929F00"/>
                            <w:spacing w:val="-40"/>
                            <w:sz w:val="16"/>
                            <w:shd w:fill="F9FFC4" w:color="auto" w:val="clear"/>
                          </w:rPr>
                          <w:t> </w:t>
                        </w:r>
                        <w:r>
                          <w:rPr>
                            <w:rFonts w:ascii="Times New Roman" w:eastAsia="Times New Roman"/>
                            <w:b/>
                            <w:color w:val="929F00"/>
                            <w:sz w:val="16"/>
                            <w:shd w:fill="F9FFC4" w:color="auto" w:val="clear"/>
                          </w:rPr>
                          <w:t>Q4W</w:t>
                        </w:r>
                        <w:r>
                          <w:rPr>
                            <w:rFonts w:ascii="Times New Roman" w:eastAsia="Times New Roman"/>
                            <w:b/>
                            <w:color w:val="929F00"/>
                            <w:spacing w:val="-9"/>
                            <w:sz w:val="16"/>
                            <w:shd w:fill="F9FFC4" w:color="auto" w:val="clear"/>
                          </w:rPr>
                          <w:t> </w:t>
                        </w:r>
                        <w:r>
                          <w:rPr>
                            <w:rFonts w:ascii="Times New Roman" w:eastAsia="Times New Roman"/>
                            <w:b/>
                            <w:color w:val="929F00"/>
                            <w:spacing w:val="-5"/>
                            <w:sz w:val="16"/>
                            <w:shd w:fill="F9FFC4" w:color="auto" w:val="clear"/>
                          </w:rPr>
                          <w:t>SC</w:t>
                        </w:r>
                        <w:r>
                          <w:rPr>
                            <w:rFonts w:ascii="Times New Roman" w:eastAsia="Times New Roman"/>
                            <w:b/>
                            <w:color w:val="929F00"/>
                            <w:sz w:val="16"/>
                            <w:shd w:fill="F9FFC4" w:color="auto" w:val="clear"/>
                          </w:rPr>
                          <w:tab/>
                        </w:r>
                      </w:p>
                      <w:p>
                        <w:pPr>
                          <w:spacing w:line="180" w:lineRule="atLeast" w:before="71"/>
                          <w:ind w:left="2903" w:right="18" w:firstLine="54"/>
                          <w:jc w:val="left"/>
                          <w:rPr>
                            <w:b/>
                            <w:sz w:val="13"/>
                          </w:rPr>
                        </w:pPr>
                        <w:r>
                          <w:rPr>
                            <w:b/>
                            <w:color w:val="006FC0"/>
                            <w:spacing w:val="-13"/>
                            <w:sz w:val="13"/>
                          </w:rPr>
                          <w:t>从 </w:t>
                        </w:r>
                        <w:r>
                          <w:rPr>
                            <w:rFonts w:ascii="Times New Roman" w:eastAsia="Times New Roman"/>
                            <w:b/>
                            <w:color w:val="006FC0"/>
                            <w:sz w:val="13"/>
                          </w:rPr>
                          <w:t>O/T </w:t>
                        </w:r>
                        <w:r>
                          <w:rPr>
                            <w:b/>
                            <w:color w:val="006FC0"/>
                            <w:sz w:val="13"/>
                          </w:rPr>
                          <w:t>开始的</w:t>
                        </w:r>
                        <w:r>
                          <w:rPr>
                            <w:b/>
                            <w:color w:val="006FC0"/>
                            <w:spacing w:val="-4"/>
                            <w:sz w:val="13"/>
                          </w:rPr>
                          <w:t>主要有效性比较</w:t>
                        </w:r>
                      </w:p>
                    </w:txbxContent>
                  </v:textbox>
                  <w10:wrap type="none"/>
                </v:shape>
                <v:shape style="position:absolute;left:7308;top:958;width:1827;height:277" type="#_x0000_t202" id="docshape59" filled="true" fillcolor="#ffffff" stroked="false">
                  <v:textbox inset="0,0,0,0">
                    <w:txbxContent>
                      <w:p>
                        <w:pPr>
                          <w:spacing w:before="46"/>
                          <w:ind w:left="414" w:right="0" w:firstLine="0"/>
                          <w:jc w:val="left"/>
                          <w:rPr>
                            <w:b/>
                            <w:color w:val="000000"/>
                            <w:sz w:val="16"/>
                          </w:rPr>
                        </w:pPr>
                        <w:r>
                          <w:rPr>
                            <w:b/>
                            <w:color w:val="830051"/>
                            <w:spacing w:val="-2"/>
                            <w:sz w:val="16"/>
                          </w:rPr>
                          <w:t>治疗期：</w:t>
                        </w:r>
                        <w:r>
                          <w:rPr>
                            <w:rFonts w:ascii="Times New Roman" w:eastAsia="Times New Roman"/>
                            <w:b/>
                            <w:color w:val="830051"/>
                            <w:spacing w:val="-2"/>
                            <w:sz w:val="16"/>
                          </w:rPr>
                          <w:t>52</w:t>
                        </w:r>
                        <w:r>
                          <w:rPr>
                            <w:rFonts w:ascii="Times New Roman" w:eastAsia="Times New Roman"/>
                            <w:b/>
                            <w:color w:val="830051"/>
                            <w:spacing w:val="1"/>
                            <w:sz w:val="16"/>
                          </w:rPr>
                          <w:t> </w:t>
                        </w:r>
                        <w:r>
                          <w:rPr>
                            <w:b/>
                            <w:color w:val="830051"/>
                            <w:spacing w:val="-10"/>
                            <w:sz w:val="16"/>
                          </w:rPr>
                          <w:t>周</w:t>
                        </w:r>
                      </w:p>
                    </w:txbxContent>
                  </v:textbox>
                  <v:fill type="solid"/>
                  <w10:wrap type="none"/>
                </v:shape>
                <v:shape style="position:absolute;left:5699;top:762;width:1610;height:473" type="#_x0000_t202" id="docshape60" filled="true" fillcolor="#ffffff" stroked="false">
                  <v:textbox inset="0,0,0,0">
                    <w:txbxContent>
                      <w:p>
                        <w:pPr>
                          <w:spacing w:before="3"/>
                          <w:ind w:left="0" w:right="1" w:firstLine="0"/>
                          <w:jc w:val="center"/>
                          <w:rPr>
                            <w:b/>
                            <w:color w:val="000000"/>
                            <w:sz w:val="16"/>
                          </w:rPr>
                        </w:pPr>
                        <w:r>
                          <w:rPr>
                            <w:b/>
                            <w:color w:val="830051"/>
                            <w:spacing w:val="-7"/>
                            <w:sz w:val="16"/>
                          </w:rPr>
                          <w:t>入选</w:t>
                        </w:r>
                      </w:p>
                      <w:p>
                        <w:pPr>
                          <w:spacing w:before="16"/>
                          <w:ind w:left="0" w:right="1" w:firstLine="0"/>
                          <w:jc w:val="center"/>
                          <w:rPr>
                            <w:b/>
                            <w:color w:val="000000"/>
                            <w:sz w:val="16"/>
                          </w:rPr>
                        </w:pPr>
                        <w:r>
                          <w:rPr>
                            <w:b/>
                            <w:color w:val="830051"/>
                            <w:spacing w:val="-20"/>
                            <w:sz w:val="16"/>
                          </w:rPr>
                          <w:t>与 </w:t>
                        </w:r>
                        <w:r>
                          <w:rPr>
                            <w:rFonts w:ascii="Times New Roman" w:eastAsia="Times New Roman"/>
                            <w:b/>
                            <w:color w:val="830051"/>
                            <w:sz w:val="16"/>
                          </w:rPr>
                          <w:t>O/T</w:t>
                        </w:r>
                        <w:r>
                          <w:rPr>
                            <w:rFonts w:ascii="Times New Roman" w:eastAsia="Times New Roman"/>
                            <w:b/>
                            <w:color w:val="830051"/>
                            <w:spacing w:val="-6"/>
                            <w:sz w:val="16"/>
                          </w:rPr>
                          <w:t> </w:t>
                        </w:r>
                        <w:r>
                          <w:rPr>
                            <w:rFonts w:ascii="Times New Roman" w:eastAsia="Times New Roman"/>
                            <w:b/>
                            <w:color w:val="830051"/>
                            <w:sz w:val="16"/>
                          </w:rPr>
                          <w:t>V15</w:t>
                        </w:r>
                        <w:r>
                          <w:rPr>
                            <w:rFonts w:ascii="Times New Roman" w:eastAsia="Times New Roman"/>
                            <w:b/>
                            <w:color w:val="830051"/>
                            <w:spacing w:val="-9"/>
                            <w:sz w:val="16"/>
                          </w:rPr>
                          <w:t> </w:t>
                        </w:r>
                        <w:r>
                          <w:rPr>
                            <w:b/>
                            <w:color w:val="830051"/>
                            <w:spacing w:val="-4"/>
                            <w:sz w:val="16"/>
                          </w:rPr>
                          <w:t>同一天</w:t>
                        </w:r>
                      </w:p>
                    </w:txbxContent>
                  </v:textbox>
                  <v:fill type="solid"/>
                  <w10:wrap type="none"/>
                </v:shape>
                <w10:wrap type="none"/>
              </v:group>
            </w:pict>
          </mc:Fallback>
        </mc:AlternateContent>
      </w:r>
      <w:bookmarkStart w:name="_bookmark23" w:id="43"/>
      <w:bookmarkEnd w:id="43"/>
      <w:r>
        <w:rPr>
          <w:b w:val="0"/>
        </w:rPr>
      </w:r>
      <w:r>
        <w:rPr>
          <w:spacing w:val="-4"/>
        </w:rPr>
        <w:t>图</w:t>
      </w:r>
      <w:r>
        <w:rPr>
          <w:spacing w:val="-59"/>
        </w:rPr>
        <w:t> </w:t>
      </w:r>
      <w:r>
        <w:rPr>
          <w:rFonts w:ascii="Times New Roman" w:eastAsia="Times New Roman"/>
          <w:spacing w:val="-10"/>
        </w:rPr>
        <w:t>2</w:t>
      </w:r>
      <w:r>
        <w:rPr>
          <w:rFonts w:ascii="Times New Roman" w:eastAsia="Times New Roman"/>
        </w:rPr>
        <w:tab/>
      </w:r>
      <w:r>
        <w:rPr>
          <w:spacing w:val="-2"/>
        </w:rPr>
        <w:t>研究设</w:t>
      </w:r>
      <w:r>
        <w:rPr>
          <w:spacing w:val="-10"/>
        </w:rPr>
        <w:t>计</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26"/>
        <w:ind w:left="0"/>
        <w:rPr>
          <w:b/>
        </w:rPr>
      </w:pPr>
    </w:p>
    <w:p>
      <w:pPr>
        <w:spacing w:before="0"/>
        <w:ind w:left="221" w:right="0" w:firstLine="0"/>
        <w:jc w:val="left"/>
        <w:rPr>
          <w:sz w:val="21"/>
        </w:rPr>
      </w:pPr>
      <w:r>
        <w:rPr/>
        <mc:AlternateContent>
          <mc:Choice Requires="wps">
            <w:drawing>
              <wp:anchor distT="0" distB="0" distL="0" distR="0" allowOverlap="1" layoutInCell="1" locked="0" behindDoc="0" simplePos="0" relativeHeight="15732736">
                <wp:simplePos x="0" y="0"/>
                <wp:positionH relativeFrom="page">
                  <wp:posOffset>1141658</wp:posOffset>
                </wp:positionH>
                <wp:positionV relativeFrom="paragraph">
                  <wp:posOffset>-1770640</wp:posOffset>
                </wp:positionV>
                <wp:extent cx="5813425" cy="161988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5813425" cy="1619885"/>
                          <a:chExt cx="5813425" cy="1619885"/>
                        </a:xfrm>
                      </wpg:grpSpPr>
                      <pic:pic>
                        <pic:nvPicPr>
                          <pic:cNvPr id="62" name="Image 62" descr="A picture containing text, screenshot, font, line  Description automatically generated"/>
                          <pic:cNvPicPr/>
                        </pic:nvPicPr>
                        <pic:blipFill>
                          <a:blip r:embed="rId18" cstate="print"/>
                          <a:stretch>
                            <a:fillRect/>
                          </a:stretch>
                        </pic:blipFill>
                        <pic:spPr>
                          <a:xfrm>
                            <a:off x="0" y="59366"/>
                            <a:ext cx="5685059" cy="1474948"/>
                          </a:xfrm>
                          <a:prstGeom prst="rect">
                            <a:avLst/>
                          </a:prstGeom>
                        </pic:spPr>
                      </pic:pic>
                      <wps:wsp>
                        <wps:cNvPr id="63" name="Graphic 63"/>
                        <wps:cNvSpPr/>
                        <wps:spPr>
                          <a:xfrm>
                            <a:off x="4708215" y="1333715"/>
                            <a:ext cx="1104900" cy="285750"/>
                          </a:xfrm>
                          <a:custGeom>
                            <a:avLst/>
                            <a:gdLst/>
                            <a:ahLst/>
                            <a:cxnLst/>
                            <a:rect l="l" t="t" r="r" b="b"/>
                            <a:pathLst>
                              <a:path w="1104900" h="285750">
                                <a:moveTo>
                                  <a:pt x="1104620" y="0"/>
                                </a:moveTo>
                                <a:lnTo>
                                  <a:pt x="0" y="0"/>
                                </a:lnTo>
                                <a:lnTo>
                                  <a:pt x="0" y="285597"/>
                                </a:lnTo>
                                <a:lnTo>
                                  <a:pt x="1104620" y="285597"/>
                                </a:lnTo>
                                <a:lnTo>
                                  <a:pt x="1104620"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3017337" y="1126616"/>
                            <a:ext cx="2063114" cy="166370"/>
                          </a:xfrm>
                          <a:custGeom>
                            <a:avLst/>
                            <a:gdLst/>
                            <a:ahLst/>
                            <a:cxnLst/>
                            <a:rect l="l" t="t" r="r" b="b"/>
                            <a:pathLst>
                              <a:path w="2063114" h="166370">
                                <a:moveTo>
                                  <a:pt x="2062861" y="0"/>
                                </a:moveTo>
                                <a:lnTo>
                                  <a:pt x="0" y="0"/>
                                </a:lnTo>
                                <a:lnTo>
                                  <a:pt x="0" y="166306"/>
                                </a:lnTo>
                                <a:lnTo>
                                  <a:pt x="2062861" y="166306"/>
                                </a:lnTo>
                                <a:lnTo>
                                  <a:pt x="2062861" y="0"/>
                                </a:lnTo>
                                <a:close/>
                              </a:path>
                            </a:pathLst>
                          </a:custGeom>
                          <a:solidFill>
                            <a:srgbClr val="F5FF88"/>
                          </a:solidFill>
                        </wps:spPr>
                        <wps:bodyPr wrap="square" lIns="0" tIns="0" rIns="0" bIns="0" rtlCol="0">
                          <a:prstTxWarp prst="textNoShape">
                            <a:avLst/>
                          </a:prstTxWarp>
                          <a:noAutofit/>
                        </wps:bodyPr>
                      </wps:wsp>
                      <wps:wsp>
                        <wps:cNvPr id="65" name="Graphic 65"/>
                        <wps:cNvSpPr/>
                        <wps:spPr>
                          <a:xfrm>
                            <a:off x="43251" y="0"/>
                            <a:ext cx="1668780" cy="401955"/>
                          </a:xfrm>
                          <a:custGeom>
                            <a:avLst/>
                            <a:gdLst/>
                            <a:ahLst/>
                            <a:cxnLst/>
                            <a:rect l="l" t="t" r="r" b="b"/>
                            <a:pathLst>
                              <a:path w="1668780" h="401955">
                                <a:moveTo>
                                  <a:pt x="1668779" y="0"/>
                                </a:moveTo>
                                <a:lnTo>
                                  <a:pt x="0" y="0"/>
                                </a:lnTo>
                                <a:lnTo>
                                  <a:pt x="0" y="401891"/>
                                </a:lnTo>
                                <a:lnTo>
                                  <a:pt x="1668779" y="401891"/>
                                </a:lnTo>
                                <a:lnTo>
                                  <a:pt x="1668779" y="0"/>
                                </a:lnTo>
                                <a:close/>
                              </a:path>
                            </a:pathLst>
                          </a:custGeom>
                          <a:solidFill>
                            <a:srgbClr val="FFFFFF"/>
                          </a:solidFill>
                        </wps:spPr>
                        <wps:bodyPr wrap="square" lIns="0" tIns="0" rIns="0" bIns="0" rtlCol="0">
                          <a:prstTxWarp prst="textNoShape">
                            <a:avLst/>
                          </a:prstTxWarp>
                          <a:noAutofit/>
                        </wps:bodyPr>
                      </wps:wsp>
                      <wps:wsp>
                        <wps:cNvPr id="66" name="Textbox 66"/>
                        <wps:cNvSpPr txBox="1"/>
                        <wps:spPr>
                          <a:xfrm>
                            <a:off x="46299" y="18901"/>
                            <a:ext cx="2392680" cy="654685"/>
                          </a:xfrm>
                          <a:prstGeom prst="rect">
                            <a:avLst/>
                          </a:prstGeom>
                        </wps:spPr>
                        <wps:txbx>
                          <w:txbxContent>
                            <w:p>
                              <w:pPr>
                                <w:spacing w:line="246" w:lineRule="exact" w:before="0"/>
                                <w:ind w:left="0" w:right="0" w:firstLine="0"/>
                                <w:jc w:val="left"/>
                                <w:rPr>
                                  <w:rFonts w:ascii="Times New Roman" w:eastAsia="Times New Roman"/>
                                  <w:b/>
                                  <w:sz w:val="21"/>
                                </w:rPr>
                              </w:pPr>
                              <w:r>
                                <w:rPr>
                                  <w:rFonts w:ascii="Times New Roman" w:eastAsia="Times New Roman"/>
                                  <w:b/>
                                  <w:color w:val="929F00"/>
                                  <w:spacing w:val="-2"/>
                                  <w:sz w:val="21"/>
                                </w:rPr>
                                <w:t>CSP</w:t>
                              </w:r>
                              <w:r>
                                <w:rPr>
                                  <w:rFonts w:ascii="Times New Roman" w:eastAsia="Times New Roman"/>
                                  <w:b/>
                                  <w:color w:val="929F00"/>
                                  <w:spacing w:val="-6"/>
                                  <w:sz w:val="21"/>
                                </w:rPr>
                                <w:t> </w:t>
                              </w:r>
                              <w:r>
                                <w:rPr>
                                  <w:b/>
                                  <w:color w:val="929F00"/>
                                  <w:spacing w:val="-18"/>
                                  <w:sz w:val="21"/>
                                </w:rPr>
                                <w:t>版本 </w:t>
                              </w:r>
                              <w:r>
                                <w:rPr>
                                  <w:rFonts w:ascii="Times New Roman" w:eastAsia="Times New Roman"/>
                                  <w:b/>
                                  <w:color w:val="929F00"/>
                                  <w:spacing w:val="-5"/>
                                  <w:sz w:val="21"/>
                                </w:rPr>
                                <w:t>2.0</w:t>
                              </w:r>
                            </w:p>
                            <w:p>
                              <w:pPr>
                                <w:spacing w:before="21"/>
                                <w:ind w:left="0" w:right="0" w:firstLine="0"/>
                                <w:jc w:val="left"/>
                                <w:rPr>
                                  <w:b/>
                                  <w:sz w:val="21"/>
                                </w:rPr>
                              </w:pPr>
                              <w:r>
                                <w:rPr>
                                  <w:b/>
                                  <w:color w:val="929F00"/>
                                  <w:spacing w:val="-2"/>
                                  <w:sz w:val="21"/>
                                </w:rPr>
                                <w:t>治疗期：</w:t>
                              </w:r>
                              <w:r>
                                <w:rPr>
                                  <w:rFonts w:ascii="Times New Roman" w:eastAsia="Times New Roman"/>
                                  <w:b/>
                                  <w:color w:val="929F00"/>
                                  <w:spacing w:val="-2"/>
                                  <w:sz w:val="21"/>
                                </w:rPr>
                                <w:t>28</w:t>
                              </w:r>
                              <w:r>
                                <w:rPr>
                                  <w:rFonts w:ascii="Times New Roman" w:eastAsia="Times New Roman"/>
                                  <w:b/>
                                  <w:color w:val="929F00"/>
                                  <w:spacing w:val="-3"/>
                                  <w:sz w:val="21"/>
                                </w:rPr>
                                <w:t> </w:t>
                              </w:r>
                              <w:r>
                                <w:rPr>
                                  <w:b/>
                                  <w:color w:val="929F00"/>
                                  <w:spacing w:val="-12"/>
                                  <w:sz w:val="21"/>
                                </w:rPr>
                                <w:t>周</w:t>
                              </w:r>
                            </w:p>
                            <w:p>
                              <w:pPr>
                                <w:spacing w:line="240" w:lineRule="auto" w:before="19"/>
                                <w:rPr>
                                  <w:b/>
                                  <w:sz w:val="21"/>
                                </w:rPr>
                              </w:pPr>
                            </w:p>
                            <w:p>
                              <w:pPr>
                                <w:tabs>
                                  <w:tab w:pos="978" w:val="left" w:leader="none"/>
                                  <w:tab w:pos="3747" w:val="left" w:leader="none"/>
                                </w:tabs>
                                <w:spacing w:line="198" w:lineRule="exact" w:before="0"/>
                                <w:ind w:left="498" w:right="0" w:firstLine="0"/>
                                <w:jc w:val="left"/>
                                <w:rPr>
                                  <w:b/>
                                  <w:sz w:val="16"/>
                                </w:rPr>
                              </w:pPr>
                              <w:r>
                                <w:rPr>
                                  <w:rFonts w:ascii="Times New Roman" w:eastAsia="Times New Roman"/>
                                  <w:b/>
                                  <w:color w:val="FFFFFF"/>
                                  <w:sz w:val="16"/>
                                  <w:shd w:fill="929F00" w:color="auto" w:val="clear"/>
                                </w:rPr>
                                <w:tab/>
                              </w:r>
                              <w:r>
                                <w:rPr>
                                  <w:rFonts w:ascii="Times New Roman" w:eastAsia="Times New Roman"/>
                                  <w:b/>
                                  <w:color w:val="FFFFFF"/>
                                  <w:spacing w:val="-2"/>
                                  <w:sz w:val="16"/>
                                  <w:shd w:fill="929F00" w:color="auto" w:val="clear"/>
                                </w:rPr>
                                <w:t>OBERON </w:t>
                              </w:r>
                              <w:r>
                                <w:rPr>
                                  <w:b/>
                                  <w:color w:val="FFFFFF"/>
                                  <w:spacing w:val="-2"/>
                                  <w:sz w:val="16"/>
                                  <w:shd w:fill="929F00" w:color="auto" w:val="clear"/>
                                </w:rPr>
                                <w:t>和</w:t>
                              </w:r>
                              <w:r>
                                <w:rPr>
                                  <w:b/>
                                  <w:color w:val="FFFFFF"/>
                                  <w:spacing w:val="-36"/>
                                  <w:sz w:val="16"/>
                                  <w:shd w:fill="929F00" w:color="auto" w:val="clear"/>
                                </w:rPr>
                                <w:t> </w:t>
                              </w:r>
                              <w:r>
                                <w:rPr>
                                  <w:rFonts w:ascii="Times New Roman" w:eastAsia="Times New Roman"/>
                                  <w:b/>
                                  <w:color w:val="FFFFFF"/>
                                  <w:spacing w:val="-2"/>
                                  <w:sz w:val="16"/>
                                  <w:shd w:fill="929F00" w:color="auto" w:val="clear"/>
                                </w:rPr>
                                <w:t>TITANIA</w:t>
                              </w:r>
                              <w:r>
                                <w:rPr>
                                  <w:rFonts w:ascii="Times New Roman" w:eastAsia="Times New Roman"/>
                                  <w:b/>
                                  <w:color w:val="FFFFFF"/>
                                  <w:spacing w:val="-4"/>
                                  <w:sz w:val="16"/>
                                  <w:shd w:fill="929F00" w:color="auto" w:val="clear"/>
                                </w:rPr>
                                <w:t> </w:t>
                              </w:r>
                              <w:r>
                                <w:rPr>
                                  <w:b/>
                                  <w:color w:val="FFFFFF"/>
                                  <w:spacing w:val="-2"/>
                                  <w:sz w:val="16"/>
                                  <w:shd w:fill="929F00" w:color="auto" w:val="clear"/>
                                </w:rPr>
                                <w:t>前身研</w:t>
                              </w:r>
                              <w:r>
                                <w:rPr>
                                  <w:b/>
                                  <w:color w:val="FFFFFF"/>
                                  <w:spacing w:val="-10"/>
                                  <w:sz w:val="16"/>
                                  <w:shd w:fill="929F00" w:color="auto" w:val="clear"/>
                                </w:rPr>
                                <w:t>究</w:t>
                              </w:r>
                              <w:r>
                                <w:rPr>
                                  <w:b/>
                                  <w:color w:val="FFFFFF"/>
                                  <w:sz w:val="16"/>
                                  <w:shd w:fill="929F00" w:color="auto" w:val="clear"/>
                                </w:rPr>
                                <w:tab/>
                              </w:r>
                            </w:p>
                          </w:txbxContent>
                        </wps:txbx>
                        <wps:bodyPr wrap="square" lIns="0" tIns="0" rIns="0" bIns="0" rtlCol="0">
                          <a:noAutofit/>
                        </wps:bodyPr>
                      </wps:wsp>
                      <wps:wsp>
                        <wps:cNvPr id="67" name="Textbox 67"/>
                        <wps:cNvSpPr txBox="1"/>
                        <wps:spPr>
                          <a:xfrm>
                            <a:off x="3654115" y="557960"/>
                            <a:ext cx="1151890" cy="112395"/>
                          </a:xfrm>
                          <a:prstGeom prst="rect">
                            <a:avLst/>
                          </a:prstGeom>
                        </wps:spPr>
                        <wps:txbx>
                          <w:txbxContent>
                            <w:p>
                              <w:pPr>
                                <w:tabs>
                                  <w:tab w:pos="1793" w:val="left" w:leader="none"/>
                                </w:tabs>
                                <w:spacing w:line="177" w:lineRule="exact" w:before="0"/>
                                <w:ind w:left="0" w:right="0" w:firstLine="0"/>
                                <w:jc w:val="left"/>
                                <w:rPr>
                                  <w:b/>
                                  <w:sz w:val="16"/>
                                </w:rPr>
                              </w:pPr>
                              <w:r>
                                <w:rPr>
                                  <w:rFonts w:ascii="Times New Roman" w:eastAsia="Times New Roman"/>
                                  <w:b/>
                                  <w:color w:val="FFFFFF"/>
                                  <w:spacing w:val="-2"/>
                                  <w:sz w:val="16"/>
                                  <w:shd w:fill="929F00" w:color="auto" w:val="clear"/>
                                </w:rPr>
                                <w:t>PROSPERO</w:t>
                              </w:r>
                              <w:r>
                                <w:rPr>
                                  <w:rFonts w:ascii="Times New Roman" w:eastAsia="Times New Roman"/>
                                  <w:b/>
                                  <w:color w:val="FFFFFF"/>
                                  <w:spacing w:val="3"/>
                                  <w:sz w:val="16"/>
                                  <w:shd w:fill="929F00" w:color="auto" w:val="clear"/>
                                </w:rPr>
                                <w:t> </w:t>
                              </w:r>
                              <w:r>
                                <w:rPr>
                                  <w:rFonts w:ascii="Times New Roman" w:eastAsia="Times New Roman"/>
                                  <w:b/>
                                  <w:color w:val="FFFFFF"/>
                                  <w:spacing w:val="-2"/>
                                  <w:sz w:val="16"/>
                                  <w:shd w:fill="929F00" w:color="auto" w:val="clear"/>
                                </w:rPr>
                                <w:t>LTE</w:t>
                              </w:r>
                              <w:r>
                                <w:rPr>
                                  <w:rFonts w:ascii="Times New Roman" w:eastAsia="Times New Roman"/>
                                  <w:b/>
                                  <w:color w:val="FFFFFF"/>
                                  <w:spacing w:val="-3"/>
                                  <w:sz w:val="16"/>
                                  <w:shd w:fill="929F00" w:color="auto" w:val="clear"/>
                                </w:rPr>
                                <w:t> </w:t>
                              </w:r>
                              <w:r>
                                <w:rPr>
                                  <w:b/>
                                  <w:color w:val="FFFFFF"/>
                                  <w:spacing w:val="-2"/>
                                  <w:sz w:val="16"/>
                                  <w:shd w:fill="929F00" w:color="auto" w:val="clear"/>
                                </w:rPr>
                                <w:t>研</w:t>
                              </w:r>
                              <w:r>
                                <w:rPr>
                                  <w:b/>
                                  <w:color w:val="FFFFFF"/>
                                  <w:spacing w:val="-10"/>
                                  <w:sz w:val="16"/>
                                  <w:shd w:fill="929F00" w:color="auto" w:val="clear"/>
                                </w:rPr>
                                <w:t>究</w:t>
                              </w:r>
                              <w:r>
                                <w:rPr>
                                  <w:b/>
                                  <w:color w:val="FFFFFF"/>
                                  <w:sz w:val="16"/>
                                  <w:shd w:fill="929F00" w:color="auto" w:val="clear"/>
                                </w:rPr>
                                <w:tab/>
                              </w:r>
                            </w:p>
                          </w:txbxContent>
                        </wps:txbx>
                        <wps:bodyPr wrap="square" lIns="0" tIns="0" rIns="0" bIns="0" rtlCol="0">
                          <a:noAutofit/>
                        </wps:bodyPr>
                      </wps:wsp>
                      <wps:wsp>
                        <wps:cNvPr id="68" name="Textbox 68"/>
                        <wps:cNvSpPr txBox="1"/>
                        <wps:spPr>
                          <a:xfrm>
                            <a:off x="100401" y="1205660"/>
                            <a:ext cx="2075814" cy="112395"/>
                          </a:xfrm>
                          <a:prstGeom prst="rect">
                            <a:avLst/>
                          </a:prstGeom>
                        </wps:spPr>
                        <wps:txbx>
                          <w:txbxContent>
                            <w:p>
                              <w:pPr>
                                <w:tabs>
                                  <w:tab w:pos="1058" w:val="left" w:leader="none"/>
                                  <w:tab w:pos="3248" w:val="left" w:leader="none"/>
                                </w:tabs>
                                <w:spacing w:line="177" w:lineRule="exact" w:before="0"/>
                                <w:ind w:left="0" w:right="0" w:firstLine="0"/>
                                <w:jc w:val="left"/>
                                <w:rPr>
                                  <w:rFonts w:ascii="Times New Roman" w:eastAsia="Times New Roman"/>
                                  <w:b/>
                                  <w:sz w:val="16"/>
                                </w:rPr>
                              </w:pPr>
                              <w:r>
                                <w:rPr>
                                  <w:rFonts w:ascii="Times New Roman" w:eastAsia="Times New Roman"/>
                                  <w:b/>
                                  <w:color w:val="929F00"/>
                                  <w:sz w:val="16"/>
                                  <w:shd w:fill="F5FF88" w:color="auto" w:val="clear"/>
                                </w:rPr>
                                <w:tab/>
                              </w:r>
                              <w:r>
                                <w:rPr>
                                  <w:b/>
                                  <w:color w:val="929F00"/>
                                  <w:sz w:val="16"/>
                                  <w:shd w:fill="F5FF88" w:color="auto" w:val="clear"/>
                                </w:rPr>
                                <w:t>安慰剂</w:t>
                              </w:r>
                              <w:r>
                                <w:rPr>
                                  <w:b/>
                                  <w:color w:val="929F00"/>
                                  <w:spacing w:val="-40"/>
                                  <w:sz w:val="16"/>
                                  <w:shd w:fill="F5FF88" w:color="auto" w:val="clear"/>
                                </w:rPr>
                                <w:t> </w:t>
                              </w:r>
                              <w:r>
                                <w:rPr>
                                  <w:rFonts w:ascii="Times New Roman" w:eastAsia="Times New Roman"/>
                                  <w:b/>
                                  <w:color w:val="929F00"/>
                                  <w:sz w:val="16"/>
                                  <w:shd w:fill="F5FF88" w:color="auto" w:val="clear"/>
                                </w:rPr>
                                <w:t>Q4W</w:t>
                              </w:r>
                              <w:r>
                                <w:rPr>
                                  <w:rFonts w:ascii="Times New Roman" w:eastAsia="Times New Roman"/>
                                  <w:b/>
                                  <w:color w:val="929F00"/>
                                  <w:spacing w:val="-9"/>
                                  <w:sz w:val="16"/>
                                  <w:shd w:fill="F5FF88" w:color="auto" w:val="clear"/>
                                </w:rPr>
                                <w:t> </w:t>
                              </w:r>
                              <w:r>
                                <w:rPr>
                                  <w:rFonts w:ascii="Times New Roman" w:eastAsia="Times New Roman"/>
                                  <w:b/>
                                  <w:color w:val="929F00"/>
                                  <w:spacing w:val="-5"/>
                                  <w:sz w:val="16"/>
                                  <w:shd w:fill="F5FF88" w:color="auto" w:val="clear"/>
                                </w:rPr>
                                <w:t>SC</w:t>
                              </w:r>
                              <w:r>
                                <w:rPr>
                                  <w:rFonts w:ascii="Times New Roman" w:eastAsia="Times New Roman"/>
                                  <w:b/>
                                  <w:color w:val="929F00"/>
                                  <w:sz w:val="16"/>
                                  <w:shd w:fill="F5FF88" w:color="auto" w:val="clear"/>
                                </w:rPr>
                                <w:tab/>
                              </w:r>
                            </w:p>
                          </w:txbxContent>
                        </wps:txbx>
                        <wps:bodyPr wrap="square" lIns="0" tIns="0" rIns="0" bIns="0" rtlCol="0">
                          <a:noAutofit/>
                        </wps:bodyPr>
                      </wps:wsp>
                      <wps:wsp>
                        <wps:cNvPr id="69" name="Textbox 69"/>
                        <wps:cNvSpPr txBox="1"/>
                        <wps:spPr>
                          <a:xfrm>
                            <a:off x="4970851" y="1347604"/>
                            <a:ext cx="592455" cy="200025"/>
                          </a:xfrm>
                          <a:prstGeom prst="rect">
                            <a:avLst/>
                          </a:prstGeom>
                        </wps:spPr>
                        <wps:txbx>
                          <w:txbxContent>
                            <w:p>
                              <w:pPr>
                                <w:spacing w:line="152" w:lineRule="exact" w:before="0"/>
                                <w:ind w:left="53" w:right="0" w:firstLine="0"/>
                                <w:jc w:val="left"/>
                                <w:rPr>
                                  <w:b/>
                                  <w:sz w:val="13"/>
                                </w:rPr>
                              </w:pPr>
                              <w:r>
                                <w:rPr>
                                  <w:b/>
                                  <w:color w:val="006FC0"/>
                                  <w:spacing w:val="-16"/>
                                  <w:sz w:val="13"/>
                                </w:rPr>
                                <w:t>从 </w:t>
                              </w:r>
                              <w:r>
                                <w:rPr>
                                  <w:rFonts w:ascii="Times New Roman" w:eastAsia="Times New Roman"/>
                                  <w:b/>
                                  <w:color w:val="006FC0"/>
                                  <w:spacing w:val="-2"/>
                                  <w:sz w:val="13"/>
                                </w:rPr>
                                <w:t>O/T</w:t>
                              </w:r>
                              <w:r>
                                <w:rPr>
                                  <w:rFonts w:ascii="Times New Roman" w:eastAsia="Times New Roman"/>
                                  <w:b/>
                                  <w:color w:val="006FC0"/>
                                  <w:spacing w:val="-3"/>
                                  <w:sz w:val="13"/>
                                </w:rPr>
                                <w:t> </w:t>
                              </w:r>
                              <w:r>
                                <w:rPr>
                                  <w:b/>
                                  <w:color w:val="006FC0"/>
                                  <w:spacing w:val="-5"/>
                                  <w:sz w:val="13"/>
                                </w:rPr>
                                <w:t>开始的</w:t>
                              </w:r>
                            </w:p>
                            <w:p>
                              <w:pPr>
                                <w:spacing w:line="151" w:lineRule="exact" w:before="12"/>
                                <w:ind w:left="0" w:right="0" w:firstLine="0"/>
                                <w:jc w:val="left"/>
                                <w:rPr>
                                  <w:b/>
                                  <w:sz w:val="13"/>
                                </w:rPr>
                              </w:pPr>
                              <w:r>
                                <w:rPr>
                                  <w:b/>
                                  <w:color w:val="006FC0"/>
                                  <w:spacing w:val="-4"/>
                                  <w:sz w:val="13"/>
                                </w:rPr>
                                <w:t>主要有效性比较</w:t>
                              </w:r>
                            </w:p>
                          </w:txbxContent>
                        </wps:txbx>
                        <wps:bodyPr wrap="square" lIns="0" tIns="0" rIns="0" bIns="0" rtlCol="0">
                          <a:noAutofit/>
                        </wps:bodyPr>
                      </wps:wsp>
                      <wps:wsp>
                        <wps:cNvPr id="70" name="Textbox 70"/>
                        <wps:cNvSpPr txBox="1"/>
                        <wps:spPr>
                          <a:xfrm>
                            <a:off x="3562167" y="262724"/>
                            <a:ext cx="1231265" cy="177165"/>
                          </a:xfrm>
                          <a:prstGeom prst="rect">
                            <a:avLst/>
                          </a:prstGeom>
                          <a:solidFill>
                            <a:srgbClr val="FFFFFF"/>
                          </a:solidFill>
                        </wps:spPr>
                        <wps:txbx>
                          <w:txbxContent>
                            <w:p>
                              <w:pPr>
                                <w:spacing w:before="48"/>
                                <w:ind w:left="471" w:right="0" w:firstLine="0"/>
                                <w:jc w:val="left"/>
                                <w:rPr>
                                  <w:b/>
                                  <w:color w:val="000000"/>
                                  <w:sz w:val="16"/>
                                </w:rPr>
                              </w:pPr>
                              <w:r>
                                <w:rPr>
                                  <w:b/>
                                  <w:color w:val="830051"/>
                                  <w:spacing w:val="-2"/>
                                  <w:sz w:val="16"/>
                                </w:rPr>
                                <w:t>治疗期：</w:t>
                              </w:r>
                              <w:r>
                                <w:rPr>
                                  <w:rFonts w:ascii="Times New Roman" w:eastAsia="Times New Roman"/>
                                  <w:b/>
                                  <w:color w:val="830051"/>
                                  <w:spacing w:val="-2"/>
                                  <w:sz w:val="16"/>
                                </w:rPr>
                                <w:t>28</w:t>
                              </w:r>
                              <w:r>
                                <w:rPr>
                                  <w:rFonts w:ascii="Times New Roman" w:eastAsia="Times New Roman"/>
                                  <w:b/>
                                  <w:color w:val="830051"/>
                                  <w:spacing w:val="1"/>
                                  <w:sz w:val="16"/>
                                </w:rPr>
                                <w:t> </w:t>
                              </w:r>
                              <w:r>
                                <w:rPr>
                                  <w:b/>
                                  <w:color w:val="830051"/>
                                  <w:spacing w:val="-10"/>
                                  <w:sz w:val="16"/>
                                </w:rPr>
                                <w:t>周</w:t>
                              </w:r>
                            </w:p>
                          </w:txbxContent>
                        </wps:txbx>
                        <wps:bodyPr wrap="square" lIns="0" tIns="0" rIns="0" bIns="0" rtlCol="0">
                          <a:noAutofit/>
                        </wps:bodyPr>
                      </wps:wsp>
                      <wps:wsp>
                        <wps:cNvPr id="71" name="Textbox 71"/>
                        <wps:cNvSpPr txBox="1"/>
                        <wps:spPr>
                          <a:xfrm>
                            <a:off x="4853757" y="114338"/>
                            <a:ext cx="760095" cy="325755"/>
                          </a:xfrm>
                          <a:prstGeom prst="rect">
                            <a:avLst/>
                          </a:prstGeom>
                          <a:solidFill>
                            <a:srgbClr val="FFFFFF"/>
                          </a:solidFill>
                        </wps:spPr>
                        <wps:txbx>
                          <w:txbxContent>
                            <w:p>
                              <w:pPr>
                                <w:spacing w:before="57"/>
                                <w:ind w:left="2" w:right="0" w:firstLine="0"/>
                                <w:jc w:val="center"/>
                                <w:rPr>
                                  <w:b/>
                                  <w:color w:val="000000"/>
                                  <w:sz w:val="16"/>
                                </w:rPr>
                              </w:pPr>
                              <w:r>
                                <w:rPr>
                                  <w:b/>
                                  <w:color w:val="830051"/>
                                  <w:spacing w:val="-4"/>
                                  <w:sz w:val="16"/>
                                </w:rPr>
                                <w:t>随访期：</w:t>
                              </w:r>
                            </w:p>
                            <w:p>
                              <w:pPr>
                                <w:spacing w:before="17"/>
                                <w:ind w:left="2" w:right="2" w:firstLine="0"/>
                                <w:jc w:val="center"/>
                                <w:rPr>
                                  <w:b/>
                                  <w:color w:val="000000"/>
                                  <w:sz w:val="16"/>
                                </w:rPr>
                              </w:pPr>
                              <w:r>
                                <w:rPr>
                                  <w:rFonts w:ascii="Times New Roman" w:eastAsia="Times New Roman"/>
                                  <w:b/>
                                  <w:color w:val="830051"/>
                                  <w:sz w:val="16"/>
                                </w:rPr>
                                <w:t>8</w:t>
                              </w:r>
                              <w:r>
                                <w:rPr>
                                  <w:rFonts w:ascii="Times New Roman" w:eastAsia="Times New Roman"/>
                                  <w:b/>
                                  <w:color w:val="830051"/>
                                  <w:spacing w:val="-7"/>
                                  <w:sz w:val="16"/>
                                </w:rPr>
                                <w:t> </w:t>
                              </w:r>
                              <w:r>
                                <w:rPr>
                                  <w:b/>
                                  <w:color w:val="830051"/>
                                  <w:spacing w:val="-10"/>
                                  <w:sz w:val="16"/>
                                </w:rPr>
                                <w:t>周</w:t>
                              </w:r>
                            </w:p>
                          </w:txbxContent>
                        </wps:txbx>
                        <wps:bodyPr wrap="square" lIns="0" tIns="0" rIns="0" bIns="0" rtlCol="0">
                          <a:noAutofit/>
                        </wps:bodyPr>
                      </wps:wsp>
                      <wps:wsp>
                        <wps:cNvPr id="72" name="Textbox 72"/>
                        <wps:cNvSpPr txBox="1"/>
                        <wps:spPr>
                          <a:xfrm>
                            <a:off x="2390719" y="114325"/>
                            <a:ext cx="1165860" cy="334010"/>
                          </a:xfrm>
                          <a:prstGeom prst="rect">
                            <a:avLst/>
                          </a:prstGeom>
                          <a:solidFill>
                            <a:srgbClr val="FFFFFF"/>
                          </a:solidFill>
                        </wps:spPr>
                        <wps:txbx>
                          <w:txbxContent>
                            <w:p>
                              <w:pPr>
                                <w:spacing w:before="72"/>
                                <w:ind w:left="0" w:right="0" w:firstLine="0"/>
                                <w:jc w:val="center"/>
                                <w:rPr>
                                  <w:b/>
                                  <w:color w:val="000000"/>
                                  <w:sz w:val="16"/>
                                </w:rPr>
                              </w:pPr>
                              <w:r>
                                <w:rPr>
                                  <w:b/>
                                  <w:color w:val="830051"/>
                                  <w:spacing w:val="-7"/>
                                  <w:sz w:val="16"/>
                                </w:rPr>
                                <w:t>入选</w:t>
                              </w:r>
                            </w:p>
                            <w:p>
                              <w:pPr>
                                <w:spacing w:before="16"/>
                                <w:ind w:left="0" w:right="0" w:firstLine="0"/>
                                <w:jc w:val="center"/>
                                <w:rPr>
                                  <w:b/>
                                  <w:color w:val="000000"/>
                                  <w:sz w:val="16"/>
                                </w:rPr>
                              </w:pPr>
                              <w:r>
                                <w:rPr>
                                  <w:b/>
                                  <w:color w:val="830051"/>
                                  <w:spacing w:val="-20"/>
                                  <w:sz w:val="16"/>
                                </w:rPr>
                                <w:t>与 </w:t>
                              </w:r>
                              <w:r>
                                <w:rPr>
                                  <w:rFonts w:ascii="Times New Roman" w:eastAsia="Times New Roman"/>
                                  <w:b/>
                                  <w:color w:val="830051"/>
                                  <w:sz w:val="16"/>
                                </w:rPr>
                                <w:t>O/T</w:t>
                              </w:r>
                              <w:r>
                                <w:rPr>
                                  <w:rFonts w:ascii="Times New Roman" w:eastAsia="Times New Roman"/>
                                  <w:b/>
                                  <w:color w:val="830051"/>
                                  <w:spacing w:val="-6"/>
                                  <w:sz w:val="16"/>
                                </w:rPr>
                                <w:t> </w:t>
                              </w:r>
                              <w:r>
                                <w:rPr>
                                  <w:rFonts w:ascii="Times New Roman" w:eastAsia="Times New Roman"/>
                                  <w:b/>
                                  <w:color w:val="830051"/>
                                  <w:sz w:val="16"/>
                                </w:rPr>
                                <w:t>V15</w:t>
                              </w:r>
                              <w:r>
                                <w:rPr>
                                  <w:rFonts w:ascii="Times New Roman" w:eastAsia="Times New Roman"/>
                                  <w:b/>
                                  <w:color w:val="830051"/>
                                  <w:spacing w:val="-9"/>
                                  <w:sz w:val="16"/>
                                </w:rPr>
                                <w:t> </w:t>
                              </w:r>
                              <w:r>
                                <w:rPr>
                                  <w:b/>
                                  <w:color w:val="830051"/>
                                  <w:spacing w:val="-4"/>
                                  <w:sz w:val="16"/>
                                </w:rPr>
                                <w:t>同一天</w:t>
                              </w:r>
                            </w:p>
                          </w:txbxContent>
                        </wps:txbx>
                        <wps:bodyPr wrap="square" lIns="0" tIns="0" rIns="0" bIns="0" rtlCol="0">
                          <a:noAutofit/>
                        </wps:bodyPr>
                      </wps:wsp>
                      <wps:wsp>
                        <wps:cNvPr id="73" name="Textbox 73"/>
                        <wps:cNvSpPr txBox="1"/>
                        <wps:spPr>
                          <a:xfrm>
                            <a:off x="3017337" y="1126616"/>
                            <a:ext cx="2063114" cy="166370"/>
                          </a:xfrm>
                          <a:prstGeom prst="rect">
                            <a:avLst/>
                          </a:prstGeom>
                        </wps:spPr>
                        <wps:txbx>
                          <w:txbxContent>
                            <w:p>
                              <w:pPr>
                                <w:spacing w:before="3"/>
                                <w:ind w:left="1060" w:right="0" w:firstLine="0"/>
                                <w:jc w:val="left"/>
                                <w:rPr>
                                  <w:rFonts w:ascii="Times New Roman" w:eastAsia="Times New Roman"/>
                                  <w:b/>
                                  <w:sz w:val="16"/>
                                </w:rPr>
                              </w:pPr>
                              <w:r>
                                <w:rPr>
                                  <w:b/>
                                  <w:color w:val="929F00"/>
                                  <w:spacing w:val="-10"/>
                                  <w:sz w:val="16"/>
                                </w:rPr>
                                <w:t>安慰剂 </w:t>
                              </w:r>
                              <w:r>
                                <w:rPr>
                                  <w:rFonts w:ascii="Times New Roman" w:eastAsia="Times New Roman"/>
                                  <w:b/>
                                  <w:color w:val="929F00"/>
                                  <w:sz w:val="16"/>
                                </w:rPr>
                                <w:t>Q4W</w:t>
                              </w:r>
                              <w:r>
                                <w:rPr>
                                  <w:rFonts w:ascii="Times New Roman" w:eastAsia="Times New Roman"/>
                                  <w:b/>
                                  <w:color w:val="929F00"/>
                                  <w:spacing w:val="-9"/>
                                  <w:sz w:val="16"/>
                                </w:rPr>
                                <w:t> </w:t>
                              </w:r>
                              <w:r>
                                <w:rPr>
                                  <w:rFonts w:ascii="Times New Roman" w:eastAsia="Times New Roman"/>
                                  <w:b/>
                                  <w:color w:val="929F00"/>
                                  <w:spacing w:val="-5"/>
                                  <w:sz w:val="16"/>
                                </w:rPr>
                                <w:t>SC</w:t>
                              </w:r>
                            </w:p>
                          </w:txbxContent>
                        </wps:txbx>
                        <wps:bodyPr wrap="square" lIns="0" tIns="0" rIns="0" bIns="0" rtlCol="0">
                          <a:noAutofit/>
                        </wps:bodyPr>
                      </wps:wsp>
                    </wpg:wgp>
                  </a:graphicData>
                </a:graphic>
              </wp:anchor>
            </w:drawing>
          </mc:Choice>
          <mc:Fallback>
            <w:pict>
              <v:group style="position:absolute;margin-left:89.894379pt;margin-top:-139.420547pt;width:457.75pt;height:127.55pt;mso-position-horizontal-relative:page;mso-position-vertical-relative:paragraph;z-index:15732736" id="docshapegroup61" coordorigin="1798,-2788" coordsize="9155,2551">
                <v:shape style="position:absolute;left:1797;top:-2695;width:8953;height:2323" type="#_x0000_t75" id="docshape62" alt="A picture containing text, screenshot, font, line  Description automatically generated" stroked="false">
                  <v:imagedata r:id="rId18" o:title=""/>
                </v:shape>
                <v:rect style="position:absolute;left:9212;top:-689;width:1740;height:450" id="docshape63" filled="true" fillcolor="#ffffff" stroked="false">
                  <v:fill type="solid"/>
                </v:rect>
                <v:rect style="position:absolute;left:6549;top:-1015;width:3249;height:262" id="docshape64" filled="true" fillcolor="#f5ff88" stroked="false">
                  <v:fill type="solid"/>
                </v:rect>
                <v:rect style="position:absolute;left:1866;top:-2789;width:2628;height:633" id="docshape65" filled="true" fillcolor="#ffffff" stroked="false">
                  <v:fill type="solid"/>
                </v:rect>
                <v:shape style="position:absolute;left:1870;top:-2759;width:3768;height:1031" type="#_x0000_t202" id="docshape66" filled="false" stroked="false">
                  <v:textbox inset="0,0,0,0">
                    <w:txbxContent>
                      <w:p>
                        <w:pPr>
                          <w:spacing w:line="246" w:lineRule="exact" w:before="0"/>
                          <w:ind w:left="0" w:right="0" w:firstLine="0"/>
                          <w:jc w:val="left"/>
                          <w:rPr>
                            <w:rFonts w:ascii="Times New Roman" w:eastAsia="Times New Roman"/>
                            <w:b/>
                            <w:sz w:val="21"/>
                          </w:rPr>
                        </w:pPr>
                        <w:r>
                          <w:rPr>
                            <w:rFonts w:ascii="Times New Roman" w:eastAsia="Times New Roman"/>
                            <w:b/>
                            <w:color w:val="929F00"/>
                            <w:spacing w:val="-2"/>
                            <w:sz w:val="21"/>
                          </w:rPr>
                          <w:t>CSP</w:t>
                        </w:r>
                        <w:r>
                          <w:rPr>
                            <w:rFonts w:ascii="Times New Roman" w:eastAsia="Times New Roman"/>
                            <w:b/>
                            <w:color w:val="929F00"/>
                            <w:spacing w:val="-6"/>
                            <w:sz w:val="21"/>
                          </w:rPr>
                          <w:t> </w:t>
                        </w:r>
                        <w:r>
                          <w:rPr>
                            <w:b/>
                            <w:color w:val="929F00"/>
                            <w:spacing w:val="-18"/>
                            <w:sz w:val="21"/>
                          </w:rPr>
                          <w:t>版本 </w:t>
                        </w:r>
                        <w:r>
                          <w:rPr>
                            <w:rFonts w:ascii="Times New Roman" w:eastAsia="Times New Roman"/>
                            <w:b/>
                            <w:color w:val="929F00"/>
                            <w:spacing w:val="-5"/>
                            <w:sz w:val="21"/>
                          </w:rPr>
                          <w:t>2.0</w:t>
                        </w:r>
                      </w:p>
                      <w:p>
                        <w:pPr>
                          <w:spacing w:before="21"/>
                          <w:ind w:left="0" w:right="0" w:firstLine="0"/>
                          <w:jc w:val="left"/>
                          <w:rPr>
                            <w:b/>
                            <w:sz w:val="21"/>
                          </w:rPr>
                        </w:pPr>
                        <w:r>
                          <w:rPr>
                            <w:b/>
                            <w:color w:val="929F00"/>
                            <w:spacing w:val="-2"/>
                            <w:sz w:val="21"/>
                          </w:rPr>
                          <w:t>治疗期：</w:t>
                        </w:r>
                        <w:r>
                          <w:rPr>
                            <w:rFonts w:ascii="Times New Roman" w:eastAsia="Times New Roman"/>
                            <w:b/>
                            <w:color w:val="929F00"/>
                            <w:spacing w:val="-2"/>
                            <w:sz w:val="21"/>
                          </w:rPr>
                          <w:t>28</w:t>
                        </w:r>
                        <w:r>
                          <w:rPr>
                            <w:rFonts w:ascii="Times New Roman" w:eastAsia="Times New Roman"/>
                            <w:b/>
                            <w:color w:val="929F00"/>
                            <w:spacing w:val="-3"/>
                            <w:sz w:val="21"/>
                          </w:rPr>
                          <w:t> </w:t>
                        </w:r>
                        <w:r>
                          <w:rPr>
                            <w:b/>
                            <w:color w:val="929F00"/>
                            <w:spacing w:val="-12"/>
                            <w:sz w:val="21"/>
                          </w:rPr>
                          <w:t>周</w:t>
                        </w:r>
                      </w:p>
                      <w:p>
                        <w:pPr>
                          <w:spacing w:line="240" w:lineRule="auto" w:before="19"/>
                          <w:rPr>
                            <w:b/>
                            <w:sz w:val="21"/>
                          </w:rPr>
                        </w:pPr>
                      </w:p>
                      <w:p>
                        <w:pPr>
                          <w:tabs>
                            <w:tab w:pos="978" w:val="left" w:leader="none"/>
                            <w:tab w:pos="3747" w:val="left" w:leader="none"/>
                          </w:tabs>
                          <w:spacing w:line="198" w:lineRule="exact" w:before="0"/>
                          <w:ind w:left="498" w:right="0" w:firstLine="0"/>
                          <w:jc w:val="left"/>
                          <w:rPr>
                            <w:b/>
                            <w:sz w:val="16"/>
                          </w:rPr>
                        </w:pPr>
                        <w:r>
                          <w:rPr>
                            <w:rFonts w:ascii="Times New Roman" w:eastAsia="Times New Roman"/>
                            <w:b/>
                            <w:color w:val="FFFFFF"/>
                            <w:sz w:val="16"/>
                            <w:shd w:fill="929F00" w:color="auto" w:val="clear"/>
                          </w:rPr>
                          <w:tab/>
                        </w:r>
                        <w:r>
                          <w:rPr>
                            <w:rFonts w:ascii="Times New Roman" w:eastAsia="Times New Roman"/>
                            <w:b/>
                            <w:color w:val="FFFFFF"/>
                            <w:spacing w:val="-2"/>
                            <w:sz w:val="16"/>
                            <w:shd w:fill="929F00" w:color="auto" w:val="clear"/>
                          </w:rPr>
                          <w:t>OBERON </w:t>
                        </w:r>
                        <w:r>
                          <w:rPr>
                            <w:b/>
                            <w:color w:val="FFFFFF"/>
                            <w:spacing w:val="-2"/>
                            <w:sz w:val="16"/>
                            <w:shd w:fill="929F00" w:color="auto" w:val="clear"/>
                          </w:rPr>
                          <w:t>和</w:t>
                        </w:r>
                        <w:r>
                          <w:rPr>
                            <w:b/>
                            <w:color w:val="FFFFFF"/>
                            <w:spacing w:val="-36"/>
                            <w:sz w:val="16"/>
                            <w:shd w:fill="929F00" w:color="auto" w:val="clear"/>
                          </w:rPr>
                          <w:t> </w:t>
                        </w:r>
                        <w:r>
                          <w:rPr>
                            <w:rFonts w:ascii="Times New Roman" w:eastAsia="Times New Roman"/>
                            <w:b/>
                            <w:color w:val="FFFFFF"/>
                            <w:spacing w:val="-2"/>
                            <w:sz w:val="16"/>
                            <w:shd w:fill="929F00" w:color="auto" w:val="clear"/>
                          </w:rPr>
                          <w:t>TITANIA</w:t>
                        </w:r>
                        <w:r>
                          <w:rPr>
                            <w:rFonts w:ascii="Times New Roman" w:eastAsia="Times New Roman"/>
                            <w:b/>
                            <w:color w:val="FFFFFF"/>
                            <w:spacing w:val="-4"/>
                            <w:sz w:val="16"/>
                            <w:shd w:fill="929F00" w:color="auto" w:val="clear"/>
                          </w:rPr>
                          <w:t> </w:t>
                        </w:r>
                        <w:r>
                          <w:rPr>
                            <w:b/>
                            <w:color w:val="FFFFFF"/>
                            <w:spacing w:val="-2"/>
                            <w:sz w:val="16"/>
                            <w:shd w:fill="929F00" w:color="auto" w:val="clear"/>
                          </w:rPr>
                          <w:t>前身研</w:t>
                        </w:r>
                        <w:r>
                          <w:rPr>
                            <w:b/>
                            <w:color w:val="FFFFFF"/>
                            <w:spacing w:val="-10"/>
                            <w:sz w:val="16"/>
                            <w:shd w:fill="929F00" w:color="auto" w:val="clear"/>
                          </w:rPr>
                          <w:t>究</w:t>
                        </w:r>
                        <w:r>
                          <w:rPr>
                            <w:b/>
                            <w:color w:val="FFFFFF"/>
                            <w:sz w:val="16"/>
                            <w:shd w:fill="929F00" w:color="auto" w:val="clear"/>
                          </w:rPr>
                          <w:tab/>
                        </w:r>
                      </w:p>
                    </w:txbxContent>
                  </v:textbox>
                  <w10:wrap type="none"/>
                </v:shape>
                <v:shape style="position:absolute;left:7552;top:-1910;width:1814;height:177" type="#_x0000_t202" id="docshape67" filled="false" stroked="false">
                  <v:textbox inset="0,0,0,0">
                    <w:txbxContent>
                      <w:p>
                        <w:pPr>
                          <w:tabs>
                            <w:tab w:pos="1793" w:val="left" w:leader="none"/>
                          </w:tabs>
                          <w:spacing w:line="177" w:lineRule="exact" w:before="0"/>
                          <w:ind w:left="0" w:right="0" w:firstLine="0"/>
                          <w:jc w:val="left"/>
                          <w:rPr>
                            <w:b/>
                            <w:sz w:val="16"/>
                          </w:rPr>
                        </w:pPr>
                        <w:r>
                          <w:rPr>
                            <w:rFonts w:ascii="Times New Roman" w:eastAsia="Times New Roman"/>
                            <w:b/>
                            <w:color w:val="FFFFFF"/>
                            <w:spacing w:val="-2"/>
                            <w:sz w:val="16"/>
                            <w:shd w:fill="929F00" w:color="auto" w:val="clear"/>
                          </w:rPr>
                          <w:t>PROSPERO</w:t>
                        </w:r>
                        <w:r>
                          <w:rPr>
                            <w:rFonts w:ascii="Times New Roman" w:eastAsia="Times New Roman"/>
                            <w:b/>
                            <w:color w:val="FFFFFF"/>
                            <w:spacing w:val="3"/>
                            <w:sz w:val="16"/>
                            <w:shd w:fill="929F00" w:color="auto" w:val="clear"/>
                          </w:rPr>
                          <w:t> </w:t>
                        </w:r>
                        <w:r>
                          <w:rPr>
                            <w:rFonts w:ascii="Times New Roman" w:eastAsia="Times New Roman"/>
                            <w:b/>
                            <w:color w:val="FFFFFF"/>
                            <w:spacing w:val="-2"/>
                            <w:sz w:val="16"/>
                            <w:shd w:fill="929F00" w:color="auto" w:val="clear"/>
                          </w:rPr>
                          <w:t>LTE</w:t>
                        </w:r>
                        <w:r>
                          <w:rPr>
                            <w:rFonts w:ascii="Times New Roman" w:eastAsia="Times New Roman"/>
                            <w:b/>
                            <w:color w:val="FFFFFF"/>
                            <w:spacing w:val="-3"/>
                            <w:sz w:val="16"/>
                            <w:shd w:fill="929F00" w:color="auto" w:val="clear"/>
                          </w:rPr>
                          <w:t> </w:t>
                        </w:r>
                        <w:r>
                          <w:rPr>
                            <w:b/>
                            <w:color w:val="FFFFFF"/>
                            <w:spacing w:val="-2"/>
                            <w:sz w:val="16"/>
                            <w:shd w:fill="929F00" w:color="auto" w:val="clear"/>
                          </w:rPr>
                          <w:t>研</w:t>
                        </w:r>
                        <w:r>
                          <w:rPr>
                            <w:b/>
                            <w:color w:val="FFFFFF"/>
                            <w:spacing w:val="-10"/>
                            <w:sz w:val="16"/>
                            <w:shd w:fill="929F00" w:color="auto" w:val="clear"/>
                          </w:rPr>
                          <w:t>究</w:t>
                        </w:r>
                        <w:r>
                          <w:rPr>
                            <w:b/>
                            <w:color w:val="FFFFFF"/>
                            <w:sz w:val="16"/>
                            <w:shd w:fill="929F00" w:color="auto" w:val="clear"/>
                          </w:rPr>
                          <w:tab/>
                        </w:r>
                      </w:p>
                    </w:txbxContent>
                  </v:textbox>
                  <w10:wrap type="none"/>
                </v:shape>
                <v:shape style="position:absolute;left:1956;top:-890;width:3269;height:177" type="#_x0000_t202" id="docshape68" filled="false" stroked="false">
                  <v:textbox inset="0,0,0,0">
                    <w:txbxContent>
                      <w:p>
                        <w:pPr>
                          <w:tabs>
                            <w:tab w:pos="1058" w:val="left" w:leader="none"/>
                            <w:tab w:pos="3248" w:val="left" w:leader="none"/>
                          </w:tabs>
                          <w:spacing w:line="177" w:lineRule="exact" w:before="0"/>
                          <w:ind w:left="0" w:right="0" w:firstLine="0"/>
                          <w:jc w:val="left"/>
                          <w:rPr>
                            <w:rFonts w:ascii="Times New Roman" w:eastAsia="Times New Roman"/>
                            <w:b/>
                            <w:sz w:val="16"/>
                          </w:rPr>
                        </w:pPr>
                        <w:r>
                          <w:rPr>
                            <w:rFonts w:ascii="Times New Roman" w:eastAsia="Times New Roman"/>
                            <w:b/>
                            <w:color w:val="929F00"/>
                            <w:sz w:val="16"/>
                            <w:shd w:fill="F5FF88" w:color="auto" w:val="clear"/>
                          </w:rPr>
                          <w:tab/>
                        </w:r>
                        <w:r>
                          <w:rPr>
                            <w:b/>
                            <w:color w:val="929F00"/>
                            <w:sz w:val="16"/>
                            <w:shd w:fill="F5FF88" w:color="auto" w:val="clear"/>
                          </w:rPr>
                          <w:t>安慰剂</w:t>
                        </w:r>
                        <w:r>
                          <w:rPr>
                            <w:b/>
                            <w:color w:val="929F00"/>
                            <w:spacing w:val="-40"/>
                            <w:sz w:val="16"/>
                            <w:shd w:fill="F5FF88" w:color="auto" w:val="clear"/>
                          </w:rPr>
                          <w:t> </w:t>
                        </w:r>
                        <w:r>
                          <w:rPr>
                            <w:rFonts w:ascii="Times New Roman" w:eastAsia="Times New Roman"/>
                            <w:b/>
                            <w:color w:val="929F00"/>
                            <w:sz w:val="16"/>
                            <w:shd w:fill="F5FF88" w:color="auto" w:val="clear"/>
                          </w:rPr>
                          <w:t>Q4W</w:t>
                        </w:r>
                        <w:r>
                          <w:rPr>
                            <w:rFonts w:ascii="Times New Roman" w:eastAsia="Times New Roman"/>
                            <w:b/>
                            <w:color w:val="929F00"/>
                            <w:spacing w:val="-9"/>
                            <w:sz w:val="16"/>
                            <w:shd w:fill="F5FF88" w:color="auto" w:val="clear"/>
                          </w:rPr>
                          <w:t> </w:t>
                        </w:r>
                        <w:r>
                          <w:rPr>
                            <w:rFonts w:ascii="Times New Roman" w:eastAsia="Times New Roman"/>
                            <w:b/>
                            <w:color w:val="929F00"/>
                            <w:spacing w:val="-5"/>
                            <w:sz w:val="16"/>
                            <w:shd w:fill="F5FF88" w:color="auto" w:val="clear"/>
                          </w:rPr>
                          <w:t>SC</w:t>
                        </w:r>
                        <w:r>
                          <w:rPr>
                            <w:rFonts w:ascii="Times New Roman" w:eastAsia="Times New Roman"/>
                            <w:b/>
                            <w:color w:val="929F00"/>
                            <w:sz w:val="16"/>
                            <w:shd w:fill="F5FF88" w:color="auto" w:val="clear"/>
                          </w:rPr>
                          <w:tab/>
                        </w:r>
                      </w:p>
                    </w:txbxContent>
                  </v:textbox>
                  <w10:wrap type="none"/>
                </v:shape>
                <v:shape style="position:absolute;left:9626;top:-667;width:933;height:315" type="#_x0000_t202" id="docshape69" filled="false" stroked="false">
                  <v:textbox inset="0,0,0,0">
                    <w:txbxContent>
                      <w:p>
                        <w:pPr>
                          <w:spacing w:line="152" w:lineRule="exact" w:before="0"/>
                          <w:ind w:left="53" w:right="0" w:firstLine="0"/>
                          <w:jc w:val="left"/>
                          <w:rPr>
                            <w:b/>
                            <w:sz w:val="13"/>
                          </w:rPr>
                        </w:pPr>
                        <w:r>
                          <w:rPr>
                            <w:b/>
                            <w:color w:val="006FC0"/>
                            <w:spacing w:val="-16"/>
                            <w:sz w:val="13"/>
                          </w:rPr>
                          <w:t>从 </w:t>
                        </w:r>
                        <w:r>
                          <w:rPr>
                            <w:rFonts w:ascii="Times New Roman" w:eastAsia="Times New Roman"/>
                            <w:b/>
                            <w:color w:val="006FC0"/>
                            <w:spacing w:val="-2"/>
                            <w:sz w:val="13"/>
                          </w:rPr>
                          <w:t>O/T</w:t>
                        </w:r>
                        <w:r>
                          <w:rPr>
                            <w:rFonts w:ascii="Times New Roman" w:eastAsia="Times New Roman"/>
                            <w:b/>
                            <w:color w:val="006FC0"/>
                            <w:spacing w:val="-3"/>
                            <w:sz w:val="13"/>
                          </w:rPr>
                          <w:t> </w:t>
                        </w:r>
                        <w:r>
                          <w:rPr>
                            <w:b/>
                            <w:color w:val="006FC0"/>
                            <w:spacing w:val="-5"/>
                            <w:sz w:val="13"/>
                          </w:rPr>
                          <w:t>开始的</w:t>
                        </w:r>
                      </w:p>
                      <w:p>
                        <w:pPr>
                          <w:spacing w:line="151" w:lineRule="exact" w:before="12"/>
                          <w:ind w:left="0" w:right="0" w:firstLine="0"/>
                          <w:jc w:val="left"/>
                          <w:rPr>
                            <w:b/>
                            <w:sz w:val="13"/>
                          </w:rPr>
                        </w:pPr>
                        <w:r>
                          <w:rPr>
                            <w:b/>
                            <w:color w:val="006FC0"/>
                            <w:spacing w:val="-4"/>
                            <w:sz w:val="13"/>
                          </w:rPr>
                          <w:t>主要有效性比较</w:t>
                        </w:r>
                      </w:p>
                    </w:txbxContent>
                  </v:textbox>
                  <w10:wrap type="none"/>
                </v:shape>
                <v:shape style="position:absolute;left:7407;top:-2375;width:1939;height:279" type="#_x0000_t202" id="docshape70" filled="true" fillcolor="#ffffff" stroked="false">
                  <v:textbox inset="0,0,0,0">
                    <w:txbxContent>
                      <w:p>
                        <w:pPr>
                          <w:spacing w:before="48"/>
                          <w:ind w:left="471" w:right="0" w:firstLine="0"/>
                          <w:jc w:val="left"/>
                          <w:rPr>
                            <w:b/>
                            <w:color w:val="000000"/>
                            <w:sz w:val="16"/>
                          </w:rPr>
                        </w:pPr>
                        <w:r>
                          <w:rPr>
                            <w:b/>
                            <w:color w:val="830051"/>
                            <w:spacing w:val="-2"/>
                            <w:sz w:val="16"/>
                          </w:rPr>
                          <w:t>治疗期：</w:t>
                        </w:r>
                        <w:r>
                          <w:rPr>
                            <w:rFonts w:ascii="Times New Roman" w:eastAsia="Times New Roman"/>
                            <w:b/>
                            <w:color w:val="830051"/>
                            <w:spacing w:val="-2"/>
                            <w:sz w:val="16"/>
                          </w:rPr>
                          <w:t>28</w:t>
                        </w:r>
                        <w:r>
                          <w:rPr>
                            <w:rFonts w:ascii="Times New Roman" w:eastAsia="Times New Roman"/>
                            <w:b/>
                            <w:color w:val="830051"/>
                            <w:spacing w:val="1"/>
                            <w:sz w:val="16"/>
                          </w:rPr>
                          <w:t> </w:t>
                        </w:r>
                        <w:r>
                          <w:rPr>
                            <w:b/>
                            <w:color w:val="830051"/>
                            <w:spacing w:val="-10"/>
                            <w:sz w:val="16"/>
                          </w:rPr>
                          <w:t>周</w:t>
                        </w:r>
                      </w:p>
                    </w:txbxContent>
                  </v:textbox>
                  <v:fill type="solid"/>
                  <w10:wrap type="none"/>
                </v:shape>
                <v:shape style="position:absolute;left:9441;top:-2609;width:1197;height:513" type="#_x0000_t202" id="docshape71" filled="true" fillcolor="#ffffff" stroked="false">
                  <v:textbox inset="0,0,0,0">
                    <w:txbxContent>
                      <w:p>
                        <w:pPr>
                          <w:spacing w:before="57"/>
                          <w:ind w:left="2" w:right="0" w:firstLine="0"/>
                          <w:jc w:val="center"/>
                          <w:rPr>
                            <w:b/>
                            <w:color w:val="000000"/>
                            <w:sz w:val="16"/>
                          </w:rPr>
                        </w:pPr>
                        <w:r>
                          <w:rPr>
                            <w:b/>
                            <w:color w:val="830051"/>
                            <w:spacing w:val="-4"/>
                            <w:sz w:val="16"/>
                          </w:rPr>
                          <w:t>随访期：</w:t>
                        </w:r>
                      </w:p>
                      <w:p>
                        <w:pPr>
                          <w:spacing w:before="17"/>
                          <w:ind w:left="2" w:right="2" w:firstLine="0"/>
                          <w:jc w:val="center"/>
                          <w:rPr>
                            <w:b/>
                            <w:color w:val="000000"/>
                            <w:sz w:val="16"/>
                          </w:rPr>
                        </w:pPr>
                        <w:r>
                          <w:rPr>
                            <w:rFonts w:ascii="Times New Roman" w:eastAsia="Times New Roman"/>
                            <w:b/>
                            <w:color w:val="830051"/>
                            <w:sz w:val="16"/>
                          </w:rPr>
                          <w:t>8</w:t>
                        </w:r>
                        <w:r>
                          <w:rPr>
                            <w:rFonts w:ascii="Times New Roman" w:eastAsia="Times New Roman"/>
                            <w:b/>
                            <w:color w:val="830051"/>
                            <w:spacing w:val="-7"/>
                            <w:sz w:val="16"/>
                          </w:rPr>
                          <w:t> </w:t>
                        </w:r>
                        <w:r>
                          <w:rPr>
                            <w:b/>
                            <w:color w:val="830051"/>
                            <w:spacing w:val="-10"/>
                            <w:sz w:val="16"/>
                          </w:rPr>
                          <w:t>周</w:t>
                        </w:r>
                      </w:p>
                    </w:txbxContent>
                  </v:textbox>
                  <v:fill type="solid"/>
                  <w10:wrap type="none"/>
                </v:shape>
                <v:shape style="position:absolute;left:5562;top:-2609;width:1836;height:526" type="#_x0000_t202" id="docshape72" filled="true" fillcolor="#ffffff" stroked="false">
                  <v:textbox inset="0,0,0,0">
                    <w:txbxContent>
                      <w:p>
                        <w:pPr>
                          <w:spacing w:before="72"/>
                          <w:ind w:left="0" w:right="0" w:firstLine="0"/>
                          <w:jc w:val="center"/>
                          <w:rPr>
                            <w:b/>
                            <w:color w:val="000000"/>
                            <w:sz w:val="16"/>
                          </w:rPr>
                        </w:pPr>
                        <w:r>
                          <w:rPr>
                            <w:b/>
                            <w:color w:val="830051"/>
                            <w:spacing w:val="-7"/>
                            <w:sz w:val="16"/>
                          </w:rPr>
                          <w:t>入选</w:t>
                        </w:r>
                      </w:p>
                      <w:p>
                        <w:pPr>
                          <w:spacing w:before="16"/>
                          <w:ind w:left="0" w:right="0" w:firstLine="0"/>
                          <w:jc w:val="center"/>
                          <w:rPr>
                            <w:b/>
                            <w:color w:val="000000"/>
                            <w:sz w:val="16"/>
                          </w:rPr>
                        </w:pPr>
                        <w:r>
                          <w:rPr>
                            <w:b/>
                            <w:color w:val="830051"/>
                            <w:spacing w:val="-20"/>
                            <w:sz w:val="16"/>
                          </w:rPr>
                          <w:t>与 </w:t>
                        </w:r>
                        <w:r>
                          <w:rPr>
                            <w:rFonts w:ascii="Times New Roman" w:eastAsia="Times New Roman"/>
                            <w:b/>
                            <w:color w:val="830051"/>
                            <w:sz w:val="16"/>
                          </w:rPr>
                          <w:t>O/T</w:t>
                        </w:r>
                        <w:r>
                          <w:rPr>
                            <w:rFonts w:ascii="Times New Roman" w:eastAsia="Times New Roman"/>
                            <w:b/>
                            <w:color w:val="830051"/>
                            <w:spacing w:val="-6"/>
                            <w:sz w:val="16"/>
                          </w:rPr>
                          <w:t> </w:t>
                        </w:r>
                        <w:r>
                          <w:rPr>
                            <w:rFonts w:ascii="Times New Roman" w:eastAsia="Times New Roman"/>
                            <w:b/>
                            <w:color w:val="830051"/>
                            <w:sz w:val="16"/>
                          </w:rPr>
                          <w:t>V15</w:t>
                        </w:r>
                        <w:r>
                          <w:rPr>
                            <w:rFonts w:ascii="Times New Roman" w:eastAsia="Times New Roman"/>
                            <w:b/>
                            <w:color w:val="830051"/>
                            <w:spacing w:val="-9"/>
                            <w:sz w:val="16"/>
                          </w:rPr>
                          <w:t> </w:t>
                        </w:r>
                        <w:r>
                          <w:rPr>
                            <w:b/>
                            <w:color w:val="830051"/>
                            <w:spacing w:val="-4"/>
                            <w:sz w:val="16"/>
                          </w:rPr>
                          <w:t>同一天</w:t>
                        </w:r>
                      </w:p>
                    </w:txbxContent>
                  </v:textbox>
                  <v:fill type="solid"/>
                  <w10:wrap type="none"/>
                </v:shape>
                <v:shape style="position:absolute;left:6549;top:-1015;width:3249;height:262" type="#_x0000_t202" id="docshape73" filled="false" stroked="false">
                  <v:textbox inset="0,0,0,0">
                    <w:txbxContent>
                      <w:p>
                        <w:pPr>
                          <w:spacing w:before="3"/>
                          <w:ind w:left="1060" w:right="0" w:firstLine="0"/>
                          <w:jc w:val="left"/>
                          <w:rPr>
                            <w:rFonts w:ascii="Times New Roman" w:eastAsia="Times New Roman"/>
                            <w:b/>
                            <w:sz w:val="16"/>
                          </w:rPr>
                        </w:pPr>
                        <w:r>
                          <w:rPr>
                            <w:b/>
                            <w:color w:val="929F00"/>
                            <w:spacing w:val="-10"/>
                            <w:sz w:val="16"/>
                          </w:rPr>
                          <w:t>安慰剂 </w:t>
                        </w:r>
                        <w:r>
                          <w:rPr>
                            <w:rFonts w:ascii="Times New Roman" w:eastAsia="Times New Roman"/>
                            <w:b/>
                            <w:color w:val="929F00"/>
                            <w:sz w:val="16"/>
                          </w:rPr>
                          <w:t>Q4W</w:t>
                        </w:r>
                        <w:r>
                          <w:rPr>
                            <w:rFonts w:ascii="Times New Roman" w:eastAsia="Times New Roman"/>
                            <w:b/>
                            <w:color w:val="929F00"/>
                            <w:spacing w:val="-9"/>
                            <w:sz w:val="16"/>
                          </w:rPr>
                          <w:t> </w:t>
                        </w:r>
                        <w:r>
                          <w:rPr>
                            <w:rFonts w:ascii="Times New Roman" w:eastAsia="Times New Roman"/>
                            <w:b/>
                            <w:color w:val="929F00"/>
                            <w:spacing w:val="-5"/>
                            <w:sz w:val="16"/>
                          </w:rPr>
                          <w:t>SC</w:t>
                        </w:r>
                      </w:p>
                    </w:txbxContent>
                  </v:textbox>
                  <w10:wrap type="none"/>
                </v:shape>
                <w10:wrap type="none"/>
              </v:group>
            </w:pict>
          </mc:Fallback>
        </mc:AlternateContent>
      </w:r>
      <w:r>
        <w:rPr>
          <w:spacing w:val="-11"/>
          <w:sz w:val="21"/>
        </w:rPr>
        <w:t>注：如果 </w:t>
      </w:r>
      <w:r>
        <w:rPr>
          <w:rFonts w:ascii="Times New Roman" w:eastAsia="Times New Roman"/>
          <w:sz w:val="21"/>
        </w:rPr>
        <w:t>PROSPERO</w:t>
      </w:r>
      <w:r>
        <w:rPr>
          <w:rFonts w:ascii="Times New Roman" w:eastAsia="Times New Roman"/>
          <w:spacing w:val="-14"/>
          <w:sz w:val="21"/>
        </w:rPr>
        <w:t> </w:t>
      </w:r>
      <w:r>
        <w:rPr>
          <w:spacing w:val="-14"/>
          <w:sz w:val="21"/>
        </w:rPr>
        <w:t>的访视 </w:t>
      </w:r>
      <w:r>
        <w:rPr>
          <w:rFonts w:ascii="Times New Roman" w:eastAsia="Times New Roman"/>
          <w:sz w:val="21"/>
        </w:rPr>
        <w:t>1</w:t>
      </w:r>
      <w:r>
        <w:rPr>
          <w:rFonts w:ascii="Times New Roman" w:eastAsia="Times New Roman"/>
          <w:spacing w:val="-13"/>
          <w:sz w:val="21"/>
        </w:rPr>
        <w:t> </w:t>
      </w:r>
      <w:r>
        <w:rPr>
          <w:spacing w:val="-6"/>
          <w:sz w:val="21"/>
        </w:rPr>
        <w:t>未与前身研究的访视 </w:t>
      </w:r>
      <w:r>
        <w:rPr>
          <w:rFonts w:ascii="Times New Roman" w:eastAsia="Times New Roman"/>
          <w:sz w:val="21"/>
        </w:rPr>
        <w:t>15</w:t>
      </w:r>
      <w:r>
        <w:rPr>
          <w:rFonts w:ascii="Times New Roman" w:eastAsia="Times New Roman"/>
          <w:spacing w:val="-13"/>
          <w:sz w:val="21"/>
        </w:rPr>
        <w:t> </w:t>
      </w:r>
      <w:r>
        <w:rPr>
          <w:spacing w:val="-5"/>
          <w:sz w:val="21"/>
        </w:rPr>
        <w:t>在同一天进行，请见第 </w:t>
      </w:r>
      <w:hyperlink w:history="true" w:anchor="_bookmark24">
        <w:r>
          <w:rPr>
            <w:rFonts w:ascii="Times New Roman" w:eastAsia="Times New Roman"/>
            <w:color w:val="0000FF"/>
            <w:sz w:val="21"/>
          </w:rPr>
          <w:t>4.1.1</w:t>
        </w:r>
      </w:hyperlink>
      <w:r>
        <w:rPr>
          <w:rFonts w:ascii="Times New Roman" w:eastAsia="Times New Roman"/>
          <w:color w:val="0000FF"/>
          <w:spacing w:val="-12"/>
          <w:sz w:val="21"/>
        </w:rPr>
        <w:t> </w:t>
      </w:r>
      <w:r>
        <w:rPr>
          <w:spacing w:val="-5"/>
          <w:sz w:val="21"/>
        </w:rPr>
        <w:t>节。</w:t>
      </w:r>
    </w:p>
    <w:p>
      <w:pPr>
        <w:spacing w:line="259" w:lineRule="auto" w:before="60"/>
        <w:ind w:left="221" w:right="356" w:firstLine="0"/>
        <w:jc w:val="left"/>
        <w:rPr>
          <w:sz w:val="21"/>
        </w:rPr>
      </w:pPr>
      <w:r>
        <w:rPr>
          <w:spacing w:val="-18"/>
          <w:sz w:val="21"/>
        </w:rPr>
        <w:t>根据 </w:t>
      </w:r>
      <w:r>
        <w:rPr>
          <w:rFonts w:ascii="Times New Roman" w:eastAsia="Times New Roman"/>
          <w:sz w:val="21"/>
        </w:rPr>
        <w:t>CSP</w:t>
      </w:r>
      <w:r>
        <w:rPr>
          <w:rFonts w:ascii="Times New Roman" w:eastAsia="Times New Roman"/>
          <w:spacing w:val="-14"/>
          <w:sz w:val="21"/>
        </w:rPr>
        <w:t> </w:t>
      </w:r>
      <w:r>
        <w:rPr>
          <w:spacing w:val="-27"/>
          <w:sz w:val="21"/>
        </w:rPr>
        <w:t>第 </w:t>
      </w:r>
      <w:r>
        <w:rPr>
          <w:rFonts w:ascii="Times New Roman" w:eastAsia="Times New Roman"/>
          <w:sz w:val="21"/>
        </w:rPr>
        <w:t>1.0</w:t>
      </w:r>
      <w:r>
        <w:rPr>
          <w:rFonts w:ascii="Times New Roman" w:eastAsia="Times New Roman"/>
          <w:spacing w:val="-13"/>
          <w:sz w:val="21"/>
        </w:rPr>
        <w:t> </w:t>
      </w:r>
      <w:r>
        <w:rPr>
          <w:spacing w:val="-11"/>
          <w:sz w:val="21"/>
        </w:rPr>
        <w:t>版：将以 </w:t>
      </w:r>
      <w:r>
        <w:rPr>
          <w:rFonts w:ascii="Times New Roman" w:eastAsia="Times New Roman"/>
          <w:sz w:val="21"/>
        </w:rPr>
        <w:t>1:1:2</w:t>
      </w:r>
      <w:r>
        <w:rPr>
          <w:rFonts w:ascii="Times New Roman" w:eastAsia="Times New Roman"/>
          <w:spacing w:val="-13"/>
          <w:sz w:val="21"/>
        </w:rPr>
        <w:t> </w:t>
      </w:r>
      <w:r>
        <w:rPr>
          <w:sz w:val="21"/>
        </w:rPr>
        <w:t>的比例（</w:t>
      </w:r>
      <w:r>
        <w:rPr>
          <w:spacing w:val="-14"/>
          <w:sz w:val="21"/>
        </w:rPr>
        <w:t>分别为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Q4W</w:t>
      </w:r>
      <w:r>
        <w:rPr>
          <w:sz w:val="21"/>
        </w:rPr>
        <w:t>、</w:t>
      </w:r>
      <w:r>
        <w:rPr>
          <w:rFonts w:ascii="Times New Roman" w:eastAsia="Times New Roman"/>
          <w:sz w:val="21"/>
        </w:rPr>
        <w:t>tozorakimab Q8W</w:t>
      </w:r>
      <w:r>
        <w:rPr>
          <w:rFonts w:ascii="Times New Roman" w:eastAsia="Times New Roman"/>
          <w:spacing w:val="-14"/>
          <w:sz w:val="21"/>
        </w:rPr>
        <w:t> </w:t>
      </w:r>
      <w:r>
        <w:rPr>
          <w:sz w:val="21"/>
        </w:rPr>
        <w:t>和匹配的安</w:t>
      </w:r>
      <w:r>
        <w:rPr>
          <w:spacing w:val="-2"/>
          <w:sz w:val="21"/>
        </w:rPr>
        <w:t>慰剂）对安慰剂组受试者重新随机化。</w:t>
      </w:r>
    </w:p>
    <w:p>
      <w:pPr>
        <w:spacing w:line="259" w:lineRule="auto" w:before="38"/>
        <w:ind w:left="221" w:right="357" w:firstLine="0"/>
        <w:jc w:val="both"/>
        <w:rPr>
          <w:sz w:val="21"/>
        </w:rPr>
      </w:pPr>
      <w:r>
        <w:rPr>
          <w:spacing w:val="-10"/>
          <w:sz w:val="21"/>
        </w:rPr>
        <w:t>根据 </w:t>
      </w:r>
      <w:r>
        <w:rPr>
          <w:rFonts w:ascii="Times New Roman" w:eastAsia="Times New Roman"/>
          <w:spacing w:val="-2"/>
          <w:sz w:val="21"/>
        </w:rPr>
        <w:t>CSP</w:t>
      </w:r>
      <w:r>
        <w:rPr>
          <w:rFonts w:ascii="Times New Roman" w:eastAsia="Times New Roman"/>
          <w:spacing w:val="-11"/>
          <w:sz w:val="21"/>
        </w:rPr>
        <w:t> </w:t>
      </w:r>
      <w:r>
        <w:rPr>
          <w:spacing w:val="-13"/>
          <w:sz w:val="21"/>
        </w:rPr>
        <w:t>第 </w:t>
      </w:r>
      <w:r>
        <w:rPr>
          <w:rFonts w:ascii="Times New Roman" w:eastAsia="Times New Roman"/>
          <w:spacing w:val="-2"/>
          <w:sz w:val="21"/>
        </w:rPr>
        <w:t>2.0</w:t>
      </w:r>
      <w:r>
        <w:rPr>
          <w:rFonts w:ascii="Times New Roman" w:eastAsia="Times New Roman"/>
          <w:spacing w:val="-11"/>
          <w:sz w:val="21"/>
        </w:rPr>
        <w:t> </w:t>
      </w:r>
      <w:r>
        <w:rPr>
          <w:spacing w:val="-7"/>
          <w:sz w:val="21"/>
        </w:rPr>
        <w:t>版：将以 </w:t>
      </w:r>
      <w:r>
        <w:rPr>
          <w:rFonts w:ascii="Times New Roman" w:eastAsia="Times New Roman"/>
          <w:spacing w:val="-2"/>
          <w:sz w:val="21"/>
        </w:rPr>
        <w:t>1:1</w:t>
      </w:r>
      <w:r>
        <w:rPr>
          <w:rFonts w:ascii="Times New Roman" w:eastAsia="Times New Roman"/>
          <w:spacing w:val="-12"/>
          <w:sz w:val="21"/>
        </w:rPr>
        <w:t> </w:t>
      </w:r>
      <w:r>
        <w:rPr>
          <w:spacing w:val="-2"/>
          <w:sz w:val="21"/>
        </w:rPr>
        <w:t>的比例（</w:t>
      </w:r>
      <w:r>
        <w:rPr>
          <w:spacing w:val="-8"/>
          <w:sz w:val="21"/>
        </w:rPr>
        <w:t>分别为 </w:t>
      </w:r>
      <w:r>
        <w:rPr>
          <w:rFonts w:ascii="Times New Roman" w:eastAsia="Times New Roman"/>
          <w:spacing w:val="-2"/>
          <w:sz w:val="21"/>
        </w:rPr>
        <w:t>tozorakimab</w:t>
      </w:r>
      <w:r>
        <w:rPr>
          <w:rFonts w:ascii="Times New Roman" w:eastAsia="Times New Roman"/>
          <w:spacing w:val="-5"/>
          <w:sz w:val="21"/>
        </w:rPr>
        <w:t> </w:t>
      </w:r>
      <w:r>
        <w:rPr>
          <w:rFonts w:ascii="Times New Roman" w:eastAsia="Times New Roman"/>
          <w:spacing w:val="-2"/>
          <w:sz w:val="21"/>
        </w:rPr>
        <w:t>Q4W </w:t>
      </w:r>
      <w:r>
        <w:rPr>
          <w:spacing w:val="-2"/>
          <w:sz w:val="21"/>
        </w:rPr>
        <w:t>和匹配的安慰剂）对安慰剂组受</w:t>
      </w:r>
      <w:r>
        <w:rPr>
          <w:sz w:val="21"/>
        </w:rPr>
        <w:t>试者重新进行随机化，</w:t>
      </w:r>
      <w:r>
        <w:rPr>
          <w:rFonts w:ascii="Times New Roman" w:eastAsia="Times New Roman"/>
          <w:sz w:val="21"/>
        </w:rPr>
        <w:t>tozorakimab</w:t>
      </w:r>
      <w:r>
        <w:rPr>
          <w:rFonts w:ascii="Times New Roman" w:eastAsia="Times New Roman"/>
          <w:spacing w:val="-14"/>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Q8W</w:t>
      </w:r>
      <w:r>
        <w:rPr>
          <w:rFonts w:ascii="Times New Roman" w:eastAsia="Times New Roman"/>
          <w:spacing w:val="-13"/>
          <w:sz w:val="21"/>
        </w:rPr>
        <w:t> </w:t>
      </w:r>
      <w:r>
        <w:rPr>
          <w:spacing w:val="-3"/>
          <w:sz w:val="21"/>
        </w:rPr>
        <w:t>组的受试者将转换为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2"/>
          <w:sz w:val="21"/>
        </w:rPr>
        <w:t> </w:t>
      </w:r>
      <w:r>
        <w:rPr>
          <w:rFonts w:ascii="Times New Roman" w:eastAsia="Times New Roman"/>
          <w:sz w:val="21"/>
        </w:rPr>
        <w:t>Q4W</w:t>
      </w:r>
      <w:r>
        <w:rPr>
          <w:sz w:val="21"/>
        </w:rPr>
        <w:t>。</w:t>
      </w:r>
      <w:r>
        <w:rPr>
          <w:spacing w:val="-9"/>
          <w:sz w:val="21"/>
        </w:rPr>
        <w:t>已根据 </w:t>
      </w:r>
      <w:r>
        <w:rPr>
          <w:rFonts w:ascii="Times New Roman" w:eastAsia="Times New Roman"/>
          <w:spacing w:val="-4"/>
          <w:sz w:val="21"/>
        </w:rPr>
        <w:t>CSP</w:t>
      </w:r>
      <w:r>
        <w:rPr>
          <w:rFonts w:ascii="Times New Roman" w:eastAsia="Times New Roman"/>
          <w:spacing w:val="9"/>
          <w:sz w:val="21"/>
        </w:rPr>
        <w:t> </w:t>
      </w:r>
      <w:r>
        <w:rPr>
          <w:spacing w:val="-14"/>
          <w:sz w:val="21"/>
        </w:rPr>
        <w:t>第 </w:t>
      </w:r>
      <w:r>
        <w:rPr>
          <w:rFonts w:ascii="Times New Roman" w:eastAsia="Times New Roman"/>
          <w:spacing w:val="-4"/>
          <w:sz w:val="21"/>
        </w:rPr>
        <w:t>1.0</w:t>
      </w:r>
      <w:r>
        <w:rPr>
          <w:rFonts w:ascii="Times New Roman" w:eastAsia="Times New Roman"/>
          <w:spacing w:val="13"/>
          <w:sz w:val="21"/>
        </w:rPr>
        <w:t> </w:t>
      </w:r>
      <w:r>
        <w:rPr>
          <w:spacing w:val="-4"/>
          <w:sz w:val="21"/>
        </w:rPr>
        <w:t>版进行随机化的受试者可在本修订案发布后继续相同治疗方案完成研究，治疗</w:t>
      </w:r>
      <w:r>
        <w:rPr>
          <w:spacing w:val="-8"/>
          <w:sz w:val="21"/>
        </w:rPr>
        <w:t>期为 </w:t>
      </w:r>
      <w:r>
        <w:rPr>
          <w:rFonts w:ascii="Times New Roman" w:eastAsia="Times New Roman"/>
          <w:sz w:val="21"/>
        </w:rPr>
        <w:t>52 </w:t>
      </w:r>
      <w:r>
        <w:rPr>
          <w:sz w:val="21"/>
        </w:rPr>
        <w:t>周。</w:t>
      </w:r>
    </w:p>
    <w:p>
      <w:pPr>
        <w:spacing w:before="37"/>
        <w:ind w:left="221" w:right="0" w:firstLine="0"/>
        <w:jc w:val="both"/>
        <w:rPr>
          <w:sz w:val="21"/>
        </w:rPr>
      </w:pPr>
      <w:r>
        <w:rPr>
          <w:rFonts w:ascii="Times New Roman" w:eastAsia="Times New Roman"/>
          <w:sz w:val="21"/>
        </w:rPr>
        <w:t>CSP</w:t>
      </w:r>
      <w:r>
        <w:rPr>
          <w:sz w:val="21"/>
        </w:rPr>
        <w:t>，临床研究方案；</w:t>
      </w:r>
      <w:r>
        <w:rPr>
          <w:rFonts w:ascii="Times New Roman" w:eastAsia="Times New Roman"/>
          <w:sz w:val="21"/>
        </w:rPr>
        <w:t>FU</w:t>
      </w:r>
      <w:r>
        <w:rPr>
          <w:sz w:val="21"/>
        </w:rPr>
        <w:t>，随访；</w:t>
      </w:r>
      <w:r>
        <w:rPr>
          <w:rFonts w:ascii="Times New Roman" w:eastAsia="Times New Roman"/>
          <w:sz w:val="21"/>
        </w:rPr>
        <w:t>LTE</w:t>
      </w:r>
      <w:r>
        <w:rPr>
          <w:sz w:val="21"/>
        </w:rPr>
        <w:t>，长期扩展；</w:t>
      </w:r>
      <w:r>
        <w:rPr>
          <w:rFonts w:ascii="Times New Roman" w:eastAsia="Times New Roman"/>
          <w:sz w:val="21"/>
        </w:rPr>
        <w:t>O/T</w:t>
      </w:r>
      <w:r>
        <w:rPr>
          <w:sz w:val="21"/>
        </w:rPr>
        <w:t>，</w:t>
      </w:r>
      <w:r>
        <w:rPr>
          <w:rFonts w:ascii="Times New Roman" w:eastAsia="Times New Roman"/>
          <w:sz w:val="21"/>
        </w:rPr>
        <w:t>OBERON</w:t>
      </w:r>
      <w:r>
        <w:rPr>
          <w:rFonts w:ascii="Times New Roman" w:eastAsia="Times New Roman"/>
          <w:spacing w:val="74"/>
          <w:sz w:val="21"/>
        </w:rPr>
        <w:t> </w:t>
      </w:r>
      <w:r>
        <w:rPr>
          <w:spacing w:val="28"/>
          <w:sz w:val="21"/>
        </w:rPr>
        <w:t>或 </w:t>
      </w:r>
      <w:r>
        <w:rPr>
          <w:rFonts w:ascii="Times New Roman" w:eastAsia="Times New Roman"/>
          <w:sz w:val="21"/>
        </w:rPr>
        <w:t>TITANIA</w:t>
      </w:r>
      <w:r>
        <w:rPr>
          <w:rFonts w:ascii="Times New Roman" w:eastAsia="Times New Roman"/>
          <w:spacing w:val="75"/>
          <w:sz w:val="21"/>
        </w:rPr>
        <w:t> </w:t>
      </w:r>
      <w:r>
        <w:rPr>
          <w:spacing w:val="-2"/>
          <w:sz w:val="21"/>
        </w:rPr>
        <w:t>前身研究；</w:t>
      </w:r>
    </w:p>
    <w:p>
      <w:pPr>
        <w:spacing w:before="21"/>
        <w:ind w:left="221" w:right="0" w:firstLine="0"/>
        <w:jc w:val="left"/>
        <w:rPr>
          <w:sz w:val="21"/>
        </w:rPr>
      </w:pPr>
      <w:r>
        <w:rPr>
          <w:rFonts w:ascii="Times New Roman" w:eastAsia="Times New Roman"/>
          <w:spacing w:val="-2"/>
          <w:sz w:val="21"/>
        </w:rPr>
        <w:t>Q4W</w:t>
      </w:r>
      <w:r>
        <w:rPr>
          <w:spacing w:val="-15"/>
          <w:sz w:val="21"/>
        </w:rPr>
        <w:t>，每 </w:t>
      </w:r>
      <w:r>
        <w:rPr>
          <w:rFonts w:ascii="Times New Roman" w:eastAsia="Times New Roman"/>
          <w:spacing w:val="-2"/>
          <w:sz w:val="21"/>
        </w:rPr>
        <w:t>4</w:t>
      </w:r>
      <w:r>
        <w:rPr>
          <w:rFonts w:ascii="Times New Roman" w:eastAsia="Times New Roman"/>
          <w:spacing w:val="-1"/>
          <w:sz w:val="21"/>
        </w:rPr>
        <w:t> </w:t>
      </w:r>
      <w:r>
        <w:rPr>
          <w:spacing w:val="-2"/>
          <w:sz w:val="21"/>
        </w:rPr>
        <w:t>周一次；</w:t>
      </w:r>
      <w:r>
        <w:rPr>
          <w:rFonts w:ascii="Times New Roman" w:eastAsia="Times New Roman"/>
          <w:spacing w:val="-2"/>
          <w:sz w:val="21"/>
        </w:rPr>
        <w:t>Q8W</w:t>
      </w:r>
      <w:r>
        <w:rPr>
          <w:spacing w:val="-14"/>
          <w:sz w:val="21"/>
        </w:rPr>
        <w:t>，每 </w:t>
      </w:r>
      <w:r>
        <w:rPr>
          <w:rFonts w:ascii="Times New Roman" w:eastAsia="Times New Roman"/>
          <w:spacing w:val="-2"/>
          <w:sz w:val="21"/>
        </w:rPr>
        <w:t>8</w:t>
      </w:r>
      <w:r>
        <w:rPr>
          <w:rFonts w:ascii="Times New Roman" w:eastAsia="Times New Roman"/>
          <w:spacing w:val="3"/>
          <w:sz w:val="21"/>
        </w:rPr>
        <w:t> </w:t>
      </w:r>
      <w:r>
        <w:rPr>
          <w:spacing w:val="-2"/>
          <w:sz w:val="21"/>
        </w:rPr>
        <w:t>周一次；</w:t>
      </w:r>
      <w:r>
        <w:rPr>
          <w:rFonts w:ascii="Times New Roman" w:eastAsia="Times New Roman"/>
          <w:spacing w:val="-2"/>
          <w:sz w:val="21"/>
        </w:rPr>
        <w:t>SC</w:t>
      </w:r>
      <w:r>
        <w:rPr>
          <w:spacing w:val="-2"/>
          <w:sz w:val="21"/>
        </w:rPr>
        <w:t>，皮下；</w:t>
      </w:r>
      <w:r>
        <w:rPr>
          <w:rFonts w:ascii="Times New Roman" w:eastAsia="Times New Roman"/>
          <w:spacing w:val="-2"/>
          <w:sz w:val="21"/>
        </w:rPr>
        <w:t>V</w:t>
      </w:r>
      <w:r>
        <w:rPr>
          <w:spacing w:val="-4"/>
          <w:sz w:val="21"/>
        </w:rPr>
        <w:t>，访视。</w:t>
      </w:r>
    </w:p>
    <w:p>
      <w:pPr>
        <w:pStyle w:val="BodyText"/>
        <w:spacing w:before="64"/>
        <w:ind w:left="0"/>
        <w:rPr>
          <w:sz w:val="21"/>
        </w:rPr>
      </w:pPr>
    </w:p>
    <w:p>
      <w:pPr>
        <w:pStyle w:val="BodyText"/>
        <w:spacing w:line="276" w:lineRule="auto"/>
        <w:ind w:right="358" w:firstLine="480"/>
        <w:jc w:val="both"/>
      </w:pPr>
      <w:r>
        <w:rPr/>
        <w:t>本研究是一项多中心、随机、双盲、长期给药、平行分组、安慰剂对照的</w:t>
      </w:r>
      <w:r>
        <w:rPr>
          <w:rFonts w:ascii="Times New Roman" w:hAnsi="Times New Roman" w:eastAsia="Times New Roman"/>
        </w:rPr>
        <w:t>Ⅲ</w:t>
      </w:r>
      <w:r>
        <w:rPr/>
        <w:t>期</w:t>
      </w:r>
      <w:r>
        <w:rPr>
          <w:spacing w:val="-3"/>
        </w:rPr>
        <w:t>扩展研究，旨在评价 </w:t>
      </w:r>
      <w:r>
        <w:rPr>
          <w:rFonts w:ascii="Times New Roman" w:hAnsi="Times New Roman" w:eastAsia="Times New Roman"/>
        </w:rPr>
        <w:t>tozorakimab</w:t>
      </w:r>
      <w:r>
        <w:rPr>
          <w:rFonts w:ascii="Times New Roman" w:hAnsi="Times New Roman" w:eastAsia="Times New Roman"/>
          <w:spacing w:val="-15"/>
        </w:rPr>
        <w:t> </w:t>
      </w:r>
      <w:r>
        <w:rPr>
          <w:rFonts w:ascii="Times New Roman" w:hAnsi="Times New Roman" w:eastAsia="Times New Roman"/>
        </w:rPr>
        <w:t>300</w:t>
      </w:r>
      <w:r>
        <w:rPr>
          <w:rFonts w:ascii="Times New Roman" w:hAnsi="Times New Roman" w:eastAsia="Times New Roman"/>
          <w:spacing w:val="-15"/>
        </w:rPr>
        <w:t> </w:t>
      </w:r>
      <w:r>
        <w:rPr>
          <w:rFonts w:ascii="Times New Roman" w:hAnsi="Times New Roman" w:eastAsia="Times New Roman"/>
        </w:rPr>
        <w:t>mg</w:t>
      </w:r>
      <w:r>
        <w:rPr>
          <w:rFonts w:ascii="Times New Roman" w:hAnsi="Times New Roman" w:eastAsia="Times New Roman"/>
          <w:spacing w:val="-15"/>
        </w:rPr>
        <w:t> </w:t>
      </w:r>
      <w:r>
        <w:rPr>
          <w:rFonts w:ascii="Times New Roman" w:hAnsi="Times New Roman" w:eastAsia="Times New Roman"/>
        </w:rPr>
        <w:t>Q4W</w:t>
      </w:r>
      <w:r>
        <w:rPr>
          <w:rFonts w:ascii="Times New Roman" w:hAnsi="Times New Roman" w:eastAsia="Times New Roman"/>
          <w:spacing w:val="-15"/>
        </w:rPr>
        <w:t> </w:t>
      </w:r>
      <w:r>
        <w:rPr>
          <w:spacing w:val="-15"/>
        </w:rPr>
        <w:t>和 </w:t>
      </w:r>
      <w:r>
        <w:rPr>
          <w:rFonts w:ascii="Times New Roman" w:hAnsi="Times New Roman" w:eastAsia="Times New Roman"/>
        </w:rPr>
        <w:t>300</w:t>
      </w:r>
      <w:r>
        <w:rPr>
          <w:rFonts w:ascii="Times New Roman" w:hAnsi="Times New Roman" w:eastAsia="Times New Roman"/>
          <w:spacing w:val="-15"/>
        </w:rPr>
        <w:t> </w:t>
      </w:r>
      <w:r>
        <w:rPr>
          <w:rFonts w:ascii="Times New Roman" w:hAnsi="Times New Roman" w:eastAsia="Times New Roman"/>
        </w:rPr>
        <w:t>mg</w:t>
      </w:r>
      <w:r>
        <w:rPr>
          <w:rFonts w:ascii="Times New Roman" w:hAnsi="Times New Roman" w:eastAsia="Times New Roman"/>
          <w:spacing w:val="-15"/>
        </w:rPr>
        <w:t> </w:t>
      </w:r>
      <w:r>
        <w:rPr>
          <w:rFonts w:ascii="Times New Roman" w:hAnsi="Times New Roman" w:eastAsia="Times New Roman"/>
        </w:rPr>
        <w:t>Q8W</w:t>
      </w:r>
      <w:r>
        <w:rPr>
          <w:rFonts w:ascii="Times New Roman" w:hAnsi="Times New Roman" w:eastAsia="Times New Roman"/>
          <w:spacing w:val="-15"/>
        </w:rPr>
        <w:t> </w:t>
      </w:r>
      <w:r>
        <w:rPr>
          <w:rFonts w:ascii="Times New Roman" w:hAnsi="Times New Roman" w:eastAsia="Times New Roman"/>
        </w:rPr>
        <w:t>SC</w:t>
      </w:r>
      <w:r>
        <w:rPr>
          <w:rFonts w:ascii="Times New Roman" w:hAnsi="Times New Roman" w:eastAsia="Times New Roman"/>
          <w:spacing w:val="-15"/>
        </w:rPr>
        <w:t> </w:t>
      </w:r>
      <w:r>
        <w:rPr>
          <w:spacing w:val="-5"/>
        </w:rPr>
        <w:t>给药在具有 </w:t>
      </w:r>
      <w:r>
        <w:rPr>
          <w:rFonts w:ascii="Times New Roman" w:hAnsi="Times New Roman" w:eastAsia="Times New Roman"/>
        </w:rPr>
        <w:t>COPD</w:t>
      </w:r>
      <w:r>
        <w:rPr>
          <w:spacing w:val="-3"/>
        </w:rPr>
        <w:t>急性加重病史的 </w:t>
      </w:r>
      <w:r>
        <w:rPr>
          <w:rFonts w:ascii="Times New Roman" w:hAnsi="Times New Roman" w:eastAsia="Times New Roman"/>
        </w:rPr>
        <w:t>COPD </w:t>
      </w:r>
      <w:r>
        <w:rPr/>
        <w:t>受试者中长期有效性和安全性。</w:t>
      </w:r>
    </w:p>
    <w:p>
      <w:pPr>
        <w:pStyle w:val="BodyText"/>
        <w:spacing w:line="276" w:lineRule="auto" w:before="237"/>
        <w:ind w:right="357" w:firstLine="480"/>
        <w:jc w:val="both"/>
      </w:pPr>
      <w:r>
        <w:rPr>
          <w:spacing w:val="-4"/>
        </w:rPr>
        <w:t>合格受试者必须完成前身研究 </w:t>
      </w:r>
      <w:r>
        <w:rPr>
          <w:rFonts w:ascii="Times New Roman" w:eastAsia="Times New Roman"/>
          <w:spacing w:val="-2"/>
        </w:rPr>
        <w:t>OBERON</w:t>
      </w:r>
      <w:r>
        <w:rPr>
          <w:rFonts w:ascii="Times New Roman" w:eastAsia="Times New Roman"/>
          <w:spacing w:val="-9"/>
        </w:rPr>
        <w:t> </w:t>
      </w:r>
      <w:r>
        <w:rPr>
          <w:spacing w:val="-15"/>
        </w:rPr>
        <w:t>或 </w:t>
      </w:r>
      <w:r>
        <w:rPr>
          <w:rFonts w:ascii="Times New Roman" w:eastAsia="Times New Roman"/>
          <w:spacing w:val="-2"/>
        </w:rPr>
        <w:t>TITANIA</w:t>
      </w:r>
      <w:r>
        <w:rPr>
          <w:rFonts w:ascii="Times New Roman" w:eastAsia="Times New Roman"/>
          <w:spacing w:val="9"/>
        </w:rPr>
        <w:t> </w:t>
      </w:r>
      <w:r>
        <w:rPr>
          <w:spacing w:val="-5"/>
        </w:rPr>
        <w:t>治疗期，且未提前终止 </w:t>
      </w:r>
      <w:r>
        <w:rPr>
          <w:rFonts w:ascii="Times New Roman" w:eastAsia="Times New Roman"/>
          <w:spacing w:val="-2"/>
        </w:rPr>
        <w:t>IP</w:t>
      </w:r>
      <w:r>
        <w:rPr/>
        <w:t>治疗，同时符合 </w:t>
      </w:r>
      <w:r>
        <w:rPr>
          <w:rFonts w:ascii="Times New Roman" w:eastAsia="Times New Roman"/>
        </w:rPr>
        <w:t>PROSPERO </w:t>
      </w:r>
      <w:r>
        <w:rPr/>
        <w:t>入选</w:t>
      </w:r>
      <w:r>
        <w:rPr>
          <w:rFonts w:ascii="Times New Roman" w:eastAsia="Times New Roman"/>
        </w:rPr>
        <w:t>/</w:t>
      </w:r>
      <w:r>
        <w:rPr/>
        <w:t>排除标准。将建议受试者在整个研究期间继续接</w:t>
      </w:r>
      <w:r>
        <w:rPr>
          <w:spacing w:val="-3"/>
        </w:rPr>
        <w:t>受相同稳定剂量的 </w:t>
      </w:r>
      <w:r>
        <w:rPr>
          <w:rFonts w:ascii="Times New Roman" w:eastAsia="Times New Roman"/>
        </w:rPr>
        <w:t>COPD </w:t>
      </w:r>
      <w:r>
        <w:rPr/>
        <w:t>维持治疗。</w:t>
      </w:r>
    </w:p>
    <w:p>
      <w:pPr>
        <w:pStyle w:val="BodyText"/>
        <w:spacing w:before="238"/>
        <w:ind w:left="701"/>
      </w:pPr>
      <w:r>
        <w:rPr>
          <w:spacing w:val="-18"/>
        </w:rPr>
        <w:t>预计 </w:t>
      </w:r>
      <w:r>
        <w:rPr>
          <w:rFonts w:ascii="Times New Roman" w:eastAsia="Times New Roman"/>
          <w:spacing w:val="-2"/>
        </w:rPr>
        <w:t>PROSPERO</w:t>
      </w:r>
      <w:r>
        <w:rPr>
          <w:rFonts w:ascii="Times New Roman" w:eastAsia="Times New Roman"/>
          <w:spacing w:val="-5"/>
        </w:rPr>
        <w:t> </w:t>
      </w:r>
      <w:r>
        <w:rPr>
          <w:spacing w:val="-10"/>
        </w:rPr>
        <w:t>将最多入选 </w:t>
      </w:r>
      <w:r>
        <w:rPr>
          <w:rFonts w:ascii="Times New Roman" w:eastAsia="Times New Roman"/>
          <w:spacing w:val="-2"/>
        </w:rPr>
        <w:t>2120</w:t>
      </w:r>
      <w:r>
        <w:rPr>
          <w:rFonts w:ascii="Times New Roman" w:eastAsia="Times New Roman"/>
          <w:spacing w:val="-3"/>
        </w:rPr>
        <w:t> </w:t>
      </w:r>
      <w:r>
        <w:rPr>
          <w:spacing w:val="-4"/>
        </w:rPr>
        <w:t>名受试者。</w:t>
      </w:r>
    </w:p>
    <w:p>
      <w:pPr>
        <w:spacing w:after="0"/>
        <w:sectPr>
          <w:pgSz w:w="11910" w:h="16840"/>
          <w:pgMar w:header="590" w:footer="784" w:top="1340" w:bottom="980" w:left="1480" w:right="1080"/>
        </w:sectPr>
      </w:pPr>
    </w:p>
    <w:p>
      <w:pPr>
        <w:pStyle w:val="BodyText"/>
        <w:spacing w:line="276" w:lineRule="auto" w:before="88"/>
        <w:ind w:right="357" w:firstLine="480"/>
        <w:jc w:val="both"/>
      </w:pPr>
      <w:r>
        <w:rPr/>
        <w:t>在本修订案中更新了研究设计；因此，受试者将根据</w:t>
      </w:r>
      <w:r>
        <w:rPr>
          <w:rFonts w:ascii="Times New Roman" w:eastAsia="Times New Roman"/>
        </w:rPr>
        <w:t>CSP</w:t>
      </w:r>
      <w:r>
        <w:rPr>
          <w:rFonts w:ascii="Times New Roman" w:eastAsia="Times New Roman"/>
          <w:spacing w:val="-15"/>
        </w:rPr>
        <w:t> </w:t>
      </w:r>
      <w:r>
        <w:rPr>
          <w:spacing w:val="12"/>
        </w:rPr>
        <w:t>第</w:t>
      </w:r>
      <w:r>
        <w:rPr>
          <w:rFonts w:ascii="Times New Roman" w:eastAsia="Times New Roman"/>
        </w:rPr>
        <w:t>1.0</w:t>
      </w:r>
      <w:r>
        <w:rPr>
          <w:rFonts w:ascii="Times New Roman" w:eastAsia="Times New Roman"/>
          <w:spacing w:val="-15"/>
        </w:rPr>
        <w:t> </w:t>
      </w:r>
      <w:r>
        <w:rPr/>
        <w:t>版（修订之前</w:t>
      </w:r>
      <w:r>
        <w:rPr/>
        <w:t>）或本版本（</w:t>
      </w:r>
      <w:r>
        <w:rPr>
          <w:spacing w:val="-12"/>
        </w:rPr>
        <w:t>第 </w:t>
      </w:r>
      <w:r>
        <w:rPr>
          <w:rFonts w:ascii="Times New Roman" w:eastAsia="Times New Roman"/>
        </w:rPr>
        <w:t>2.0 </w:t>
      </w:r>
      <w:r>
        <w:rPr/>
        <w:t>版）入选研究。</w:t>
      </w:r>
    </w:p>
    <w:p>
      <w:pPr>
        <w:pStyle w:val="BodyText"/>
        <w:spacing w:before="239"/>
        <w:jc w:val="both"/>
      </w:pPr>
      <w:r>
        <w:rPr>
          <w:rFonts w:ascii="Times New Roman" w:eastAsia="Times New Roman"/>
          <w:u w:val="single"/>
        </w:rPr>
        <w:t>CSP</w:t>
      </w:r>
      <w:r>
        <w:rPr>
          <w:rFonts w:ascii="Times New Roman" w:eastAsia="Times New Roman"/>
          <w:spacing w:val="-15"/>
          <w:u w:val="single"/>
        </w:rPr>
        <w:t> </w:t>
      </w:r>
      <w:r>
        <w:rPr>
          <w:spacing w:val="-30"/>
          <w:u w:val="single"/>
        </w:rPr>
        <w:t>第 </w:t>
      </w:r>
      <w:r>
        <w:rPr>
          <w:rFonts w:ascii="Times New Roman" w:eastAsia="Times New Roman"/>
          <w:u w:val="single"/>
        </w:rPr>
        <w:t>1.0</w:t>
      </w:r>
      <w:r>
        <w:rPr>
          <w:rFonts w:ascii="Times New Roman" w:eastAsia="Times New Roman"/>
          <w:spacing w:val="-11"/>
          <w:u w:val="single"/>
        </w:rPr>
        <w:t> </w:t>
      </w:r>
      <w:r>
        <w:rPr>
          <w:spacing w:val="-12"/>
          <w:u w:val="single"/>
        </w:rPr>
        <w:t>版</w:t>
      </w:r>
    </w:p>
    <w:p>
      <w:pPr>
        <w:pStyle w:val="BodyText"/>
        <w:spacing w:line="276" w:lineRule="auto" w:before="119"/>
        <w:ind w:right="357" w:firstLine="480"/>
        <w:jc w:val="both"/>
      </w:pPr>
      <w:r>
        <w:rPr/>
        <w:t>对于既往在任一前身研究中被随机分配至药物 </w:t>
      </w:r>
      <w:r>
        <w:rPr>
          <w:rFonts w:ascii="Times New Roman" w:eastAsia="Times New Roman"/>
        </w:rPr>
        <w:t>tozorakimab </w:t>
      </w:r>
      <w:r>
        <w:rPr/>
        <w:t>组的受试者，将在 </w:t>
      </w:r>
      <w:r>
        <w:rPr>
          <w:rFonts w:ascii="Times New Roman" w:eastAsia="Times New Roman"/>
        </w:rPr>
        <w:t>PROSPERO </w:t>
      </w:r>
      <w:r>
        <w:rPr/>
        <w:t>中继续接受相同的活性药物治疗和给药方案。对于既往在前身研究中被</w:t>
      </w:r>
      <w:r>
        <w:rPr>
          <w:spacing w:val="-4"/>
        </w:rPr>
        <w:t>随机分配至安慰剂组的受试者，将以 </w:t>
      </w:r>
      <w:r>
        <w:rPr>
          <w:rFonts w:ascii="Times New Roman" w:eastAsia="Times New Roman"/>
          <w:spacing w:val="-2"/>
        </w:rPr>
        <w:t>1:1:2 </w:t>
      </w:r>
      <w:r>
        <w:rPr>
          <w:spacing w:val="-2"/>
        </w:rPr>
        <w:t>的比例进行重新随机分配，在</w:t>
      </w:r>
      <w:r>
        <w:rPr>
          <w:rFonts w:ascii="Times New Roman" w:eastAsia="Times New Roman"/>
          <w:spacing w:val="-2"/>
        </w:rPr>
        <w:t>SoC </w:t>
      </w:r>
      <w:r>
        <w:rPr>
          <w:spacing w:val="-2"/>
        </w:rPr>
        <w:t>基础上</w:t>
      </w:r>
      <w:r>
        <w:rPr>
          <w:spacing w:val="-14"/>
        </w:rPr>
        <w:t>接受 </w:t>
      </w:r>
      <w:r>
        <w:rPr>
          <w:rFonts w:ascii="Times New Roman" w:eastAsia="Times New Roman"/>
        </w:rPr>
        <w:t>tozorakimab 300 mg Q4W</w:t>
      </w:r>
      <w:r>
        <w:rPr/>
        <w:t>、</w:t>
      </w:r>
      <w:r>
        <w:rPr>
          <w:rFonts w:ascii="Times New Roman" w:eastAsia="Times New Roman"/>
        </w:rPr>
        <w:t>tozorakimab 300 mg Q8W </w:t>
      </w:r>
      <w:r>
        <w:rPr/>
        <w:t>或安慰剂。</w:t>
      </w:r>
    </w:p>
    <w:p>
      <w:pPr>
        <w:pStyle w:val="BodyText"/>
        <w:spacing w:line="276" w:lineRule="auto" w:before="236"/>
        <w:ind w:right="357" w:firstLine="480"/>
        <w:jc w:val="both"/>
      </w:pPr>
      <w:r>
        <w:rPr/>
        <w:t>本研究将包括入选访视（</w:t>
      </w:r>
      <w:r>
        <w:rPr>
          <w:spacing w:val="-3"/>
        </w:rPr>
        <w:t>最好与前身研究访视 </w:t>
      </w:r>
      <w:r>
        <w:rPr>
          <w:rFonts w:ascii="Times New Roman" w:eastAsia="Times New Roman"/>
        </w:rPr>
        <w:t>15</w:t>
      </w:r>
      <w:r>
        <w:rPr>
          <w:rFonts w:ascii="Times New Roman" w:eastAsia="Times New Roman"/>
          <w:spacing w:val="14"/>
        </w:rPr>
        <w:t> </w:t>
      </w:r>
      <w:r>
        <w:rPr/>
        <w:t>在同一天进行）</w:t>
      </w:r>
      <w:r>
        <w:rPr>
          <w:spacing w:val="-14"/>
        </w:rPr>
        <w:t>和 </w:t>
      </w:r>
      <w:r>
        <w:rPr>
          <w:rFonts w:ascii="Times New Roman" w:eastAsia="Times New Roman"/>
        </w:rPr>
        <w:t>52 </w:t>
      </w:r>
      <w:r>
        <w:rPr/>
        <w:t>周治疗</w:t>
      </w:r>
      <w:r>
        <w:rPr>
          <w:spacing w:val="-6"/>
        </w:rPr>
        <w:t>期，治疗期内 </w:t>
      </w:r>
      <w:r>
        <w:rPr>
          <w:rFonts w:ascii="Times New Roman" w:eastAsia="Times New Roman"/>
          <w:spacing w:val="-2"/>
        </w:rPr>
        <w:t>IP</w:t>
      </w:r>
      <w:r>
        <w:rPr>
          <w:rFonts w:ascii="Times New Roman" w:eastAsia="Times New Roman"/>
          <w:spacing w:val="-13"/>
        </w:rPr>
        <w:t> </w:t>
      </w:r>
      <w:r>
        <w:rPr>
          <w:spacing w:val="-6"/>
        </w:rPr>
        <w:t>的给药频率为 </w:t>
      </w:r>
      <w:r>
        <w:rPr>
          <w:rFonts w:ascii="Times New Roman" w:eastAsia="Times New Roman"/>
          <w:spacing w:val="-2"/>
        </w:rPr>
        <w:t>Q4W</w:t>
      </w:r>
      <w:r>
        <w:rPr>
          <w:spacing w:val="-2"/>
        </w:rPr>
        <w:t>。</w:t>
      </w:r>
      <w:r>
        <w:rPr>
          <w:rFonts w:ascii="Times New Roman" w:eastAsia="Times New Roman"/>
          <w:spacing w:val="-2"/>
        </w:rPr>
        <w:t>IP</w:t>
      </w:r>
      <w:r>
        <w:rPr>
          <w:rFonts w:ascii="Times New Roman" w:eastAsia="Times New Roman"/>
          <w:spacing w:val="-13"/>
        </w:rPr>
        <w:t> </w:t>
      </w:r>
      <w:r>
        <w:rPr>
          <w:spacing w:val="-6"/>
        </w:rPr>
        <w:t>末次给药将在第 </w:t>
      </w:r>
      <w:r>
        <w:rPr>
          <w:rFonts w:ascii="Times New Roman" w:eastAsia="Times New Roman"/>
          <w:spacing w:val="-2"/>
        </w:rPr>
        <w:t>48</w:t>
      </w:r>
      <w:r>
        <w:rPr>
          <w:rFonts w:ascii="Times New Roman" w:eastAsia="Times New Roman"/>
          <w:spacing w:val="-7"/>
        </w:rPr>
        <w:t> </w:t>
      </w:r>
      <w:r>
        <w:rPr>
          <w:spacing w:val="-2"/>
        </w:rPr>
        <w:t>周进行，治疗结束评估</w:t>
      </w:r>
      <w:r>
        <w:rPr>
          <w:spacing w:val="-10"/>
        </w:rPr>
        <w:t>将在第 </w:t>
      </w:r>
      <w:r>
        <w:rPr>
          <w:rFonts w:ascii="Times New Roman" w:eastAsia="Times New Roman"/>
        </w:rPr>
        <w:t>52</w:t>
      </w:r>
      <w:r>
        <w:rPr>
          <w:rFonts w:ascii="Times New Roman" w:eastAsia="Times New Roman"/>
          <w:spacing w:val="6"/>
        </w:rPr>
        <w:t> </w:t>
      </w:r>
      <w:r>
        <w:rPr>
          <w:spacing w:val="-4"/>
        </w:rPr>
        <w:t>周进行。受试者将进入 </w:t>
      </w:r>
      <w:r>
        <w:rPr>
          <w:rFonts w:ascii="Times New Roman" w:eastAsia="Times New Roman"/>
        </w:rPr>
        <w:t>8</w:t>
      </w:r>
      <w:r>
        <w:rPr>
          <w:rFonts w:ascii="Times New Roman" w:eastAsia="Times New Roman"/>
          <w:spacing w:val="6"/>
        </w:rPr>
        <w:t> </w:t>
      </w:r>
      <w:r>
        <w:rPr>
          <w:spacing w:val="-4"/>
        </w:rPr>
        <w:t>周治疗后的随访期，在第 </w:t>
      </w:r>
      <w:r>
        <w:rPr>
          <w:rFonts w:ascii="Times New Roman" w:eastAsia="Times New Roman"/>
        </w:rPr>
        <w:t>60</w:t>
      </w:r>
      <w:r>
        <w:rPr>
          <w:rFonts w:ascii="Times New Roman" w:eastAsia="Times New Roman"/>
          <w:spacing w:val="6"/>
        </w:rPr>
        <w:t> </w:t>
      </w:r>
      <w:r>
        <w:rPr/>
        <w:t>周（</w:t>
      </w:r>
      <w:r>
        <w:rPr>
          <w:rFonts w:ascii="Times New Roman" w:eastAsia="Times New Roman"/>
        </w:rPr>
        <w:t>IP</w:t>
      </w:r>
      <w:r>
        <w:rPr>
          <w:rFonts w:ascii="Times New Roman" w:eastAsia="Times New Roman"/>
          <w:spacing w:val="5"/>
        </w:rPr>
        <w:t> </w:t>
      </w:r>
      <w:r>
        <w:rPr>
          <w:spacing w:val="-2"/>
        </w:rPr>
        <w:t>末次给药后</w:t>
      </w:r>
    </w:p>
    <w:p>
      <w:pPr>
        <w:pStyle w:val="BodyText"/>
        <w:spacing w:line="310" w:lineRule="exact"/>
        <w:jc w:val="both"/>
      </w:pPr>
      <w:r>
        <w:rPr>
          <w:rFonts w:ascii="Times New Roman" w:eastAsia="Times New Roman"/>
        </w:rPr>
        <w:t>12</w:t>
      </w:r>
      <w:r>
        <w:rPr>
          <w:rFonts w:ascii="Times New Roman" w:eastAsia="Times New Roman"/>
          <w:spacing w:val="-12"/>
        </w:rPr>
        <w:t> </w:t>
      </w:r>
      <w:r>
        <w:rPr/>
        <w:t>周）</w:t>
      </w:r>
      <w:r>
        <w:rPr>
          <w:spacing w:val="-2"/>
        </w:rPr>
        <w:t>进行最终随访访视。</w:t>
      </w:r>
    </w:p>
    <w:p>
      <w:pPr>
        <w:pStyle w:val="BodyText"/>
        <w:spacing w:before="286"/>
        <w:jc w:val="both"/>
      </w:pPr>
      <w:r>
        <w:rPr>
          <w:rFonts w:ascii="Times New Roman" w:eastAsia="Times New Roman"/>
          <w:u w:val="single"/>
        </w:rPr>
        <w:t>CSP</w:t>
      </w:r>
      <w:r>
        <w:rPr>
          <w:rFonts w:ascii="Times New Roman" w:eastAsia="Times New Roman"/>
          <w:spacing w:val="-15"/>
          <w:u w:val="single"/>
        </w:rPr>
        <w:t> </w:t>
      </w:r>
      <w:r>
        <w:rPr>
          <w:spacing w:val="-30"/>
          <w:u w:val="single"/>
        </w:rPr>
        <w:t>第 </w:t>
      </w:r>
      <w:r>
        <w:rPr>
          <w:rFonts w:ascii="Times New Roman" w:eastAsia="Times New Roman"/>
          <w:u w:val="single"/>
        </w:rPr>
        <w:t>2.0</w:t>
      </w:r>
      <w:r>
        <w:rPr>
          <w:rFonts w:ascii="Times New Roman" w:eastAsia="Times New Roman"/>
          <w:spacing w:val="-11"/>
          <w:u w:val="single"/>
        </w:rPr>
        <w:t> </w:t>
      </w:r>
      <w:r>
        <w:rPr>
          <w:spacing w:val="-12"/>
          <w:u w:val="single"/>
        </w:rPr>
        <w:t>版</w:t>
      </w:r>
    </w:p>
    <w:p>
      <w:pPr>
        <w:pStyle w:val="BodyText"/>
        <w:spacing w:line="276" w:lineRule="auto" w:before="120"/>
        <w:ind w:right="356" w:firstLine="480"/>
        <w:jc w:val="both"/>
      </w:pPr>
      <w:r>
        <w:rPr/>
        <w:t>对于既往在前身研究中随机分配至安慰剂组的受试者，将以 </w:t>
      </w:r>
      <w:r>
        <w:rPr>
          <w:rFonts w:ascii="Times New Roman" w:eastAsia="Times New Roman"/>
        </w:rPr>
        <w:t>1:1 </w:t>
      </w:r>
      <w:r>
        <w:rPr/>
        <w:t>的比例重新进</w:t>
      </w:r>
      <w:r>
        <w:rPr>
          <w:spacing w:val="4"/>
        </w:rPr>
        <w:t>行随机分配，在</w:t>
      </w:r>
      <w:r>
        <w:rPr>
          <w:rFonts w:ascii="Times New Roman" w:eastAsia="Times New Roman"/>
        </w:rPr>
        <w:t>PROSPERO</w:t>
      </w:r>
      <w:r>
        <w:rPr>
          <w:rFonts w:ascii="Times New Roman" w:eastAsia="Times New Roman"/>
          <w:spacing w:val="-15"/>
        </w:rPr>
        <w:t> </w:t>
      </w:r>
      <w:r>
        <w:rPr>
          <w:spacing w:val="8"/>
        </w:rPr>
        <w:t>研究中的</w:t>
      </w:r>
      <w:r>
        <w:rPr>
          <w:rFonts w:ascii="Times New Roman" w:eastAsia="Times New Roman"/>
        </w:rPr>
        <w:t>SoC</w:t>
      </w:r>
      <w:r>
        <w:rPr>
          <w:rFonts w:ascii="Times New Roman" w:eastAsia="Times New Roman"/>
          <w:spacing w:val="-15"/>
        </w:rPr>
        <w:t> </w:t>
      </w:r>
      <w:r>
        <w:rPr>
          <w:spacing w:val="-5"/>
        </w:rPr>
        <w:t>基础上接受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rFonts w:ascii="Times New Roman" w:eastAsia="Times New Roman"/>
        </w:rPr>
        <w:t>Q4W</w:t>
      </w:r>
      <w:r>
        <w:rPr>
          <w:rFonts w:ascii="Times New Roman" w:eastAsia="Times New Roman"/>
          <w:spacing w:val="-15"/>
        </w:rPr>
        <w:t> </w:t>
      </w:r>
      <w:r>
        <w:rPr/>
        <w:t>或安</w:t>
      </w:r>
      <w:r>
        <w:rPr>
          <w:spacing w:val="-2"/>
        </w:rPr>
        <w:t>慰剂治疗。既往在前身研究中随机接受 </w:t>
      </w:r>
      <w:r>
        <w:rPr>
          <w:rFonts w:ascii="Times New Roman" w:eastAsia="Times New Roman"/>
        </w:rPr>
        <w:t>tozorakimab</w:t>
      </w:r>
      <w:r>
        <w:rPr>
          <w:rFonts w:ascii="Times New Roman" w:eastAsia="Times New Roman"/>
          <w:spacing w:val="-12"/>
        </w:rPr>
        <w:t> </w:t>
      </w:r>
      <w:r>
        <w:rPr>
          <w:rFonts w:ascii="Times New Roman" w:eastAsia="Times New Roman"/>
        </w:rPr>
        <w:t>300</w:t>
      </w:r>
      <w:r>
        <w:rPr>
          <w:rFonts w:ascii="Times New Roman" w:eastAsia="Times New Roman"/>
          <w:spacing w:val="20"/>
        </w:rPr>
        <w:t> </w:t>
      </w:r>
      <w:r>
        <w:rPr>
          <w:rFonts w:ascii="Times New Roman" w:eastAsia="Times New Roman"/>
        </w:rPr>
        <w:t>mg</w:t>
      </w:r>
      <w:r>
        <w:rPr>
          <w:rFonts w:ascii="Times New Roman" w:eastAsia="Times New Roman"/>
          <w:spacing w:val="22"/>
        </w:rPr>
        <w:t> </w:t>
      </w:r>
      <w:r>
        <w:rPr>
          <w:rFonts w:ascii="Times New Roman" w:eastAsia="Times New Roman"/>
        </w:rPr>
        <w:t>Q4W</w:t>
      </w:r>
      <w:r>
        <w:rPr>
          <w:rFonts w:ascii="Times New Roman" w:eastAsia="Times New Roman"/>
          <w:spacing w:val="-15"/>
        </w:rPr>
        <w:t> </w:t>
      </w:r>
      <w:r>
        <w:rPr/>
        <w:t>的受试者将继续接</w:t>
      </w:r>
      <w:r>
        <w:rPr>
          <w:spacing w:val="-15"/>
        </w:rPr>
        <w:t>受 </w:t>
      </w:r>
      <w:r>
        <w:rPr>
          <w:rFonts w:ascii="Times New Roman" w:eastAsia="Times New Roman"/>
        </w:rPr>
        <w:t>tozorakimab</w:t>
      </w:r>
      <w:r>
        <w:rPr>
          <w:rFonts w:ascii="Times New Roman" w:eastAsia="Times New Roman"/>
          <w:spacing w:val="-2"/>
        </w:rPr>
        <w:t> </w:t>
      </w:r>
      <w:r>
        <w:rPr>
          <w:rFonts w:ascii="Times New Roman" w:eastAsia="Times New Roman"/>
        </w:rPr>
        <w:t>300</w:t>
      </w:r>
      <w:r>
        <w:rPr>
          <w:rFonts w:ascii="Times New Roman" w:eastAsia="Times New Roman"/>
          <w:spacing w:val="25"/>
        </w:rPr>
        <w:t> </w:t>
      </w:r>
      <w:r>
        <w:rPr>
          <w:rFonts w:ascii="Times New Roman" w:eastAsia="Times New Roman"/>
        </w:rPr>
        <w:t>mg Q4W </w:t>
      </w:r>
      <w:r>
        <w:rPr>
          <w:spacing w:val="-2"/>
        </w:rPr>
        <w:t>治疗。既往在前身研究中随机接受 </w:t>
      </w:r>
      <w:r>
        <w:rPr>
          <w:rFonts w:ascii="Times New Roman" w:eastAsia="Times New Roman"/>
        </w:rPr>
        <w:t>tozorakimab</w:t>
      </w:r>
      <w:r>
        <w:rPr>
          <w:rFonts w:ascii="Times New Roman" w:eastAsia="Times New Roman"/>
          <w:spacing w:val="25"/>
        </w:rPr>
        <w:t> </w:t>
      </w:r>
      <w:r>
        <w:rPr>
          <w:rFonts w:ascii="Times New Roman" w:eastAsia="Times New Roman"/>
        </w:rPr>
        <w:t>300 mg </w:t>
      </w:r>
      <w:r>
        <w:rPr>
          <w:rFonts w:ascii="Times New Roman" w:eastAsia="Times New Roman"/>
          <w:spacing w:val="-2"/>
        </w:rPr>
        <w:t>Q8W</w:t>
      </w:r>
      <w:r>
        <w:rPr>
          <w:rFonts w:ascii="Times New Roman" w:eastAsia="Times New Roman"/>
          <w:spacing w:val="-13"/>
        </w:rPr>
        <w:t> </w:t>
      </w:r>
      <w:r>
        <w:rPr>
          <w:spacing w:val="-2"/>
        </w:rPr>
        <w:t>的受试者在进入</w:t>
      </w:r>
      <w:r>
        <w:rPr>
          <w:rFonts w:ascii="Times New Roman" w:eastAsia="Times New Roman"/>
          <w:spacing w:val="-2"/>
        </w:rPr>
        <w:t>PROSPERO</w:t>
      </w:r>
      <w:r>
        <w:rPr>
          <w:rFonts w:ascii="Times New Roman" w:eastAsia="Times New Roman"/>
          <w:spacing w:val="-13"/>
        </w:rPr>
        <w:t> </w:t>
      </w:r>
      <w:r>
        <w:rPr>
          <w:spacing w:val="-7"/>
        </w:rPr>
        <w:t>时将转换为 </w:t>
      </w:r>
      <w:r>
        <w:rPr>
          <w:rFonts w:ascii="Times New Roman" w:eastAsia="Times New Roman"/>
          <w:spacing w:val="-2"/>
        </w:rPr>
        <w:t>tozorakimab</w:t>
      </w:r>
      <w:r>
        <w:rPr>
          <w:rFonts w:ascii="Times New Roman" w:eastAsia="Times New Roman"/>
          <w:spacing w:val="-13"/>
        </w:rPr>
        <w:t> </w:t>
      </w:r>
      <w:r>
        <w:rPr>
          <w:rFonts w:ascii="Times New Roman" w:eastAsia="Times New Roman"/>
          <w:spacing w:val="-2"/>
        </w:rPr>
        <w:t>300</w:t>
      </w:r>
      <w:r>
        <w:rPr>
          <w:rFonts w:ascii="Times New Roman" w:eastAsia="Times New Roman"/>
          <w:spacing w:val="-5"/>
        </w:rPr>
        <w:t> </w:t>
      </w:r>
      <w:r>
        <w:rPr>
          <w:rFonts w:ascii="Times New Roman" w:eastAsia="Times New Roman"/>
          <w:spacing w:val="-2"/>
        </w:rPr>
        <w:t>mg</w:t>
      </w:r>
      <w:r>
        <w:rPr>
          <w:rFonts w:ascii="Times New Roman" w:eastAsia="Times New Roman"/>
          <w:spacing w:val="4"/>
        </w:rPr>
        <w:t> </w:t>
      </w:r>
      <w:r>
        <w:rPr>
          <w:rFonts w:ascii="Times New Roman" w:eastAsia="Times New Roman"/>
          <w:spacing w:val="-2"/>
        </w:rPr>
        <w:t>Q4W</w:t>
      </w:r>
      <w:r>
        <w:rPr>
          <w:spacing w:val="-8"/>
        </w:rPr>
        <w:t>。已根据 </w:t>
      </w:r>
      <w:r>
        <w:rPr>
          <w:rFonts w:ascii="Times New Roman" w:eastAsia="Times New Roman"/>
          <w:spacing w:val="-2"/>
        </w:rPr>
        <w:t>CSP</w:t>
      </w:r>
      <w:r>
        <w:rPr>
          <w:spacing w:val="17"/>
        </w:rPr>
        <w:t>第</w:t>
      </w:r>
      <w:r>
        <w:rPr>
          <w:rFonts w:ascii="Times New Roman" w:eastAsia="Times New Roman"/>
        </w:rPr>
        <w:t>1.0</w:t>
      </w:r>
      <w:r>
        <w:rPr>
          <w:rFonts w:ascii="Times New Roman" w:eastAsia="Times New Roman"/>
          <w:spacing w:val="-15"/>
        </w:rPr>
        <w:t> </w:t>
      </w:r>
      <w:r>
        <w:rPr/>
        <w:t>版进行随机化的受试者可在本修订案发布后继续相同治疗方案完成研究，治疗</w:t>
      </w:r>
      <w:r>
        <w:rPr>
          <w:spacing w:val="-8"/>
        </w:rPr>
        <w:t>期为 </w:t>
      </w:r>
      <w:r>
        <w:rPr>
          <w:rFonts w:ascii="Times New Roman" w:eastAsia="Times New Roman"/>
        </w:rPr>
        <w:t>52 </w:t>
      </w:r>
      <w:r>
        <w:rPr/>
        <w:t>周。</w:t>
      </w:r>
    </w:p>
    <w:p>
      <w:pPr>
        <w:pStyle w:val="BodyText"/>
        <w:spacing w:line="276" w:lineRule="auto" w:before="234"/>
        <w:ind w:right="357" w:firstLine="480"/>
        <w:jc w:val="both"/>
      </w:pPr>
      <w:r>
        <w:rPr/>
        <w:t>本研究包括入选访视（</w:t>
      </w:r>
      <w:r>
        <w:rPr>
          <w:spacing w:val="1"/>
        </w:rPr>
        <w:t>最好与前身研究访视</w:t>
      </w:r>
      <w:r>
        <w:rPr>
          <w:rFonts w:ascii="Times New Roman" w:eastAsia="Times New Roman"/>
        </w:rPr>
        <w:t>15</w:t>
      </w:r>
      <w:r>
        <w:rPr>
          <w:rFonts w:ascii="Times New Roman" w:eastAsia="Times New Roman"/>
          <w:spacing w:val="-15"/>
        </w:rPr>
        <w:t> </w:t>
      </w:r>
      <w:r>
        <w:rPr/>
        <w:t>在同一天进行）</w:t>
      </w:r>
      <w:r>
        <w:rPr>
          <w:spacing w:val="15"/>
        </w:rPr>
        <w:t>和</w:t>
      </w:r>
      <w:r>
        <w:rPr>
          <w:rFonts w:ascii="Times New Roman" w:eastAsia="Times New Roman"/>
        </w:rPr>
        <w:t>28</w:t>
      </w:r>
      <w:r>
        <w:rPr>
          <w:rFonts w:ascii="Times New Roman" w:eastAsia="Times New Roman"/>
          <w:spacing w:val="-15"/>
        </w:rPr>
        <w:t> </w:t>
      </w:r>
      <w:r>
        <w:rPr/>
        <w:t>周治疗期，</w:t>
      </w:r>
      <w:r>
        <w:rPr>
          <w:spacing w:val="-3"/>
        </w:rPr>
        <w:t>在此期间受试者接受 </w:t>
      </w:r>
      <w:r>
        <w:rPr>
          <w:rFonts w:ascii="Times New Roman" w:eastAsia="Times New Roman"/>
        </w:rPr>
        <w:t>IP</w:t>
      </w:r>
      <w:r>
        <w:rPr>
          <w:rFonts w:ascii="Times New Roman" w:eastAsia="Times New Roman"/>
          <w:spacing w:val="-15"/>
        </w:rPr>
        <w:t> </w:t>
      </w:r>
      <w:r>
        <w:rPr>
          <w:rFonts w:ascii="Times New Roman" w:eastAsia="Times New Roman"/>
        </w:rPr>
        <w:t>Q4W</w:t>
      </w:r>
      <w:r>
        <w:rPr>
          <w:rFonts w:ascii="Times New Roman" w:eastAsia="Times New Roman"/>
          <w:spacing w:val="-15"/>
        </w:rPr>
        <w:t> </w:t>
      </w:r>
      <w:r>
        <w:rPr>
          <w:spacing w:val="-5"/>
        </w:rPr>
        <w:t>给药。将在第 </w:t>
      </w:r>
      <w:r>
        <w:rPr>
          <w:rFonts w:ascii="Times New Roman" w:eastAsia="Times New Roman"/>
        </w:rPr>
        <w:t>24</w:t>
      </w:r>
      <w:r>
        <w:rPr>
          <w:rFonts w:ascii="Times New Roman" w:eastAsia="Times New Roman"/>
          <w:spacing w:val="-15"/>
        </w:rPr>
        <w:t> </w:t>
      </w:r>
      <w:r>
        <w:rPr>
          <w:spacing w:val="-8"/>
        </w:rPr>
        <w:t>周进行 </w:t>
      </w:r>
      <w:r>
        <w:rPr>
          <w:rFonts w:ascii="Times New Roman" w:eastAsia="Times New Roman"/>
        </w:rPr>
        <w:t>IP</w:t>
      </w:r>
      <w:r>
        <w:rPr>
          <w:rFonts w:ascii="Times New Roman" w:eastAsia="Times New Roman"/>
          <w:spacing w:val="-15"/>
        </w:rPr>
        <w:t> </w:t>
      </w:r>
      <w:r>
        <w:rPr>
          <w:spacing w:val="-4"/>
        </w:rPr>
        <w:t>末次给药，在第 </w:t>
      </w:r>
      <w:r>
        <w:rPr>
          <w:rFonts w:ascii="Times New Roman" w:eastAsia="Times New Roman"/>
        </w:rPr>
        <w:t>28</w:t>
      </w:r>
      <w:r>
        <w:rPr>
          <w:rFonts w:ascii="Times New Roman" w:eastAsia="Times New Roman"/>
          <w:spacing w:val="-15"/>
        </w:rPr>
        <w:t> </w:t>
      </w:r>
      <w:r>
        <w:rPr/>
        <w:t>周进行</w:t>
      </w:r>
      <w:r>
        <w:rPr>
          <w:spacing w:val="-8"/>
        </w:rPr>
        <w:t>治疗结束评估。受试者将进入 </w:t>
      </w:r>
      <w:r>
        <w:rPr>
          <w:rFonts w:ascii="Times New Roman" w:eastAsia="Times New Roman"/>
          <w:spacing w:val="-6"/>
        </w:rPr>
        <w:t>8</w:t>
      </w:r>
      <w:r>
        <w:rPr>
          <w:rFonts w:ascii="Times New Roman" w:eastAsia="Times New Roman"/>
          <w:spacing w:val="-9"/>
        </w:rPr>
        <w:t> </w:t>
      </w:r>
      <w:r>
        <w:rPr>
          <w:spacing w:val="-8"/>
        </w:rPr>
        <w:t>周治疗后随访期，在第 </w:t>
      </w:r>
      <w:r>
        <w:rPr>
          <w:rFonts w:ascii="Times New Roman" w:eastAsia="Times New Roman"/>
          <w:spacing w:val="-6"/>
        </w:rPr>
        <w:t>36</w:t>
      </w:r>
      <w:r>
        <w:rPr>
          <w:rFonts w:ascii="Times New Roman" w:eastAsia="Times New Roman"/>
          <w:spacing w:val="-9"/>
        </w:rPr>
        <w:t> </w:t>
      </w:r>
      <w:r>
        <w:rPr>
          <w:spacing w:val="-6"/>
        </w:rPr>
        <w:t>周（</w:t>
      </w:r>
      <w:r>
        <w:rPr>
          <w:rFonts w:ascii="Times New Roman" w:eastAsia="Times New Roman"/>
          <w:spacing w:val="-6"/>
        </w:rPr>
        <w:t>IP</w:t>
      </w:r>
      <w:r>
        <w:rPr>
          <w:rFonts w:ascii="Times New Roman" w:eastAsia="Times New Roman"/>
          <w:spacing w:val="-9"/>
        </w:rPr>
        <w:t> </w:t>
      </w:r>
      <w:r>
        <w:rPr>
          <w:spacing w:val="-9"/>
        </w:rPr>
        <w:t>末次给药后 </w:t>
      </w:r>
      <w:r>
        <w:rPr>
          <w:rFonts w:ascii="Times New Roman" w:eastAsia="Times New Roman"/>
          <w:spacing w:val="-6"/>
        </w:rPr>
        <w:t>12</w:t>
      </w:r>
      <w:r>
        <w:rPr>
          <w:rFonts w:ascii="Times New Roman" w:eastAsia="Times New Roman"/>
          <w:spacing w:val="-9"/>
        </w:rPr>
        <w:t> </w:t>
      </w:r>
      <w:r>
        <w:rPr>
          <w:spacing w:val="-6"/>
        </w:rPr>
        <w:t>周）</w:t>
      </w:r>
      <w:r>
        <w:rPr>
          <w:spacing w:val="-2"/>
        </w:rPr>
        <w:t>进行最终随访访视。</w:t>
      </w:r>
    </w:p>
    <w:p>
      <w:pPr>
        <w:pStyle w:val="BodyText"/>
        <w:spacing w:line="276" w:lineRule="auto" w:before="236"/>
        <w:ind w:right="363" w:firstLine="480"/>
      </w:pPr>
      <w:r>
        <w:rPr>
          <w:spacing w:val="-2"/>
        </w:rPr>
        <w:t>纳入安慰剂队列是为了提供对照组，以便能够对长期有效性进行持续比较，特别是对重度急性加重率进行比较，同时在安全性评估中作为对照。</w:t>
      </w:r>
    </w:p>
    <w:p>
      <w:pPr>
        <w:pStyle w:val="BodyText"/>
        <w:spacing w:before="238"/>
        <w:ind w:left="701"/>
      </w:pPr>
      <w:r>
        <w:rPr>
          <w:spacing w:val="-4"/>
        </w:rPr>
        <w:t>申办者保留根据整体开发项目扩展或提前终止 </w:t>
      </w:r>
      <w:r>
        <w:rPr>
          <w:rFonts w:ascii="Times New Roman" w:eastAsia="Times New Roman"/>
          <w:spacing w:val="-2"/>
        </w:rPr>
        <w:t>PROSPERO</w:t>
      </w:r>
      <w:r>
        <w:rPr>
          <w:rFonts w:ascii="Times New Roman" w:eastAsia="Times New Roman"/>
          <w:spacing w:val="15"/>
        </w:rPr>
        <w:t> </w:t>
      </w:r>
      <w:r>
        <w:rPr>
          <w:spacing w:val="-4"/>
        </w:rPr>
        <w:t>研究的权利。</w:t>
      </w:r>
    </w:p>
    <w:p>
      <w:pPr>
        <w:pStyle w:val="BodyText"/>
        <w:spacing w:line="276" w:lineRule="auto" w:before="287"/>
        <w:ind w:right="117" w:firstLine="480"/>
      </w:pPr>
      <w:r>
        <w:rPr>
          <w:spacing w:val="-2"/>
        </w:rPr>
        <w:t>一旦两项前身研究均揭盲并报告，即可进行本研究的主要报告，而无需等待所</w:t>
      </w:r>
      <w:r>
        <w:rPr>
          <w:spacing w:val="80"/>
          <w:w w:val="150"/>
        </w:rPr>
        <w:t> </w:t>
      </w:r>
      <w:r>
        <w:rPr>
          <w:spacing w:val="-4"/>
        </w:rPr>
        <w:t>有受试者完成本研究治疗。为确保研究 </w:t>
      </w:r>
      <w:r>
        <w:rPr>
          <w:rFonts w:ascii="Times New Roman" w:eastAsia="Times New Roman"/>
        </w:rPr>
        <w:t>PROSPERO</w:t>
      </w:r>
      <w:r>
        <w:rPr>
          <w:rFonts w:ascii="Times New Roman" w:eastAsia="Times New Roman"/>
          <w:spacing w:val="-15"/>
        </w:rPr>
        <w:t> </w:t>
      </w:r>
      <w:r>
        <w:rPr/>
        <w:t>与其前身研究在同一时间内报告，</w:t>
      </w:r>
      <w:r>
        <w:rPr>
          <w:spacing w:val="2"/>
        </w:rPr>
        <w:t>部分受试者可能无法完成完整的</w:t>
      </w:r>
      <w:r>
        <w:rPr>
          <w:rFonts w:ascii="Times New Roman" w:eastAsia="Times New Roman"/>
        </w:rPr>
        <w:t>28</w:t>
      </w:r>
      <w:r>
        <w:rPr>
          <w:rFonts w:ascii="Times New Roman" w:eastAsia="Times New Roman"/>
          <w:spacing w:val="-35"/>
        </w:rPr>
        <w:t> </w:t>
      </w:r>
      <w:r>
        <w:rPr>
          <w:spacing w:val="4"/>
        </w:rPr>
        <w:t>周治疗期。至</w:t>
      </w:r>
      <w:r>
        <w:rPr>
          <w:rFonts w:ascii="Times New Roman" w:eastAsia="Times New Roman"/>
        </w:rPr>
        <w:t>PROSPERO</w:t>
      </w:r>
      <w:r>
        <w:rPr>
          <w:rFonts w:ascii="Times New Roman" w:eastAsia="Times New Roman"/>
          <w:spacing w:val="-36"/>
        </w:rPr>
        <w:t> </w:t>
      </w:r>
      <w:r>
        <w:rPr/>
        <w:t>研究的主要报告时间，所</w:t>
      </w:r>
      <w:r>
        <w:rPr>
          <w:spacing w:val="-5"/>
        </w:rPr>
        <w:t>有受试者将中止 </w:t>
      </w:r>
      <w:r>
        <w:rPr>
          <w:rFonts w:ascii="Times New Roman" w:eastAsia="Times New Roman"/>
        </w:rPr>
        <w:t>IP</w:t>
      </w:r>
      <w:r>
        <w:rPr>
          <w:rFonts w:ascii="Times New Roman" w:eastAsia="Times New Roman"/>
          <w:spacing w:val="-15"/>
        </w:rPr>
        <w:t> </w:t>
      </w:r>
      <w:r>
        <w:rPr/>
        <w:t>给药。因此，部分受试者可能在完成全部治疗期之前结束研究。受</w:t>
      </w:r>
      <w:r>
        <w:rPr>
          <w:spacing w:val="-2"/>
        </w:rPr>
        <w:t>试者将在知情同意过程中获知这个情况。将要求未完成完整治疗期的受试者在其末次 </w:t>
      </w:r>
      <w:r>
        <w:rPr>
          <w:rFonts w:ascii="Times New Roman" w:eastAsia="Times New Roman"/>
        </w:rPr>
        <w:t>IP </w:t>
      </w:r>
      <w:r>
        <w:rPr>
          <w:spacing w:val="-6"/>
        </w:rPr>
        <w:t>给药后 </w:t>
      </w:r>
      <w:r>
        <w:rPr>
          <w:rFonts w:ascii="Times New Roman" w:eastAsia="Times New Roman"/>
        </w:rPr>
        <w:t>12 </w:t>
      </w:r>
      <w:r>
        <w:rPr>
          <w:spacing w:val="-4"/>
        </w:rPr>
        <w:t>周按计划参与 </w:t>
      </w:r>
      <w:r>
        <w:rPr>
          <w:rFonts w:ascii="Times New Roman" w:eastAsia="Times New Roman"/>
        </w:rPr>
        <w:t>E/D </w:t>
      </w:r>
      <w:r>
        <w:rPr/>
        <w:t>访视，以完成其研究参与。</w:t>
      </w:r>
    </w:p>
    <w:p>
      <w:pPr>
        <w:spacing w:after="0" w:line="276" w:lineRule="auto"/>
        <w:sectPr>
          <w:pgSz w:w="11910" w:h="16840"/>
          <w:pgMar w:header="590" w:footer="784" w:top="1340" w:bottom="980" w:left="1480" w:right="1080"/>
        </w:sectPr>
      </w:pPr>
    </w:p>
    <w:p>
      <w:pPr>
        <w:pStyle w:val="BodyText"/>
        <w:spacing w:line="276" w:lineRule="auto" w:before="88"/>
        <w:ind w:right="356" w:firstLine="480"/>
        <w:jc w:val="both"/>
      </w:pPr>
      <w:r>
        <w:rPr>
          <w:spacing w:val="-1"/>
        </w:rPr>
        <w:t>一旦前身研究揭盲，申办者将知晓受试者在这些研究中接受的活性 </w:t>
      </w:r>
      <w:r>
        <w:rPr>
          <w:rFonts w:ascii="Times New Roman" w:eastAsia="Times New Roman"/>
        </w:rPr>
        <w:t>tozorakimab</w:t>
      </w:r>
      <w:r>
        <w:rPr>
          <w:spacing w:val="-5"/>
        </w:rPr>
        <w:t>治疗。因此，在对 </w:t>
      </w:r>
      <w:r>
        <w:rPr>
          <w:rFonts w:ascii="Times New Roman" w:eastAsia="Times New Roman"/>
          <w:spacing w:val="-2"/>
        </w:rPr>
        <w:t>PROSPERO</w:t>
      </w:r>
      <w:r>
        <w:rPr>
          <w:rFonts w:ascii="Times New Roman" w:eastAsia="Times New Roman"/>
          <w:spacing w:val="4"/>
        </w:rPr>
        <w:t> </w:t>
      </w:r>
      <w:r>
        <w:rPr>
          <w:spacing w:val="-2"/>
        </w:rPr>
        <w:t>进行主要分析之前，与研究中心直接联系或与受试者</w:t>
      </w:r>
      <w:r>
        <w:rPr>
          <w:spacing w:val="-6"/>
        </w:rPr>
        <w:t>管理相关或记录 </w:t>
      </w:r>
      <w:r>
        <w:rPr>
          <w:rFonts w:ascii="Times New Roman" w:eastAsia="Times New Roman"/>
          <w:spacing w:val="-2"/>
        </w:rPr>
        <w:t>PROSPERO</w:t>
      </w:r>
      <w:r>
        <w:rPr>
          <w:rFonts w:ascii="Times New Roman" w:eastAsia="Times New Roman"/>
          <w:spacing w:val="4"/>
        </w:rPr>
        <w:t> </w:t>
      </w:r>
      <w:r>
        <w:rPr>
          <w:spacing w:val="-2"/>
        </w:rPr>
        <w:t>终点的研究小组将保持盲态，并与参与前身研究报告的小组分开。在研究中心对受试者的研究操作和设盲情况将保持不变。</w:t>
      </w:r>
    </w:p>
    <w:p>
      <w:pPr>
        <w:pStyle w:val="Heading3"/>
        <w:spacing w:before="236"/>
      </w:pPr>
      <w:r>
        <w:rPr>
          <w:spacing w:val="-5"/>
        </w:rPr>
        <w:t>独立数据监查委员会</w:t>
      </w:r>
    </w:p>
    <w:p>
      <w:pPr>
        <w:pStyle w:val="BodyText"/>
        <w:spacing w:line="276" w:lineRule="auto" w:before="120"/>
        <w:ind w:right="353" w:firstLine="480"/>
        <w:jc w:val="both"/>
      </w:pPr>
      <w:r>
        <w:rPr>
          <w:spacing w:val="-4"/>
        </w:rPr>
        <w:t>将设立 </w:t>
      </w:r>
      <w:r>
        <w:rPr>
          <w:rFonts w:ascii="Times New Roman" w:eastAsia="Times New Roman"/>
        </w:rPr>
        <w:t>IDMC </w:t>
      </w:r>
      <w:r>
        <w:rPr/>
        <w:t>以监督研究受试者的安全性，并根据可用数据就进一步研究实施</w:t>
      </w:r>
      <w:r>
        <w:rPr>
          <w:spacing w:val="-2"/>
        </w:rPr>
        <w:t>提出适当建议，包括定期审查安全性数据，在计划的中期分析时考虑因显著疗效而提前报告研究结果的可能性。委员会将按照 </w:t>
      </w:r>
      <w:r>
        <w:rPr>
          <w:rFonts w:ascii="Times New Roman" w:eastAsia="Times New Roman"/>
        </w:rPr>
        <w:t>IDMC </w:t>
      </w:r>
      <w:r>
        <w:rPr/>
        <w:t>章程开展工作。</w:t>
      </w:r>
    </w:p>
    <w:p>
      <w:pPr>
        <w:pStyle w:val="Heading3"/>
        <w:spacing w:before="237"/>
      </w:pPr>
      <w:r>
        <w:rPr>
          <w:spacing w:val="-4"/>
        </w:rPr>
        <w:t>裁定委员会</w:t>
      </w:r>
    </w:p>
    <w:p>
      <w:pPr>
        <w:pStyle w:val="BodyText"/>
        <w:spacing w:line="276" w:lineRule="auto" w:before="120"/>
        <w:ind w:right="356" w:firstLine="480"/>
      </w:pPr>
      <w:r>
        <w:rPr/>
        <w:t>独立裁定委员会将对心力衰竭事件（恶化和新发）、</w:t>
      </w:r>
      <w:r>
        <w:rPr>
          <w:rFonts w:ascii="Times New Roman" w:eastAsia="Times New Roman"/>
        </w:rPr>
        <w:t>MACE</w:t>
      </w:r>
      <w:r>
        <w:rPr>
          <w:rFonts w:ascii="Times New Roman" w:eastAsia="Times New Roman"/>
          <w:spacing w:val="40"/>
        </w:rPr>
        <w:t> </w:t>
      </w:r>
      <w:r>
        <w:rPr/>
        <w:t>和以死亡为结局的</w:t>
      </w:r>
      <w:r>
        <w:rPr>
          <w:spacing w:val="-8"/>
        </w:rPr>
        <w:t>所有 </w:t>
      </w:r>
      <w:r>
        <w:rPr>
          <w:rFonts w:ascii="Times New Roman" w:eastAsia="Times New Roman"/>
        </w:rPr>
        <w:t>AE </w:t>
      </w:r>
      <w:r>
        <w:rPr/>
        <w:t>进行独立的外部系统性无偏倚评估。</w:t>
      </w:r>
    </w:p>
    <w:p>
      <w:pPr>
        <w:pStyle w:val="Heading2"/>
        <w:numPr>
          <w:ilvl w:val="2"/>
          <w:numId w:val="3"/>
        </w:numPr>
        <w:tabs>
          <w:tab w:pos="1373" w:val="left" w:leader="none"/>
        </w:tabs>
        <w:spacing w:line="240" w:lineRule="auto" w:before="236" w:after="0"/>
        <w:ind w:left="1373" w:right="0" w:hanging="1152"/>
        <w:jc w:val="left"/>
      </w:pPr>
      <w:bookmarkStart w:name="4.1.1 入选" w:id="44"/>
      <w:bookmarkEnd w:id="44"/>
      <w:r>
        <w:rPr>
          <w:b w:val="0"/>
        </w:rPr>
      </w:r>
      <w:bookmarkStart w:name="_bookmark24" w:id="45"/>
      <w:bookmarkEnd w:id="45"/>
      <w:r>
        <w:rPr>
          <w:b w:val="0"/>
        </w:rPr>
      </w:r>
      <w:r>
        <w:rPr>
          <w:spacing w:val="-6"/>
        </w:rPr>
        <w:t>入选</w:t>
      </w:r>
    </w:p>
    <w:p>
      <w:pPr>
        <w:pStyle w:val="BodyText"/>
        <w:spacing w:line="276" w:lineRule="auto" w:before="121"/>
        <w:ind w:right="357" w:firstLine="480"/>
        <w:jc w:val="both"/>
      </w:pPr>
      <w:r>
        <w:rPr>
          <w:rFonts w:ascii="Times New Roman" w:eastAsia="Times New Roman"/>
          <w:spacing w:val="-6"/>
        </w:rPr>
        <w:t>PROSPERO</w:t>
      </w:r>
      <w:r>
        <w:rPr>
          <w:rFonts w:ascii="Times New Roman" w:eastAsia="Times New Roman"/>
          <w:spacing w:val="-9"/>
        </w:rPr>
        <w:t> </w:t>
      </w:r>
      <w:r>
        <w:rPr>
          <w:spacing w:val="-11"/>
        </w:rPr>
        <w:t>的访视 </w:t>
      </w:r>
      <w:r>
        <w:rPr>
          <w:rFonts w:ascii="Times New Roman" w:eastAsia="Times New Roman"/>
          <w:spacing w:val="-6"/>
        </w:rPr>
        <w:t>1</w:t>
      </w:r>
      <w:r>
        <w:rPr>
          <w:rFonts w:ascii="Times New Roman" w:eastAsia="Times New Roman"/>
          <w:spacing w:val="-9"/>
        </w:rPr>
        <w:t> </w:t>
      </w:r>
      <w:r>
        <w:rPr>
          <w:spacing w:val="-6"/>
        </w:rPr>
        <w:t>将与前身研究治疗期的末次计划访视（</w:t>
      </w:r>
      <w:r>
        <w:rPr>
          <w:spacing w:val="-12"/>
        </w:rPr>
        <w:t>访视 </w:t>
      </w:r>
      <w:r>
        <w:rPr>
          <w:rFonts w:ascii="Times New Roman" w:eastAsia="Times New Roman"/>
          <w:spacing w:val="-6"/>
        </w:rPr>
        <w:t>15</w:t>
      </w:r>
      <w:r>
        <w:rPr>
          <w:spacing w:val="-12"/>
        </w:rPr>
        <w:t>，第 </w:t>
      </w:r>
      <w:r>
        <w:rPr>
          <w:rFonts w:ascii="Times New Roman" w:eastAsia="Times New Roman"/>
          <w:spacing w:val="-6"/>
        </w:rPr>
        <w:t>52</w:t>
      </w:r>
      <w:r>
        <w:rPr>
          <w:rFonts w:ascii="Times New Roman" w:eastAsia="Times New Roman"/>
          <w:spacing w:val="-9"/>
        </w:rPr>
        <w:t> </w:t>
      </w:r>
      <w:r>
        <w:rPr>
          <w:spacing w:val="-6"/>
        </w:rPr>
        <w:t>周）</w:t>
      </w:r>
      <w:r>
        <w:rPr>
          <w:spacing w:val="3"/>
        </w:rPr>
        <w:t>在同一天进行。如果不可行，则</w:t>
      </w:r>
      <w:r>
        <w:rPr>
          <w:rFonts w:ascii="Times New Roman" w:eastAsia="Times New Roman"/>
        </w:rPr>
        <w:t>PROSPERO</w:t>
      </w:r>
      <w:r>
        <w:rPr>
          <w:rFonts w:ascii="Times New Roman" w:eastAsia="Times New Roman"/>
          <w:spacing w:val="-22"/>
        </w:rPr>
        <w:t> </w:t>
      </w:r>
      <w:r>
        <w:rPr>
          <w:spacing w:val="-18"/>
        </w:rPr>
        <w:t>的访视 </w:t>
      </w:r>
      <w:r>
        <w:rPr>
          <w:rFonts w:ascii="Times New Roman" w:eastAsia="Times New Roman"/>
        </w:rPr>
        <w:t>1</w:t>
      </w:r>
      <w:r>
        <w:rPr>
          <w:rFonts w:ascii="Times New Roman" w:eastAsia="Times New Roman"/>
          <w:spacing w:val="-22"/>
        </w:rPr>
        <w:t> </w:t>
      </w:r>
      <w:r>
        <w:rPr>
          <w:spacing w:val="5"/>
        </w:rPr>
        <w:t>可在前身研究的末次</w:t>
      </w:r>
      <w:r>
        <w:rPr>
          <w:rFonts w:ascii="Times New Roman" w:eastAsia="Times New Roman"/>
        </w:rPr>
        <w:t>IP</w:t>
      </w:r>
      <w:r>
        <w:rPr>
          <w:rFonts w:ascii="Times New Roman" w:eastAsia="Times New Roman"/>
          <w:spacing w:val="-22"/>
        </w:rPr>
        <w:t> </w:t>
      </w:r>
      <w:r>
        <w:rPr>
          <w:spacing w:val="-4"/>
        </w:rPr>
        <w:t>给药后</w:t>
      </w:r>
    </w:p>
    <w:p>
      <w:pPr>
        <w:pStyle w:val="BodyText"/>
        <w:spacing w:line="276" w:lineRule="auto"/>
        <w:ind w:right="357" w:hanging="120"/>
        <w:jc w:val="both"/>
      </w:pPr>
      <w:r>
        <w:rPr>
          <w:spacing w:val="-4"/>
        </w:rPr>
        <w:t>（</w:t>
      </w:r>
      <w:r>
        <w:rPr>
          <w:spacing w:val="-12"/>
        </w:rPr>
        <w:t>访视 </w:t>
      </w:r>
      <w:r>
        <w:rPr>
          <w:rFonts w:ascii="Times New Roman" w:eastAsia="Times New Roman"/>
          <w:spacing w:val="-4"/>
        </w:rPr>
        <w:t>14</w:t>
      </w:r>
      <w:r>
        <w:rPr>
          <w:rFonts w:ascii="Times New Roman" w:eastAsia="Times New Roman"/>
          <w:spacing w:val="-8"/>
        </w:rPr>
        <w:t> [</w:t>
      </w:r>
      <w:r>
        <w:rPr>
          <w:spacing w:val="-15"/>
        </w:rPr>
        <w:t>第 </w:t>
      </w:r>
      <w:r>
        <w:rPr>
          <w:rFonts w:ascii="Times New Roman" w:eastAsia="Times New Roman"/>
          <w:spacing w:val="-4"/>
        </w:rPr>
        <w:t>48</w:t>
      </w:r>
      <w:r>
        <w:rPr>
          <w:rFonts w:ascii="Times New Roman" w:eastAsia="Times New Roman"/>
          <w:spacing w:val="-6"/>
        </w:rPr>
        <w:t> </w:t>
      </w:r>
      <w:r>
        <w:rPr>
          <w:spacing w:val="-4"/>
        </w:rPr>
        <w:t>周</w:t>
      </w:r>
      <w:r>
        <w:rPr>
          <w:rFonts w:ascii="Times New Roman" w:eastAsia="Times New Roman"/>
          <w:spacing w:val="-4"/>
        </w:rPr>
        <w:t>]</w:t>
      </w:r>
      <w:r>
        <w:rPr>
          <w:spacing w:val="-4"/>
        </w:rPr>
        <w:t>）</w:t>
      </w:r>
      <w:r>
        <w:rPr>
          <w:spacing w:val="-12"/>
        </w:rPr>
        <w:t>最长 </w:t>
      </w:r>
      <w:r>
        <w:rPr>
          <w:rFonts w:ascii="Times New Roman" w:eastAsia="Times New Roman"/>
          <w:spacing w:val="-4"/>
        </w:rPr>
        <w:t>12</w:t>
      </w:r>
      <w:r>
        <w:rPr>
          <w:rFonts w:ascii="Times New Roman" w:eastAsia="Times New Roman"/>
          <w:spacing w:val="6"/>
        </w:rPr>
        <w:t> </w:t>
      </w:r>
      <w:r>
        <w:rPr>
          <w:spacing w:val="-4"/>
        </w:rPr>
        <w:t>周内进行，前提是受试者在此期间继续进行前身研究的</w:t>
      </w:r>
      <w:r>
        <w:rPr/>
        <w:t>随访。在这些情况下，应联系申办者医学监查员。在任何情况下，</w:t>
      </w:r>
      <w:r>
        <w:rPr>
          <w:rFonts w:ascii="Times New Roman" w:eastAsia="Times New Roman"/>
        </w:rPr>
        <w:t>PROSPERO </w:t>
      </w:r>
      <w:r>
        <w:rPr/>
        <w:t>的访</w:t>
      </w:r>
      <w:r>
        <w:rPr>
          <w:spacing w:val="-13"/>
        </w:rPr>
        <w:t>视 </w:t>
      </w:r>
      <w:r>
        <w:rPr>
          <w:rFonts w:ascii="Times New Roman" w:eastAsia="Times New Roman"/>
        </w:rPr>
        <w:t>1 </w:t>
      </w:r>
      <w:r>
        <w:rPr>
          <w:spacing w:val="-2"/>
        </w:rPr>
        <w:t>均不会晚于前身研究的访视 </w:t>
      </w:r>
      <w:r>
        <w:rPr>
          <w:rFonts w:ascii="Times New Roman" w:eastAsia="Times New Roman"/>
        </w:rPr>
        <w:t>16</w:t>
      </w:r>
      <w:r>
        <w:rPr/>
        <w:t>（</w:t>
      </w:r>
      <w:r>
        <w:rPr>
          <w:spacing w:val="-13"/>
        </w:rPr>
        <w:t>第 </w:t>
      </w:r>
      <w:r>
        <w:rPr>
          <w:rFonts w:ascii="Times New Roman" w:eastAsia="Times New Roman"/>
        </w:rPr>
        <w:t>60 </w:t>
      </w:r>
      <w:r>
        <w:rPr/>
        <w:t>周）。</w:t>
      </w:r>
    </w:p>
    <w:p>
      <w:pPr>
        <w:pStyle w:val="BodyText"/>
        <w:spacing w:line="276" w:lineRule="auto" w:before="236"/>
        <w:ind w:right="356" w:firstLine="480"/>
        <w:jc w:val="both"/>
      </w:pPr>
      <w:r>
        <w:rPr>
          <w:spacing w:val="-2"/>
        </w:rPr>
        <w:t>为了使受试者有时间考虑是否参加本研究，并将受试者在前身研究与本研究转</w:t>
      </w:r>
      <w:r>
        <w:rPr>
          <w:spacing w:val="-5"/>
        </w:rPr>
        <w:t>换期间发生给药方案中断的风险降至最低，可在前身研究的第 </w:t>
      </w:r>
      <w:r>
        <w:rPr>
          <w:rFonts w:ascii="Times New Roman" w:eastAsia="Times New Roman"/>
          <w:spacing w:val="-4"/>
        </w:rPr>
        <w:t>48 </w:t>
      </w:r>
      <w:r>
        <w:rPr>
          <w:spacing w:val="-4"/>
        </w:rPr>
        <w:t>周（</w:t>
      </w:r>
      <w:r>
        <w:rPr>
          <w:spacing w:val="-12"/>
        </w:rPr>
        <w:t>访视 </w:t>
      </w:r>
      <w:r>
        <w:rPr>
          <w:rFonts w:ascii="Times New Roman" w:eastAsia="Times New Roman"/>
          <w:spacing w:val="-4"/>
        </w:rPr>
        <w:t>14</w:t>
      </w:r>
      <w:r>
        <w:rPr>
          <w:spacing w:val="-4"/>
        </w:rPr>
        <w:t>）向受</w:t>
      </w:r>
      <w:r>
        <w:rPr>
          <w:spacing w:val="-6"/>
        </w:rPr>
        <w:t>试者提供 </w:t>
      </w:r>
      <w:r>
        <w:rPr>
          <w:rFonts w:ascii="Times New Roman" w:eastAsia="Times New Roman"/>
        </w:rPr>
        <w:t>PROSPERO</w:t>
      </w:r>
      <w:r>
        <w:rPr>
          <w:rFonts w:ascii="Times New Roman" w:eastAsia="Times New Roman"/>
          <w:spacing w:val="9"/>
        </w:rPr>
        <w:t> </w:t>
      </w:r>
      <w:r>
        <w:rPr>
          <w:spacing w:val="-8"/>
        </w:rPr>
        <w:t>研究的 </w:t>
      </w:r>
      <w:r>
        <w:rPr>
          <w:rFonts w:ascii="Times New Roman" w:eastAsia="Times New Roman"/>
        </w:rPr>
        <w:t>ICF</w:t>
      </w:r>
      <w:r>
        <w:rPr>
          <w:spacing w:val="-6"/>
        </w:rPr>
        <w:t>，在进行 </w:t>
      </w:r>
      <w:r>
        <w:rPr>
          <w:rFonts w:ascii="Times New Roman" w:eastAsia="Times New Roman"/>
        </w:rPr>
        <w:t>PROSPERO</w:t>
      </w:r>
      <w:r>
        <w:rPr>
          <w:rFonts w:ascii="Times New Roman" w:eastAsia="Times New Roman"/>
          <w:spacing w:val="11"/>
        </w:rPr>
        <w:t> </w:t>
      </w:r>
      <w:r>
        <w:rPr/>
        <w:t>的任何研究特定程序之前要</w:t>
      </w:r>
      <w:r>
        <w:rPr>
          <w:spacing w:val="-4"/>
        </w:rPr>
        <w:t>求受试者完成 </w:t>
      </w:r>
      <w:r>
        <w:rPr>
          <w:rFonts w:ascii="Times New Roman" w:eastAsia="Times New Roman"/>
        </w:rPr>
        <w:t>ICF </w:t>
      </w:r>
      <w:r>
        <w:rPr/>
        <w:t>的签署。</w:t>
      </w:r>
    </w:p>
    <w:p>
      <w:pPr>
        <w:pStyle w:val="BodyText"/>
        <w:spacing w:line="276" w:lineRule="auto" w:before="237"/>
        <w:ind w:right="357" w:firstLine="480"/>
        <w:jc w:val="both"/>
      </w:pPr>
      <w:r>
        <w:rPr/>
        <w:t>应在开始 </w:t>
      </w:r>
      <w:r>
        <w:rPr>
          <w:rFonts w:ascii="Times New Roman" w:eastAsia="Times New Roman"/>
        </w:rPr>
        <w:t>PROSPERO</w:t>
      </w:r>
      <w:r>
        <w:rPr>
          <w:rFonts w:ascii="Times New Roman" w:eastAsia="Times New Roman"/>
          <w:spacing w:val="36"/>
        </w:rPr>
        <w:t> </w:t>
      </w:r>
      <w:r>
        <w:rPr/>
        <w:t>研究前完成前身研究的访视 </w:t>
      </w:r>
      <w:r>
        <w:rPr>
          <w:rFonts w:ascii="Times New Roman" w:eastAsia="Times New Roman"/>
        </w:rPr>
        <w:t>15</w:t>
      </w:r>
      <w:r>
        <w:rPr/>
        <w:t>（第 </w:t>
      </w:r>
      <w:r>
        <w:rPr>
          <w:rFonts w:ascii="Times New Roman" w:eastAsia="Times New Roman"/>
        </w:rPr>
        <w:t>52</w:t>
      </w:r>
      <w:r>
        <w:rPr>
          <w:rFonts w:ascii="Times New Roman" w:eastAsia="Times New Roman"/>
          <w:spacing w:val="36"/>
        </w:rPr>
        <w:t> </w:t>
      </w:r>
      <w:r>
        <w:rPr/>
        <w:t>周）程序。如果 </w:t>
      </w:r>
      <w:r>
        <w:rPr>
          <w:rFonts w:ascii="Times New Roman" w:eastAsia="Times New Roman"/>
        </w:rPr>
        <w:t>PROSPERO</w:t>
      </w:r>
      <w:r>
        <w:rPr>
          <w:rFonts w:ascii="Times New Roman" w:eastAsia="Times New Roman"/>
          <w:spacing w:val="-15"/>
        </w:rPr>
        <w:t> </w:t>
      </w:r>
      <w:r>
        <w:rPr>
          <w:spacing w:val="-8"/>
        </w:rPr>
        <w:t>的访视 </w:t>
      </w:r>
      <w:r>
        <w:rPr>
          <w:rFonts w:ascii="Times New Roman" w:eastAsia="Times New Roman"/>
        </w:rPr>
        <w:t>1</w:t>
      </w:r>
      <w:r>
        <w:rPr>
          <w:rFonts w:ascii="Times New Roman" w:eastAsia="Times New Roman"/>
          <w:spacing w:val="-3"/>
        </w:rPr>
        <w:t> </w:t>
      </w:r>
      <w:r>
        <w:rPr>
          <w:spacing w:val="-3"/>
        </w:rPr>
        <w:t>未与前身研究的访视 </w:t>
      </w:r>
      <w:r>
        <w:rPr>
          <w:rFonts w:ascii="Times New Roman" w:eastAsia="Times New Roman"/>
        </w:rPr>
        <w:t>15</w:t>
      </w:r>
      <w:r>
        <w:rPr/>
        <w:t>（</w:t>
      </w:r>
      <w:r>
        <w:rPr>
          <w:spacing w:val="-15"/>
        </w:rPr>
        <w:t>第 </w:t>
      </w:r>
      <w:r>
        <w:rPr>
          <w:rFonts w:ascii="Times New Roman" w:eastAsia="Times New Roman"/>
        </w:rPr>
        <w:t>52</w:t>
      </w:r>
      <w:r>
        <w:rPr>
          <w:rFonts w:ascii="Times New Roman" w:eastAsia="Times New Roman"/>
          <w:spacing w:val="5"/>
        </w:rPr>
        <w:t> </w:t>
      </w:r>
      <w:r>
        <w:rPr/>
        <w:t>周）在同一天进行，则将收集</w:t>
      </w:r>
      <w:r>
        <w:rPr>
          <w:spacing w:val="-10"/>
        </w:rPr>
        <w:t>关于 </w:t>
      </w:r>
      <w:r>
        <w:rPr>
          <w:rFonts w:ascii="Times New Roman" w:eastAsia="Times New Roman"/>
        </w:rPr>
        <w:t>AE</w:t>
      </w:r>
      <w:r>
        <w:rPr/>
        <w:t>、</w:t>
      </w:r>
      <w:r>
        <w:rPr>
          <w:rFonts w:ascii="Times New Roman" w:eastAsia="Times New Roman"/>
        </w:rPr>
        <w:t>SAE</w:t>
      </w:r>
      <w:r>
        <w:rPr/>
        <w:t>、</w:t>
      </w:r>
      <w:r>
        <w:rPr>
          <w:rFonts w:ascii="Times New Roman" w:eastAsia="Times New Roman"/>
        </w:rPr>
        <w:t>COPD </w:t>
      </w:r>
      <w:r>
        <w:rPr>
          <w:spacing w:val="-2"/>
        </w:rPr>
        <w:t>急性加重、合并用药、吸烟和吸氧状态以及 </w:t>
      </w:r>
      <w:r>
        <w:rPr>
          <w:rFonts w:ascii="Times New Roman" w:eastAsia="Times New Roman"/>
        </w:rPr>
        <w:t>HRU </w:t>
      </w:r>
      <w:r>
        <w:rPr/>
        <w:t>的任何新信息，并在给药前重复尿妊娠试验（</w:t>
      </w:r>
      <w:r>
        <w:rPr>
          <w:spacing w:val="-15"/>
        </w:rPr>
        <w:t>仅 </w:t>
      </w:r>
      <w:r>
        <w:rPr>
          <w:rFonts w:ascii="Times New Roman" w:eastAsia="Times New Roman"/>
        </w:rPr>
        <w:t>FOCBP</w:t>
      </w:r>
      <w:r>
        <w:rPr/>
        <w:t>）</w:t>
      </w:r>
      <w:r>
        <w:rPr>
          <w:spacing w:val="-8"/>
        </w:rPr>
        <w:t>。如果 </w:t>
      </w:r>
      <w:r>
        <w:rPr>
          <w:rFonts w:ascii="Times New Roman" w:eastAsia="Times New Roman"/>
        </w:rPr>
        <w:t>PROSPERO</w:t>
      </w:r>
      <w:r>
        <w:rPr>
          <w:rFonts w:ascii="Times New Roman" w:eastAsia="Times New Roman"/>
          <w:spacing w:val="-2"/>
        </w:rPr>
        <w:t> </w:t>
      </w:r>
      <w:r>
        <w:rPr>
          <w:spacing w:val="-8"/>
        </w:rPr>
        <w:t>的访视 </w:t>
      </w:r>
      <w:r>
        <w:rPr>
          <w:rFonts w:ascii="Times New Roman" w:eastAsia="Times New Roman"/>
        </w:rPr>
        <w:t>1</w:t>
      </w:r>
      <w:r>
        <w:rPr>
          <w:rFonts w:ascii="Times New Roman" w:eastAsia="Times New Roman"/>
          <w:spacing w:val="9"/>
        </w:rPr>
        <w:t> </w:t>
      </w:r>
      <w:r>
        <w:rPr/>
        <w:t>晚于</w:t>
      </w:r>
      <w:r>
        <w:rPr>
          <w:spacing w:val="-6"/>
        </w:rPr>
        <w:t>前身研究访视 </w:t>
      </w:r>
      <w:r>
        <w:rPr>
          <w:rFonts w:ascii="Times New Roman" w:eastAsia="Times New Roman"/>
          <w:spacing w:val="-2"/>
        </w:rPr>
        <w:t>15</w:t>
      </w:r>
      <w:r>
        <w:rPr>
          <w:rFonts w:ascii="Times New Roman" w:eastAsia="Times New Roman"/>
          <w:spacing w:val="-13"/>
        </w:rPr>
        <w:t> </w:t>
      </w:r>
      <w:r>
        <w:rPr>
          <w:spacing w:val="-15"/>
        </w:rPr>
        <w:t>后 </w:t>
      </w:r>
      <w:r>
        <w:rPr>
          <w:rFonts w:ascii="Times New Roman" w:eastAsia="Times New Roman"/>
          <w:spacing w:val="-2"/>
        </w:rPr>
        <w:t>4</w:t>
      </w:r>
      <w:r>
        <w:rPr>
          <w:rFonts w:ascii="Times New Roman" w:eastAsia="Times New Roman"/>
          <w:spacing w:val="-13"/>
        </w:rPr>
        <w:t> </w:t>
      </w:r>
      <w:r>
        <w:rPr>
          <w:spacing w:val="-5"/>
        </w:rPr>
        <w:t>周以上进行，则还将按 </w:t>
      </w:r>
      <w:r>
        <w:rPr>
          <w:rFonts w:ascii="Times New Roman" w:eastAsia="Times New Roman"/>
          <w:spacing w:val="-2"/>
        </w:rPr>
        <w:t>SoA</w:t>
      </w:r>
      <w:r>
        <w:rPr>
          <w:spacing w:val="-2"/>
        </w:rPr>
        <w:t>（</w:t>
      </w:r>
      <w:r>
        <w:rPr>
          <w:spacing w:val="-15"/>
        </w:rPr>
        <w:t>第 </w:t>
      </w:r>
      <w:hyperlink w:history="true" w:anchor="_bookmark7">
        <w:r>
          <w:rPr>
            <w:rFonts w:ascii="Times New Roman" w:eastAsia="Times New Roman"/>
            <w:color w:val="0000FF"/>
            <w:spacing w:val="-2"/>
          </w:rPr>
          <w:t>1.3</w:t>
        </w:r>
      </w:hyperlink>
      <w:r>
        <w:rPr>
          <w:rFonts w:ascii="Times New Roman" w:eastAsia="Times New Roman"/>
          <w:color w:val="0000FF"/>
          <w:spacing w:val="1"/>
        </w:rPr>
        <w:t> </w:t>
      </w:r>
      <w:r>
        <w:rPr>
          <w:spacing w:val="-2"/>
        </w:rPr>
        <w:t>节）所述在给药前重复进</w:t>
      </w:r>
      <w:r>
        <w:rPr>
          <w:spacing w:val="17"/>
          <w:position w:val="1"/>
        </w:rPr>
        <w:t>行安全性相关评估</w:t>
      </w:r>
      <w:r>
        <w:rPr>
          <w:spacing w:val="18"/>
          <w:position w:val="1"/>
        </w:rPr>
        <w:t>（体格检查、</w:t>
      </w:r>
      <w:r>
        <w:rPr>
          <w:rFonts w:ascii="Times New Roman" w:eastAsia="Times New Roman"/>
          <w:position w:val="1"/>
        </w:rPr>
        <w:t>ECG</w:t>
      </w:r>
      <w:r>
        <w:rPr>
          <w:spacing w:val="17"/>
          <w:position w:val="1"/>
        </w:rPr>
        <w:t>、生命体征、</w:t>
      </w:r>
      <w:r>
        <w:rPr>
          <w:rFonts w:ascii="Times New Roman" w:eastAsia="Times New Roman"/>
          <w:position w:val="1"/>
        </w:rPr>
        <w:t>SpO</w:t>
      </w:r>
      <w:r>
        <w:rPr>
          <w:rFonts w:ascii="Times New Roman" w:eastAsia="Times New Roman"/>
          <w:sz w:val="16"/>
        </w:rPr>
        <w:t>2</w:t>
      </w:r>
      <w:r>
        <w:rPr>
          <w:rFonts w:ascii="Times New Roman" w:eastAsia="Times New Roman"/>
          <w:spacing w:val="-10"/>
          <w:sz w:val="16"/>
        </w:rPr>
        <w:t> </w:t>
      </w:r>
      <w:r>
        <w:rPr>
          <w:spacing w:val="14"/>
          <w:position w:val="1"/>
        </w:rPr>
        <w:t>、安全性实验室检查、</w:t>
      </w:r>
      <w:r>
        <w:rPr>
          <w:position w:val="1"/>
        </w:rPr>
        <w:t> </w:t>
      </w:r>
      <w:r>
        <w:rPr>
          <w:rFonts w:ascii="Times New Roman" w:eastAsia="Times New Roman"/>
        </w:rPr>
        <w:t>PK/ADA</w:t>
      </w:r>
      <w:r>
        <w:rPr>
          <w:rFonts w:ascii="Times New Roman" w:eastAsia="Times New Roman"/>
          <w:spacing w:val="-5"/>
        </w:rPr>
        <w:t> </w:t>
      </w:r>
      <w:r>
        <w:rPr/>
        <w:t>等）。</w:t>
      </w:r>
    </w:p>
    <w:p>
      <w:pPr>
        <w:pStyle w:val="BodyText"/>
        <w:spacing w:line="276" w:lineRule="auto" w:before="234"/>
        <w:ind w:right="350" w:firstLine="480"/>
        <w:jc w:val="both"/>
      </w:pPr>
      <w:r>
        <w:rPr>
          <w:spacing w:val="-11"/>
        </w:rPr>
        <w:t>在 </w:t>
      </w:r>
      <w:r>
        <w:rPr>
          <w:rFonts w:ascii="Times New Roman" w:eastAsia="Times New Roman"/>
        </w:rPr>
        <w:t>PROSPERO </w:t>
      </w:r>
      <w:r>
        <w:rPr>
          <w:spacing w:val="-3"/>
        </w:rPr>
        <w:t>研究的随机化和首次 </w:t>
      </w:r>
      <w:r>
        <w:rPr>
          <w:rFonts w:ascii="Times New Roman" w:eastAsia="Times New Roman"/>
        </w:rPr>
        <w:t>IP </w:t>
      </w:r>
      <w:r>
        <w:rPr/>
        <w:t>给药之前，所有相关数据的收集，包括</w:t>
      </w:r>
      <w:r>
        <w:rPr>
          <w:spacing w:val="-6"/>
        </w:rPr>
        <w:t>但不限于 </w:t>
      </w:r>
      <w:r>
        <w:rPr>
          <w:rFonts w:ascii="Times New Roman" w:eastAsia="Times New Roman"/>
        </w:rPr>
        <w:t>AE</w:t>
      </w:r>
      <w:r>
        <w:rPr/>
        <w:t>、</w:t>
      </w:r>
      <w:r>
        <w:rPr>
          <w:rFonts w:ascii="Times New Roman" w:eastAsia="Times New Roman"/>
        </w:rPr>
        <w:t>SAE</w:t>
      </w:r>
      <w:r>
        <w:rPr/>
        <w:t>、合并用药、</w:t>
      </w:r>
      <w:r>
        <w:rPr>
          <w:rFonts w:ascii="Times New Roman" w:eastAsia="Times New Roman"/>
        </w:rPr>
        <w:t>HRU </w:t>
      </w:r>
      <w:r>
        <w:rPr>
          <w:spacing w:val="-13"/>
        </w:rPr>
        <w:t>和 </w:t>
      </w:r>
      <w:r>
        <w:rPr>
          <w:rFonts w:ascii="Times New Roman" w:eastAsia="Times New Roman"/>
        </w:rPr>
        <w:t>COPD </w:t>
      </w:r>
      <w:r>
        <w:rPr/>
        <w:t>急性加重，都将作为前身研究的一部分并且应在前身研究中进行记录和更新。进入 </w:t>
      </w:r>
      <w:r>
        <w:rPr>
          <w:rFonts w:ascii="Times New Roman" w:eastAsia="Times New Roman"/>
        </w:rPr>
        <w:t>PROSPERO</w:t>
      </w:r>
      <w:r>
        <w:rPr>
          <w:rFonts w:ascii="Times New Roman" w:eastAsia="Times New Roman"/>
          <w:spacing w:val="40"/>
        </w:rPr>
        <w:t> </w:t>
      </w:r>
      <w:r>
        <w:rPr/>
        <w:t>时仍在持续的 </w:t>
      </w:r>
      <w:r>
        <w:rPr>
          <w:rFonts w:ascii="Times New Roman" w:eastAsia="Times New Roman"/>
        </w:rPr>
        <w:t>AE</w:t>
      </w:r>
      <w:r>
        <w:rPr/>
        <w:t>、 </w:t>
      </w:r>
      <w:r>
        <w:rPr>
          <w:rFonts w:ascii="Times New Roman" w:eastAsia="Times New Roman"/>
        </w:rPr>
        <w:t>SAE</w:t>
      </w:r>
      <w:r>
        <w:rPr/>
        <w:t>、合并用药和慢性阻塞性肺疾病急性加重的信息将记录在 </w:t>
      </w:r>
      <w:r>
        <w:rPr>
          <w:rFonts w:ascii="Times New Roman" w:eastAsia="Times New Roman"/>
        </w:rPr>
        <w:t>PROSPERO </w:t>
      </w:r>
      <w:r>
        <w:rPr/>
        <w:t>研究的 </w:t>
      </w:r>
      <w:r>
        <w:rPr>
          <w:rFonts w:ascii="Times New Roman" w:eastAsia="Times New Roman"/>
        </w:rPr>
        <w:t>eCRF</w:t>
      </w:r>
      <w:r>
        <w:rPr>
          <w:rFonts w:ascii="Times New Roman" w:eastAsia="Times New Roman"/>
          <w:spacing w:val="-7"/>
        </w:rPr>
        <w:t> </w:t>
      </w:r>
      <w:r>
        <w:rPr/>
        <w:t>中。</w:t>
      </w:r>
    </w:p>
    <w:p>
      <w:pPr>
        <w:spacing w:after="0" w:line="276" w:lineRule="auto"/>
        <w:jc w:val="both"/>
        <w:sectPr>
          <w:pgSz w:w="11910" w:h="16840"/>
          <w:pgMar w:header="590" w:footer="784" w:top="1340" w:bottom="980" w:left="1480" w:right="1080"/>
        </w:sectPr>
      </w:pPr>
    </w:p>
    <w:p>
      <w:pPr>
        <w:pStyle w:val="BodyText"/>
        <w:spacing w:before="88"/>
        <w:ind w:left="701"/>
        <w:rPr>
          <w:rFonts w:ascii="Times New Roman" w:eastAsia="Times New Roman"/>
        </w:rPr>
      </w:pPr>
      <w:r>
        <w:rPr>
          <w:spacing w:val="-1"/>
        </w:rPr>
        <w:t>通常在前身研究中收集病史和人口统计学等研究信息，并将按需在 </w:t>
      </w:r>
      <w:r>
        <w:rPr>
          <w:rFonts w:ascii="Times New Roman" w:eastAsia="Times New Roman"/>
          <w:spacing w:val="-2"/>
        </w:rPr>
        <w:t>PROSPERO</w:t>
      </w:r>
    </w:p>
    <w:p>
      <w:pPr>
        <w:pStyle w:val="BodyText"/>
        <w:spacing w:before="45"/>
      </w:pPr>
      <w:r>
        <w:rPr>
          <w:spacing w:val="-1"/>
        </w:rPr>
        <w:t>中额外收集这些信息。</w:t>
      </w:r>
    </w:p>
    <w:p>
      <w:pPr>
        <w:pStyle w:val="BodyText"/>
        <w:spacing w:line="276" w:lineRule="auto" w:before="287"/>
        <w:ind w:right="357" w:firstLine="480"/>
        <w:jc w:val="both"/>
      </w:pPr>
      <w:r>
        <w:rPr>
          <w:spacing w:val="-11"/>
        </w:rPr>
        <w:t>符合 </w:t>
      </w:r>
      <w:r>
        <w:rPr>
          <w:rFonts w:ascii="Times New Roman" w:eastAsia="Times New Roman"/>
          <w:spacing w:val="-2"/>
        </w:rPr>
        <w:t>PROSPERO</w:t>
      </w:r>
      <w:r>
        <w:rPr>
          <w:rFonts w:ascii="Times New Roman" w:eastAsia="Times New Roman"/>
          <w:spacing w:val="-1"/>
        </w:rPr>
        <w:t> </w:t>
      </w:r>
      <w:r>
        <w:rPr>
          <w:spacing w:val="-2"/>
        </w:rPr>
        <w:t>合格性标准并愿意进入本研究的受试者将退出前身研究，并在</w:t>
      </w:r>
      <w:r>
        <w:rPr>
          <w:spacing w:val="-11"/>
        </w:rPr>
        <w:t>访视 </w:t>
      </w:r>
      <w:r>
        <w:rPr>
          <w:rFonts w:ascii="Times New Roman" w:eastAsia="Times New Roman"/>
          <w:spacing w:val="-2"/>
        </w:rPr>
        <w:t>1</w:t>
      </w:r>
      <w:r>
        <w:rPr>
          <w:rFonts w:ascii="Times New Roman" w:eastAsia="Times New Roman"/>
          <w:spacing w:val="-13"/>
        </w:rPr>
        <w:t> </w:t>
      </w:r>
      <w:r>
        <w:rPr>
          <w:spacing w:val="-9"/>
        </w:rPr>
        <w:t>时接受 </w:t>
      </w:r>
      <w:r>
        <w:rPr>
          <w:rFonts w:ascii="Times New Roman" w:eastAsia="Times New Roman"/>
          <w:spacing w:val="-2"/>
        </w:rPr>
        <w:t>PROSPERO</w:t>
      </w:r>
      <w:r>
        <w:rPr>
          <w:rFonts w:ascii="Times New Roman" w:eastAsia="Times New Roman"/>
          <w:spacing w:val="-13"/>
        </w:rPr>
        <w:t> </w:t>
      </w:r>
      <w:r>
        <w:rPr>
          <w:spacing w:val="-2"/>
        </w:rPr>
        <w:t>研究的首次给药；否则，受试者将继续进行前身研究的随访期，直至研究完成（请见相应的前身研究方案）。</w:t>
      </w:r>
    </w:p>
    <w:p>
      <w:pPr>
        <w:pStyle w:val="BodyText"/>
        <w:spacing w:line="276" w:lineRule="auto" w:before="237"/>
        <w:ind w:right="357" w:firstLine="480"/>
        <w:jc w:val="both"/>
      </w:pPr>
      <w:r>
        <w:rPr>
          <w:spacing w:val="-8"/>
        </w:rPr>
        <w:t>已签署 </w:t>
      </w:r>
      <w:r>
        <w:rPr>
          <w:rFonts w:ascii="Times New Roman" w:eastAsia="Times New Roman"/>
        </w:rPr>
        <w:t>ICF</w:t>
      </w:r>
      <w:r>
        <w:rPr>
          <w:rFonts w:ascii="Times New Roman" w:eastAsia="Times New Roman"/>
          <w:spacing w:val="-15"/>
        </w:rPr>
        <w:t> </w:t>
      </w:r>
      <w:r>
        <w:rPr>
          <w:spacing w:val="-2"/>
        </w:rPr>
        <w:t>且符合合格性标准的受试者应在访视 </w:t>
      </w:r>
      <w:r>
        <w:rPr>
          <w:rFonts w:ascii="Times New Roman" w:eastAsia="Times New Roman"/>
        </w:rPr>
        <w:t>1</w:t>
      </w:r>
      <w:r>
        <w:rPr>
          <w:rFonts w:ascii="Times New Roman" w:eastAsia="Times New Roman"/>
          <w:spacing w:val="-15"/>
        </w:rPr>
        <w:t> </w:t>
      </w:r>
      <w:r>
        <w:rPr>
          <w:spacing w:val="-10"/>
        </w:rPr>
        <w:t>注册 </w:t>
      </w:r>
      <w:r>
        <w:rPr>
          <w:rFonts w:ascii="Times New Roman" w:eastAsia="Times New Roman"/>
        </w:rPr>
        <w:t>RTSM</w:t>
      </w:r>
      <w:r>
        <w:rPr>
          <w:rFonts w:ascii="Times New Roman" w:eastAsia="Times New Roman"/>
          <w:spacing w:val="-15"/>
        </w:rPr>
        <w:t> </w:t>
      </w:r>
      <w:r>
        <w:rPr/>
        <w:t>系统。受试者将</w:t>
      </w:r>
      <w:r>
        <w:rPr>
          <w:spacing w:val="-2"/>
        </w:rPr>
        <w:t>保持与前身研究相同的电子代码。</w:t>
      </w:r>
    </w:p>
    <w:p>
      <w:pPr>
        <w:pStyle w:val="BodyText"/>
        <w:spacing w:before="239"/>
        <w:ind w:left="701"/>
      </w:pPr>
      <w:r>
        <w:rPr>
          <w:rFonts w:ascii="Times New Roman" w:eastAsia="Times New Roman"/>
        </w:rPr>
        <w:t>PROSPERO</w:t>
      </w:r>
      <w:r>
        <w:rPr>
          <w:rFonts w:ascii="Times New Roman" w:eastAsia="Times New Roman"/>
          <w:spacing w:val="-15"/>
        </w:rPr>
        <w:t> </w:t>
      </w:r>
      <w:r>
        <w:rPr>
          <w:spacing w:val="-6"/>
        </w:rPr>
        <w:t>研究中的随机化和首次 </w:t>
      </w:r>
      <w:r>
        <w:rPr>
          <w:rFonts w:ascii="Times New Roman" w:eastAsia="Times New Roman"/>
        </w:rPr>
        <w:t>IP</w:t>
      </w:r>
      <w:r>
        <w:rPr>
          <w:rFonts w:ascii="Times New Roman" w:eastAsia="Times New Roman"/>
          <w:spacing w:val="-15"/>
        </w:rPr>
        <w:t> </w:t>
      </w:r>
      <w:r>
        <w:rPr>
          <w:spacing w:val="-1"/>
        </w:rPr>
        <w:t>给药必须在同一天进行。</w:t>
      </w:r>
    </w:p>
    <w:p>
      <w:pPr>
        <w:pStyle w:val="BodyText"/>
        <w:spacing w:before="285"/>
        <w:ind w:left="701"/>
      </w:pPr>
      <w:r>
        <w:rPr>
          <w:rFonts w:ascii="Times New Roman" w:eastAsia="Times New Roman"/>
        </w:rPr>
        <w:t>SoA</w:t>
      </w:r>
      <w:r>
        <w:rPr>
          <w:rFonts w:ascii="Times New Roman" w:eastAsia="Times New Roman"/>
          <w:spacing w:val="-15"/>
        </w:rPr>
        <w:t> </w:t>
      </w:r>
      <w:r>
        <w:rPr>
          <w:spacing w:val="-9"/>
        </w:rPr>
        <w:t>中提供了访视 </w:t>
      </w:r>
      <w:r>
        <w:rPr>
          <w:rFonts w:ascii="Times New Roman" w:eastAsia="Times New Roman"/>
        </w:rPr>
        <w:t>1</w:t>
      </w:r>
      <w:r>
        <w:rPr>
          <w:rFonts w:ascii="Times New Roman" w:eastAsia="Times New Roman"/>
          <w:spacing w:val="-12"/>
        </w:rPr>
        <w:t> </w:t>
      </w:r>
      <w:r>
        <w:rPr/>
        <w:t>步骤的完整列表（</w:t>
      </w:r>
      <w:r>
        <w:rPr>
          <w:spacing w:val="-30"/>
        </w:rPr>
        <w:t>第 </w:t>
      </w:r>
      <w:hyperlink w:history="true" w:anchor="_bookmark7">
        <w:r>
          <w:rPr>
            <w:rFonts w:ascii="Times New Roman" w:eastAsia="Times New Roman"/>
            <w:color w:val="0000FF"/>
          </w:rPr>
          <w:t>1.3</w:t>
        </w:r>
      </w:hyperlink>
      <w:r>
        <w:rPr>
          <w:rFonts w:ascii="Times New Roman" w:eastAsia="Times New Roman"/>
          <w:color w:val="0000FF"/>
          <w:spacing w:val="-12"/>
        </w:rPr>
        <w:t> </w:t>
      </w:r>
      <w:r>
        <w:rPr/>
        <w:t>节）</w:t>
      </w:r>
      <w:r>
        <w:rPr>
          <w:spacing w:val="-10"/>
        </w:rPr>
        <w:t>。</w:t>
      </w:r>
    </w:p>
    <w:p>
      <w:pPr>
        <w:pStyle w:val="Heading2"/>
        <w:numPr>
          <w:ilvl w:val="2"/>
          <w:numId w:val="3"/>
        </w:numPr>
        <w:tabs>
          <w:tab w:pos="1371" w:val="left" w:leader="none"/>
        </w:tabs>
        <w:spacing w:line="240" w:lineRule="auto" w:before="286" w:after="0"/>
        <w:ind w:left="1371" w:right="0" w:hanging="1150"/>
        <w:jc w:val="both"/>
      </w:pPr>
      <w:bookmarkStart w:name="4.1.2 治疗期" w:id="46"/>
      <w:bookmarkEnd w:id="46"/>
      <w:r>
        <w:rPr>
          <w:b w:val="0"/>
        </w:rPr>
      </w:r>
      <w:bookmarkStart w:name="_bookmark25" w:id="47"/>
      <w:bookmarkEnd w:id="47"/>
      <w:r>
        <w:rPr>
          <w:b w:val="0"/>
        </w:rPr>
      </w:r>
      <w:r>
        <w:rPr>
          <w:spacing w:val="-5"/>
        </w:rPr>
        <w:t>治疗期</w:t>
      </w:r>
    </w:p>
    <w:p>
      <w:pPr>
        <w:pStyle w:val="BodyText"/>
        <w:spacing w:line="276" w:lineRule="auto" w:before="120"/>
        <w:ind w:right="357" w:firstLine="480"/>
        <w:jc w:val="both"/>
      </w:pPr>
      <w:r>
        <w:rPr>
          <w:spacing w:val="-2"/>
        </w:rPr>
        <w:t>在本修订案中更新了研究设计；因此，受试者将根据修订前的 </w:t>
      </w:r>
      <w:r>
        <w:rPr>
          <w:rFonts w:ascii="Times New Roman" w:eastAsia="Times New Roman"/>
        </w:rPr>
        <w:t>CSP</w:t>
      </w:r>
      <w:r>
        <w:rPr>
          <w:rFonts w:ascii="Times New Roman" w:eastAsia="Times New Roman"/>
          <w:spacing w:val="12"/>
        </w:rPr>
        <w:t> </w:t>
      </w:r>
      <w:r>
        <w:rPr>
          <w:spacing w:val="-15"/>
        </w:rPr>
        <w:t>第 </w:t>
      </w:r>
      <w:r>
        <w:rPr>
          <w:rFonts w:ascii="Times New Roman" w:eastAsia="Times New Roman"/>
        </w:rPr>
        <w:t>1.0</w:t>
      </w:r>
      <w:r>
        <w:rPr>
          <w:rFonts w:ascii="Times New Roman" w:eastAsia="Times New Roman"/>
          <w:spacing w:val="12"/>
        </w:rPr>
        <w:t> </w:t>
      </w:r>
      <w:r>
        <w:rPr/>
        <w:t>版或本版本（</w:t>
      </w:r>
      <w:r>
        <w:rPr>
          <w:spacing w:val="-8"/>
        </w:rPr>
        <w:t>第 </w:t>
      </w:r>
      <w:r>
        <w:rPr>
          <w:rFonts w:ascii="Times New Roman" w:eastAsia="Times New Roman"/>
        </w:rPr>
        <w:t>2.0 </w:t>
      </w:r>
      <w:r>
        <w:rPr/>
        <w:t>版）入选研究（</w:t>
      </w:r>
      <w:hyperlink w:history="true" w:anchor="_bookmark23">
        <w:r>
          <w:rPr>
            <w:color w:val="0000FF"/>
            <w:spacing w:val="-8"/>
          </w:rPr>
          <w:t>图 </w:t>
        </w:r>
        <w:r>
          <w:rPr>
            <w:rFonts w:ascii="Times New Roman" w:eastAsia="Times New Roman"/>
            <w:color w:val="0000FF"/>
          </w:rPr>
          <w:t>2</w:t>
        </w:r>
      </w:hyperlink>
      <w:r>
        <w:rPr/>
        <w:t>）。</w:t>
      </w:r>
    </w:p>
    <w:p>
      <w:pPr>
        <w:pStyle w:val="BodyText"/>
        <w:spacing w:before="238"/>
      </w:pPr>
      <w:r>
        <w:rPr>
          <w:rFonts w:ascii="Times New Roman" w:eastAsia="Times New Roman"/>
          <w:u w:val="single"/>
        </w:rPr>
        <w:t>CSP</w:t>
      </w:r>
      <w:r>
        <w:rPr>
          <w:rFonts w:ascii="Times New Roman" w:eastAsia="Times New Roman"/>
          <w:spacing w:val="-15"/>
          <w:u w:val="single"/>
        </w:rPr>
        <w:t> </w:t>
      </w:r>
      <w:r>
        <w:rPr>
          <w:spacing w:val="-30"/>
          <w:u w:val="single"/>
        </w:rPr>
        <w:t>第 </w:t>
      </w:r>
      <w:r>
        <w:rPr>
          <w:rFonts w:ascii="Times New Roman" w:eastAsia="Times New Roman"/>
          <w:u w:val="single"/>
        </w:rPr>
        <w:t>1.0</w:t>
      </w:r>
      <w:r>
        <w:rPr>
          <w:rFonts w:ascii="Times New Roman" w:eastAsia="Times New Roman"/>
          <w:spacing w:val="-11"/>
          <w:u w:val="single"/>
        </w:rPr>
        <w:t> </w:t>
      </w:r>
      <w:r>
        <w:rPr>
          <w:spacing w:val="-12"/>
          <w:u w:val="single"/>
        </w:rPr>
        <w:t>版</w:t>
      </w:r>
    </w:p>
    <w:p>
      <w:pPr>
        <w:pStyle w:val="BodyText"/>
        <w:spacing w:line="276" w:lineRule="auto" w:before="119"/>
        <w:ind w:right="357" w:firstLine="480"/>
        <w:jc w:val="both"/>
      </w:pPr>
      <w:r>
        <w:rPr>
          <w:spacing w:val="-3"/>
        </w:rPr>
        <w:t>对于既往在前身研究中随机分配至安慰剂组的受试者，将在 </w:t>
      </w:r>
      <w:r>
        <w:rPr>
          <w:rFonts w:ascii="Times New Roman" w:eastAsia="Times New Roman"/>
          <w:spacing w:val="-2"/>
        </w:rPr>
        <w:t>SoC</w:t>
      </w:r>
      <w:r>
        <w:rPr>
          <w:rFonts w:ascii="Times New Roman" w:eastAsia="Times New Roman"/>
          <w:spacing w:val="-13"/>
        </w:rPr>
        <w:t> </w:t>
      </w:r>
      <w:r>
        <w:rPr>
          <w:spacing w:val="-8"/>
        </w:rPr>
        <w:t>基础上以 </w:t>
      </w:r>
      <w:r>
        <w:rPr>
          <w:rFonts w:ascii="Times New Roman" w:eastAsia="Times New Roman"/>
          <w:spacing w:val="-2"/>
        </w:rPr>
        <w:t>1:1:2</w:t>
      </w:r>
      <w:r>
        <w:rPr>
          <w:spacing w:val="-3"/>
        </w:rPr>
        <w:t>的比例重新随机分配至 </w:t>
      </w:r>
      <w:r>
        <w:rPr>
          <w:rFonts w:ascii="Times New Roman" w:eastAsia="Times New Roman"/>
        </w:rPr>
        <w:t>tozorakimab</w:t>
      </w:r>
      <w:r>
        <w:rPr>
          <w:rFonts w:ascii="Times New Roman" w:eastAsia="Times New Roman"/>
          <w:spacing w:val="-10"/>
        </w:rPr>
        <w:t> </w:t>
      </w:r>
      <w:r>
        <w:rPr>
          <w:rFonts w:ascii="Times New Roman" w:eastAsia="Times New Roman"/>
        </w:rPr>
        <w:t>300 mg Q4W</w:t>
      </w:r>
      <w:r>
        <w:rPr/>
        <w:t>、</w:t>
      </w:r>
      <w:r>
        <w:rPr>
          <w:rFonts w:ascii="Times New Roman" w:eastAsia="Times New Roman"/>
        </w:rPr>
        <w:t>tozorakimab 300 mg Q8W</w:t>
      </w:r>
      <w:r>
        <w:rPr>
          <w:rFonts w:ascii="Times New Roman" w:eastAsia="Times New Roman"/>
          <w:spacing w:val="-15"/>
        </w:rPr>
        <w:t> </w:t>
      </w:r>
      <w:r>
        <w:rPr/>
        <w:t>或安慰</w:t>
      </w:r>
      <w:r>
        <w:rPr>
          <w:spacing w:val="-4"/>
        </w:rPr>
        <w:t>剂。治疗期为 </w:t>
      </w:r>
      <w:r>
        <w:rPr>
          <w:rFonts w:ascii="Times New Roman" w:eastAsia="Times New Roman"/>
        </w:rPr>
        <w:t>52 </w:t>
      </w:r>
      <w:r>
        <w:rPr/>
        <w:t>周。</w:t>
      </w:r>
    </w:p>
    <w:p>
      <w:pPr>
        <w:pStyle w:val="BodyText"/>
        <w:spacing w:before="238"/>
      </w:pPr>
      <w:r>
        <w:rPr>
          <w:rFonts w:ascii="Times New Roman" w:eastAsia="Times New Roman"/>
          <w:u w:val="single"/>
        </w:rPr>
        <w:t>CSP</w:t>
      </w:r>
      <w:r>
        <w:rPr>
          <w:rFonts w:ascii="Times New Roman" w:eastAsia="Times New Roman"/>
          <w:spacing w:val="-15"/>
          <w:u w:val="single"/>
        </w:rPr>
        <w:t> </w:t>
      </w:r>
      <w:r>
        <w:rPr>
          <w:spacing w:val="-30"/>
          <w:u w:val="single"/>
        </w:rPr>
        <w:t>第 </w:t>
      </w:r>
      <w:r>
        <w:rPr>
          <w:rFonts w:ascii="Times New Roman" w:eastAsia="Times New Roman"/>
          <w:u w:val="single"/>
        </w:rPr>
        <w:t>2.0</w:t>
      </w:r>
      <w:r>
        <w:rPr>
          <w:rFonts w:ascii="Times New Roman" w:eastAsia="Times New Roman"/>
          <w:spacing w:val="-11"/>
          <w:u w:val="single"/>
        </w:rPr>
        <w:t> </w:t>
      </w:r>
      <w:r>
        <w:rPr>
          <w:spacing w:val="-12"/>
          <w:u w:val="single"/>
        </w:rPr>
        <w:t>版</w:t>
      </w:r>
    </w:p>
    <w:p>
      <w:pPr>
        <w:pStyle w:val="BodyText"/>
        <w:spacing w:line="276" w:lineRule="auto" w:before="120"/>
        <w:ind w:right="356" w:firstLine="480"/>
        <w:jc w:val="both"/>
      </w:pPr>
      <w:r>
        <w:rPr/>
        <w:t>对于既往在前身研究中随机分配至安慰剂组的受试者，</w:t>
      </w:r>
      <w:r>
        <w:rPr>
          <w:rFonts w:ascii="Times New Roman" w:eastAsia="Times New Roman"/>
        </w:rPr>
        <w:t>PROSPERO </w:t>
      </w:r>
      <w:r>
        <w:rPr/>
        <w:t>研究中在 </w:t>
      </w:r>
      <w:r>
        <w:rPr>
          <w:rFonts w:ascii="Times New Roman" w:eastAsia="Times New Roman"/>
          <w:spacing w:val="-2"/>
        </w:rPr>
        <w:t>SoC</w:t>
      </w:r>
      <w:r>
        <w:rPr>
          <w:rFonts w:ascii="Times New Roman" w:eastAsia="Times New Roman"/>
          <w:spacing w:val="-13"/>
        </w:rPr>
        <w:t> </w:t>
      </w:r>
      <w:r>
        <w:rPr>
          <w:spacing w:val="-7"/>
        </w:rPr>
        <w:t>基础上将以 </w:t>
      </w:r>
      <w:r>
        <w:rPr>
          <w:rFonts w:ascii="Times New Roman" w:eastAsia="Times New Roman"/>
          <w:spacing w:val="-2"/>
        </w:rPr>
        <w:t>1:1</w:t>
      </w:r>
      <w:r>
        <w:rPr>
          <w:rFonts w:ascii="Times New Roman" w:eastAsia="Times New Roman"/>
          <w:spacing w:val="-13"/>
        </w:rPr>
        <w:t> </w:t>
      </w:r>
      <w:r>
        <w:rPr>
          <w:spacing w:val="-5"/>
        </w:rPr>
        <w:t>的比例重新随机分配至 </w:t>
      </w:r>
      <w:r>
        <w:rPr>
          <w:rFonts w:ascii="Times New Roman" w:eastAsia="Times New Roman"/>
          <w:spacing w:val="-2"/>
        </w:rPr>
        <w:t>tozorakimab</w:t>
      </w:r>
      <w:r>
        <w:rPr>
          <w:rFonts w:ascii="Times New Roman" w:eastAsia="Times New Roman"/>
          <w:spacing w:val="-13"/>
        </w:rPr>
        <w:t> </w:t>
      </w:r>
      <w:r>
        <w:rPr>
          <w:rFonts w:ascii="Times New Roman" w:eastAsia="Times New Roman"/>
          <w:spacing w:val="-2"/>
        </w:rPr>
        <w:t>300</w:t>
      </w:r>
      <w:r>
        <w:rPr>
          <w:rFonts w:ascii="Times New Roman" w:eastAsia="Times New Roman"/>
          <w:spacing w:val="-13"/>
        </w:rPr>
        <w:t> </w:t>
      </w:r>
      <w:r>
        <w:rPr>
          <w:rFonts w:ascii="Times New Roman" w:eastAsia="Times New Roman"/>
          <w:spacing w:val="-2"/>
        </w:rPr>
        <w:t>mg</w:t>
      </w:r>
      <w:r>
        <w:rPr>
          <w:rFonts w:ascii="Times New Roman" w:eastAsia="Times New Roman"/>
          <w:spacing w:val="-13"/>
        </w:rPr>
        <w:t> </w:t>
      </w:r>
      <w:r>
        <w:rPr>
          <w:rFonts w:ascii="Times New Roman" w:eastAsia="Times New Roman"/>
          <w:spacing w:val="-2"/>
        </w:rPr>
        <w:t>Q4W</w:t>
      </w:r>
      <w:r>
        <w:rPr>
          <w:rFonts w:ascii="Times New Roman" w:eastAsia="Times New Roman"/>
          <w:spacing w:val="-13"/>
        </w:rPr>
        <w:t> </w:t>
      </w:r>
      <w:r>
        <w:rPr>
          <w:spacing w:val="-2"/>
        </w:rPr>
        <w:t>或安慰剂治疗。既往在前身研究中已经随机接受 </w:t>
      </w:r>
      <w:r>
        <w:rPr>
          <w:rFonts w:ascii="Times New Roman" w:eastAsia="Times New Roman"/>
        </w:rPr>
        <w:t>tozorakimab</w:t>
      </w:r>
      <w:r>
        <w:rPr>
          <w:rFonts w:ascii="Times New Roman" w:eastAsia="Times New Roman"/>
          <w:spacing w:val="-13"/>
        </w:rPr>
        <w:t> </w:t>
      </w:r>
      <w:r>
        <w:rPr>
          <w:rFonts w:ascii="Times New Roman" w:eastAsia="Times New Roman"/>
        </w:rPr>
        <w:t>300</w:t>
      </w:r>
      <w:r>
        <w:rPr>
          <w:rFonts w:ascii="Times New Roman" w:eastAsia="Times New Roman"/>
          <w:spacing w:val="22"/>
        </w:rPr>
        <w:t> </w:t>
      </w:r>
      <w:r>
        <w:rPr>
          <w:rFonts w:ascii="Times New Roman" w:eastAsia="Times New Roman"/>
        </w:rPr>
        <w:t>mg</w:t>
      </w:r>
      <w:r>
        <w:rPr>
          <w:rFonts w:ascii="Times New Roman" w:eastAsia="Times New Roman"/>
          <w:spacing w:val="22"/>
        </w:rPr>
        <w:t> </w:t>
      </w:r>
      <w:r>
        <w:rPr>
          <w:rFonts w:ascii="Times New Roman" w:eastAsia="Times New Roman"/>
        </w:rPr>
        <w:t>Q4W</w:t>
      </w:r>
      <w:r>
        <w:rPr>
          <w:rFonts w:ascii="Times New Roman" w:eastAsia="Times New Roman"/>
          <w:spacing w:val="-15"/>
        </w:rPr>
        <w:t> </w:t>
      </w:r>
      <w:r>
        <w:rPr/>
        <w:t>的受试者将继续接受相同</w:t>
      </w:r>
      <w:r>
        <w:rPr/>
        <w:t>治疗方案。既往在前身研究中随机接受 </w:t>
      </w:r>
      <w:r>
        <w:rPr>
          <w:rFonts w:ascii="Times New Roman" w:eastAsia="Times New Roman"/>
        </w:rPr>
        <w:t>tozorakimab 300 mg Q8W </w:t>
      </w:r>
      <w:r>
        <w:rPr/>
        <w:t>的受试者在进入 </w:t>
      </w:r>
      <w:r>
        <w:rPr>
          <w:rFonts w:ascii="Times New Roman" w:eastAsia="Times New Roman"/>
          <w:spacing w:val="-2"/>
        </w:rPr>
        <w:t>PROSPERO</w:t>
      </w:r>
      <w:r>
        <w:rPr>
          <w:rFonts w:ascii="Times New Roman" w:eastAsia="Times New Roman"/>
          <w:spacing w:val="-9"/>
        </w:rPr>
        <w:t> </w:t>
      </w:r>
      <w:r>
        <w:rPr>
          <w:spacing w:val="-12"/>
        </w:rPr>
        <w:t>时将转换为 </w:t>
      </w:r>
      <w:r>
        <w:rPr>
          <w:rFonts w:ascii="Times New Roman" w:eastAsia="Times New Roman"/>
          <w:spacing w:val="-2"/>
        </w:rPr>
        <w:t>tozorakimab</w:t>
      </w:r>
      <w:r>
        <w:rPr>
          <w:rFonts w:ascii="Times New Roman" w:eastAsia="Times New Roman"/>
          <w:spacing w:val="-6"/>
        </w:rPr>
        <w:t> </w:t>
      </w:r>
      <w:r>
        <w:rPr>
          <w:rFonts w:ascii="Times New Roman" w:eastAsia="Times New Roman"/>
          <w:spacing w:val="-2"/>
        </w:rPr>
        <w:t>300</w:t>
      </w:r>
      <w:r>
        <w:rPr>
          <w:rFonts w:ascii="Times New Roman" w:eastAsia="Times New Roman"/>
          <w:spacing w:val="-6"/>
        </w:rPr>
        <w:t> </w:t>
      </w:r>
      <w:r>
        <w:rPr>
          <w:rFonts w:ascii="Times New Roman" w:eastAsia="Times New Roman"/>
          <w:spacing w:val="-2"/>
        </w:rPr>
        <w:t>mg</w:t>
      </w:r>
      <w:r>
        <w:rPr>
          <w:rFonts w:ascii="Times New Roman" w:eastAsia="Times New Roman"/>
          <w:spacing w:val="-8"/>
        </w:rPr>
        <w:t> </w:t>
      </w:r>
      <w:r>
        <w:rPr>
          <w:rFonts w:ascii="Times New Roman" w:eastAsia="Times New Roman"/>
          <w:spacing w:val="-2"/>
        </w:rPr>
        <w:t>Q4W</w:t>
      </w:r>
      <w:r>
        <w:rPr>
          <w:spacing w:val="-11"/>
        </w:rPr>
        <w:t>。治疗期为 </w:t>
      </w:r>
      <w:r>
        <w:rPr>
          <w:rFonts w:ascii="Times New Roman" w:eastAsia="Times New Roman"/>
          <w:spacing w:val="-2"/>
        </w:rPr>
        <w:t>28</w:t>
      </w:r>
      <w:r>
        <w:rPr>
          <w:rFonts w:ascii="Times New Roman" w:eastAsia="Times New Roman"/>
          <w:spacing w:val="-8"/>
        </w:rPr>
        <w:t> </w:t>
      </w:r>
      <w:r>
        <w:rPr>
          <w:spacing w:val="-10"/>
        </w:rPr>
        <w:t>周。已经根据 </w:t>
      </w:r>
      <w:r>
        <w:rPr>
          <w:rFonts w:ascii="Times New Roman" w:eastAsia="Times New Roman"/>
          <w:spacing w:val="-2"/>
        </w:rPr>
        <w:t>CSP</w:t>
      </w:r>
      <w:r>
        <w:rPr>
          <w:rFonts w:ascii="Times New Roman" w:eastAsia="Times New Roman"/>
          <w:spacing w:val="-10"/>
        </w:rPr>
        <w:t> </w:t>
      </w:r>
      <w:r>
        <w:rPr>
          <w:spacing w:val="-10"/>
        </w:rPr>
        <w:t>第</w:t>
      </w:r>
    </w:p>
    <w:p>
      <w:pPr>
        <w:pStyle w:val="BodyText"/>
        <w:spacing w:line="307" w:lineRule="exact"/>
        <w:jc w:val="both"/>
      </w:pPr>
      <w:r>
        <w:rPr>
          <w:rFonts w:ascii="Times New Roman" w:eastAsia="Times New Roman"/>
        </w:rPr>
        <w:t>1.0</w:t>
      </w:r>
      <w:r>
        <w:rPr>
          <w:rFonts w:ascii="Times New Roman" w:eastAsia="Times New Roman"/>
          <w:spacing w:val="6"/>
        </w:rPr>
        <w:t> </w:t>
      </w:r>
      <w:r>
        <w:rPr>
          <w:spacing w:val="-1"/>
        </w:rPr>
        <w:t>版进行随机化的受试者可在本修订案发布后继续完成研究，治疗方案与分配的治</w:t>
      </w:r>
    </w:p>
    <w:p>
      <w:pPr>
        <w:pStyle w:val="BodyText"/>
        <w:spacing w:before="45"/>
        <w:jc w:val="both"/>
      </w:pPr>
      <w:r>
        <w:rPr>
          <w:spacing w:val="-6"/>
        </w:rPr>
        <w:t>疗方案相同，治疗期为 </w:t>
      </w:r>
      <w:r>
        <w:rPr>
          <w:rFonts w:ascii="Times New Roman" w:eastAsia="Times New Roman"/>
        </w:rPr>
        <w:t>52</w:t>
      </w:r>
      <w:r>
        <w:rPr>
          <w:rFonts w:ascii="Times New Roman" w:eastAsia="Times New Roman"/>
          <w:spacing w:val="-12"/>
        </w:rPr>
        <w:t> </w:t>
      </w:r>
      <w:r>
        <w:rPr>
          <w:spacing w:val="-5"/>
        </w:rPr>
        <w:t>周。</w:t>
      </w:r>
    </w:p>
    <w:p>
      <w:pPr>
        <w:pStyle w:val="BodyText"/>
        <w:spacing w:before="287"/>
        <w:ind w:left="701"/>
      </w:pPr>
      <w:r>
        <w:rPr/>
        <w:t>对于在前身研究中随机分组的所有受试者，将在</w:t>
      </w:r>
      <w:r>
        <w:rPr>
          <w:spacing w:val="51"/>
          <w:w w:val="150"/>
        </w:rPr>
        <w:t> </w:t>
      </w:r>
      <w:r>
        <w:rPr>
          <w:rFonts w:ascii="Times New Roman" w:eastAsia="Times New Roman"/>
        </w:rPr>
        <w:t>RTSM</w:t>
      </w:r>
      <w:r>
        <w:rPr>
          <w:rFonts w:ascii="Times New Roman" w:eastAsia="Times New Roman"/>
          <w:spacing w:val="32"/>
        </w:rPr>
        <w:t>  </w:t>
      </w:r>
      <w:r>
        <w:rPr>
          <w:spacing w:val="-2"/>
        </w:rPr>
        <w:t>系统中预先规定其在</w:t>
      </w:r>
    </w:p>
    <w:p>
      <w:pPr>
        <w:pStyle w:val="BodyText"/>
        <w:spacing w:before="46"/>
        <w:jc w:val="both"/>
      </w:pPr>
      <w:r>
        <w:rPr>
          <w:rFonts w:ascii="Times New Roman" w:eastAsia="Times New Roman"/>
          <w:spacing w:val="-2"/>
        </w:rPr>
        <w:t>PROSPERO</w:t>
      </w:r>
      <w:r>
        <w:rPr>
          <w:rFonts w:ascii="Times New Roman" w:eastAsia="Times New Roman"/>
          <w:spacing w:val="13"/>
        </w:rPr>
        <w:t> </w:t>
      </w:r>
      <w:r>
        <w:rPr>
          <w:spacing w:val="-3"/>
        </w:rPr>
        <w:t>研究中的治疗分配。</w:t>
      </w:r>
    </w:p>
    <w:p>
      <w:pPr>
        <w:pStyle w:val="BodyText"/>
        <w:spacing w:line="276" w:lineRule="auto" w:before="285"/>
        <w:ind w:right="116" w:firstLine="480"/>
      </w:pPr>
      <w:r>
        <w:rPr>
          <w:spacing w:val="-4"/>
        </w:rPr>
        <w:t>研究受试者将参加每 </w:t>
      </w:r>
      <w:r>
        <w:rPr>
          <w:rFonts w:ascii="Times New Roman" w:eastAsia="Times New Roman"/>
        </w:rPr>
        <w:t>4 </w:t>
      </w:r>
      <w:r>
        <w:rPr>
          <w:spacing w:val="-3"/>
        </w:rPr>
        <w:t>周一次的计划门诊访视，以完成 </w:t>
      </w:r>
      <w:r>
        <w:rPr>
          <w:rFonts w:ascii="Times New Roman" w:eastAsia="Times New Roman"/>
        </w:rPr>
        <w:t>SoA</w:t>
      </w:r>
      <w:r>
        <w:rPr/>
        <w:t>（</w:t>
      </w:r>
      <w:r>
        <w:rPr>
          <w:spacing w:val="-18"/>
        </w:rPr>
        <w:t>第 </w:t>
      </w:r>
      <w:hyperlink w:history="true" w:anchor="_bookmark7">
        <w:r>
          <w:rPr>
            <w:rFonts w:ascii="Times New Roman" w:eastAsia="Times New Roman"/>
            <w:color w:val="0000FF"/>
          </w:rPr>
          <w:t>1.3</w:t>
        </w:r>
      </w:hyperlink>
      <w:r>
        <w:rPr>
          <w:rFonts w:ascii="Times New Roman" w:eastAsia="Times New Roman"/>
          <w:color w:val="0000FF"/>
        </w:rPr>
        <w:t> </w:t>
      </w:r>
      <w:r>
        <w:rPr/>
        <w:t>节）中列出</w:t>
      </w:r>
      <w:r>
        <w:rPr/>
        <w:t> </w:t>
      </w:r>
      <w:r>
        <w:rPr>
          <w:spacing w:val="-2"/>
        </w:rPr>
        <w:t>的方案特定评估。可能按需进行计划外访视，由研究者决定这些访视进行哪些评估。</w:t>
      </w:r>
    </w:p>
    <w:p>
      <w:pPr>
        <w:pStyle w:val="BodyText"/>
        <w:spacing w:before="239"/>
        <w:ind w:left="701"/>
      </w:pPr>
      <w:r>
        <w:rPr>
          <w:spacing w:val="10"/>
        </w:rPr>
        <w:t>在治疗期内，如适用，受试者和</w:t>
      </w:r>
      <w:r>
        <w:rPr>
          <w:rFonts w:ascii="Times New Roman" w:eastAsia="Times New Roman"/>
          <w:spacing w:val="11"/>
        </w:rPr>
        <w:t>/</w:t>
      </w:r>
      <w:r>
        <w:rPr>
          <w:spacing w:val="8"/>
        </w:rPr>
        <w:t>或护理者将首先接受 </w:t>
      </w:r>
      <w:r>
        <w:rPr>
          <w:rFonts w:ascii="Times New Roman" w:eastAsia="Times New Roman"/>
        </w:rPr>
        <w:t>IP</w:t>
      </w:r>
      <w:r>
        <w:rPr>
          <w:rFonts w:ascii="Times New Roman" w:eastAsia="Times New Roman"/>
          <w:spacing w:val="44"/>
        </w:rPr>
        <w:t> </w:t>
      </w:r>
      <w:r>
        <w:rPr>
          <w:spacing w:val="10"/>
        </w:rPr>
        <w:t>自行给药培训（</w:t>
      </w:r>
      <w:r>
        <w:rPr>
          <w:spacing w:val="-10"/>
        </w:rPr>
        <w:t>第</w:t>
      </w:r>
    </w:p>
    <w:p>
      <w:pPr>
        <w:pStyle w:val="BodyText"/>
        <w:spacing w:line="276" w:lineRule="auto" w:before="46"/>
        <w:ind w:right="358"/>
        <w:jc w:val="both"/>
      </w:pPr>
      <w:hyperlink w:history="true" w:anchor="_bookmark56">
        <w:r>
          <w:rPr>
            <w:rFonts w:ascii="Times New Roman" w:eastAsia="Times New Roman"/>
            <w:color w:val="0000FF"/>
          </w:rPr>
          <w:t>6.2.2.3</w:t>
        </w:r>
      </w:hyperlink>
      <w:r>
        <w:rPr>
          <w:rFonts w:ascii="Times New Roman" w:eastAsia="Times New Roman"/>
          <w:color w:val="0000FF"/>
        </w:rPr>
        <w:t> </w:t>
      </w:r>
      <w:r>
        <w:rPr/>
        <w:t>节）</w:t>
      </w:r>
      <w:r>
        <w:rPr>
          <w:spacing w:val="-4"/>
        </w:rPr>
        <w:t>。从访视 </w:t>
      </w:r>
      <w:r>
        <w:rPr>
          <w:rFonts w:ascii="Times New Roman" w:eastAsia="Times New Roman"/>
        </w:rPr>
        <w:t>5 </w:t>
      </w:r>
      <w:r>
        <w:rPr/>
        <w:t>开始，受试者可远程参加研究访视，并在每隔一次访视时自</w:t>
      </w:r>
      <w:r>
        <w:rPr>
          <w:spacing w:val="-4"/>
        </w:rPr>
        <w:t>行进行 </w:t>
      </w:r>
      <w:r>
        <w:rPr>
          <w:rFonts w:ascii="Times New Roman" w:eastAsia="Times New Roman"/>
        </w:rPr>
        <w:t>IP </w:t>
      </w:r>
      <w:r>
        <w:rPr/>
        <w:t>给药（</w:t>
      </w:r>
      <w:r>
        <w:rPr>
          <w:spacing w:val="-3"/>
        </w:rPr>
        <w:t>详情参见第 </w:t>
      </w:r>
      <w:hyperlink w:history="true" w:anchor="_bookmark7">
        <w:r>
          <w:rPr>
            <w:rFonts w:ascii="Times New Roman" w:eastAsia="Times New Roman"/>
            <w:color w:val="0000FF"/>
          </w:rPr>
          <w:t>1.3</w:t>
        </w:r>
      </w:hyperlink>
      <w:r>
        <w:rPr>
          <w:rFonts w:ascii="Times New Roman" w:eastAsia="Times New Roman"/>
          <w:color w:val="0000FF"/>
        </w:rPr>
        <w:t> </w:t>
      </w:r>
      <w:r>
        <w:rPr/>
        <w:t>节）。</w:t>
      </w:r>
    </w:p>
    <w:p>
      <w:pPr>
        <w:spacing w:after="0" w:line="276" w:lineRule="auto"/>
        <w:jc w:val="both"/>
        <w:sectPr>
          <w:pgSz w:w="11910" w:h="16840"/>
          <w:pgMar w:header="590" w:footer="784" w:top="1340" w:bottom="980" w:left="1480" w:right="1080"/>
        </w:sectPr>
      </w:pPr>
    </w:p>
    <w:p>
      <w:pPr>
        <w:pStyle w:val="BodyText"/>
        <w:spacing w:line="276" w:lineRule="auto" w:before="88"/>
        <w:ind w:right="355" w:firstLine="480"/>
        <w:jc w:val="both"/>
      </w:pPr>
      <w:r>
        <w:rPr/>
        <w:t>研究者必须对受试者进行评估，以确保受试者</w:t>
      </w:r>
      <w:r>
        <w:rPr>
          <w:rFonts w:ascii="Times New Roman" w:eastAsia="Times New Roman"/>
        </w:rPr>
        <w:t>/</w:t>
      </w:r>
      <w:r>
        <w:rPr>
          <w:spacing w:val="5"/>
        </w:rPr>
        <w:t>护理者能够进行</w:t>
      </w:r>
      <w:r>
        <w:rPr>
          <w:rFonts w:ascii="Times New Roman" w:eastAsia="Times New Roman"/>
        </w:rPr>
        <w:t>IP</w:t>
      </w:r>
      <w:r>
        <w:rPr>
          <w:rFonts w:ascii="Times New Roman" w:eastAsia="Times New Roman"/>
          <w:spacing w:val="-15"/>
        </w:rPr>
        <w:t> </w:t>
      </w:r>
      <w:r>
        <w:rPr/>
        <w:t>自行给药（</w:t>
      </w:r>
      <w:r>
        <w:rPr/>
        <w:t>请</w:t>
      </w:r>
      <w:r>
        <w:rPr>
          <w:spacing w:val="-2"/>
        </w:rPr>
        <w:t>见单独的自行给药说明）。居家自行给药是可选的：如果未计划远程医疗进行研究访视，则该访视应在研究中心进行。</w:t>
      </w:r>
    </w:p>
    <w:p>
      <w:pPr>
        <w:pStyle w:val="BodyText"/>
        <w:spacing w:line="276" w:lineRule="auto" w:before="238"/>
        <w:ind w:right="116" w:firstLine="480"/>
      </w:pPr>
      <w:r>
        <w:rPr>
          <w:spacing w:val="-1"/>
        </w:rPr>
        <w:t>将建议受试者在整个研究期间继续接受相同的 </w:t>
      </w:r>
      <w:r>
        <w:rPr>
          <w:rFonts w:ascii="Times New Roman" w:eastAsia="Times New Roman"/>
        </w:rPr>
        <w:t>COPD </w:t>
      </w:r>
      <w:r>
        <w:rPr/>
        <w:t>维持治疗（</w:t>
      </w:r>
      <w:r>
        <w:rPr>
          <w:spacing w:val="-10"/>
        </w:rPr>
        <w:t>第 </w:t>
      </w:r>
      <w:hyperlink w:history="true" w:anchor="_bookmark66">
        <w:r>
          <w:rPr>
            <w:rFonts w:ascii="Times New Roman" w:eastAsia="Times New Roman"/>
            <w:color w:val="0000FF"/>
          </w:rPr>
          <w:t>6.5.2</w:t>
        </w:r>
      </w:hyperlink>
      <w:r>
        <w:rPr>
          <w:rFonts w:ascii="Times New Roman" w:eastAsia="Times New Roman"/>
          <w:color w:val="0000FF"/>
        </w:rPr>
        <w:t> </w:t>
      </w:r>
      <w:r>
        <w:rPr/>
        <w:t>节）。</w:t>
      </w:r>
      <w:r>
        <w:rPr/>
        <w:t> </w:t>
      </w:r>
      <w:r>
        <w:rPr>
          <w:spacing w:val="9"/>
        </w:rPr>
        <w:t>如果出现</w:t>
      </w:r>
      <w:r>
        <w:rPr>
          <w:rFonts w:ascii="Times New Roman" w:eastAsia="Times New Roman"/>
        </w:rPr>
        <w:t>COPD</w:t>
      </w:r>
      <w:r>
        <w:rPr>
          <w:rFonts w:ascii="Times New Roman" w:eastAsia="Times New Roman"/>
          <w:spacing w:val="-30"/>
        </w:rPr>
        <w:t> </w:t>
      </w:r>
      <w:r>
        <w:rPr/>
        <w:t>恶化</w:t>
      </w:r>
      <w:r>
        <w:rPr>
          <w:rFonts w:ascii="Times New Roman" w:eastAsia="Times New Roman"/>
        </w:rPr>
        <w:t>/</w:t>
      </w:r>
      <w:r>
        <w:rPr/>
        <w:t>急性加重时（</w:t>
      </w:r>
      <w:r>
        <w:rPr>
          <w:spacing w:val="36"/>
        </w:rPr>
        <w:t>第</w:t>
      </w:r>
      <w:hyperlink w:history="true" w:anchor="_bookmark81">
        <w:r>
          <w:rPr>
            <w:rFonts w:ascii="Times New Roman" w:eastAsia="Times New Roman"/>
            <w:color w:val="0000FF"/>
          </w:rPr>
          <w:t>8.1.1</w:t>
        </w:r>
      </w:hyperlink>
      <w:r>
        <w:rPr>
          <w:rFonts w:ascii="Times New Roman" w:eastAsia="Times New Roman"/>
          <w:color w:val="0000FF"/>
          <w:spacing w:val="-29"/>
        </w:rPr>
        <w:t> </w:t>
      </w:r>
      <w:r>
        <w:rPr/>
        <w:t>节），应在研究中心进行计划外访视（如果</w:t>
      </w:r>
      <w:r>
        <w:rPr>
          <w:spacing w:val="-2"/>
        </w:rPr>
        <w:t>可行）或者计划访视（如果疾病恶化发生在计划访视窗内），对受试者进行评估。</w:t>
      </w:r>
    </w:p>
    <w:p>
      <w:pPr>
        <w:pStyle w:val="BodyText"/>
        <w:spacing w:before="237"/>
        <w:ind w:left="0" w:right="357"/>
        <w:jc w:val="right"/>
        <w:rPr>
          <w:rFonts w:ascii="Times New Roman" w:eastAsia="Times New Roman"/>
        </w:rPr>
      </w:pPr>
      <w:r>
        <w:rPr>
          <w:spacing w:val="-8"/>
        </w:rPr>
        <w:t>提前中止 </w:t>
      </w:r>
      <w:r>
        <w:rPr>
          <w:rFonts w:ascii="Times New Roman" w:eastAsia="Times New Roman"/>
        </w:rPr>
        <w:t>IP</w:t>
      </w:r>
      <w:r>
        <w:rPr>
          <w:rFonts w:ascii="Times New Roman" w:eastAsia="Times New Roman"/>
          <w:spacing w:val="1"/>
        </w:rPr>
        <w:t> </w:t>
      </w:r>
      <w:r>
        <w:rPr>
          <w:spacing w:val="-5"/>
        </w:rPr>
        <w:t>治疗的受试者应在 </w:t>
      </w:r>
      <w:r>
        <w:rPr>
          <w:rFonts w:ascii="Times New Roman" w:eastAsia="Times New Roman"/>
        </w:rPr>
        <w:t>IP</w:t>
      </w:r>
      <w:r>
        <w:rPr>
          <w:rFonts w:ascii="Times New Roman" w:eastAsia="Times New Roman"/>
          <w:spacing w:val="3"/>
        </w:rPr>
        <w:t> </w:t>
      </w:r>
      <w:r>
        <w:rPr>
          <w:spacing w:val="-7"/>
        </w:rPr>
        <w:t>末次给药后 </w:t>
      </w:r>
      <w:r>
        <w:rPr>
          <w:rFonts w:ascii="Times New Roman" w:eastAsia="Times New Roman"/>
        </w:rPr>
        <w:t>12</w:t>
      </w:r>
      <w:r>
        <w:rPr>
          <w:rFonts w:ascii="Times New Roman" w:eastAsia="Times New Roman"/>
          <w:spacing w:val="4"/>
        </w:rPr>
        <w:t> </w:t>
      </w:r>
      <w:r>
        <w:rPr>
          <w:spacing w:val="-4"/>
        </w:rPr>
        <w:t>周返回研究中心，并完成 </w:t>
      </w:r>
      <w:r>
        <w:rPr>
          <w:rFonts w:ascii="Times New Roman" w:eastAsia="Times New Roman"/>
          <w:spacing w:val="-5"/>
        </w:rPr>
        <w:t>E/D</w:t>
      </w:r>
    </w:p>
    <w:p>
      <w:pPr>
        <w:pStyle w:val="BodyText"/>
        <w:spacing w:before="46"/>
        <w:ind w:left="0" w:right="358"/>
        <w:jc w:val="right"/>
      </w:pPr>
      <w:r>
        <w:rPr>
          <w:spacing w:val="-5"/>
        </w:rPr>
        <w:t>访视规定的程序，或在距离 </w:t>
      </w:r>
      <w:r>
        <w:rPr>
          <w:rFonts w:ascii="Times New Roman" w:eastAsia="Times New Roman"/>
        </w:rPr>
        <w:t>IP</w:t>
      </w:r>
      <w:r>
        <w:rPr>
          <w:rFonts w:ascii="Times New Roman" w:eastAsia="Times New Roman"/>
          <w:spacing w:val="-12"/>
        </w:rPr>
        <w:t> </w:t>
      </w:r>
      <w:r>
        <w:rPr>
          <w:spacing w:val="-8"/>
        </w:rPr>
        <w:t>末次给药已过去 </w:t>
      </w:r>
      <w:r>
        <w:rPr>
          <w:rFonts w:ascii="Times New Roman" w:eastAsia="Times New Roman"/>
        </w:rPr>
        <w:t>12</w:t>
      </w:r>
      <w:r>
        <w:rPr>
          <w:rFonts w:ascii="Times New Roman" w:eastAsia="Times New Roman"/>
          <w:spacing w:val="-11"/>
        </w:rPr>
        <w:t> </w:t>
      </w:r>
      <w:r>
        <w:rPr/>
        <w:t>周后尽快进行（</w:t>
      </w:r>
      <w:r>
        <w:rPr>
          <w:spacing w:val="-15"/>
        </w:rPr>
        <w:t>参见第 </w:t>
      </w:r>
      <w:hyperlink w:history="true" w:anchor="_bookmark7">
        <w:r>
          <w:rPr>
            <w:rFonts w:ascii="Times New Roman" w:eastAsia="Times New Roman"/>
            <w:color w:val="0000FF"/>
          </w:rPr>
          <w:t>1.3</w:t>
        </w:r>
      </w:hyperlink>
      <w:r>
        <w:rPr>
          <w:rFonts w:ascii="Times New Roman" w:eastAsia="Times New Roman"/>
          <w:color w:val="0000FF"/>
          <w:spacing w:val="-11"/>
        </w:rPr>
        <w:t> </w:t>
      </w:r>
      <w:r>
        <w:rPr>
          <w:spacing w:val="-4"/>
        </w:rPr>
        <w:t>节和第</w:t>
      </w:r>
    </w:p>
    <w:p>
      <w:pPr>
        <w:pStyle w:val="BodyText"/>
        <w:spacing w:before="45"/>
        <w:ind w:left="0" w:right="357"/>
        <w:jc w:val="right"/>
        <w:rPr>
          <w:rFonts w:ascii="Times New Roman" w:eastAsia="Times New Roman"/>
        </w:rPr>
      </w:pPr>
      <w:hyperlink w:history="true" w:anchor="_bookmark75">
        <w:r>
          <w:rPr>
            <w:rFonts w:ascii="Times New Roman" w:eastAsia="Times New Roman"/>
            <w:color w:val="0000FF"/>
          </w:rPr>
          <w:t>7.1.1</w:t>
        </w:r>
      </w:hyperlink>
      <w:r>
        <w:rPr>
          <w:rFonts w:ascii="Times New Roman" w:eastAsia="Times New Roman"/>
          <w:color w:val="0000FF"/>
          <w:spacing w:val="12"/>
        </w:rPr>
        <w:t> </w:t>
      </w:r>
      <w:r>
        <w:rPr/>
        <w:t>节）</w:t>
      </w:r>
      <w:r>
        <w:rPr>
          <w:spacing w:val="-3"/>
        </w:rPr>
        <w:t>。如果受试者无法或不愿意在 </w:t>
      </w:r>
      <w:r>
        <w:rPr>
          <w:rFonts w:ascii="Times New Roman" w:eastAsia="Times New Roman"/>
        </w:rPr>
        <w:t>IP</w:t>
      </w:r>
      <w:r>
        <w:rPr>
          <w:rFonts w:ascii="Times New Roman" w:eastAsia="Times New Roman"/>
          <w:spacing w:val="11"/>
        </w:rPr>
        <w:t> </w:t>
      </w:r>
      <w:r>
        <w:rPr>
          <w:spacing w:val="-5"/>
        </w:rPr>
        <w:t>末次给药后 </w:t>
      </w:r>
      <w:r>
        <w:rPr>
          <w:rFonts w:ascii="Times New Roman" w:eastAsia="Times New Roman"/>
        </w:rPr>
        <w:t>12</w:t>
      </w:r>
      <w:r>
        <w:rPr>
          <w:rFonts w:ascii="Times New Roman" w:eastAsia="Times New Roman"/>
          <w:spacing w:val="12"/>
        </w:rPr>
        <w:t> </w:t>
      </w:r>
      <w:r>
        <w:rPr>
          <w:spacing w:val="-3"/>
        </w:rPr>
        <w:t>周返回研究中心进行 </w:t>
      </w:r>
      <w:r>
        <w:rPr>
          <w:rFonts w:ascii="Times New Roman" w:eastAsia="Times New Roman"/>
          <w:spacing w:val="-5"/>
        </w:rPr>
        <w:t>E/D</w:t>
      </w:r>
    </w:p>
    <w:p>
      <w:pPr>
        <w:pStyle w:val="BodyText"/>
        <w:spacing w:before="47"/>
      </w:pPr>
      <w:r>
        <w:rPr>
          <w:spacing w:val="-3"/>
        </w:rPr>
        <w:t>访视，则可在受试者认为可行的时间点提前进行 </w:t>
      </w:r>
      <w:r>
        <w:rPr>
          <w:rFonts w:ascii="Times New Roman" w:eastAsia="Times New Roman"/>
        </w:rPr>
        <w:t>E/D</w:t>
      </w:r>
      <w:r>
        <w:rPr>
          <w:rFonts w:ascii="Times New Roman" w:eastAsia="Times New Roman"/>
          <w:spacing w:val="-14"/>
        </w:rPr>
        <w:t> </w:t>
      </w:r>
      <w:r>
        <w:rPr>
          <w:spacing w:val="-2"/>
        </w:rPr>
        <w:t>访视评估。</w:t>
      </w:r>
    </w:p>
    <w:p>
      <w:pPr>
        <w:pStyle w:val="BodyText"/>
        <w:spacing w:line="276" w:lineRule="auto" w:before="286"/>
        <w:ind w:right="357" w:firstLine="480"/>
        <w:jc w:val="both"/>
      </w:pPr>
      <w:r>
        <w:rPr/>
        <w:t>鼓励中止治疗的受试者继续参与研究，并通过远程医疗访视接受随访，直至治疗期结束（</w:t>
      </w:r>
      <w:r>
        <w:rPr>
          <w:spacing w:val="-3"/>
        </w:rPr>
        <w:t>详细信息请见第 </w:t>
      </w:r>
      <w:hyperlink w:history="true" w:anchor="_bookmark75">
        <w:r>
          <w:rPr>
            <w:rFonts w:ascii="Times New Roman" w:eastAsia="Times New Roman"/>
            <w:color w:val="0000FF"/>
          </w:rPr>
          <w:t>7.1.1</w:t>
        </w:r>
      </w:hyperlink>
      <w:r>
        <w:rPr>
          <w:rFonts w:ascii="Times New Roman" w:eastAsia="Times New Roman"/>
          <w:color w:val="0000FF"/>
        </w:rPr>
        <w:t> </w:t>
      </w:r>
      <w:r>
        <w:rPr/>
        <w:t>节）。</w:t>
      </w:r>
    </w:p>
    <w:p>
      <w:pPr>
        <w:pStyle w:val="BodyText"/>
        <w:spacing w:line="460" w:lineRule="auto" w:before="237"/>
        <w:ind w:left="701" w:right="118"/>
        <w:jc w:val="both"/>
      </w:pPr>
      <w:r>
        <w:rPr>
          <w:spacing w:val="-2"/>
        </w:rPr>
        <w:t>完成研究治疗期的受试者将在末次给药后 </w:t>
      </w:r>
      <w:r>
        <w:rPr>
          <w:rFonts w:ascii="Times New Roman" w:eastAsia="Times New Roman"/>
        </w:rPr>
        <w:t>12</w:t>
      </w:r>
      <w:r>
        <w:rPr>
          <w:rFonts w:ascii="Times New Roman" w:eastAsia="Times New Roman"/>
          <w:spacing w:val="-15"/>
        </w:rPr>
        <w:t> </w:t>
      </w:r>
      <w:r>
        <w:rPr/>
        <w:t>周参加随访访视（</w:t>
      </w:r>
      <w:r>
        <w:rPr>
          <w:spacing w:val="-8"/>
        </w:rPr>
        <w:t>参见第 </w:t>
      </w:r>
      <w:hyperlink w:history="true" w:anchor="_bookmark7">
        <w:r>
          <w:rPr>
            <w:rFonts w:ascii="Times New Roman" w:eastAsia="Times New Roman"/>
            <w:color w:val="0000FF"/>
          </w:rPr>
          <w:t>1.3</w:t>
        </w:r>
      </w:hyperlink>
      <w:r>
        <w:rPr>
          <w:rFonts w:ascii="Times New Roman" w:eastAsia="Times New Roman"/>
          <w:color w:val="0000FF"/>
          <w:spacing w:val="-15"/>
        </w:rPr>
        <w:t> </w:t>
      </w:r>
      <w:r>
        <w:rPr/>
        <w:t>节）</w:t>
      </w:r>
      <w:r>
        <w:rPr/>
        <w:t>。所有受试者将在完成或提前中止（</w:t>
      </w:r>
      <w:r>
        <w:rPr>
          <w:rFonts w:ascii="Times New Roman" w:eastAsia="Times New Roman"/>
        </w:rPr>
        <w:t>E/D</w:t>
      </w:r>
      <w:r>
        <w:rPr/>
        <w:t>）</w:t>
      </w:r>
      <w:r>
        <w:rPr>
          <w:rFonts w:ascii="Times New Roman" w:eastAsia="Times New Roman"/>
        </w:rPr>
        <w:t>IP </w:t>
      </w:r>
      <w:r>
        <w:rPr>
          <w:spacing w:val="-3"/>
        </w:rPr>
        <w:t>治疗时通过 </w:t>
      </w:r>
      <w:r>
        <w:rPr>
          <w:rFonts w:ascii="Times New Roman" w:eastAsia="Times New Roman"/>
        </w:rPr>
        <w:t>RTSM </w:t>
      </w:r>
      <w:r>
        <w:rPr/>
        <w:t>系统进行登记。</w:t>
      </w:r>
    </w:p>
    <w:p>
      <w:pPr>
        <w:pStyle w:val="Heading2"/>
        <w:numPr>
          <w:ilvl w:val="2"/>
          <w:numId w:val="3"/>
        </w:numPr>
        <w:tabs>
          <w:tab w:pos="1370" w:val="left" w:leader="none"/>
          <w:tab w:pos="1373" w:val="left" w:leader="none"/>
        </w:tabs>
        <w:spacing w:line="240" w:lineRule="auto" w:before="0" w:after="0"/>
        <w:ind w:left="1373" w:right="405" w:hanging="1153"/>
        <w:jc w:val="both"/>
      </w:pPr>
      <w:bookmarkStart w:name="4.1.3 因民事危机、自然灾害或公共卫生危机导致研究中断期间的研究风险规避" w:id="48"/>
      <w:bookmarkEnd w:id="48"/>
      <w:r>
        <w:rPr>
          <w:b w:val="0"/>
        </w:rPr>
      </w:r>
      <w:bookmarkStart w:name="_bookmark26" w:id="49"/>
      <w:bookmarkEnd w:id="49"/>
      <w:r>
        <w:rPr>
          <w:b w:val="0"/>
        </w:rPr>
      </w:r>
      <w:r>
        <w:rPr>
          <w:spacing w:val="-2"/>
        </w:rPr>
        <w:t>因民事危机、自然灾害或公共卫生危机导致研究中断期间的研究风</w:t>
      </w:r>
      <w:r>
        <w:rPr>
          <w:spacing w:val="-4"/>
        </w:rPr>
        <w:t>险规避</w:t>
      </w:r>
    </w:p>
    <w:p>
      <w:pPr>
        <w:pStyle w:val="BodyText"/>
        <w:spacing w:line="276" w:lineRule="auto" w:before="118"/>
        <w:ind w:right="354" w:firstLine="480"/>
        <w:jc w:val="both"/>
      </w:pPr>
      <w:r>
        <w:rPr>
          <w:spacing w:val="-3"/>
        </w:rPr>
        <w:t>下文中的指南用于替代本 </w:t>
      </w:r>
      <w:r>
        <w:rPr>
          <w:rFonts w:ascii="Times New Roman" w:eastAsia="Times New Roman"/>
        </w:rPr>
        <w:t>CSP</w:t>
      </w:r>
      <w:r>
        <w:rPr>
          <w:rFonts w:ascii="Times New Roman" w:eastAsia="Times New Roman"/>
          <w:spacing w:val="-3"/>
        </w:rPr>
        <w:t> </w:t>
      </w:r>
      <w:r>
        <w:rPr/>
        <w:t>中其他章节给出的说明，并仅用于发生可阻止在</w:t>
      </w:r>
      <w:r>
        <w:rPr>
          <w:spacing w:val="-2"/>
        </w:rPr>
        <w:t>研究中心进行研究相关活动，从而损害研究中心工作人员或受试者进行研究的能力的内战、自然灾害或公共卫生危机时实施（例如，在隔离期并由此导致研究中心关</w:t>
      </w:r>
      <w:r>
        <w:rPr/>
        <w:t>闭、区域旅行限制期间，以及在研究中心人员或研究受试者感染</w:t>
      </w:r>
      <w:r>
        <w:rPr>
          <w:rFonts w:ascii="Times New Roman" w:eastAsia="Times New Roman"/>
        </w:rPr>
        <w:t>SARSCoV-2</w:t>
      </w:r>
      <w:r>
        <w:rPr>
          <w:rFonts w:ascii="Times New Roman" w:eastAsia="Times New Roman"/>
          <w:spacing w:val="-15"/>
        </w:rPr>
        <w:t> </w:t>
      </w:r>
      <w:r>
        <w:rPr/>
        <w:t>或类似</w:t>
      </w:r>
      <w:r>
        <w:rPr>
          <w:spacing w:val="-2"/>
        </w:rPr>
        <w:t>的疫情感染情况下）。研究者或指定人员应联系研究申办者，讨论是否应实施以下规避计划。</w:t>
      </w:r>
    </w:p>
    <w:p>
      <w:pPr>
        <w:pStyle w:val="BodyText"/>
        <w:spacing w:line="276" w:lineRule="auto" w:before="235"/>
        <w:ind w:right="359" w:firstLine="480"/>
        <w:jc w:val="both"/>
      </w:pPr>
      <w:r>
        <w:rPr>
          <w:spacing w:val="-2"/>
        </w:rPr>
        <w:t>为确保在内战、自然灾害或公共健康危机期间临床研究的连续性，可以对研究</w:t>
      </w:r>
      <w:r>
        <w:rPr>
          <w:spacing w:val="-1"/>
        </w:rPr>
        <w:t>进行变更，以确保研究受试者的安全性、继续遵守 </w:t>
      </w:r>
      <w:r>
        <w:rPr>
          <w:rFonts w:ascii="Times New Roman" w:eastAsia="Times New Roman"/>
        </w:rPr>
        <w:t>GCP</w:t>
      </w:r>
      <w:r>
        <w:rPr/>
        <w:t>，并将研究完整性的风险降</w:t>
      </w:r>
      <w:r>
        <w:rPr>
          <w:spacing w:val="-4"/>
        </w:rPr>
        <w:t>至最低。</w:t>
      </w:r>
    </w:p>
    <w:p>
      <w:pPr>
        <w:pStyle w:val="BodyText"/>
        <w:spacing w:line="276" w:lineRule="auto" w:before="236"/>
        <w:ind w:right="365" w:firstLine="480"/>
      </w:pPr>
      <w:r>
        <w:rPr>
          <w:spacing w:val="-2"/>
        </w:rPr>
        <w:t>在当地卫生当局、伦理委员会、医疗保健提供者指南（如医院政策）或当地政府允许的情况下，上述变更可能包括以下选项：</w:t>
      </w:r>
    </w:p>
    <w:p>
      <w:pPr>
        <w:pStyle w:val="ListParagraph"/>
        <w:numPr>
          <w:ilvl w:val="0"/>
          <w:numId w:val="13"/>
        </w:numPr>
        <w:tabs>
          <w:tab w:pos="646" w:val="left" w:leader="none"/>
        </w:tabs>
        <w:spacing w:line="240" w:lineRule="auto" w:before="238" w:after="0"/>
        <w:ind w:left="646" w:right="354" w:hanging="425"/>
        <w:jc w:val="left"/>
        <w:rPr>
          <w:sz w:val="24"/>
        </w:rPr>
      </w:pPr>
      <w:r>
        <w:rPr>
          <w:spacing w:val="-2"/>
          <w:sz w:val="24"/>
        </w:rPr>
        <w:t>获得风险规避程序知情同意</w:t>
      </w:r>
      <w:r>
        <w:rPr>
          <w:rFonts w:ascii="Times New Roman" w:hAnsi="Times New Roman" w:eastAsia="Times New Roman"/>
          <w:spacing w:val="-2"/>
          <w:sz w:val="24"/>
        </w:rPr>
        <w:t>/</w:t>
      </w:r>
      <w:r>
        <w:rPr>
          <w:spacing w:val="-2"/>
          <w:sz w:val="24"/>
        </w:rPr>
        <w:t>再次知情同意（注意，在口头知情同意</w:t>
      </w:r>
      <w:r>
        <w:rPr>
          <w:rFonts w:ascii="Times New Roman" w:hAnsi="Times New Roman" w:eastAsia="Times New Roman"/>
          <w:spacing w:val="-2"/>
          <w:sz w:val="24"/>
        </w:rPr>
        <w:t>/</w:t>
      </w:r>
      <w:r>
        <w:rPr>
          <w:spacing w:val="-2"/>
          <w:sz w:val="24"/>
        </w:rPr>
        <w:t>再次知情同意的情况下，应尽早 </w:t>
      </w:r>
      <w:r>
        <w:rPr>
          <w:rFonts w:ascii="Times New Roman" w:hAnsi="Times New Roman" w:eastAsia="Times New Roman"/>
          <w:sz w:val="24"/>
        </w:rPr>
        <w:t>[</w:t>
      </w:r>
      <w:r>
        <w:rPr>
          <w:sz w:val="24"/>
        </w:rPr>
        <w:t>即受试者下一次访视时</w:t>
      </w:r>
      <w:r>
        <w:rPr>
          <w:rFonts w:ascii="Times New Roman" w:hAnsi="Times New Roman" w:eastAsia="Times New Roman"/>
          <w:sz w:val="24"/>
        </w:rPr>
        <w:t>] </w:t>
      </w:r>
      <w:r>
        <w:rPr>
          <w:spacing w:val="-5"/>
          <w:sz w:val="24"/>
        </w:rPr>
        <w:t>签署 </w:t>
      </w:r>
      <w:r>
        <w:rPr>
          <w:rFonts w:ascii="Times New Roman" w:hAnsi="Times New Roman" w:eastAsia="Times New Roman"/>
          <w:sz w:val="24"/>
        </w:rPr>
        <w:t>ICF</w:t>
      </w:r>
      <w:r>
        <w:rPr>
          <w:sz w:val="24"/>
        </w:rPr>
        <w:t>）。</w:t>
      </w:r>
    </w:p>
    <w:p>
      <w:pPr>
        <w:pStyle w:val="ListParagraph"/>
        <w:numPr>
          <w:ilvl w:val="0"/>
          <w:numId w:val="13"/>
        </w:numPr>
        <w:tabs>
          <w:tab w:pos="646" w:val="left" w:leader="none"/>
        </w:tabs>
        <w:spacing w:line="240" w:lineRule="auto" w:before="60" w:after="0"/>
        <w:ind w:left="646" w:right="0" w:hanging="425"/>
        <w:jc w:val="left"/>
        <w:rPr>
          <w:sz w:val="24"/>
        </w:rPr>
      </w:pPr>
      <w:r>
        <w:rPr>
          <w:spacing w:val="-3"/>
          <w:sz w:val="24"/>
        </w:rPr>
        <w:t>居家访视或远程访视：由研究中心有资质的 </w:t>
      </w:r>
      <w:r>
        <w:rPr>
          <w:rFonts w:ascii="Times New Roman" w:hAnsi="Times New Roman" w:eastAsia="Times New Roman"/>
          <w:sz w:val="24"/>
        </w:rPr>
        <w:t>HCP</w:t>
      </w:r>
      <w:r>
        <w:rPr>
          <w:rFonts w:ascii="Times New Roman" w:hAnsi="Times New Roman" w:eastAsia="Times New Roman"/>
          <w:spacing w:val="-15"/>
          <w:sz w:val="24"/>
        </w:rPr>
        <w:t> </w:t>
      </w:r>
      <w:r>
        <w:rPr>
          <w:spacing w:val="-15"/>
          <w:sz w:val="24"/>
        </w:rPr>
        <w:t>或来自 </w:t>
      </w:r>
      <w:r>
        <w:rPr>
          <w:rFonts w:ascii="Times New Roman" w:hAnsi="Times New Roman" w:eastAsia="Times New Roman"/>
          <w:sz w:val="24"/>
        </w:rPr>
        <w:t>TPV</w:t>
      </w:r>
      <w:r>
        <w:rPr>
          <w:rFonts w:ascii="Times New Roman" w:hAnsi="Times New Roman" w:eastAsia="Times New Roman"/>
          <w:spacing w:val="-14"/>
          <w:sz w:val="24"/>
        </w:rPr>
        <w:t> </w:t>
      </w:r>
      <w:r>
        <w:rPr>
          <w:spacing w:val="-30"/>
          <w:sz w:val="24"/>
        </w:rPr>
        <w:t>的 </w:t>
      </w:r>
      <w:r>
        <w:rPr>
          <w:rFonts w:ascii="Times New Roman" w:hAnsi="Times New Roman" w:eastAsia="Times New Roman"/>
          <w:sz w:val="24"/>
        </w:rPr>
        <w:t>HCP</w:t>
      </w:r>
      <w:r>
        <w:rPr>
          <w:rFonts w:ascii="Times New Roman" w:hAnsi="Times New Roman" w:eastAsia="Times New Roman"/>
          <w:spacing w:val="-13"/>
          <w:sz w:val="24"/>
        </w:rPr>
        <w:t> </w:t>
      </w:r>
      <w:r>
        <w:rPr>
          <w:spacing w:val="-4"/>
          <w:sz w:val="24"/>
        </w:rPr>
        <w:t>执行。</w:t>
      </w:r>
    </w:p>
    <w:p>
      <w:pPr>
        <w:pStyle w:val="ListParagraph"/>
        <w:numPr>
          <w:ilvl w:val="0"/>
          <w:numId w:val="13"/>
        </w:numPr>
        <w:tabs>
          <w:tab w:pos="646" w:val="left" w:leader="none"/>
        </w:tabs>
        <w:spacing w:line="240" w:lineRule="auto" w:before="58" w:after="0"/>
        <w:ind w:left="646" w:right="363" w:hanging="425"/>
        <w:jc w:val="left"/>
        <w:rPr>
          <w:sz w:val="24"/>
        </w:rPr>
      </w:pPr>
      <w:r>
        <w:rPr>
          <w:spacing w:val="3"/>
          <w:sz w:val="24"/>
        </w:rPr>
        <w:t>远程医疗访视：通过电信技术与受试者进行远程联系，包括电话、虚拟或视频访视，以及移动健康设备。</w:t>
      </w:r>
    </w:p>
    <w:p>
      <w:pPr>
        <w:spacing w:after="0" w:line="240" w:lineRule="auto"/>
        <w:jc w:val="left"/>
        <w:rPr>
          <w:sz w:val="24"/>
        </w:rPr>
        <w:sectPr>
          <w:pgSz w:w="11910" w:h="16840"/>
          <w:pgMar w:header="590" w:footer="784" w:top="1340" w:bottom="980" w:left="1480" w:right="1080"/>
        </w:sectPr>
      </w:pPr>
    </w:p>
    <w:p>
      <w:pPr>
        <w:pStyle w:val="ListParagraph"/>
        <w:numPr>
          <w:ilvl w:val="0"/>
          <w:numId w:val="13"/>
        </w:numPr>
        <w:tabs>
          <w:tab w:pos="646" w:val="left" w:leader="none"/>
        </w:tabs>
        <w:spacing w:line="240" w:lineRule="auto" w:before="86" w:after="0"/>
        <w:ind w:left="646" w:right="358" w:hanging="425"/>
        <w:jc w:val="both"/>
        <w:rPr>
          <w:sz w:val="24"/>
        </w:rPr>
      </w:pPr>
      <w:r>
        <w:rPr>
          <w:spacing w:val="14"/>
          <w:sz w:val="24"/>
        </w:rPr>
        <w:t>居家</w:t>
      </w:r>
      <w:r>
        <w:rPr>
          <w:rFonts w:ascii="Times New Roman" w:hAnsi="Times New Roman" w:eastAsia="Times New Roman"/>
          <w:sz w:val="24"/>
        </w:rPr>
        <w:t>IP</w:t>
      </w:r>
      <w:r>
        <w:rPr>
          <w:rFonts w:ascii="Times New Roman" w:hAnsi="Times New Roman" w:eastAsia="Times New Roman"/>
          <w:spacing w:val="-15"/>
          <w:sz w:val="24"/>
        </w:rPr>
        <w:t> </w:t>
      </w:r>
      <w:r>
        <w:rPr>
          <w:spacing w:val="2"/>
          <w:sz w:val="24"/>
        </w:rPr>
        <w:t>给药：由研究中心具有资质的</w:t>
      </w:r>
      <w:r>
        <w:rPr>
          <w:rFonts w:ascii="Times New Roman" w:hAnsi="Times New Roman" w:eastAsia="Times New Roman"/>
          <w:sz w:val="24"/>
        </w:rPr>
        <w:t>HCP</w:t>
      </w:r>
      <w:r>
        <w:rPr>
          <w:rFonts w:ascii="Times New Roman" w:hAnsi="Times New Roman" w:eastAsia="Times New Roman"/>
          <w:spacing w:val="-15"/>
          <w:sz w:val="24"/>
        </w:rPr>
        <w:t> </w:t>
      </w:r>
      <w:r>
        <w:rPr>
          <w:spacing w:val="2"/>
          <w:sz w:val="24"/>
        </w:rPr>
        <w:t>进行，如果可能，由来自</w:t>
      </w:r>
      <w:r>
        <w:rPr>
          <w:rFonts w:ascii="Times New Roman" w:hAnsi="Times New Roman" w:eastAsia="Times New Roman"/>
          <w:sz w:val="24"/>
        </w:rPr>
        <w:t>TPV</w:t>
      </w:r>
      <w:r>
        <w:rPr>
          <w:rFonts w:ascii="Times New Roman" w:hAnsi="Times New Roman" w:eastAsia="Times New Roman"/>
          <w:spacing w:val="-15"/>
          <w:sz w:val="24"/>
        </w:rPr>
        <w:t> </w:t>
      </w:r>
      <w:r>
        <w:rPr>
          <w:spacing w:val="29"/>
          <w:sz w:val="24"/>
        </w:rPr>
        <w:t>的</w:t>
      </w:r>
      <w:r>
        <w:rPr>
          <w:rFonts w:ascii="Times New Roman" w:hAnsi="Times New Roman" w:eastAsia="Times New Roman"/>
          <w:sz w:val="24"/>
        </w:rPr>
        <w:t>HCP</w:t>
      </w:r>
      <w:r>
        <w:rPr>
          <w:spacing w:val="-2"/>
          <w:sz w:val="24"/>
        </w:rPr>
        <w:t>或受试者</w:t>
      </w:r>
      <w:r>
        <w:rPr>
          <w:rFonts w:ascii="Times New Roman" w:hAnsi="Times New Roman" w:eastAsia="Times New Roman"/>
          <w:spacing w:val="-2"/>
          <w:sz w:val="24"/>
        </w:rPr>
        <w:t>/</w:t>
      </w:r>
      <w:r>
        <w:rPr>
          <w:spacing w:val="-2"/>
          <w:sz w:val="24"/>
        </w:rPr>
        <w:t>护理者（如果可能）实施。可以通过远程医疗获得与访视有关的其他</w:t>
      </w:r>
      <w:r>
        <w:rPr>
          <w:spacing w:val="-4"/>
          <w:sz w:val="24"/>
        </w:rPr>
        <w:t>信息。</w:t>
      </w:r>
    </w:p>
    <w:p>
      <w:pPr>
        <w:pStyle w:val="BodyText"/>
        <w:spacing w:before="23"/>
        <w:ind w:left="0"/>
      </w:pPr>
    </w:p>
    <w:p>
      <w:pPr>
        <w:pStyle w:val="BodyText"/>
        <w:spacing w:line="276" w:lineRule="auto" w:before="1"/>
        <w:ind w:right="354" w:firstLine="480"/>
        <w:jc w:val="both"/>
      </w:pPr>
      <w:r>
        <w:rPr>
          <w:spacing w:val="-2"/>
        </w:rPr>
        <w:t>研究者、盲态申办者和研究中心工作人员以及研究受试者应在整个研究过程中保持盲态，包括上述风险规避步骤。有关内战、自然灾害或公共卫生危机期间研究</w:t>
      </w:r>
      <w:r>
        <w:rPr/>
        <w:t>实施的更多详细信息，请见</w:t>
      </w:r>
      <w:hyperlink w:history="true" w:anchor="_bookmark163">
        <w:r>
          <w:rPr>
            <w:color w:val="0000FF"/>
            <w:spacing w:val="-14"/>
          </w:rPr>
          <w:t>附录 </w:t>
        </w:r>
        <w:r>
          <w:rPr>
            <w:rFonts w:ascii="Times New Roman" w:eastAsia="Times New Roman"/>
            <w:color w:val="0000FF"/>
          </w:rPr>
          <w:t>H</w:t>
        </w:r>
      </w:hyperlink>
      <w:r>
        <w:rPr/>
        <w:t>。</w:t>
      </w:r>
    </w:p>
    <w:p>
      <w:pPr>
        <w:pStyle w:val="Heading1"/>
        <w:numPr>
          <w:ilvl w:val="1"/>
          <w:numId w:val="3"/>
        </w:numPr>
        <w:tabs>
          <w:tab w:pos="1355" w:val="left" w:leader="none"/>
        </w:tabs>
        <w:spacing w:line="240" w:lineRule="auto" w:before="237" w:after="0"/>
        <w:ind w:left="1355" w:right="0" w:hanging="1134"/>
        <w:jc w:val="both"/>
      </w:pPr>
      <w:bookmarkStart w:name="4.2 研究设计的科学依据" w:id="50"/>
      <w:bookmarkEnd w:id="50"/>
      <w:r>
        <w:rPr>
          <w:b w:val="0"/>
        </w:rPr>
      </w:r>
      <w:bookmarkStart w:name="_bookmark27" w:id="51"/>
      <w:bookmarkEnd w:id="51"/>
      <w:r>
        <w:rPr>
          <w:b w:val="0"/>
        </w:rPr>
      </w:r>
      <w:r>
        <w:rPr>
          <w:spacing w:val="-5"/>
        </w:rPr>
        <w:t>研究设计的科学依据</w:t>
      </w:r>
    </w:p>
    <w:p>
      <w:pPr>
        <w:pStyle w:val="Heading2"/>
        <w:numPr>
          <w:ilvl w:val="2"/>
          <w:numId w:val="3"/>
        </w:numPr>
        <w:tabs>
          <w:tab w:pos="1371" w:val="left" w:leader="none"/>
        </w:tabs>
        <w:spacing w:line="240" w:lineRule="auto" w:before="119" w:after="0"/>
        <w:ind w:left="1371" w:right="0" w:hanging="1150"/>
        <w:jc w:val="both"/>
      </w:pPr>
      <w:bookmarkStart w:name="4.2.1 参与人群的选择依据" w:id="52"/>
      <w:bookmarkEnd w:id="52"/>
      <w:r>
        <w:rPr>
          <w:b w:val="0"/>
        </w:rPr>
      </w:r>
      <w:bookmarkStart w:name="_bookmark28" w:id="53"/>
      <w:bookmarkEnd w:id="53"/>
      <w:r>
        <w:rPr>
          <w:b w:val="0"/>
        </w:rPr>
      </w:r>
      <w:r>
        <w:rPr>
          <w:spacing w:val="-5"/>
        </w:rPr>
        <w:t>参与人群的选择依据</w:t>
      </w:r>
    </w:p>
    <w:p>
      <w:pPr>
        <w:pStyle w:val="BodyText"/>
        <w:spacing w:line="276" w:lineRule="auto" w:before="120"/>
        <w:ind w:right="357" w:firstLine="480"/>
        <w:jc w:val="both"/>
      </w:pPr>
      <w:r>
        <w:rPr>
          <w:spacing w:val="-4"/>
        </w:rPr>
        <w:t>前身研究中研究人群的确定基于 </w:t>
      </w:r>
      <w:r>
        <w:rPr>
          <w:rFonts w:ascii="Times New Roman" w:eastAsia="Times New Roman"/>
          <w:spacing w:val="-2"/>
        </w:rPr>
        <w:t>tozorakimab</w:t>
      </w:r>
      <w:r>
        <w:rPr>
          <w:rFonts w:ascii="Times New Roman" w:eastAsia="Times New Roman"/>
          <w:spacing w:val="16"/>
        </w:rPr>
        <w:t> </w:t>
      </w:r>
      <w:r>
        <w:rPr>
          <w:spacing w:val="-2"/>
        </w:rPr>
        <w:t>的作用机制、具有症状负担和急性</w:t>
      </w:r>
      <w:r>
        <w:rPr>
          <w:spacing w:val="15"/>
        </w:rPr>
        <w:t>加重风险 </w:t>
      </w:r>
      <w:r>
        <w:rPr>
          <w:rFonts w:ascii="Times New Roman" w:eastAsia="Times New Roman"/>
        </w:rPr>
        <w:t>COPD</w:t>
      </w:r>
      <w:r>
        <w:rPr>
          <w:rFonts w:ascii="Times New Roman" w:eastAsia="Times New Roman"/>
          <w:spacing w:val="36"/>
        </w:rPr>
        <w:t> </w:t>
      </w:r>
      <w:r>
        <w:rPr>
          <w:spacing w:val="29"/>
        </w:rPr>
        <w:t>患者尚未满足的治疗需求、以及近期 </w:t>
      </w:r>
      <w:r>
        <w:rPr>
          <w:rFonts w:ascii="Times New Roman" w:eastAsia="Times New Roman"/>
        </w:rPr>
        <w:t>itepekimab</w:t>
      </w:r>
      <w:r>
        <w:rPr>
          <w:rFonts w:ascii="Times New Roman" w:eastAsia="Times New Roman"/>
          <w:spacing w:val="-15"/>
        </w:rPr>
        <w:t> </w:t>
      </w:r>
      <w:r>
        <w:rPr/>
        <w:t>（</w:t>
      </w:r>
      <w:r>
        <w:rPr>
          <w:spacing w:val="-30"/>
        </w:rPr>
        <w:t> </w:t>
      </w:r>
      <w:r>
        <w:rPr>
          <w:rFonts w:ascii="Times New Roman" w:eastAsia="Times New Roman"/>
        </w:rPr>
        <w:t>MoA</w:t>
      </w:r>
      <w:r>
        <w:rPr>
          <w:rFonts w:ascii="Times New Roman" w:eastAsia="Times New Roman"/>
          <w:spacing w:val="40"/>
        </w:rPr>
        <w:t> </w:t>
      </w:r>
      <w:r>
        <w:rPr/>
        <w:t>与 </w:t>
      </w:r>
      <w:r>
        <w:rPr>
          <w:rFonts w:ascii="Times New Roman" w:eastAsia="Times New Roman"/>
          <w:spacing w:val="-4"/>
          <w:position w:val="1"/>
        </w:rPr>
        <w:t>tozorakimab</w:t>
      </w:r>
      <w:r>
        <w:rPr>
          <w:rFonts w:ascii="Times New Roman" w:eastAsia="Times New Roman"/>
          <w:spacing w:val="-11"/>
          <w:position w:val="1"/>
        </w:rPr>
        <w:t> </w:t>
      </w:r>
      <w:r>
        <w:rPr>
          <w:spacing w:val="-4"/>
          <w:position w:val="1"/>
        </w:rPr>
        <w:t>相似）</w:t>
      </w:r>
      <w:r>
        <w:rPr>
          <w:rFonts w:ascii="Times New Roman" w:eastAsia="Times New Roman"/>
          <w:spacing w:val="-4"/>
          <w:position w:val="1"/>
        </w:rPr>
        <w:t>II</w:t>
      </w:r>
      <w:r>
        <w:rPr>
          <w:rFonts w:ascii="Times New Roman" w:eastAsia="Times New Roman"/>
          <w:spacing w:val="-11"/>
          <w:position w:val="1"/>
        </w:rPr>
        <w:t> </w:t>
      </w:r>
      <w:r>
        <w:rPr>
          <w:spacing w:val="-4"/>
          <w:position w:val="1"/>
        </w:rPr>
        <w:t>期研究结果（</w:t>
      </w:r>
      <w:r>
        <w:rPr>
          <w:spacing w:val="-12"/>
          <w:position w:val="1"/>
        </w:rPr>
        <w:t>导致 </w:t>
      </w:r>
      <w:r>
        <w:rPr>
          <w:rFonts w:ascii="Times New Roman" w:eastAsia="Times New Roman"/>
          <w:spacing w:val="-4"/>
          <w:position w:val="1"/>
        </w:rPr>
        <w:t>COPD</w:t>
      </w:r>
      <w:r>
        <w:rPr>
          <w:rFonts w:ascii="Times New Roman" w:eastAsia="Times New Roman"/>
          <w:spacing w:val="-5"/>
          <w:position w:val="1"/>
        </w:rPr>
        <w:t> </w:t>
      </w:r>
      <w:r>
        <w:rPr>
          <w:spacing w:val="-6"/>
          <w:position w:val="1"/>
        </w:rPr>
        <w:t>戒烟患者急性加重显著降低和 </w:t>
      </w:r>
      <w:r>
        <w:rPr>
          <w:rFonts w:ascii="Times New Roman" w:eastAsia="Times New Roman"/>
          <w:spacing w:val="-4"/>
          <w:position w:val="1"/>
        </w:rPr>
        <w:t>FEV</w:t>
      </w:r>
      <w:r>
        <w:rPr>
          <w:rFonts w:ascii="Times New Roman" w:eastAsia="Times New Roman"/>
          <w:spacing w:val="-4"/>
          <w:sz w:val="16"/>
        </w:rPr>
        <w:t>1</w:t>
      </w:r>
      <w:r>
        <w:rPr>
          <w:rFonts w:ascii="Times New Roman" w:eastAsia="Times New Roman"/>
          <w:spacing w:val="1"/>
          <w:sz w:val="16"/>
        </w:rPr>
        <w:t> </w:t>
      </w:r>
      <w:r>
        <w:rPr>
          <w:spacing w:val="-4"/>
          <w:position w:val="1"/>
        </w:rPr>
        <w:t>显</w:t>
      </w:r>
      <w:r>
        <w:rPr/>
        <w:t>著改善）（</w:t>
      </w:r>
      <w:hyperlink w:history="true" w:anchor="_bookmark197">
        <w:r>
          <w:rPr>
            <w:rFonts w:ascii="Times New Roman" w:eastAsia="Times New Roman"/>
            <w:color w:val="0000FF"/>
          </w:rPr>
          <w:t>Rabe et al 2021</w:t>
        </w:r>
      </w:hyperlink>
      <w:r>
        <w:rPr/>
        <w:t>）。</w:t>
      </w:r>
    </w:p>
    <w:p>
      <w:pPr>
        <w:pStyle w:val="BodyText"/>
        <w:spacing w:line="276" w:lineRule="auto" w:before="236"/>
        <w:ind w:right="346" w:firstLine="480"/>
        <w:jc w:val="both"/>
      </w:pPr>
      <w:r>
        <w:rPr/>
        <w:t>白细胞介素</w:t>
      </w:r>
      <w:r>
        <w:rPr>
          <w:rFonts w:ascii="Times New Roman" w:eastAsia="Times New Roman"/>
        </w:rPr>
        <w:t>-33 </w:t>
      </w:r>
      <w:r>
        <w:rPr/>
        <w:t>与杯状细胞肥大和粘液分泌过多的发病机制有关（</w:t>
      </w:r>
      <w:hyperlink w:history="true" w:anchor="_bookmark173">
        <w:r>
          <w:rPr>
            <w:rFonts w:ascii="Times New Roman" w:eastAsia="Times New Roman"/>
            <w:color w:val="0000FF"/>
          </w:rPr>
          <w:t>Allinne et al</w:t>
        </w:r>
      </w:hyperlink>
      <w:r>
        <w:rPr>
          <w:rFonts w:ascii="Times New Roman" w:eastAsia="Times New Roman"/>
          <w:color w:val="0000FF"/>
        </w:rPr>
        <w:t> </w:t>
      </w:r>
      <w:hyperlink w:history="true" w:anchor="_bookmark173">
        <w:r>
          <w:rPr>
            <w:rFonts w:ascii="Times New Roman" w:eastAsia="Times New Roman"/>
            <w:color w:val="0000FF"/>
          </w:rPr>
          <w:t>2019</w:t>
        </w:r>
      </w:hyperlink>
      <w:r>
        <w:rPr>
          <w:color w:val="0000FF"/>
        </w:rPr>
        <w:t>，</w:t>
      </w:r>
      <w:hyperlink w:history="true" w:anchor="_bookmark202">
        <w:r>
          <w:rPr>
            <w:rFonts w:ascii="Times New Roman" w:eastAsia="Times New Roman"/>
            <w:color w:val="0000FF"/>
          </w:rPr>
          <w:t>Schmitz</w:t>
        </w:r>
        <w:r>
          <w:rPr>
            <w:rFonts w:ascii="Times New Roman" w:eastAsia="Times New Roman"/>
            <w:color w:val="0000FF"/>
            <w:spacing w:val="-4"/>
          </w:rPr>
          <w:t> </w:t>
        </w:r>
        <w:r>
          <w:rPr>
            <w:rFonts w:ascii="Times New Roman" w:eastAsia="Times New Roman"/>
            <w:color w:val="0000FF"/>
          </w:rPr>
          <w:t>et</w:t>
        </w:r>
        <w:r>
          <w:rPr>
            <w:rFonts w:ascii="Times New Roman" w:eastAsia="Times New Roman"/>
            <w:color w:val="0000FF"/>
            <w:spacing w:val="-4"/>
          </w:rPr>
          <w:t> </w:t>
        </w:r>
        <w:r>
          <w:rPr>
            <w:rFonts w:ascii="Times New Roman" w:eastAsia="Times New Roman"/>
            <w:color w:val="0000FF"/>
          </w:rPr>
          <w:t>al</w:t>
        </w:r>
        <w:r>
          <w:rPr>
            <w:rFonts w:ascii="Times New Roman" w:eastAsia="Times New Roman"/>
            <w:color w:val="0000FF"/>
            <w:spacing w:val="-4"/>
          </w:rPr>
          <w:t> </w:t>
        </w:r>
        <w:r>
          <w:rPr>
            <w:rFonts w:ascii="Times New Roman" w:eastAsia="Times New Roman"/>
            <w:color w:val="0000FF"/>
          </w:rPr>
          <w:t>2005</w:t>
        </w:r>
      </w:hyperlink>
      <w:r>
        <w:rPr/>
        <w:t>）。大部分有粘蛋白水平过高和粘液阻塞的患者存在更严重</w:t>
      </w:r>
      <w:r>
        <w:rPr>
          <w:spacing w:val="10"/>
        </w:rPr>
        <w:t>的咳嗽和咳痰量负担</w:t>
      </w:r>
      <w:r>
        <w:rPr/>
        <w:t>（</w:t>
      </w:r>
      <w:hyperlink w:history="true" w:anchor="_bookmark193">
        <w:r>
          <w:rPr>
            <w:rFonts w:ascii="Times New Roman" w:eastAsia="Times New Roman"/>
            <w:color w:val="0000FF"/>
          </w:rPr>
          <w:t>Okajima</w:t>
        </w:r>
        <w:r>
          <w:rPr>
            <w:rFonts w:ascii="Times New Roman" w:eastAsia="Times New Roman"/>
            <w:color w:val="0000FF"/>
            <w:spacing w:val="43"/>
          </w:rPr>
          <w:t> </w:t>
        </w:r>
        <w:r>
          <w:rPr>
            <w:rFonts w:ascii="Times New Roman" w:eastAsia="Times New Roman"/>
            <w:color w:val="0000FF"/>
          </w:rPr>
          <w:t>et</w:t>
        </w:r>
        <w:r>
          <w:rPr>
            <w:rFonts w:ascii="Times New Roman" w:eastAsia="Times New Roman"/>
            <w:color w:val="0000FF"/>
            <w:spacing w:val="44"/>
          </w:rPr>
          <w:t> </w:t>
        </w:r>
        <w:r>
          <w:rPr>
            <w:rFonts w:ascii="Times New Roman" w:eastAsia="Times New Roman"/>
            <w:color w:val="0000FF"/>
          </w:rPr>
          <w:t>al</w:t>
        </w:r>
        <w:r>
          <w:rPr>
            <w:rFonts w:ascii="Times New Roman" w:eastAsia="Times New Roman"/>
            <w:color w:val="0000FF"/>
            <w:spacing w:val="46"/>
          </w:rPr>
          <w:t> </w:t>
        </w:r>
        <w:r>
          <w:rPr>
            <w:rFonts w:ascii="Times New Roman" w:eastAsia="Times New Roman"/>
            <w:color w:val="0000FF"/>
          </w:rPr>
          <w:t>2020</w:t>
        </w:r>
      </w:hyperlink>
      <w:r>
        <w:rPr>
          <w:color w:val="0000FF"/>
        </w:rPr>
        <w:t>，</w:t>
      </w:r>
      <w:hyperlink w:history="true" w:anchor="_bookmark198">
        <w:r>
          <w:rPr>
            <w:rFonts w:ascii="Times New Roman" w:eastAsia="Times New Roman"/>
            <w:color w:val="0000FF"/>
          </w:rPr>
          <w:t>Radicioni</w:t>
        </w:r>
        <w:r>
          <w:rPr>
            <w:rFonts w:ascii="Times New Roman" w:eastAsia="Times New Roman"/>
            <w:color w:val="0000FF"/>
            <w:spacing w:val="47"/>
          </w:rPr>
          <w:t> </w:t>
        </w:r>
        <w:r>
          <w:rPr>
            <w:rFonts w:ascii="Times New Roman" w:eastAsia="Times New Roman"/>
            <w:color w:val="0000FF"/>
          </w:rPr>
          <w:t>et</w:t>
        </w:r>
        <w:r>
          <w:rPr>
            <w:rFonts w:ascii="Times New Roman" w:eastAsia="Times New Roman"/>
            <w:color w:val="0000FF"/>
            <w:spacing w:val="44"/>
          </w:rPr>
          <w:t> </w:t>
        </w:r>
        <w:r>
          <w:rPr>
            <w:rFonts w:ascii="Times New Roman" w:eastAsia="Times New Roman"/>
            <w:color w:val="0000FF"/>
          </w:rPr>
          <w:t>al</w:t>
        </w:r>
        <w:r>
          <w:rPr>
            <w:rFonts w:ascii="Times New Roman" w:eastAsia="Times New Roman"/>
            <w:color w:val="0000FF"/>
            <w:spacing w:val="46"/>
          </w:rPr>
          <w:t> </w:t>
        </w:r>
        <w:r>
          <w:rPr>
            <w:rFonts w:ascii="Times New Roman" w:eastAsia="Times New Roman"/>
            <w:color w:val="0000FF"/>
          </w:rPr>
          <w:t>2021</w:t>
        </w:r>
      </w:hyperlink>
      <w:r>
        <w:rPr/>
        <w:t>）</w:t>
      </w:r>
      <w:r>
        <w:rPr>
          <w:spacing w:val="5"/>
        </w:rPr>
        <w:t>和急性加重风险</w:t>
      </w:r>
    </w:p>
    <w:p>
      <w:pPr>
        <w:pStyle w:val="BodyText"/>
        <w:spacing w:line="276" w:lineRule="auto"/>
        <w:ind w:right="118" w:hanging="120"/>
      </w:pPr>
      <w:r>
        <w:rPr/>
        <w:t>（</w:t>
      </w:r>
      <w:hyperlink w:history="true" w:anchor="_bookmark185">
        <w:r>
          <w:rPr>
            <w:rFonts w:ascii="Times New Roman" w:eastAsia="Times New Roman"/>
            <w:color w:val="0000FF"/>
          </w:rPr>
          <w:t>Kim et al 2015</w:t>
        </w:r>
      </w:hyperlink>
      <w:r>
        <w:rPr>
          <w:color w:val="0000FF"/>
        </w:rPr>
        <w:t>，</w:t>
      </w:r>
      <w:hyperlink w:history="true" w:anchor="_bookmark186">
        <w:r>
          <w:rPr>
            <w:rFonts w:ascii="Times New Roman" w:eastAsia="Times New Roman"/>
            <w:color w:val="0000FF"/>
          </w:rPr>
          <w:t>Kim et al 2019</w:t>
        </w:r>
      </w:hyperlink>
      <w:r>
        <w:rPr>
          <w:color w:val="0000FF"/>
        </w:rPr>
        <w:t>，</w:t>
      </w:r>
      <w:hyperlink w:history="true" w:anchor="_bookmark187">
        <w:r>
          <w:rPr>
            <w:rFonts w:ascii="Times New Roman" w:eastAsia="Times New Roman"/>
            <w:color w:val="0000FF"/>
          </w:rPr>
          <w:t>Lahousse et</w:t>
        </w:r>
        <w:r>
          <w:rPr>
            <w:rFonts w:ascii="Times New Roman" w:eastAsia="Times New Roman"/>
            <w:color w:val="0000FF"/>
            <w:spacing w:val="-1"/>
          </w:rPr>
          <w:t> </w:t>
        </w:r>
        <w:r>
          <w:rPr>
            <w:rFonts w:ascii="Times New Roman" w:eastAsia="Times New Roman"/>
            <w:color w:val="0000FF"/>
          </w:rPr>
          <w:t>al 2017</w:t>
        </w:r>
      </w:hyperlink>
      <w:r>
        <w:rPr>
          <w:color w:val="0000FF"/>
        </w:rPr>
        <w:t>，</w:t>
      </w:r>
      <w:hyperlink w:history="true" w:anchor="_bookmark209">
        <w:r>
          <w:rPr>
            <w:rFonts w:ascii="Times New Roman" w:eastAsia="Times New Roman"/>
            <w:color w:val="0000FF"/>
          </w:rPr>
          <w:t>Stott-Miller et</w:t>
        </w:r>
        <w:r>
          <w:rPr>
            <w:rFonts w:ascii="Times New Roman" w:eastAsia="Times New Roman"/>
            <w:color w:val="0000FF"/>
            <w:spacing w:val="-1"/>
          </w:rPr>
          <w:t> </w:t>
        </w:r>
        <w:r>
          <w:rPr>
            <w:rFonts w:ascii="Times New Roman" w:eastAsia="Times New Roman"/>
            <w:color w:val="0000FF"/>
          </w:rPr>
          <w:t>al 2020</w:t>
        </w:r>
      </w:hyperlink>
      <w:r>
        <w:rPr/>
        <w:t>）。因此，</w:t>
      </w:r>
      <w:r>
        <w:rPr>
          <w:spacing w:val="-1"/>
        </w:rPr>
        <w:t>前身研究选择了 </w:t>
      </w:r>
      <w:r>
        <w:rPr>
          <w:rFonts w:ascii="Times New Roman" w:eastAsia="Times New Roman"/>
        </w:rPr>
        <w:t>CAT</w:t>
      </w:r>
      <w:r>
        <w:rPr>
          <w:rFonts w:ascii="Times New Roman" w:eastAsia="Times New Roman"/>
          <w:spacing w:val="35"/>
        </w:rPr>
        <w:t> </w:t>
      </w:r>
      <w:r>
        <w:rPr>
          <w:spacing w:val="-1"/>
        </w:rPr>
        <w:t>评分为 </w:t>
      </w:r>
      <w:r>
        <w:rPr>
          <w:rFonts w:ascii="Times New Roman" w:eastAsia="Times New Roman"/>
        </w:rPr>
        <w:t>10</w:t>
      </w:r>
      <w:r>
        <w:rPr>
          <w:rFonts w:ascii="Times New Roman" w:eastAsia="Times New Roman"/>
          <w:spacing w:val="35"/>
        </w:rPr>
        <w:t> </w:t>
      </w:r>
      <w:r>
        <w:rPr>
          <w:spacing w:val="-1"/>
        </w:rPr>
        <w:t>分或以上、痰液和咳嗽评分为 </w:t>
      </w:r>
      <w:r>
        <w:rPr>
          <w:rFonts w:ascii="Times New Roman" w:eastAsia="Times New Roman"/>
        </w:rPr>
        <w:t>2</w:t>
      </w:r>
      <w:r>
        <w:rPr>
          <w:rFonts w:ascii="Times New Roman" w:eastAsia="Times New Roman"/>
          <w:spacing w:val="35"/>
        </w:rPr>
        <w:t> </w:t>
      </w:r>
      <w:r>
        <w:rPr/>
        <w:t>分或以上且具有急</w:t>
      </w:r>
      <w:r>
        <w:rPr/>
        <w:t> </w:t>
      </w:r>
      <w:r>
        <w:rPr>
          <w:spacing w:val="-3"/>
        </w:rPr>
        <w:t>性加重风险的症状性 </w:t>
      </w:r>
      <w:r>
        <w:rPr>
          <w:rFonts w:ascii="Times New Roman" w:eastAsia="Times New Roman"/>
        </w:rPr>
        <w:t>COPD </w:t>
      </w:r>
      <w:r>
        <w:rPr/>
        <w:t>患者人群。</w:t>
      </w:r>
    </w:p>
    <w:p>
      <w:pPr>
        <w:pStyle w:val="BodyText"/>
        <w:spacing w:line="276" w:lineRule="auto" w:before="235"/>
        <w:ind w:right="361" w:firstLine="480"/>
        <w:jc w:val="both"/>
      </w:pPr>
      <w:r>
        <w:rPr>
          <w:rFonts w:ascii="Times New Roman" w:eastAsia="Times New Roman"/>
        </w:rPr>
        <w:t>PROSPERO </w:t>
      </w:r>
      <w:r>
        <w:rPr/>
        <w:t>的受试者选择依据是这些受试者已经完成了前身研究的治疗期，并</w:t>
      </w:r>
      <w:r>
        <w:rPr>
          <w:spacing w:val="-3"/>
        </w:rPr>
        <w:t>且没有提前终止 </w:t>
      </w:r>
      <w:r>
        <w:rPr>
          <w:rFonts w:ascii="Times New Roman" w:eastAsia="Times New Roman"/>
        </w:rPr>
        <w:t>IP </w:t>
      </w:r>
      <w:r>
        <w:rPr/>
        <w:t>治疗。</w:t>
      </w:r>
    </w:p>
    <w:p>
      <w:pPr>
        <w:pStyle w:val="Heading2"/>
        <w:numPr>
          <w:ilvl w:val="2"/>
          <w:numId w:val="3"/>
        </w:numPr>
        <w:tabs>
          <w:tab w:pos="1371" w:val="left" w:leader="none"/>
        </w:tabs>
        <w:spacing w:line="240" w:lineRule="auto" w:before="238" w:after="0"/>
        <w:ind w:left="1371" w:right="0" w:hanging="1150"/>
        <w:jc w:val="both"/>
      </w:pPr>
      <w:bookmarkStart w:name="4.2.2 主要终点的选择依据" w:id="54"/>
      <w:bookmarkEnd w:id="54"/>
      <w:r>
        <w:rPr>
          <w:b w:val="0"/>
        </w:rPr>
      </w:r>
      <w:bookmarkStart w:name="_bookmark29" w:id="55"/>
      <w:bookmarkEnd w:id="55"/>
      <w:r>
        <w:rPr>
          <w:b w:val="0"/>
        </w:rPr>
      </w:r>
      <w:r>
        <w:rPr>
          <w:spacing w:val="-5"/>
        </w:rPr>
        <w:t>主要终点的选择依据</w:t>
      </w:r>
    </w:p>
    <w:p>
      <w:pPr>
        <w:pStyle w:val="BodyText"/>
        <w:spacing w:line="276" w:lineRule="auto" w:before="120"/>
        <w:ind w:right="357" w:firstLine="480"/>
        <w:jc w:val="both"/>
      </w:pPr>
      <w:r>
        <w:rPr>
          <w:spacing w:val="-10"/>
        </w:rPr>
        <w:t>重度 </w:t>
      </w:r>
      <w:r>
        <w:rPr>
          <w:rFonts w:ascii="Times New Roman" w:eastAsia="Times New Roman"/>
        </w:rPr>
        <w:t>COPD</w:t>
      </w:r>
      <w:r>
        <w:rPr>
          <w:rFonts w:ascii="Times New Roman" w:eastAsia="Times New Roman"/>
          <w:spacing w:val="-15"/>
        </w:rPr>
        <w:t> </w:t>
      </w:r>
      <w:r>
        <w:rPr>
          <w:spacing w:val="-5"/>
        </w:rPr>
        <w:t>急性加重使 </w:t>
      </w:r>
      <w:r>
        <w:rPr>
          <w:rFonts w:ascii="Times New Roman" w:eastAsia="Times New Roman"/>
        </w:rPr>
        <w:t>COPD</w:t>
      </w:r>
      <w:r>
        <w:rPr>
          <w:rFonts w:ascii="Times New Roman" w:eastAsia="Times New Roman"/>
          <w:spacing w:val="-15"/>
        </w:rPr>
        <w:t> </w:t>
      </w:r>
      <w:r>
        <w:rPr/>
        <w:t>病程恶化，包括患者健康状况迅速下降、疾病的</w:t>
      </w:r>
      <w:r>
        <w:rPr>
          <w:spacing w:val="-3"/>
        </w:rPr>
        <w:t>进展和死亡率增高，每次重度 </w:t>
      </w:r>
      <w:r>
        <w:rPr>
          <w:rFonts w:ascii="Times New Roman" w:eastAsia="Times New Roman"/>
        </w:rPr>
        <w:t>COPD </w:t>
      </w:r>
      <w:r>
        <w:rPr/>
        <w:t>急性加重都会增加再次急性加重（</w:t>
      </w:r>
      <w:hyperlink w:history="true" w:anchor="_bookmark217">
        <w:r>
          <w:rPr>
            <w:rFonts w:ascii="Times New Roman" w:eastAsia="Times New Roman"/>
            <w:color w:val="0000FF"/>
          </w:rPr>
          <w:t>Wedzicha e</w:t>
        </w:r>
        <w:r>
          <w:rPr>
            <w:rFonts w:ascii="Times New Roman" w:eastAsia="Times New Roman"/>
            <w:color w:val="0000FF"/>
          </w:rPr>
          <w:t>t</w:t>
        </w:r>
      </w:hyperlink>
      <w:r>
        <w:rPr>
          <w:rFonts w:ascii="Times New Roman" w:eastAsia="Times New Roman"/>
          <w:color w:val="0000FF"/>
        </w:rPr>
        <w:t> </w:t>
      </w:r>
      <w:hyperlink w:history="true" w:anchor="_bookmark217">
        <w:r>
          <w:rPr>
            <w:rFonts w:ascii="Times New Roman" w:eastAsia="Times New Roman"/>
            <w:color w:val="0000FF"/>
          </w:rPr>
          <w:t>al 2013</w:t>
        </w:r>
      </w:hyperlink>
      <w:r>
        <w:rPr/>
        <w:t>）、再次住院（</w:t>
      </w:r>
      <w:hyperlink w:history="true" w:anchor="_bookmark192">
        <w:r>
          <w:rPr>
            <w:rFonts w:ascii="Times New Roman" w:eastAsia="Times New Roman"/>
            <w:color w:val="0000FF"/>
          </w:rPr>
          <w:t>Myers et al 2020</w:t>
        </w:r>
      </w:hyperlink>
      <w:r>
        <w:rPr/>
        <w:t>）和死亡（</w:t>
      </w:r>
      <w:hyperlink w:history="true" w:anchor="_bookmark211">
        <w:r>
          <w:rPr>
            <w:rFonts w:ascii="Times New Roman" w:eastAsia="Times New Roman"/>
            <w:color w:val="0000FF"/>
          </w:rPr>
          <w:t>Suissa et al 2012</w:t>
        </w:r>
      </w:hyperlink>
      <w:r>
        <w:rPr/>
        <w:t>）的风险。</w:t>
      </w:r>
    </w:p>
    <w:p>
      <w:pPr>
        <w:pStyle w:val="BodyText"/>
        <w:spacing w:line="276" w:lineRule="auto" w:before="237"/>
        <w:ind w:right="357" w:firstLine="480"/>
        <w:jc w:val="both"/>
      </w:pPr>
      <w:r>
        <w:rPr>
          <w:spacing w:val="-9"/>
        </w:rPr>
        <w:t>重度 </w:t>
      </w:r>
      <w:r>
        <w:rPr>
          <w:rFonts w:ascii="Times New Roman" w:eastAsia="Times New Roman"/>
        </w:rPr>
        <w:t>COPD </w:t>
      </w:r>
      <w:r>
        <w:rPr/>
        <w:t>急性加重的年发生率是被广泛接受且具有临床意义的终点，用以评</w:t>
      </w:r>
      <w:r>
        <w:rPr>
          <w:spacing w:val="-15"/>
        </w:rPr>
        <w:t>估 </w:t>
      </w:r>
      <w:r>
        <w:rPr>
          <w:rFonts w:ascii="Times New Roman" w:eastAsia="Times New Roman"/>
        </w:rPr>
        <w:t>tozorakimab</w:t>
      </w:r>
      <w:r>
        <w:rPr>
          <w:rFonts w:ascii="Times New Roman" w:eastAsia="Times New Roman"/>
          <w:spacing w:val="-15"/>
        </w:rPr>
        <w:t> </w:t>
      </w:r>
      <w:r>
        <w:rPr>
          <w:spacing w:val="5"/>
        </w:rPr>
        <w:t>联合</w:t>
      </w:r>
      <w:r>
        <w:rPr>
          <w:rFonts w:ascii="Times New Roman" w:eastAsia="Times New Roman"/>
        </w:rPr>
        <w:t>SoC</w:t>
      </w:r>
      <w:r>
        <w:rPr>
          <w:spacing w:val="1"/>
        </w:rPr>
        <w:t>，与安慰剂联合</w:t>
      </w:r>
      <w:r>
        <w:rPr>
          <w:rFonts w:ascii="Times New Roman" w:eastAsia="Times New Roman"/>
        </w:rPr>
        <w:t>SoC</w:t>
      </w:r>
      <w:r>
        <w:rPr>
          <w:rFonts w:ascii="Times New Roman" w:eastAsia="Times New Roman"/>
          <w:spacing w:val="-15"/>
        </w:rPr>
        <w:t> </w:t>
      </w:r>
      <w:r>
        <w:rPr>
          <w:spacing w:val="-3"/>
        </w:rPr>
        <w:t>相比，是否可降低重度 </w:t>
      </w:r>
      <w:r>
        <w:rPr>
          <w:rFonts w:ascii="Times New Roman" w:eastAsia="Times New Roman"/>
        </w:rPr>
        <w:t>COPD</w:t>
      </w:r>
      <w:r>
        <w:rPr>
          <w:rFonts w:ascii="Times New Roman" w:eastAsia="Times New Roman"/>
          <w:spacing w:val="-15"/>
        </w:rPr>
        <w:t> </w:t>
      </w:r>
      <w:r>
        <w:rPr/>
        <w:t>急性加重</w:t>
      </w:r>
      <w:r>
        <w:rPr>
          <w:spacing w:val="-4"/>
        </w:rPr>
        <w:t>的风险。</w:t>
      </w:r>
    </w:p>
    <w:p>
      <w:pPr>
        <w:pStyle w:val="Heading2"/>
        <w:numPr>
          <w:ilvl w:val="2"/>
          <w:numId w:val="3"/>
        </w:numPr>
        <w:tabs>
          <w:tab w:pos="1373" w:val="left" w:leader="none"/>
        </w:tabs>
        <w:spacing w:line="240" w:lineRule="auto" w:before="237" w:after="0"/>
        <w:ind w:left="1373" w:right="0" w:hanging="1152"/>
        <w:jc w:val="left"/>
      </w:pPr>
      <w:bookmarkStart w:name="4.2.3 对照药物选择依据" w:id="56"/>
      <w:bookmarkEnd w:id="56"/>
      <w:r>
        <w:rPr>
          <w:b w:val="0"/>
        </w:rPr>
      </w:r>
      <w:bookmarkStart w:name="_bookmark30" w:id="57"/>
      <w:bookmarkEnd w:id="57"/>
      <w:r>
        <w:rPr>
          <w:b w:val="0"/>
        </w:rPr>
      </w:r>
      <w:r>
        <w:rPr>
          <w:spacing w:val="-5"/>
        </w:rPr>
        <w:t>对照药物选择依据</w:t>
      </w:r>
    </w:p>
    <w:p>
      <w:pPr>
        <w:pStyle w:val="BodyText"/>
        <w:spacing w:line="276" w:lineRule="auto" w:before="120"/>
        <w:ind w:right="116" w:firstLine="480"/>
      </w:pPr>
      <w:r>
        <w:rPr/>
        <w:t>该研究中的对照药为安慰剂。</w:t>
      </w:r>
      <w:r>
        <w:rPr>
          <w:rFonts w:ascii="Times New Roman" w:eastAsia="Times New Roman"/>
        </w:rPr>
        <w:t>Tozorakimab</w:t>
      </w:r>
      <w:r>
        <w:rPr>
          <w:rFonts w:ascii="Times New Roman" w:eastAsia="Times New Roman"/>
          <w:spacing w:val="-13"/>
        </w:rPr>
        <w:t> </w:t>
      </w:r>
      <w:r>
        <w:rPr>
          <w:spacing w:val="4"/>
        </w:rPr>
        <w:t>和安慰剂均将在优化的</w:t>
      </w:r>
      <w:r>
        <w:rPr>
          <w:rFonts w:ascii="Times New Roman" w:eastAsia="Times New Roman"/>
        </w:rPr>
        <w:t>SoC</w:t>
      </w:r>
      <w:r>
        <w:rPr>
          <w:rFonts w:ascii="Times New Roman" w:eastAsia="Times New Roman"/>
          <w:spacing w:val="-13"/>
        </w:rPr>
        <w:t> </w:t>
      </w:r>
      <w:r>
        <w:rPr/>
        <w:t>吸入性维</w:t>
      </w:r>
      <w:r>
        <w:rPr/>
        <w:t> </w:t>
      </w:r>
      <w:r>
        <w:rPr>
          <w:spacing w:val="-2"/>
        </w:rPr>
        <w:t>持治疗的基础上给药，因此，安慰剂组的治疗将与现行的 </w:t>
      </w:r>
      <w:r>
        <w:rPr>
          <w:rFonts w:ascii="Times New Roman" w:eastAsia="Times New Roman"/>
        </w:rPr>
        <w:t>COPD</w:t>
      </w:r>
      <w:r>
        <w:rPr>
          <w:rFonts w:ascii="Times New Roman" w:eastAsia="Times New Roman"/>
          <w:spacing w:val="17"/>
        </w:rPr>
        <w:t> </w:t>
      </w:r>
      <w:r>
        <w:rPr>
          <w:rFonts w:ascii="Times New Roman" w:eastAsia="Times New Roman"/>
        </w:rPr>
        <w:t>SoC </w:t>
      </w:r>
      <w:r>
        <w:rPr/>
        <w:t>相一致。安慰剂</w:t>
      </w:r>
      <w:r>
        <w:rPr>
          <w:spacing w:val="-2"/>
        </w:rPr>
        <w:t>的使用允许治疗期双盲设计并提供对照组，以便能够对长期有效性进行持续比较，特</w:t>
      </w:r>
      <w:r>
        <w:rPr/>
        <w:t>别是对重度急性加重的发生率进行比较，同时作为背景治疗的对照以进行安全性 观</w:t>
      </w:r>
      <w:r>
        <w:rPr>
          <w:spacing w:val="-6"/>
        </w:rPr>
        <w:t>察。</w:t>
      </w:r>
    </w:p>
    <w:p>
      <w:pPr>
        <w:spacing w:after="0" w:line="276" w:lineRule="auto"/>
        <w:sectPr>
          <w:pgSz w:w="11910" w:h="16840"/>
          <w:pgMar w:header="590" w:footer="784" w:top="1340" w:bottom="980" w:left="1480" w:right="1080"/>
        </w:sectPr>
      </w:pPr>
    </w:p>
    <w:p>
      <w:pPr>
        <w:pStyle w:val="BodyText"/>
        <w:spacing w:line="276" w:lineRule="auto" w:before="88"/>
        <w:ind w:right="356" w:firstLine="480"/>
        <w:jc w:val="both"/>
      </w:pPr>
      <w:r>
        <w:rPr>
          <w:spacing w:val="-6"/>
        </w:rPr>
        <w:t>安慰剂为 </w:t>
      </w:r>
      <w:r>
        <w:rPr>
          <w:rFonts w:ascii="Times New Roman" w:eastAsia="Times New Roman"/>
        </w:rPr>
        <w:t>OBERON/TITANIA</w:t>
      </w:r>
      <w:r>
        <w:rPr>
          <w:rFonts w:ascii="Times New Roman" w:eastAsia="Times New Roman"/>
          <w:spacing w:val="-15"/>
        </w:rPr>
        <w:t> </w:t>
      </w:r>
      <w:r>
        <w:rPr>
          <w:spacing w:val="-2"/>
        </w:rPr>
        <w:t>前身研究对照药物，并继续在此项 </w:t>
      </w:r>
      <w:r>
        <w:rPr>
          <w:rFonts w:ascii="Times New Roman" w:eastAsia="Times New Roman"/>
        </w:rPr>
        <w:t>LTE</w:t>
      </w:r>
      <w:r>
        <w:rPr>
          <w:rFonts w:ascii="Times New Roman" w:eastAsia="Times New Roman"/>
          <w:spacing w:val="-15"/>
        </w:rPr>
        <w:t> </w:t>
      </w:r>
      <w:r>
        <w:rPr/>
        <w:t>研究作为对照。</w:t>
      </w:r>
      <w:r>
        <w:rPr>
          <w:rFonts w:ascii="Times New Roman" w:eastAsia="Times New Roman"/>
        </w:rPr>
        <w:t>50%</w:t>
      </w:r>
      <w:r>
        <w:rPr/>
        <w:t>的前身研究安慰剂组受试者将被分配至活性药物组，另外 </w:t>
      </w:r>
      <w:r>
        <w:rPr>
          <w:rFonts w:ascii="Times New Roman" w:eastAsia="Times New Roman"/>
        </w:rPr>
        <w:t>50%</w:t>
      </w:r>
      <w:r>
        <w:rPr/>
        <w:t>的前身研究安慰剂组受试者将继续接受安慰剂治疗。</w:t>
      </w:r>
      <w:r>
        <w:rPr>
          <w:rFonts w:ascii="Times New Roman" w:eastAsia="Times New Roman"/>
        </w:rPr>
        <w:t>PROSPERO </w:t>
      </w:r>
      <w:r>
        <w:rPr/>
        <w:t>重新随机化将允许更多来自前身研究的受试者接受可能有效的试验性治疗（而不是继续仅接受 </w:t>
      </w:r>
      <w:r>
        <w:rPr>
          <w:rFonts w:ascii="Times New Roman" w:eastAsia="Times New Roman"/>
        </w:rPr>
        <w:t>SoC</w:t>
      </w:r>
      <w:r>
        <w:rPr/>
        <w:t>），同时保</w:t>
      </w:r>
      <w:r>
        <w:rPr>
          <w:spacing w:val="-2"/>
        </w:rPr>
        <w:t>留对照组。</w:t>
      </w:r>
    </w:p>
    <w:p>
      <w:pPr>
        <w:pStyle w:val="Heading2"/>
        <w:numPr>
          <w:ilvl w:val="2"/>
          <w:numId w:val="3"/>
        </w:numPr>
        <w:tabs>
          <w:tab w:pos="1371" w:val="left" w:leader="none"/>
        </w:tabs>
        <w:spacing w:line="240" w:lineRule="auto" w:before="234" w:after="0"/>
        <w:ind w:left="1371" w:right="0" w:hanging="1150"/>
        <w:jc w:val="both"/>
      </w:pPr>
      <w:bookmarkStart w:name="4.2.4 研究期限选择依据" w:id="58"/>
      <w:bookmarkEnd w:id="58"/>
      <w:r>
        <w:rPr>
          <w:b w:val="0"/>
        </w:rPr>
      </w:r>
      <w:bookmarkStart w:name="_bookmark31" w:id="59"/>
      <w:bookmarkEnd w:id="59"/>
      <w:r>
        <w:rPr>
          <w:b w:val="0"/>
        </w:rPr>
      </w:r>
      <w:r>
        <w:rPr>
          <w:spacing w:val="-5"/>
        </w:rPr>
        <w:t>研究期限选择依据</w:t>
      </w:r>
    </w:p>
    <w:p>
      <w:pPr>
        <w:pStyle w:val="BodyText"/>
        <w:spacing w:line="276" w:lineRule="auto" w:before="120"/>
        <w:ind w:right="353" w:firstLine="480"/>
        <w:jc w:val="both"/>
      </w:pPr>
      <w:r>
        <w:rPr>
          <w:spacing w:val="-1"/>
        </w:rPr>
        <w:t>选择治疗期是为了在前身研究揭盲时最大限度地增加重度 </w:t>
      </w:r>
      <w:r>
        <w:rPr>
          <w:rFonts w:ascii="Times New Roman" w:eastAsia="Times New Roman"/>
        </w:rPr>
        <w:t>COPD</w:t>
      </w:r>
      <w:r>
        <w:rPr>
          <w:rFonts w:ascii="Times New Roman" w:eastAsia="Times New Roman"/>
          <w:spacing w:val="18"/>
        </w:rPr>
        <w:t> </w:t>
      </w:r>
      <w:r>
        <w:rPr/>
        <w:t>急性加重事件</w:t>
      </w:r>
      <w:r>
        <w:rPr>
          <w:spacing w:val="-2"/>
        </w:rPr>
        <w:t>的数量，并考虑到前身研究招募时间的不确定性，为受试者提供可预测的持续治疗时间。一旦两项前身研究均揭盲并报告，即可进行本研究的主要报告，而无需等待所有受试者完成本研究治疗，以便及时完成监管提交。</w:t>
      </w:r>
    </w:p>
    <w:p>
      <w:pPr>
        <w:pStyle w:val="Heading2"/>
        <w:numPr>
          <w:ilvl w:val="2"/>
          <w:numId w:val="3"/>
        </w:numPr>
        <w:tabs>
          <w:tab w:pos="1373" w:val="left" w:leader="none"/>
        </w:tabs>
        <w:spacing w:line="240" w:lineRule="auto" w:before="237" w:after="0"/>
        <w:ind w:left="1373" w:right="0" w:hanging="1152"/>
        <w:jc w:val="left"/>
      </w:pPr>
      <w:bookmarkStart w:name="4.2.5 受试者对研究设计的意见" w:id="60"/>
      <w:bookmarkEnd w:id="60"/>
      <w:r>
        <w:rPr>
          <w:b w:val="0"/>
        </w:rPr>
      </w:r>
      <w:bookmarkStart w:name="_bookmark32" w:id="61"/>
      <w:bookmarkEnd w:id="61"/>
      <w:r>
        <w:rPr>
          <w:b w:val="0"/>
        </w:rPr>
      </w:r>
      <w:r>
        <w:rPr>
          <w:spacing w:val="-5"/>
        </w:rPr>
        <w:t>受试者对研究设计的意见</w:t>
      </w:r>
    </w:p>
    <w:p>
      <w:pPr>
        <w:pStyle w:val="BodyText"/>
        <w:spacing w:line="276" w:lineRule="auto" w:before="120"/>
        <w:ind w:right="118" w:firstLine="480"/>
      </w:pPr>
      <w:r>
        <w:rPr/>
        <w:t>患者对前身研究的研究设计的反馈来自赞助商患者合作计划中的 </w:t>
      </w:r>
      <w:r>
        <w:rPr>
          <w:rFonts w:ascii="Times New Roman" w:eastAsia="Times New Roman"/>
        </w:rPr>
        <w:t>5</w:t>
      </w:r>
      <w:r>
        <w:rPr>
          <w:rFonts w:ascii="Times New Roman" w:eastAsia="Times New Roman"/>
          <w:spacing w:val="40"/>
        </w:rPr>
        <w:t> </w:t>
      </w:r>
      <w:r>
        <w:rPr/>
        <w:t>名 </w:t>
      </w:r>
      <w:r>
        <w:rPr>
          <w:rFonts w:ascii="Times New Roman" w:eastAsia="Times New Roman"/>
        </w:rPr>
        <w:t>COPD</w:t>
      </w:r>
      <w:r>
        <w:rPr>
          <w:rFonts w:ascii="Times New Roman" w:eastAsia="Times New Roman"/>
          <w:spacing w:val="40"/>
        </w:rPr>
        <w:t> </w:t>
      </w:r>
      <w:r>
        <w:rPr/>
        <w:t>患</w:t>
      </w:r>
      <w:r>
        <w:rPr/>
        <w:t> </w:t>
      </w:r>
      <w:r>
        <w:rPr>
          <w:spacing w:val="-10"/>
        </w:rPr>
        <w:t>者和 </w:t>
      </w:r>
      <w:r>
        <w:rPr>
          <w:rFonts w:ascii="Times New Roman" w:eastAsia="Times New Roman"/>
        </w:rPr>
        <w:t>1</w:t>
      </w:r>
      <w:r>
        <w:rPr>
          <w:rFonts w:ascii="Times New Roman" w:eastAsia="Times New Roman"/>
          <w:spacing w:val="-14"/>
        </w:rPr>
        <w:t> </w:t>
      </w:r>
      <w:r>
        <w:rPr>
          <w:spacing w:val="-15"/>
        </w:rPr>
        <w:t>名 </w:t>
      </w:r>
      <w:r>
        <w:rPr>
          <w:rFonts w:ascii="Times New Roman" w:eastAsia="Times New Roman"/>
        </w:rPr>
        <w:t>COPD</w:t>
      </w:r>
      <w:r>
        <w:rPr>
          <w:rFonts w:ascii="Times New Roman" w:eastAsia="Times New Roman"/>
          <w:spacing w:val="4"/>
        </w:rPr>
        <w:t> </w:t>
      </w:r>
      <w:r>
        <w:rPr/>
        <w:t>患者护理人员，该计划是一个内部工作组，可以使患者能够对临床试验研究设计提供反馈意见。在讨论期间，患者分享了他们认为对拟议研究需要考 虑</w:t>
      </w:r>
      <w:r>
        <w:rPr>
          <w:spacing w:val="-2"/>
        </w:rPr>
        <w:t>和关注的方面，并就访视频率、研究步骤和数字化解决方案的使用方面提供了反馈。</w:t>
      </w:r>
      <w:r>
        <w:rPr>
          <w:spacing w:val="-4"/>
        </w:rPr>
        <w:t>前身研究设计期间收到的患者反馈对 </w:t>
      </w:r>
      <w:r>
        <w:rPr>
          <w:rFonts w:ascii="Times New Roman" w:eastAsia="Times New Roman"/>
        </w:rPr>
        <w:t>PROSPERO</w:t>
      </w:r>
      <w:r>
        <w:rPr>
          <w:rFonts w:ascii="Times New Roman" w:eastAsia="Times New Roman"/>
          <w:spacing w:val="-15"/>
        </w:rPr>
        <w:t> </w:t>
      </w:r>
      <w:r>
        <w:rPr/>
        <w:t>研究的设计有显著影响。研究中心访</w:t>
      </w:r>
      <w:r>
        <w:rPr>
          <w:spacing w:val="-2"/>
        </w:rPr>
        <w:t>视频率降低和研究评估次数减少。此外，在 </w:t>
      </w:r>
      <w:r>
        <w:rPr>
          <w:rFonts w:ascii="Times New Roman" w:eastAsia="Times New Roman"/>
        </w:rPr>
        <w:t>PROSPERO</w:t>
      </w:r>
      <w:r>
        <w:rPr>
          <w:rFonts w:ascii="Times New Roman" w:eastAsia="Times New Roman"/>
          <w:spacing w:val="-13"/>
        </w:rPr>
        <w:t> </w:t>
      </w:r>
      <w:r>
        <w:rPr>
          <w:spacing w:val="-5"/>
        </w:rPr>
        <w:t>研究中引入了 </w:t>
      </w:r>
      <w:r>
        <w:rPr>
          <w:rFonts w:ascii="Times New Roman" w:eastAsia="Times New Roman"/>
        </w:rPr>
        <w:t>APFS</w:t>
      </w:r>
      <w:r>
        <w:rPr/>
        <w:t>，允许患</w:t>
      </w:r>
      <w:r>
        <w:rPr>
          <w:spacing w:val="-2"/>
        </w:rPr>
        <w:t>者选择在家给药，进一步减少门诊访视次数和降低患者负担。</w:t>
      </w:r>
    </w:p>
    <w:p>
      <w:pPr>
        <w:pStyle w:val="Heading1"/>
        <w:numPr>
          <w:ilvl w:val="1"/>
          <w:numId w:val="3"/>
        </w:numPr>
        <w:tabs>
          <w:tab w:pos="1355" w:val="left" w:leader="none"/>
        </w:tabs>
        <w:spacing w:line="240" w:lineRule="auto" w:before="235" w:after="0"/>
        <w:ind w:left="1355" w:right="0" w:hanging="1134"/>
        <w:jc w:val="left"/>
      </w:pPr>
      <w:bookmarkStart w:name="4.3 剂量选择依据" w:id="62"/>
      <w:bookmarkEnd w:id="62"/>
      <w:r>
        <w:rPr>
          <w:b w:val="0"/>
        </w:rPr>
      </w:r>
      <w:bookmarkStart w:name="_bookmark33" w:id="63"/>
      <w:bookmarkEnd w:id="63"/>
      <w:r>
        <w:rPr>
          <w:b w:val="0"/>
        </w:rPr>
      </w:r>
      <w:r>
        <w:rPr>
          <w:spacing w:val="-5"/>
        </w:rPr>
        <w:t>剂量选择依据</w:t>
      </w:r>
    </w:p>
    <w:p>
      <w:pPr>
        <w:pStyle w:val="BodyText"/>
        <w:spacing w:line="276" w:lineRule="auto" w:before="118"/>
        <w:ind w:right="356" w:firstLine="480"/>
        <w:jc w:val="both"/>
      </w:pPr>
      <w:r>
        <w:rPr>
          <w:spacing w:val="-6"/>
        </w:rPr>
        <w:t>本研究是一项 </w:t>
      </w:r>
      <w:r>
        <w:rPr>
          <w:rFonts w:ascii="Times New Roman" w:eastAsia="Times New Roman"/>
          <w:spacing w:val="-2"/>
        </w:rPr>
        <w:t>LTE</w:t>
      </w:r>
      <w:r>
        <w:rPr>
          <w:rFonts w:ascii="Times New Roman" w:eastAsia="Times New Roman"/>
          <w:spacing w:val="-13"/>
        </w:rPr>
        <w:t> </w:t>
      </w:r>
      <w:r>
        <w:rPr>
          <w:spacing w:val="-6"/>
        </w:rPr>
        <w:t>研究，前身研究 </w:t>
      </w:r>
      <w:r>
        <w:rPr>
          <w:rFonts w:ascii="Times New Roman" w:eastAsia="Times New Roman"/>
          <w:spacing w:val="-2"/>
        </w:rPr>
        <w:t>OBERON</w:t>
      </w:r>
      <w:r>
        <w:rPr>
          <w:rFonts w:ascii="Times New Roman" w:eastAsia="Times New Roman"/>
          <w:spacing w:val="-13"/>
        </w:rPr>
        <w:t> </w:t>
      </w:r>
      <w:r>
        <w:rPr>
          <w:spacing w:val="-15"/>
        </w:rPr>
        <w:t>或 </w:t>
      </w:r>
      <w:r>
        <w:rPr>
          <w:rFonts w:ascii="Times New Roman" w:eastAsia="Times New Roman"/>
          <w:spacing w:val="-2"/>
        </w:rPr>
        <w:t>TITANIA</w:t>
      </w:r>
      <w:r>
        <w:rPr>
          <w:rFonts w:ascii="Times New Roman" w:eastAsia="Times New Roman"/>
          <w:spacing w:val="-13"/>
        </w:rPr>
        <w:t> </w:t>
      </w:r>
      <w:r>
        <w:rPr>
          <w:spacing w:val="-2"/>
        </w:rPr>
        <w:t>中的受试者能够在本</w:t>
      </w:r>
      <w:r>
        <w:rPr>
          <w:spacing w:val="-3"/>
        </w:rPr>
        <w:t>研究中继续接受他们的 </w:t>
      </w:r>
      <w:r>
        <w:rPr>
          <w:rFonts w:ascii="Times New Roman" w:eastAsia="Times New Roman"/>
        </w:rPr>
        <w:t>IP</w:t>
      </w:r>
      <w:r>
        <w:rPr>
          <w:rFonts w:ascii="Times New Roman" w:eastAsia="Times New Roman"/>
          <w:spacing w:val="-15"/>
        </w:rPr>
        <w:t> </w:t>
      </w:r>
      <w:r>
        <w:rPr/>
        <w:t>给药方案或参与重新随机化。最初在前身研究中拟定了两种给药方案（</w:t>
      </w:r>
      <w:r>
        <w:rPr>
          <w:rFonts w:ascii="Times New Roman" w:eastAsia="Times New Roman"/>
        </w:rPr>
        <w:t>SC</w:t>
      </w:r>
      <w:r>
        <w:rPr>
          <w:rFonts w:ascii="Times New Roman" w:eastAsia="Times New Roman"/>
          <w:spacing w:val="-15"/>
        </w:rPr>
        <w:t> </w:t>
      </w:r>
      <w:r>
        <w:rPr>
          <w:rFonts w:ascii="Times New Roman" w:eastAsia="Times New Roman"/>
        </w:rPr>
        <w:t>tozorakimab 300 mg Q4W</w:t>
      </w:r>
      <w:r>
        <w:rPr>
          <w:rFonts w:ascii="Times New Roman" w:eastAsia="Times New Roman"/>
          <w:spacing w:val="-15"/>
        </w:rPr>
        <w:t> </w:t>
      </w:r>
      <w:r>
        <w:rPr>
          <w:spacing w:val="-15"/>
        </w:rPr>
        <w:t>和 </w:t>
      </w:r>
      <w:r>
        <w:rPr>
          <w:rFonts w:ascii="Times New Roman" w:eastAsia="Times New Roman"/>
        </w:rPr>
        <w:t>300 mg Q8W</w:t>
      </w:r>
      <w:r>
        <w:rPr/>
        <w:t>）。这些给药方案的选择</w:t>
      </w:r>
      <w:r>
        <w:rPr>
          <w:spacing w:val="4"/>
        </w:rPr>
        <w:t>是基于一项</w:t>
      </w:r>
      <w:r>
        <w:rPr>
          <w:rFonts w:ascii="Times New Roman" w:eastAsia="Times New Roman"/>
          <w:spacing w:val="21"/>
        </w:rPr>
        <w:t>I</w:t>
      </w:r>
      <w:r>
        <w:rPr/>
        <w:t>期研究（</w:t>
      </w:r>
      <w:r>
        <w:rPr>
          <w:rFonts w:ascii="Times New Roman" w:eastAsia="Times New Roman"/>
        </w:rPr>
        <w:t>D9180C00001</w:t>
      </w:r>
      <w:r>
        <w:rPr/>
        <w:t>）</w:t>
      </w:r>
      <w:r>
        <w:rPr>
          <w:spacing w:val="1"/>
        </w:rPr>
        <w:t>的全身靶点结合信息创建的综合</w:t>
      </w:r>
      <w:r>
        <w:rPr>
          <w:rFonts w:ascii="Times New Roman" w:eastAsia="Times New Roman"/>
        </w:rPr>
        <w:t>PK/PD</w:t>
      </w:r>
      <w:r>
        <w:rPr>
          <w:rFonts w:ascii="Times New Roman" w:eastAsia="Times New Roman"/>
          <w:spacing w:val="-15"/>
        </w:rPr>
        <w:t> </w:t>
      </w:r>
      <w:r>
        <w:rPr/>
        <w:t>模型，</w:t>
      </w:r>
      <w:r>
        <w:rPr>
          <w:spacing w:val="28"/>
        </w:rPr>
        <w:t>该研究在具有轻度特应性病史的健康成人受试者中评价了单剂高达 </w:t>
      </w:r>
      <w:r>
        <w:rPr>
          <w:rFonts w:ascii="Times New Roman" w:eastAsia="Times New Roman"/>
        </w:rPr>
        <w:t>300 mg tozorakimab</w:t>
      </w:r>
      <w:r>
        <w:rPr>
          <w:rFonts w:ascii="Times New Roman" w:eastAsia="Times New Roman"/>
          <w:spacing w:val="-15"/>
        </w:rPr>
        <w:t> </w:t>
      </w:r>
      <w:r>
        <w:rPr>
          <w:rFonts w:ascii="Times New Roman" w:eastAsia="Times New Roman"/>
        </w:rPr>
        <w:t>SC</w:t>
      </w:r>
      <w:r>
        <w:rPr>
          <w:rFonts w:ascii="Times New Roman" w:eastAsia="Times New Roman"/>
          <w:spacing w:val="-15"/>
        </w:rPr>
        <w:t> </w:t>
      </w:r>
      <w:r>
        <w:rPr>
          <w:spacing w:val="-15"/>
        </w:rPr>
        <w:t>或 </w:t>
      </w:r>
      <w:r>
        <w:rPr>
          <w:rFonts w:ascii="Times New Roman" w:eastAsia="Times New Roman"/>
        </w:rPr>
        <w:t>IV</w:t>
      </w:r>
      <w:r>
        <w:rPr>
          <w:rFonts w:ascii="Times New Roman" w:eastAsia="Times New Roman"/>
          <w:spacing w:val="-15"/>
        </w:rPr>
        <w:t> </w:t>
      </w:r>
      <w:r>
        <w:rPr>
          <w:spacing w:val="-5"/>
        </w:rPr>
        <w:t>给药，在轻度 </w:t>
      </w:r>
      <w:r>
        <w:rPr>
          <w:rFonts w:ascii="Times New Roman" w:eastAsia="Times New Roman"/>
        </w:rPr>
        <w:t>COPD</w:t>
      </w:r>
      <w:r>
        <w:rPr>
          <w:rFonts w:ascii="Times New Roman" w:eastAsia="Times New Roman"/>
          <w:spacing w:val="-15"/>
        </w:rPr>
        <w:t> </w:t>
      </w:r>
      <w:r>
        <w:rPr>
          <w:spacing w:val="-4"/>
        </w:rPr>
        <w:t>患者中评价了高达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2"/>
        </w:rPr>
        <w:t> </w:t>
      </w:r>
      <w:r>
        <w:rPr>
          <w:rFonts w:ascii="Times New Roman" w:eastAsia="Times New Roman"/>
        </w:rPr>
        <w:t>Q2W</w:t>
      </w:r>
      <w:r>
        <w:rPr>
          <w:rFonts w:ascii="Times New Roman" w:eastAsia="Times New Roman"/>
          <w:spacing w:val="-14"/>
        </w:rPr>
        <w:t> </w:t>
      </w:r>
      <w:r>
        <w:rPr/>
        <w:t>剂量多次</w:t>
      </w:r>
      <w:r>
        <w:rPr>
          <w:spacing w:val="-2"/>
        </w:rPr>
        <w:t>给药。该</w:t>
      </w:r>
      <w:r>
        <w:rPr>
          <w:rFonts w:ascii="Times New Roman" w:eastAsia="Times New Roman"/>
          <w:spacing w:val="-2"/>
        </w:rPr>
        <w:t>PK/PD </w:t>
      </w:r>
      <w:r>
        <w:rPr>
          <w:spacing w:val="-4"/>
        </w:rPr>
        <w:t>模型用于预测谷浓度下肺中 </w:t>
      </w:r>
      <w:r>
        <w:rPr>
          <w:rFonts w:ascii="Times New Roman" w:eastAsia="Times New Roman"/>
          <w:spacing w:val="-2"/>
        </w:rPr>
        <w:t>IL33 </w:t>
      </w:r>
      <w:r>
        <w:rPr>
          <w:spacing w:val="-2"/>
        </w:rPr>
        <w:t>的抑制情况，假设患者和健康受试</w:t>
      </w:r>
      <w:r>
        <w:rPr/>
        <w:t>者的全身暴露量相似。然而，在中度至重度哮喘患者（</w:t>
      </w:r>
      <w:r>
        <w:rPr>
          <w:spacing w:val="-1"/>
        </w:rPr>
        <w:t>研究 </w:t>
      </w:r>
      <w:r>
        <w:rPr>
          <w:rFonts w:ascii="Times New Roman" w:eastAsia="Times New Roman"/>
        </w:rPr>
        <w:t>D9181C00001</w:t>
      </w:r>
      <w:r>
        <w:rPr/>
        <w:t>）和中度至重度特应性皮炎患者（</w:t>
      </w:r>
      <w:r>
        <w:rPr>
          <w:spacing w:val="-10"/>
        </w:rPr>
        <w:t>研究 </w:t>
      </w:r>
      <w:r>
        <w:rPr>
          <w:rFonts w:ascii="Times New Roman" w:eastAsia="Times New Roman"/>
        </w:rPr>
        <w:t>D9182C00001</w:t>
      </w:r>
      <w:r>
        <w:rPr/>
        <w:t>）</w:t>
      </w:r>
      <w:r>
        <w:rPr>
          <w:spacing w:val="-5"/>
        </w:rPr>
        <w:t>中新获得的 </w:t>
      </w:r>
      <w:r>
        <w:rPr>
          <w:rFonts w:ascii="Times New Roman" w:eastAsia="Times New Roman"/>
        </w:rPr>
        <w:t>II</w:t>
      </w:r>
      <w:r>
        <w:rPr>
          <w:rFonts w:ascii="Times New Roman" w:eastAsia="Times New Roman"/>
          <w:spacing w:val="-15"/>
        </w:rPr>
        <w:t> </w:t>
      </w:r>
      <w:r>
        <w:rPr/>
        <w:t>期研究数据显示，患者</w:t>
      </w:r>
      <w:r>
        <w:rPr>
          <w:spacing w:val="-2"/>
        </w:rPr>
        <w:t>中的谷浓度比</w:t>
      </w:r>
      <w:r>
        <w:rPr>
          <w:rFonts w:ascii="Times New Roman" w:eastAsia="Times New Roman"/>
          <w:spacing w:val="-2"/>
        </w:rPr>
        <w:t>I</w:t>
      </w:r>
      <w:r>
        <w:rPr>
          <w:rFonts w:ascii="Times New Roman" w:eastAsia="Times New Roman"/>
          <w:spacing w:val="-7"/>
        </w:rPr>
        <w:t> </w:t>
      </w:r>
      <w:r>
        <w:rPr>
          <w:spacing w:val="-2"/>
        </w:rPr>
        <w:t>期研究（</w:t>
      </w:r>
      <w:r>
        <w:rPr>
          <w:rFonts w:ascii="Times New Roman" w:eastAsia="Times New Roman"/>
          <w:spacing w:val="-2"/>
        </w:rPr>
        <w:t>D9180C00001</w:t>
      </w:r>
      <w:r>
        <w:rPr>
          <w:spacing w:val="-2"/>
        </w:rPr>
        <w:t>）</w:t>
      </w:r>
      <w:r>
        <w:rPr>
          <w:spacing w:val="-5"/>
        </w:rPr>
        <w:t>中的健康志愿者低 </w:t>
      </w:r>
      <w:r>
        <w:rPr>
          <w:rFonts w:ascii="Times New Roman" w:eastAsia="Times New Roman"/>
          <w:spacing w:val="-2"/>
        </w:rPr>
        <w:t>30%-35%</w:t>
      </w:r>
      <w:r>
        <w:rPr>
          <w:spacing w:val="-9"/>
        </w:rPr>
        <w:t>。由于 </w:t>
      </w:r>
      <w:r>
        <w:rPr>
          <w:rFonts w:ascii="Times New Roman" w:eastAsia="Times New Roman"/>
          <w:spacing w:val="-2"/>
        </w:rPr>
        <w:t>PK</w:t>
      </w:r>
      <w:r>
        <w:rPr>
          <w:rFonts w:ascii="Times New Roman" w:eastAsia="Times New Roman"/>
          <w:spacing w:val="5"/>
        </w:rPr>
        <w:t> </w:t>
      </w:r>
      <w:r>
        <w:rPr>
          <w:spacing w:val="-2"/>
        </w:rPr>
        <w:t>浓度</w:t>
      </w:r>
      <w:r>
        <w:rPr>
          <w:spacing w:val="-8"/>
        </w:rPr>
        <w:t>降低，预计 </w:t>
      </w:r>
      <w:r>
        <w:rPr>
          <w:rFonts w:ascii="Times New Roman" w:eastAsia="Times New Roman"/>
          <w:spacing w:val="-4"/>
        </w:rPr>
        <w:t>300</w:t>
      </w:r>
      <w:r>
        <w:rPr>
          <w:rFonts w:ascii="Times New Roman" w:eastAsia="Times New Roman"/>
          <w:spacing w:val="-11"/>
        </w:rPr>
        <w:t> </w:t>
      </w:r>
      <w:r>
        <w:rPr>
          <w:rFonts w:ascii="Times New Roman" w:eastAsia="Times New Roman"/>
          <w:spacing w:val="-4"/>
        </w:rPr>
        <w:t>mg</w:t>
      </w:r>
      <w:r>
        <w:rPr>
          <w:rFonts w:ascii="Times New Roman" w:eastAsia="Times New Roman"/>
          <w:spacing w:val="-11"/>
        </w:rPr>
        <w:t> </w:t>
      </w:r>
      <w:r>
        <w:rPr>
          <w:rFonts w:ascii="Times New Roman" w:eastAsia="Times New Roman"/>
          <w:spacing w:val="-4"/>
        </w:rPr>
        <w:t>Q8W</w:t>
      </w:r>
      <w:r>
        <w:rPr>
          <w:rFonts w:ascii="Times New Roman" w:eastAsia="Times New Roman"/>
          <w:spacing w:val="-11"/>
        </w:rPr>
        <w:t> </w:t>
      </w:r>
      <w:r>
        <w:rPr>
          <w:spacing w:val="-9"/>
        </w:rPr>
        <w:t>治疗组的 </w:t>
      </w:r>
      <w:r>
        <w:rPr>
          <w:rFonts w:ascii="Times New Roman" w:eastAsia="Times New Roman"/>
          <w:spacing w:val="-4"/>
        </w:rPr>
        <w:t>IL33</w:t>
      </w:r>
      <w:r>
        <w:rPr>
          <w:rFonts w:ascii="Times New Roman" w:eastAsia="Times New Roman"/>
          <w:spacing w:val="-11"/>
        </w:rPr>
        <w:t> </w:t>
      </w:r>
      <w:r>
        <w:rPr>
          <w:spacing w:val="-7"/>
        </w:rPr>
        <w:t>肺抑制率略低于 </w:t>
      </w:r>
      <w:r>
        <w:rPr>
          <w:rFonts w:ascii="Times New Roman" w:eastAsia="Times New Roman"/>
          <w:spacing w:val="-4"/>
        </w:rPr>
        <w:t>80%</w:t>
      </w:r>
      <w:r>
        <w:rPr>
          <w:spacing w:val="-12"/>
        </w:rPr>
        <w:t>，但 </w:t>
      </w:r>
      <w:r>
        <w:rPr>
          <w:rFonts w:ascii="Times New Roman" w:eastAsia="Times New Roman"/>
          <w:spacing w:val="-4"/>
        </w:rPr>
        <w:t>tozorakimab</w:t>
      </w:r>
      <w:r>
        <w:rPr>
          <w:rFonts w:ascii="Times New Roman" w:eastAsia="Times New Roman"/>
          <w:spacing w:val="-11"/>
        </w:rPr>
        <w:t> </w:t>
      </w:r>
      <w:r>
        <w:rPr>
          <w:rFonts w:ascii="Times New Roman" w:eastAsia="Times New Roman"/>
          <w:spacing w:val="-4"/>
        </w:rPr>
        <w:t>300</w:t>
      </w:r>
      <w:r>
        <w:rPr>
          <w:rFonts w:ascii="Times New Roman" w:eastAsia="Times New Roman"/>
          <w:spacing w:val="-11"/>
        </w:rPr>
        <w:t> </w:t>
      </w:r>
      <w:r>
        <w:rPr>
          <w:rFonts w:ascii="Times New Roman" w:eastAsia="Times New Roman"/>
          <w:spacing w:val="-4"/>
        </w:rPr>
        <w:t>mg </w:t>
      </w:r>
      <w:r>
        <w:rPr>
          <w:rFonts w:ascii="Times New Roman" w:eastAsia="Times New Roman"/>
        </w:rPr>
        <w:t>Q4W</w:t>
      </w:r>
      <w:r>
        <w:rPr>
          <w:rFonts w:ascii="Times New Roman" w:eastAsia="Times New Roman"/>
          <w:spacing w:val="-15"/>
        </w:rPr>
        <w:t> </w:t>
      </w:r>
      <w:r>
        <w:rPr>
          <w:spacing w:val="-3"/>
        </w:rPr>
        <w:t>治疗组的抑制率仍高于 </w:t>
      </w:r>
      <w:r>
        <w:rPr>
          <w:rFonts w:ascii="Times New Roman" w:eastAsia="Times New Roman"/>
        </w:rPr>
        <w:t>90%</w:t>
      </w:r>
      <w:r>
        <w:rPr/>
        <w:t>。因此，在前身研究中，</w:t>
      </w:r>
      <w:r>
        <w:rPr>
          <w:rFonts w:ascii="Times New Roman" w:eastAsia="Times New Roman"/>
        </w:rPr>
        <w:t>tozorakimab</w:t>
      </w:r>
      <w:r>
        <w:rPr>
          <w:rFonts w:ascii="Times New Roman" w:eastAsia="Times New Roman"/>
          <w:spacing w:val="-12"/>
        </w:rPr>
        <w:t> </w:t>
      </w:r>
      <w:r>
        <w:rPr>
          <w:rFonts w:ascii="Times New Roman" w:eastAsia="Times New Roman"/>
        </w:rPr>
        <w:t>300</w:t>
      </w:r>
      <w:r>
        <w:rPr>
          <w:rFonts w:ascii="Times New Roman" w:eastAsia="Times New Roman"/>
          <w:spacing w:val="22"/>
        </w:rPr>
        <w:t> </w:t>
      </w:r>
      <w:r>
        <w:rPr>
          <w:rFonts w:ascii="Times New Roman" w:eastAsia="Times New Roman"/>
        </w:rPr>
        <w:t>mg</w:t>
      </w:r>
      <w:r>
        <w:rPr>
          <w:rFonts w:ascii="Times New Roman" w:eastAsia="Times New Roman"/>
          <w:spacing w:val="21"/>
        </w:rPr>
        <w:t> </w:t>
      </w:r>
      <w:r>
        <w:rPr>
          <w:rFonts w:ascii="Times New Roman" w:eastAsia="Times New Roman"/>
        </w:rPr>
        <w:t>Q8</w:t>
      </w:r>
      <w:r>
        <w:rPr>
          <w:rFonts w:ascii="Times New Roman" w:eastAsia="Times New Roman"/>
        </w:rPr>
        <w:t>W</w:t>
      </w:r>
      <w:r>
        <w:rPr/>
        <w:t>组的样本量有所减少，根据方案修订案（第 </w:t>
      </w:r>
      <w:r>
        <w:rPr>
          <w:rFonts w:ascii="Times New Roman" w:eastAsia="Times New Roman"/>
        </w:rPr>
        <w:t>2.0</w:t>
      </w:r>
      <w:r>
        <w:rPr>
          <w:rFonts w:ascii="Times New Roman" w:eastAsia="Times New Roman"/>
          <w:spacing w:val="40"/>
        </w:rPr>
        <w:t> </w:t>
      </w:r>
      <w:r>
        <w:rPr/>
        <w:t>版），在前身研究中接受 </w:t>
      </w:r>
      <w:r>
        <w:rPr>
          <w:rFonts w:ascii="Times New Roman" w:eastAsia="Times New Roman"/>
        </w:rPr>
        <w:t>300 mg Q8W</w:t>
      </w:r>
      <w:r>
        <w:rPr>
          <w:rFonts w:ascii="Times New Roman" w:eastAsia="Times New Roman"/>
          <w:spacing w:val="-26"/>
        </w:rPr>
        <w:t> </w:t>
      </w:r>
      <w:r>
        <w:rPr>
          <w:spacing w:val="5"/>
        </w:rPr>
        <w:t>方案的受试者将在</w:t>
      </w:r>
      <w:r>
        <w:rPr>
          <w:rFonts w:ascii="Times New Roman" w:eastAsia="Times New Roman"/>
        </w:rPr>
        <w:t>PROSPERO</w:t>
      </w:r>
      <w:r>
        <w:rPr>
          <w:rFonts w:ascii="Times New Roman" w:eastAsia="Times New Roman"/>
          <w:spacing w:val="-27"/>
        </w:rPr>
        <w:t> </w:t>
      </w:r>
      <w:r>
        <w:rPr>
          <w:spacing w:val="-9"/>
        </w:rPr>
        <w:t>研究中重新分配至 </w:t>
      </w:r>
      <w:r>
        <w:rPr>
          <w:rFonts w:ascii="Times New Roman" w:eastAsia="Times New Roman"/>
        </w:rPr>
        <w:t>tozorakimab</w:t>
      </w:r>
      <w:r>
        <w:rPr>
          <w:rFonts w:ascii="Times New Roman" w:eastAsia="Times New Roman"/>
          <w:spacing w:val="-14"/>
        </w:rPr>
        <w:t> </w:t>
      </w:r>
      <w:r>
        <w:rPr>
          <w:rFonts w:ascii="Times New Roman" w:eastAsia="Times New Roman"/>
        </w:rPr>
        <w:t>300</w:t>
      </w:r>
      <w:r>
        <w:rPr>
          <w:rFonts w:ascii="Times New Roman" w:eastAsia="Times New Roman"/>
          <w:spacing w:val="-16"/>
        </w:rPr>
        <w:t> </w:t>
      </w:r>
      <w:r>
        <w:rPr>
          <w:rFonts w:ascii="Times New Roman" w:eastAsia="Times New Roman"/>
        </w:rPr>
        <w:t>mg</w:t>
      </w:r>
      <w:r>
        <w:rPr>
          <w:rFonts w:ascii="Times New Roman" w:eastAsia="Times New Roman"/>
          <w:spacing w:val="-17"/>
        </w:rPr>
        <w:t> </w:t>
      </w:r>
      <w:r>
        <w:rPr>
          <w:rFonts w:ascii="Times New Roman" w:eastAsia="Times New Roman"/>
        </w:rPr>
        <w:t>Q4W</w:t>
      </w:r>
      <w:r>
        <w:rPr>
          <w:rFonts w:ascii="Times New Roman" w:eastAsia="Times New Roman"/>
          <w:spacing w:val="-26"/>
        </w:rPr>
        <w:t> </w:t>
      </w:r>
      <w:r>
        <w:rPr>
          <w:spacing w:val="-5"/>
        </w:rPr>
        <w:t>组。</w:t>
      </w:r>
    </w:p>
    <w:p>
      <w:pPr>
        <w:spacing w:after="0" w:line="276" w:lineRule="auto"/>
        <w:jc w:val="both"/>
        <w:sectPr>
          <w:pgSz w:w="11910" w:h="16840"/>
          <w:pgMar w:header="590" w:footer="784" w:top="1340" w:bottom="980" w:left="1480" w:right="1080"/>
        </w:sectPr>
      </w:pPr>
    </w:p>
    <w:p>
      <w:pPr>
        <w:pStyle w:val="Heading1"/>
        <w:numPr>
          <w:ilvl w:val="1"/>
          <w:numId w:val="3"/>
        </w:numPr>
        <w:tabs>
          <w:tab w:pos="1355" w:val="left" w:leader="none"/>
        </w:tabs>
        <w:spacing w:line="240" w:lineRule="auto" w:before="88" w:after="0"/>
        <w:ind w:left="1355" w:right="0" w:hanging="1134"/>
        <w:jc w:val="both"/>
      </w:pPr>
      <w:bookmarkStart w:name="4.4 研究结束的定义" w:id="64"/>
      <w:bookmarkEnd w:id="64"/>
      <w:r>
        <w:rPr>
          <w:b w:val="0"/>
        </w:rPr>
      </w:r>
      <w:bookmarkStart w:name="_bookmark34" w:id="65"/>
      <w:bookmarkEnd w:id="65"/>
      <w:r>
        <w:rPr>
          <w:b w:val="0"/>
        </w:rPr>
      </w:r>
      <w:r>
        <w:rPr>
          <w:spacing w:val="-5"/>
        </w:rPr>
        <w:t>研究结束的定义</w:t>
      </w:r>
    </w:p>
    <w:p>
      <w:pPr>
        <w:pStyle w:val="BodyText"/>
        <w:spacing w:line="276" w:lineRule="auto" w:before="119"/>
        <w:ind w:right="357" w:firstLine="480"/>
      </w:pPr>
      <w:r>
        <w:rPr/>
        <w:t>出于临床试验透明度的目的，</w:t>
      </w:r>
      <w:r>
        <w:rPr>
          <w:rFonts w:ascii="Times New Roman" w:eastAsia="Times New Roman"/>
        </w:rPr>
        <w:t>FDA</w:t>
      </w:r>
      <w:r>
        <w:rPr>
          <w:rFonts w:ascii="Times New Roman" w:eastAsia="Times New Roman"/>
          <w:spacing w:val="31"/>
        </w:rPr>
        <w:t> </w:t>
      </w:r>
      <w:r>
        <w:rPr/>
        <w:t>和欧盟的监管要求规定的研究结束定义存在</w:t>
      </w:r>
      <w:r>
        <w:rPr>
          <w:spacing w:val="-4"/>
        </w:rPr>
        <w:t>差异：</w:t>
      </w:r>
    </w:p>
    <w:p>
      <w:pPr>
        <w:pStyle w:val="ListParagraph"/>
        <w:numPr>
          <w:ilvl w:val="0"/>
          <w:numId w:val="14"/>
        </w:numPr>
        <w:tabs>
          <w:tab w:pos="645" w:val="left" w:leader="none"/>
        </w:tabs>
        <w:spacing w:line="240" w:lineRule="auto" w:before="238" w:after="0"/>
        <w:ind w:left="645" w:right="0" w:hanging="424"/>
        <w:jc w:val="both"/>
        <w:rPr>
          <w:sz w:val="24"/>
        </w:rPr>
      </w:pPr>
      <w:r>
        <w:rPr>
          <w:spacing w:val="-1"/>
          <w:sz w:val="24"/>
        </w:rPr>
        <w:t>欧盟要求将研究完成定义为末例受试者的任何方案相关活动的末次访视。</w:t>
      </w:r>
    </w:p>
    <w:p>
      <w:pPr>
        <w:pStyle w:val="ListParagraph"/>
        <w:numPr>
          <w:ilvl w:val="0"/>
          <w:numId w:val="14"/>
        </w:numPr>
        <w:tabs>
          <w:tab w:pos="645" w:val="left" w:leader="none"/>
        </w:tabs>
        <w:spacing w:line="240" w:lineRule="auto" w:before="60" w:after="0"/>
        <w:ind w:left="645" w:right="0" w:hanging="424"/>
        <w:jc w:val="both"/>
        <w:rPr>
          <w:sz w:val="24"/>
        </w:rPr>
      </w:pPr>
      <w:r>
        <w:rPr>
          <w:rFonts w:ascii="Times New Roman" w:hAnsi="Times New Roman" w:eastAsia="Times New Roman"/>
          <w:sz w:val="24"/>
        </w:rPr>
        <w:t>FDA</w:t>
      </w:r>
      <w:r>
        <w:rPr>
          <w:rFonts w:ascii="Times New Roman" w:hAnsi="Times New Roman" w:eastAsia="Times New Roman"/>
          <w:spacing w:val="-15"/>
          <w:sz w:val="24"/>
        </w:rPr>
        <w:t> </w:t>
      </w:r>
      <w:r>
        <w:rPr>
          <w:spacing w:val="-10"/>
          <w:sz w:val="24"/>
        </w:rPr>
        <w:t>要求定义了 </w:t>
      </w:r>
      <w:r>
        <w:rPr>
          <w:rFonts w:ascii="Times New Roman" w:hAnsi="Times New Roman" w:eastAsia="Times New Roman"/>
          <w:sz w:val="24"/>
        </w:rPr>
        <w:t>2</w:t>
      </w:r>
      <w:r>
        <w:rPr>
          <w:rFonts w:ascii="Times New Roman" w:hAnsi="Times New Roman" w:eastAsia="Times New Roman"/>
          <w:spacing w:val="-12"/>
          <w:sz w:val="24"/>
        </w:rPr>
        <w:t> </w:t>
      </w:r>
      <w:r>
        <w:rPr>
          <w:spacing w:val="-2"/>
          <w:sz w:val="24"/>
        </w:rPr>
        <w:t>个完成日期：</w:t>
      </w:r>
    </w:p>
    <w:p>
      <w:pPr>
        <w:pStyle w:val="ListParagraph"/>
        <w:numPr>
          <w:ilvl w:val="1"/>
          <w:numId w:val="14"/>
        </w:numPr>
        <w:tabs>
          <w:tab w:pos="1069" w:val="left" w:leader="none"/>
          <w:tab w:pos="1071" w:val="left" w:leader="none"/>
        </w:tabs>
        <w:spacing w:line="276" w:lineRule="auto" w:before="59" w:after="0"/>
        <w:ind w:left="1071" w:right="365" w:hanging="426"/>
        <w:jc w:val="both"/>
        <w:rPr>
          <w:sz w:val="24"/>
        </w:rPr>
      </w:pPr>
      <w:r>
        <w:rPr>
          <w:spacing w:val="5"/>
          <w:sz w:val="24"/>
        </w:rPr>
        <w:t>主要完成日期：末例受试者为采集主要终点检测数据而接受检查或干预治疗的日期，无论根据预先规定的方案结束研究或终止研究。如果临床研究中含有多个主要终点且具有不同的完成日期，该术语是指完成所有主要终点数据采集的日期。</w:t>
      </w:r>
    </w:p>
    <w:p>
      <w:pPr>
        <w:pStyle w:val="ListParagraph"/>
        <w:numPr>
          <w:ilvl w:val="1"/>
          <w:numId w:val="14"/>
        </w:numPr>
        <w:tabs>
          <w:tab w:pos="1069" w:val="left" w:leader="none"/>
          <w:tab w:pos="1071" w:val="left" w:leader="none"/>
        </w:tabs>
        <w:spacing w:line="276" w:lineRule="auto" w:before="56" w:after="0"/>
        <w:ind w:left="1071" w:right="357" w:hanging="426"/>
        <w:jc w:val="both"/>
        <w:rPr>
          <w:sz w:val="24"/>
        </w:rPr>
      </w:pPr>
      <w:r>
        <w:rPr>
          <w:spacing w:val="-2"/>
          <w:sz w:val="24"/>
        </w:rPr>
        <w:t>研究完成日期：末例受试者为采集主要、次要终点以及 </w:t>
      </w:r>
      <w:r>
        <w:rPr>
          <w:rFonts w:ascii="Times New Roman" w:hAnsi="Times New Roman" w:eastAsia="Times New Roman"/>
          <w:sz w:val="24"/>
        </w:rPr>
        <w:t>AE</w:t>
      </w:r>
      <w:r>
        <w:rPr>
          <w:rFonts w:ascii="Times New Roman" w:hAnsi="Times New Roman" w:eastAsia="Times New Roman"/>
          <w:spacing w:val="9"/>
          <w:sz w:val="24"/>
        </w:rPr>
        <w:t> </w:t>
      </w:r>
      <w:r>
        <w:rPr>
          <w:spacing w:val="-2"/>
          <w:sz w:val="24"/>
        </w:rPr>
        <w:t>数据而接受检查</w:t>
      </w:r>
      <w:r>
        <w:rPr>
          <w:spacing w:val="6"/>
          <w:sz w:val="24"/>
        </w:rPr>
        <w:t>或干预治疗的日期（如末例受试者末次访视</w:t>
      </w:r>
      <w:r>
        <w:rPr>
          <w:spacing w:val="8"/>
          <w:sz w:val="24"/>
        </w:rPr>
        <w:t>）</w:t>
      </w:r>
      <w:r>
        <w:rPr>
          <w:spacing w:val="5"/>
          <w:sz w:val="24"/>
        </w:rPr>
        <w:t>，无论根据预先规定的方案结束研究或终止研究。</w:t>
      </w:r>
    </w:p>
    <w:p>
      <w:pPr>
        <w:pStyle w:val="BodyText"/>
        <w:spacing w:before="22"/>
        <w:ind w:left="0"/>
      </w:pPr>
    </w:p>
    <w:p>
      <w:pPr>
        <w:pStyle w:val="BodyText"/>
        <w:spacing w:line="276" w:lineRule="auto"/>
        <w:ind w:right="360" w:firstLine="480"/>
      </w:pPr>
      <w:r>
        <w:rPr>
          <w:spacing w:val="-2"/>
        </w:rPr>
        <w:t>如果受试者持续研究直至完成他们最后一次方案指定的访视</w:t>
      </w:r>
      <w:r>
        <w:rPr>
          <w:rFonts w:ascii="Times New Roman" w:eastAsia="Times New Roman"/>
          <w:spacing w:val="-2"/>
        </w:rPr>
        <w:t>/</w:t>
      </w:r>
      <w:r>
        <w:rPr>
          <w:spacing w:val="-2"/>
        </w:rPr>
        <w:t>评估，无论接受多</w:t>
      </w:r>
      <w:r>
        <w:rPr>
          <w:spacing w:val="-8"/>
        </w:rPr>
        <w:t>少次 </w:t>
      </w:r>
      <w:r>
        <w:rPr>
          <w:rFonts w:ascii="Times New Roman" w:eastAsia="Times New Roman"/>
        </w:rPr>
        <w:t>IP </w:t>
      </w:r>
      <w:r>
        <w:rPr/>
        <w:t>给药，都认为该受试者完成研究。</w:t>
      </w:r>
    </w:p>
    <w:p>
      <w:pPr>
        <w:pStyle w:val="BodyText"/>
        <w:spacing w:line="276" w:lineRule="auto" w:before="238"/>
        <w:ind w:right="117" w:firstLine="480"/>
      </w:pPr>
      <w:r>
        <w:rPr>
          <w:spacing w:val="-11"/>
        </w:rPr>
        <w:t>提前中止 </w:t>
      </w:r>
      <w:r>
        <w:rPr>
          <w:rFonts w:ascii="Times New Roman" w:eastAsia="Times New Roman"/>
        </w:rPr>
        <w:t>IP</w:t>
      </w:r>
      <w:r>
        <w:rPr>
          <w:rFonts w:ascii="Times New Roman" w:eastAsia="Times New Roman"/>
          <w:spacing w:val="-15"/>
        </w:rPr>
        <w:t> </w:t>
      </w:r>
      <w:r>
        <w:rPr>
          <w:spacing w:val="-6"/>
        </w:rPr>
        <w:t>给药的受试者应完成 </w:t>
      </w:r>
      <w:r>
        <w:rPr>
          <w:rFonts w:ascii="Times New Roman" w:eastAsia="Times New Roman"/>
        </w:rPr>
        <w:t>E/D</w:t>
      </w:r>
      <w:r>
        <w:rPr>
          <w:rFonts w:ascii="Times New Roman" w:eastAsia="Times New Roman"/>
          <w:spacing w:val="-15"/>
        </w:rPr>
        <w:t> </w:t>
      </w:r>
      <w:r>
        <w:rPr/>
        <w:t>访视规定的程序，并接受进一步电话随访，以获得重度急性加重和死亡信息（如适用）（</w:t>
      </w:r>
      <w:r>
        <w:rPr>
          <w:spacing w:val="-3"/>
        </w:rPr>
        <w:t>详细信息请见第 </w:t>
      </w:r>
      <w:hyperlink w:history="true" w:anchor="_bookmark75">
        <w:r>
          <w:rPr>
            <w:rFonts w:ascii="Times New Roman" w:eastAsia="Times New Roman"/>
            <w:color w:val="0000FF"/>
          </w:rPr>
          <w:t>7.1.1</w:t>
        </w:r>
      </w:hyperlink>
      <w:r>
        <w:rPr>
          <w:rFonts w:ascii="Times New Roman" w:eastAsia="Times New Roman"/>
          <w:color w:val="0000FF"/>
        </w:rPr>
        <w:t> </w:t>
      </w:r>
      <w:r>
        <w:rPr/>
        <w:t>节）。</w:t>
      </w:r>
    </w:p>
    <w:p>
      <w:pPr>
        <w:pStyle w:val="BodyText"/>
        <w:spacing w:before="239"/>
        <w:ind w:left="701"/>
      </w:pPr>
      <w:r>
        <w:rPr/>
        <w:t>如果撤回知情同意或受试者失访，则将认为受试者尚未完成研究（</w:t>
      </w:r>
      <w:r>
        <w:rPr>
          <w:spacing w:val="-2"/>
        </w:rPr>
        <w:t>请分别见第</w:t>
      </w:r>
    </w:p>
    <w:p>
      <w:pPr>
        <w:pStyle w:val="BodyText"/>
        <w:spacing w:before="45"/>
      </w:pPr>
      <w:hyperlink w:history="true" w:anchor="_bookmark76">
        <w:r>
          <w:rPr>
            <w:rFonts w:ascii="Times New Roman" w:eastAsia="Times New Roman"/>
            <w:color w:val="0000FF"/>
          </w:rPr>
          <w:t>7.2</w:t>
        </w:r>
      </w:hyperlink>
      <w:r>
        <w:rPr>
          <w:rFonts w:ascii="Times New Roman" w:eastAsia="Times New Roman"/>
          <w:color w:val="0000FF"/>
          <w:spacing w:val="-12"/>
        </w:rPr>
        <w:t> </w:t>
      </w:r>
      <w:r>
        <w:rPr>
          <w:spacing w:val="-15"/>
        </w:rPr>
        <w:t>节和第 </w:t>
      </w:r>
      <w:hyperlink w:history="true" w:anchor="_bookmark78">
        <w:r>
          <w:rPr>
            <w:rFonts w:ascii="Times New Roman" w:eastAsia="Times New Roman"/>
            <w:color w:val="0000FF"/>
          </w:rPr>
          <w:t>7.3</w:t>
        </w:r>
      </w:hyperlink>
      <w:r>
        <w:rPr>
          <w:rFonts w:ascii="Times New Roman" w:eastAsia="Times New Roman"/>
          <w:color w:val="0000FF"/>
          <w:spacing w:val="-12"/>
        </w:rPr>
        <w:t> </w:t>
      </w:r>
      <w:r>
        <w:rPr/>
        <w:t>节）</w:t>
      </w:r>
      <w:r>
        <w:rPr>
          <w:spacing w:val="-10"/>
        </w:rPr>
        <w:t>。</w:t>
      </w:r>
    </w:p>
    <w:p>
      <w:pPr>
        <w:pStyle w:val="BodyText"/>
        <w:spacing w:line="276" w:lineRule="auto" w:before="287"/>
        <w:ind w:right="117" w:firstLine="480"/>
      </w:pPr>
      <w:r>
        <w:rPr>
          <w:spacing w:val="-2"/>
        </w:rPr>
        <w:t>一旦两项前身研究均揭盲并报告，即可进行本研究的主要报告，而无需等待所</w:t>
      </w:r>
      <w:r>
        <w:rPr>
          <w:spacing w:val="80"/>
          <w:w w:val="150"/>
        </w:rPr>
        <w:t> </w:t>
      </w:r>
      <w:r>
        <w:rPr>
          <w:spacing w:val="-4"/>
        </w:rPr>
        <w:t>有受试者完成本研究治疗。为确保研究 </w:t>
      </w:r>
      <w:r>
        <w:rPr>
          <w:rFonts w:ascii="Times New Roman" w:eastAsia="Times New Roman"/>
        </w:rPr>
        <w:t>PROSPERO</w:t>
      </w:r>
      <w:r>
        <w:rPr>
          <w:rFonts w:ascii="Times New Roman" w:eastAsia="Times New Roman"/>
          <w:spacing w:val="-15"/>
        </w:rPr>
        <w:t> </w:t>
      </w:r>
      <w:r>
        <w:rPr/>
        <w:t>与其前身研究在同一时间内报告，</w:t>
      </w:r>
      <w:r>
        <w:rPr>
          <w:spacing w:val="-4"/>
        </w:rPr>
        <w:t>部分受试者可能无法完成完整的 </w:t>
      </w:r>
      <w:r>
        <w:rPr>
          <w:rFonts w:ascii="Times New Roman" w:eastAsia="Times New Roman"/>
        </w:rPr>
        <w:t>28</w:t>
      </w:r>
      <w:r>
        <w:rPr>
          <w:rFonts w:ascii="Times New Roman" w:eastAsia="Times New Roman"/>
          <w:spacing w:val="-15"/>
        </w:rPr>
        <w:t> </w:t>
      </w:r>
      <w:r>
        <w:rPr/>
        <w:t>周治疗期。因此，部分受试者可能在完成全部治疗</w:t>
      </w:r>
      <w:r>
        <w:rPr>
          <w:spacing w:val="-2"/>
        </w:rPr>
        <w:t>期之前结束研究。受试者将在知情同意过程中获知这个情况。将要求未完成完整治疗</w:t>
      </w:r>
      <w:r>
        <w:rPr>
          <w:spacing w:val="5"/>
        </w:rPr>
        <w:t>期的受试者在其末次</w:t>
      </w:r>
      <w:r>
        <w:rPr>
          <w:rFonts w:ascii="Times New Roman" w:eastAsia="Times New Roman"/>
        </w:rPr>
        <w:t>IP </w:t>
      </w:r>
      <w:r>
        <w:rPr>
          <w:spacing w:val="-10"/>
        </w:rPr>
        <w:t>给药后 </w:t>
      </w:r>
      <w:r>
        <w:rPr>
          <w:rFonts w:ascii="Times New Roman" w:eastAsia="Times New Roman"/>
        </w:rPr>
        <w:t>12 </w:t>
      </w:r>
      <w:r>
        <w:rPr>
          <w:spacing w:val="-6"/>
        </w:rPr>
        <w:t>周按计划参与 </w:t>
      </w:r>
      <w:r>
        <w:rPr>
          <w:rFonts w:ascii="Times New Roman" w:eastAsia="Times New Roman"/>
        </w:rPr>
        <w:t>E/D </w:t>
      </w:r>
      <w:r>
        <w:rPr/>
        <w:t>访视，以完成其研究参与。</w:t>
      </w:r>
    </w:p>
    <w:p>
      <w:pPr>
        <w:pStyle w:val="BodyText"/>
        <w:spacing w:line="276" w:lineRule="auto" w:before="235"/>
        <w:ind w:right="353" w:firstLine="480"/>
        <w:jc w:val="both"/>
      </w:pPr>
      <w:r>
        <w:rPr>
          <w:spacing w:val="-2"/>
        </w:rPr>
        <w:t>在决定揭盲之前，将监测研究中观察到的重度急性加重数量，以估计统计学把握度。本研究也可能因显著疗效在中期分析揭盲并提前报告。在任何一种情况下，</w:t>
      </w:r>
      <w:r>
        <w:rPr>
          <w:spacing w:val="-4"/>
        </w:rPr>
        <w:t>与研究中心直接联系或与受试者管理相关或记录 </w:t>
      </w:r>
      <w:r>
        <w:rPr>
          <w:rFonts w:ascii="Times New Roman" w:eastAsia="Times New Roman"/>
          <w:spacing w:val="-2"/>
        </w:rPr>
        <w:t>PROSPERO</w:t>
      </w:r>
      <w:r>
        <w:rPr>
          <w:rFonts w:ascii="Times New Roman" w:eastAsia="Times New Roman"/>
          <w:spacing w:val="7"/>
        </w:rPr>
        <w:t> </w:t>
      </w:r>
      <w:r>
        <w:rPr>
          <w:spacing w:val="-2"/>
        </w:rPr>
        <w:t>终点的研究小组将保持盲态，并与参与前身研究报告的小组分开。详细信息将包含在研究完整性计划中。</w:t>
      </w:r>
    </w:p>
    <w:p>
      <w:pPr>
        <w:pStyle w:val="Heading2"/>
        <w:numPr>
          <w:ilvl w:val="2"/>
          <w:numId w:val="3"/>
        </w:numPr>
        <w:tabs>
          <w:tab w:pos="1373" w:val="left" w:leader="none"/>
        </w:tabs>
        <w:spacing w:line="240" w:lineRule="auto" w:before="236" w:after="0"/>
        <w:ind w:left="1373" w:right="0" w:hanging="1152"/>
        <w:jc w:val="left"/>
      </w:pPr>
      <w:bookmarkStart w:name="4.4.1 研究停止标准" w:id="66"/>
      <w:bookmarkEnd w:id="66"/>
      <w:r>
        <w:rPr>
          <w:b w:val="0"/>
        </w:rPr>
      </w:r>
      <w:bookmarkStart w:name="_bookmark35" w:id="67"/>
      <w:bookmarkEnd w:id="67"/>
      <w:r>
        <w:rPr>
          <w:b w:val="0"/>
        </w:rPr>
      </w:r>
      <w:r>
        <w:rPr>
          <w:spacing w:val="-5"/>
        </w:rPr>
        <w:t>研究停止标准</w:t>
      </w:r>
    </w:p>
    <w:p>
      <w:pPr>
        <w:pStyle w:val="BodyText"/>
        <w:spacing w:before="120"/>
        <w:ind w:left="701"/>
      </w:pPr>
      <w:r>
        <w:rPr/>
        <w:t>特定研究中心或整个研究的终止按照</w:t>
      </w:r>
      <w:hyperlink w:history="true" w:anchor="_bookmark149">
        <w:r>
          <w:rPr>
            <w:color w:val="0000FF"/>
            <w:spacing w:val="-20"/>
          </w:rPr>
          <w:t>附录 </w:t>
        </w:r>
        <w:r>
          <w:rPr>
            <w:rFonts w:ascii="Times New Roman" w:eastAsia="Times New Roman"/>
            <w:color w:val="0000FF"/>
          </w:rPr>
          <w:t>A</w:t>
        </w:r>
      </w:hyperlink>
      <w:r>
        <w:rPr>
          <w:rFonts w:ascii="Times New Roman" w:eastAsia="Times New Roman"/>
          <w:color w:val="0000FF"/>
          <w:spacing w:val="-13"/>
        </w:rPr>
        <w:t> </w:t>
      </w:r>
      <w:r>
        <w:rPr>
          <w:spacing w:val="-4"/>
        </w:rPr>
        <w:t>处理。</w:t>
      </w:r>
    </w:p>
    <w:p>
      <w:pPr>
        <w:pStyle w:val="BodyText"/>
        <w:spacing w:line="276" w:lineRule="auto" w:before="286"/>
        <w:ind w:right="357" w:firstLine="480"/>
        <w:jc w:val="both"/>
      </w:pPr>
      <w:r>
        <w:rPr>
          <w:spacing w:val="-6"/>
        </w:rPr>
        <w:t>研究将设立外部 </w:t>
      </w:r>
      <w:r>
        <w:rPr>
          <w:rFonts w:ascii="Times New Roman" w:eastAsia="Times New Roman"/>
          <w:spacing w:val="-2"/>
        </w:rPr>
        <w:t>IDMC</w:t>
      </w:r>
      <w:r>
        <w:rPr>
          <w:spacing w:val="-5"/>
        </w:rPr>
        <w:t>，以对前身研究和 </w:t>
      </w:r>
      <w:r>
        <w:rPr>
          <w:rFonts w:ascii="Times New Roman" w:eastAsia="Times New Roman"/>
          <w:spacing w:val="-2"/>
        </w:rPr>
        <w:t>PROSPERO</w:t>
      </w:r>
      <w:r>
        <w:rPr>
          <w:rFonts w:ascii="Times New Roman" w:eastAsia="Times New Roman"/>
          <w:spacing w:val="3"/>
        </w:rPr>
        <w:t> </w:t>
      </w:r>
      <w:r>
        <w:rPr>
          <w:spacing w:val="-2"/>
        </w:rPr>
        <w:t>的安全性提供系统、无偏</w:t>
      </w:r>
      <w:r>
        <w:rPr/>
        <w:t>倚的安全性评估。</w:t>
      </w:r>
      <w:r>
        <w:rPr>
          <w:rFonts w:ascii="Times New Roman" w:eastAsia="Times New Roman"/>
        </w:rPr>
        <w:t>IDMC </w:t>
      </w:r>
      <w:r>
        <w:rPr/>
        <w:t>将监督研究受试者的安全性，并将根据可用数据就进一步研究实施提供适当建议。</w:t>
      </w:r>
      <w:r>
        <w:rPr>
          <w:rFonts w:ascii="Times New Roman" w:eastAsia="Times New Roman"/>
        </w:rPr>
        <w:t>IDMC</w:t>
      </w:r>
      <w:r>
        <w:rPr>
          <w:rFonts w:ascii="Times New Roman" w:eastAsia="Times New Roman"/>
          <w:spacing w:val="41"/>
        </w:rPr>
        <w:t>  </w:t>
      </w:r>
      <w:r>
        <w:rPr>
          <w:spacing w:val="-1"/>
        </w:rPr>
        <w:t>可能会根据审查的数据建议修改或终止研究，包括</w:t>
      </w:r>
    </w:p>
    <w:p>
      <w:pPr>
        <w:spacing w:after="0" w:line="276" w:lineRule="auto"/>
        <w:jc w:val="both"/>
        <w:sectPr>
          <w:pgSz w:w="11910" w:h="16840"/>
          <w:pgMar w:header="590" w:footer="784" w:top="1340" w:bottom="980" w:left="1480" w:right="1080"/>
        </w:sectPr>
      </w:pPr>
    </w:p>
    <w:p>
      <w:pPr>
        <w:pStyle w:val="BodyText"/>
        <w:spacing w:line="276" w:lineRule="auto" w:before="88"/>
        <w:ind w:right="353"/>
        <w:jc w:val="both"/>
      </w:pPr>
      <w:r>
        <w:rPr>
          <w:spacing w:val="-2"/>
        </w:rPr>
        <w:t>定期非盲态安全性审查，以及在计划的期中分析时将考虑与提前报告研究有效性相</w:t>
      </w:r>
      <w:r>
        <w:rPr>
          <w:spacing w:val="-3"/>
        </w:rPr>
        <w:t>关的决策规则。有关 </w:t>
      </w:r>
      <w:r>
        <w:rPr>
          <w:rFonts w:ascii="Times New Roman" w:eastAsia="Times New Roman"/>
        </w:rPr>
        <w:t>IDMC</w:t>
      </w:r>
      <w:r>
        <w:rPr>
          <w:rFonts w:ascii="Times New Roman" w:eastAsia="Times New Roman"/>
          <w:spacing w:val="-15"/>
        </w:rPr>
        <w:t> </w:t>
      </w:r>
      <w:r>
        <w:rPr>
          <w:spacing w:val="-2"/>
        </w:rPr>
        <w:t>流程和决策标准的详细内容，请见 </w:t>
      </w:r>
      <w:r>
        <w:rPr>
          <w:rFonts w:ascii="Times New Roman" w:eastAsia="Times New Roman"/>
        </w:rPr>
        <w:t>IDMC</w:t>
      </w:r>
      <w:r>
        <w:rPr>
          <w:rFonts w:ascii="Times New Roman" w:eastAsia="Times New Roman"/>
          <w:spacing w:val="-3"/>
        </w:rPr>
        <w:t> </w:t>
      </w:r>
      <w:r>
        <w:rPr/>
        <w:t>章程。如果符</w:t>
      </w:r>
      <w:r>
        <w:rPr>
          <w:spacing w:val="-2"/>
        </w:rPr>
        <w:t>合因无效而停止前身研究的预先规定的标准，且因无效而停止了前身研究，则本研究也将停止。</w:t>
      </w:r>
    </w:p>
    <w:p>
      <w:pPr>
        <w:pStyle w:val="BodyText"/>
        <w:spacing w:before="236"/>
        <w:ind w:left="701"/>
      </w:pPr>
      <w:r>
        <w:rPr>
          <w:spacing w:val="-1"/>
        </w:rPr>
        <w:t>如果申办者确定需要暂时停止或终止研究，申办者将与所有参与研究的研究者</w:t>
      </w:r>
    </w:p>
    <w:p>
      <w:pPr>
        <w:pStyle w:val="BodyText"/>
        <w:spacing w:line="276" w:lineRule="auto" w:before="46"/>
        <w:ind w:right="357" w:hanging="120"/>
      </w:pPr>
      <w:r>
        <w:rPr>
          <w:spacing w:val="-2"/>
        </w:rPr>
        <w:t>（或医疗机构负责人，如适用）讨论采取该措施的原因。如可能，申办者将提前通知所有参与研究的研究者（或医疗机构负责人，如适用）即将采取的措施。</w:t>
      </w:r>
    </w:p>
    <w:p>
      <w:pPr>
        <w:pStyle w:val="BodyText"/>
        <w:spacing w:line="276" w:lineRule="auto" w:before="239"/>
        <w:ind w:right="354" w:firstLine="480"/>
        <w:jc w:val="both"/>
      </w:pPr>
      <w:r>
        <w:rPr>
          <w:spacing w:val="-2"/>
        </w:rPr>
        <w:t>如果由于安全性原因研究被暂停或终止，申办者将及时通知所有研究者、医疗机构负责人（如适用）和</w:t>
      </w:r>
      <w:r>
        <w:rPr>
          <w:rFonts w:ascii="Times New Roman" w:eastAsia="Times New Roman"/>
          <w:spacing w:val="-2"/>
        </w:rPr>
        <w:t>/</w:t>
      </w:r>
      <w:r>
        <w:rPr>
          <w:spacing w:val="-2"/>
        </w:rPr>
        <w:t>或实施研究的机构。申办者还将及时通知相关药政监管部门暂停</w:t>
      </w:r>
      <w:r>
        <w:rPr>
          <w:rFonts w:ascii="Times New Roman" w:eastAsia="Times New Roman"/>
          <w:spacing w:val="-2"/>
        </w:rPr>
        <w:t>/</w:t>
      </w:r>
      <w:r>
        <w:rPr>
          <w:spacing w:val="-2"/>
        </w:rPr>
        <w:t>终止以及采取上述措施的原因。在适用的法规要求下，研究者或医疗机构负</w:t>
      </w:r>
      <w:r>
        <w:rPr/>
        <w:t>责人必须立即通知 </w:t>
      </w:r>
      <w:r>
        <w:rPr>
          <w:rFonts w:ascii="Times New Roman" w:eastAsia="Times New Roman"/>
        </w:rPr>
        <w:t>IRB/IEC</w:t>
      </w:r>
      <w:r>
        <w:rPr/>
        <w:t>，并提供暂停</w:t>
      </w:r>
      <w:r>
        <w:rPr>
          <w:rFonts w:ascii="Times New Roman" w:eastAsia="Times New Roman"/>
        </w:rPr>
        <w:t>/</w:t>
      </w:r>
      <w:r>
        <w:rPr/>
        <w:t>终止的原因。如果是因安全性原因暂停研</w:t>
      </w:r>
      <w:r>
        <w:rPr>
          <w:spacing w:val="-2"/>
        </w:rPr>
        <w:t>究，且申办者认为适合重新开始研究，则在重新开始研究前需获得相关药政监管部</w:t>
      </w:r>
      <w:r>
        <w:rPr/>
        <w:t>门（和 </w:t>
      </w:r>
      <w:r>
        <w:rPr>
          <w:rFonts w:ascii="Times New Roman" w:eastAsia="Times New Roman"/>
        </w:rPr>
        <w:t>IRB/IEC</w:t>
      </w:r>
      <w:r>
        <w:rPr/>
        <w:t>，如适用）的批准。研究者还应立即通知受试者研究暂停</w:t>
      </w:r>
      <w:r>
        <w:rPr>
          <w:rFonts w:ascii="Times New Roman" w:eastAsia="Times New Roman"/>
        </w:rPr>
        <w:t>/</w:t>
      </w:r>
      <w:r>
        <w:rPr/>
        <w:t>终止，并</w:t>
      </w:r>
      <w:r>
        <w:rPr>
          <w:spacing w:val="-2"/>
        </w:rPr>
        <w:t>应确保受试者获得适当的治疗和</w:t>
      </w:r>
      <w:r>
        <w:rPr>
          <w:rFonts w:ascii="Times New Roman" w:eastAsia="Times New Roman"/>
          <w:spacing w:val="-2"/>
        </w:rPr>
        <w:t>/</w:t>
      </w:r>
      <w:r>
        <w:rPr>
          <w:spacing w:val="-2"/>
        </w:rPr>
        <w:t>或随访。</w:t>
      </w:r>
    </w:p>
    <w:p>
      <w:pPr>
        <w:pStyle w:val="Heading1"/>
        <w:numPr>
          <w:ilvl w:val="0"/>
          <w:numId w:val="3"/>
        </w:numPr>
        <w:tabs>
          <w:tab w:pos="1355" w:val="left" w:leader="none"/>
        </w:tabs>
        <w:spacing w:line="240" w:lineRule="auto" w:before="234" w:after="0"/>
        <w:ind w:left="1355" w:right="0" w:hanging="1134"/>
        <w:jc w:val="left"/>
      </w:pPr>
      <w:bookmarkStart w:name="5 研究人群" w:id="68"/>
      <w:bookmarkEnd w:id="68"/>
      <w:r>
        <w:rPr>
          <w:b w:val="0"/>
        </w:rPr>
      </w:r>
      <w:bookmarkStart w:name="_bookmark36" w:id="69"/>
      <w:bookmarkEnd w:id="69"/>
      <w:r>
        <w:rPr>
          <w:b w:val="0"/>
        </w:rPr>
      </w:r>
      <w:r>
        <w:rPr>
          <w:spacing w:val="-4"/>
        </w:rPr>
        <w:t>研究人群</w:t>
      </w:r>
    </w:p>
    <w:p>
      <w:pPr>
        <w:pStyle w:val="BodyText"/>
        <w:spacing w:before="119"/>
        <w:ind w:left="701"/>
      </w:pPr>
      <w:r>
        <w:rPr>
          <w:spacing w:val="-1"/>
        </w:rPr>
        <w:t>不允许对招募和入选标准方案偏离事先批准，也称为方案免除或豁免。</w:t>
      </w:r>
    </w:p>
    <w:p>
      <w:pPr>
        <w:pStyle w:val="Heading1"/>
        <w:numPr>
          <w:ilvl w:val="1"/>
          <w:numId w:val="3"/>
        </w:numPr>
        <w:tabs>
          <w:tab w:pos="1355" w:val="left" w:leader="none"/>
        </w:tabs>
        <w:spacing w:line="240" w:lineRule="auto" w:before="287" w:after="0"/>
        <w:ind w:left="1355" w:right="0" w:hanging="1134"/>
        <w:jc w:val="left"/>
      </w:pPr>
      <w:bookmarkStart w:name="5.1 纳入标准" w:id="70"/>
      <w:bookmarkEnd w:id="70"/>
      <w:r>
        <w:rPr>
          <w:b w:val="0"/>
        </w:rPr>
      </w:r>
      <w:bookmarkStart w:name="_bookmark37" w:id="71"/>
      <w:bookmarkEnd w:id="71"/>
      <w:r>
        <w:rPr>
          <w:b w:val="0"/>
        </w:rPr>
      </w:r>
      <w:r>
        <w:rPr>
          <w:spacing w:val="-4"/>
        </w:rPr>
        <w:t>纳入标准</w:t>
      </w:r>
    </w:p>
    <w:p>
      <w:pPr>
        <w:pStyle w:val="BodyText"/>
        <w:spacing w:before="118"/>
        <w:ind w:left="701"/>
      </w:pPr>
      <w:r>
        <w:rPr>
          <w:spacing w:val="-1"/>
        </w:rPr>
        <w:t>受试者仅在符合下列所有标准的情况下才有资格纳入本研究：</w:t>
      </w:r>
    </w:p>
    <w:p>
      <w:pPr>
        <w:pStyle w:val="ListParagraph"/>
        <w:numPr>
          <w:ilvl w:val="0"/>
          <w:numId w:val="15"/>
        </w:numPr>
        <w:tabs>
          <w:tab w:pos="646" w:val="left" w:leader="none"/>
        </w:tabs>
        <w:spacing w:line="240" w:lineRule="auto" w:before="287" w:after="0"/>
        <w:ind w:left="646" w:right="0" w:hanging="425"/>
        <w:jc w:val="left"/>
        <w:rPr>
          <w:sz w:val="24"/>
        </w:rPr>
      </w:pPr>
      <w:r>
        <w:rPr>
          <w:spacing w:val="-4"/>
          <w:sz w:val="24"/>
        </w:rPr>
        <w:t>在前身研究中完成治疗期且未提前终止 </w:t>
      </w:r>
      <w:r>
        <w:rPr>
          <w:rFonts w:ascii="Times New Roman" w:eastAsia="Times New Roman"/>
          <w:sz w:val="24"/>
        </w:rPr>
        <w:t>IP</w:t>
      </w:r>
      <w:r>
        <w:rPr>
          <w:rFonts w:ascii="Times New Roman" w:eastAsia="Times New Roman"/>
          <w:spacing w:val="-13"/>
          <w:sz w:val="24"/>
        </w:rPr>
        <w:t> </w:t>
      </w:r>
      <w:r>
        <w:rPr>
          <w:spacing w:val="-2"/>
          <w:sz w:val="24"/>
        </w:rPr>
        <w:t>治疗的受试者。</w:t>
      </w:r>
    </w:p>
    <w:p>
      <w:pPr>
        <w:pStyle w:val="ListParagraph"/>
        <w:numPr>
          <w:ilvl w:val="0"/>
          <w:numId w:val="15"/>
        </w:numPr>
        <w:tabs>
          <w:tab w:pos="646" w:val="left" w:leader="none"/>
        </w:tabs>
        <w:spacing w:line="240" w:lineRule="auto" w:before="105" w:after="0"/>
        <w:ind w:left="646" w:right="0" w:hanging="425"/>
        <w:jc w:val="left"/>
        <w:rPr>
          <w:sz w:val="24"/>
        </w:rPr>
      </w:pPr>
      <w:r>
        <w:rPr>
          <w:spacing w:val="-9"/>
          <w:sz w:val="24"/>
        </w:rPr>
        <w:t>受试者在过去 </w:t>
      </w:r>
      <w:r>
        <w:rPr>
          <w:rFonts w:ascii="Times New Roman" w:eastAsia="Times New Roman"/>
          <w:sz w:val="24"/>
        </w:rPr>
        <w:t>12</w:t>
      </w:r>
      <w:r>
        <w:rPr>
          <w:rFonts w:ascii="Times New Roman" w:eastAsia="Times New Roman"/>
          <w:spacing w:val="-12"/>
          <w:sz w:val="24"/>
        </w:rPr>
        <w:t> </w:t>
      </w:r>
      <w:r>
        <w:rPr>
          <w:spacing w:val="-5"/>
          <w:sz w:val="24"/>
        </w:rPr>
        <w:t>周内接受了前身研究中的 </w:t>
      </w:r>
      <w:r>
        <w:rPr>
          <w:rFonts w:ascii="Times New Roman" w:eastAsia="Times New Roman"/>
          <w:sz w:val="24"/>
        </w:rPr>
        <w:t>IP</w:t>
      </w:r>
      <w:r>
        <w:rPr>
          <w:rFonts w:ascii="Times New Roman" w:eastAsia="Times New Roman"/>
          <w:spacing w:val="-13"/>
          <w:sz w:val="24"/>
        </w:rPr>
        <w:t> </w:t>
      </w:r>
      <w:r>
        <w:rPr>
          <w:spacing w:val="-1"/>
          <w:sz w:val="24"/>
        </w:rPr>
        <w:t>末次给药，且未退出前身研究。</w:t>
      </w:r>
    </w:p>
    <w:p>
      <w:pPr>
        <w:pStyle w:val="BodyText"/>
        <w:spacing w:before="190"/>
        <w:ind w:left="0"/>
      </w:pPr>
    </w:p>
    <w:p>
      <w:pPr>
        <w:pStyle w:val="Heading3"/>
      </w:pPr>
      <w:r>
        <w:rPr>
          <w:spacing w:val="-6"/>
        </w:rPr>
        <w:t>生育</w:t>
      </w:r>
    </w:p>
    <w:p>
      <w:pPr>
        <w:pStyle w:val="ListParagraph"/>
        <w:numPr>
          <w:ilvl w:val="0"/>
          <w:numId w:val="15"/>
        </w:numPr>
        <w:tabs>
          <w:tab w:pos="646" w:val="left" w:leader="none"/>
        </w:tabs>
        <w:spacing w:line="240" w:lineRule="auto" w:before="120" w:after="0"/>
        <w:ind w:left="646" w:right="0" w:hanging="425"/>
        <w:jc w:val="left"/>
        <w:rPr>
          <w:sz w:val="24"/>
        </w:rPr>
      </w:pPr>
      <w:r>
        <w:rPr>
          <w:rFonts w:ascii="Times New Roman" w:eastAsia="Times New Roman"/>
          <w:sz w:val="24"/>
        </w:rPr>
        <w:t>FOCBP</w:t>
      </w:r>
      <w:r>
        <w:rPr>
          <w:rFonts w:ascii="Times New Roman" w:eastAsia="Times New Roman"/>
          <w:spacing w:val="-15"/>
          <w:sz w:val="24"/>
        </w:rPr>
        <w:t> </w:t>
      </w:r>
      <w:r>
        <w:rPr>
          <w:spacing w:val="-15"/>
          <w:sz w:val="24"/>
        </w:rPr>
        <w:t>在访视 </w:t>
      </w:r>
      <w:r>
        <w:rPr>
          <w:rFonts w:ascii="Times New Roman" w:eastAsia="Times New Roman"/>
          <w:sz w:val="24"/>
        </w:rPr>
        <w:t>1</w:t>
      </w:r>
      <w:r>
        <w:rPr>
          <w:rFonts w:ascii="Times New Roman" w:eastAsia="Times New Roman"/>
          <w:spacing w:val="-13"/>
          <w:sz w:val="24"/>
        </w:rPr>
        <w:t> </w:t>
      </w:r>
      <w:r>
        <w:rPr>
          <w:spacing w:val="-1"/>
          <w:sz w:val="24"/>
        </w:rPr>
        <w:t>时的尿液妊娠试验结果必须为阴性。</w:t>
      </w:r>
    </w:p>
    <w:p>
      <w:pPr>
        <w:pStyle w:val="ListParagraph"/>
        <w:numPr>
          <w:ilvl w:val="1"/>
          <w:numId w:val="15"/>
        </w:numPr>
        <w:tabs>
          <w:tab w:pos="1070" w:val="left" w:leader="none"/>
        </w:tabs>
        <w:spacing w:line="240" w:lineRule="auto" w:before="105" w:after="0"/>
        <w:ind w:left="1070" w:right="0" w:hanging="424"/>
        <w:jc w:val="left"/>
        <w:rPr>
          <w:sz w:val="24"/>
        </w:rPr>
      </w:pPr>
      <w:r>
        <w:rPr>
          <w:rFonts w:ascii="Times New Roman" w:eastAsia="Times New Roman"/>
          <w:spacing w:val="-2"/>
          <w:sz w:val="24"/>
        </w:rPr>
        <w:t>FOCBP</w:t>
      </w:r>
      <w:r>
        <w:rPr>
          <w:rFonts w:ascii="Times New Roman" w:eastAsia="Times New Roman"/>
          <w:spacing w:val="-5"/>
          <w:sz w:val="24"/>
        </w:rPr>
        <w:t> </w:t>
      </w:r>
      <w:r>
        <w:rPr>
          <w:spacing w:val="-2"/>
          <w:sz w:val="24"/>
        </w:rPr>
        <w:t>的定义请见</w:t>
      </w:r>
      <w:hyperlink w:history="true" w:anchor="_bookmark159">
        <w:r>
          <w:rPr>
            <w:color w:val="0000FF"/>
            <w:spacing w:val="-18"/>
            <w:sz w:val="24"/>
          </w:rPr>
          <w:t>附录 </w:t>
        </w:r>
        <w:r>
          <w:rPr>
            <w:rFonts w:ascii="Times New Roman" w:eastAsia="Times New Roman"/>
            <w:color w:val="0000FF"/>
            <w:spacing w:val="-2"/>
            <w:sz w:val="24"/>
          </w:rPr>
          <w:t>E</w:t>
        </w:r>
      </w:hyperlink>
      <w:r>
        <w:rPr>
          <w:spacing w:val="-10"/>
          <w:sz w:val="24"/>
        </w:rPr>
        <w:t>。</w:t>
      </w:r>
    </w:p>
    <w:p>
      <w:pPr>
        <w:pStyle w:val="ListParagraph"/>
        <w:numPr>
          <w:ilvl w:val="0"/>
          <w:numId w:val="15"/>
        </w:numPr>
        <w:tabs>
          <w:tab w:pos="646" w:val="left" w:leader="none"/>
        </w:tabs>
        <w:spacing w:line="276" w:lineRule="auto" w:before="106" w:after="0"/>
        <w:ind w:left="646" w:right="357" w:hanging="425"/>
        <w:jc w:val="left"/>
        <w:rPr>
          <w:sz w:val="24"/>
        </w:rPr>
      </w:pPr>
      <w:r>
        <w:rPr>
          <w:spacing w:val="-3"/>
          <w:sz w:val="24"/>
        </w:rPr>
        <w:t>愿意继续使用之前在 </w:t>
      </w:r>
      <w:r>
        <w:rPr>
          <w:rFonts w:ascii="Times New Roman" w:eastAsia="Times New Roman"/>
          <w:sz w:val="24"/>
        </w:rPr>
        <w:t>OBERON</w:t>
      </w:r>
      <w:r>
        <w:rPr>
          <w:rFonts w:ascii="Times New Roman" w:eastAsia="Times New Roman"/>
          <w:spacing w:val="17"/>
          <w:sz w:val="24"/>
        </w:rPr>
        <w:t> </w:t>
      </w:r>
      <w:r>
        <w:rPr>
          <w:spacing w:val="-13"/>
          <w:sz w:val="24"/>
        </w:rPr>
        <w:t>或 </w:t>
      </w:r>
      <w:r>
        <w:rPr>
          <w:rFonts w:ascii="Times New Roman" w:eastAsia="Times New Roman"/>
          <w:sz w:val="24"/>
        </w:rPr>
        <w:t>TITANIA</w:t>
      </w:r>
      <w:r>
        <w:rPr>
          <w:rFonts w:ascii="Times New Roman" w:eastAsia="Times New Roman"/>
          <w:spacing w:val="17"/>
          <w:sz w:val="24"/>
        </w:rPr>
        <w:t> </w:t>
      </w:r>
      <w:r>
        <w:rPr>
          <w:sz w:val="24"/>
        </w:rPr>
        <w:t>研究中同意采用的避孕方法的受试者。可接受的避孕方法见</w:t>
      </w:r>
      <w:hyperlink w:history="true" w:anchor="_bookmark159">
        <w:r>
          <w:rPr>
            <w:color w:val="0000FF"/>
            <w:spacing w:val="-5"/>
            <w:sz w:val="24"/>
          </w:rPr>
          <w:t>附录 </w:t>
        </w:r>
        <w:r>
          <w:rPr>
            <w:rFonts w:ascii="Times New Roman" w:eastAsia="Times New Roman"/>
            <w:color w:val="0000FF"/>
            <w:sz w:val="24"/>
          </w:rPr>
          <w:t>E</w:t>
        </w:r>
      </w:hyperlink>
      <w:r>
        <w:rPr>
          <w:rFonts w:ascii="Times New Roman" w:eastAsia="Times New Roman"/>
          <w:color w:val="0000FF"/>
          <w:sz w:val="24"/>
        </w:rPr>
        <w:t> </w:t>
      </w:r>
      <w:r>
        <w:rPr>
          <w:sz w:val="24"/>
        </w:rPr>
        <w:t>中的</w:t>
      </w:r>
      <w:hyperlink w:history="true" w:anchor="_bookmark160">
        <w:r>
          <w:rPr>
            <w:color w:val="0000FF"/>
            <w:spacing w:val="-8"/>
            <w:sz w:val="24"/>
          </w:rPr>
          <w:t>表 </w:t>
        </w:r>
        <w:r>
          <w:rPr>
            <w:rFonts w:ascii="Times New Roman" w:eastAsia="Times New Roman"/>
            <w:color w:val="0000FF"/>
            <w:sz w:val="24"/>
          </w:rPr>
          <w:t>E1</w:t>
        </w:r>
      </w:hyperlink>
      <w:r>
        <w:rPr>
          <w:sz w:val="24"/>
        </w:rPr>
        <w:t>。</w:t>
      </w:r>
    </w:p>
    <w:p>
      <w:pPr>
        <w:pStyle w:val="BodyText"/>
        <w:spacing w:line="276" w:lineRule="auto" w:before="59"/>
        <w:ind w:left="646" w:right="363"/>
      </w:pPr>
      <w:r>
        <w:rPr>
          <w:spacing w:val="3"/>
        </w:rPr>
        <w:t>男性或女性避孕措施的使用应符合当地有关参加临床研究受试者避孕方法的相关规定。</w:t>
      </w:r>
    </w:p>
    <w:p>
      <w:pPr>
        <w:pStyle w:val="ListParagraph"/>
        <w:numPr>
          <w:ilvl w:val="1"/>
          <w:numId w:val="15"/>
        </w:numPr>
        <w:tabs>
          <w:tab w:pos="1070" w:val="left" w:leader="none"/>
        </w:tabs>
        <w:spacing w:line="240" w:lineRule="auto" w:before="57" w:after="0"/>
        <w:ind w:left="1070" w:right="0" w:hanging="424"/>
        <w:jc w:val="left"/>
        <w:rPr>
          <w:sz w:val="24"/>
        </w:rPr>
      </w:pPr>
      <w:r>
        <w:rPr>
          <w:spacing w:val="-2"/>
          <w:sz w:val="24"/>
        </w:rPr>
        <w:t>男性受试者：</w:t>
      </w:r>
    </w:p>
    <w:p>
      <w:pPr>
        <w:pStyle w:val="BodyText"/>
        <w:spacing w:line="276" w:lineRule="auto" w:before="108"/>
        <w:ind w:left="1071" w:right="357"/>
        <w:jc w:val="both"/>
      </w:pPr>
      <w:r>
        <w:rPr>
          <w:spacing w:val="-15"/>
        </w:rPr>
        <w:t>与 </w:t>
      </w:r>
      <w:r>
        <w:rPr>
          <w:rFonts w:ascii="Times New Roman" w:eastAsia="Times New Roman"/>
        </w:rPr>
        <w:t>FOCPB</w:t>
      </w:r>
      <w:r>
        <w:rPr>
          <w:rFonts w:ascii="Times New Roman" w:eastAsia="Times New Roman"/>
          <w:spacing w:val="11"/>
        </w:rPr>
        <w:t> </w:t>
      </w:r>
      <w:r>
        <w:rPr/>
        <w:t>伴侣性生活活跃未绝育的男性受试者，必须同意从入选至整个研</w:t>
      </w:r>
      <w:r>
        <w:rPr>
          <w:spacing w:val="-6"/>
        </w:rPr>
        <w:t>究期间和末次 </w:t>
      </w:r>
      <w:r>
        <w:rPr>
          <w:rFonts w:ascii="Times New Roman" w:eastAsia="Times New Roman"/>
          <w:spacing w:val="-2"/>
        </w:rPr>
        <w:t>IP</w:t>
      </w:r>
      <w:r>
        <w:rPr>
          <w:rFonts w:ascii="Times New Roman" w:eastAsia="Times New Roman"/>
          <w:spacing w:val="-13"/>
        </w:rPr>
        <w:t> </w:t>
      </w:r>
      <w:r>
        <w:rPr>
          <w:spacing w:val="-9"/>
        </w:rPr>
        <w:t>给药后 </w:t>
      </w:r>
      <w:r>
        <w:rPr>
          <w:rFonts w:ascii="Times New Roman" w:eastAsia="Times New Roman"/>
          <w:spacing w:val="-2"/>
        </w:rPr>
        <w:t>14</w:t>
      </w:r>
      <w:r>
        <w:rPr>
          <w:rFonts w:ascii="Times New Roman" w:eastAsia="Times New Roman"/>
          <w:spacing w:val="5"/>
        </w:rPr>
        <w:t> </w:t>
      </w:r>
      <w:r>
        <w:rPr>
          <w:spacing w:val="-2"/>
        </w:rPr>
        <w:t>周内进行性行为时使用男用避孕套。未绝育男性的定义请见</w:t>
      </w:r>
      <w:hyperlink w:history="true" w:anchor="_bookmark159">
        <w:r>
          <w:rPr>
            <w:color w:val="0000FF"/>
            <w:spacing w:val="-2"/>
          </w:rPr>
          <w:t>附录 </w:t>
        </w:r>
        <w:r>
          <w:rPr>
            <w:rFonts w:ascii="Times New Roman" w:eastAsia="Times New Roman"/>
            <w:color w:val="0000FF"/>
            <w:spacing w:val="-2"/>
          </w:rPr>
          <w:t>E</w:t>
        </w:r>
      </w:hyperlink>
      <w:r>
        <w:rPr>
          <w:spacing w:val="-2"/>
        </w:rPr>
        <w:t>。在可购买到杀精剂的国家，强烈建议使用。同时强烈建议男性受试者的女性伴侣在此期间也采用高效避孕措施。</w:t>
      </w:r>
    </w:p>
    <w:p>
      <w:pPr>
        <w:spacing w:after="0" w:line="276" w:lineRule="auto"/>
        <w:jc w:val="both"/>
        <w:sectPr>
          <w:pgSz w:w="11910" w:h="16840"/>
          <w:pgMar w:header="590" w:footer="784" w:top="1340" w:bottom="980" w:left="1480" w:right="1080"/>
        </w:sectPr>
      </w:pPr>
    </w:p>
    <w:p>
      <w:pPr>
        <w:pStyle w:val="BodyText"/>
        <w:spacing w:before="88"/>
        <w:ind w:left="1071"/>
      </w:pPr>
      <w:r>
        <w:rPr>
          <w:spacing w:val="-1"/>
        </w:rPr>
        <w:t>未绝育的男性患者在同一时期也应避免生育子女或捐献精子。</w:t>
      </w:r>
    </w:p>
    <w:p>
      <w:pPr>
        <w:pStyle w:val="ListParagraph"/>
        <w:numPr>
          <w:ilvl w:val="1"/>
          <w:numId w:val="15"/>
        </w:numPr>
        <w:tabs>
          <w:tab w:pos="1070" w:val="left" w:leader="none"/>
        </w:tabs>
        <w:spacing w:line="240" w:lineRule="auto" w:before="105" w:after="0"/>
        <w:ind w:left="1070" w:right="0" w:hanging="424"/>
        <w:jc w:val="left"/>
        <w:rPr>
          <w:sz w:val="24"/>
        </w:rPr>
      </w:pPr>
      <w:r>
        <w:rPr>
          <w:spacing w:val="-2"/>
          <w:sz w:val="24"/>
        </w:rPr>
        <w:t>女性受试者：</w:t>
      </w:r>
    </w:p>
    <w:p>
      <w:pPr>
        <w:pStyle w:val="BodyText"/>
        <w:spacing w:line="276" w:lineRule="auto" w:before="107"/>
        <w:ind w:left="1071" w:right="358"/>
        <w:jc w:val="both"/>
      </w:pPr>
      <w:r>
        <w:rPr>
          <w:spacing w:val="1"/>
        </w:rPr>
        <w:t>与未绝育的男性伴侣保持活跃性生活的 </w:t>
      </w:r>
      <w:r>
        <w:rPr>
          <w:rFonts w:ascii="Times New Roman" w:eastAsia="Times New Roman"/>
          <w:spacing w:val="-1"/>
        </w:rPr>
        <w:t>FO</w:t>
      </w:r>
      <w:r>
        <w:rPr>
          <w:rFonts w:ascii="Times New Roman" w:eastAsia="Times New Roman"/>
        </w:rPr>
        <w:t>C</w:t>
      </w:r>
      <w:r>
        <w:rPr>
          <w:rFonts w:ascii="Times New Roman" w:eastAsia="Times New Roman"/>
          <w:spacing w:val="-1"/>
        </w:rPr>
        <w:t>B</w:t>
      </w:r>
      <w:r>
        <w:rPr>
          <w:rFonts w:ascii="Times New Roman" w:eastAsia="Times New Roman"/>
          <w:spacing w:val="2"/>
        </w:rPr>
        <w:t>P</w:t>
      </w:r>
      <w:r>
        <w:rPr>
          <w:spacing w:val="1"/>
        </w:rPr>
        <w:t>，必须同意从入选至整项研</w:t>
      </w:r>
      <w:r>
        <w:rPr>
          <w:spacing w:val="-8"/>
        </w:rPr>
        <w:t>究期间直至 </w:t>
      </w:r>
      <w:r>
        <w:rPr>
          <w:rFonts w:ascii="Times New Roman" w:eastAsia="Times New Roman"/>
        </w:rPr>
        <w:t>IP</w:t>
      </w:r>
      <w:r>
        <w:rPr>
          <w:rFonts w:ascii="Times New Roman" w:eastAsia="Times New Roman"/>
          <w:spacing w:val="-2"/>
        </w:rPr>
        <w:t> </w:t>
      </w:r>
      <w:r>
        <w:rPr>
          <w:spacing w:val="-7"/>
        </w:rPr>
        <w:t>末次给药后至少 </w:t>
      </w:r>
      <w:r>
        <w:rPr>
          <w:rFonts w:ascii="Times New Roman" w:eastAsia="Times New Roman"/>
        </w:rPr>
        <w:t>14</w:t>
      </w:r>
      <w:r>
        <w:rPr>
          <w:rFonts w:ascii="Times New Roman" w:eastAsia="Times New Roman"/>
          <w:spacing w:val="-2"/>
        </w:rPr>
        <w:t> </w:t>
      </w:r>
      <w:r>
        <w:rPr>
          <w:spacing w:val="-2"/>
        </w:rPr>
        <w:t>周，使用一种下文定义的高效避孕方法。</w:t>
      </w:r>
      <w:r>
        <w:rPr>
          <w:spacing w:val="5"/>
        </w:rPr>
        <w:t>在此之后是否停止避孕应与负责医生讨论。不可接受的避孕方法包括定期</w:t>
      </w:r>
      <w:r>
        <w:rPr>
          <w:spacing w:val="6"/>
        </w:rPr>
        <w:t>禁欲（日历法、基础体温法、排卵期后避孕方法）、体外射精</w:t>
      </w:r>
      <w:r>
        <w:rPr>
          <w:spacing w:val="8"/>
        </w:rPr>
        <w:t>（</w:t>
      </w:r>
      <w:r>
        <w:rPr>
          <w:spacing w:val="5"/>
        </w:rPr>
        <w:t>性交中断</w:t>
      </w:r>
      <w:r>
        <w:rPr>
          <w:spacing w:val="6"/>
        </w:rPr>
        <w:t>法）</w:t>
      </w:r>
      <w:r>
        <w:rPr>
          <w:spacing w:val="5"/>
        </w:rPr>
        <w:t>、仅使用杀精剂和哺乳期闭经法。女用避孕套和男用避孕套不应同时使用。</w:t>
      </w:r>
    </w:p>
    <w:p>
      <w:pPr>
        <w:pStyle w:val="BodyText"/>
        <w:spacing w:line="276" w:lineRule="auto" w:before="54"/>
        <w:ind w:left="1071" w:right="357"/>
        <w:jc w:val="both"/>
      </w:pPr>
      <w:r>
        <w:rPr>
          <w:spacing w:val="-2"/>
        </w:rPr>
        <w:t>高效避孕方法定义为在持续正确使用时年失败率</w:t>
      </w:r>
      <w:r>
        <w:rPr>
          <w:rFonts w:ascii="Times New Roman" w:eastAsia="Times New Roman"/>
          <w:spacing w:val="-2"/>
        </w:rPr>
        <w:t>&lt;1%</w:t>
      </w:r>
      <w:r>
        <w:rPr>
          <w:spacing w:val="-2"/>
        </w:rPr>
        <w:t>的避孕方法。高效避孕</w:t>
      </w:r>
      <w:r>
        <w:rPr/>
        <w:t>方法请见</w:t>
      </w:r>
      <w:hyperlink w:history="true" w:anchor="_bookmark159">
        <w:r>
          <w:rPr>
            <w:color w:val="0000FF"/>
            <w:spacing w:val="-10"/>
          </w:rPr>
          <w:t>附录 </w:t>
        </w:r>
        <w:r>
          <w:rPr>
            <w:rFonts w:ascii="Times New Roman" w:eastAsia="Times New Roman"/>
            <w:color w:val="0000FF"/>
          </w:rPr>
          <w:t>E</w:t>
        </w:r>
      </w:hyperlink>
      <w:r>
        <w:rPr>
          <w:spacing w:val="-5"/>
        </w:rPr>
        <w:t>。强烈建议 </w:t>
      </w:r>
      <w:r>
        <w:rPr>
          <w:rFonts w:ascii="Times New Roman" w:eastAsia="Times New Roman"/>
        </w:rPr>
        <w:t>FOCBP</w:t>
      </w:r>
      <w:r>
        <w:rPr>
          <w:rFonts w:ascii="Times New Roman" w:eastAsia="Times New Roman"/>
          <w:spacing w:val="12"/>
        </w:rPr>
        <w:t> </w:t>
      </w:r>
      <w:r>
        <w:rPr/>
        <w:t>受试者的男性伴侣在此期间进行性活动</w:t>
      </w:r>
      <w:r>
        <w:rPr>
          <w:spacing w:val="-2"/>
        </w:rPr>
        <w:t>时使用男用避孕套。</w:t>
      </w:r>
    </w:p>
    <w:p>
      <w:pPr>
        <w:pStyle w:val="BodyText"/>
        <w:spacing w:line="276" w:lineRule="auto" w:before="58"/>
        <w:ind w:left="1071" w:right="124"/>
      </w:pPr>
      <w:r>
        <w:rPr>
          <w:spacing w:val="4"/>
        </w:rPr>
        <w:t>请注意，无生育能力的女性受试者无避孕要求。但是，在整个研究过程中，所有女性受试者都应避免捐献卵细胞和哺乳。</w:t>
      </w:r>
    </w:p>
    <w:p>
      <w:pPr>
        <w:pStyle w:val="BodyText"/>
        <w:spacing w:before="143"/>
        <w:ind w:left="0"/>
      </w:pPr>
    </w:p>
    <w:p>
      <w:pPr>
        <w:pStyle w:val="Heading3"/>
      </w:pPr>
      <w:r>
        <w:rPr>
          <w:spacing w:val="-4"/>
        </w:rPr>
        <w:t>知情同意书</w:t>
      </w:r>
    </w:p>
    <w:p>
      <w:pPr>
        <w:pStyle w:val="ListParagraph"/>
        <w:numPr>
          <w:ilvl w:val="0"/>
          <w:numId w:val="15"/>
        </w:numPr>
        <w:tabs>
          <w:tab w:pos="646" w:val="left" w:leader="none"/>
        </w:tabs>
        <w:spacing w:line="276" w:lineRule="auto" w:before="119" w:after="0"/>
        <w:ind w:left="646" w:right="357" w:hanging="425"/>
        <w:jc w:val="left"/>
        <w:rPr>
          <w:sz w:val="24"/>
        </w:rPr>
      </w:pPr>
      <w:r>
        <w:rPr>
          <w:sz w:val="24"/>
        </w:rPr>
        <w:t>能够签署知情同意书（如</w:t>
      </w:r>
      <w:hyperlink w:history="true" w:anchor="_bookmark149">
        <w:r>
          <w:rPr>
            <w:color w:val="0000FF"/>
            <w:spacing w:val="-10"/>
            <w:sz w:val="24"/>
          </w:rPr>
          <w:t>附录 </w:t>
        </w:r>
        <w:r>
          <w:rPr>
            <w:rFonts w:ascii="Times New Roman" w:eastAsia="Times New Roman"/>
            <w:color w:val="0000FF"/>
            <w:sz w:val="24"/>
          </w:rPr>
          <w:t>A</w:t>
        </w:r>
      </w:hyperlink>
      <w:r>
        <w:rPr>
          <w:rFonts w:ascii="Times New Roman" w:eastAsia="Times New Roman"/>
          <w:color w:val="0000FF"/>
          <w:spacing w:val="8"/>
          <w:sz w:val="24"/>
        </w:rPr>
        <w:t> </w:t>
      </w:r>
      <w:r>
        <w:rPr>
          <w:sz w:val="24"/>
        </w:rPr>
        <w:t>所述），</w:t>
      </w:r>
      <w:r>
        <w:rPr>
          <w:spacing w:val="-6"/>
          <w:sz w:val="24"/>
        </w:rPr>
        <w:t>包括遵从 </w:t>
      </w:r>
      <w:r>
        <w:rPr>
          <w:rFonts w:ascii="Times New Roman" w:eastAsia="Times New Roman"/>
          <w:sz w:val="24"/>
        </w:rPr>
        <w:t>ICF</w:t>
      </w:r>
      <w:r>
        <w:rPr>
          <w:rFonts w:ascii="Times New Roman" w:eastAsia="Times New Roman"/>
          <w:spacing w:val="11"/>
          <w:sz w:val="24"/>
        </w:rPr>
        <w:t> </w:t>
      </w:r>
      <w:r>
        <w:rPr>
          <w:sz w:val="24"/>
        </w:rPr>
        <w:t>和本方案中列出的要求</w:t>
      </w:r>
      <w:r>
        <w:rPr>
          <w:spacing w:val="-4"/>
          <w:sz w:val="24"/>
        </w:rPr>
        <w:t>和限制。</w:t>
      </w:r>
    </w:p>
    <w:p>
      <w:pPr>
        <w:pStyle w:val="BodyText"/>
        <w:spacing w:before="143"/>
        <w:ind w:left="0"/>
      </w:pPr>
    </w:p>
    <w:p>
      <w:pPr>
        <w:pStyle w:val="Heading1"/>
        <w:numPr>
          <w:ilvl w:val="1"/>
          <w:numId w:val="3"/>
        </w:numPr>
        <w:tabs>
          <w:tab w:pos="1355" w:val="left" w:leader="none"/>
        </w:tabs>
        <w:spacing w:line="240" w:lineRule="auto" w:before="0" w:after="0"/>
        <w:ind w:left="1355" w:right="0" w:hanging="1134"/>
        <w:jc w:val="both"/>
      </w:pPr>
      <w:bookmarkStart w:name="5.2 排除标准" w:id="72"/>
      <w:bookmarkEnd w:id="72"/>
      <w:r>
        <w:rPr>
          <w:b w:val="0"/>
        </w:rPr>
      </w:r>
      <w:bookmarkStart w:name="_bookmark38" w:id="73"/>
      <w:bookmarkEnd w:id="73"/>
      <w:r>
        <w:rPr>
          <w:b w:val="0"/>
        </w:rPr>
      </w:r>
      <w:r>
        <w:rPr>
          <w:spacing w:val="-4"/>
        </w:rPr>
        <w:t>排除标准</w:t>
      </w:r>
    </w:p>
    <w:p>
      <w:pPr>
        <w:pStyle w:val="BodyText"/>
        <w:spacing w:before="118"/>
        <w:ind w:left="701"/>
      </w:pPr>
      <w:r>
        <w:rPr>
          <w:spacing w:val="-1"/>
        </w:rPr>
        <w:t>如果受试者满足以下任一标准，则从研究中排除：</w:t>
      </w:r>
    </w:p>
    <w:p>
      <w:pPr>
        <w:pStyle w:val="Heading3"/>
        <w:spacing w:before="286"/>
      </w:pPr>
      <w:r>
        <w:rPr>
          <w:spacing w:val="-2"/>
        </w:rPr>
        <w:t>诊断性评估</w:t>
      </w:r>
      <w:r>
        <w:rPr>
          <w:rFonts w:ascii="Times New Roman" w:eastAsia="Times New Roman"/>
          <w:spacing w:val="-2"/>
        </w:rPr>
        <w:t>/</w:t>
      </w:r>
      <w:r>
        <w:rPr>
          <w:spacing w:val="-4"/>
        </w:rPr>
        <w:t>医学状况</w:t>
      </w:r>
    </w:p>
    <w:p>
      <w:pPr>
        <w:pStyle w:val="ListParagraph"/>
        <w:numPr>
          <w:ilvl w:val="0"/>
          <w:numId w:val="16"/>
        </w:numPr>
        <w:tabs>
          <w:tab w:pos="646" w:val="left" w:leader="none"/>
        </w:tabs>
        <w:spacing w:line="276" w:lineRule="auto" w:before="120" w:after="0"/>
        <w:ind w:left="646" w:right="356" w:hanging="425"/>
        <w:jc w:val="both"/>
        <w:rPr>
          <w:sz w:val="24"/>
        </w:rPr>
      </w:pPr>
      <w:r>
        <w:rPr>
          <w:spacing w:val="2"/>
          <w:sz w:val="24"/>
        </w:rPr>
        <w:t>任何具有临床意义的疾病或异常结果</w:t>
      </w:r>
      <w:r>
        <w:rPr>
          <w:spacing w:val="3"/>
          <w:sz w:val="24"/>
        </w:rPr>
        <w:t>（</w:t>
      </w:r>
      <w:r>
        <w:rPr>
          <w:spacing w:val="2"/>
          <w:sz w:val="24"/>
        </w:rPr>
        <w:t>临床、实验室、仪器等</w:t>
      </w:r>
      <w:r>
        <w:rPr>
          <w:spacing w:val="3"/>
          <w:sz w:val="24"/>
        </w:rPr>
        <w:t>）或重大身体和</w:t>
      </w:r>
      <w:r>
        <w:rPr>
          <w:rFonts w:ascii="Times New Roman" w:eastAsia="Times New Roman"/>
          <w:sz w:val="24"/>
        </w:rPr>
        <w:t>/</w:t>
      </w:r>
      <w:r>
        <w:rPr>
          <w:spacing w:val="3"/>
          <w:sz w:val="24"/>
        </w:rPr>
        <w:t>或认知障碍，研究者认为可使受试者因参与本研究而发生风险，或影响研究结果的解释，或使受试者不适合参与本研究。</w:t>
      </w:r>
    </w:p>
    <w:p>
      <w:pPr>
        <w:pStyle w:val="ListParagraph"/>
        <w:numPr>
          <w:ilvl w:val="0"/>
          <w:numId w:val="16"/>
        </w:numPr>
        <w:tabs>
          <w:tab w:pos="645" w:val="left" w:leader="none"/>
        </w:tabs>
        <w:spacing w:line="240" w:lineRule="auto" w:before="57" w:after="0"/>
        <w:ind w:left="645" w:right="0" w:hanging="424"/>
        <w:jc w:val="both"/>
        <w:rPr>
          <w:sz w:val="24"/>
        </w:rPr>
      </w:pPr>
      <w:r>
        <w:rPr>
          <w:spacing w:val="-5"/>
          <w:sz w:val="24"/>
        </w:rPr>
        <w:t>经研究者或申办者判断，符合 </w:t>
      </w:r>
      <w:r>
        <w:rPr>
          <w:rFonts w:ascii="Times New Roman" w:eastAsia="Times New Roman"/>
          <w:sz w:val="24"/>
        </w:rPr>
        <w:t>IP</w:t>
      </w:r>
      <w:r>
        <w:rPr>
          <w:rFonts w:ascii="Times New Roman" w:eastAsia="Times New Roman"/>
          <w:spacing w:val="-13"/>
          <w:sz w:val="24"/>
        </w:rPr>
        <w:t> </w:t>
      </w:r>
      <w:r>
        <w:rPr>
          <w:sz w:val="24"/>
        </w:rPr>
        <w:t>终止标准的受试者（</w:t>
      </w:r>
      <w:r>
        <w:rPr>
          <w:spacing w:val="-15"/>
          <w:sz w:val="24"/>
        </w:rPr>
        <w:t>请见第 </w:t>
      </w:r>
      <w:hyperlink w:history="true" w:anchor="_bookmark75">
        <w:r>
          <w:rPr>
            <w:rFonts w:ascii="Times New Roman" w:eastAsia="Times New Roman"/>
            <w:color w:val="0000FF"/>
            <w:sz w:val="24"/>
          </w:rPr>
          <w:t>7.1.1</w:t>
        </w:r>
      </w:hyperlink>
      <w:r>
        <w:rPr>
          <w:rFonts w:ascii="Times New Roman" w:eastAsia="Times New Roman"/>
          <w:color w:val="0000FF"/>
          <w:spacing w:val="-12"/>
          <w:sz w:val="24"/>
        </w:rPr>
        <w:t> </w:t>
      </w:r>
      <w:r>
        <w:rPr>
          <w:sz w:val="24"/>
        </w:rPr>
        <w:t>节）</w:t>
      </w:r>
      <w:r>
        <w:rPr>
          <w:spacing w:val="-10"/>
          <w:sz w:val="24"/>
        </w:rPr>
        <w:t>。</w:t>
      </w:r>
    </w:p>
    <w:p>
      <w:pPr>
        <w:pStyle w:val="BodyText"/>
        <w:spacing w:before="190"/>
        <w:ind w:left="0"/>
      </w:pPr>
    </w:p>
    <w:p>
      <w:pPr>
        <w:pStyle w:val="Heading3"/>
      </w:pPr>
      <w:r>
        <w:rPr>
          <w:spacing w:val="-4"/>
        </w:rPr>
        <w:t>既往</w:t>
      </w:r>
      <w:r>
        <w:rPr>
          <w:rFonts w:ascii="Times New Roman" w:eastAsia="Times New Roman"/>
          <w:spacing w:val="-4"/>
        </w:rPr>
        <w:t>/</w:t>
      </w:r>
      <w:r>
        <w:rPr>
          <w:spacing w:val="-5"/>
        </w:rPr>
        <w:t>合并用药临床研究经验</w:t>
      </w:r>
    </w:p>
    <w:p>
      <w:pPr>
        <w:pStyle w:val="ListParagraph"/>
        <w:numPr>
          <w:ilvl w:val="0"/>
          <w:numId w:val="16"/>
        </w:numPr>
        <w:tabs>
          <w:tab w:pos="646" w:val="left" w:leader="none"/>
        </w:tabs>
        <w:spacing w:line="276" w:lineRule="auto" w:before="119" w:after="0"/>
        <w:ind w:left="646" w:right="357" w:hanging="425"/>
        <w:jc w:val="both"/>
        <w:rPr>
          <w:sz w:val="24"/>
        </w:rPr>
      </w:pPr>
      <w:r>
        <w:rPr>
          <w:spacing w:val="-2"/>
          <w:sz w:val="24"/>
        </w:rPr>
        <w:t>同时入组其他干预性临床研究或接受另一种 </w:t>
      </w:r>
      <w:r>
        <w:rPr>
          <w:rFonts w:ascii="Times New Roman" w:eastAsia="Times New Roman"/>
          <w:sz w:val="24"/>
        </w:rPr>
        <w:t>IP</w:t>
      </w:r>
      <w:r>
        <w:rPr>
          <w:rFonts w:ascii="Times New Roman" w:eastAsia="Times New Roman"/>
          <w:spacing w:val="-3"/>
          <w:sz w:val="24"/>
        </w:rPr>
        <w:t> </w:t>
      </w:r>
      <w:r>
        <w:rPr>
          <w:sz w:val="24"/>
        </w:rPr>
        <w:t>治疗，</w:t>
      </w:r>
      <w:r>
        <w:rPr>
          <w:rFonts w:ascii="Times New Roman" w:eastAsia="Times New Roman"/>
          <w:sz w:val="24"/>
        </w:rPr>
        <w:t>OBERON </w:t>
      </w:r>
      <w:r>
        <w:rPr>
          <w:spacing w:val="-15"/>
          <w:sz w:val="24"/>
        </w:rPr>
        <w:t>和 </w:t>
      </w:r>
      <w:r>
        <w:rPr>
          <w:rFonts w:ascii="Times New Roman" w:eastAsia="Times New Roman"/>
          <w:sz w:val="24"/>
        </w:rPr>
        <w:t>TITANIA </w:t>
      </w:r>
      <w:r>
        <w:rPr>
          <w:sz w:val="24"/>
        </w:rPr>
        <w:t>前</w:t>
      </w:r>
      <w:r>
        <w:rPr>
          <w:spacing w:val="-2"/>
          <w:sz w:val="24"/>
        </w:rPr>
        <w:t>身研究除外。</w:t>
      </w:r>
    </w:p>
    <w:p>
      <w:pPr>
        <w:pStyle w:val="ListParagraph"/>
        <w:numPr>
          <w:ilvl w:val="0"/>
          <w:numId w:val="16"/>
        </w:numPr>
        <w:tabs>
          <w:tab w:pos="645" w:val="left" w:leader="none"/>
        </w:tabs>
        <w:spacing w:line="240" w:lineRule="auto" w:before="59" w:after="0"/>
        <w:ind w:left="645" w:right="0" w:hanging="424"/>
        <w:jc w:val="both"/>
        <w:rPr>
          <w:sz w:val="24"/>
        </w:rPr>
      </w:pPr>
      <w:r>
        <w:rPr>
          <w:spacing w:val="-2"/>
          <w:sz w:val="24"/>
        </w:rPr>
        <w:t>已知有以下病史：</w:t>
      </w:r>
    </w:p>
    <w:p>
      <w:pPr>
        <w:pStyle w:val="ListParagraph"/>
        <w:numPr>
          <w:ilvl w:val="1"/>
          <w:numId w:val="16"/>
        </w:numPr>
        <w:tabs>
          <w:tab w:pos="1070" w:val="left" w:leader="none"/>
        </w:tabs>
        <w:spacing w:line="240" w:lineRule="auto" w:before="105" w:after="0"/>
        <w:ind w:left="1070" w:right="0" w:hanging="424"/>
        <w:jc w:val="both"/>
        <w:rPr>
          <w:sz w:val="24"/>
        </w:rPr>
      </w:pPr>
      <w:r>
        <w:rPr>
          <w:spacing w:val="-1"/>
          <w:sz w:val="24"/>
        </w:rPr>
        <w:t>对任何单克隆和多克隆抗体有严重过敏反应。</w:t>
      </w:r>
    </w:p>
    <w:p>
      <w:pPr>
        <w:pStyle w:val="ListParagraph"/>
        <w:numPr>
          <w:ilvl w:val="1"/>
          <w:numId w:val="16"/>
        </w:numPr>
        <w:tabs>
          <w:tab w:pos="1070" w:val="left" w:leader="none"/>
        </w:tabs>
        <w:spacing w:line="240" w:lineRule="auto" w:before="106" w:after="0"/>
        <w:ind w:left="1070" w:right="0" w:hanging="424"/>
        <w:jc w:val="both"/>
        <w:rPr>
          <w:sz w:val="24"/>
        </w:rPr>
      </w:pPr>
      <w:r>
        <w:rPr>
          <w:spacing w:val="-30"/>
          <w:sz w:val="24"/>
        </w:rPr>
        <w:t>对 </w:t>
      </w:r>
      <w:r>
        <w:rPr>
          <w:rFonts w:ascii="Times New Roman" w:eastAsia="Times New Roman"/>
          <w:sz w:val="24"/>
        </w:rPr>
        <w:t>IP</w:t>
      </w:r>
      <w:r>
        <w:rPr>
          <w:rFonts w:ascii="Times New Roman" w:eastAsia="Times New Roman"/>
          <w:spacing w:val="-13"/>
          <w:sz w:val="24"/>
        </w:rPr>
        <w:t> </w:t>
      </w:r>
      <w:r>
        <w:rPr>
          <w:spacing w:val="-1"/>
          <w:sz w:val="24"/>
        </w:rPr>
        <w:t>制剂的任何成分有过敏或反应。</w:t>
      </w:r>
    </w:p>
    <w:p>
      <w:pPr>
        <w:pStyle w:val="ListParagraph"/>
        <w:numPr>
          <w:ilvl w:val="0"/>
          <w:numId w:val="16"/>
        </w:numPr>
        <w:tabs>
          <w:tab w:pos="646" w:val="left" w:leader="none"/>
        </w:tabs>
        <w:spacing w:line="276" w:lineRule="auto" w:before="107" w:after="0"/>
        <w:ind w:left="646" w:right="363" w:hanging="425"/>
        <w:jc w:val="both"/>
        <w:rPr>
          <w:sz w:val="24"/>
        </w:rPr>
      </w:pPr>
      <w:r>
        <w:rPr>
          <w:spacing w:val="4"/>
          <w:sz w:val="24"/>
        </w:rPr>
        <w:t>长期使用（或预期在本研究期间需要长期使用</w:t>
      </w:r>
      <w:r>
        <w:rPr>
          <w:spacing w:val="5"/>
          <w:sz w:val="24"/>
        </w:rPr>
        <w:t>）</w:t>
      </w:r>
      <w:r>
        <w:rPr>
          <w:spacing w:val="4"/>
          <w:sz w:val="24"/>
        </w:rPr>
        <w:t>免疫抑制药物（</w:t>
      </w:r>
      <w:r>
        <w:rPr>
          <w:spacing w:val="3"/>
          <w:sz w:val="24"/>
        </w:rPr>
        <w:t>包括但不限于</w:t>
      </w:r>
      <w:r>
        <w:rPr>
          <w:spacing w:val="4"/>
          <w:sz w:val="24"/>
        </w:rPr>
        <w:t>全身性皮质类固醇</w:t>
      </w:r>
      <w:r>
        <w:rPr>
          <w:spacing w:val="5"/>
          <w:sz w:val="24"/>
        </w:rPr>
        <w:t>）</w:t>
      </w:r>
      <w:r>
        <w:rPr>
          <w:spacing w:val="3"/>
          <w:sz w:val="24"/>
        </w:rPr>
        <w:t>、市售或试验用生物制品，或研究者或申办者认为可能使受试者存在安全性风险和</w:t>
      </w:r>
      <w:r>
        <w:rPr>
          <w:rFonts w:ascii="Times New Roman" w:eastAsia="Times New Roman"/>
          <w:spacing w:val="3"/>
          <w:sz w:val="24"/>
        </w:rPr>
        <w:t>/</w:t>
      </w:r>
      <w:r>
        <w:rPr>
          <w:spacing w:val="3"/>
          <w:sz w:val="24"/>
        </w:rPr>
        <w:t>或影响研究结果解释的其他禁用药物。</w:t>
      </w:r>
    </w:p>
    <w:p>
      <w:pPr>
        <w:spacing w:after="0" w:line="276" w:lineRule="auto"/>
        <w:jc w:val="both"/>
        <w:rPr>
          <w:sz w:val="24"/>
        </w:rPr>
        <w:sectPr>
          <w:pgSz w:w="11910" w:h="16840"/>
          <w:pgMar w:header="590" w:footer="784" w:top="1340" w:bottom="980" w:left="1480" w:right="1080"/>
        </w:sectPr>
      </w:pPr>
    </w:p>
    <w:p>
      <w:pPr>
        <w:pStyle w:val="BodyText"/>
        <w:spacing w:before="171"/>
        <w:ind w:left="0"/>
      </w:pPr>
    </w:p>
    <w:p>
      <w:pPr>
        <w:pStyle w:val="Heading3"/>
        <w:spacing w:before="1"/>
      </w:pPr>
      <w:r>
        <w:rPr>
          <w:spacing w:val="-5"/>
        </w:rPr>
        <w:t>其他排除标准</w:t>
      </w:r>
    </w:p>
    <w:p>
      <w:pPr>
        <w:pStyle w:val="ListParagraph"/>
        <w:numPr>
          <w:ilvl w:val="0"/>
          <w:numId w:val="16"/>
        </w:numPr>
        <w:tabs>
          <w:tab w:pos="646" w:val="left" w:leader="none"/>
        </w:tabs>
        <w:spacing w:line="276" w:lineRule="auto" w:before="118" w:after="0"/>
        <w:ind w:left="646" w:right="357" w:hanging="425"/>
        <w:jc w:val="left"/>
        <w:rPr>
          <w:sz w:val="24"/>
        </w:rPr>
      </w:pPr>
      <w:r>
        <w:rPr>
          <w:spacing w:val="-2"/>
          <w:sz w:val="24"/>
        </w:rPr>
        <w:t>参与研究设计和</w:t>
      </w:r>
      <w:r>
        <w:rPr>
          <w:rFonts w:ascii="Times New Roman" w:eastAsia="Times New Roman"/>
          <w:spacing w:val="-2"/>
          <w:sz w:val="24"/>
        </w:rPr>
        <w:t>/</w:t>
      </w:r>
      <w:r>
        <w:rPr>
          <w:spacing w:val="-2"/>
          <w:sz w:val="24"/>
        </w:rPr>
        <w:t>或实施的人员（适用于申办者雇用的工作人员和</w:t>
      </w:r>
      <w:r>
        <w:rPr>
          <w:rFonts w:ascii="Times New Roman" w:eastAsia="Times New Roman"/>
          <w:spacing w:val="-2"/>
          <w:sz w:val="24"/>
        </w:rPr>
        <w:t>/</w:t>
      </w:r>
      <w:r>
        <w:rPr>
          <w:spacing w:val="-2"/>
          <w:sz w:val="24"/>
        </w:rPr>
        <w:t>或研究中心工作人员）。</w:t>
      </w:r>
    </w:p>
    <w:p>
      <w:pPr>
        <w:pStyle w:val="ListParagraph"/>
        <w:numPr>
          <w:ilvl w:val="0"/>
          <w:numId w:val="16"/>
        </w:numPr>
        <w:tabs>
          <w:tab w:pos="646" w:val="left" w:leader="none"/>
        </w:tabs>
        <w:spacing w:line="240" w:lineRule="auto" w:before="60" w:after="0"/>
        <w:ind w:left="646" w:right="0" w:hanging="425"/>
        <w:jc w:val="left"/>
        <w:rPr>
          <w:sz w:val="24"/>
        </w:rPr>
      </w:pPr>
      <w:r>
        <w:rPr>
          <w:spacing w:val="-1"/>
          <w:sz w:val="24"/>
        </w:rPr>
        <w:t>根据研究者或申办者的判断，受试者不能遵守研究要求、程序和限制。</w:t>
      </w:r>
    </w:p>
    <w:p>
      <w:pPr>
        <w:pStyle w:val="BodyText"/>
        <w:spacing w:before="189"/>
        <w:ind w:left="0"/>
      </w:pPr>
    </w:p>
    <w:p>
      <w:pPr>
        <w:pStyle w:val="Heading1"/>
        <w:numPr>
          <w:ilvl w:val="1"/>
          <w:numId w:val="3"/>
        </w:numPr>
        <w:tabs>
          <w:tab w:pos="1355" w:val="left" w:leader="none"/>
        </w:tabs>
        <w:spacing w:line="240" w:lineRule="auto" w:before="0" w:after="0"/>
        <w:ind w:left="1355" w:right="0" w:hanging="1134"/>
        <w:jc w:val="left"/>
      </w:pPr>
      <w:bookmarkStart w:name="5.3 生活方式考虑因素" w:id="74"/>
      <w:bookmarkEnd w:id="74"/>
      <w:r>
        <w:rPr>
          <w:b w:val="0"/>
        </w:rPr>
      </w:r>
      <w:bookmarkStart w:name="_bookmark39" w:id="75"/>
      <w:bookmarkEnd w:id="75"/>
      <w:r>
        <w:rPr>
          <w:b w:val="0"/>
        </w:rPr>
      </w:r>
      <w:r>
        <w:rPr>
          <w:spacing w:val="-5"/>
        </w:rPr>
        <w:t>生活方式考虑因素</w:t>
      </w:r>
    </w:p>
    <w:p>
      <w:pPr>
        <w:pStyle w:val="Heading2"/>
        <w:numPr>
          <w:ilvl w:val="2"/>
          <w:numId w:val="3"/>
        </w:numPr>
        <w:tabs>
          <w:tab w:pos="1373" w:val="left" w:leader="none"/>
        </w:tabs>
        <w:spacing w:line="240" w:lineRule="auto" w:before="119" w:after="0"/>
        <w:ind w:left="1373" w:right="0" w:hanging="1152"/>
        <w:jc w:val="left"/>
      </w:pPr>
      <w:bookmarkStart w:name="5.3.1 避孕" w:id="76"/>
      <w:bookmarkEnd w:id="76"/>
      <w:r>
        <w:rPr>
          <w:b w:val="0"/>
        </w:rPr>
      </w:r>
      <w:bookmarkStart w:name="_bookmark40" w:id="77"/>
      <w:bookmarkEnd w:id="77"/>
      <w:r>
        <w:rPr>
          <w:b w:val="0"/>
        </w:rPr>
      </w:r>
      <w:r>
        <w:rPr>
          <w:spacing w:val="-6"/>
        </w:rPr>
        <w:t>避孕</w:t>
      </w:r>
    </w:p>
    <w:p>
      <w:pPr>
        <w:pStyle w:val="BodyText"/>
        <w:spacing w:line="276" w:lineRule="auto" w:before="120"/>
        <w:ind w:right="357" w:firstLine="480"/>
        <w:jc w:val="both"/>
      </w:pPr>
      <w:r>
        <w:rPr>
          <w:spacing w:val="-15"/>
        </w:rPr>
        <w:t>与 </w:t>
      </w:r>
      <w:r>
        <w:rPr>
          <w:rFonts w:ascii="Times New Roman" w:eastAsia="Times New Roman"/>
        </w:rPr>
        <w:t>FOCBP</w:t>
      </w:r>
      <w:r>
        <w:rPr>
          <w:rFonts w:ascii="Times New Roman" w:eastAsia="Times New Roman"/>
          <w:spacing w:val="-15"/>
        </w:rPr>
        <w:t> </w:t>
      </w:r>
      <w:r>
        <w:rPr>
          <w:spacing w:val="-3"/>
        </w:rPr>
        <w:t>性生活活跃的男性受试者以及 </w:t>
      </w:r>
      <w:r>
        <w:rPr>
          <w:rFonts w:ascii="Times New Roman" w:eastAsia="Times New Roman"/>
        </w:rPr>
        <w:t>FOCBP</w:t>
      </w:r>
      <w:r>
        <w:rPr>
          <w:rFonts w:ascii="Times New Roman" w:eastAsia="Times New Roman"/>
          <w:spacing w:val="-15"/>
        </w:rPr>
        <w:t> </w:t>
      </w:r>
      <w:r>
        <w:rPr/>
        <w:t>受试者必须在整个研究期间直</w:t>
      </w:r>
      <w:r>
        <w:rPr>
          <w:spacing w:val="-8"/>
        </w:rPr>
        <w:t>至最后一剂 </w:t>
      </w:r>
      <w:r>
        <w:rPr>
          <w:rFonts w:ascii="Times New Roman" w:eastAsia="Times New Roman"/>
          <w:spacing w:val="-4"/>
        </w:rPr>
        <w:t>IP</w:t>
      </w:r>
      <w:r>
        <w:rPr>
          <w:rFonts w:ascii="Times New Roman" w:eastAsia="Times New Roman"/>
          <w:spacing w:val="-11"/>
        </w:rPr>
        <w:t> </w:t>
      </w:r>
      <w:r>
        <w:rPr>
          <w:spacing w:val="-10"/>
        </w:rPr>
        <w:t>给药后 </w:t>
      </w:r>
      <w:r>
        <w:rPr>
          <w:rFonts w:ascii="Times New Roman" w:eastAsia="Times New Roman"/>
          <w:spacing w:val="-4"/>
        </w:rPr>
        <w:t>14</w:t>
      </w:r>
      <w:r>
        <w:rPr>
          <w:rFonts w:ascii="Times New Roman" w:eastAsia="Times New Roman"/>
          <w:spacing w:val="-11"/>
        </w:rPr>
        <w:t> </w:t>
      </w:r>
      <w:r>
        <w:rPr>
          <w:spacing w:val="-6"/>
        </w:rPr>
        <w:t>周内使用高效避孕方法，如纳入标准 </w:t>
      </w:r>
      <w:r>
        <w:rPr>
          <w:rFonts w:ascii="Times New Roman" w:eastAsia="Times New Roman"/>
          <w:spacing w:val="-4"/>
        </w:rPr>
        <w:t>4</w:t>
      </w:r>
      <w:r>
        <w:rPr>
          <w:rFonts w:ascii="Times New Roman" w:eastAsia="Times New Roman"/>
          <w:spacing w:val="-11"/>
        </w:rPr>
        <w:t> </w:t>
      </w:r>
      <w:r>
        <w:rPr>
          <w:spacing w:val="-4"/>
        </w:rPr>
        <w:t>所述（</w:t>
      </w:r>
      <w:r>
        <w:rPr>
          <w:spacing w:val="-15"/>
        </w:rPr>
        <w:t>第 </w:t>
      </w:r>
      <w:hyperlink w:history="true" w:anchor="_bookmark37">
        <w:r>
          <w:rPr>
            <w:rFonts w:ascii="Times New Roman" w:eastAsia="Times New Roman"/>
            <w:color w:val="0000FF"/>
            <w:spacing w:val="-4"/>
          </w:rPr>
          <w:t>5.1</w:t>
        </w:r>
      </w:hyperlink>
      <w:r>
        <w:rPr>
          <w:rFonts w:ascii="Times New Roman" w:eastAsia="Times New Roman"/>
          <w:color w:val="0000FF"/>
          <w:spacing w:val="-9"/>
        </w:rPr>
        <w:t> </w:t>
      </w:r>
      <w:r>
        <w:rPr>
          <w:spacing w:val="-4"/>
        </w:rPr>
        <w:t>节）</w:t>
      </w:r>
      <w:r>
        <w:rPr>
          <w:spacing w:val="-4"/>
        </w:rPr>
        <w:t>。</w:t>
      </w:r>
      <w:r>
        <w:rPr/>
        <w:t>可接受的避孕方法见</w:t>
      </w:r>
      <w:hyperlink w:history="true" w:anchor="_bookmark159">
        <w:r>
          <w:rPr>
            <w:color w:val="0000FF"/>
            <w:spacing w:val="-5"/>
          </w:rPr>
          <w:t>附录 </w:t>
        </w:r>
        <w:r>
          <w:rPr>
            <w:rFonts w:ascii="Times New Roman" w:eastAsia="Times New Roman"/>
            <w:color w:val="0000FF"/>
          </w:rPr>
          <w:t>E</w:t>
        </w:r>
      </w:hyperlink>
      <w:r>
        <w:rPr>
          <w:rFonts w:ascii="Times New Roman" w:eastAsia="Times New Roman"/>
          <w:color w:val="0000FF"/>
        </w:rPr>
        <w:t> </w:t>
      </w:r>
      <w:r>
        <w:rPr/>
        <w:t>中的</w:t>
      </w:r>
      <w:hyperlink w:history="true" w:anchor="_bookmark160">
        <w:r>
          <w:rPr>
            <w:color w:val="0000FF"/>
            <w:spacing w:val="-8"/>
          </w:rPr>
          <w:t>表 </w:t>
        </w:r>
        <w:r>
          <w:rPr>
            <w:rFonts w:ascii="Times New Roman" w:eastAsia="Times New Roman"/>
            <w:color w:val="0000FF"/>
          </w:rPr>
          <w:t>E1</w:t>
        </w:r>
      </w:hyperlink>
      <w:r>
        <w:rPr/>
        <w:t>。</w:t>
      </w:r>
    </w:p>
    <w:p>
      <w:pPr>
        <w:pStyle w:val="BodyText"/>
        <w:spacing w:line="276" w:lineRule="auto" w:before="238"/>
        <w:ind w:right="365" w:firstLine="480"/>
      </w:pPr>
      <w:r>
        <w:rPr>
          <w:spacing w:val="-2"/>
        </w:rPr>
        <w:t>无生育能力的女性受试者无避孕要求。但是，在整个研究过程中，所有女性受试者都应避免哺乳。</w:t>
      </w:r>
    </w:p>
    <w:p>
      <w:pPr>
        <w:pStyle w:val="Heading2"/>
        <w:numPr>
          <w:ilvl w:val="2"/>
          <w:numId w:val="3"/>
        </w:numPr>
        <w:tabs>
          <w:tab w:pos="1373" w:val="left" w:leader="none"/>
        </w:tabs>
        <w:spacing w:line="240" w:lineRule="auto" w:before="236" w:after="0"/>
        <w:ind w:left="1373" w:right="0" w:hanging="1152"/>
        <w:jc w:val="left"/>
      </w:pPr>
      <w:bookmarkStart w:name="5.3.2 血液或血浆捐献" w:id="78"/>
      <w:bookmarkEnd w:id="78"/>
      <w:r>
        <w:rPr>
          <w:b w:val="0"/>
        </w:rPr>
      </w:r>
      <w:bookmarkStart w:name="_bookmark41" w:id="79"/>
      <w:bookmarkEnd w:id="79"/>
      <w:r>
        <w:rPr>
          <w:b w:val="0"/>
        </w:rPr>
      </w:r>
      <w:r>
        <w:rPr>
          <w:spacing w:val="-4"/>
        </w:rPr>
        <w:t>血液或血浆捐献</w:t>
      </w:r>
    </w:p>
    <w:p>
      <w:pPr>
        <w:pStyle w:val="BodyText"/>
        <w:spacing w:line="276" w:lineRule="auto" w:before="120"/>
        <w:ind w:right="358" w:firstLine="480"/>
      </w:pPr>
      <w:r>
        <w:rPr/>
        <w:t>自获得知情同意书（适用时）</w:t>
      </w:r>
      <w:r>
        <w:rPr>
          <w:spacing w:val="-22"/>
        </w:rPr>
        <w:t>至 </w:t>
      </w:r>
      <w:r>
        <w:rPr>
          <w:rFonts w:ascii="Times New Roman" w:eastAsia="Times New Roman"/>
        </w:rPr>
        <w:t>IP</w:t>
      </w:r>
      <w:r>
        <w:rPr>
          <w:rFonts w:ascii="Times New Roman" w:eastAsia="Times New Roman"/>
          <w:spacing w:val="-15"/>
        </w:rPr>
        <w:t> </w:t>
      </w:r>
      <w:r>
        <w:rPr>
          <w:spacing w:val="-8"/>
        </w:rPr>
        <w:t>末次给药后 </w:t>
      </w:r>
      <w:r>
        <w:rPr>
          <w:rFonts w:ascii="Times New Roman" w:eastAsia="Times New Roman"/>
        </w:rPr>
        <w:t>14</w:t>
      </w:r>
      <w:r>
        <w:rPr>
          <w:rFonts w:ascii="Times New Roman" w:eastAsia="Times New Roman"/>
          <w:spacing w:val="-13"/>
        </w:rPr>
        <w:t> </w:t>
      </w:r>
      <w:r>
        <w:rPr/>
        <w:t>周（</w:t>
      </w:r>
      <w:r>
        <w:rPr>
          <w:rFonts w:ascii="Times New Roman" w:eastAsia="Times New Roman"/>
        </w:rPr>
        <w:t>5.5</w:t>
      </w:r>
      <w:r>
        <w:rPr>
          <w:rFonts w:ascii="Times New Roman" w:eastAsia="Times New Roman"/>
          <w:spacing w:val="-6"/>
        </w:rPr>
        <w:t> </w:t>
      </w:r>
      <w:r>
        <w:rPr/>
        <w:t>个半衰期）期间，受</w:t>
      </w:r>
      <w:r>
        <w:rPr>
          <w:spacing w:val="-2"/>
        </w:rPr>
        <w:t>试者必须避免献血和血浆。</w:t>
      </w:r>
    </w:p>
    <w:p>
      <w:pPr>
        <w:pStyle w:val="Heading2"/>
        <w:numPr>
          <w:ilvl w:val="2"/>
          <w:numId w:val="3"/>
        </w:numPr>
        <w:tabs>
          <w:tab w:pos="1373" w:val="left" w:leader="none"/>
        </w:tabs>
        <w:spacing w:line="240" w:lineRule="auto" w:before="239" w:after="0"/>
        <w:ind w:left="1373" w:right="0" w:hanging="1152"/>
        <w:jc w:val="left"/>
      </w:pPr>
      <w:bookmarkStart w:name="5.3.3 饮食限制" w:id="80"/>
      <w:bookmarkEnd w:id="80"/>
      <w:r>
        <w:rPr>
          <w:b w:val="0"/>
        </w:rPr>
      </w:r>
      <w:bookmarkStart w:name="_bookmark42" w:id="81"/>
      <w:bookmarkEnd w:id="81"/>
      <w:r>
        <w:rPr>
          <w:b w:val="0"/>
        </w:rPr>
      </w:r>
      <w:r>
        <w:rPr>
          <w:spacing w:val="-4"/>
        </w:rPr>
        <w:t>饮食限制</w:t>
      </w:r>
    </w:p>
    <w:p>
      <w:pPr>
        <w:pStyle w:val="BodyText"/>
        <w:spacing w:line="276" w:lineRule="auto" w:before="120"/>
        <w:ind w:right="359" w:firstLine="480"/>
      </w:pPr>
      <w:r>
        <w:rPr>
          <w:spacing w:val="-1"/>
        </w:rPr>
        <w:t>在研究中心进行所有计划的肺功能评估前至少 </w:t>
      </w:r>
      <w:r>
        <w:rPr>
          <w:rFonts w:ascii="Times New Roman" w:eastAsia="Times New Roman"/>
        </w:rPr>
        <w:t>2</w:t>
      </w:r>
      <w:r>
        <w:rPr>
          <w:rFonts w:ascii="Times New Roman" w:eastAsia="Times New Roman"/>
          <w:spacing w:val="31"/>
        </w:rPr>
        <w:t> </w:t>
      </w:r>
      <w:r>
        <w:rPr/>
        <w:t>小时内，受试者应避免进食大</w:t>
      </w:r>
      <w:r>
        <w:rPr>
          <w:spacing w:val="-4"/>
        </w:rPr>
        <w:t>量食物。</w:t>
      </w:r>
    </w:p>
    <w:p>
      <w:pPr>
        <w:pStyle w:val="Heading2"/>
        <w:numPr>
          <w:ilvl w:val="2"/>
          <w:numId w:val="3"/>
        </w:numPr>
        <w:tabs>
          <w:tab w:pos="1373" w:val="left" w:leader="none"/>
        </w:tabs>
        <w:spacing w:line="240" w:lineRule="auto" w:before="236" w:after="0"/>
        <w:ind w:left="1373" w:right="0" w:hanging="1152"/>
        <w:jc w:val="left"/>
      </w:pPr>
      <w:bookmarkStart w:name="5.3.4 烟草、电子烟和蒸汽电子烟产品" w:id="82"/>
      <w:bookmarkEnd w:id="82"/>
      <w:r>
        <w:rPr>
          <w:b w:val="0"/>
        </w:rPr>
      </w:r>
      <w:bookmarkStart w:name="_bookmark43" w:id="83"/>
      <w:bookmarkEnd w:id="83"/>
      <w:r>
        <w:rPr>
          <w:b w:val="0"/>
        </w:rPr>
      </w:r>
      <w:r>
        <w:rPr>
          <w:spacing w:val="-5"/>
        </w:rPr>
        <w:t>烟草、电子烟和蒸汽电子烟产品</w:t>
      </w:r>
    </w:p>
    <w:p>
      <w:pPr>
        <w:pStyle w:val="BodyText"/>
        <w:spacing w:before="121"/>
        <w:ind w:left="701"/>
      </w:pPr>
      <w:r>
        <w:rPr>
          <w:spacing w:val="-1"/>
        </w:rPr>
        <w:t>入选“戒烟者”队列的受试者在整个研究期间应避免吸烟。</w:t>
      </w:r>
    </w:p>
    <w:p>
      <w:pPr>
        <w:pStyle w:val="BodyText"/>
        <w:spacing w:line="460" w:lineRule="auto" w:before="286"/>
        <w:ind w:left="701" w:right="965"/>
      </w:pPr>
      <w:r>
        <w:rPr>
          <w:spacing w:val="-2"/>
        </w:rPr>
        <w:t>如果需要，作为目前吸烟者（当前吸烟）的受试者允许在研究期间戒烟。</w:t>
      </w:r>
      <w:r>
        <w:rPr>
          <w:spacing w:val="-1"/>
        </w:rPr>
        <w:t>研究过程中吸烟和尼古丁使用状况的变化将记录在 </w:t>
      </w:r>
      <w:r>
        <w:rPr>
          <w:rFonts w:ascii="Times New Roman" w:eastAsia="Times New Roman"/>
        </w:rPr>
        <w:t>eCRF </w:t>
      </w:r>
      <w:r>
        <w:rPr/>
        <w:t>中。</w:t>
      </w:r>
    </w:p>
    <w:p>
      <w:pPr>
        <w:pStyle w:val="BodyText"/>
        <w:spacing w:line="276" w:lineRule="auto"/>
        <w:ind w:right="354" w:firstLine="480"/>
      </w:pPr>
      <w:r>
        <w:rPr>
          <w:spacing w:val="-2"/>
        </w:rPr>
        <w:t>研究期间不鼓励使用电子烟或任何蒸汽电子烟产品（如尼古丁，</w:t>
      </w:r>
      <w:r>
        <w:rPr>
          <w:rFonts w:ascii="Times New Roman" w:eastAsia="Times New Roman"/>
          <w:spacing w:val="-2"/>
        </w:rPr>
        <w:t>THC</w:t>
      </w:r>
      <w:r>
        <w:rPr>
          <w:spacing w:val="-2"/>
        </w:rPr>
        <w:t>）。在戒</w:t>
      </w:r>
      <w:r>
        <w:rPr/>
        <w:t>烟者队列中，不鼓励使用加热的烟草产品（</w:t>
      </w:r>
      <w:r>
        <w:rPr>
          <w:spacing w:val="-14"/>
        </w:rPr>
        <w:t>例如 </w:t>
      </w:r>
      <w:r>
        <w:rPr>
          <w:rFonts w:ascii="Times New Roman" w:eastAsia="Times New Roman"/>
        </w:rPr>
        <w:t>IQOS</w:t>
      </w:r>
      <w:r>
        <w:rPr/>
        <w:t>）。</w:t>
      </w:r>
    </w:p>
    <w:p>
      <w:pPr>
        <w:pStyle w:val="BodyText"/>
        <w:spacing w:before="236"/>
        <w:ind w:left="701"/>
      </w:pPr>
      <w:r>
        <w:rPr>
          <w:spacing w:val="-1"/>
        </w:rPr>
        <w:t>受试者应在研究中心进行所有计划的肺功能评估和采血前至少一小时避免吸烟。</w:t>
      </w:r>
    </w:p>
    <w:p>
      <w:pPr>
        <w:pStyle w:val="Heading2"/>
        <w:numPr>
          <w:ilvl w:val="2"/>
          <w:numId w:val="3"/>
        </w:numPr>
        <w:tabs>
          <w:tab w:pos="1373" w:val="left" w:leader="none"/>
        </w:tabs>
        <w:spacing w:line="240" w:lineRule="auto" w:before="285" w:after="0"/>
        <w:ind w:left="1373" w:right="0" w:hanging="1152"/>
        <w:jc w:val="left"/>
      </w:pPr>
      <w:bookmarkStart w:name="5.3.5 活动" w:id="84"/>
      <w:bookmarkEnd w:id="84"/>
      <w:r>
        <w:rPr>
          <w:b w:val="0"/>
        </w:rPr>
      </w:r>
      <w:bookmarkStart w:name="_bookmark44" w:id="85"/>
      <w:bookmarkEnd w:id="85"/>
      <w:r>
        <w:rPr>
          <w:b w:val="0"/>
        </w:rPr>
      </w:r>
      <w:r>
        <w:rPr>
          <w:spacing w:val="-6"/>
        </w:rPr>
        <w:t>活动</w:t>
      </w:r>
    </w:p>
    <w:p>
      <w:pPr>
        <w:pStyle w:val="BodyText"/>
        <w:spacing w:line="276" w:lineRule="auto" w:before="121"/>
        <w:ind w:right="357" w:firstLine="480"/>
      </w:pPr>
      <w:r>
        <w:rPr>
          <w:spacing w:val="-3"/>
        </w:rPr>
        <w:t>在研究中心进行所有计划的肺功能评估和采血前至少 </w:t>
      </w:r>
      <w:r>
        <w:rPr>
          <w:rFonts w:ascii="Times New Roman" w:eastAsia="Times New Roman"/>
        </w:rPr>
        <w:t>30</w:t>
      </w:r>
      <w:r>
        <w:rPr>
          <w:rFonts w:ascii="Times New Roman" w:eastAsia="Times New Roman"/>
          <w:spacing w:val="-15"/>
        </w:rPr>
        <w:t> </w:t>
      </w:r>
      <w:r>
        <w:rPr/>
        <w:t>分钟内，受试者应避免</w:t>
      </w:r>
      <w:r>
        <w:rPr>
          <w:spacing w:val="-2"/>
        </w:rPr>
        <w:t>剧烈运动。</w:t>
      </w:r>
    </w:p>
    <w:p>
      <w:pPr>
        <w:spacing w:after="0" w:line="276" w:lineRule="auto"/>
        <w:sectPr>
          <w:pgSz w:w="11910" w:h="16840"/>
          <w:pgMar w:header="590" w:footer="784" w:top="1340" w:bottom="980" w:left="1480" w:right="1080"/>
        </w:sectPr>
      </w:pPr>
    </w:p>
    <w:p>
      <w:pPr>
        <w:pStyle w:val="Heading1"/>
        <w:numPr>
          <w:ilvl w:val="1"/>
          <w:numId w:val="3"/>
        </w:numPr>
        <w:tabs>
          <w:tab w:pos="1355" w:val="left" w:leader="none"/>
        </w:tabs>
        <w:spacing w:line="240" w:lineRule="auto" w:before="88" w:after="0"/>
        <w:ind w:left="1355" w:right="0" w:hanging="1134"/>
        <w:jc w:val="both"/>
      </w:pPr>
      <w:bookmarkStart w:name="5.4 入选失败" w:id="86"/>
      <w:bookmarkEnd w:id="86"/>
      <w:r>
        <w:rPr>
          <w:b w:val="0"/>
        </w:rPr>
      </w:r>
      <w:bookmarkStart w:name="_bookmark45" w:id="87"/>
      <w:bookmarkEnd w:id="87"/>
      <w:r>
        <w:rPr>
          <w:b w:val="0"/>
        </w:rPr>
      </w:r>
      <w:r>
        <w:rPr>
          <w:spacing w:val="-4"/>
        </w:rPr>
        <w:t>入选失败</w:t>
      </w:r>
    </w:p>
    <w:p>
      <w:pPr>
        <w:pStyle w:val="BodyText"/>
        <w:spacing w:line="276" w:lineRule="auto" w:before="119"/>
        <w:ind w:right="354" w:firstLine="480"/>
        <w:jc w:val="both"/>
      </w:pPr>
      <w:r>
        <w:rPr>
          <w:spacing w:val="-2"/>
        </w:rPr>
        <w:t>入选失败是指受试者同意参与临床研究但随后未进行随机化。为确保入选失败</w:t>
      </w:r>
      <w:r>
        <w:rPr>
          <w:spacing w:val="-3"/>
        </w:rPr>
        <w:t>者的报告透明化，满足 </w:t>
      </w:r>
      <w:r>
        <w:rPr>
          <w:rFonts w:ascii="Times New Roman" w:eastAsia="Times New Roman"/>
        </w:rPr>
        <w:t>CONSORT </w:t>
      </w:r>
      <w:r>
        <w:rPr/>
        <w:t>发布的要求，并回复监管当局的质询，需要提供</w:t>
      </w:r>
      <w:r>
        <w:rPr>
          <w:spacing w:val="-2"/>
        </w:rPr>
        <w:t>入选失败最基本信息。最基本的信息包括人口学、入选失败详情、合格标准和任何 </w:t>
      </w:r>
      <w:r>
        <w:rPr>
          <w:rFonts w:ascii="Times New Roman" w:eastAsia="Times New Roman"/>
        </w:rPr>
        <w:t>SAE</w:t>
      </w:r>
      <w:r>
        <w:rPr>
          <w:spacing w:val="-6"/>
        </w:rPr>
        <w:t>。应在 </w:t>
      </w:r>
      <w:r>
        <w:rPr>
          <w:rFonts w:ascii="Times New Roman" w:eastAsia="Times New Roman"/>
        </w:rPr>
        <w:t>eCRF </w:t>
      </w:r>
      <w:r>
        <w:rPr/>
        <w:t>中记录这些受试者入选失败的原因。</w:t>
      </w:r>
    </w:p>
    <w:p>
      <w:pPr>
        <w:pStyle w:val="BodyText"/>
        <w:spacing w:before="237"/>
        <w:ind w:left="701"/>
      </w:pPr>
      <w:r>
        <w:rPr>
          <w:spacing w:val="-1"/>
        </w:rPr>
        <w:t>入选失败的所有受试者必须继续遵循前身研究的方案中描述的随访期要求。</w:t>
      </w:r>
    </w:p>
    <w:p>
      <w:pPr>
        <w:pStyle w:val="Heading1"/>
        <w:numPr>
          <w:ilvl w:val="0"/>
          <w:numId w:val="3"/>
        </w:numPr>
        <w:tabs>
          <w:tab w:pos="1355" w:val="left" w:leader="none"/>
        </w:tabs>
        <w:spacing w:line="240" w:lineRule="auto" w:before="286" w:after="0"/>
        <w:ind w:left="1355" w:right="0" w:hanging="1134"/>
        <w:jc w:val="both"/>
      </w:pPr>
      <w:bookmarkStart w:name="6 研究干预" w:id="88"/>
      <w:bookmarkEnd w:id="88"/>
      <w:r>
        <w:rPr>
          <w:b w:val="0"/>
        </w:rPr>
      </w:r>
      <w:bookmarkStart w:name="_bookmark46" w:id="89"/>
      <w:bookmarkEnd w:id="89"/>
      <w:r>
        <w:rPr>
          <w:b w:val="0"/>
        </w:rPr>
      </w:r>
      <w:r>
        <w:rPr>
          <w:spacing w:val="-4"/>
        </w:rPr>
        <w:t>研究干预</w:t>
      </w:r>
    </w:p>
    <w:p>
      <w:pPr>
        <w:pStyle w:val="BodyText"/>
        <w:spacing w:line="276" w:lineRule="auto" w:before="119"/>
        <w:ind w:right="357" w:firstLine="480"/>
        <w:jc w:val="both"/>
      </w:pPr>
      <w:r>
        <w:rPr>
          <w:spacing w:val="-3"/>
        </w:rPr>
        <w:t>研究治疗定义为根据 </w:t>
      </w:r>
      <w:r>
        <w:rPr>
          <w:rFonts w:ascii="Times New Roman" w:eastAsia="Times New Roman"/>
        </w:rPr>
        <w:t>CSP</w:t>
      </w:r>
      <w:r>
        <w:rPr>
          <w:rFonts w:ascii="Times New Roman" w:eastAsia="Times New Roman"/>
          <w:spacing w:val="-6"/>
        </w:rPr>
        <w:t> </w:t>
      </w:r>
      <w:r>
        <w:rPr/>
        <w:t>拟给予研究受试者任何研究药物、已上市产品、安慰</w:t>
      </w:r>
      <w:r>
        <w:rPr>
          <w:spacing w:val="-1"/>
        </w:rPr>
        <w:t>剂或受试者使用的医疗器械。本 </w:t>
      </w:r>
      <w:r>
        <w:rPr>
          <w:rFonts w:ascii="Times New Roman" w:eastAsia="Times New Roman"/>
        </w:rPr>
        <w:t>CSP </w:t>
      </w:r>
      <w:r>
        <w:rPr>
          <w:spacing w:val="-2"/>
        </w:rPr>
        <w:t>中的研究治疗包括 </w:t>
      </w:r>
      <w:r>
        <w:rPr>
          <w:rFonts w:ascii="Times New Roman" w:eastAsia="Times New Roman"/>
        </w:rPr>
        <w:t>tozorakimab</w:t>
      </w:r>
      <w:r>
        <w:rPr>
          <w:rFonts w:ascii="Times New Roman" w:eastAsia="Times New Roman"/>
          <w:spacing w:val="26"/>
        </w:rPr>
        <w:t> </w:t>
      </w:r>
      <w:r>
        <w:rPr/>
        <w:t>和安慰剂，在 </w:t>
      </w:r>
      <w:r>
        <w:rPr>
          <w:rFonts w:ascii="Times New Roman" w:eastAsia="Times New Roman"/>
        </w:rPr>
        <w:t>CSP </w:t>
      </w:r>
      <w:r>
        <w:rPr>
          <w:spacing w:val="-6"/>
        </w:rPr>
        <w:t>中称为 </w:t>
      </w:r>
      <w:r>
        <w:rPr>
          <w:rFonts w:ascii="Times New Roman" w:eastAsia="Times New Roman"/>
        </w:rPr>
        <w:t>IP</w:t>
      </w:r>
      <w:r>
        <w:rPr/>
        <w:t>。</w:t>
      </w:r>
    </w:p>
    <w:p>
      <w:pPr>
        <w:pStyle w:val="BodyText"/>
        <w:spacing w:line="276" w:lineRule="auto" w:before="237"/>
        <w:ind w:right="356" w:firstLine="480"/>
        <w:jc w:val="both"/>
      </w:pPr>
      <w:r>
        <w:rPr>
          <w:rFonts w:ascii="Times New Roman" w:eastAsia="Times New Roman"/>
        </w:rPr>
        <w:t>Tozorakimab </w:t>
      </w:r>
      <w:r>
        <w:rPr/>
        <w:t>和安慰剂将以 </w:t>
      </w:r>
      <w:r>
        <w:rPr>
          <w:rFonts w:ascii="Times New Roman" w:eastAsia="Times New Roman"/>
        </w:rPr>
        <w:t>APFS </w:t>
      </w:r>
      <w:r>
        <w:rPr/>
        <w:t>注射液的形式提供。</w:t>
      </w:r>
      <w:r>
        <w:rPr>
          <w:rFonts w:ascii="Times New Roman" w:eastAsia="Times New Roman"/>
        </w:rPr>
        <w:t>Tozorakimab </w:t>
      </w:r>
      <w:r>
        <w:rPr>
          <w:spacing w:val="-1"/>
        </w:rPr>
        <w:t>以 </w:t>
      </w:r>
      <w:r>
        <w:rPr>
          <w:rFonts w:ascii="Times New Roman" w:eastAsia="Times New Roman"/>
        </w:rPr>
        <w:t>300 mg APFS </w:t>
      </w:r>
      <w:r>
        <w:rPr>
          <w:spacing w:val="8"/>
        </w:rPr>
        <w:t>供应，内含 </w:t>
      </w:r>
      <w:r>
        <w:rPr>
          <w:rFonts w:ascii="Times New Roman" w:eastAsia="Times New Roman"/>
        </w:rPr>
        <w:t>150 mg/mL Tozorakimab</w:t>
      </w:r>
      <w:r>
        <w:rPr>
          <w:spacing w:val="13"/>
        </w:rPr>
        <w:t>、</w:t>
      </w:r>
      <w:r>
        <w:rPr>
          <w:rFonts w:ascii="Times New Roman" w:eastAsia="Times New Roman"/>
        </w:rPr>
        <w:t>20 mM L-</w:t>
      </w:r>
      <w:r>
        <w:rPr>
          <w:spacing w:val="12"/>
        </w:rPr>
        <w:t>组氨酸</w:t>
      </w:r>
      <w:r>
        <w:rPr>
          <w:rFonts w:ascii="Times New Roman" w:eastAsia="Times New Roman"/>
        </w:rPr>
        <w:t>/L-</w:t>
      </w:r>
      <w:r>
        <w:rPr>
          <w:spacing w:val="9"/>
        </w:rPr>
        <w:t>组氨酸盐酸盐、</w:t>
      </w:r>
      <w:r>
        <w:rPr/>
        <w:t> </w:t>
      </w:r>
      <w:r>
        <w:rPr>
          <w:rFonts w:ascii="Times New Roman" w:eastAsia="Times New Roman"/>
          <w:spacing w:val="-2"/>
        </w:rPr>
        <w:t>220</w:t>
      </w:r>
      <w:r>
        <w:rPr>
          <w:rFonts w:ascii="Times New Roman" w:eastAsia="Times New Roman"/>
          <w:spacing w:val="-13"/>
        </w:rPr>
        <w:t> </w:t>
      </w:r>
      <w:r>
        <w:rPr>
          <w:rFonts w:ascii="Times New Roman" w:eastAsia="Times New Roman"/>
          <w:spacing w:val="-2"/>
        </w:rPr>
        <w:t>mM</w:t>
      </w:r>
      <w:r>
        <w:rPr>
          <w:rFonts w:ascii="Times New Roman" w:eastAsia="Times New Roman"/>
          <w:spacing w:val="-13"/>
        </w:rPr>
        <w:t> </w:t>
      </w:r>
      <w:r>
        <w:rPr>
          <w:rFonts w:ascii="Times New Roman" w:eastAsia="Times New Roman"/>
          <w:spacing w:val="-2"/>
        </w:rPr>
        <w:t>L-</w:t>
      </w:r>
      <w:r>
        <w:rPr>
          <w:spacing w:val="-6"/>
        </w:rPr>
        <w:t>精氨酸盐酸盐和 </w:t>
      </w:r>
      <w:r>
        <w:rPr>
          <w:rFonts w:ascii="Times New Roman" w:eastAsia="Times New Roman"/>
          <w:spacing w:val="-2"/>
        </w:rPr>
        <w:t>0.03%</w:t>
      </w:r>
      <w:r>
        <w:rPr>
          <w:rFonts w:ascii="Times New Roman" w:eastAsia="Times New Roman"/>
          <w:spacing w:val="-13"/>
        </w:rPr>
        <w:t> </w:t>
      </w:r>
      <w:r>
        <w:rPr>
          <w:rFonts w:ascii="Times New Roman" w:eastAsia="Times New Roman"/>
          <w:spacing w:val="-2"/>
        </w:rPr>
        <w:t>w/v</w:t>
      </w:r>
      <w:r>
        <w:rPr>
          <w:rFonts w:ascii="Times New Roman" w:eastAsia="Times New Roman"/>
          <w:spacing w:val="-13"/>
        </w:rPr>
        <w:t> </w:t>
      </w:r>
      <w:r>
        <w:rPr>
          <w:spacing w:val="-8"/>
        </w:rPr>
        <w:t>聚山梨酯 </w:t>
      </w:r>
      <w:r>
        <w:rPr>
          <w:rFonts w:ascii="Times New Roman" w:eastAsia="Times New Roman"/>
          <w:spacing w:val="-2"/>
        </w:rPr>
        <w:t>80</w:t>
      </w:r>
      <w:r>
        <w:rPr>
          <w:spacing w:val="-2"/>
        </w:rPr>
        <w:t>，</w:t>
      </w:r>
      <w:r>
        <w:rPr>
          <w:rFonts w:ascii="Times New Roman" w:eastAsia="Times New Roman"/>
          <w:spacing w:val="-2"/>
        </w:rPr>
        <w:t>pH</w:t>
      </w:r>
      <w:r>
        <w:rPr>
          <w:rFonts w:ascii="Times New Roman" w:eastAsia="Times New Roman"/>
          <w:spacing w:val="-13"/>
        </w:rPr>
        <w:t> </w:t>
      </w:r>
      <w:r>
        <w:rPr>
          <w:spacing w:val="-11"/>
        </w:rPr>
        <w:t>值为 </w:t>
      </w:r>
      <w:r>
        <w:rPr>
          <w:rFonts w:ascii="Times New Roman" w:eastAsia="Times New Roman"/>
          <w:spacing w:val="-2"/>
        </w:rPr>
        <w:t>5.5</w:t>
      </w:r>
      <w:r>
        <w:rPr>
          <w:spacing w:val="-7"/>
        </w:rPr>
        <w:t>。安慰剂以 </w:t>
      </w:r>
      <w:r>
        <w:rPr>
          <w:rFonts w:ascii="Times New Roman" w:eastAsia="Times New Roman"/>
          <w:spacing w:val="-2"/>
        </w:rPr>
        <w:t>APFS</w:t>
      </w:r>
      <w:r>
        <w:rPr>
          <w:rFonts w:ascii="Times New Roman" w:eastAsia="Times New Roman"/>
          <w:spacing w:val="-12"/>
        </w:rPr>
        <w:t> </w:t>
      </w:r>
      <w:r>
        <w:rPr>
          <w:spacing w:val="-2"/>
        </w:rPr>
        <w:t>提</w:t>
      </w:r>
      <w:r>
        <w:rPr>
          <w:spacing w:val="-6"/>
        </w:rPr>
        <w:t>供，内含 </w:t>
      </w:r>
      <w:r>
        <w:rPr>
          <w:rFonts w:ascii="Times New Roman" w:eastAsia="Times New Roman"/>
        </w:rPr>
        <w:t>20</w:t>
      </w:r>
      <w:r>
        <w:rPr>
          <w:rFonts w:ascii="Times New Roman" w:eastAsia="Times New Roman"/>
          <w:spacing w:val="-15"/>
        </w:rPr>
        <w:t> </w:t>
      </w:r>
      <w:r>
        <w:rPr>
          <w:rFonts w:ascii="Times New Roman" w:eastAsia="Times New Roman"/>
        </w:rPr>
        <w:t>mM</w:t>
      </w:r>
      <w:r>
        <w:rPr>
          <w:rFonts w:ascii="Times New Roman" w:eastAsia="Times New Roman"/>
          <w:spacing w:val="25"/>
        </w:rPr>
        <w:t> </w:t>
      </w:r>
      <w:r>
        <w:rPr>
          <w:rFonts w:ascii="Times New Roman" w:eastAsia="Times New Roman"/>
        </w:rPr>
        <w:t>L-</w:t>
      </w:r>
      <w:r>
        <w:rPr/>
        <w:t>组氨酸</w:t>
      </w:r>
      <w:r>
        <w:rPr>
          <w:rFonts w:ascii="Times New Roman" w:eastAsia="Times New Roman"/>
        </w:rPr>
        <w:t>/L-</w:t>
      </w:r>
      <w:r>
        <w:rPr/>
        <w:t>组氨酸盐酸盐、</w:t>
      </w:r>
      <w:r>
        <w:rPr>
          <w:rFonts w:ascii="Times New Roman" w:eastAsia="Times New Roman"/>
        </w:rPr>
        <w:t>220</w:t>
      </w:r>
      <w:r>
        <w:rPr>
          <w:rFonts w:ascii="Times New Roman" w:eastAsia="Times New Roman"/>
          <w:spacing w:val="25"/>
        </w:rPr>
        <w:t> </w:t>
      </w:r>
      <w:r>
        <w:rPr>
          <w:rFonts w:ascii="Times New Roman" w:eastAsia="Times New Roman"/>
        </w:rPr>
        <w:t>mM</w:t>
      </w:r>
      <w:r>
        <w:rPr>
          <w:rFonts w:ascii="Times New Roman" w:eastAsia="Times New Roman"/>
          <w:spacing w:val="24"/>
        </w:rPr>
        <w:t> </w:t>
      </w:r>
      <w:r>
        <w:rPr>
          <w:rFonts w:ascii="Times New Roman" w:eastAsia="Times New Roman"/>
        </w:rPr>
        <w:t>L-</w:t>
      </w:r>
      <w:r>
        <w:rPr>
          <w:spacing w:val="-4"/>
        </w:rPr>
        <w:t>精氨酸盐酸盐和 </w:t>
      </w:r>
      <w:r>
        <w:rPr>
          <w:rFonts w:ascii="Times New Roman" w:eastAsia="Times New Roman"/>
        </w:rPr>
        <w:t>0.03%</w:t>
      </w:r>
      <w:r>
        <w:rPr>
          <w:rFonts w:ascii="Times New Roman" w:eastAsia="Times New Roman"/>
          <w:spacing w:val="25"/>
        </w:rPr>
        <w:t> </w:t>
      </w:r>
      <w:r>
        <w:rPr>
          <w:rFonts w:ascii="Times New Roman" w:eastAsia="Times New Roman"/>
        </w:rPr>
        <w:t>w/v</w:t>
      </w:r>
      <w:r>
        <w:rPr>
          <w:spacing w:val="-7"/>
        </w:rPr>
        <w:t>聚山梨酯 </w:t>
      </w:r>
      <w:r>
        <w:rPr>
          <w:rFonts w:ascii="Times New Roman" w:eastAsia="Times New Roman"/>
        </w:rPr>
        <w:t>80</w:t>
      </w:r>
      <w:r>
        <w:rPr/>
        <w:t>，</w:t>
      </w:r>
      <w:r>
        <w:rPr>
          <w:rFonts w:ascii="Times New Roman" w:eastAsia="Times New Roman"/>
        </w:rPr>
        <w:t>pH </w:t>
      </w:r>
      <w:r>
        <w:rPr>
          <w:spacing w:val="-11"/>
        </w:rPr>
        <w:t>值为 </w:t>
      </w:r>
      <w:r>
        <w:rPr>
          <w:rFonts w:ascii="Times New Roman" w:eastAsia="Times New Roman"/>
        </w:rPr>
        <w:t>5.5</w:t>
      </w:r>
      <w:r>
        <w:rPr/>
        <w:t>。</w:t>
      </w:r>
      <w:r>
        <w:rPr>
          <w:rFonts w:ascii="Times New Roman" w:eastAsia="Times New Roman"/>
        </w:rPr>
        <w:t>Tozorakimab </w:t>
      </w:r>
      <w:r>
        <w:rPr>
          <w:spacing w:val="-3"/>
        </w:rPr>
        <w:t>和安慰剂的标示体积为 </w:t>
      </w:r>
      <w:r>
        <w:rPr>
          <w:rFonts w:ascii="Times New Roman" w:eastAsia="Times New Roman"/>
        </w:rPr>
        <w:t>2 mL</w:t>
      </w:r>
      <w:r>
        <w:rPr/>
        <w:t>。</w:t>
      </w:r>
    </w:p>
    <w:p>
      <w:pPr>
        <w:pStyle w:val="Heading1"/>
        <w:numPr>
          <w:ilvl w:val="1"/>
          <w:numId w:val="3"/>
        </w:numPr>
        <w:tabs>
          <w:tab w:pos="1355" w:val="left" w:leader="none"/>
        </w:tabs>
        <w:spacing w:line="240" w:lineRule="auto" w:before="237" w:after="0"/>
        <w:ind w:left="1355" w:right="0" w:hanging="1134"/>
        <w:jc w:val="left"/>
      </w:pPr>
      <w:bookmarkStart w:name="6.1 研究干预给药" w:id="90"/>
      <w:bookmarkEnd w:id="90"/>
      <w:r>
        <w:rPr>
          <w:b w:val="0"/>
        </w:rPr>
      </w:r>
      <w:bookmarkStart w:name="_bookmark47" w:id="91"/>
      <w:bookmarkEnd w:id="91"/>
      <w:r>
        <w:rPr>
          <w:b w:val="0"/>
        </w:rPr>
      </w:r>
      <w:r>
        <w:rPr>
          <w:spacing w:val="-4"/>
        </w:rPr>
        <w:t>研究干预给药</w:t>
      </w:r>
    </w:p>
    <w:p>
      <w:pPr>
        <w:pStyle w:val="Heading2"/>
        <w:numPr>
          <w:ilvl w:val="2"/>
          <w:numId w:val="3"/>
        </w:numPr>
        <w:tabs>
          <w:tab w:pos="1373" w:val="left" w:leader="none"/>
        </w:tabs>
        <w:spacing w:line="240" w:lineRule="auto" w:before="117" w:after="0"/>
        <w:ind w:left="1373" w:right="0" w:hanging="1152"/>
        <w:jc w:val="left"/>
      </w:pPr>
      <w:bookmarkStart w:name="6.1.1 研究干预" w:id="92"/>
      <w:bookmarkEnd w:id="92"/>
      <w:r>
        <w:rPr>
          <w:b w:val="0"/>
        </w:rPr>
      </w:r>
      <w:bookmarkStart w:name="_bookmark48" w:id="93"/>
      <w:bookmarkEnd w:id="93"/>
      <w:r>
        <w:rPr>
          <w:b w:val="0"/>
        </w:rPr>
      </w:r>
      <w:r>
        <w:rPr>
          <w:spacing w:val="-4"/>
        </w:rPr>
        <w:t>研究干预</w:t>
      </w:r>
    </w:p>
    <w:p>
      <w:pPr>
        <w:pStyle w:val="Heading3"/>
        <w:tabs>
          <w:tab w:pos="1923" w:val="left" w:leader="none"/>
        </w:tabs>
        <w:spacing w:before="120"/>
      </w:pPr>
      <w:bookmarkStart w:name="_bookmark49" w:id="94"/>
      <w:bookmarkEnd w:id="94"/>
      <w:r>
        <w:rPr>
          <w:b w:val="0"/>
        </w:rPr>
      </w:r>
      <w:r>
        <w:rPr>
          <w:spacing w:val="-4"/>
        </w:rPr>
        <w:t>表</w:t>
      </w:r>
      <w:r>
        <w:rPr>
          <w:spacing w:val="-59"/>
        </w:rPr>
        <w:t> </w:t>
      </w:r>
      <w:r>
        <w:rPr>
          <w:rFonts w:ascii="Times New Roman" w:eastAsia="Times New Roman"/>
          <w:spacing w:val="-10"/>
        </w:rPr>
        <w:t>4</w:t>
      </w:r>
      <w:r>
        <w:rPr>
          <w:rFonts w:ascii="Times New Roman" w:eastAsia="Times New Roman"/>
        </w:rPr>
        <w:tab/>
      </w:r>
      <w:r>
        <w:rPr>
          <w:spacing w:val="-2"/>
        </w:rPr>
        <w:t>研究干</w:t>
      </w:r>
      <w:r>
        <w:rPr>
          <w:spacing w:val="-10"/>
        </w:rPr>
        <w:t>预</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9"/>
        <w:gridCol w:w="2400"/>
        <w:gridCol w:w="2399"/>
        <w:gridCol w:w="2399"/>
      </w:tblGrid>
      <w:tr>
        <w:trPr>
          <w:trHeight w:val="635" w:hRule="atLeast"/>
        </w:trPr>
        <w:tc>
          <w:tcPr>
            <w:tcW w:w="1559" w:type="dxa"/>
          </w:tcPr>
          <w:p>
            <w:pPr>
              <w:pStyle w:val="TableParagraph"/>
              <w:spacing w:before="38"/>
              <w:ind w:left="107"/>
              <w:rPr>
                <w:b/>
                <w:sz w:val="21"/>
              </w:rPr>
            </w:pPr>
            <w:r>
              <w:rPr>
                <w:b/>
                <w:spacing w:val="-5"/>
                <w:sz w:val="21"/>
              </w:rPr>
              <w:t>组名称</w:t>
            </w:r>
          </w:p>
        </w:tc>
        <w:tc>
          <w:tcPr>
            <w:tcW w:w="2400" w:type="dxa"/>
          </w:tcPr>
          <w:p>
            <w:pPr>
              <w:pStyle w:val="TableParagraph"/>
              <w:spacing w:line="276" w:lineRule="auto" w:before="40"/>
              <w:ind w:left="106" w:right="80"/>
              <w:rPr>
                <w:rFonts w:ascii="Times New Roman"/>
                <w:sz w:val="21"/>
              </w:rPr>
            </w:pPr>
            <w:r>
              <w:rPr>
                <w:rFonts w:ascii="Times New Roman"/>
                <w:sz w:val="21"/>
              </w:rPr>
              <w:t>Tozorakimab</w:t>
            </w:r>
            <w:r>
              <w:rPr>
                <w:rFonts w:ascii="Times New Roman"/>
                <w:spacing w:val="-14"/>
                <w:sz w:val="21"/>
              </w:rPr>
              <w:t> </w:t>
            </w:r>
            <w:r>
              <w:rPr>
                <w:rFonts w:ascii="Times New Roman"/>
                <w:sz w:val="21"/>
              </w:rPr>
              <w:t>300</w:t>
            </w:r>
            <w:r>
              <w:rPr>
                <w:rFonts w:ascii="Times New Roman"/>
                <w:spacing w:val="-13"/>
                <w:sz w:val="21"/>
              </w:rPr>
              <w:t> </w:t>
            </w:r>
            <w:r>
              <w:rPr>
                <w:rFonts w:ascii="Times New Roman"/>
                <w:sz w:val="21"/>
              </w:rPr>
              <w:t>mg </w:t>
            </w:r>
            <w:r>
              <w:rPr>
                <w:rFonts w:ascii="Times New Roman"/>
                <w:spacing w:val="-4"/>
                <w:sz w:val="21"/>
              </w:rPr>
              <w:t>Q4W</w:t>
            </w:r>
          </w:p>
        </w:tc>
        <w:tc>
          <w:tcPr>
            <w:tcW w:w="2399" w:type="dxa"/>
          </w:tcPr>
          <w:p>
            <w:pPr>
              <w:pStyle w:val="TableParagraph"/>
              <w:spacing w:line="276" w:lineRule="auto" w:before="40"/>
              <w:ind w:left="106" w:right="180"/>
              <w:rPr>
                <w:rFonts w:ascii="Times New Roman"/>
                <w:sz w:val="21"/>
              </w:rPr>
            </w:pPr>
            <w:r>
              <w:rPr>
                <w:rFonts w:ascii="Times New Roman"/>
                <w:sz w:val="21"/>
              </w:rPr>
              <w:t>Tozorakimab</w:t>
            </w:r>
            <w:r>
              <w:rPr>
                <w:rFonts w:ascii="Times New Roman"/>
                <w:spacing w:val="-14"/>
                <w:sz w:val="21"/>
              </w:rPr>
              <w:t> </w:t>
            </w:r>
            <w:r>
              <w:rPr>
                <w:rFonts w:ascii="Times New Roman"/>
                <w:sz w:val="21"/>
              </w:rPr>
              <w:t>300</w:t>
            </w:r>
            <w:r>
              <w:rPr>
                <w:rFonts w:ascii="Times New Roman"/>
                <w:spacing w:val="-13"/>
                <w:sz w:val="21"/>
              </w:rPr>
              <w:t> </w:t>
            </w:r>
            <w:r>
              <w:rPr>
                <w:rFonts w:ascii="Times New Roman"/>
                <w:sz w:val="21"/>
              </w:rPr>
              <w:t>mg </w:t>
            </w:r>
            <w:r>
              <w:rPr>
                <w:rFonts w:ascii="Times New Roman"/>
                <w:spacing w:val="-4"/>
                <w:sz w:val="21"/>
              </w:rPr>
              <w:t>Q8W</w:t>
            </w:r>
          </w:p>
        </w:tc>
        <w:tc>
          <w:tcPr>
            <w:tcW w:w="2399" w:type="dxa"/>
          </w:tcPr>
          <w:p>
            <w:pPr>
              <w:pStyle w:val="TableParagraph"/>
              <w:spacing w:before="38"/>
              <w:ind w:left="107"/>
              <w:rPr>
                <w:sz w:val="21"/>
              </w:rPr>
            </w:pPr>
            <w:r>
              <w:rPr>
                <w:spacing w:val="-4"/>
                <w:sz w:val="21"/>
              </w:rPr>
              <w:t>安慰剂</w:t>
            </w:r>
          </w:p>
        </w:tc>
      </w:tr>
      <w:tr>
        <w:trPr>
          <w:trHeight w:val="393" w:hRule="atLeast"/>
        </w:trPr>
        <w:tc>
          <w:tcPr>
            <w:tcW w:w="1559" w:type="dxa"/>
          </w:tcPr>
          <w:p>
            <w:pPr>
              <w:pStyle w:val="TableParagraph"/>
              <w:spacing w:before="38"/>
              <w:ind w:left="107"/>
              <w:rPr>
                <w:b/>
                <w:sz w:val="21"/>
              </w:rPr>
            </w:pPr>
            <w:r>
              <w:rPr>
                <w:b/>
                <w:spacing w:val="-4"/>
                <w:sz w:val="21"/>
              </w:rPr>
              <w:t>干预药物名称</w:t>
            </w:r>
          </w:p>
        </w:tc>
        <w:tc>
          <w:tcPr>
            <w:tcW w:w="2400" w:type="dxa"/>
          </w:tcPr>
          <w:p>
            <w:pPr>
              <w:pStyle w:val="TableParagraph"/>
              <w:spacing w:before="39"/>
              <w:ind w:left="106"/>
              <w:rPr>
                <w:rFonts w:ascii="Times New Roman"/>
                <w:sz w:val="21"/>
              </w:rPr>
            </w:pPr>
            <w:r>
              <w:rPr>
                <w:rFonts w:ascii="Times New Roman"/>
                <w:spacing w:val="-2"/>
                <w:sz w:val="21"/>
              </w:rPr>
              <w:t>Tozorakimab</w:t>
            </w:r>
          </w:p>
        </w:tc>
        <w:tc>
          <w:tcPr>
            <w:tcW w:w="2399" w:type="dxa"/>
          </w:tcPr>
          <w:p>
            <w:pPr>
              <w:pStyle w:val="TableParagraph"/>
              <w:spacing w:before="39"/>
              <w:ind w:left="106"/>
              <w:rPr>
                <w:rFonts w:ascii="Times New Roman"/>
                <w:sz w:val="21"/>
              </w:rPr>
            </w:pPr>
            <w:r>
              <w:rPr>
                <w:rFonts w:ascii="Times New Roman"/>
                <w:spacing w:val="-2"/>
                <w:sz w:val="21"/>
              </w:rPr>
              <w:t>Tozorakimab</w:t>
            </w:r>
          </w:p>
        </w:tc>
        <w:tc>
          <w:tcPr>
            <w:tcW w:w="2399" w:type="dxa"/>
          </w:tcPr>
          <w:p>
            <w:pPr>
              <w:pStyle w:val="TableParagraph"/>
              <w:spacing w:before="38"/>
              <w:ind w:left="107"/>
              <w:rPr>
                <w:sz w:val="21"/>
              </w:rPr>
            </w:pPr>
            <w:r>
              <w:rPr>
                <w:spacing w:val="-4"/>
                <w:sz w:val="21"/>
              </w:rPr>
              <w:t>安慰剂</w:t>
            </w:r>
          </w:p>
        </w:tc>
      </w:tr>
      <w:tr>
        <w:trPr>
          <w:trHeight w:val="393" w:hRule="atLeast"/>
        </w:trPr>
        <w:tc>
          <w:tcPr>
            <w:tcW w:w="1559" w:type="dxa"/>
          </w:tcPr>
          <w:p>
            <w:pPr>
              <w:pStyle w:val="TableParagraph"/>
              <w:spacing w:before="38"/>
              <w:ind w:left="107"/>
              <w:rPr>
                <w:b/>
                <w:sz w:val="21"/>
              </w:rPr>
            </w:pPr>
            <w:r>
              <w:rPr>
                <w:b/>
                <w:spacing w:val="-6"/>
                <w:sz w:val="21"/>
              </w:rPr>
              <w:t>类型</w:t>
            </w:r>
          </w:p>
        </w:tc>
        <w:tc>
          <w:tcPr>
            <w:tcW w:w="2400" w:type="dxa"/>
          </w:tcPr>
          <w:p>
            <w:pPr>
              <w:pStyle w:val="TableParagraph"/>
              <w:spacing w:before="38"/>
              <w:ind w:left="106"/>
              <w:rPr>
                <w:sz w:val="21"/>
              </w:rPr>
            </w:pPr>
            <w:r>
              <w:rPr>
                <w:spacing w:val="-2"/>
                <w:sz w:val="21"/>
              </w:rPr>
              <w:t>生物制品，组合产品</w:t>
            </w:r>
          </w:p>
        </w:tc>
        <w:tc>
          <w:tcPr>
            <w:tcW w:w="2399" w:type="dxa"/>
          </w:tcPr>
          <w:p>
            <w:pPr>
              <w:pStyle w:val="TableParagraph"/>
              <w:spacing w:before="38"/>
              <w:ind w:left="106"/>
              <w:rPr>
                <w:sz w:val="21"/>
              </w:rPr>
            </w:pPr>
            <w:r>
              <w:rPr>
                <w:spacing w:val="-2"/>
                <w:sz w:val="21"/>
              </w:rPr>
              <w:t>生物制品，组合产品</w:t>
            </w:r>
          </w:p>
        </w:tc>
        <w:tc>
          <w:tcPr>
            <w:tcW w:w="2399" w:type="dxa"/>
          </w:tcPr>
          <w:p>
            <w:pPr>
              <w:pStyle w:val="TableParagraph"/>
              <w:spacing w:before="38"/>
              <w:ind w:left="107"/>
              <w:rPr>
                <w:sz w:val="21"/>
              </w:rPr>
            </w:pPr>
            <w:r>
              <w:rPr>
                <w:spacing w:val="-2"/>
                <w:sz w:val="21"/>
              </w:rPr>
              <w:t>安慰剂，组合产品</w:t>
            </w:r>
          </w:p>
        </w:tc>
      </w:tr>
      <w:tr>
        <w:trPr>
          <w:trHeight w:val="393" w:hRule="atLeast"/>
        </w:trPr>
        <w:tc>
          <w:tcPr>
            <w:tcW w:w="1559" w:type="dxa"/>
          </w:tcPr>
          <w:p>
            <w:pPr>
              <w:pStyle w:val="TableParagraph"/>
              <w:spacing w:before="38"/>
              <w:ind w:left="107"/>
              <w:rPr>
                <w:b/>
                <w:sz w:val="21"/>
              </w:rPr>
            </w:pPr>
            <w:r>
              <w:rPr>
                <w:b/>
                <w:spacing w:val="-6"/>
                <w:sz w:val="21"/>
              </w:rPr>
              <w:t>用途</w:t>
            </w:r>
          </w:p>
        </w:tc>
        <w:tc>
          <w:tcPr>
            <w:tcW w:w="2400" w:type="dxa"/>
          </w:tcPr>
          <w:p>
            <w:pPr>
              <w:pStyle w:val="TableParagraph"/>
              <w:spacing w:before="38"/>
              <w:ind w:left="106"/>
              <w:rPr>
                <w:sz w:val="21"/>
              </w:rPr>
            </w:pPr>
            <w:r>
              <w:rPr>
                <w:spacing w:val="-3"/>
                <w:sz w:val="21"/>
              </w:rPr>
              <w:t>活性成分</w:t>
            </w:r>
          </w:p>
        </w:tc>
        <w:tc>
          <w:tcPr>
            <w:tcW w:w="2399" w:type="dxa"/>
          </w:tcPr>
          <w:p>
            <w:pPr>
              <w:pStyle w:val="TableParagraph"/>
              <w:spacing w:before="38"/>
              <w:ind w:left="106"/>
              <w:rPr>
                <w:sz w:val="21"/>
              </w:rPr>
            </w:pPr>
            <w:r>
              <w:rPr>
                <w:spacing w:val="-3"/>
                <w:sz w:val="21"/>
              </w:rPr>
              <w:t>活性成分</w:t>
            </w:r>
          </w:p>
        </w:tc>
        <w:tc>
          <w:tcPr>
            <w:tcW w:w="2399" w:type="dxa"/>
          </w:tcPr>
          <w:p>
            <w:pPr>
              <w:pStyle w:val="TableParagraph"/>
              <w:spacing w:before="38"/>
              <w:ind w:left="107"/>
              <w:rPr>
                <w:sz w:val="21"/>
              </w:rPr>
            </w:pPr>
            <w:r>
              <w:rPr>
                <w:spacing w:val="-4"/>
                <w:sz w:val="21"/>
              </w:rPr>
              <w:t>安慰剂</w:t>
            </w:r>
          </w:p>
        </w:tc>
      </w:tr>
      <w:tr>
        <w:trPr>
          <w:trHeight w:val="393" w:hRule="atLeast"/>
        </w:trPr>
        <w:tc>
          <w:tcPr>
            <w:tcW w:w="1559" w:type="dxa"/>
          </w:tcPr>
          <w:p>
            <w:pPr>
              <w:pStyle w:val="TableParagraph"/>
              <w:spacing w:before="38"/>
              <w:ind w:left="107"/>
              <w:rPr>
                <w:b/>
                <w:sz w:val="21"/>
              </w:rPr>
            </w:pPr>
            <w:r>
              <w:rPr>
                <w:b/>
                <w:spacing w:val="-4"/>
                <w:sz w:val="21"/>
              </w:rPr>
              <w:t>单位剂量规格</w:t>
            </w:r>
          </w:p>
        </w:tc>
        <w:tc>
          <w:tcPr>
            <w:tcW w:w="2400" w:type="dxa"/>
          </w:tcPr>
          <w:p>
            <w:pPr>
              <w:pStyle w:val="TableParagraph"/>
              <w:spacing w:before="39"/>
              <w:ind w:left="106"/>
              <w:rPr>
                <w:rFonts w:ascii="Times New Roman"/>
                <w:sz w:val="21"/>
              </w:rPr>
            </w:pPr>
            <w:r>
              <w:rPr>
                <w:rFonts w:ascii="Times New Roman"/>
                <w:sz w:val="21"/>
              </w:rPr>
              <w:t>150 </w:t>
            </w:r>
            <w:r>
              <w:rPr>
                <w:rFonts w:ascii="Times New Roman"/>
                <w:spacing w:val="-2"/>
                <w:sz w:val="21"/>
              </w:rPr>
              <w:t>mg/mL</w:t>
            </w:r>
          </w:p>
        </w:tc>
        <w:tc>
          <w:tcPr>
            <w:tcW w:w="2399" w:type="dxa"/>
          </w:tcPr>
          <w:p>
            <w:pPr>
              <w:pStyle w:val="TableParagraph"/>
              <w:spacing w:before="39"/>
              <w:ind w:left="106"/>
              <w:rPr>
                <w:rFonts w:ascii="Times New Roman"/>
                <w:sz w:val="21"/>
              </w:rPr>
            </w:pPr>
            <w:r>
              <w:rPr>
                <w:rFonts w:ascii="Times New Roman"/>
                <w:sz w:val="21"/>
              </w:rPr>
              <w:t>150 </w:t>
            </w:r>
            <w:r>
              <w:rPr>
                <w:rFonts w:ascii="Times New Roman"/>
                <w:spacing w:val="-2"/>
                <w:sz w:val="21"/>
              </w:rPr>
              <w:t>mg/mL</w:t>
            </w:r>
          </w:p>
        </w:tc>
        <w:tc>
          <w:tcPr>
            <w:tcW w:w="2399" w:type="dxa"/>
          </w:tcPr>
          <w:p>
            <w:pPr>
              <w:pStyle w:val="TableParagraph"/>
              <w:spacing w:before="38"/>
              <w:ind w:left="107"/>
              <w:rPr>
                <w:sz w:val="21"/>
              </w:rPr>
            </w:pPr>
            <w:r>
              <w:rPr>
                <w:spacing w:val="-4"/>
                <w:sz w:val="21"/>
              </w:rPr>
              <w:t>不适用</w:t>
            </w:r>
          </w:p>
        </w:tc>
      </w:tr>
      <w:tr>
        <w:trPr>
          <w:trHeight w:val="1332" w:hRule="atLeast"/>
        </w:trPr>
        <w:tc>
          <w:tcPr>
            <w:tcW w:w="1559" w:type="dxa"/>
          </w:tcPr>
          <w:p>
            <w:pPr>
              <w:pStyle w:val="TableParagraph"/>
              <w:spacing w:before="38"/>
              <w:ind w:left="107"/>
              <w:rPr>
                <w:b/>
                <w:sz w:val="21"/>
              </w:rPr>
            </w:pPr>
            <w:r>
              <w:rPr>
                <w:b/>
                <w:spacing w:val="-4"/>
                <w:sz w:val="21"/>
              </w:rPr>
              <w:t>剂量水平</w:t>
            </w:r>
          </w:p>
        </w:tc>
        <w:tc>
          <w:tcPr>
            <w:tcW w:w="2400" w:type="dxa"/>
          </w:tcPr>
          <w:p>
            <w:pPr>
              <w:pStyle w:val="TableParagraph"/>
              <w:spacing w:before="39"/>
              <w:ind w:left="106"/>
              <w:rPr>
                <w:rFonts w:ascii="Times New Roman"/>
                <w:sz w:val="21"/>
              </w:rPr>
            </w:pPr>
            <w:r>
              <w:rPr>
                <w:rFonts w:ascii="Times New Roman"/>
                <w:sz w:val="21"/>
              </w:rPr>
              <w:t>300</w:t>
            </w:r>
            <w:r>
              <w:rPr>
                <w:rFonts w:ascii="Times New Roman"/>
                <w:spacing w:val="-1"/>
                <w:sz w:val="21"/>
              </w:rPr>
              <w:t> </w:t>
            </w:r>
            <w:r>
              <w:rPr>
                <w:rFonts w:ascii="Times New Roman"/>
                <w:sz w:val="21"/>
              </w:rPr>
              <w:t>mg </w:t>
            </w:r>
            <w:r>
              <w:rPr>
                <w:rFonts w:ascii="Times New Roman"/>
                <w:spacing w:val="-5"/>
                <w:sz w:val="21"/>
              </w:rPr>
              <w:t>Q4W</w:t>
            </w:r>
          </w:p>
        </w:tc>
        <w:tc>
          <w:tcPr>
            <w:tcW w:w="2399" w:type="dxa"/>
          </w:tcPr>
          <w:p>
            <w:pPr>
              <w:pStyle w:val="TableParagraph"/>
              <w:spacing w:line="276" w:lineRule="auto" w:before="36"/>
              <w:ind w:left="106" w:right="180"/>
              <w:rPr>
                <w:sz w:val="21"/>
              </w:rPr>
            </w:pPr>
            <w:r>
              <w:rPr>
                <w:rFonts w:ascii="Times New Roman" w:eastAsia="Times New Roman"/>
                <w:sz w:val="21"/>
              </w:rPr>
              <w:t>300 mg Q8W</w:t>
            </w:r>
            <w:r>
              <w:rPr>
                <w:sz w:val="21"/>
              </w:rPr>
              <w:t>（活性药</w:t>
            </w:r>
            <w:r>
              <w:rPr>
                <w:spacing w:val="-12"/>
                <w:sz w:val="21"/>
              </w:rPr>
              <w:t>物 </w:t>
            </w:r>
            <w:r>
              <w:rPr>
                <w:rFonts w:ascii="Times New Roman" w:eastAsia="Times New Roman"/>
                <w:sz w:val="21"/>
              </w:rPr>
              <w:t>tozorakimab </w:t>
            </w:r>
            <w:r>
              <w:rPr>
                <w:sz w:val="21"/>
              </w:rPr>
              <w:t>给药之</w:t>
            </w:r>
            <w:r>
              <w:rPr>
                <w:spacing w:val="-2"/>
                <w:sz w:val="21"/>
              </w:rPr>
              <w:t>间交替使用匹配的安慰</w:t>
            </w:r>
            <w:r>
              <w:rPr>
                <w:spacing w:val="-6"/>
                <w:sz w:val="21"/>
              </w:rPr>
              <w:t>剂）</w:t>
            </w:r>
          </w:p>
        </w:tc>
        <w:tc>
          <w:tcPr>
            <w:tcW w:w="2399" w:type="dxa"/>
          </w:tcPr>
          <w:p>
            <w:pPr>
              <w:pStyle w:val="TableParagraph"/>
              <w:spacing w:line="276" w:lineRule="auto" w:before="36"/>
              <w:ind w:left="107" w:right="207"/>
              <w:rPr>
                <w:sz w:val="21"/>
              </w:rPr>
            </w:pPr>
            <w:r>
              <w:rPr>
                <w:spacing w:val="-27"/>
                <w:sz w:val="21"/>
              </w:rPr>
              <w:t>与 </w:t>
            </w:r>
            <w:r>
              <w:rPr>
                <w:rFonts w:ascii="Times New Roman" w:eastAsia="Times New Roman"/>
                <w:sz w:val="21"/>
              </w:rPr>
              <w:t>tozorakimab</w:t>
            </w:r>
            <w:r>
              <w:rPr>
                <w:rFonts w:ascii="Times New Roman" w:eastAsia="Times New Roman"/>
                <w:spacing w:val="-14"/>
                <w:sz w:val="21"/>
              </w:rPr>
              <w:t> </w:t>
            </w:r>
            <w:r>
              <w:rPr>
                <w:rFonts w:ascii="Times New Roman" w:eastAsia="Times New Roman"/>
                <w:sz w:val="21"/>
              </w:rPr>
              <w:t>Q4W</w:t>
            </w:r>
            <w:r>
              <w:rPr>
                <w:rFonts w:ascii="Times New Roman" w:eastAsia="Times New Roman"/>
                <w:spacing w:val="-13"/>
                <w:sz w:val="21"/>
              </w:rPr>
              <w:t> </w:t>
            </w:r>
            <w:r>
              <w:rPr>
                <w:sz w:val="21"/>
              </w:rPr>
              <w:t>的</w:t>
            </w:r>
            <w:r>
              <w:rPr>
                <w:spacing w:val="-4"/>
                <w:sz w:val="21"/>
              </w:rPr>
              <w:t>体积一致</w:t>
            </w:r>
          </w:p>
        </w:tc>
      </w:tr>
      <w:tr>
        <w:trPr>
          <w:trHeight w:val="393" w:hRule="atLeast"/>
        </w:trPr>
        <w:tc>
          <w:tcPr>
            <w:tcW w:w="1559" w:type="dxa"/>
          </w:tcPr>
          <w:p>
            <w:pPr>
              <w:pStyle w:val="TableParagraph"/>
              <w:spacing w:before="38"/>
              <w:ind w:left="107"/>
              <w:rPr>
                <w:b/>
                <w:sz w:val="21"/>
              </w:rPr>
            </w:pPr>
            <w:r>
              <w:rPr>
                <w:b/>
                <w:spacing w:val="-4"/>
                <w:sz w:val="21"/>
              </w:rPr>
              <w:t>给药途径</w:t>
            </w:r>
          </w:p>
        </w:tc>
        <w:tc>
          <w:tcPr>
            <w:tcW w:w="2400" w:type="dxa"/>
          </w:tcPr>
          <w:p>
            <w:pPr>
              <w:pStyle w:val="TableParagraph"/>
              <w:spacing w:before="38"/>
              <w:ind w:left="106"/>
              <w:rPr>
                <w:sz w:val="21"/>
              </w:rPr>
            </w:pPr>
            <w:r>
              <w:rPr>
                <w:rFonts w:ascii="Times New Roman" w:eastAsia="Times New Roman"/>
                <w:sz w:val="21"/>
              </w:rPr>
              <w:t>SC</w:t>
            </w:r>
            <w:r>
              <w:rPr>
                <w:rFonts w:ascii="Times New Roman" w:eastAsia="Times New Roman"/>
                <w:spacing w:val="-12"/>
                <w:sz w:val="21"/>
              </w:rPr>
              <w:t> </w:t>
            </w:r>
            <w:r>
              <w:rPr>
                <w:spacing w:val="-5"/>
                <w:sz w:val="21"/>
              </w:rPr>
              <w:t>注射</w:t>
            </w:r>
          </w:p>
        </w:tc>
        <w:tc>
          <w:tcPr>
            <w:tcW w:w="2399" w:type="dxa"/>
          </w:tcPr>
          <w:p>
            <w:pPr>
              <w:pStyle w:val="TableParagraph"/>
              <w:spacing w:before="38"/>
              <w:ind w:left="106"/>
              <w:rPr>
                <w:sz w:val="21"/>
              </w:rPr>
            </w:pPr>
            <w:r>
              <w:rPr>
                <w:rFonts w:ascii="Times New Roman" w:eastAsia="Times New Roman"/>
                <w:sz w:val="21"/>
              </w:rPr>
              <w:t>SC</w:t>
            </w:r>
            <w:r>
              <w:rPr>
                <w:rFonts w:ascii="Times New Roman" w:eastAsia="Times New Roman"/>
                <w:spacing w:val="-12"/>
                <w:sz w:val="21"/>
              </w:rPr>
              <w:t> </w:t>
            </w:r>
            <w:r>
              <w:rPr>
                <w:spacing w:val="-5"/>
                <w:sz w:val="21"/>
              </w:rPr>
              <w:t>注射</w:t>
            </w:r>
          </w:p>
        </w:tc>
        <w:tc>
          <w:tcPr>
            <w:tcW w:w="2399" w:type="dxa"/>
          </w:tcPr>
          <w:p>
            <w:pPr>
              <w:pStyle w:val="TableParagraph"/>
              <w:spacing w:before="38"/>
              <w:ind w:left="107"/>
              <w:rPr>
                <w:sz w:val="21"/>
              </w:rPr>
            </w:pPr>
            <w:r>
              <w:rPr>
                <w:rFonts w:ascii="Times New Roman" w:eastAsia="Times New Roman"/>
                <w:sz w:val="21"/>
              </w:rPr>
              <w:t>SC</w:t>
            </w:r>
            <w:r>
              <w:rPr>
                <w:rFonts w:ascii="Times New Roman" w:eastAsia="Times New Roman"/>
                <w:spacing w:val="-12"/>
                <w:sz w:val="21"/>
              </w:rPr>
              <w:t> </w:t>
            </w:r>
            <w:r>
              <w:rPr>
                <w:spacing w:val="-5"/>
                <w:sz w:val="21"/>
              </w:rPr>
              <w:t>注射</w:t>
            </w:r>
          </w:p>
        </w:tc>
      </w:tr>
      <w:tr>
        <w:trPr>
          <w:trHeight w:val="393" w:hRule="atLeast"/>
        </w:trPr>
        <w:tc>
          <w:tcPr>
            <w:tcW w:w="1559" w:type="dxa"/>
          </w:tcPr>
          <w:p>
            <w:pPr>
              <w:pStyle w:val="TableParagraph"/>
              <w:spacing w:before="38"/>
              <w:ind w:left="107"/>
              <w:rPr>
                <w:rFonts w:ascii="Times New Roman" w:eastAsia="Times New Roman"/>
                <w:b/>
                <w:sz w:val="21"/>
              </w:rPr>
            </w:pPr>
            <w:r>
              <w:rPr>
                <w:rFonts w:ascii="Times New Roman" w:eastAsia="Times New Roman"/>
                <w:b/>
                <w:sz w:val="21"/>
              </w:rPr>
              <w:t>IMP</w:t>
            </w:r>
            <w:r>
              <w:rPr>
                <w:rFonts w:ascii="Times New Roman" w:eastAsia="Times New Roman"/>
                <w:b/>
                <w:spacing w:val="-14"/>
                <w:sz w:val="21"/>
              </w:rPr>
              <w:t> </w:t>
            </w:r>
            <w:r>
              <w:rPr>
                <w:b/>
                <w:spacing w:val="-26"/>
                <w:sz w:val="21"/>
              </w:rPr>
              <w:t>和 </w:t>
            </w:r>
            <w:r>
              <w:rPr>
                <w:rFonts w:ascii="Times New Roman" w:eastAsia="Times New Roman"/>
                <w:b/>
                <w:spacing w:val="-4"/>
                <w:sz w:val="21"/>
              </w:rPr>
              <w:t>NIMP</w:t>
            </w:r>
          </w:p>
        </w:tc>
        <w:tc>
          <w:tcPr>
            <w:tcW w:w="2400" w:type="dxa"/>
          </w:tcPr>
          <w:p>
            <w:pPr>
              <w:pStyle w:val="TableParagraph"/>
              <w:spacing w:before="39"/>
              <w:ind w:left="106"/>
              <w:rPr>
                <w:rFonts w:ascii="Times New Roman"/>
                <w:sz w:val="21"/>
              </w:rPr>
            </w:pPr>
            <w:r>
              <w:rPr>
                <w:rFonts w:ascii="Times New Roman"/>
                <w:spacing w:val="-5"/>
                <w:sz w:val="21"/>
              </w:rPr>
              <w:t>IMP</w:t>
            </w:r>
          </w:p>
        </w:tc>
        <w:tc>
          <w:tcPr>
            <w:tcW w:w="2399" w:type="dxa"/>
          </w:tcPr>
          <w:p>
            <w:pPr>
              <w:pStyle w:val="TableParagraph"/>
              <w:spacing w:before="39"/>
              <w:ind w:left="106"/>
              <w:rPr>
                <w:rFonts w:ascii="Times New Roman"/>
                <w:sz w:val="21"/>
              </w:rPr>
            </w:pPr>
            <w:r>
              <w:rPr>
                <w:rFonts w:ascii="Times New Roman"/>
                <w:spacing w:val="-5"/>
                <w:sz w:val="21"/>
              </w:rPr>
              <w:t>IMP</w:t>
            </w:r>
          </w:p>
        </w:tc>
        <w:tc>
          <w:tcPr>
            <w:tcW w:w="2399" w:type="dxa"/>
          </w:tcPr>
          <w:p>
            <w:pPr>
              <w:pStyle w:val="TableParagraph"/>
              <w:spacing w:before="39"/>
              <w:ind w:left="107"/>
              <w:rPr>
                <w:rFonts w:ascii="Times New Roman"/>
                <w:sz w:val="21"/>
              </w:rPr>
            </w:pPr>
            <w:r>
              <w:rPr>
                <w:rFonts w:ascii="Times New Roman"/>
                <w:spacing w:val="-5"/>
                <w:sz w:val="21"/>
              </w:rPr>
              <w:t>IMP</w:t>
            </w:r>
          </w:p>
        </w:tc>
      </w:tr>
      <w:tr>
        <w:trPr>
          <w:trHeight w:val="393" w:hRule="atLeast"/>
        </w:trPr>
        <w:tc>
          <w:tcPr>
            <w:tcW w:w="1559" w:type="dxa"/>
          </w:tcPr>
          <w:p>
            <w:pPr>
              <w:pStyle w:val="TableParagraph"/>
              <w:spacing w:before="38"/>
              <w:ind w:left="107"/>
              <w:rPr>
                <w:b/>
                <w:sz w:val="21"/>
              </w:rPr>
            </w:pPr>
            <w:r>
              <w:rPr>
                <w:b/>
                <w:spacing w:val="-6"/>
                <w:sz w:val="21"/>
              </w:rPr>
              <w:t>来源</w:t>
            </w:r>
          </w:p>
        </w:tc>
        <w:tc>
          <w:tcPr>
            <w:tcW w:w="2400" w:type="dxa"/>
          </w:tcPr>
          <w:p>
            <w:pPr>
              <w:pStyle w:val="TableParagraph"/>
              <w:spacing w:before="38"/>
              <w:ind w:left="106"/>
              <w:rPr>
                <w:sz w:val="21"/>
              </w:rPr>
            </w:pPr>
            <w:r>
              <w:rPr>
                <w:spacing w:val="-2"/>
                <w:sz w:val="21"/>
              </w:rPr>
              <w:t>申办者集中提供</w:t>
            </w:r>
          </w:p>
        </w:tc>
        <w:tc>
          <w:tcPr>
            <w:tcW w:w="2399" w:type="dxa"/>
          </w:tcPr>
          <w:p>
            <w:pPr>
              <w:pStyle w:val="TableParagraph"/>
              <w:spacing w:before="38"/>
              <w:ind w:left="106"/>
              <w:rPr>
                <w:sz w:val="21"/>
              </w:rPr>
            </w:pPr>
            <w:r>
              <w:rPr>
                <w:spacing w:val="-2"/>
                <w:sz w:val="21"/>
              </w:rPr>
              <w:t>申办者集中提供</w:t>
            </w:r>
          </w:p>
        </w:tc>
        <w:tc>
          <w:tcPr>
            <w:tcW w:w="2399" w:type="dxa"/>
          </w:tcPr>
          <w:p>
            <w:pPr>
              <w:pStyle w:val="TableParagraph"/>
              <w:spacing w:before="38"/>
              <w:ind w:left="107"/>
              <w:rPr>
                <w:sz w:val="21"/>
              </w:rPr>
            </w:pPr>
            <w:r>
              <w:rPr>
                <w:spacing w:val="-2"/>
                <w:sz w:val="21"/>
              </w:rPr>
              <w:t>申办者集中提供</w:t>
            </w:r>
          </w:p>
        </w:tc>
      </w:tr>
      <w:tr>
        <w:trPr>
          <w:trHeight w:val="980" w:hRule="atLeast"/>
        </w:trPr>
        <w:tc>
          <w:tcPr>
            <w:tcW w:w="1559" w:type="dxa"/>
          </w:tcPr>
          <w:p>
            <w:pPr>
              <w:pStyle w:val="TableParagraph"/>
              <w:spacing w:before="38"/>
              <w:ind w:left="107"/>
              <w:rPr>
                <w:b/>
                <w:sz w:val="21"/>
              </w:rPr>
            </w:pPr>
            <w:r>
              <w:rPr>
                <w:b/>
                <w:spacing w:val="-4"/>
                <w:sz w:val="21"/>
              </w:rPr>
              <w:t>包装和贴签</w:t>
            </w:r>
          </w:p>
        </w:tc>
        <w:tc>
          <w:tcPr>
            <w:tcW w:w="2400" w:type="dxa"/>
          </w:tcPr>
          <w:p>
            <w:pPr>
              <w:pStyle w:val="TableParagraph"/>
              <w:spacing w:line="314" w:lineRule="exact"/>
              <w:ind w:left="106" w:right="97"/>
              <w:jc w:val="both"/>
              <w:rPr>
                <w:rFonts w:ascii="Times New Roman" w:eastAsia="Times New Roman"/>
                <w:sz w:val="21"/>
              </w:rPr>
            </w:pPr>
            <w:r>
              <w:rPr>
                <w:spacing w:val="-2"/>
                <w:sz w:val="21"/>
              </w:rPr>
              <w:t>将采用药盒提供标示量</w:t>
            </w:r>
            <w:r>
              <w:rPr>
                <w:spacing w:val="-14"/>
                <w:sz w:val="21"/>
              </w:rPr>
              <w:t>为 </w:t>
            </w:r>
            <w:r>
              <w:rPr>
                <w:rFonts w:ascii="Times New Roman" w:eastAsia="Times New Roman"/>
                <w:spacing w:val="-8"/>
                <w:sz w:val="21"/>
              </w:rPr>
              <w:t>2</w:t>
            </w:r>
            <w:r>
              <w:rPr>
                <w:rFonts w:ascii="Times New Roman" w:eastAsia="Times New Roman"/>
                <w:spacing w:val="-5"/>
                <w:sz w:val="21"/>
              </w:rPr>
              <w:t> </w:t>
            </w:r>
            <w:r>
              <w:rPr>
                <w:rFonts w:ascii="Times New Roman" w:eastAsia="Times New Roman"/>
                <w:spacing w:val="-8"/>
                <w:sz w:val="21"/>
              </w:rPr>
              <w:t>mL</w:t>
            </w:r>
            <w:r>
              <w:rPr>
                <w:rFonts w:ascii="Times New Roman" w:eastAsia="Times New Roman"/>
                <w:spacing w:val="-5"/>
                <w:sz w:val="21"/>
              </w:rPr>
              <w:t> </w:t>
            </w:r>
            <w:r>
              <w:rPr>
                <w:spacing w:val="-13"/>
                <w:sz w:val="21"/>
              </w:rPr>
              <w:t>的 </w:t>
            </w:r>
            <w:r>
              <w:rPr>
                <w:rFonts w:ascii="Times New Roman" w:eastAsia="Times New Roman"/>
                <w:spacing w:val="-8"/>
                <w:sz w:val="21"/>
              </w:rPr>
              <w:t>APFS</w:t>
            </w:r>
            <w:r>
              <w:rPr>
                <w:rFonts w:ascii="Times New Roman" w:eastAsia="Times New Roman"/>
                <w:spacing w:val="-5"/>
                <w:sz w:val="21"/>
              </w:rPr>
              <w:t> </w:t>
            </w:r>
            <w:r>
              <w:rPr>
                <w:spacing w:val="-8"/>
                <w:sz w:val="21"/>
              </w:rPr>
              <w:t>装研究</w:t>
            </w:r>
            <w:r>
              <w:rPr>
                <w:spacing w:val="12"/>
                <w:sz w:val="21"/>
              </w:rPr>
              <w:t>干预药物。每个 </w:t>
            </w:r>
            <w:r>
              <w:rPr>
                <w:rFonts w:ascii="Times New Roman" w:eastAsia="Times New Roman"/>
                <w:spacing w:val="-4"/>
                <w:sz w:val="21"/>
              </w:rPr>
              <w:t>APFS</w:t>
            </w:r>
          </w:p>
        </w:tc>
        <w:tc>
          <w:tcPr>
            <w:tcW w:w="2399" w:type="dxa"/>
          </w:tcPr>
          <w:p>
            <w:pPr>
              <w:pStyle w:val="TableParagraph"/>
              <w:spacing w:line="314" w:lineRule="exact"/>
              <w:ind w:left="106" w:right="97"/>
              <w:jc w:val="both"/>
              <w:rPr>
                <w:rFonts w:ascii="Times New Roman" w:eastAsia="Times New Roman"/>
                <w:sz w:val="21"/>
              </w:rPr>
            </w:pPr>
            <w:r>
              <w:rPr>
                <w:spacing w:val="-2"/>
                <w:sz w:val="21"/>
              </w:rPr>
              <w:t>将采用药盒提供标示量</w:t>
            </w:r>
            <w:r>
              <w:rPr>
                <w:spacing w:val="-14"/>
                <w:sz w:val="21"/>
              </w:rPr>
              <w:t>为 </w:t>
            </w:r>
            <w:r>
              <w:rPr>
                <w:rFonts w:ascii="Times New Roman" w:eastAsia="Times New Roman"/>
                <w:spacing w:val="-8"/>
                <w:sz w:val="21"/>
              </w:rPr>
              <w:t>2</w:t>
            </w:r>
            <w:r>
              <w:rPr>
                <w:rFonts w:ascii="Times New Roman" w:eastAsia="Times New Roman"/>
                <w:spacing w:val="-5"/>
                <w:sz w:val="21"/>
              </w:rPr>
              <w:t> </w:t>
            </w:r>
            <w:r>
              <w:rPr>
                <w:rFonts w:ascii="Times New Roman" w:eastAsia="Times New Roman"/>
                <w:spacing w:val="-8"/>
                <w:sz w:val="21"/>
              </w:rPr>
              <w:t>mL</w:t>
            </w:r>
            <w:r>
              <w:rPr>
                <w:rFonts w:ascii="Times New Roman" w:eastAsia="Times New Roman"/>
                <w:spacing w:val="-5"/>
                <w:sz w:val="21"/>
              </w:rPr>
              <w:t> </w:t>
            </w:r>
            <w:r>
              <w:rPr>
                <w:spacing w:val="-13"/>
                <w:sz w:val="21"/>
              </w:rPr>
              <w:t>的 </w:t>
            </w:r>
            <w:r>
              <w:rPr>
                <w:rFonts w:ascii="Times New Roman" w:eastAsia="Times New Roman"/>
                <w:spacing w:val="-8"/>
                <w:sz w:val="21"/>
              </w:rPr>
              <w:t>APFS</w:t>
            </w:r>
            <w:r>
              <w:rPr>
                <w:rFonts w:ascii="Times New Roman" w:eastAsia="Times New Roman"/>
                <w:spacing w:val="-5"/>
                <w:sz w:val="21"/>
              </w:rPr>
              <w:t> </w:t>
            </w:r>
            <w:r>
              <w:rPr>
                <w:spacing w:val="-8"/>
                <w:sz w:val="21"/>
              </w:rPr>
              <w:t>装研究</w:t>
            </w:r>
            <w:r>
              <w:rPr>
                <w:spacing w:val="12"/>
                <w:sz w:val="21"/>
              </w:rPr>
              <w:t>干预药物。每个 </w:t>
            </w:r>
            <w:r>
              <w:rPr>
                <w:rFonts w:ascii="Times New Roman" w:eastAsia="Times New Roman"/>
                <w:spacing w:val="-4"/>
                <w:sz w:val="21"/>
              </w:rPr>
              <w:t>APFS</w:t>
            </w:r>
          </w:p>
        </w:tc>
        <w:tc>
          <w:tcPr>
            <w:tcW w:w="2399" w:type="dxa"/>
          </w:tcPr>
          <w:p>
            <w:pPr>
              <w:pStyle w:val="TableParagraph"/>
              <w:spacing w:line="314" w:lineRule="exact"/>
              <w:ind w:left="107" w:right="97"/>
              <w:jc w:val="both"/>
              <w:rPr>
                <w:rFonts w:ascii="Times New Roman" w:eastAsia="Times New Roman"/>
                <w:sz w:val="21"/>
              </w:rPr>
            </w:pPr>
            <w:r>
              <w:rPr>
                <w:spacing w:val="-2"/>
                <w:sz w:val="21"/>
              </w:rPr>
              <w:t>将采用药盒提供标示量</w:t>
            </w:r>
            <w:r>
              <w:rPr>
                <w:spacing w:val="-14"/>
                <w:sz w:val="21"/>
              </w:rPr>
              <w:t>为 </w:t>
            </w:r>
            <w:r>
              <w:rPr>
                <w:rFonts w:ascii="Times New Roman" w:eastAsia="Times New Roman"/>
                <w:spacing w:val="-8"/>
                <w:sz w:val="21"/>
              </w:rPr>
              <w:t>2</w:t>
            </w:r>
            <w:r>
              <w:rPr>
                <w:rFonts w:ascii="Times New Roman" w:eastAsia="Times New Roman"/>
                <w:spacing w:val="-5"/>
                <w:sz w:val="21"/>
              </w:rPr>
              <w:t> </w:t>
            </w:r>
            <w:r>
              <w:rPr>
                <w:rFonts w:ascii="Times New Roman" w:eastAsia="Times New Roman"/>
                <w:spacing w:val="-8"/>
                <w:sz w:val="21"/>
              </w:rPr>
              <w:t>mL</w:t>
            </w:r>
            <w:r>
              <w:rPr>
                <w:rFonts w:ascii="Times New Roman" w:eastAsia="Times New Roman"/>
                <w:spacing w:val="-5"/>
                <w:sz w:val="21"/>
              </w:rPr>
              <w:t> </w:t>
            </w:r>
            <w:r>
              <w:rPr>
                <w:spacing w:val="-13"/>
                <w:sz w:val="21"/>
              </w:rPr>
              <w:t>的 </w:t>
            </w:r>
            <w:r>
              <w:rPr>
                <w:rFonts w:ascii="Times New Roman" w:eastAsia="Times New Roman"/>
                <w:spacing w:val="-8"/>
                <w:sz w:val="21"/>
              </w:rPr>
              <w:t>APFS</w:t>
            </w:r>
            <w:r>
              <w:rPr>
                <w:rFonts w:ascii="Times New Roman" w:eastAsia="Times New Roman"/>
                <w:spacing w:val="-5"/>
                <w:sz w:val="21"/>
              </w:rPr>
              <w:t> </w:t>
            </w:r>
            <w:r>
              <w:rPr>
                <w:spacing w:val="-8"/>
                <w:sz w:val="21"/>
              </w:rPr>
              <w:t>装研究</w:t>
            </w:r>
            <w:r>
              <w:rPr>
                <w:spacing w:val="12"/>
                <w:sz w:val="21"/>
              </w:rPr>
              <w:t>干预药物。每个 </w:t>
            </w:r>
            <w:r>
              <w:rPr>
                <w:rFonts w:ascii="Times New Roman" w:eastAsia="Times New Roman"/>
                <w:spacing w:val="-4"/>
                <w:sz w:val="21"/>
              </w:rPr>
              <w:t>APFS</w:t>
            </w:r>
          </w:p>
        </w:tc>
      </w:tr>
    </w:tbl>
    <w:p>
      <w:pPr>
        <w:spacing w:after="0" w:line="314" w:lineRule="exact"/>
        <w:jc w:val="both"/>
        <w:rPr>
          <w:rFonts w:ascii="Times New Roman" w:eastAsia="Times New Roman"/>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9"/>
        <w:gridCol w:w="2400"/>
        <w:gridCol w:w="2399"/>
        <w:gridCol w:w="2399"/>
      </w:tblGrid>
      <w:tr>
        <w:trPr>
          <w:trHeight w:val="2859" w:hRule="atLeast"/>
        </w:trPr>
        <w:tc>
          <w:tcPr>
            <w:tcW w:w="1559" w:type="dxa"/>
          </w:tcPr>
          <w:p>
            <w:pPr>
              <w:pStyle w:val="TableParagraph"/>
              <w:rPr>
                <w:rFonts w:ascii="Times New Roman"/>
                <w:sz w:val="22"/>
              </w:rPr>
            </w:pPr>
          </w:p>
        </w:tc>
        <w:tc>
          <w:tcPr>
            <w:tcW w:w="2400" w:type="dxa"/>
          </w:tcPr>
          <w:p>
            <w:pPr>
              <w:pStyle w:val="TableParagraph"/>
              <w:spacing w:line="276" w:lineRule="auto"/>
              <w:ind w:left="106" w:right="86"/>
              <w:jc w:val="both"/>
              <w:rPr>
                <w:sz w:val="21"/>
              </w:rPr>
            </w:pPr>
            <w:r>
              <w:rPr>
                <w:spacing w:val="-2"/>
                <w:sz w:val="21"/>
              </w:rPr>
              <w:t>和药盒贴有标签，按照 </w:t>
            </w:r>
            <w:r>
              <w:rPr>
                <w:rFonts w:ascii="Times New Roman" w:eastAsia="Times New Roman"/>
                <w:sz w:val="21"/>
              </w:rPr>
              <w:t>GMP</w:t>
            </w:r>
            <w:r>
              <w:rPr>
                <w:rFonts w:ascii="Times New Roman" w:eastAsia="Times New Roman"/>
                <w:spacing w:val="-14"/>
                <w:sz w:val="21"/>
              </w:rPr>
              <w:t> </w:t>
            </w:r>
            <w:r>
              <w:rPr>
                <w:sz w:val="21"/>
              </w:rPr>
              <w:t>和当地药政监管要</w:t>
            </w:r>
            <w:r>
              <w:rPr>
                <w:spacing w:val="-2"/>
                <w:sz w:val="21"/>
              </w:rPr>
              <w:t>求制作标签。药盒将包含唯一编码，编码印刷</w:t>
            </w:r>
            <w:r>
              <w:rPr>
                <w:spacing w:val="-1"/>
                <w:sz w:val="21"/>
              </w:rPr>
              <w:t>在药盒内的所有标签上</w:t>
            </w:r>
          </w:p>
          <w:p>
            <w:pPr>
              <w:pStyle w:val="TableParagraph"/>
              <w:spacing w:line="276" w:lineRule="auto"/>
              <w:ind w:left="106" w:right="97" w:hanging="105"/>
              <w:jc w:val="both"/>
              <w:rPr>
                <w:sz w:val="21"/>
              </w:rPr>
            </w:pPr>
            <w:r>
              <w:rPr>
                <w:sz w:val="21"/>
              </w:rPr>
              <w:t>（</w:t>
            </w:r>
            <w:r>
              <w:rPr>
                <w:spacing w:val="29"/>
                <w:sz w:val="21"/>
              </w:rPr>
              <w:t> 即外箱标签和箱内</w:t>
            </w:r>
            <w:r>
              <w:rPr>
                <w:sz w:val="21"/>
              </w:rPr>
              <w:t> </w:t>
            </w:r>
            <w:r>
              <w:rPr>
                <w:rFonts w:ascii="Times New Roman" w:eastAsia="Times New Roman"/>
                <w:sz w:val="21"/>
              </w:rPr>
              <w:t>APFS </w:t>
            </w:r>
            <w:r>
              <w:rPr>
                <w:spacing w:val="19"/>
                <w:sz w:val="21"/>
              </w:rPr>
              <w:t>标签</w:t>
            </w:r>
            <w:r>
              <w:rPr>
                <w:spacing w:val="18"/>
                <w:sz w:val="21"/>
              </w:rPr>
              <w:t>）</w:t>
            </w:r>
            <w:r>
              <w:rPr>
                <w:spacing w:val="12"/>
                <w:sz w:val="21"/>
              </w:rPr>
              <w:t>。将根据</w:t>
            </w:r>
            <w:r>
              <w:rPr>
                <w:sz w:val="21"/>
              </w:rPr>
              <w:t> </w:t>
            </w:r>
            <w:r>
              <w:rPr>
                <w:rFonts w:ascii="Times New Roman" w:eastAsia="Times New Roman"/>
                <w:sz w:val="21"/>
              </w:rPr>
              <w:t>GMP</w:t>
            </w:r>
            <w:r>
              <w:rPr>
                <w:rFonts w:ascii="Times New Roman" w:eastAsia="Times New Roman"/>
                <w:spacing w:val="-14"/>
                <w:sz w:val="21"/>
              </w:rPr>
              <w:t> </w:t>
            </w:r>
            <w:r>
              <w:rPr>
                <w:sz w:val="21"/>
              </w:rPr>
              <w:t>和当地法规要求制</w:t>
            </w:r>
            <w:r>
              <w:rPr>
                <w:spacing w:val="-4"/>
                <w:sz w:val="21"/>
              </w:rPr>
              <w:t>作标签。</w:t>
            </w:r>
          </w:p>
        </w:tc>
        <w:tc>
          <w:tcPr>
            <w:tcW w:w="2399" w:type="dxa"/>
          </w:tcPr>
          <w:p>
            <w:pPr>
              <w:pStyle w:val="TableParagraph"/>
              <w:spacing w:line="276" w:lineRule="auto"/>
              <w:ind w:left="106" w:right="86"/>
              <w:jc w:val="both"/>
              <w:rPr>
                <w:sz w:val="21"/>
              </w:rPr>
            </w:pPr>
            <w:r>
              <w:rPr>
                <w:sz w:val="21"/>
              </w:rPr>
              <w:t>和药盒贴有标签，按照 </w:t>
            </w:r>
            <w:r>
              <w:rPr>
                <w:rFonts w:ascii="Times New Roman" w:eastAsia="Times New Roman"/>
                <w:sz w:val="21"/>
              </w:rPr>
              <w:t>GMP</w:t>
            </w:r>
            <w:r>
              <w:rPr>
                <w:rFonts w:ascii="Times New Roman" w:eastAsia="Times New Roman"/>
                <w:spacing w:val="-14"/>
                <w:sz w:val="21"/>
              </w:rPr>
              <w:t> </w:t>
            </w:r>
            <w:r>
              <w:rPr>
                <w:sz w:val="21"/>
              </w:rPr>
              <w:t>和当地药政监管要</w:t>
            </w:r>
            <w:r>
              <w:rPr>
                <w:spacing w:val="-2"/>
                <w:sz w:val="21"/>
              </w:rPr>
              <w:t>求制作标签。药盒将包含唯一编码，编码印刷</w:t>
            </w:r>
            <w:r>
              <w:rPr>
                <w:spacing w:val="-1"/>
                <w:sz w:val="21"/>
              </w:rPr>
              <w:t>在药盒内的所有标签上</w:t>
            </w:r>
          </w:p>
          <w:p>
            <w:pPr>
              <w:pStyle w:val="TableParagraph"/>
              <w:spacing w:line="276" w:lineRule="auto"/>
              <w:ind w:left="106" w:right="97" w:hanging="105"/>
              <w:jc w:val="both"/>
              <w:rPr>
                <w:sz w:val="21"/>
              </w:rPr>
            </w:pPr>
            <w:r>
              <w:rPr>
                <w:sz w:val="21"/>
              </w:rPr>
              <w:t>（</w:t>
            </w:r>
            <w:r>
              <w:rPr>
                <w:spacing w:val="29"/>
                <w:sz w:val="21"/>
              </w:rPr>
              <w:t> 即外箱标签和箱内</w:t>
            </w:r>
            <w:r>
              <w:rPr>
                <w:sz w:val="21"/>
              </w:rPr>
              <w:t> </w:t>
            </w:r>
            <w:r>
              <w:rPr>
                <w:rFonts w:ascii="Times New Roman" w:eastAsia="Times New Roman"/>
                <w:sz w:val="21"/>
              </w:rPr>
              <w:t>APFS </w:t>
            </w:r>
            <w:r>
              <w:rPr>
                <w:spacing w:val="17"/>
                <w:sz w:val="21"/>
              </w:rPr>
              <w:t>标签）</w:t>
            </w:r>
            <w:r>
              <w:rPr>
                <w:spacing w:val="12"/>
                <w:sz w:val="21"/>
              </w:rPr>
              <w:t>。将根据</w:t>
            </w:r>
            <w:r>
              <w:rPr>
                <w:sz w:val="21"/>
              </w:rPr>
              <w:t> </w:t>
            </w:r>
            <w:r>
              <w:rPr>
                <w:rFonts w:ascii="Times New Roman" w:eastAsia="Times New Roman"/>
                <w:sz w:val="21"/>
              </w:rPr>
              <w:t>GMP</w:t>
            </w:r>
            <w:r>
              <w:rPr>
                <w:rFonts w:ascii="Times New Roman" w:eastAsia="Times New Roman"/>
                <w:spacing w:val="-14"/>
                <w:sz w:val="21"/>
              </w:rPr>
              <w:t> </w:t>
            </w:r>
            <w:r>
              <w:rPr>
                <w:sz w:val="21"/>
              </w:rPr>
              <w:t>和当地法规要求制</w:t>
            </w:r>
            <w:r>
              <w:rPr>
                <w:spacing w:val="-4"/>
                <w:sz w:val="21"/>
              </w:rPr>
              <w:t>作标签。</w:t>
            </w:r>
          </w:p>
        </w:tc>
        <w:tc>
          <w:tcPr>
            <w:tcW w:w="2399" w:type="dxa"/>
          </w:tcPr>
          <w:p>
            <w:pPr>
              <w:pStyle w:val="TableParagraph"/>
              <w:spacing w:line="276" w:lineRule="auto"/>
              <w:ind w:left="107" w:right="86"/>
              <w:jc w:val="both"/>
              <w:rPr>
                <w:sz w:val="21"/>
              </w:rPr>
            </w:pPr>
            <w:r>
              <w:rPr>
                <w:spacing w:val="-2"/>
                <w:sz w:val="21"/>
              </w:rPr>
              <w:t>和药盒贴有标签，按照 </w:t>
            </w:r>
            <w:r>
              <w:rPr>
                <w:rFonts w:ascii="Times New Roman" w:eastAsia="Times New Roman"/>
                <w:sz w:val="21"/>
              </w:rPr>
              <w:t>GMP</w:t>
            </w:r>
            <w:r>
              <w:rPr>
                <w:rFonts w:ascii="Times New Roman" w:eastAsia="Times New Roman"/>
                <w:spacing w:val="-14"/>
                <w:sz w:val="21"/>
              </w:rPr>
              <w:t> </w:t>
            </w:r>
            <w:r>
              <w:rPr>
                <w:sz w:val="21"/>
              </w:rPr>
              <w:t>和当地药政监管要</w:t>
            </w:r>
            <w:r>
              <w:rPr>
                <w:spacing w:val="-2"/>
                <w:sz w:val="21"/>
              </w:rPr>
              <w:t>求制作标签。药盒将包含唯一编码，编码印刷</w:t>
            </w:r>
            <w:r>
              <w:rPr>
                <w:spacing w:val="-1"/>
                <w:sz w:val="21"/>
              </w:rPr>
              <w:t>在药盒内的所有标签上</w:t>
            </w:r>
          </w:p>
          <w:p>
            <w:pPr>
              <w:pStyle w:val="TableParagraph"/>
              <w:spacing w:line="276" w:lineRule="auto"/>
              <w:ind w:left="107" w:right="97" w:hanging="105"/>
              <w:jc w:val="both"/>
              <w:rPr>
                <w:sz w:val="21"/>
              </w:rPr>
            </w:pPr>
            <w:r>
              <w:rPr>
                <w:sz w:val="21"/>
              </w:rPr>
              <w:t>（</w:t>
            </w:r>
            <w:r>
              <w:rPr>
                <w:spacing w:val="29"/>
                <w:sz w:val="21"/>
              </w:rPr>
              <w:t> 即外箱标签和箱内</w:t>
            </w:r>
            <w:r>
              <w:rPr>
                <w:sz w:val="21"/>
              </w:rPr>
              <w:t> </w:t>
            </w:r>
            <w:r>
              <w:rPr>
                <w:rFonts w:ascii="Times New Roman" w:eastAsia="Times New Roman"/>
                <w:sz w:val="21"/>
              </w:rPr>
              <w:t>APFS </w:t>
            </w:r>
            <w:r>
              <w:rPr>
                <w:spacing w:val="17"/>
                <w:sz w:val="21"/>
              </w:rPr>
              <w:t>标签）</w:t>
            </w:r>
            <w:r>
              <w:rPr>
                <w:spacing w:val="12"/>
                <w:sz w:val="21"/>
              </w:rPr>
              <w:t>。将根据</w:t>
            </w:r>
            <w:r>
              <w:rPr>
                <w:sz w:val="21"/>
              </w:rPr>
              <w:t> </w:t>
            </w:r>
            <w:r>
              <w:rPr>
                <w:rFonts w:ascii="Times New Roman" w:eastAsia="Times New Roman"/>
                <w:sz w:val="21"/>
              </w:rPr>
              <w:t>GMP</w:t>
            </w:r>
            <w:r>
              <w:rPr>
                <w:rFonts w:ascii="Times New Roman" w:eastAsia="Times New Roman"/>
                <w:spacing w:val="-14"/>
                <w:sz w:val="21"/>
              </w:rPr>
              <w:t> </w:t>
            </w:r>
            <w:r>
              <w:rPr>
                <w:sz w:val="21"/>
              </w:rPr>
              <w:t>和当地法规要求制</w:t>
            </w:r>
            <w:r>
              <w:rPr>
                <w:spacing w:val="-4"/>
                <w:sz w:val="21"/>
              </w:rPr>
              <w:t>作标签。</w:t>
            </w:r>
          </w:p>
        </w:tc>
      </w:tr>
    </w:tbl>
    <w:p>
      <w:pPr>
        <w:spacing w:before="38"/>
        <w:ind w:left="221" w:right="0" w:firstLine="0"/>
        <w:jc w:val="left"/>
        <w:rPr>
          <w:sz w:val="21"/>
        </w:rPr>
      </w:pPr>
      <w:r>
        <w:rPr>
          <w:spacing w:val="-6"/>
          <w:sz w:val="21"/>
        </w:rPr>
        <w:t>注：治疗期分别持续 </w:t>
      </w:r>
      <w:r>
        <w:rPr>
          <w:rFonts w:ascii="Times New Roman" w:eastAsia="Times New Roman"/>
          <w:sz w:val="21"/>
        </w:rPr>
        <w:t>28</w:t>
      </w:r>
      <w:r>
        <w:rPr>
          <w:rFonts w:ascii="Times New Roman" w:eastAsia="Times New Roman"/>
          <w:spacing w:val="-14"/>
          <w:sz w:val="21"/>
        </w:rPr>
        <w:t> </w:t>
      </w:r>
      <w:r>
        <w:rPr>
          <w:spacing w:val="-18"/>
          <w:sz w:val="21"/>
        </w:rPr>
        <w:t>周或 </w:t>
      </w:r>
      <w:r>
        <w:rPr>
          <w:rFonts w:ascii="Times New Roman" w:eastAsia="Times New Roman"/>
          <w:sz w:val="21"/>
        </w:rPr>
        <w:t>52</w:t>
      </w:r>
      <w:r>
        <w:rPr>
          <w:rFonts w:ascii="Times New Roman" w:eastAsia="Times New Roman"/>
          <w:spacing w:val="-10"/>
          <w:sz w:val="21"/>
        </w:rPr>
        <w:t> </w:t>
      </w:r>
      <w:r>
        <w:rPr>
          <w:sz w:val="21"/>
        </w:rPr>
        <w:t>周（</w:t>
      </w:r>
      <w:r>
        <w:rPr>
          <w:spacing w:val="-11"/>
          <w:sz w:val="21"/>
        </w:rPr>
        <w:t>详情见第 </w:t>
      </w:r>
      <w:hyperlink w:history="true" w:anchor="_bookmark25">
        <w:r>
          <w:rPr>
            <w:rFonts w:ascii="Times New Roman" w:eastAsia="Times New Roman"/>
            <w:color w:val="0000FF"/>
            <w:sz w:val="21"/>
          </w:rPr>
          <w:t>4.1.2</w:t>
        </w:r>
      </w:hyperlink>
      <w:r>
        <w:rPr>
          <w:rFonts w:ascii="Times New Roman" w:eastAsia="Times New Roman"/>
          <w:color w:val="0000FF"/>
          <w:spacing w:val="-11"/>
          <w:sz w:val="21"/>
        </w:rPr>
        <w:t> </w:t>
      </w:r>
      <w:r>
        <w:rPr>
          <w:sz w:val="21"/>
        </w:rPr>
        <w:t>节）</w:t>
      </w:r>
      <w:r>
        <w:rPr>
          <w:spacing w:val="-10"/>
          <w:sz w:val="21"/>
        </w:rPr>
        <w:t>。</w:t>
      </w:r>
    </w:p>
    <w:p>
      <w:pPr>
        <w:spacing w:line="256" w:lineRule="auto" w:before="61"/>
        <w:ind w:left="221" w:right="352" w:firstLine="0"/>
        <w:jc w:val="left"/>
        <w:rPr>
          <w:sz w:val="21"/>
        </w:rPr>
      </w:pPr>
      <w:r>
        <w:rPr>
          <w:rFonts w:ascii="Times New Roman" w:eastAsia="Times New Roman"/>
          <w:spacing w:val="-1"/>
          <w:sz w:val="21"/>
        </w:rPr>
        <w:t>APF</w:t>
      </w:r>
      <w:r>
        <w:rPr>
          <w:rFonts w:ascii="Times New Roman" w:eastAsia="Times New Roman"/>
          <w:spacing w:val="4"/>
          <w:sz w:val="21"/>
        </w:rPr>
        <w:t>S</w:t>
      </w:r>
      <w:r>
        <w:rPr>
          <w:spacing w:val="4"/>
          <w:sz w:val="21"/>
        </w:rPr>
        <w:t>，带配件的预充式注射器；</w:t>
      </w:r>
      <w:r>
        <w:rPr>
          <w:rFonts w:ascii="Times New Roman" w:eastAsia="Times New Roman"/>
          <w:spacing w:val="-1"/>
          <w:sz w:val="21"/>
        </w:rPr>
        <w:t>G</w:t>
      </w:r>
      <w:r>
        <w:rPr>
          <w:rFonts w:ascii="Times New Roman" w:eastAsia="Times New Roman"/>
          <w:spacing w:val="-2"/>
          <w:sz w:val="21"/>
        </w:rPr>
        <w:t>M</w:t>
      </w:r>
      <w:r>
        <w:rPr>
          <w:rFonts w:ascii="Times New Roman" w:eastAsia="Times New Roman"/>
          <w:spacing w:val="4"/>
          <w:sz w:val="21"/>
        </w:rPr>
        <w:t>P</w:t>
      </w:r>
      <w:r>
        <w:rPr>
          <w:spacing w:val="4"/>
          <w:sz w:val="21"/>
        </w:rPr>
        <w:t>，药品生产质量管理规范；</w:t>
      </w:r>
      <w:r>
        <w:rPr>
          <w:rFonts w:ascii="Times New Roman" w:eastAsia="Times New Roman"/>
          <w:spacing w:val="-1"/>
          <w:sz w:val="21"/>
        </w:rPr>
        <w:t>IM</w:t>
      </w:r>
      <w:r>
        <w:rPr>
          <w:rFonts w:ascii="Times New Roman" w:eastAsia="Times New Roman"/>
          <w:spacing w:val="4"/>
          <w:sz w:val="21"/>
        </w:rPr>
        <w:t>P</w:t>
      </w:r>
      <w:r>
        <w:rPr>
          <w:spacing w:val="4"/>
          <w:sz w:val="21"/>
        </w:rPr>
        <w:t>，研究药物；</w:t>
      </w:r>
      <w:r>
        <w:rPr>
          <w:rFonts w:ascii="Times New Roman" w:eastAsia="Times New Roman"/>
          <w:sz w:val="21"/>
        </w:rPr>
        <w:t>N</w:t>
      </w:r>
      <w:r>
        <w:rPr>
          <w:rFonts w:ascii="Times New Roman" w:eastAsia="Times New Roman"/>
          <w:spacing w:val="-1"/>
          <w:sz w:val="21"/>
        </w:rPr>
        <w:t>IM</w:t>
      </w:r>
      <w:r>
        <w:rPr>
          <w:rFonts w:ascii="Times New Roman" w:eastAsia="Times New Roman"/>
          <w:spacing w:val="4"/>
          <w:sz w:val="21"/>
        </w:rPr>
        <w:t>P</w:t>
      </w:r>
      <w:r>
        <w:rPr>
          <w:spacing w:val="6"/>
          <w:sz w:val="21"/>
        </w:rPr>
        <w:t>，非</w:t>
      </w:r>
      <w:r>
        <w:rPr>
          <w:sz w:val="21"/>
        </w:rPr>
        <w:t>研究药物；</w:t>
      </w:r>
      <w:r>
        <w:rPr>
          <w:rFonts w:ascii="Times New Roman" w:eastAsia="Times New Roman"/>
          <w:sz w:val="21"/>
        </w:rPr>
        <w:t>Q4</w:t>
      </w:r>
      <w:r>
        <w:rPr>
          <w:rFonts w:ascii="Times New Roman" w:eastAsia="Times New Roman"/>
          <w:spacing w:val="-1"/>
          <w:sz w:val="21"/>
        </w:rPr>
        <w:t>W</w:t>
      </w:r>
      <w:r>
        <w:rPr>
          <w:spacing w:val="-18"/>
          <w:sz w:val="21"/>
        </w:rPr>
        <w:t>，每 </w:t>
      </w:r>
      <w:r>
        <w:rPr>
          <w:rFonts w:ascii="Times New Roman" w:eastAsia="Times New Roman"/>
          <w:sz w:val="21"/>
        </w:rPr>
        <w:t>4</w:t>
      </w:r>
      <w:r>
        <w:rPr>
          <w:rFonts w:ascii="Times New Roman" w:eastAsia="Times New Roman"/>
          <w:spacing w:val="-10"/>
          <w:sz w:val="21"/>
        </w:rPr>
        <w:t> </w:t>
      </w:r>
      <w:r>
        <w:rPr>
          <w:spacing w:val="-1"/>
          <w:sz w:val="21"/>
        </w:rPr>
        <w:t>周一次；</w:t>
      </w:r>
      <w:r>
        <w:rPr>
          <w:rFonts w:ascii="Times New Roman" w:eastAsia="Times New Roman"/>
          <w:sz w:val="21"/>
        </w:rPr>
        <w:t>Q8</w:t>
      </w:r>
      <w:r>
        <w:rPr>
          <w:rFonts w:ascii="Times New Roman" w:eastAsia="Times New Roman"/>
          <w:spacing w:val="-1"/>
          <w:sz w:val="21"/>
        </w:rPr>
        <w:t>W</w:t>
      </w:r>
      <w:r>
        <w:rPr>
          <w:spacing w:val="-18"/>
          <w:sz w:val="21"/>
        </w:rPr>
        <w:t>，每 </w:t>
      </w:r>
      <w:r>
        <w:rPr>
          <w:rFonts w:ascii="Times New Roman" w:eastAsia="Times New Roman"/>
          <w:sz w:val="21"/>
        </w:rPr>
        <w:t>8</w:t>
      </w:r>
      <w:r>
        <w:rPr>
          <w:rFonts w:ascii="Times New Roman" w:eastAsia="Times New Roman"/>
          <w:spacing w:val="-10"/>
          <w:sz w:val="21"/>
        </w:rPr>
        <w:t> </w:t>
      </w:r>
      <w:r>
        <w:rPr>
          <w:spacing w:val="-1"/>
          <w:sz w:val="21"/>
        </w:rPr>
        <w:t>周一次；</w:t>
      </w:r>
      <w:r>
        <w:rPr>
          <w:rFonts w:ascii="Times New Roman" w:eastAsia="Times New Roman"/>
          <w:spacing w:val="-1"/>
          <w:sz w:val="21"/>
        </w:rPr>
        <w:t>S</w:t>
      </w:r>
      <w:r>
        <w:rPr>
          <w:rFonts w:ascii="Times New Roman" w:eastAsia="Times New Roman"/>
          <w:sz w:val="21"/>
        </w:rPr>
        <w:t>C</w:t>
      </w:r>
      <w:r>
        <w:rPr>
          <w:sz w:val="21"/>
        </w:rPr>
        <w:t>，皮下。</w:t>
      </w:r>
    </w:p>
    <w:p>
      <w:pPr>
        <w:pStyle w:val="BodyText"/>
        <w:spacing w:before="165"/>
        <w:ind w:left="0"/>
        <w:rPr>
          <w:sz w:val="21"/>
        </w:rPr>
      </w:pPr>
    </w:p>
    <w:p>
      <w:pPr>
        <w:pStyle w:val="Heading2"/>
        <w:numPr>
          <w:ilvl w:val="2"/>
          <w:numId w:val="3"/>
        </w:numPr>
        <w:tabs>
          <w:tab w:pos="1373" w:val="left" w:leader="none"/>
        </w:tabs>
        <w:spacing w:line="240" w:lineRule="auto" w:before="0" w:after="0"/>
        <w:ind w:left="1373" w:right="0" w:hanging="1152"/>
        <w:jc w:val="left"/>
      </w:pPr>
      <w:bookmarkStart w:name="6.1.2 研究药物给药的重新安排" w:id="95"/>
      <w:bookmarkEnd w:id="95"/>
      <w:r>
        <w:rPr>
          <w:b w:val="0"/>
        </w:rPr>
      </w:r>
      <w:bookmarkStart w:name="_bookmark50" w:id="96"/>
      <w:bookmarkEnd w:id="96"/>
      <w:r>
        <w:rPr>
          <w:b w:val="0"/>
        </w:rPr>
      </w:r>
      <w:r>
        <w:rPr>
          <w:spacing w:val="-5"/>
        </w:rPr>
        <w:t>研究药物给药的重新安排</w:t>
      </w:r>
    </w:p>
    <w:p>
      <w:pPr>
        <w:pStyle w:val="BodyText"/>
        <w:spacing w:before="121"/>
        <w:ind w:left="701"/>
      </w:pPr>
      <w:r>
        <w:rPr>
          <w:spacing w:val="-5"/>
        </w:rPr>
        <w:t>应尽一切努力在访视窗内进行 </w:t>
      </w:r>
      <w:r>
        <w:rPr>
          <w:rFonts w:ascii="Times New Roman" w:eastAsia="Times New Roman"/>
        </w:rPr>
        <w:t>IP</w:t>
      </w:r>
      <w:r>
        <w:rPr>
          <w:rFonts w:ascii="Times New Roman" w:eastAsia="Times New Roman"/>
          <w:spacing w:val="-13"/>
        </w:rPr>
        <w:t> </w:t>
      </w:r>
      <w:r>
        <w:rPr>
          <w:spacing w:val="-4"/>
        </w:rPr>
        <w:t>给药。</w:t>
      </w:r>
    </w:p>
    <w:p>
      <w:pPr>
        <w:pStyle w:val="BodyText"/>
        <w:spacing w:line="276" w:lineRule="auto" w:before="285"/>
        <w:ind w:right="357" w:firstLine="480"/>
      </w:pPr>
      <w:r>
        <w:rPr>
          <w:spacing w:val="-2"/>
        </w:rPr>
        <w:t>如果受试者出现禁忌用药的情况，则应暂停 </w:t>
      </w:r>
      <w:r>
        <w:rPr>
          <w:rFonts w:ascii="Times New Roman" w:eastAsia="Times New Roman"/>
        </w:rPr>
        <w:t>IP</w:t>
      </w:r>
      <w:r>
        <w:rPr>
          <w:rFonts w:ascii="Times New Roman" w:eastAsia="Times New Roman"/>
          <w:spacing w:val="-15"/>
        </w:rPr>
        <w:t> </w:t>
      </w:r>
      <w:r>
        <w:rPr/>
        <w:t>给药，并在禁忌情况解除后尽快</w:t>
      </w:r>
      <w:r>
        <w:rPr>
          <w:spacing w:val="-4"/>
        </w:rPr>
        <w:t>给药。</w:t>
      </w:r>
    </w:p>
    <w:p>
      <w:pPr>
        <w:pStyle w:val="BodyText"/>
        <w:spacing w:line="276" w:lineRule="auto" w:before="239"/>
        <w:ind w:right="116" w:firstLine="480"/>
      </w:pPr>
      <w:r>
        <w:rPr/>
        <w:t>如果出现如下情况，应停止 </w:t>
      </w:r>
      <w:r>
        <w:rPr>
          <w:rFonts w:ascii="Times New Roman" w:eastAsia="Times New Roman"/>
        </w:rPr>
        <w:t>IP</w:t>
      </w:r>
      <w:r>
        <w:rPr>
          <w:rFonts w:ascii="Times New Roman" w:eastAsia="Times New Roman"/>
          <w:spacing w:val="40"/>
        </w:rPr>
        <w:t> </w:t>
      </w:r>
      <w:r>
        <w:rPr/>
        <w:t>给药，并重新安排给药时间：任何 </w:t>
      </w:r>
      <w:r>
        <w:rPr>
          <w:rFonts w:ascii="Times New Roman" w:eastAsia="Times New Roman"/>
        </w:rPr>
        <w:t>AE</w:t>
      </w:r>
      <w:r>
        <w:rPr/>
        <w:t>、实验室</w:t>
      </w:r>
      <w:r>
        <w:rPr/>
        <w:t> </w:t>
      </w:r>
      <w:r>
        <w:rPr>
          <w:spacing w:val="-2"/>
        </w:rPr>
        <w:t>结果异常或其他诊断结果，研究者或申办者认为应禁止给药，否则可能导致并发症。</w:t>
      </w:r>
    </w:p>
    <w:p>
      <w:pPr>
        <w:pStyle w:val="BodyText"/>
        <w:spacing w:before="238"/>
        <w:ind w:left="701"/>
      </w:pPr>
      <w:r>
        <w:rPr/>
        <w:t>如果出现任何问题，建议联系申办者研究医生</w:t>
      </w:r>
      <w:r>
        <w:rPr>
          <w:rFonts w:ascii="Times New Roman" w:eastAsia="Times New Roman"/>
        </w:rPr>
        <w:t>/</w:t>
      </w:r>
      <w:r>
        <w:rPr>
          <w:spacing w:val="-4"/>
        </w:rPr>
        <w:t>代表。</w:t>
      </w:r>
    </w:p>
    <w:p>
      <w:pPr>
        <w:pStyle w:val="BodyText"/>
        <w:spacing w:line="276" w:lineRule="auto" w:before="286"/>
        <w:ind w:right="357" w:firstLine="480"/>
        <w:jc w:val="both"/>
      </w:pPr>
      <w:r>
        <w:rPr>
          <w:spacing w:val="-2"/>
        </w:rPr>
        <w:t>如果在计划的治疗访视时不能进行 </w:t>
      </w:r>
      <w:r>
        <w:rPr>
          <w:rFonts w:ascii="Times New Roman" w:eastAsia="Times New Roman"/>
        </w:rPr>
        <w:t>IP</w:t>
      </w:r>
      <w:r>
        <w:rPr>
          <w:rFonts w:ascii="Times New Roman" w:eastAsia="Times New Roman"/>
          <w:spacing w:val="-15"/>
        </w:rPr>
        <w:t> </w:t>
      </w:r>
      <w:r>
        <w:rPr/>
        <w:t>给药（如，由于上述列出的情况），可根</w:t>
      </w:r>
      <w:r>
        <w:rPr>
          <w:spacing w:val="-4"/>
        </w:rPr>
        <w:t>据需要推迟并尽快给药，但访视 </w:t>
      </w:r>
      <w:r>
        <w:rPr>
          <w:rFonts w:ascii="Times New Roman" w:eastAsia="Times New Roman"/>
          <w:spacing w:val="-2"/>
        </w:rPr>
        <w:t>1</w:t>
      </w:r>
      <w:r>
        <w:rPr>
          <w:rFonts w:ascii="Times New Roman" w:eastAsia="Times New Roman"/>
          <w:spacing w:val="-13"/>
        </w:rPr>
        <w:t> </w:t>
      </w:r>
      <w:r>
        <w:rPr>
          <w:spacing w:val="-4"/>
        </w:rPr>
        <w:t>除外，在此次访视时应进行 </w:t>
      </w:r>
      <w:r>
        <w:rPr>
          <w:rFonts w:ascii="Times New Roman" w:eastAsia="Times New Roman"/>
          <w:spacing w:val="-2"/>
        </w:rPr>
        <w:t>PROSPERO</w:t>
      </w:r>
      <w:r>
        <w:rPr>
          <w:rFonts w:ascii="Times New Roman" w:eastAsia="Times New Roman"/>
          <w:spacing w:val="-13"/>
        </w:rPr>
        <w:t> </w:t>
      </w:r>
      <w:r>
        <w:rPr>
          <w:spacing w:val="-2"/>
        </w:rPr>
        <w:t>研究的首</w:t>
      </w:r>
      <w:r>
        <w:rPr>
          <w:spacing w:val="-5"/>
        </w:rPr>
        <w:t>次给药。当需要推迟 </w:t>
      </w:r>
      <w:r>
        <w:rPr>
          <w:rFonts w:ascii="Times New Roman" w:eastAsia="Times New Roman"/>
          <w:spacing w:val="-2"/>
        </w:rPr>
        <w:t>IP </w:t>
      </w:r>
      <w:r>
        <w:rPr>
          <w:spacing w:val="-2"/>
        </w:rPr>
        <w:t>给药时，建议所有计划的治疗访视程序（</w:t>
      </w:r>
      <w:r>
        <w:rPr>
          <w:rFonts w:ascii="Times New Roman" w:eastAsia="Times New Roman"/>
          <w:spacing w:val="-2"/>
        </w:rPr>
        <w:t>IP </w:t>
      </w:r>
      <w:r>
        <w:rPr>
          <w:spacing w:val="-2"/>
        </w:rPr>
        <w:t>给药除外）仍然在访视窗内执行。</w:t>
      </w:r>
    </w:p>
    <w:p>
      <w:pPr>
        <w:pStyle w:val="BodyText"/>
        <w:spacing w:line="276" w:lineRule="auto" w:before="237"/>
        <w:ind w:right="357" w:firstLine="480"/>
        <w:jc w:val="both"/>
      </w:pPr>
      <w:r>
        <w:rPr>
          <w:spacing w:val="-2"/>
        </w:rPr>
        <w:t>然后可以在计划外访视期间重新安排 </w:t>
      </w:r>
      <w:r>
        <w:rPr>
          <w:rFonts w:ascii="Times New Roman" w:eastAsia="Times New Roman"/>
        </w:rPr>
        <w:t>IP</w:t>
      </w:r>
      <w:r>
        <w:rPr>
          <w:rFonts w:ascii="Times New Roman" w:eastAsia="Times New Roman"/>
          <w:spacing w:val="-15"/>
        </w:rPr>
        <w:t> </w:t>
      </w:r>
      <w:r>
        <w:rPr/>
        <w:t>给药。给药访视时至少需要进行体格检</w:t>
      </w:r>
      <w:r>
        <w:rPr>
          <w:spacing w:val="-2"/>
        </w:rPr>
        <w:t>查、生命体征评估、</w:t>
      </w:r>
      <w:r>
        <w:rPr>
          <w:rFonts w:ascii="Times New Roman" w:eastAsia="Times New Roman"/>
          <w:spacing w:val="-2"/>
        </w:rPr>
        <w:t>AE</w:t>
      </w:r>
      <w:r>
        <w:rPr>
          <w:rFonts w:ascii="Times New Roman" w:eastAsia="Times New Roman"/>
          <w:spacing w:val="-7"/>
        </w:rPr>
        <w:t> </w:t>
      </w:r>
      <w:r>
        <w:rPr>
          <w:spacing w:val="-2"/>
        </w:rPr>
        <w:t>评估、合并用药的变化和妊娠试验（如适用）等程序；还可能包括剩余访视程序（计划访视时未实施）和研究者认为必要的其他评估。</w:t>
      </w:r>
    </w:p>
    <w:p>
      <w:pPr>
        <w:pStyle w:val="BodyText"/>
        <w:spacing w:line="276" w:lineRule="auto" w:before="237"/>
        <w:ind w:right="365" w:firstLine="480"/>
        <w:jc w:val="both"/>
      </w:pPr>
      <w:r>
        <w:rPr>
          <w:spacing w:val="-2"/>
        </w:rPr>
        <w:t>如果整个计划访视无法在窗口期内实施（例如，受试者不能前往研究中心），</w:t>
      </w:r>
      <w:r>
        <w:rPr>
          <w:spacing w:val="-3"/>
        </w:rPr>
        <w:t>则所有访视程序将随 </w:t>
      </w:r>
      <w:r>
        <w:rPr>
          <w:rFonts w:ascii="Times New Roman" w:eastAsia="Times New Roman"/>
        </w:rPr>
        <w:t>IP </w:t>
      </w:r>
      <w:r>
        <w:rPr/>
        <w:t>给药重新安排。</w:t>
      </w:r>
    </w:p>
    <w:p>
      <w:pPr>
        <w:pStyle w:val="BodyText"/>
        <w:spacing w:line="276" w:lineRule="auto" w:before="239"/>
        <w:ind w:right="353" w:firstLine="480"/>
        <w:jc w:val="both"/>
      </w:pPr>
      <w:r>
        <w:rPr/>
        <w:t>如果给药显著延迟，建议此次给药和下一次给药至少间隔 </w:t>
      </w:r>
      <w:r>
        <w:rPr>
          <w:rFonts w:ascii="Times New Roman" w:eastAsia="Times New Roman"/>
        </w:rPr>
        <w:t>2 </w:t>
      </w:r>
      <w:r>
        <w:rPr/>
        <w:t>周。如果推迟的剂</w:t>
      </w:r>
      <w:r>
        <w:rPr>
          <w:spacing w:val="-2"/>
        </w:rPr>
        <w:t>量与下一个治疗访视窗重叠，则应跳过该延迟的剂量，并在定期访视中给予下一剂</w:t>
      </w:r>
      <w:r>
        <w:rPr>
          <w:spacing w:val="-4"/>
        </w:rPr>
        <w:t>计划的 </w:t>
      </w:r>
      <w:r>
        <w:rPr>
          <w:rFonts w:ascii="Times New Roman" w:eastAsia="Times New Roman"/>
        </w:rPr>
        <w:t>IP </w:t>
      </w:r>
      <w:r>
        <w:rPr>
          <w:spacing w:val="-1"/>
        </w:rPr>
        <w:t>给药。访视时间表应始终从本研究的访视 </w:t>
      </w:r>
      <w:r>
        <w:rPr>
          <w:rFonts w:ascii="Times New Roman" w:eastAsia="Times New Roman"/>
        </w:rPr>
        <w:t>1 </w:t>
      </w:r>
      <w:r>
        <w:rPr/>
        <w:t>开始计算。</w:t>
      </w:r>
    </w:p>
    <w:p>
      <w:pPr>
        <w:pStyle w:val="BodyText"/>
        <w:spacing w:line="276" w:lineRule="auto" w:before="238"/>
        <w:ind w:right="353" w:firstLine="480"/>
        <w:jc w:val="both"/>
      </w:pPr>
      <w:r>
        <w:rPr>
          <w:spacing w:val="-4"/>
        </w:rPr>
        <w:t>如果受试者错过 </w:t>
      </w:r>
      <w:r>
        <w:rPr>
          <w:rFonts w:ascii="Times New Roman" w:eastAsia="Times New Roman"/>
        </w:rPr>
        <w:t>2</w:t>
      </w:r>
      <w:r>
        <w:rPr>
          <w:rFonts w:ascii="Times New Roman" w:eastAsia="Times New Roman"/>
          <w:spacing w:val="-15"/>
        </w:rPr>
        <w:t> </w:t>
      </w:r>
      <w:r>
        <w:rPr>
          <w:spacing w:val="-4"/>
        </w:rPr>
        <w:t>次连续或非连续 </w:t>
      </w:r>
      <w:r>
        <w:rPr>
          <w:rFonts w:ascii="Times New Roman" w:eastAsia="Times New Roman"/>
        </w:rPr>
        <w:t>IP</w:t>
      </w:r>
      <w:r>
        <w:rPr>
          <w:rFonts w:ascii="Times New Roman" w:eastAsia="Times New Roman"/>
          <w:spacing w:val="-15"/>
        </w:rPr>
        <w:t> </w:t>
      </w:r>
      <w:r>
        <w:rPr/>
        <w:t>给药，强烈建议研究中心和申办者研究医</w:t>
      </w:r>
      <w:r>
        <w:rPr>
          <w:spacing w:val="-1"/>
        </w:rPr>
        <w:t>生进行讨论，以审查受试者对治疗的依从性和确保依从性的措施。如果受试者错过</w:t>
      </w:r>
    </w:p>
    <w:p>
      <w:pPr>
        <w:spacing w:after="0" w:line="276" w:lineRule="auto"/>
        <w:jc w:val="both"/>
        <w:sectPr>
          <w:pgSz w:w="11910" w:h="16840"/>
          <w:pgMar w:header="590" w:footer="784" w:top="1340" w:bottom="980" w:left="1480" w:right="1080"/>
        </w:sectPr>
      </w:pPr>
    </w:p>
    <w:p>
      <w:pPr>
        <w:pStyle w:val="BodyText"/>
        <w:spacing w:line="276" w:lineRule="auto" w:before="88"/>
        <w:ind w:right="357"/>
      </w:pPr>
      <w:r>
        <w:rPr>
          <w:spacing w:val="-28"/>
        </w:rPr>
        <w:t>了 </w:t>
      </w:r>
      <w:r>
        <w:rPr>
          <w:rFonts w:ascii="Times New Roman" w:eastAsia="Times New Roman"/>
        </w:rPr>
        <w:t>3</w:t>
      </w:r>
      <w:r>
        <w:rPr>
          <w:rFonts w:ascii="Times New Roman" w:eastAsia="Times New Roman"/>
          <w:spacing w:val="-15"/>
        </w:rPr>
        <w:t> </w:t>
      </w:r>
      <w:r>
        <w:rPr>
          <w:spacing w:val="-7"/>
        </w:rPr>
        <w:t>剂或更多次连续 </w:t>
      </w:r>
      <w:r>
        <w:rPr>
          <w:rFonts w:ascii="Times New Roman" w:eastAsia="Times New Roman"/>
        </w:rPr>
        <w:t>IP</w:t>
      </w:r>
      <w:r>
        <w:rPr>
          <w:rFonts w:ascii="Times New Roman" w:eastAsia="Times New Roman"/>
          <w:spacing w:val="-15"/>
        </w:rPr>
        <w:t> </w:t>
      </w:r>
      <w:r>
        <w:rPr/>
        <w:t>给药（</w:t>
      </w:r>
      <w:r>
        <w:rPr>
          <w:spacing w:val="-11"/>
        </w:rPr>
        <w:t>最后一次 </w:t>
      </w:r>
      <w:r>
        <w:rPr>
          <w:rFonts w:ascii="Times New Roman" w:eastAsia="Times New Roman"/>
        </w:rPr>
        <w:t>IP</w:t>
      </w:r>
      <w:r>
        <w:rPr>
          <w:rFonts w:ascii="Times New Roman" w:eastAsia="Times New Roman"/>
          <w:spacing w:val="-15"/>
        </w:rPr>
        <w:t> </w:t>
      </w:r>
      <w:r>
        <w:rPr/>
        <w:t>给药后</w:t>
      </w:r>
      <w:r>
        <w:rPr>
          <w:rFonts w:ascii="Times New Roman" w:eastAsia="Times New Roman"/>
        </w:rPr>
        <w:t>&gt;12</w:t>
      </w:r>
      <w:r>
        <w:rPr>
          <w:rFonts w:ascii="Times New Roman" w:eastAsia="Times New Roman"/>
          <w:spacing w:val="-15"/>
        </w:rPr>
        <w:t> </w:t>
      </w:r>
      <w:r>
        <w:rPr/>
        <w:t>周），研究中心必须与研究医</w:t>
      </w:r>
      <w:r>
        <w:rPr>
          <w:spacing w:val="-3"/>
        </w:rPr>
        <w:t>生讨论继续或终止 </w:t>
      </w:r>
      <w:r>
        <w:rPr>
          <w:rFonts w:ascii="Times New Roman" w:eastAsia="Times New Roman"/>
        </w:rPr>
        <w:t>IP </w:t>
      </w:r>
      <w:r>
        <w:rPr/>
        <w:t>治疗是否符合受试者的最佳利益。</w:t>
      </w:r>
    </w:p>
    <w:p>
      <w:pPr>
        <w:pStyle w:val="BodyText"/>
        <w:spacing w:line="276" w:lineRule="auto" w:before="239"/>
        <w:ind w:right="357" w:firstLine="480"/>
        <w:jc w:val="both"/>
      </w:pPr>
      <w:r>
        <w:rPr>
          <w:spacing w:val="-4"/>
        </w:rPr>
        <w:t>停药规则请见第 </w:t>
      </w:r>
      <w:hyperlink w:history="true" w:anchor="_bookmark74">
        <w:r>
          <w:rPr>
            <w:rFonts w:ascii="Times New Roman" w:eastAsia="Times New Roman"/>
            <w:color w:val="0000FF"/>
          </w:rPr>
          <w:t>7.1</w:t>
        </w:r>
      </w:hyperlink>
      <w:r>
        <w:rPr>
          <w:rFonts w:ascii="Times New Roman" w:eastAsia="Times New Roman"/>
          <w:color w:val="0000FF"/>
          <w:spacing w:val="-9"/>
        </w:rPr>
        <w:t> </w:t>
      </w:r>
      <w:r>
        <w:rPr>
          <w:spacing w:val="-2"/>
        </w:rPr>
        <w:t>节。所有受试者，无论是否继续接受 </w:t>
      </w:r>
      <w:r>
        <w:rPr>
          <w:rFonts w:ascii="Times New Roman" w:eastAsia="Times New Roman"/>
        </w:rPr>
        <w:t>IP</w:t>
      </w:r>
      <w:r>
        <w:rPr>
          <w:rFonts w:ascii="Times New Roman" w:eastAsia="Times New Roman"/>
          <w:spacing w:val="7"/>
        </w:rPr>
        <w:t> </w:t>
      </w:r>
      <w:r>
        <w:rPr/>
        <w:t>治疗，都将鼓励继续保留在研究中，并随访至研究结束（</w:t>
      </w:r>
      <w:r>
        <w:rPr>
          <w:spacing w:val="-12"/>
        </w:rPr>
        <w:t>第 </w:t>
      </w:r>
      <w:hyperlink w:history="true" w:anchor="_bookmark75">
        <w:r>
          <w:rPr>
            <w:rFonts w:ascii="Times New Roman" w:eastAsia="Times New Roman"/>
            <w:color w:val="0000FF"/>
          </w:rPr>
          <w:t>7.1.1</w:t>
        </w:r>
      </w:hyperlink>
      <w:r>
        <w:rPr>
          <w:rFonts w:ascii="Times New Roman" w:eastAsia="Times New Roman"/>
          <w:color w:val="0000FF"/>
        </w:rPr>
        <w:t> </w:t>
      </w:r>
      <w:r>
        <w:rPr/>
        <w:t>节）。</w:t>
      </w:r>
    </w:p>
    <w:p>
      <w:pPr>
        <w:pStyle w:val="Heading1"/>
        <w:numPr>
          <w:ilvl w:val="1"/>
          <w:numId w:val="3"/>
        </w:numPr>
        <w:tabs>
          <w:tab w:pos="1355" w:val="left" w:leader="none"/>
        </w:tabs>
        <w:spacing w:line="240" w:lineRule="auto" w:before="238" w:after="0"/>
        <w:ind w:left="1355" w:right="0" w:hanging="1134"/>
        <w:jc w:val="both"/>
      </w:pPr>
      <w:bookmarkStart w:name="6.2 干预药物的制备、处理、贮藏和计数" w:id="97"/>
      <w:bookmarkEnd w:id="97"/>
      <w:r>
        <w:rPr>
          <w:b w:val="0"/>
        </w:rPr>
      </w:r>
      <w:bookmarkStart w:name="_bookmark51" w:id="98"/>
      <w:bookmarkEnd w:id="98"/>
      <w:r>
        <w:rPr>
          <w:b w:val="0"/>
        </w:rPr>
      </w:r>
      <w:r>
        <w:rPr>
          <w:spacing w:val="-5"/>
        </w:rPr>
        <w:t>干预药物的制备、处理、贮藏和计数</w:t>
      </w:r>
    </w:p>
    <w:p>
      <w:pPr>
        <w:pStyle w:val="ListParagraph"/>
        <w:numPr>
          <w:ilvl w:val="0"/>
          <w:numId w:val="17"/>
        </w:numPr>
        <w:tabs>
          <w:tab w:pos="646" w:val="left" w:leader="none"/>
        </w:tabs>
        <w:spacing w:line="276" w:lineRule="auto" w:before="119" w:after="0"/>
        <w:ind w:left="646" w:right="357" w:hanging="425"/>
        <w:jc w:val="both"/>
        <w:rPr>
          <w:sz w:val="24"/>
        </w:rPr>
      </w:pPr>
      <w:r>
        <w:rPr>
          <w:spacing w:val="-2"/>
          <w:sz w:val="24"/>
        </w:rPr>
        <w:t>研究者或指定人员必须确认接收的所有 </w:t>
      </w:r>
      <w:r>
        <w:rPr>
          <w:rFonts w:ascii="Times New Roman" w:eastAsia="Times New Roman"/>
          <w:sz w:val="24"/>
        </w:rPr>
        <w:t>IP </w:t>
      </w:r>
      <w:r>
        <w:rPr>
          <w:sz w:val="24"/>
        </w:rPr>
        <w:t>在运输过程中维持在合适的温度条件</w:t>
      </w:r>
      <w:r>
        <w:rPr>
          <w:spacing w:val="-2"/>
          <w:sz w:val="24"/>
        </w:rPr>
        <w:t>下，任何偏差都要报告，并在 </w:t>
      </w:r>
      <w:r>
        <w:rPr>
          <w:rFonts w:ascii="Times New Roman" w:eastAsia="Times New Roman"/>
          <w:sz w:val="24"/>
        </w:rPr>
        <w:t>IP </w:t>
      </w:r>
      <w:r>
        <w:rPr>
          <w:sz w:val="24"/>
        </w:rPr>
        <w:t>使用之前解决。</w:t>
      </w:r>
    </w:p>
    <w:p>
      <w:pPr>
        <w:pStyle w:val="ListParagraph"/>
        <w:numPr>
          <w:ilvl w:val="0"/>
          <w:numId w:val="17"/>
        </w:numPr>
        <w:tabs>
          <w:tab w:pos="646" w:val="left" w:leader="none"/>
        </w:tabs>
        <w:spacing w:line="276" w:lineRule="auto" w:before="58" w:after="0"/>
        <w:ind w:left="646" w:right="358" w:hanging="425"/>
        <w:jc w:val="both"/>
        <w:rPr>
          <w:sz w:val="24"/>
        </w:rPr>
      </w:pPr>
      <w:r>
        <w:rPr>
          <w:spacing w:val="-2"/>
          <w:sz w:val="24"/>
        </w:rPr>
        <w:t>仅入选研究的受试者可以接受 </w:t>
      </w:r>
      <w:r>
        <w:rPr>
          <w:rFonts w:ascii="Times New Roman" w:eastAsia="Times New Roman"/>
          <w:sz w:val="24"/>
        </w:rPr>
        <w:t>I</w:t>
      </w:r>
      <w:r>
        <w:rPr>
          <w:rFonts w:ascii="Times New Roman" w:eastAsia="Times New Roman"/>
          <w:spacing w:val="-2"/>
          <w:sz w:val="24"/>
        </w:rPr>
        <w:t>P</w:t>
      </w:r>
      <w:r>
        <w:rPr>
          <w:sz w:val="24"/>
        </w:rPr>
        <w:t>，并且仅获得授权的工作人员（</w:t>
      </w:r>
      <w:r>
        <w:rPr>
          <w:spacing w:val="-12"/>
          <w:sz w:val="24"/>
        </w:rPr>
        <w:t>第 </w:t>
      </w:r>
      <w:hyperlink w:history="true" w:anchor="_bookmark56">
        <w:r>
          <w:rPr>
            <w:rFonts w:ascii="Times New Roman" w:eastAsia="Times New Roman"/>
            <w:color w:val="0000FF"/>
            <w:sz w:val="24"/>
          </w:rPr>
          <w:t>6.2.2.3</w:t>
        </w:r>
      </w:hyperlink>
      <w:r>
        <w:rPr>
          <w:rFonts w:ascii="Times New Roman" w:eastAsia="Times New Roman"/>
          <w:color w:val="0000FF"/>
          <w:spacing w:val="15"/>
          <w:sz w:val="24"/>
        </w:rPr>
        <w:t> </w:t>
      </w:r>
      <w:r>
        <w:rPr>
          <w:spacing w:val="-7"/>
          <w:sz w:val="24"/>
        </w:rPr>
        <w:t>节描</w:t>
      </w:r>
      <w:r>
        <w:rPr>
          <w:sz w:val="24"/>
        </w:rPr>
        <w:t>述的自行给药和</w:t>
      </w:r>
      <w:hyperlink w:history="true" w:anchor="_bookmark163">
        <w:r>
          <w:rPr>
            <w:color w:val="0000FF"/>
            <w:spacing w:val="-19"/>
            <w:sz w:val="24"/>
          </w:rPr>
          <w:t>附录 </w:t>
        </w:r>
        <w:r>
          <w:rPr>
            <w:rFonts w:ascii="Times New Roman" w:eastAsia="Times New Roman"/>
            <w:color w:val="0000FF"/>
            <w:sz w:val="24"/>
          </w:rPr>
          <w:t>H</w:t>
        </w:r>
      </w:hyperlink>
      <w:r>
        <w:rPr>
          <w:rFonts w:ascii="Times New Roman" w:eastAsia="Times New Roman"/>
          <w:color w:val="0000FF"/>
          <w:spacing w:val="-8"/>
          <w:sz w:val="24"/>
        </w:rPr>
        <w:t> </w:t>
      </w:r>
      <w:r>
        <w:rPr>
          <w:sz w:val="24"/>
        </w:rPr>
        <w:t>描述的情况除外）</w:t>
      </w:r>
      <w:r>
        <w:rPr>
          <w:spacing w:val="-8"/>
          <w:sz w:val="24"/>
        </w:rPr>
        <w:t>可发放或给予 </w:t>
      </w:r>
      <w:r>
        <w:rPr>
          <w:rFonts w:ascii="Times New Roman" w:eastAsia="Times New Roman"/>
          <w:sz w:val="24"/>
        </w:rPr>
        <w:t>I</w:t>
      </w:r>
      <w:r>
        <w:rPr>
          <w:rFonts w:ascii="Times New Roman" w:eastAsia="Times New Roman"/>
          <w:spacing w:val="-1"/>
          <w:sz w:val="24"/>
        </w:rPr>
        <w:t>P</w:t>
      </w:r>
      <w:r>
        <w:rPr>
          <w:spacing w:val="-14"/>
          <w:sz w:val="24"/>
        </w:rPr>
        <w:t>。所有 </w:t>
      </w:r>
      <w:r>
        <w:rPr>
          <w:rFonts w:ascii="Times New Roman" w:eastAsia="Times New Roman"/>
          <w:sz w:val="24"/>
        </w:rPr>
        <w:t>IP</w:t>
      </w:r>
      <w:r>
        <w:rPr>
          <w:rFonts w:ascii="Times New Roman" w:eastAsia="Times New Roman"/>
          <w:spacing w:val="-8"/>
          <w:sz w:val="24"/>
        </w:rPr>
        <w:t> </w:t>
      </w:r>
      <w:r>
        <w:rPr>
          <w:spacing w:val="-3"/>
          <w:sz w:val="24"/>
        </w:rPr>
        <w:t>必须根据标</w:t>
      </w:r>
      <w:r>
        <w:rPr>
          <w:spacing w:val="4"/>
          <w:sz w:val="24"/>
        </w:rPr>
        <w:t>签上的贮藏条件存放在安全、环境受控和监测</w:t>
      </w:r>
      <w:r>
        <w:rPr>
          <w:spacing w:val="5"/>
          <w:sz w:val="24"/>
        </w:rPr>
        <w:t>（</w:t>
      </w:r>
      <w:r>
        <w:rPr>
          <w:spacing w:val="4"/>
          <w:sz w:val="24"/>
        </w:rPr>
        <w:t>手动或自动</w:t>
      </w:r>
      <w:r>
        <w:rPr>
          <w:spacing w:val="5"/>
          <w:sz w:val="24"/>
        </w:rPr>
        <w:t>）</w:t>
      </w:r>
      <w:r>
        <w:rPr>
          <w:spacing w:val="3"/>
          <w:sz w:val="24"/>
        </w:rPr>
        <w:t>区域，仅限研究者和授权的研究中心工作人员进入。</w:t>
      </w:r>
    </w:p>
    <w:p>
      <w:pPr>
        <w:pStyle w:val="BodyText"/>
        <w:spacing w:before="20"/>
        <w:ind w:left="0"/>
      </w:pPr>
    </w:p>
    <w:p>
      <w:pPr>
        <w:pStyle w:val="BodyText"/>
        <w:spacing w:line="276" w:lineRule="auto"/>
        <w:ind w:right="357" w:firstLine="480"/>
        <w:jc w:val="both"/>
      </w:pPr>
      <w:r>
        <w:rPr>
          <w:spacing w:val="-2"/>
        </w:rPr>
        <w:t>对于在家中自行给药，受试者将负责在家中冷藏产品。受试者在贮藏期间无需</w:t>
      </w:r>
      <w:r>
        <w:rPr>
          <w:spacing w:val="-3"/>
        </w:rPr>
        <w:t>进行温度监测；在受试者贮藏 </w:t>
      </w:r>
      <w:r>
        <w:rPr>
          <w:rFonts w:ascii="Times New Roman" w:eastAsia="Times New Roman"/>
        </w:rPr>
        <w:t>IP</w:t>
      </w:r>
      <w:r>
        <w:rPr>
          <w:rFonts w:ascii="Times New Roman" w:eastAsia="Times New Roman"/>
          <w:spacing w:val="-15"/>
        </w:rPr>
        <w:t> </w:t>
      </w:r>
      <w:r>
        <w:rPr/>
        <w:t>期间，标准冷藏足以维持适当的温度。受试者负责</w:t>
      </w:r>
      <w:r>
        <w:rPr>
          <w:spacing w:val="-5"/>
        </w:rPr>
        <w:t>将用过的 </w:t>
      </w:r>
      <w:r>
        <w:rPr>
          <w:rFonts w:ascii="Times New Roman" w:eastAsia="Times New Roman"/>
        </w:rPr>
        <w:t>APFS </w:t>
      </w:r>
      <w:r>
        <w:rPr/>
        <w:t>器械返还给研究中心。</w:t>
      </w:r>
    </w:p>
    <w:p>
      <w:pPr>
        <w:pStyle w:val="ListParagraph"/>
        <w:numPr>
          <w:ilvl w:val="0"/>
          <w:numId w:val="17"/>
        </w:numPr>
        <w:tabs>
          <w:tab w:pos="646" w:val="left" w:leader="none"/>
        </w:tabs>
        <w:spacing w:line="240" w:lineRule="auto" w:before="238" w:after="0"/>
        <w:ind w:left="646" w:right="0" w:hanging="425"/>
        <w:jc w:val="left"/>
        <w:rPr>
          <w:sz w:val="24"/>
        </w:rPr>
      </w:pPr>
      <w:r>
        <w:rPr>
          <w:sz w:val="24"/>
        </w:rPr>
        <w:t>研究者、研究机构或医疗机构负责人（如适用）</w:t>
      </w:r>
      <w:r>
        <w:rPr>
          <w:spacing w:val="-2"/>
          <w:sz w:val="24"/>
        </w:rPr>
        <w:t>负责 </w:t>
      </w:r>
      <w:r>
        <w:rPr>
          <w:rFonts w:ascii="Times New Roman" w:eastAsia="Times New Roman"/>
          <w:sz w:val="24"/>
        </w:rPr>
        <w:t>IP</w:t>
      </w:r>
      <w:r>
        <w:rPr>
          <w:rFonts w:ascii="Times New Roman" w:eastAsia="Times New Roman"/>
          <w:spacing w:val="32"/>
          <w:sz w:val="24"/>
        </w:rPr>
        <w:t> </w:t>
      </w:r>
      <w:r>
        <w:rPr>
          <w:spacing w:val="-1"/>
          <w:sz w:val="24"/>
        </w:rPr>
        <w:t>计数、核对和记录维护</w:t>
      </w:r>
    </w:p>
    <w:p>
      <w:pPr>
        <w:pStyle w:val="BodyText"/>
        <w:spacing w:before="47"/>
        <w:ind w:left="526"/>
      </w:pPr>
      <w:r>
        <w:rPr/>
        <w:t>（即，接收、核对和最终处置记录）</w:t>
      </w:r>
      <w:r>
        <w:rPr>
          <w:spacing w:val="-10"/>
        </w:rPr>
        <w:t>。</w:t>
      </w:r>
    </w:p>
    <w:p>
      <w:pPr>
        <w:pStyle w:val="ListParagraph"/>
        <w:numPr>
          <w:ilvl w:val="0"/>
          <w:numId w:val="17"/>
        </w:numPr>
        <w:tabs>
          <w:tab w:pos="646" w:val="left" w:leader="none"/>
        </w:tabs>
        <w:spacing w:line="240" w:lineRule="auto" w:before="105" w:after="0"/>
        <w:ind w:left="646" w:right="0" w:hanging="425"/>
        <w:jc w:val="left"/>
        <w:rPr>
          <w:sz w:val="24"/>
        </w:rPr>
      </w:pPr>
      <w:r>
        <w:rPr>
          <w:spacing w:val="-15"/>
          <w:sz w:val="24"/>
        </w:rPr>
        <w:t>未使用 </w:t>
      </w:r>
      <w:r>
        <w:rPr>
          <w:rFonts w:ascii="Times New Roman" w:eastAsia="Times New Roman"/>
          <w:sz w:val="24"/>
        </w:rPr>
        <w:t>IP</w:t>
      </w:r>
      <w:r>
        <w:rPr>
          <w:rFonts w:ascii="Times New Roman" w:eastAsia="Times New Roman"/>
          <w:spacing w:val="-13"/>
          <w:sz w:val="24"/>
        </w:rPr>
        <w:t> </w:t>
      </w:r>
      <w:r>
        <w:rPr>
          <w:spacing w:val="-4"/>
          <w:sz w:val="24"/>
        </w:rPr>
        <w:t>的最终处置的进一步指南和信息请见 </w:t>
      </w:r>
      <w:r>
        <w:rPr>
          <w:rFonts w:ascii="Times New Roman" w:eastAsia="Times New Roman"/>
          <w:sz w:val="24"/>
        </w:rPr>
        <w:t>IP</w:t>
      </w:r>
      <w:r>
        <w:rPr>
          <w:rFonts w:ascii="Times New Roman" w:eastAsia="Times New Roman"/>
          <w:spacing w:val="-12"/>
          <w:sz w:val="24"/>
        </w:rPr>
        <w:t> </w:t>
      </w:r>
      <w:r>
        <w:rPr>
          <w:spacing w:val="-4"/>
          <w:sz w:val="24"/>
        </w:rPr>
        <w:t>手册。</w:t>
      </w:r>
    </w:p>
    <w:p>
      <w:pPr>
        <w:pStyle w:val="BodyText"/>
        <w:spacing w:before="189"/>
        <w:ind w:left="0"/>
      </w:pPr>
    </w:p>
    <w:p>
      <w:pPr>
        <w:pStyle w:val="Heading2"/>
        <w:numPr>
          <w:ilvl w:val="2"/>
          <w:numId w:val="3"/>
        </w:numPr>
        <w:tabs>
          <w:tab w:pos="1373" w:val="left" w:leader="none"/>
        </w:tabs>
        <w:spacing w:line="240" w:lineRule="auto" w:before="0" w:after="0"/>
        <w:ind w:left="1373" w:right="0" w:hanging="1152"/>
        <w:jc w:val="left"/>
      </w:pPr>
      <w:bookmarkStart w:name="6.2.1 研究干预药物的贮藏：Tozorakimab和安慰剂" w:id="99"/>
      <w:bookmarkEnd w:id="99"/>
      <w:r>
        <w:rPr>
          <w:b w:val="0"/>
        </w:rPr>
      </w:r>
      <w:bookmarkStart w:name="_bookmark52" w:id="100"/>
      <w:bookmarkEnd w:id="100"/>
      <w:r>
        <w:rPr>
          <w:b w:val="0"/>
        </w:rPr>
      </w:r>
      <w:r>
        <w:rPr>
          <w:spacing w:val="-2"/>
        </w:rPr>
        <w:t>研究干预药物的贮藏：</w:t>
      </w:r>
      <w:r>
        <w:rPr>
          <w:rFonts w:ascii="Times New Roman" w:eastAsia="Times New Roman"/>
          <w:spacing w:val="-2"/>
        </w:rPr>
        <w:t>Tozorakimab</w:t>
      </w:r>
      <w:r>
        <w:rPr>
          <w:rFonts w:ascii="Times New Roman" w:eastAsia="Times New Roman"/>
          <w:spacing w:val="8"/>
        </w:rPr>
        <w:t> </w:t>
      </w:r>
      <w:r>
        <w:rPr>
          <w:spacing w:val="-4"/>
        </w:rPr>
        <w:t>和安慰剂</w:t>
      </w:r>
    </w:p>
    <w:p>
      <w:pPr>
        <w:pStyle w:val="BodyText"/>
        <w:spacing w:line="276" w:lineRule="auto" w:before="120"/>
        <w:ind w:right="355" w:firstLine="480"/>
        <w:jc w:val="both"/>
      </w:pPr>
      <w:r>
        <w:rPr>
          <w:rFonts w:ascii="Times New Roman" w:hAnsi="Times New Roman" w:eastAsia="Times New Roman"/>
        </w:rPr>
        <w:t>IP</w:t>
      </w:r>
      <w:r>
        <w:rPr/>
        <w:t>（</w:t>
      </w:r>
      <w:r>
        <w:rPr>
          <w:rFonts w:ascii="Times New Roman" w:hAnsi="Times New Roman" w:eastAsia="Times New Roman"/>
        </w:rPr>
        <w:t>tozorakimab</w:t>
      </w:r>
      <w:r>
        <w:rPr>
          <w:rFonts w:ascii="Times New Roman" w:hAnsi="Times New Roman" w:eastAsia="Times New Roman"/>
          <w:spacing w:val="-15"/>
        </w:rPr>
        <w:t> </w:t>
      </w:r>
      <w:r>
        <w:rPr>
          <w:spacing w:val="14"/>
        </w:rPr>
        <w:t>和</w:t>
      </w:r>
      <w:r>
        <w:rPr>
          <w:rFonts w:ascii="Times New Roman" w:hAnsi="Times New Roman" w:eastAsia="Times New Roman"/>
        </w:rPr>
        <w:t>tozorakimab</w:t>
      </w:r>
      <w:r>
        <w:rPr>
          <w:rFonts w:ascii="Times New Roman" w:hAnsi="Times New Roman" w:eastAsia="Times New Roman"/>
          <w:spacing w:val="-15"/>
        </w:rPr>
        <w:t> </w:t>
      </w:r>
      <w:r>
        <w:rPr/>
        <w:t>安慰剂）</w:t>
      </w:r>
      <w:r>
        <w:rPr>
          <w:spacing w:val="-30"/>
        </w:rPr>
        <w:t> </w:t>
      </w:r>
      <w:r>
        <w:rPr>
          <w:rFonts w:ascii="Times New Roman" w:hAnsi="Times New Roman" w:eastAsia="Times New Roman"/>
        </w:rPr>
        <w:t>APFS</w:t>
      </w:r>
      <w:r>
        <w:rPr>
          <w:rFonts w:ascii="Times New Roman" w:hAnsi="Times New Roman" w:eastAsia="Times New Roman"/>
          <w:spacing w:val="-15"/>
        </w:rPr>
        <w:t> </w:t>
      </w:r>
      <w:r>
        <w:rPr>
          <w:spacing w:val="4"/>
        </w:rPr>
        <w:t>贮藏在</w:t>
      </w:r>
      <w:r>
        <w:rPr>
          <w:rFonts w:ascii="Times New Roman" w:hAnsi="Times New Roman" w:eastAsia="Times New Roman"/>
        </w:rPr>
        <w:t>2°C</w:t>
      </w:r>
      <w:r>
        <w:rPr>
          <w:spacing w:val="14"/>
        </w:rPr>
        <w:t>至</w:t>
      </w:r>
      <w:r>
        <w:rPr>
          <w:rFonts w:ascii="Times New Roman" w:hAnsi="Times New Roman" w:eastAsia="Times New Roman"/>
        </w:rPr>
        <w:t>8°C</w:t>
      </w:r>
      <w:r>
        <w:rPr/>
        <w:t>（</w:t>
      </w:r>
      <w:r>
        <w:rPr>
          <w:rFonts w:ascii="Times New Roman" w:hAnsi="Times New Roman" w:eastAsia="Times New Roman"/>
        </w:rPr>
        <w:t>36°F</w:t>
      </w:r>
      <w:r>
        <w:rPr>
          <w:spacing w:val="14"/>
        </w:rPr>
        <w:t>至</w:t>
      </w:r>
      <w:r>
        <w:rPr>
          <w:rFonts w:ascii="Times New Roman" w:hAnsi="Times New Roman" w:eastAsia="Times New Roman"/>
        </w:rPr>
        <w:t>46°F</w:t>
      </w:r>
      <w:r>
        <w:rPr/>
        <w:t>）</w:t>
      </w:r>
      <w:r>
        <w:rPr>
          <w:spacing w:val="-2"/>
        </w:rPr>
        <w:t>条件下，不得冷冻。研究者或获批代表（例如药剂师）将确保所有研究干预药物均</w:t>
      </w:r>
      <w:r>
        <w:rPr/>
        <w:t>贮藏在安全区域，贮藏温度为冷藏温度（</w:t>
      </w:r>
      <w:r>
        <w:rPr>
          <w:rFonts w:ascii="Times New Roman" w:hAnsi="Times New Roman" w:eastAsia="Times New Roman"/>
        </w:rPr>
        <w:t>2°C </w:t>
      </w:r>
      <w:r>
        <w:rPr>
          <w:spacing w:val="-15"/>
        </w:rPr>
        <w:t>至 </w:t>
      </w:r>
      <w:r>
        <w:rPr>
          <w:rFonts w:ascii="Times New Roman" w:hAnsi="Times New Roman" w:eastAsia="Times New Roman"/>
        </w:rPr>
        <w:t>8°C</w:t>
      </w:r>
      <w:r>
        <w:rPr/>
        <w:t>；</w:t>
      </w:r>
      <w:r>
        <w:rPr>
          <w:rFonts w:ascii="Times New Roman" w:hAnsi="Times New Roman" w:eastAsia="Times New Roman"/>
        </w:rPr>
        <w:t>36°F </w:t>
      </w:r>
      <w:r>
        <w:rPr>
          <w:spacing w:val="-15"/>
        </w:rPr>
        <w:t>至 </w:t>
      </w:r>
      <w:r>
        <w:rPr>
          <w:rFonts w:ascii="Times New Roman" w:hAnsi="Times New Roman" w:eastAsia="Times New Roman"/>
        </w:rPr>
        <w:t>46°F</w:t>
      </w:r>
      <w:r>
        <w:rPr/>
        <w:t>），且符合适用</w:t>
      </w:r>
      <w:r>
        <w:rPr>
          <w:spacing w:val="-2"/>
        </w:rPr>
        <w:t>的监管要求。将使用温度日志记录贮藏区的温度。如发生超出临床供应品包装上所列允许范围的温度偏移，应在发现时向研究中心监查员报告。将使用经校准的温度</w:t>
      </w:r>
      <w:r>
        <w:rPr>
          <w:spacing w:val="-3"/>
        </w:rPr>
        <w:t>监测装置记录药物贮藏设施中的温度条件。可使用标签上列出的贮藏条件替代 </w:t>
      </w:r>
      <w:r>
        <w:rPr>
          <w:rFonts w:ascii="Times New Roman" w:hAnsi="Times New Roman" w:eastAsia="Times New Roman"/>
          <w:spacing w:val="-2"/>
        </w:rPr>
        <w:t>IB</w:t>
      </w:r>
      <w:r>
        <w:rPr>
          <w:rFonts w:ascii="Times New Roman" w:hAnsi="Times New Roman" w:eastAsia="Times New Roman"/>
          <w:spacing w:val="13"/>
        </w:rPr>
        <w:t> </w:t>
      </w:r>
      <w:r>
        <w:rPr>
          <w:spacing w:val="-2"/>
        </w:rPr>
        <w:t>中规定的贮藏条件。</w:t>
      </w:r>
    </w:p>
    <w:p>
      <w:pPr>
        <w:pStyle w:val="BodyText"/>
        <w:spacing w:before="234"/>
        <w:ind w:left="701"/>
      </w:pPr>
      <w:r>
        <w:rPr>
          <w:spacing w:val="-1"/>
        </w:rPr>
        <w:t>研究干预药物必须保存在原包装内，直至使用，以防止长时间暴露于光照。</w:t>
      </w:r>
    </w:p>
    <w:p>
      <w:pPr>
        <w:pStyle w:val="Heading2"/>
        <w:numPr>
          <w:ilvl w:val="2"/>
          <w:numId w:val="3"/>
        </w:numPr>
        <w:tabs>
          <w:tab w:pos="1373" w:val="left" w:leader="none"/>
        </w:tabs>
        <w:spacing w:line="240" w:lineRule="auto" w:before="285" w:after="0"/>
        <w:ind w:left="1373" w:right="0" w:hanging="1152"/>
        <w:jc w:val="left"/>
      </w:pPr>
      <w:bookmarkStart w:name="6.2.2 Tozorakimab和安慰剂SC注射液的制备和给药" w:id="101"/>
      <w:bookmarkEnd w:id="101"/>
      <w:r>
        <w:rPr>
          <w:b w:val="0"/>
        </w:rPr>
      </w:r>
      <w:bookmarkStart w:name="_bookmark53" w:id="102"/>
      <w:bookmarkEnd w:id="102"/>
      <w:r>
        <w:rPr>
          <w:b w:val="0"/>
        </w:rPr>
      </w:r>
      <w:r>
        <w:rPr>
          <w:rFonts w:ascii="Times New Roman" w:eastAsia="Times New Roman"/>
          <w:spacing w:val="-2"/>
        </w:rPr>
        <w:t>Tozorakimab</w:t>
      </w:r>
      <w:r>
        <w:rPr>
          <w:rFonts w:ascii="Times New Roman" w:eastAsia="Times New Roman"/>
          <w:spacing w:val="-4"/>
        </w:rPr>
        <w:t> </w:t>
      </w:r>
      <w:r>
        <w:rPr>
          <w:spacing w:val="-14"/>
        </w:rPr>
        <w:t>和安慰剂 </w:t>
      </w:r>
      <w:r>
        <w:rPr>
          <w:rFonts w:ascii="Times New Roman" w:eastAsia="Times New Roman"/>
          <w:spacing w:val="-2"/>
        </w:rPr>
        <w:t>SC</w:t>
      </w:r>
      <w:r>
        <w:rPr>
          <w:rFonts w:ascii="Times New Roman" w:eastAsia="Times New Roman"/>
          <w:spacing w:val="-4"/>
        </w:rPr>
        <w:t> </w:t>
      </w:r>
      <w:r>
        <w:rPr>
          <w:spacing w:val="-3"/>
        </w:rPr>
        <w:t>注射液的制备和给药</w:t>
      </w:r>
    </w:p>
    <w:p>
      <w:pPr>
        <w:pStyle w:val="Heading3"/>
        <w:numPr>
          <w:ilvl w:val="3"/>
          <w:numId w:val="3"/>
        </w:numPr>
        <w:tabs>
          <w:tab w:pos="1355" w:val="left" w:leader="none"/>
        </w:tabs>
        <w:spacing w:line="240" w:lineRule="auto" w:before="120" w:after="0"/>
        <w:ind w:left="1355" w:right="0" w:hanging="1134"/>
        <w:jc w:val="left"/>
      </w:pPr>
      <w:bookmarkStart w:name="6.2.2.1 制备" w:id="103"/>
      <w:bookmarkEnd w:id="103"/>
      <w:r>
        <w:rPr>
          <w:b w:val="0"/>
        </w:rPr>
      </w:r>
      <w:bookmarkStart w:name="_bookmark54" w:id="104"/>
      <w:bookmarkEnd w:id="104"/>
      <w:r>
        <w:rPr>
          <w:b w:val="0"/>
        </w:rPr>
      </w:r>
      <w:r>
        <w:rPr>
          <w:spacing w:val="-6"/>
        </w:rPr>
        <w:t>制备</w:t>
      </w:r>
    </w:p>
    <w:p>
      <w:pPr>
        <w:pStyle w:val="BodyText"/>
        <w:spacing w:line="276" w:lineRule="auto" w:before="60"/>
        <w:ind w:right="357" w:firstLine="480"/>
        <w:jc w:val="both"/>
      </w:pPr>
      <w:r>
        <w:rPr>
          <w:rFonts w:ascii="Times New Roman" w:eastAsia="Times New Roman"/>
          <w:spacing w:val="-2"/>
        </w:rPr>
        <w:t>Tozorakimab</w:t>
      </w:r>
      <w:r>
        <w:rPr>
          <w:rFonts w:ascii="Times New Roman" w:eastAsia="Times New Roman"/>
          <w:spacing w:val="-7"/>
        </w:rPr>
        <w:t> </w:t>
      </w:r>
      <w:r>
        <w:rPr>
          <w:spacing w:val="-2"/>
        </w:rPr>
        <w:t>是一种无菌、无防腐剂、澄清至乳白色、无色至棕黄色溶液，几乎无可见异物。</w:t>
      </w:r>
    </w:p>
    <w:p>
      <w:pPr>
        <w:spacing w:after="0" w:line="276" w:lineRule="auto"/>
        <w:jc w:val="both"/>
        <w:sectPr>
          <w:pgSz w:w="11910" w:h="16840"/>
          <w:pgMar w:header="590" w:footer="784" w:top="1340" w:bottom="980" w:left="1480" w:right="1080"/>
        </w:sectPr>
      </w:pPr>
    </w:p>
    <w:p>
      <w:pPr>
        <w:pStyle w:val="BodyText"/>
        <w:spacing w:line="276" w:lineRule="auto" w:before="88"/>
        <w:ind w:right="357" w:firstLine="480"/>
      </w:pPr>
      <w:r>
        <w:rPr>
          <w:spacing w:val="-2"/>
        </w:rPr>
        <w:t>应检查选择用于给药的每个 </w:t>
      </w:r>
      <w:r>
        <w:rPr>
          <w:rFonts w:ascii="Times New Roman" w:eastAsia="Times New Roman"/>
        </w:rPr>
        <w:t>APFS</w:t>
      </w:r>
      <w:r>
        <w:rPr>
          <w:spacing w:val="-5"/>
        </w:rPr>
        <w:t>。如果发现 </w:t>
      </w:r>
      <w:r>
        <w:rPr>
          <w:rFonts w:ascii="Times New Roman" w:eastAsia="Times New Roman"/>
        </w:rPr>
        <w:t>IP</w:t>
      </w:r>
      <w:r>
        <w:rPr>
          <w:rFonts w:ascii="Times New Roman" w:eastAsia="Times New Roman"/>
          <w:spacing w:val="15"/>
        </w:rPr>
        <w:t> </w:t>
      </w:r>
      <w:r>
        <w:rPr/>
        <w:t>存在任何残缺迹象，应立即通</w:t>
      </w:r>
      <w:r>
        <w:rPr>
          <w:spacing w:val="-1"/>
        </w:rPr>
        <w:t>知研究者和研究中心监查员。请见 </w:t>
      </w:r>
      <w:r>
        <w:rPr>
          <w:rFonts w:ascii="Times New Roman" w:eastAsia="Times New Roman"/>
        </w:rPr>
        <w:t>IP </w:t>
      </w:r>
      <w:r>
        <w:rPr>
          <w:spacing w:val="-2"/>
        </w:rPr>
        <w:t>手册的产品投诉章节和第 </w:t>
      </w:r>
      <w:hyperlink w:history="true" w:anchor="_bookmark115">
        <w:r>
          <w:rPr>
            <w:rFonts w:ascii="Times New Roman" w:eastAsia="Times New Roman"/>
            <w:color w:val="0000FF"/>
          </w:rPr>
          <w:t>8.3.13.3</w:t>
        </w:r>
      </w:hyperlink>
      <w:r>
        <w:rPr>
          <w:rFonts w:ascii="Times New Roman" w:eastAsia="Times New Roman"/>
          <w:color w:val="0000FF"/>
        </w:rPr>
        <w:t> </w:t>
      </w:r>
      <w:r>
        <w:rPr/>
        <w:t>节。</w:t>
      </w:r>
    </w:p>
    <w:p>
      <w:pPr>
        <w:pStyle w:val="BodyText"/>
        <w:spacing w:line="276" w:lineRule="auto" w:before="239"/>
        <w:ind w:right="117" w:firstLine="480"/>
      </w:pPr>
      <w:r>
        <w:rPr/>
        <w:t>给药前，</w:t>
      </w:r>
      <w:r>
        <w:rPr>
          <w:rFonts w:ascii="Times New Roman" w:eastAsia="Times New Roman"/>
        </w:rPr>
        <w:t>Tozorakimab</w:t>
      </w:r>
      <w:r>
        <w:rPr>
          <w:rFonts w:ascii="Times New Roman" w:eastAsia="Times New Roman"/>
          <w:spacing w:val="17"/>
        </w:rPr>
        <w:t> </w:t>
      </w:r>
      <w:r>
        <w:rPr>
          <w:spacing w:val="-2"/>
        </w:rPr>
        <w:t>和安慰剂应保存在原包装内，于室温下放置至少 </w:t>
      </w:r>
      <w:r>
        <w:rPr>
          <w:rFonts w:ascii="Times New Roman" w:eastAsia="Times New Roman"/>
        </w:rPr>
        <w:t>60</w:t>
      </w:r>
      <w:r>
        <w:rPr>
          <w:rFonts w:ascii="Times New Roman" w:eastAsia="Times New Roman"/>
          <w:spacing w:val="17"/>
        </w:rPr>
        <w:t> </w:t>
      </w:r>
      <w:r>
        <w:rPr/>
        <w:t>分钟。</w:t>
      </w:r>
      <w:r>
        <w:rPr>
          <w:spacing w:val="-5"/>
        </w:rPr>
        <w:t>从冰箱中取出 </w:t>
      </w:r>
      <w:r>
        <w:rPr>
          <w:rFonts w:ascii="Times New Roman" w:eastAsia="Times New Roman"/>
        </w:rPr>
        <w:t>APFS </w:t>
      </w:r>
      <w:r>
        <w:rPr>
          <w:spacing w:val="-4"/>
        </w:rPr>
        <w:t>后，必须在室温放置 </w:t>
      </w:r>
      <w:r>
        <w:rPr>
          <w:rFonts w:ascii="Times New Roman" w:eastAsia="Times New Roman"/>
        </w:rPr>
        <w:t>8 </w:t>
      </w:r>
      <w:r>
        <w:rPr>
          <w:spacing w:val="-6"/>
        </w:rPr>
        <w:t>小时内给予 </w:t>
      </w:r>
      <w:r>
        <w:rPr>
          <w:rFonts w:ascii="Times New Roman" w:eastAsia="Times New Roman"/>
        </w:rPr>
        <w:t>tozorakimab </w:t>
      </w:r>
      <w:r>
        <w:rPr/>
        <w:t>或安慰剂。</w:t>
      </w:r>
    </w:p>
    <w:p>
      <w:pPr>
        <w:pStyle w:val="BodyText"/>
        <w:spacing w:line="276" w:lineRule="auto" w:before="237"/>
        <w:ind w:right="359" w:firstLine="480"/>
      </w:pPr>
      <w:r>
        <w:rPr>
          <w:rFonts w:ascii="Times New Roman" w:eastAsia="Times New Roman"/>
        </w:rPr>
        <w:t>Tozorakimab</w:t>
      </w:r>
      <w:r>
        <w:rPr>
          <w:rFonts w:ascii="Times New Roman" w:eastAsia="Times New Roman"/>
          <w:spacing w:val="-15"/>
        </w:rPr>
        <w:t> </w:t>
      </w:r>
      <w:r>
        <w:rPr>
          <w:spacing w:val="-2"/>
        </w:rPr>
        <w:t>和安慰剂不含防腐剂；使用后必须立即丢弃任何未使用的 </w:t>
      </w:r>
      <w:r>
        <w:rPr>
          <w:rFonts w:ascii="Times New Roman" w:eastAsia="Times New Roman"/>
        </w:rPr>
        <w:t>APFS</w:t>
      </w:r>
      <w:r>
        <w:rPr>
          <w:rFonts w:ascii="Times New Roman" w:eastAsia="Times New Roman"/>
          <w:spacing w:val="-15"/>
        </w:rPr>
        <w:t> </w:t>
      </w:r>
      <w:r>
        <w:rPr/>
        <w:t>内</w:t>
      </w:r>
      <w:r>
        <w:rPr>
          <w:spacing w:val="-4"/>
        </w:rPr>
        <w:t>药物。</w:t>
      </w:r>
    </w:p>
    <w:p>
      <w:pPr>
        <w:pStyle w:val="Heading3"/>
        <w:numPr>
          <w:ilvl w:val="3"/>
          <w:numId w:val="3"/>
        </w:numPr>
        <w:tabs>
          <w:tab w:pos="1355" w:val="left" w:leader="none"/>
        </w:tabs>
        <w:spacing w:line="240" w:lineRule="auto" w:before="239" w:after="0"/>
        <w:ind w:left="1355" w:right="0" w:hanging="1134"/>
        <w:jc w:val="left"/>
      </w:pPr>
      <w:bookmarkStart w:name="6.2.2.2 给药" w:id="105"/>
      <w:bookmarkEnd w:id="105"/>
      <w:r>
        <w:rPr>
          <w:b w:val="0"/>
        </w:rPr>
      </w:r>
      <w:bookmarkStart w:name="_bookmark55" w:id="106"/>
      <w:bookmarkEnd w:id="106"/>
      <w:r>
        <w:rPr>
          <w:b w:val="0"/>
        </w:rPr>
      </w:r>
      <w:r>
        <w:rPr>
          <w:spacing w:val="-6"/>
        </w:rPr>
        <w:t>给药</w:t>
      </w:r>
    </w:p>
    <w:p>
      <w:pPr>
        <w:pStyle w:val="BodyText"/>
        <w:spacing w:before="59"/>
        <w:ind w:left="701"/>
        <w:rPr>
          <w:rFonts w:ascii="Times New Roman" w:eastAsia="Times New Roman"/>
        </w:rPr>
      </w:pPr>
      <w:r>
        <w:rPr>
          <w:spacing w:val="20"/>
        </w:rPr>
        <w:t>根据</w:t>
      </w:r>
      <w:r>
        <w:rPr>
          <w:rFonts w:ascii="Times New Roman" w:eastAsia="Times New Roman"/>
        </w:rPr>
        <w:t>SC</w:t>
      </w:r>
      <w:r>
        <w:rPr>
          <w:rFonts w:ascii="Times New Roman" w:eastAsia="Times New Roman"/>
          <w:spacing w:val="-26"/>
        </w:rPr>
        <w:t> </w:t>
      </w:r>
      <w:r>
        <w:rPr>
          <w:spacing w:val="4"/>
        </w:rPr>
        <w:t>注射的标准规程，使用</w:t>
      </w:r>
      <w:r>
        <w:rPr>
          <w:rFonts w:ascii="Times New Roman" w:eastAsia="Times New Roman"/>
        </w:rPr>
        <w:t>APFS</w:t>
      </w:r>
      <w:r>
        <w:rPr>
          <w:rFonts w:ascii="Times New Roman" w:eastAsia="Times New Roman"/>
          <w:spacing w:val="-26"/>
        </w:rPr>
        <w:t> </w:t>
      </w:r>
      <w:r>
        <w:rPr>
          <w:spacing w:val="4"/>
        </w:rPr>
        <w:t>注射装置给予剂量为</w:t>
      </w:r>
      <w:r>
        <w:rPr>
          <w:rFonts w:ascii="Times New Roman" w:eastAsia="Times New Roman"/>
        </w:rPr>
        <w:t>300mg</w:t>
      </w:r>
      <w:r>
        <w:rPr>
          <w:rFonts w:ascii="Times New Roman" w:eastAsia="Times New Roman"/>
          <w:spacing w:val="-25"/>
        </w:rPr>
        <w:t> </w:t>
      </w:r>
      <w:r>
        <w:rPr>
          <w:spacing w:val="40"/>
        </w:rPr>
        <w:t>的</w:t>
      </w:r>
      <w:r>
        <w:rPr>
          <w:rFonts w:ascii="Times New Roman" w:eastAsia="Times New Roman"/>
          <w:spacing w:val="-2"/>
        </w:rPr>
        <w:t>tozorakimab</w:t>
      </w:r>
    </w:p>
    <w:p>
      <w:pPr>
        <w:pStyle w:val="BodyText"/>
        <w:spacing w:before="46"/>
      </w:pPr>
      <w:r>
        <w:rPr>
          <w:spacing w:val="-2"/>
        </w:rPr>
        <w:t>或安慰剂。</w:t>
      </w:r>
    </w:p>
    <w:p>
      <w:pPr>
        <w:pStyle w:val="BodyText"/>
        <w:spacing w:before="286"/>
        <w:ind w:left="701"/>
      </w:pPr>
      <w:r>
        <w:rPr>
          <w:rFonts w:ascii="Times New Roman" w:eastAsia="Times New Roman"/>
        </w:rPr>
        <w:t>PROSPERO</w:t>
      </w:r>
      <w:r>
        <w:rPr>
          <w:rFonts w:ascii="Times New Roman" w:eastAsia="Times New Roman"/>
          <w:spacing w:val="-17"/>
        </w:rPr>
        <w:t> </w:t>
      </w:r>
      <w:r>
        <w:rPr>
          <w:spacing w:val="-6"/>
        </w:rPr>
        <w:t>中首次给药日视为访视 </w:t>
      </w:r>
      <w:r>
        <w:rPr>
          <w:rFonts w:ascii="Times New Roman" w:eastAsia="Times New Roman"/>
        </w:rPr>
        <w:t>1</w:t>
      </w:r>
      <w:r>
        <w:rPr/>
        <w:t>（</w:t>
      </w:r>
      <w:r>
        <w:rPr>
          <w:spacing w:val="-30"/>
        </w:rPr>
        <w:t>第 </w:t>
      </w:r>
      <w:r>
        <w:rPr>
          <w:rFonts w:ascii="Times New Roman" w:eastAsia="Times New Roman"/>
        </w:rPr>
        <w:t>0</w:t>
      </w:r>
      <w:r>
        <w:rPr>
          <w:rFonts w:ascii="Times New Roman" w:eastAsia="Times New Roman"/>
          <w:spacing w:val="-14"/>
        </w:rPr>
        <w:t> </w:t>
      </w:r>
      <w:r>
        <w:rPr/>
        <w:t>周）</w:t>
      </w:r>
      <w:r>
        <w:rPr>
          <w:spacing w:val="-10"/>
        </w:rPr>
        <w:t>。</w:t>
      </w:r>
    </w:p>
    <w:p>
      <w:pPr>
        <w:pStyle w:val="ListParagraph"/>
        <w:numPr>
          <w:ilvl w:val="4"/>
          <w:numId w:val="3"/>
        </w:numPr>
        <w:tabs>
          <w:tab w:pos="1355" w:val="left" w:leader="none"/>
        </w:tabs>
        <w:spacing w:line="240" w:lineRule="auto" w:before="286" w:after="0"/>
        <w:ind w:left="1355" w:right="0" w:hanging="1134"/>
        <w:jc w:val="left"/>
        <w:rPr>
          <w:b/>
          <w:sz w:val="22"/>
        </w:rPr>
      </w:pPr>
      <w:bookmarkStart w:name="6.2.2.2.1 IP给药前" w:id="107"/>
      <w:bookmarkEnd w:id="107"/>
      <w:r>
        <w:rPr/>
      </w:r>
      <w:r>
        <w:rPr>
          <w:rFonts w:ascii="Times New Roman" w:eastAsia="Times New Roman"/>
          <w:b/>
          <w:spacing w:val="-2"/>
          <w:sz w:val="22"/>
        </w:rPr>
        <w:t>IP</w:t>
      </w:r>
      <w:r>
        <w:rPr>
          <w:rFonts w:ascii="Times New Roman" w:eastAsia="Times New Roman"/>
          <w:b/>
          <w:spacing w:val="-7"/>
          <w:sz w:val="22"/>
        </w:rPr>
        <w:t> </w:t>
      </w:r>
      <w:r>
        <w:rPr>
          <w:b/>
          <w:spacing w:val="-5"/>
          <w:sz w:val="22"/>
        </w:rPr>
        <w:t>给药前</w:t>
      </w:r>
    </w:p>
    <w:p>
      <w:pPr>
        <w:pStyle w:val="BodyText"/>
        <w:spacing w:line="276" w:lineRule="auto" w:before="60"/>
        <w:ind w:right="359" w:firstLine="480"/>
      </w:pPr>
      <w:r>
        <w:rPr>
          <w:rFonts w:ascii="Times New Roman" w:eastAsia="Times New Roman"/>
        </w:rPr>
        <w:t>IP</w:t>
      </w:r>
      <w:r>
        <w:rPr>
          <w:rFonts w:ascii="Times New Roman" w:eastAsia="Times New Roman"/>
          <w:spacing w:val="40"/>
        </w:rPr>
        <w:t> </w:t>
      </w:r>
      <w:r>
        <w:rPr/>
        <w:t>给药前，应完成所有适用的访视程序，包括样本采集。如果受试者在访视期间无法耐受特定的访视程序（如肺功能测定）</w:t>
      </w:r>
      <w:r>
        <w:rPr>
          <w:spacing w:val="14"/>
        </w:rPr>
        <w:t>，则可以先给予  </w:t>
      </w:r>
      <w:r>
        <w:rPr>
          <w:rFonts w:ascii="Times New Roman" w:eastAsia="Times New Roman"/>
        </w:rPr>
        <w:t>IP</w:t>
      </w:r>
      <w:r>
        <w:rPr>
          <w:spacing w:val="-2"/>
        </w:rPr>
        <w:t>，并在其他日期</w:t>
      </w:r>
    </w:p>
    <w:p>
      <w:pPr>
        <w:pStyle w:val="BodyText"/>
        <w:spacing w:line="276" w:lineRule="auto"/>
        <w:ind w:right="357" w:hanging="120"/>
      </w:pPr>
      <w:r>
        <w:rPr>
          <w:spacing w:val="-2"/>
        </w:rPr>
        <w:t>（最好在访视窗内）重新安排该程序。</w:t>
      </w:r>
      <w:r>
        <w:rPr>
          <w:rFonts w:ascii="Times New Roman" w:eastAsia="Times New Roman"/>
          <w:spacing w:val="-2"/>
        </w:rPr>
        <w:t>IP</w:t>
      </w:r>
      <w:r>
        <w:rPr>
          <w:rFonts w:ascii="Times New Roman" w:eastAsia="Times New Roman"/>
          <w:spacing w:val="-28"/>
        </w:rPr>
        <w:t> </w:t>
      </w:r>
      <w:r>
        <w:rPr>
          <w:spacing w:val="-2"/>
        </w:rPr>
        <w:t>给药日给药后不得进行任何程序。必须始终</w:t>
      </w:r>
      <w:r>
        <w:rPr>
          <w:spacing w:val="-9"/>
        </w:rPr>
        <w:t>在 </w:t>
      </w:r>
      <w:r>
        <w:rPr>
          <w:rFonts w:ascii="Times New Roman" w:eastAsia="Times New Roman"/>
        </w:rPr>
        <w:t>IP </w:t>
      </w:r>
      <w:r>
        <w:rPr/>
        <w:t>给药前采集药代动力学（</w:t>
      </w:r>
      <w:r>
        <w:rPr>
          <w:rFonts w:ascii="Times New Roman" w:eastAsia="Times New Roman"/>
        </w:rPr>
        <w:t>PK</w:t>
      </w:r>
      <w:r>
        <w:rPr/>
        <w:t>）</w:t>
      </w:r>
      <w:r>
        <w:rPr>
          <w:spacing w:val="-9"/>
        </w:rPr>
        <w:t>和 </w:t>
      </w:r>
      <w:r>
        <w:rPr>
          <w:rFonts w:ascii="Times New Roman" w:eastAsia="Times New Roman"/>
        </w:rPr>
        <w:t>ADA </w:t>
      </w:r>
      <w:r>
        <w:rPr/>
        <w:t>样本。</w:t>
      </w:r>
    </w:p>
    <w:p>
      <w:pPr>
        <w:pStyle w:val="Heading3"/>
        <w:spacing w:before="236"/>
      </w:pPr>
      <w:r>
        <w:rPr>
          <w:spacing w:val="-21"/>
          <w:u w:val="single"/>
        </w:rPr>
        <w:t>每次 </w:t>
      </w:r>
      <w:r>
        <w:rPr>
          <w:rFonts w:ascii="Times New Roman" w:eastAsia="Times New Roman"/>
          <w:spacing w:val="-2"/>
          <w:u w:val="single"/>
        </w:rPr>
        <w:t>IP</w:t>
      </w:r>
      <w:r>
        <w:rPr>
          <w:rFonts w:ascii="Times New Roman" w:eastAsia="Times New Roman"/>
          <w:spacing w:val="-7"/>
          <w:u w:val="single"/>
        </w:rPr>
        <w:t> </w:t>
      </w:r>
      <w:r>
        <w:rPr>
          <w:spacing w:val="-5"/>
          <w:u w:val="single"/>
        </w:rPr>
        <w:t>给药前</w:t>
      </w:r>
    </w:p>
    <w:p>
      <w:pPr>
        <w:pStyle w:val="ListParagraph"/>
        <w:numPr>
          <w:ilvl w:val="5"/>
          <w:numId w:val="3"/>
        </w:numPr>
        <w:tabs>
          <w:tab w:pos="646" w:val="left" w:leader="none"/>
        </w:tabs>
        <w:spacing w:line="240" w:lineRule="auto" w:before="118" w:after="0"/>
        <w:ind w:left="646" w:right="357" w:hanging="425"/>
        <w:jc w:val="left"/>
        <w:rPr>
          <w:sz w:val="24"/>
        </w:rPr>
      </w:pPr>
      <w:r>
        <w:rPr>
          <w:rFonts w:ascii="Times New Roman" w:hAnsi="Times New Roman" w:eastAsia="Times New Roman"/>
          <w:sz w:val="24"/>
        </w:rPr>
        <w:t>FOCBP</w:t>
      </w:r>
      <w:r>
        <w:rPr>
          <w:rFonts w:ascii="Times New Roman" w:hAnsi="Times New Roman" w:eastAsia="Times New Roman"/>
          <w:spacing w:val="-25"/>
          <w:sz w:val="24"/>
        </w:rPr>
        <w:t> </w:t>
      </w:r>
      <w:r>
        <w:rPr>
          <w:spacing w:val="43"/>
          <w:sz w:val="24"/>
        </w:rPr>
        <w:t>在</w:t>
      </w:r>
      <w:r>
        <w:rPr>
          <w:rFonts w:ascii="Times New Roman" w:hAnsi="Times New Roman" w:eastAsia="Times New Roman"/>
          <w:sz w:val="24"/>
        </w:rPr>
        <w:t>IP</w:t>
      </w:r>
      <w:r>
        <w:rPr>
          <w:rFonts w:ascii="Times New Roman" w:hAnsi="Times New Roman" w:eastAsia="Times New Roman"/>
          <w:spacing w:val="-26"/>
          <w:sz w:val="24"/>
        </w:rPr>
        <w:t> </w:t>
      </w:r>
      <w:r>
        <w:rPr>
          <w:spacing w:val="1"/>
          <w:sz w:val="24"/>
        </w:rPr>
        <w:t>给药前应实施尿液妊娠试验。仅当检查结果呈阴性时方能进行</w:t>
      </w:r>
      <w:r>
        <w:rPr>
          <w:rFonts w:ascii="Times New Roman" w:hAnsi="Times New Roman" w:eastAsia="Times New Roman"/>
          <w:sz w:val="24"/>
        </w:rPr>
        <w:t>IP</w:t>
      </w:r>
      <w:r>
        <w:rPr>
          <w:rFonts w:ascii="Times New Roman" w:hAnsi="Times New Roman" w:eastAsia="Times New Roman"/>
          <w:spacing w:val="-26"/>
          <w:sz w:val="24"/>
        </w:rPr>
        <w:t> </w:t>
      </w:r>
      <w:r>
        <w:rPr>
          <w:sz w:val="24"/>
        </w:rPr>
        <w:t>给药（</w:t>
      </w:r>
      <w:r>
        <w:rPr>
          <w:spacing w:val="-12"/>
          <w:sz w:val="24"/>
        </w:rPr>
        <w:t>第 </w:t>
      </w:r>
      <w:hyperlink w:history="true" w:anchor="_bookmark91">
        <w:r>
          <w:rPr>
            <w:rFonts w:ascii="Times New Roman" w:hAnsi="Times New Roman" w:eastAsia="Times New Roman"/>
            <w:color w:val="0000FF"/>
            <w:sz w:val="24"/>
          </w:rPr>
          <w:t>8.2.6</w:t>
        </w:r>
      </w:hyperlink>
      <w:r>
        <w:rPr>
          <w:rFonts w:ascii="Times New Roman" w:hAnsi="Times New Roman" w:eastAsia="Times New Roman"/>
          <w:color w:val="0000FF"/>
          <w:sz w:val="24"/>
        </w:rPr>
        <w:t> </w:t>
      </w:r>
      <w:r>
        <w:rPr>
          <w:sz w:val="24"/>
        </w:rPr>
        <w:t>节）。</w:t>
      </w:r>
    </w:p>
    <w:p>
      <w:pPr>
        <w:pStyle w:val="ListParagraph"/>
        <w:numPr>
          <w:ilvl w:val="5"/>
          <w:numId w:val="3"/>
        </w:numPr>
        <w:tabs>
          <w:tab w:pos="646" w:val="left" w:leader="none"/>
        </w:tabs>
        <w:spacing w:line="240" w:lineRule="auto" w:before="60" w:after="0"/>
        <w:ind w:left="646" w:right="0" w:hanging="425"/>
        <w:jc w:val="left"/>
        <w:rPr>
          <w:sz w:val="24"/>
        </w:rPr>
      </w:pPr>
      <w:r>
        <w:rPr>
          <w:sz w:val="24"/>
        </w:rPr>
        <w:t>将由研究者</w:t>
      </w:r>
      <w:r>
        <w:rPr>
          <w:rFonts w:ascii="Times New Roman" w:hAnsi="Times New Roman" w:eastAsia="Times New Roman"/>
          <w:sz w:val="24"/>
        </w:rPr>
        <w:t>/</w:t>
      </w:r>
      <w:r>
        <w:rPr>
          <w:spacing w:val="-1"/>
          <w:sz w:val="24"/>
        </w:rPr>
        <w:t>授权代表评估受试者的潜在给药禁忌症情况。</w:t>
      </w:r>
    </w:p>
    <w:p>
      <w:pPr>
        <w:pStyle w:val="ListParagraph"/>
        <w:numPr>
          <w:ilvl w:val="5"/>
          <w:numId w:val="3"/>
        </w:numPr>
        <w:tabs>
          <w:tab w:pos="646" w:val="left" w:leader="none"/>
        </w:tabs>
        <w:spacing w:line="240" w:lineRule="auto" w:before="59" w:after="0"/>
        <w:ind w:left="646" w:right="0" w:hanging="425"/>
        <w:jc w:val="left"/>
        <w:rPr>
          <w:sz w:val="24"/>
        </w:rPr>
      </w:pPr>
      <w:r>
        <w:rPr>
          <w:sz w:val="24"/>
        </w:rPr>
        <w:t>将由研究者</w:t>
      </w:r>
      <w:r>
        <w:rPr>
          <w:rFonts w:ascii="Times New Roman" w:hAnsi="Times New Roman" w:eastAsia="Times New Roman"/>
          <w:sz w:val="24"/>
        </w:rPr>
        <w:t>/</w:t>
      </w:r>
      <w:r>
        <w:rPr>
          <w:spacing w:val="-1"/>
          <w:sz w:val="24"/>
        </w:rPr>
        <w:t>授权代表按照医学诊疗标准评价注射部位。</w:t>
      </w:r>
    </w:p>
    <w:p>
      <w:pPr>
        <w:pStyle w:val="BodyText"/>
        <w:spacing w:before="84"/>
        <w:ind w:left="0"/>
      </w:pPr>
    </w:p>
    <w:p>
      <w:pPr>
        <w:pStyle w:val="ListParagraph"/>
        <w:numPr>
          <w:ilvl w:val="4"/>
          <w:numId w:val="3"/>
        </w:numPr>
        <w:tabs>
          <w:tab w:pos="1355" w:val="left" w:leader="none"/>
        </w:tabs>
        <w:spacing w:line="240" w:lineRule="auto" w:before="0" w:after="0"/>
        <w:ind w:left="1355" w:right="0" w:hanging="1134"/>
        <w:jc w:val="left"/>
        <w:rPr>
          <w:b/>
          <w:sz w:val="22"/>
        </w:rPr>
      </w:pPr>
      <w:bookmarkStart w:name="6.2.2.2.2 IP给药" w:id="108"/>
      <w:bookmarkEnd w:id="108"/>
      <w:r>
        <w:rPr/>
      </w:r>
      <w:r>
        <w:rPr>
          <w:rFonts w:ascii="Times New Roman" w:eastAsia="Times New Roman"/>
          <w:b/>
          <w:sz w:val="22"/>
        </w:rPr>
        <w:t>IP</w:t>
      </w:r>
      <w:r>
        <w:rPr>
          <w:rFonts w:ascii="Times New Roman" w:eastAsia="Times New Roman"/>
          <w:b/>
          <w:spacing w:val="-14"/>
          <w:sz w:val="22"/>
        </w:rPr>
        <w:t> </w:t>
      </w:r>
      <w:r>
        <w:rPr>
          <w:b/>
          <w:spacing w:val="-5"/>
          <w:sz w:val="22"/>
        </w:rPr>
        <w:t>给药</w:t>
      </w:r>
    </w:p>
    <w:p>
      <w:pPr>
        <w:pStyle w:val="BodyText"/>
        <w:spacing w:line="276" w:lineRule="auto" w:before="58"/>
        <w:ind w:right="354" w:firstLine="480"/>
        <w:jc w:val="both"/>
      </w:pPr>
      <w:r>
        <w:rPr>
          <w:rFonts w:ascii="Times New Roman" w:eastAsia="Times New Roman"/>
        </w:rPr>
        <w:t>IP </w:t>
      </w:r>
      <w:r>
        <w:rPr/>
        <w:t>将由研究者</w:t>
      </w:r>
      <w:r>
        <w:rPr>
          <w:rFonts w:ascii="Times New Roman" w:eastAsia="Times New Roman"/>
        </w:rPr>
        <w:t>/</w:t>
      </w:r>
      <w:r>
        <w:rPr>
          <w:spacing w:val="-2"/>
        </w:rPr>
        <w:t>或接受过研究药物给药培训的适当指定人员 </w:t>
      </w:r>
      <w:r>
        <w:rPr>
          <w:rFonts w:ascii="Times New Roman" w:eastAsia="Times New Roman"/>
        </w:rPr>
        <w:t>SC </w:t>
      </w:r>
      <w:r>
        <w:rPr/>
        <w:t>给药，给药部位</w:t>
      </w:r>
      <w:r>
        <w:rPr>
          <w:spacing w:val="-2"/>
        </w:rPr>
        <w:t>为腹部、上臂或大腿。负责给药的工作人员先用酒精擦拭给药部位皮肤表面，待皮</w:t>
      </w:r>
      <w:r>
        <w:rPr>
          <w:spacing w:val="-3"/>
        </w:rPr>
        <w:t>肤表面风干。捏起皮肤，使皮下组织与肌肉分离。针头以 </w:t>
      </w:r>
      <w:r>
        <w:rPr>
          <w:rFonts w:ascii="Times New Roman" w:eastAsia="Times New Roman"/>
          <w:spacing w:val="-2"/>
        </w:rPr>
        <w:t>45</w:t>
      </w:r>
      <w:r>
        <w:rPr>
          <w:rFonts w:ascii="Times New Roman" w:eastAsia="Times New Roman"/>
          <w:spacing w:val="15"/>
        </w:rPr>
        <w:t> </w:t>
      </w:r>
      <w:r>
        <w:rPr>
          <w:spacing w:val="-2"/>
        </w:rPr>
        <w:t>度角完全插入皮下组织</w:t>
      </w:r>
      <w:r>
        <w:rPr>
          <w:spacing w:val="-3"/>
        </w:rPr>
        <w:t>中。缓慢注射 </w:t>
      </w:r>
      <w:r>
        <w:rPr>
          <w:rFonts w:ascii="Times New Roman" w:eastAsia="Times New Roman"/>
        </w:rPr>
        <w:t>IP</w:t>
      </w:r>
      <w:r>
        <w:rPr/>
        <w:t>（</w:t>
      </w:r>
      <w:r>
        <w:rPr>
          <w:spacing w:val="-3"/>
        </w:rPr>
        <w:t>建议至少持续 </w:t>
      </w:r>
      <w:r>
        <w:rPr>
          <w:rFonts w:ascii="Times New Roman" w:eastAsia="Times New Roman"/>
        </w:rPr>
        <w:t>10 </w:t>
      </w:r>
      <w:r>
        <w:rPr/>
        <w:t>秒）。注射后勿按摩给药部位。</w:t>
      </w:r>
    </w:p>
    <w:p>
      <w:pPr>
        <w:pStyle w:val="BodyText"/>
        <w:spacing w:line="276" w:lineRule="auto" w:before="238"/>
        <w:ind w:right="357" w:firstLine="480"/>
        <w:jc w:val="both"/>
      </w:pPr>
      <w:r>
        <w:rPr>
          <w:spacing w:val="-2"/>
        </w:rPr>
        <w:t>建议轮换注射部位，以便受试者从一次访视到下一次访视在不同解剖区域接受 </w:t>
      </w:r>
      <w:r>
        <w:rPr>
          <w:rFonts w:ascii="Times New Roman" w:eastAsia="Times New Roman"/>
        </w:rPr>
        <w:t>IP</w:t>
      </w:r>
      <w:r>
        <w:rPr>
          <w:rFonts w:ascii="Times New Roman" w:eastAsia="Times New Roman"/>
          <w:spacing w:val="-9"/>
        </w:rPr>
        <w:t> </w:t>
      </w:r>
      <w:r>
        <w:rPr/>
        <w:t>注射。如果轮换注射部位不可行和</w:t>
      </w:r>
      <w:r>
        <w:rPr>
          <w:rFonts w:ascii="Times New Roman" w:eastAsia="Times New Roman"/>
        </w:rPr>
        <w:t>/</w:t>
      </w:r>
      <w:r>
        <w:rPr/>
        <w:t>或受试者不愿意轮换注射部位，则应在源文件</w:t>
      </w:r>
      <w:r>
        <w:rPr>
          <w:spacing w:val="-2"/>
        </w:rPr>
        <w:t>中记录不轮换注射部位的原因。</w:t>
      </w:r>
    </w:p>
    <w:p>
      <w:pPr>
        <w:pStyle w:val="BodyText"/>
        <w:spacing w:before="237"/>
        <w:ind w:left="701"/>
      </w:pPr>
      <w:r>
        <w:rPr>
          <w:spacing w:val="-20"/>
        </w:rPr>
        <w:t>各次 </w:t>
      </w:r>
      <w:r>
        <w:rPr>
          <w:rFonts w:ascii="Times New Roman" w:eastAsia="Times New Roman"/>
        </w:rPr>
        <w:t>IP</w:t>
      </w:r>
      <w:r>
        <w:rPr>
          <w:rFonts w:ascii="Times New Roman" w:eastAsia="Times New Roman"/>
          <w:spacing w:val="-15"/>
        </w:rPr>
        <w:t> </w:t>
      </w:r>
      <w:r>
        <w:rPr>
          <w:spacing w:val="-4"/>
        </w:rPr>
        <w:t>访视时，各注射部位必须记录在 </w:t>
      </w:r>
      <w:r>
        <w:rPr>
          <w:rFonts w:ascii="Times New Roman" w:eastAsia="Times New Roman"/>
        </w:rPr>
        <w:t>eCRF</w:t>
      </w:r>
      <w:r>
        <w:rPr>
          <w:rFonts w:ascii="Times New Roman" w:eastAsia="Times New Roman"/>
          <w:spacing w:val="-13"/>
        </w:rPr>
        <w:t> </w:t>
      </w:r>
      <w:r>
        <w:rPr>
          <w:spacing w:val="-2"/>
        </w:rPr>
        <w:t>和源文件中。</w:t>
      </w:r>
    </w:p>
    <w:p>
      <w:pPr>
        <w:spacing w:after="0"/>
        <w:sectPr>
          <w:pgSz w:w="11910" w:h="16840"/>
          <w:pgMar w:header="590" w:footer="784" w:top="1340" w:bottom="980" w:left="1480" w:right="1080"/>
        </w:sectPr>
      </w:pPr>
    </w:p>
    <w:p>
      <w:pPr>
        <w:pStyle w:val="Heading3"/>
        <w:numPr>
          <w:ilvl w:val="3"/>
          <w:numId w:val="3"/>
        </w:numPr>
        <w:tabs>
          <w:tab w:pos="1355" w:val="left" w:leader="none"/>
        </w:tabs>
        <w:spacing w:line="240" w:lineRule="auto" w:before="88" w:after="0"/>
        <w:ind w:left="1355" w:right="0" w:hanging="1134"/>
        <w:jc w:val="left"/>
      </w:pPr>
      <w:bookmarkStart w:name="6.2.2.3 可选IP自行给药" w:id="109"/>
      <w:bookmarkEnd w:id="109"/>
      <w:r>
        <w:rPr>
          <w:b w:val="0"/>
        </w:rPr>
      </w:r>
      <w:bookmarkStart w:name="_bookmark56" w:id="110"/>
      <w:bookmarkEnd w:id="110"/>
      <w:r>
        <w:rPr>
          <w:b w:val="0"/>
        </w:rPr>
      </w:r>
      <w:r>
        <w:rPr>
          <w:spacing w:val="-21"/>
        </w:rPr>
        <w:t>可选 </w:t>
      </w:r>
      <w:r>
        <w:rPr>
          <w:rFonts w:ascii="Times New Roman" w:eastAsia="Times New Roman"/>
          <w:spacing w:val="-2"/>
        </w:rPr>
        <w:t>IP</w:t>
      </w:r>
      <w:r>
        <w:rPr>
          <w:rFonts w:ascii="Times New Roman" w:eastAsia="Times New Roman"/>
          <w:spacing w:val="-8"/>
        </w:rPr>
        <w:t> </w:t>
      </w:r>
      <w:r>
        <w:rPr>
          <w:spacing w:val="-4"/>
        </w:rPr>
        <w:t>自行给药</w:t>
      </w:r>
    </w:p>
    <w:p>
      <w:pPr>
        <w:pStyle w:val="BodyText"/>
        <w:spacing w:line="276" w:lineRule="auto" w:before="58"/>
        <w:ind w:right="356" w:firstLine="480"/>
        <w:jc w:val="both"/>
      </w:pPr>
      <w:r>
        <w:rPr>
          <w:spacing w:val="-6"/>
        </w:rPr>
        <w:t>为了减轻受试者负担，访视 </w:t>
      </w:r>
      <w:r>
        <w:rPr>
          <w:rFonts w:ascii="Times New Roman" w:eastAsia="Times New Roman"/>
          <w:spacing w:val="-4"/>
        </w:rPr>
        <w:t>4</w:t>
      </w:r>
      <w:r>
        <w:rPr>
          <w:rFonts w:ascii="Times New Roman" w:eastAsia="Times New Roman"/>
          <w:spacing w:val="14"/>
        </w:rPr>
        <w:t> </w:t>
      </w:r>
      <w:r>
        <w:rPr>
          <w:spacing w:val="-6"/>
        </w:rPr>
        <w:t>后，受试者可以选择由本人或其护理者使用 </w:t>
      </w:r>
      <w:r>
        <w:rPr>
          <w:rFonts w:ascii="Times New Roman" w:eastAsia="Times New Roman"/>
          <w:spacing w:val="-4"/>
        </w:rPr>
        <w:t>APFS</w:t>
      </w:r>
      <w:r>
        <w:rPr>
          <w:spacing w:val="-2"/>
        </w:rPr>
        <w:t>自行给予 </w:t>
      </w:r>
      <w:r>
        <w:rPr>
          <w:rFonts w:ascii="Times New Roman" w:eastAsia="Times New Roman"/>
        </w:rPr>
        <w:t>IP</w:t>
      </w:r>
      <w:r>
        <w:rPr/>
        <w:t>。研究者必须评价受试者和</w:t>
      </w:r>
      <w:r>
        <w:rPr>
          <w:rFonts w:ascii="Times New Roman" w:eastAsia="Times New Roman"/>
        </w:rPr>
        <w:t>/</w:t>
      </w:r>
      <w:r>
        <w:rPr>
          <w:spacing w:val="-1"/>
        </w:rPr>
        <w:t>或其护理者是否适合进行 </w:t>
      </w:r>
      <w:r>
        <w:rPr>
          <w:rFonts w:ascii="Times New Roman" w:eastAsia="Times New Roman"/>
        </w:rPr>
        <w:t>IP</w:t>
      </w:r>
      <w:r>
        <w:rPr>
          <w:rFonts w:ascii="Times New Roman" w:eastAsia="Times New Roman"/>
          <w:spacing w:val="30"/>
        </w:rPr>
        <w:t> </w:t>
      </w:r>
      <w:r>
        <w:rPr/>
        <w:t>自行给药，并</w:t>
      </w:r>
      <w:r>
        <w:rPr>
          <w:spacing w:val="-1"/>
        </w:rPr>
        <w:t>在现场访视期间对其进行适当的培训。将提供所有必要的供应品和给药说明以及 </w:t>
      </w:r>
      <w:r>
        <w:rPr>
          <w:rFonts w:ascii="Times New Roman" w:eastAsia="Times New Roman"/>
        </w:rPr>
        <w:t>IP</w:t>
      </w:r>
      <w:r>
        <w:rPr>
          <w:spacing w:val="-2"/>
        </w:rPr>
        <w:t>给药记录。</w:t>
      </w:r>
    </w:p>
    <w:p>
      <w:pPr>
        <w:pStyle w:val="BodyText"/>
        <w:spacing w:line="276" w:lineRule="auto" w:before="238"/>
        <w:ind w:right="357" w:firstLine="480"/>
        <w:jc w:val="both"/>
      </w:pPr>
      <w:r>
        <w:rPr>
          <w:spacing w:val="-9"/>
        </w:rPr>
        <w:t>从访视 </w:t>
      </w:r>
      <w:r>
        <w:rPr>
          <w:rFonts w:ascii="Times New Roman" w:eastAsia="Times New Roman"/>
          <w:spacing w:val="-2"/>
        </w:rPr>
        <w:t>5</w:t>
      </w:r>
      <w:r>
        <w:rPr>
          <w:rFonts w:ascii="Times New Roman" w:eastAsia="Times New Roman"/>
          <w:spacing w:val="-4"/>
        </w:rPr>
        <w:t> </w:t>
      </w:r>
      <w:r>
        <w:rPr>
          <w:spacing w:val="-4"/>
        </w:rPr>
        <w:t>开始，一些访视不再包括广泛的现场评估，对于选择 </w:t>
      </w:r>
      <w:r>
        <w:rPr>
          <w:rFonts w:ascii="Times New Roman" w:eastAsia="Times New Roman"/>
          <w:spacing w:val="-2"/>
        </w:rPr>
        <w:t>IP</w:t>
      </w:r>
      <w:r>
        <w:rPr>
          <w:rFonts w:ascii="Times New Roman" w:eastAsia="Times New Roman"/>
          <w:spacing w:val="8"/>
        </w:rPr>
        <w:t> </w:t>
      </w:r>
      <w:r>
        <w:rPr>
          <w:spacing w:val="-2"/>
        </w:rPr>
        <w:t>自行给药的受</w:t>
      </w:r>
      <w:r>
        <w:rPr>
          <w:spacing w:val="-4"/>
        </w:rPr>
        <w:t>试者，可选择通过远程医疗联系进行远程访视（</w:t>
      </w:r>
      <w:r>
        <w:rPr>
          <w:spacing w:val="-15"/>
        </w:rPr>
        <w:t>第 </w:t>
      </w:r>
      <w:hyperlink w:history="true" w:anchor="_bookmark7">
        <w:r>
          <w:rPr>
            <w:rFonts w:ascii="Times New Roman" w:eastAsia="Times New Roman"/>
            <w:color w:val="0000FF"/>
            <w:spacing w:val="-4"/>
          </w:rPr>
          <w:t>1.3</w:t>
        </w:r>
      </w:hyperlink>
      <w:r>
        <w:rPr>
          <w:rFonts w:ascii="Times New Roman" w:eastAsia="Times New Roman"/>
          <w:color w:val="0000FF"/>
          <w:spacing w:val="-11"/>
        </w:rPr>
        <w:t> </w:t>
      </w:r>
      <w:r>
        <w:rPr>
          <w:spacing w:val="-4"/>
        </w:rPr>
        <w:t>节）</w:t>
      </w:r>
      <w:r>
        <w:rPr>
          <w:spacing w:val="-9"/>
        </w:rPr>
        <w:t>。从访视 </w:t>
      </w:r>
      <w:r>
        <w:rPr>
          <w:rFonts w:ascii="Times New Roman" w:eastAsia="Times New Roman"/>
          <w:spacing w:val="-4"/>
        </w:rPr>
        <w:t>4</w:t>
      </w:r>
      <w:r>
        <w:rPr>
          <w:rFonts w:ascii="Times New Roman" w:eastAsia="Times New Roman"/>
          <w:spacing w:val="6"/>
        </w:rPr>
        <w:t> </w:t>
      </w:r>
      <w:r>
        <w:rPr>
          <w:spacing w:val="-4"/>
        </w:rPr>
        <w:t>开始，可分发</w:t>
      </w:r>
      <w:r>
        <w:rPr>
          <w:spacing w:val="4"/>
        </w:rPr>
        <w:t>用于远程访视的</w:t>
      </w:r>
      <w:r>
        <w:rPr>
          <w:rFonts w:ascii="Times New Roman" w:eastAsia="Times New Roman"/>
        </w:rPr>
        <w:t>IP</w:t>
      </w:r>
      <w:r>
        <w:rPr>
          <w:rFonts w:ascii="Times New Roman" w:eastAsia="Times New Roman"/>
          <w:spacing w:val="-15"/>
        </w:rPr>
        <w:t> </w:t>
      </w:r>
      <w:r>
        <w:rPr/>
        <w:t>药盒和妊娠试验的尿液试纸（</w:t>
      </w:r>
      <w:r>
        <w:rPr>
          <w:spacing w:val="15"/>
        </w:rPr>
        <w:t>用于</w:t>
      </w:r>
      <w:r>
        <w:rPr>
          <w:rFonts w:ascii="Times New Roman" w:eastAsia="Times New Roman"/>
        </w:rPr>
        <w:t>FOCBP</w:t>
      </w:r>
      <w:r>
        <w:rPr/>
        <w:t>）（每次一盒，用于下一次远程访视），</w:t>
      </w:r>
      <w:r>
        <w:rPr>
          <w:spacing w:val="-3"/>
        </w:rPr>
        <w:t>前提是已完成可选 </w:t>
      </w:r>
      <w:r>
        <w:rPr>
          <w:rFonts w:ascii="Times New Roman" w:eastAsia="Times New Roman"/>
        </w:rPr>
        <w:t>IP </w:t>
      </w:r>
      <w:r>
        <w:rPr/>
        <w:t>自行给药的强制性培训。</w:t>
      </w:r>
    </w:p>
    <w:p>
      <w:pPr>
        <w:pStyle w:val="BodyText"/>
        <w:spacing w:line="276" w:lineRule="auto" w:before="237"/>
        <w:ind w:right="357" w:firstLine="480"/>
        <w:jc w:val="both"/>
      </w:pPr>
      <w:r>
        <w:rPr>
          <w:spacing w:val="8"/>
        </w:rPr>
        <w:t>如果</w:t>
      </w:r>
      <w:r>
        <w:rPr>
          <w:rFonts w:ascii="Times New Roman" w:eastAsia="Times New Roman"/>
        </w:rPr>
        <w:t>IP</w:t>
      </w:r>
      <w:r>
        <w:rPr>
          <w:rFonts w:ascii="Times New Roman" w:eastAsia="Times New Roman"/>
          <w:spacing w:val="-15"/>
        </w:rPr>
        <w:t> </w:t>
      </w:r>
      <w:r>
        <w:rPr/>
        <w:t>由受试者</w:t>
      </w:r>
      <w:r>
        <w:rPr>
          <w:rFonts w:ascii="Times New Roman" w:eastAsia="Times New Roman"/>
        </w:rPr>
        <w:t>/</w:t>
      </w:r>
      <w:r>
        <w:rPr/>
        <w:t>护理者自行给药，则在计划访视日，</w:t>
      </w:r>
      <w:r>
        <w:rPr>
          <w:rFonts w:ascii="Times New Roman" w:eastAsia="Times New Roman"/>
        </w:rPr>
        <w:t>IP</w:t>
      </w:r>
      <w:r>
        <w:rPr>
          <w:rFonts w:ascii="Times New Roman" w:eastAsia="Times New Roman"/>
          <w:spacing w:val="-15"/>
        </w:rPr>
        <w:t> </w:t>
      </w:r>
      <w:r>
        <w:rPr/>
        <w:t>应在所有访视评估完成</w:t>
      </w:r>
      <w:r>
        <w:rPr>
          <w:spacing w:val="-4"/>
        </w:rPr>
        <w:t>后给药。</w:t>
      </w:r>
    </w:p>
    <w:p>
      <w:pPr>
        <w:pStyle w:val="BodyText"/>
        <w:spacing w:line="276" w:lineRule="auto" w:before="237"/>
        <w:ind w:right="357" w:firstLine="480"/>
        <w:jc w:val="both"/>
      </w:pPr>
      <w:r>
        <w:rPr>
          <w:spacing w:val="-2"/>
        </w:rPr>
        <w:t>研究者或有资质的指定人员将在访视当天 </w:t>
      </w:r>
      <w:r>
        <w:rPr>
          <w:rFonts w:ascii="Times New Roman" w:eastAsia="Times New Roman"/>
        </w:rPr>
        <w:t>IP</w:t>
      </w:r>
      <w:r>
        <w:rPr>
          <w:rFonts w:ascii="Times New Roman" w:eastAsia="Times New Roman"/>
          <w:spacing w:val="-15"/>
        </w:rPr>
        <w:t> </w:t>
      </w:r>
      <w:r>
        <w:rPr/>
        <w:t>自行给药前进行远程医疗联系，以</w:t>
      </w:r>
      <w:r>
        <w:rPr>
          <w:spacing w:val="3"/>
        </w:rPr>
        <w:t>确认受试者无任何</w:t>
      </w:r>
      <w:r>
        <w:rPr>
          <w:rFonts w:ascii="Times New Roman" w:eastAsia="Times New Roman"/>
        </w:rPr>
        <w:t>IP</w:t>
      </w:r>
      <w:r>
        <w:rPr>
          <w:rFonts w:ascii="Times New Roman" w:eastAsia="Times New Roman"/>
          <w:spacing w:val="-15"/>
        </w:rPr>
        <w:t> </w:t>
      </w:r>
      <w:r>
        <w:rPr>
          <w:spacing w:val="4"/>
        </w:rPr>
        <w:t>给药禁忌。对于</w:t>
      </w:r>
      <w:r>
        <w:rPr>
          <w:rFonts w:ascii="Times New Roman" w:eastAsia="Times New Roman"/>
        </w:rPr>
        <w:t>FOCBP</w:t>
      </w:r>
      <w:r>
        <w:rPr/>
        <w:t>，将询问有关妊娠的任何问题，并建议</w:t>
      </w:r>
      <w:r>
        <w:rPr>
          <w:spacing w:val="-2"/>
        </w:rPr>
        <w:t>进行尿液妊娠试验。</w:t>
      </w:r>
    </w:p>
    <w:p>
      <w:pPr>
        <w:pStyle w:val="BodyText"/>
        <w:spacing w:line="276" w:lineRule="auto" w:before="238"/>
        <w:ind w:right="354" w:firstLine="480"/>
        <w:jc w:val="both"/>
      </w:pPr>
      <w:r>
        <w:rPr/>
        <w:t>如果尿液妊娠试验结果为阳性，受试者应联系研究中心，不应自行给予 </w:t>
      </w:r>
      <w:r>
        <w:rPr>
          <w:rFonts w:ascii="Times New Roman" w:eastAsia="Times New Roman"/>
        </w:rPr>
        <w:t>IP</w:t>
      </w:r>
      <w:r>
        <w:rPr/>
        <w:t>。研</w:t>
      </w:r>
      <w:r>
        <w:rPr>
          <w:spacing w:val="-2"/>
        </w:rPr>
        <w:t>究中心工作人员将向受试者提供进一步的指导。</w:t>
      </w:r>
    </w:p>
    <w:p>
      <w:pPr>
        <w:pStyle w:val="BodyText"/>
        <w:spacing w:line="276" w:lineRule="auto" w:before="239"/>
        <w:ind w:right="354" w:firstLine="480"/>
        <w:jc w:val="both"/>
      </w:pPr>
      <w:r>
        <w:rPr>
          <w:rFonts w:ascii="Times New Roman" w:eastAsia="Times New Roman"/>
        </w:rPr>
        <w:t>IP </w:t>
      </w:r>
      <w:r>
        <w:rPr/>
        <w:t>自行给药后，研究者或有资质的指定人员必须联系受试者，根据当地临床实</w:t>
      </w:r>
      <w:r>
        <w:rPr>
          <w:spacing w:val="-2"/>
        </w:rPr>
        <w:t>践评价受试者是否出现任何潜在的急性反应。对于可选的居家自行给药或由护理者给药，强烈建议研究者或指定人员在 </w:t>
      </w:r>
      <w:r>
        <w:rPr>
          <w:rFonts w:ascii="Times New Roman" w:eastAsia="Times New Roman"/>
        </w:rPr>
        <w:t>IP</w:t>
      </w:r>
      <w:r>
        <w:rPr>
          <w:rFonts w:ascii="Times New Roman" w:eastAsia="Times New Roman"/>
          <w:spacing w:val="-15"/>
        </w:rPr>
        <w:t> </w:t>
      </w:r>
      <w:r>
        <w:rPr/>
        <w:t>给药期间与受试者保持远程医疗电话联系。</w:t>
      </w:r>
      <w:r>
        <w:rPr>
          <w:spacing w:val="-5"/>
        </w:rPr>
        <w:t>受试者报告的任何 </w:t>
      </w:r>
      <w:r>
        <w:rPr>
          <w:rFonts w:ascii="Times New Roman" w:eastAsia="Times New Roman"/>
          <w:spacing w:val="-2"/>
        </w:rPr>
        <w:t>AE</w:t>
      </w:r>
      <w:r>
        <w:rPr>
          <w:rFonts w:ascii="Times New Roman" w:eastAsia="Times New Roman"/>
          <w:spacing w:val="6"/>
        </w:rPr>
        <w:t> </w:t>
      </w:r>
      <w:r>
        <w:rPr>
          <w:spacing w:val="-4"/>
        </w:rPr>
        <w:t>均应记录在源文件中，并录入 </w:t>
      </w:r>
      <w:r>
        <w:rPr>
          <w:rFonts w:ascii="Times New Roman" w:eastAsia="Times New Roman"/>
          <w:spacing w:val="-2"/>
        </w:rPr>
        <w:t>eCRF</w:t>
      </w:r>
      <w:r>
        <w:rPr>
          <w:spacing w:val="-2"/>
        </w:rPr>
        <w:t>。此外，受试者报告的任</w:t>
      </w:r>
      <w:r>
        <w:rPr>
          <w:spacing w:val="-3"/>
        </w:rPr>
        <w:t>何器械缺陷均应按照第 </w:t>
      </w:r>
      <w:hyperlink w:history="true" w:anchor="_bookmark111">
        <w:r>
          <w:rPr>
            <w:rFonts w:ascii="Times New Roman" w:eastAsia="Times New Roman"/>
            <w:color w:val="0000FF"/>
          </w:rPr>
          <w:t>8.3.12</w:t>
        </w:r>
      </w:hyperlink>
      <w:r>
        <w:rPr>
          <w:rFonts w:ascii="Times New Roman" w:eastAsia="Times New Roman"/>
          <w:color w:val="0000FF"/>
        </w:rPr>
        <w:t> </w:t>
      </w:r>
      <w:r>
        <w:rPr/>
        <w:t>节所述进行记录和处理。</w:t>
      </w:r>
    </w:p>
    <w:p>
      <w:pPr>
        <w:pStyle w:val="BodyText"/>
        <w:spacing w:line="276" w:lineRule="auto" w:before="235"/>
        <w:ind w:right="351" w:firstLine="480"/>
        <w:jc w:val="both"/>
      </w:pPr>
      <w:r>
        <w:rPr/>
        <w:t>逐步指南（包括研究者评估</w:t>
      </w:r>
      <w:r>
        <w:rPr>
          <w:rFonts w:ascii="Times New Roman" w:eastAsia="Times New Roman"/>
        </w:rPr>
        <w:t>/</w:t>
      </w:r>
      <w:r>
        <w:rPr/>
        <w:t>受试者和</w:t>
      </w:r>
      <w:r>
        <w:rPr>
          <w:rFonts w:ascii="Times New Roman" w:eastAsia="Times New Roman"/>
        </w:rPr>
        <w:t>/</w:t>
      </w:r>
      <w:r>
        <w:rPr/>
        <w:t>或护理者培训、</w:t>
      </w:r>
      <w:r>
        <w:rPr>
          <w:rFonts w:ascii="Times New Roman" w:eastAsia="Times New Roman"/>
        </w:rPr>
        <w:t>IP </w:t>
      </w:r>
      <w:r>
        <w:rPr/>
        <w:t>分发和药物计数），请见本研究为受试者和</w:t>
      </w:r>
      <w:r>
        <w:rPr>
          <w:rFonts w:ascii="Times New Roman" w:eastAsia="Times New Roman"/>
        </w:rPr>
        <w:t>/</w:t>
      </w:r>
      <w:r>
        <w:rPr>
          <w:spacing w:val="-3"/>
        </w:rPr>
        <w:t>或其护理者提供的 </w:t>
      </w:r>
      <w:r>
        <w:rPr>
          <w:rFonts w:ascii="Times New Roman" w:eastAsia="Times New Roman"/>
        </w:rPr>
        <w:t>IP </w:t>
      </w:r>
      <w:r>
        <w:rPr/>
        <w:t>自行给药说明。</w:t>
      </w:r>
    </w:p>
    <w:p>
      <w:pPr>
        <w:pStyle w:val="BodyText"/>
        <w:spacing w:before="239"/>
        <w:ind w:left="701"/>
      </w:pPr>
      <w:r>
        <w:rPr>
          <w:spacing w:val="-3"/>
        </w:rPr>
        <w:t>只有在当地法规允许进行自行给药的国家才可以选择自行给予 </w:t>
      </w:r>
      <w:r>
        <w:rPr>
          <w:rFonts w:ascii="Times New Roman" w:eastAsia="Times New Roman"/>
          <w:spacing w:val="-2"/>
        </w:rPr>
        <w:t>IP</w:t>
      </w:r>
      <w:r>
        <w:rPr>
          <w:spacing w:val="-10"/>
        </w:rPr>
        <w:t>。</w:t>
      </w:r>
    </w:p>
    <w:p>
      <w:pPr>
        <w:pStyle w:val="Heading3"/>
        <w:numPr>
          <w:ilvl w:val="3"/>
          <w:numId w:val="3"/>
        </w:numPr>
        <w:tabs>
          <w:tab w:pos="1355" w:val="left" w:leader="none"/>
        </w:tabs>
        <w:spacing w:line="240" w:lineRule="auto" w:before="286" w:after="0"/>
        <w:ind w:left="1355" w:right="0" w:hanging="1134"/>
        <w:jc w:val="left"/>
      </w:pPr>
      <w:bookmarkStart w:name="6.2.2.4 给药监测" w:id="111"/>
      <w:bookmarkEnd w:id="111"/>
      <w:r>
        <w:rPr>
          <w:b w:val="0"/>
        </w:rPr>
      </w:r>
      <w:bookmarkStart w:name="_bookmark57" w:id="112"/>
      <w:bookmarkEnd w:id="112"/>
      <w:r>
        <w:rPr>
          <w:b w:val="0"/>
        </w:rPr>
      </w:r>
      <w:r>
        <w:rPr>
          <w:spacing w:val="-4"/>
        </w:rPr>
        <w:t>给药监测</w:t>
      </w:r>
    </w:p>
    <w:p>
      <w:pPr>
        <w:pStyle w:val="BodyText"/>
        <w:spacing w:line="276" w:lineRule="auto" w:before="59"/>
        <w:ind w:right="357" w:firstLine="480"/>
        <w:jc w:val="both"/>
      </w:pPr>
      <w:r>
        <w:rPr>
          <w:rFonts w:ascii="Times New Roman" w:eastAsia="Times New Roman"/>
        </w:rPr>
        <w:t>IP</w:t>
      </w:r>
      <w:r>
        <w:rPr>
          <w:rFonts w:ascii="Times New Roman" w:eastAsia="Times New Roman"/>
          <w:spacing w:val="-15"/>
        </w:rPr>
        <w:t> </w:t>
      </w:r>
      <w:r>
        <w:rPr>
          <w:spacing w:val="-4"/>
        </w:rPr>
        <w:t>给药后，将评估 </w:t>
      </w:r>
      <w:r>
        <w:rPr>
          <w:rFonts w:ascii="Times New Roman" w:eastAsia="Times New Roman"/>
        </w:rPr>
        <w:t>SC</w:t>
      </w:r>
      <w:r>
        <w:rPr>
          <w:rFonts w:ascii="Times New Roman" w:eastAsia="Times New Roman"/>
          <w:spacing w:val="-15"/>
        </w:rPr>
        <w:t> </w:t>
      </w:r>
      <w:r>
        <w:rPr>
          <w:spacing w:val="-3"/>
        </w:rPr>
        <w:t>注射部位的任何反应，详见第 </w:t>
      </w:r>
      <w:hyperlink w:history="true" w:anchor="_bookmark99">
        <w:r>
          <w:rPr>
            <w:rFonts w:ascii="Times New Roman" w:eastAsia="Times New Roman"/>
            <w:color w:val="0000FF"/>
          </w:rPr>
          <w:t>8.3.6</w:t>
        </w:r>
      </w:hyperlink>
      <w:r>
        <w:rPr>
          <w:rFonts w:ascii="Times New Roman" w:eastAsia="Times New Roman"/>
          <w:color w:val="0000FF"/>
          <w:spacing w:val="-15"/>
        </w:rPr>
        <w:t> </w:t>
      </w:r>
      <w:r>
        <w:rPr/>
        <w:t>节，并应根据当地针</w:t>
      </w:r>
      <w:r>
        <w:rPr>
          <w:spacing w:val="-15"/>
        </w:rPr>
        <w:t>对 </w:t>
      </w:r>
      <w:r>
        <w:rPr>
          <w:rFonts w:ascii="Times New Roman" w:eastAsia="Times New Roman"/>
          <w:spacing w:val="-2"/>
        </w:rPr>
        <w:t>mAb</w:t>
      </w:r>
      <w:r>
        <w:rPr>
          <w:rFonts w:ascii="Times New Roman" w:eastAsia="Times New Roman"/>
          <w:spacing w:val="13"/>
        </w:rPr>
        <w:t> </w:t>
      </w:r>
      <w:r>
        <w:rPr>
          <w:spacing w:val="-2"/>
        </w:rPr>
        <w:t>的临床实践观察受试者潜在的急性药物反应。对于可选的居家自行给药或由护理者给药，强烈建议研究者或指定人员在 </w:t>
      </w:r>
      <w:r>
        <w:rPr>
          <w:rFonts w:ascii="Times New Roman" w:eastAsia="Times New Roman"/>
        </w:rPr>
        <w:t>IP</w:t>
      </w:r>
      <w:r>
        <w:rPr>
          <w:rFonts w:ascii="Times New Roman" w:eastAsia="Times New Roman"/>
          <w:spacing w:val="-15"/>
        </w:rPr>
        <w:t> </w:t>
      </w:r>
      <w:r>
        <w:rPr/>
        <w:t>给药期间与受试者保持远程医疗电话</w:t>
      </w:r>
      <w:r>
        <w:rPr>
          <w:spacing w:val="-4"/>
        </w:rPr>
        <w:t>联系。</w:t>
      </w:r>
    </w:p>
    <w:p>
      <w:pPr>
        <w:pStyle w:val="BodyText"/>
        <w:spacing w:line="276" w:lineRule="auto" w:before="236"/>
        <w:ind w:right="354" w:firstLine="480"/>
        <w:jc w:val="both"/>
      </w:pPr>
      <w:r>
        <w:rPr>
          <w:spacing w:val="-2"/>
        </w:rPr>
        <w:t>与所有生物制品一样，给药后可能产生过敏反应。因此，应备有即时可用的治疗急性速发过敏反应的适当药物和医疗设备，且应该培训研究工作人员掌握识别和</w:t>
      </w:r>
      <w:r>
        <w:rPr/>
        <w:t>治疗速发过敏反应的技能（</w:t>
      </w:r>
      <w:hyperlink w:history="true" w:anchor="_bookmark161">
        <w:r>
          <w:rPr>
            <w:color w:val="0000FF"/>
            <w:spacing w:val="-5"/>
          </w:rPr>
          <w:t>附录 </w:t>
        </w:r>
        <w:r>
          <w:rPr>
            <w:rFonts w:ascii="Times New Roman" w:eastAsia="Times New Roman"/>
            <w:color w:val="0000FF"/>
          </w:rPr>
          <w:t>F</w:t>
        </w:r>
      </w:hyperlink>
      <w:r>
        <w:rPr>
          <w:rFonts w:ascii="Times New Roman" w:eastAsia="Times New Roman"/>
          <w:color w:val="0000FF"/>
        </w:rPr>
        <w:t> </w:t>
      </w:r>
      <w:r>
        <w:rPr/>
        <w:t>和</w:t>
      </w:r>
      <w:hyperlink w:history="true" w:anchor="_bookmark162">
        <w:r>
          <w:rPr>
            <w:color w:val="0000FF"/>
            <w:spacing w:val="-5"/>
          </w:rPr>
          <w:t>附录 </w:t>
        </w:r>
        <w:r>
          <w:rPr>
            <w:rFonts w:ascii="Times New Roman" w:eastAsia="Times New Roman"/>
            <w:color w:val="0000FF"/>
          </w:rPr>
          <w:t>G</w:t>
        </w:r>
      </w:hyperlink>
      <w:r>
        <w:rPr/>
        <w:t>）。</w:t>
      </w:r>
    </w:p>
    <w:p>
      <w:pPr>
        <w:spacing w:after="0" w:line="276" w:lineRule="auto"/>
        <w:jc w:val="both"/>
        <w:sectPr>
          <w:pgSz w:w="11910" w:h="16840"/>
          <w:pgMar w:header="590" w:footer="784" w:top="1340" w:bottom="980" w:left="1480" w:right="1080"/>
        </w:sectPr>
      </w:pPr>
    </w:p>
    <w:p>
      <w:pPr>
        <w:pStyle w:val="Heading2"/>
        <w:numPr>
          <w:ilvl w:val="2"/>
          <w:numId w:val="3"/>
        </w:numPr>
        <w:tabs>
          <w:tab w:pos="1373" w:val="left" w:leader="none"/>
        </w:tabs>
        <w:spacing w:line="240" w:lineRule="auto" w:before="87" w:after="0"/>
        <w:ind w:left="1373" w:right="0" w:hanging="1152"/>
        <w:jc w:val="left"/>
      </w:pPr>
      <w:bookmarkStart w:name="6.2.3 药物计数" w:id="113"/>
      <w:bookmarkEnd w:id="113"/>
      <w:r>
        <w:rPr>
          <w:b w:val="0"/>
        </w:rPr>
      </w:r>
      <w:bookmarkStart w:name="_bookmark58" w:id="114"/>
      <w:bookmarkEnd w:id="114"/>
      <w:r>
        <w:rPr>
          <w:b w:val="0"/>
        </w:rPr>
      </w:r>
      <w:r>
        <w:rPr>
          <w:spacing w:val="-4"/>
        </w:rPr>
        <w:t>药物计数</w:t>
      </w:r>
    </w:p>
    <w:p>
      <w:pPr>
        <w:pStyle w:val="BodyText"/>
        <w:spacing w:line="276" w:lineRule="auto" w:before="120"/>
        <w:ind w:right="119" w:firstLine="480"/>
      </w:pPr>
      <w:r>
        <w:rPr>
          <w:spacing w:val="6"/>
        </w:rPr>
        <w:t>研究中心指定的</w:t>
      </w:r>
      <w:r>
        <w:rPr>
          <w:rFonts w:ascii="Times New Roman" w:eastAsia="Times New Roman"/>
        </w:rPr>
        <w:t>IP </w:t>
      </w:r>
      <w:r>
        <w:rPr>
          <w:spacing w:val="-4"/>
        </w:rPr>
        <w:t>管理员需要维护准确的 </w:t>
      </w:r>
      <w:r>
        <w:rPr>
          <w:rFonts w:ascii="Times New Roman" w:eastAsia="Times New Roman"/>
        </w:rPr>
        <w:t>IP </w:t>
      </w:r>
      <w:r>
        <w:rPr/>
        <w:t>计数记录。完成研究后，</w:t>
      </w:r>
      <w:r>
        <w:rPr>
          <w:rFonts w:ascii="Times New Roman" w:eastAsia="Times New Roman"/>
        </w:rPr>
        <w:t>IP </w:t>
      </w:r>
      <w:r>
        <w:rPr/>
        <w:t>计数记</w:t>
      </w:r>
      <w:r>
        <w:rPr/>
        <w:t> </w:t>
      </w:r>
      <w:r>
        <w:rPr>
          <w:spacing w:val="-2"/>
        </w:rPr>
        <w:t>录复印件将返还给申办者。所有未使用的 </w:t>
      </w:r>
      <w:r>
        <w:rPr>
          <w:rFonts w:ascii="Times New Roman" w:eastAsia="Times New Roman"/>
        </w:rPr>
        <w:t>IP</w:t>
      </w:r>
      <w:r>
        <w:rPr>
          <w:rFonts w:ascii="Times New Roman" w:eastAsia="Times New Roman"/>
          <w:spacing w:val="-15"/>
        </w:rPr>
        <w:t> </w:t>
      </w:r>
      <w:r>
        <w:rPr/>
        <w:t>将按照研究中心程序在申办者授权后进行</w:t>
      </w:r>
      <w:r>
        <w:rPr>
          <w:spacing w:val="-1"/>
        </w:rPr>
        <w:t>处置，或者如果研究中心无法处置未使用的 </w:t>
      </w:r>
      <w:r>
        <w:rPr>
          <w:rFonts w:ascii="Times New Roman" w:eastAsia="Times New Roman"/>
        </w:rPr>
        <w:t>IP</w:t>
      </w:r>
      <w:r>
        <w:rPr/>
        <w:t>，则将其返还至申办者授权的仓库。如</w:t>
      </w:r>
      <w:r>
        <w:rPr>
          <w:spacing w:val="-2"/>
        </w:rPr>
        <w:t>研究中心程序允许，外包装盒应保存在研究中心，以协助药盒分配检查。</w:t>
      </w:r>
    </w:p>
    <w:p>
      <w:pPr>
        <w:pStyle w:val="Heading1"/>
        <w:numPr>
          <w:ilvl w:val="1"/>
          <w:numId w:val="3"/>
        </w:numPr>
        <w:tabs>
          <w:tab w:pos="1355" w:val="left" w:leader="none"/>
        </w:tabs>
        <w:spacing w:line="240" w:lineRule="auto" w:before="237" w:after="0"/>
        <w:ind w:left="1355" w:right="0" w:hanging="1134"/>
        <w:jc w:val="left"/>
      </w:pPr>
      <w:bookmarkStart w:name="6.3 偏倚最小化措施：随机分组和设盲" w:id="115"/>
      <w:bookmarkEnd w:id="115"/>
      <w:r>
        <w:rPr>
          <w:b w:val="0"/>
        </w:rPr>
      </w:r>
      <w:bookmarkStart w:name="_bookmark59" w:id="116"/>
      <w:bookmarkEnd w:id="116"/>
      <w:r>
        <w:rPr>
          <w:b w:val="0"/>
        </w:rPr>
      </w:r>
      <w:r>
        <w:rPr>
          <w:spacing w:val="-5"/>
        </w:rPr>
        <w:t>偏倚最小化措施：随机分组和设盲</w:t>
      </w:r>
    </w:p>
    <w:p>
      <w:pPr>
        <w:pStyle w:val="Heading2"/>
        <w:numPr>
          <w:ilvl w:val="2"/>
          <w:numId w:val="3"/>
        </w:numPr>
        <w:tabs>
          <w:tab w:pos="1373" w:val="left" w:leader="none"/>
        </w:tabs>
        <w:spacing w:line="240" w:lineRule="auto" w:before="118" w:after="0"/>
        <w:ind w:left="1373" w:right="0" w:hanging="1152"/>
        <w:jc w:val="left"/>
      </w:pPr>
      <w:bookmarkStart w:name="6.3.1 治疗组分配方法" w:id="117"/>
      <w:bookmarkEnd w:id="117"/>
      <w:r>
        <w:rPr>
          <w:b w:val="0"/>
        </w:rPr>
      </w:r>
      <w:bookmarkStart w:name="_bookmark60" w:id="118"/>
      <w:bookmarkEnd w:id="118"/>
      <w:r>
        <w:rPr>
          <w:b w:val="0"/>
        </w:rPr>
      </w:r>
      <w:r>
        <w:rPr>
          <w:spacing w:val="-4"/>
        </w:rPr>
        <w:t>治疗组分配方法</w:t>
      </w:r>
    </w:p>
    <w:p>
      <w:pPr>
        <w:pStyle w:val="BodyText"/>
        <w:spacing w:line="276" w:lineRule="auto" w:before="120"/>
        <w:ind w:right="356" w:firstLine="480"/>
        <w:jc w:val="both"/>
      </w:pPr>
      <w:r>
        <w:rPr>
          <w:spacing w:val="-8"/>
        </w:rPr>
        <w:t>将采用 </w:t>
      </w:r>
      <w:r>
        <w:rPr>
          <w:rFonts w:ascii="Times New Roman" w:eastAsia="Times New Roman"/>
        </w:rPr>
        <w:t>RTSM</w:t>
      </w:r>
      <w:r>
        <w:rPr>
          <w:spacing w:val="-10"/>
        </w:rPr>
        <w:t>，将 </w:t>
      </w:r>
      <w:r>
        <w:rPr>
          <w:rFonts w:ascii="Times New Roman" w:eastAsia="Times New Roman"/>
        </w:rPr>
        <w:t>OBERON</w:t>
      </w:r>
      <w:r>
        <w:rPr>
          <w:rFonts w:ascii="Times New Roman" w:eastAsia="Times New Roman"/>
          <w:spacing w:val="-15"/>
        </w:rPr>
        <w:t> </w:t>
      </w:r>
      <w:r>
        <w:rPr>
          <w:spacing w:val="-15"/>
        </w:rPr>
        <w:t>或 </w:t>
      </w:r>
      <w:r>
        <w:rPr>
          <w:rFonts w:ascii="Times New Roman" w:eastAsia="Times New Roman"/>
        </w:rPr>
        <w:t>TITANIA</w:t>
      </w:r>
      <w:r>
        <w:rPr>
          <w:rFonts w:ascii="Times New Roman" w:eastAsia="Times New Roman"/>
          <w:spacing w:val="-15"/>
        </w:rPr>
        <w:t> </w:t>
      </w:r>
      <w:r>
        <w:rPr/>
        <w:t>前身研究安慰剂组的所有受试者分配</w:t>
      </w:r>
      <w:r>
        <w:rPr>
          <w:spacing w:val="-9"/>
        </w:rPr>
        <w:t>至 </w:t>
      </w:r>
      <w:r>
        <w:rPr>
          <w:rFonts w:ascii="Times New Roman" w:eastAsia="Times New Roman"/>
        </w:rPr>
        <w:t>PROSPERO </w:t>
      </w:r>
      <w:r>
        <w:rPr>
          <w:spacing w:val="-4"/>
        </w:rPr>
        <w:t>中的随机 </w:t>
      </w:r>
      <w:r>
        <w:rPr>
          <w:rFonts w:ascii="Times New Roman" w:eastAsia="Times New Roman"/>
        </w:rPr>
        <w:t>IP </w:t>
      </w:r>
      <w:r>
        <w:rPr/>
        <w:t>组，具体如下：</w:t>
      </w:r>
    </w:p>
    <w:p>
      <w:pPr>
        <w:pStyle w:val="BodyText"/>
        <w:spacing w:before="238"/>
      </w:pPr>
      <w:r>
        <w:rPr>
          <w:u w:val="single"/>
        </w:rPr>
        <w:t>初始随机化方案（</w:t>
      </w:r>
      <w:r>
        <w:rPr>
          <w:rFonts w:ascii="Times New Roman" w:eastAsia="Times New Roman"/>
          <w:u w:val="single"/>
        </w:rPr>
        <w:t>CSP</w:t>
      </w:r>
      <w:r>
        <w:rPr>
          <w:rFonts w:ascii="Times New Roman" w:eastAsia="Times New Roman"/>
          <w:spacing w:val="-14"/>
          <w:u w:val="single"/>
        </w:rPr>
        <w:t> </w:t>
      </w:r>
      <w:r>
        <w:rPr>
          <w:spacing w:val="-30"/>
          <w:u w:val="single"/>
        </w:rPr>
        <w:t>第 </w:t>
      </w:r>
      <w:r>
        <w:rPr>
          <w:rFonts w:ascii="Times New Roman" w:eastAsia="Times New Roman"/>
          <w:u w:val="single"/>
        </w:rPr>
        <w:t>1.0</w:t>
      </w:r>
      <w:r>
        <w:rPr>
          <w:rFonts w:ascii="Times New Roman" w:eastAsia="Times New Roman"/>
          <w:spacing w:val="-12"/>
          <w:u w:val="single"/>
        </w:rPr>
        <w:t> </w:t>
      </w:r>
      <w:r>
        <w:rPr>
          <w:u w:val="single"/>
        </w:rPr>
        <w:t>版</w:t>
      </w:r>
      <w:r>
        <w:rPr>
          <w:spacing w:val="-10"/>
          <w:u w:val="single"/>
        </w:rPr>
        <w:t>）</w:t>
      </w:r>
    </w:p>
    <w:p>
      <w:pPr>
        <w:pStyle w:val="ListParagraph"/>
        <w:numPr>
          <w:ilvl w:val="0"/>
          <w:numId w:val="18"/>
        </w:numPr>
        <w:tabs>
          <w:tab w:pos="646" w:val="left" w:leader="none"/>
        </w:tabs>
        <w:spacing w:line="240" w:lineRule="auto" w:before="120" w:after="0"/>
        <w:ind w:left="646" w:right="0" w:hanging="425"/>
        <w:jc w:val="left"/>
        <w:rPr>
          <w:sz w:val="24"/>
        </w:rPr>
      </w:pPr>
      <w:r>
        <w:rPr>
          <w:spacing w:val="-12"/>
          <w:sz w:val="24"/>
        </w:rPr>
        <w:t>既往接受 </w:t>
      </w:r>
      <w:r>
        <w:rPr>
          <w:rFonts w:ascii="Times New Roman" w:hAnsi="Times New Roman" w:eastAsia="Times New Roman"/>
          <w:sz w:val="24"/>
        </w:rPr>
        <w:t>tozorakimab</w:t>
      </w:r>
      <w:r>
        <w:rPr>
          <w:rFonts w:ascii="Times New Roman" w:hAnsi="Times New Roman" w:eastAsia="Times New Roman"/>
          <w:spacing w:val="-2"/>
          <w:sz w:val="24"/>
        </w:rPr>
        <w:t> </w:t>
      </w:r>
      <w:r>
        <w:rPr>
          <w:rFonts w:ascii="Times New Roman" w:hAnsi="Times New Roman" w:eastAsia="Times New Roman"/>
          <w:sz w:val="24"/>
        </w:rPr>
        <w:t>300 mg</w:t>
      </w:r>
      <w:r>
        <w:rPr>
          <w:rFonts w:ascii="Times New Roman" w:hAnsi="Times New Roman" w:eastAsia="Times New Roman"/>
          <w:spacing w:val="-1"/>
          <w:sz w:val="24"/>
        </w:rPr>
        <w:t> </w:t>
      </w:r>
      <w:r>
        <w:rPr>
          <w:rFonts w:ascii="Times New Roman" w:hAnsi="Times New Roman" w:eastAsia="Times New Roman"/>
          <w:sz w:val="24"/>
        </w:rPr>
        <w:t>Q4W</w:t>
      </w:r>
      <w:r>
        <w:rPr>
          <w:rFonts w:ascii="Times New Roman" w:hAnsi="Times New Roman" w:eastAsia="Times New Roman"/>
          <w:spacing w:val="-1"/>
          <w:sz w:val="24"/>
        </w:rPr>
        <w:t> </w:t>
      </w:r>
      <w:r>
        <w:rPr>
          <w:rFonts w:ascii="Times New Roman" w:hAnsi="Times New Roman" w:eastAsia="Times New Roman"/>
          <w:sz w:val="24"/>
        </w:rPr>
        <w:t>SC</w:t>
      </w:r>
      <w:r>
        <w:rPr>
          <w:rFonts w:ascii="Times New Roman" w:hAnsi="Times New Roman" w:eastAsia="Times New Roman"/>
          <w:spacing w:val="-13"/>
          <w:sz w:val="24"/>
        </w:rPr>
        <w:t> </w:t>
      </w:r>
      <w:r>
        <w:rPr>
          <w:spacing w:val="-1"/>
          <w:sz w:val="24"/>
        </w:rPr>
        <w:t>治疗的受试者将继续接受相同的盲态治疗</w:t>
      </w:r>
    </w:p>
    <w:p>
      <w:pPr>
        <w:pStyle w:val="ListParagraph"/>
        <w:numPr>
          <w:ilvl w:val="0"/>
          <w:numId w:val="18"/>
        </w:numPr>
        <w:tabs>
          <w:tab w:pos="646" w:val="left" w:leader="none"/>
        </w:tabs>
        <w:spacing w:line="240" w:lineRule="auto" w:before="59" w:after="0"/>
        <w:ind w:left="646" w:right="0" w:hanging="425"/>
        <w:jc w:val="left"/>
        <w:rPr>
          <w:sz w:val="24"/>
        </w:rPr>
      </w:pPr>
      <w:r>
        <w:rPr>
          <w:spacing w:val="-12"/>
          <w:sz w:val="24"/>
        </w:rPr>
        <w:t>既往接受 </w:t>
      </w:r>
      <w:r>
        <w:rPr>
          <w:rFonts w:ascii="Times New Roman" w:hAnsi="Times New Roman" w:eastAsia="Times New Roman"/>
          <w:sz w:val="24"/>
        </w:rPr>
        <w:t>tozorakimab</w:t>
      </w:r>
      <w:r>
        <w:rPr>
          <w:rFonts w:ascii="Times New Roman" w:hAnsi="Times New Roman" w:eastAsia="Times New Roman"/>
          <w:spacing w:val="-2"/>
          <w:sz w:val="24"/>
        </w:rPr>
        <w:t> </w:t>
      </w:r>
      <w:r>
        <w:rPr>
          <w:rFonts w:ascii="Times New Roman" w:hAnsi="Times New Roman" w:eastAsia="Times New Roman"/>
          <w:sz w:val="24"/>
        </w:rPr>
        <w:t>300 mg</w:t>
      </w:r>
      <w:r>
        <w:rPr>
          <w:rFonts w:ascii="Times New Roman" w:hAnsi="Times New Roman" w:eastAsia="Times New Roman"/>
          <w:spacing w:val="-1"/>
          <w:sz w:val="24"/>
        </w:rPr>
        <w:t> </w:t>
      </w:r>
      <w:r>
        <w:rPr>
          <w:rFonts w:ascii="Times New Roman" w:hAnsi="Times New Roman" w:eastAsia="Times New Roman"/>
          <w:sz w:val="24"/>
        </w:rPr>
        <w:t>Q8W</w:t>
      </w:r>
      <w:r>
        <w:rPr>
          <w:rFonts w:ascii="Times New Roman" w:hAnsi="Times New Roman" w:eastAsia="Times New Roman"/>
          <w:spacing w:val="-1"/>
          <w:sz w:val="24"/>
        </w:rPr>
        <w:t> </w:t>
      </w:r>
      <w:r>
        <w:rPr>
          <w:rFonts w:ascii="Times New Roman" w:hAnsi="Times New Roman" w:eastAsia="Times New Roman"/>
          <w:sz w:val="24"/>
        </w:rPr>
        <w:t>SC</w:t>
      </w:r>
      <w:r>
        <w:rPr>
          <w:rFonts w:ascii="Times New Roman" w:hAnsi="Times New Roman" w:eastAsia="Times New Roman"/>
          <w:spacing w:val="-13"/>
          <w:sz w:val="24"/>
        </w:rPr>
        <w:t> </w:t>
      </w:r>
      <w:r>
        <w:rPr>
          <w:spacing w:val="-1"/>
          <w:sz w:val="24"/>
        </w:rPr>
        <w:t>治疗的受试者将继续接受相同的盲态治疗</w:t>
      </w:r>
    </w:p>
    <w:p>
      <w:pPr>
        <w:pStyle w:val="ListParagraph"/>
        <w:numPr>
          <w:ilvl w:val="0"/>
          <w:numId w:val="18"/>
        </w:numPr>
        <w:tabs>
          <w:tab w:pos="646" w:val="left" w:leader="none"/>
        </w:tabs>
        <w:spacing w:line="240" w:lineRule="auto" w:before="57" w:after="0"/>
        <w:ind w:left="646" w:right="0" w:hanging="425"/>
        <w:jc w:val="left"/>
        <w:rPr>
          <w:sz w:val="24"/>
        </w:rPr>
      </w:pPr>
      <w:r>
        <w:rPr>
          <w:spacing w:val="20"/>
          <w:sz w:val="24"/>
        </w:rPr>
        <w:t>既往随机分配至安慰剂组的受试者将以 </w:t>
      </w:r>
      <w:r>
        <w:rPr>
          <w:rFonts w:ascii="Times New Roman" w:hAnsi="Times New Roman" w:eastAsia="Times New Roman"/>
          <w:sz w:val="24"/>
        </w:rPr>
        <w:t>1:1:2</w:t>
      </w:r>
      <w:r>
        <w:rPr>
          <w:rFonts w:ascii="Times New Roman" w:hAnsi="Times New Roman" w:eastAsia="Times New Roman"/>
          <w:spacing w:val="55"/>
          <w:sz w:val="24"/>
        </w:rPr>
        <w:t> </w:t>
      </w:r>
      <w:r>
        <w:rPr>
          <w:spacing w:val="19"/>
          <w:sz w:val="24"/>
        </w:rPr>
        <w:t>的比例重新随机分配至盲态</w:t>
      </w:r>
    </w:p>
    <w:p>
      <w:pPr>
        <w:pStyle w:val="BodyText"/>
        <w:spacing w:before="2"/>
        <w:ind w:left="646"/>
      </w:pPr>
      <w:r>
        <w:rPr>
          <w:rFonts w:ascii="Times New Roman" w:eastAsia="Times New Roman"/>
        </w:rPr>
        <w:t>tozorakimab</w:t>
      </w:r>
      <w:r>
        <w:rPr>
          <w:rFonts w:ascii="Times New Roman" w:eastAsia="Times New Roman"/>
          <w:spacing w:val="-1"/>
        </w:rPr>
        <w:t> </w:t>
      </w:r>
      <w:r>
        <w:rPr>
          <w:rFonts w:ascii="Times New Roman" w:eastAsia="Times New Roman"/>
        </w:rPr>
        <w:t>300 mg Q4W</w:t>
      </w:r>
      <w:r>
        <w:rPr>
          <w:rFonts w:ascii="Times New Roman" w:eastAsia="Times New Roman"/>
          <w:spacing w:val="-2"/>
        </w:rPr>
        <w:t> </w:t>
      </w:r>
      <w:r>
        <w:rPr>
          <w:rFonts w:ascii="Times New Roman" w:eastAsia="Times New Roman"/>
        </w:rPr>
        <w:t>SC</w:t>
      </w:r>
      <w:r>
        <w:rPr>
          <w:rFonts w:ascii="Times New Roman" w:eastAsia="Times New Roman"/>
          <w:spacing w:val="-13"/>
        </w:rPr>
        <w:t> </w:t>
      </w:r>
      <w:r>
        <w:rPr/>
        <w:t>组、</w:t>
      </w:r>
      <w:r>
        <w:rPr>
          <w:rFonts w:ascii="Times New Roman" w:eastAsia="Times New Roman"/>
        </w:rPr>
        <w:t>tozorakimab</w:t>
      </w:r>
      <w:r>
        <w:rPr>
          <w:rFonts w:ascii="Times New Roman" w:eastAsia="Times New Roman"/>
          <w:spacing w:val="-1"/>
        </w:rPr>
        <w:t> </w:t>
      </w:r>
      <w:r>
        <w:rPr>
          <w:rFonts w:ascii="Times New Roman" w:eastAsia="Times New Roman"/>
        </w:rPr>
        <w:t>300</w:t>
      </w:r>
      <w:r>
        <w:rPr>
          <w:rFonts w:ascii="Times New Roman" w:eastAsia="Times New Roman"/>
          <w:spacing w:val="-1"/>
        </w:rPr>
        <w:t> </w:t>
      </w:r>
      <w:r>
        <w:rPr>
          <w:rFonts w:ascii="Times New Roman" w:eastAsia="Times New Roman"/>
        </w:rPr>
        <w:t>mg Q8W</w:t>
      </w:r>
      <w:r>
        <w:rPr>
          <w:rFonts w:ascii="Times New Roman" w:eastAsia="Times New Roman"/>
          <w:spacing w:val="-1"/>
        </w:rPr>
        <w:t> </w:t>
      </w:r>
      <w:r>
        <w:rPr>
          <w:rFonts w:ascii="Times New Roman" w:eastAsia="Times New Roman"/>
        </w:rPr>
        <w:t>SC</w:t>
      </w:r>
      <w:r>
        <w:rPr>
          <w:rFonts w:ascii="Times New Roman" w:eastAsia="Times New Roman"/>
          <w:spacing w:val="-13"/>
        </w:rPr>
        <w:t> </w:t>
      </w:r>
      <w:r>
        <w:rPr>
          <w:spacing w:val="-2"/>
        </w:rPr>
        <w:t>组或安慰剂组。</w:t>
      </w:r>
    </w:p>
    <w:p>
      <w:pPr>
        <w:pStyle w:val="BodyText"/>
        <w:spacing w:before="142"/>
        <w:ind w:left="0"/>
      </w:pPr>
    </w:p>
    <w:p>
      <w:pPr>
        <w:pStyle w:val="BodyText"/>
      </w:pPr>
      <w:r>
        <w:rPr>
          <w:u w:val="single"/>
        </w:rPr>
        <w:t>现行随机化方案（</w:t>
      </w:r>
      <w:r>
        <w:rPr>
          <w:rFonts w:ascii="Times New Roman" w:eastAsia="Times New Roman"/>
          <w:u w:val="single"/>
        </w:rPr>
        <w:t>CSP</w:t>
      </w:r>
      <w:r>
        <w:rPr>
          <w:rFonts w:ascii="Times New Roman" w:eastAsia="Times New Roman"/>
          <w:spacing w:val="-14"/>
          <w:u w:val="single"/>
        </w:rPr>
        <w:t> </w:t>
      </w:r>
      <w:r>
        <w:rPr>
          <w:spacing w:val="-30"/>
          <w:u w:val="single"/>
        </w:rPr>
        <w:t>第 </w:t>
      </w:r>
      <w:r>
        <w:rPr>
          <w:rFonts w:ascii="Times New Roman" w:eastAsia="Times New Roman"/>
          <w:u w:val="single"/>
        </w:rPr>
        <w:t>2.0</w:t>
      </w:r>
      <w:r>
        <w:rPr>
          <w:rFonts w:ascii="Times New Roman" w:eastAsia="Times New Roman"/>
          <w:spacing w:val="-12"/>
          <w:u w:val="single"/>
        </w:rPr>
        <w:t> </w:t>
      </w:r>
      <w:r>
        <w:rPr>
          <w:u w:val="single"/>
        </w:rPr>
        <w:t>版</w:t>
      </w:r>
      <w:r>
        <w:rPr>
          <w:spacing w:val="-10"/>
          <w:u w:val="single"/>
        </w:rPr>
        <w:t>）</w:t>
      </w:r>
    </w:p>
    <w:p>
      <w:pPr>
        <w:pStyle w:val="ListParagraph"/>
        <w:numPr>
          <w:ilvl w:val="0"/>
          <w:numId w:val="18"/>
        </w:numPr>
        <w:tabs>
          <w:tab w:pos="646" w:val="left" w:leader="none"/>
        </w:tabs>
        <w:spacing w:line="240" w:lineRule="auto" w:before="121" w:after="0"/>
        <w:ind w:left="646" w:right="0" w:hanging="425"/>
        <w:jc w:val="left"/>
        <w:rPr>
          <w:sz w:val="24"/>
        </w:rPr>
      </w:pPr>
      <w:r>
        <w:rPr>
          <w:spacing w:val="-12"/>
          <w:sz w:val="24"/>
        </w:rPr>
        <w:t>既往接受 </w:t>
      </w:r>
      <w:r>
        <w:rPr>
          <w:rFonts w:ascii="Times New Roman" w:hAnsi="Times New Roman" w:eastAsia="Times New Roman"/>
          <w:sz w:val="24"/>
        </w:rPr>
        <w:t>tozorakimab</w:t>
      </w:r>
      <w:r>
        <w:rPr>
          <w:rFonts w:ascii="Times New Roman" w:hAnsi="Times New Roman" w:eastAsia="Times New Roman"/>
          <w:spacing w:val="8"/>
          <w:sz w:val="24"/>
        </w:rPr>
        <w:t> </w:t>
      </w:r>
      <w:r>
        <w:rPr>
          <w:rFonts w:ascii="Times New Roman" w:hAnsi="Times New Roman" w:eastAsia="Times New Roman"/>
          <w:sz w:val="24"/>
        </w:rPr>
        <w:t>300</w:t>
      </w:r>
      <w:r>
        <w:rPr>
          <w:rFonts w:ascii="Times New Roman" w:hAnsi="Times New Roman" w:eastAsia="Times New Roman"/>
          <w:spacing w:val="7"/>
          <w:sz w:val="24"/>
        </w:rPr>
        <w:t> </w:t>
      </w:r>
      <w:r>
        <w:rPr>
          <w:rFonts w:ascii="Times New Roman" w:hAnsi="Times New Roman" w:eastAsia="Times New Roman"/>
          <w:sz w:val="24"/>
        </w:rPr>
        <w:t>mg</w:t>
      </w:r>
      <w:r>
        <w:rPr>
          <w:rFonts w:ascii="Times New Roman" w:hAnsi="Times New Roman" w:eastAsia="Times New Roman"/>
          <w:spacing w:val="8"/>
          <w:sz w:val="24"/>
        </w:rPr>
        <w:t> </w:t>
      </w:r>
      <w:r>
        <w:rPr>
          <w:rFonts w:ascii="Times New Roman" w:hAnsi="Times New Roman" w:eastAsia="Times New Roman"/>
          <w:sz w:val="24"/>
        </w:rPr>
        <w:t>Q4W</w:t>
      </w:r>
      <w:r>
        <w:rPr>
          <w:rFonts w:ascii="Times New Roman" w:hAnsi="Times New Roman" w:eastAsia="Times New Roman"/>
          <w:spacing w:val="7"/>
          <w:sz w:val="24"/>
        </w:rPr>
        <w:t> </w:t>
      </w:r>
      <w:r>
        <w:rPr>
          <w:rFonts w:ascii="Times New Roman" w:hAnsi="Times New Roman" w:eastAsia="Times New Roman"/>
          <w:sz w:val="24"/>
        </w:rPr>
        <w:t>SC</w:t>
      </w:r>
      <w:r>
        <w:rPr>
          <w:rFonts w:ascii="Times New Roman" w:hAnsi="Times New Roman" w:eastAsia="Times New Roman"/>
          <w:spacing w:val="-13"/>
          <w:sz w:val="24"/>
        </w:rPr>
        <w:t> </w:t>
      </w:r>
      <w:r>
        <w:rPr>
          <w:spacing w:val="-1"/>
          <w:sz w:val="24"/>
        </w:rPr>
        <w:t>治疗的受试者将继续接受相同的盲态治疗。</w:t>
      </w:r>
    </w:p>
    <w:p>
      <w:pPr>
        <w:pStyle w:val="ListParagraph"/>
        <w:numPr>
          <w:ilvl w:val="0"/>
          <w:numId w:val="18"/>
        </w:numPr>
        <w:tabs>
          <w:tab w:pos="646" w:val="left" w:leader="none"/>
        </w:tabs>
        <w:spacing w:line="240" w:lineRule="auto" w:before="57" w:after="0"/>
        <w:ind w:left="646" w:right="357" w:hanging="425"/>
        <w:jc w:val="left"/>
        <w:rPr>
          <w:sz w:val="24"/>
        </w:rPr>
      </w:pPr>
      <w:r>
        <w:rPr>
          <w:spacing w:val="-11"/>
          <w:sz w:val="24"/>
        </w:rPr>
        <w:t>既往接受 </w:t>
      </w:r>
      <w:r>
        <w:rPr>
          <w:rFonts w:ascii="Times New Roman" w:hAnsi="Times New Roman" w:eastAsia="Times New Roman"/>
          <w:sz w:val="24"/>
        </w:rPr>
        <w:t>tozorakimab</w:t>
      </w:r>
      <w:r>
        <w:rPr>
          <w:rFonts w:ascii="Times New Roman" w:hAnsi="Times New Roman" w:eastAsia="Times New Roman"/>
          <w:spacing w:val="18"/>
          <w:sz w:val="24"/>
        </w:rPr>
        <w:t> </w:t>
      </w:r>
      <w:r>
        <w:rPr>
          <w:rFonts w:ascii="Times New Roman" w:hAnsi="Times New Roman" w:eastAsia="Times New Roman"/>
          <w:sz w:val="24"/>
        </w:rPr>
        <w:t>300</w:t>
      </w:r>
      <w:r>
        <w:rPr>
          <w:rFonts w:ascii="Times New Roman" w:hAnsi="Times New Roman" w:eastAsia="Times New Roman"/>
          <w:spacing w:val="24"/>
          <w:sz w:val="24"/>
        </w:rPr>
        <w:t> </w:t>
      </w:r>
      <w:r>
        <w:rPr>
          <w:rFonts w:ascii="Times New Roman" w:hAnsi="Times New Roman" w:eastAsia="Times New Roman"/>
          <w:sz w:val="24"/>
        </w:rPr>
        <w:t>mg</w:t>
      </w:r>
      <w:r>
        <w:rPr>
          <w:rFonts w:ascii="Times New Roman" w:hAnsi="Times New Roman" w:eastAsia="Times New Roman"/>
          <w:spacing w:val="25"/>
          <w:sz w:val="24"/>
        </w:rPr>
        <w:t> </w:t>
      </w:r>
      <w:r>
        <w:rPr>
          <w:rFonts w:ascii="Times New Roman" w:hAnsi="Times New Roman" w:eastAsia="Times New Roman"/>
          <w:sz w:val="24"/>
        </w:rPr>
        <w:t>Q8W</w:t>
      </w:r>
      <w:r>
        <w:rPr>
          <w:rFonts w:ascii="Times New Roman" w:hAnsi="Times New Roman" w:eastAsia="Times New Roman"/>
          <w:spacing w:val="24"/>
          <w:sz w:val="24"/>
        </w:rPr>
        <w:t> </w:t>
      </w:r>
      <w:r>
        <w:rPr>
          <w:rFonts w:ascii="Times New Roman" w:hAnsi="Times New Roman" w:eastAsia="Times New Roman"/>
          <w:sz w:val="24"/>
        </w:rPr>
        <w:t>SC</w:t>
      </w:r>
      <w:r>
        <w:rPr>
          <w:rFonts w:ascii="Times New Roman" w:hAnsi="Times New Roman" w:eastAsia="Times New Roman"/>
          <w:spacing w:val="-8"/>
          <w:sz w:val="24"/>
        </w:rPr>
        <w:t> </w:t>
      </w:r>
      <w:r>
        <w:rPr>
          <w:spacing w:val="-5"/>
          <w:sz w:val="24"/>
        </w:rPr>
        <w:t>治疗的受试者将在进入 </w:t>
      </w:r>
      <w:r>
        <w:rPr>
          <w:rFonts w:ascii="Times New Roman" w:hAnsi="Times New Roman" w:eastAsia="Times New Roman"/>
          <w:sz w:val="24"/>
        </w:rPr>
        <w:t>PROSPERO</w:t>
      </w:r>
      <w:r>
        <w:rPr>
          <w:rFonts w:ascii="Times New Roman" w:hAnsi="Times New Roman" w:eastAsia="Times New Roman"/>
          <w:spacing w:val="-9"/>
          <w:sz w:val="24"/>
        </w:rPr>
        <w:t> </w:t>
      </w:r>
      <w:r>
        <w:rPr>
          <w:sz w:val="24"/>
        </w:rPr>
        <w:t>时更</w:t>
      </w:r>
      <w:r>
        <w:rPr>
          <w:spacing w:val="-10"/>
          <w:sz w:val="24"/>
        </w:rPr>
        <w:t>换为 </w:t>
      </w:r>
      <w:r>
        <w:rPr>
          <w:rFonts w:ascii="Times New Roman" w:hAnsi="Times New Roman" w:eastAsia="Times New Roman"/>
          <w:sz w:val="24"/>
        </w:rPr>
        <w:t>tozorakimab 300 mg Q4W SC</w:t>
      </w:r>
      <w:r>
        <w:rPr>
          <w:sz w:val="24"/>
        </w:rPr>
        <w:t>。</w:t>
      </w:r>
    </w:p>
    <w:p>
      <w:pPr>
        <w:pStyle w:val="ListParagraph"/>
        <w:numPr>
          <w:ilvl w:val="0"/>
          <w:numId w:val="18"/>
        </w:numPr>
        <w:tabs>
          <w:tab w:pos="646" w:val="left" w:leader="none"/>
        </w:tabs>
        <w:spacing w:line="240" w:lineRule="auto" w:before="59" w:after="0"/>
        <w:ind w:left="646" w:right="0" w:hanging="425"/>
        <w:jc w:val="left"/>
        <w:rPr>
          <w:sz w:val="24"/>
        </w:rPr>
      </w:pPr>
      <w:r>
        <w:rPr>
          <w:spacing w:val="26"/>
          <w:sz w:val="24"/>
        </w:rPr>
        <w:t>既往随机分配至安慰剂组的受试者将以 </w:t>
      </w:r>
      <w:r>
        <w:rPr>
          <w:rFonts w:ascii="Times New Roman" w:hAnsi="Times New Roman" w:eastAsia="Times New Roman"/>
          <w:sz w:val="24"/>
        </w:rPr>
        <w:t>1:1</w:t>
      </w:r>
      <w:r>
        <w:rPr>
          <w:rFonts w:ascii="Times New Roman" w:hAnsi="Times New Roman" w:eastAsia="Times New Roman"/>
          <w:spacing w:val="63"/>
          <w:sz w:val="24"/>
        </w:rPr>
        <w:t> </w:t>
      </w:r>
      <w:r>
        <w:rPr>
          <w:spacing w:val="24"/>
          <w:sz w:val="24"/>
        </w:rPr>
        <w:t>的比例重新随机分配至盲态</w:t>
      </w:r>
    </w:p>
    <w:p>
      <w:pPr>
        <w:pStyle w:val="BodyText"/>
        <w:ind w:left="646"/>
      </w:pPr>
      <w:r>
        <w:rPr>
          <w:rFonts w:ascii="Times New Roman" w:eastAsia="Times New Roman"/>
        </w:rPr>
        <w:t>tozorakimab</w:t>
      </w:r>
      <w:r>
        <w:rPr>
          <w:rFonts w:ascii="Times New Roman" w:eastAsia="Times New Roman"/>
          <w:spacing w:val="-1"/>
        </w:rPr>
        <w:t> </w:t>
      </w:r>
      <w:r>
        <w:rPr>
          <w:rFonts w:ascii="Times New Roman" w:eastAsia="Times New Roman"/>
        </w:rPr>
        <w:t>300 mg Q4W SC</w:t>
      </w:r>
      <w:r>
        <w:rPr>
          <w:rFonts w:ascii="Times New Roman" w:eastAsia="Times New Roman"/>
          <w:spacing w:val="-13"/>
        </w:rPr>
        <w:t> </w:t>
      </w:r>
      <w:r>
        <w:rPr>
          <w:spacing w:val="-2"/>
        </w:rPr>
        <w:t>组或安慰剂组。</w:t>
      </w:r>
    </w:p>
    <w:p>
      <w:pPr>
        <w:pStyle w:val="ListParagraph"/>
        <w:numPr>
          <w:ilvl w:val="0"/>
          <w:numId w:val="18"/>
        </w:numPr>
        <w:tabs>
          <w:tab w:pos="646" w:val="left" w:leader="none"/>
        </w:tabs>
        <w:spacing w:line="240" w:lineRule="auto" w:before="58" w:after="0"/>
        <w:ind w:left="646" w:right="358" w:hanging="425"/>
        <w:jc w:val="left"/>
        <w:rPr>
          <w:sz w:val="24"/>
        </w:rPr>
      </w:pPr>
      <w:r>
        <w:rPr>
          <w:spacing w:val="-16"/>
          <w:sz w:val="24"/>
        </w:rPr>
        <w:t>根据 </w:t>
      </w:r>
      <w:r>
        <w:rPr>
          <w:rFonts w:ascii="Times New Roman" w:hAnsi="Times New Roman" w:eastAsia="Times New Roman"/>
          <w:sz w:val="24"/>
        </w:rPr>
        <w:t>CSP</w:t>
      </w:r>
      <w:r>
        <w:rPr>
          <w:rFonts w:ascii="Times New Roman" w:hAnsi="Times New Roman" w:eastAsia="Times New Roman"/>
          <w:spacing w:val="-14"/>
          <w:sz w:val="24"/>
        </w:rPr>
        <w:t> </w:t>
      </w:r>
      <w:r>
        <w:rPr>
          <w:spacing w:val="-24"/>
          <w:sz w:val="24"/>
        </w:rPr>
        <w:t>第 </w:t>
      </w:r>
      <w:r>
        <w:rPr>
          <w:rFonts w:ascii="Times New Roman" w:hAnsi="Times New Roman" w:eastAsia="Times New Roman"/>
          <w:sz w:val="24"/>
        </w:rPr>
        <w:t>1.0</w:t>
      </w:r>
      <w:r>
        <w:rPr>
          <w:rFonts w:ascii="Times New Roman" w:hAnsi="Times New Roman" w:eastAsia="Times New Roman"/>
          <w:spacing w:val="-5"/>
          <w:sz w:val="24"/>
        </w:rPr>
        <w:t> </w:t>
      </w:r>
      <w:r>
        <w:rPr>
          <w:spacing w:val="-4"/>
          <w:sz w:val="24"/>
        </w:rPr>
        <w:t>版，分配或重新随机分配至 </w:t>
      </w:r>
      <w:r>
        <w:rPr>
          <w:rFonts w:ascii="Times New Roman" w:hAnsi="Times New Roman" w:eastAsia="Times New Roman"/>
          <w:sz w:val="24"/>
        </w:rPr>
        <w:t>tozorakimab</w:t>
      </w:r>
      <w:r>
        <w:rPr>
          <w:rFonts w:ascii="Times New Roman" w:hAnsi="Times New Roman" w:eastAsia="Times New Roman"/>
          <w:spacing w:val="26"/>
          <w:sz w:val="24"/>
        </w:rPr>
        <w:t> </w:t>
      </w:r>
      <w:r>
        <w:rPr>
          <w:rFonts w:ascii="Times New Roman" w:hAnsi="Times New Roman" w:eastAsia="Times New Roman"/>
          <w:sz w:val="24"/>
        </w:rPr>
        <w:t>300</w:t>
      </w:r>
      <w:r>
        <w:rPr>
          <w:rFonts w:ascii="Times New Roman" w:hAnsi="Times New Roman" w:eastAsia="Times New Roman"/>
          <w:spacing w:val="24"/>
          <w:sz w:val="24"/>
        </w:rPr>
        <w:t> </w:t>
      </w:r>
      <w:r>
        <w:rPr>
          <w:rFonts w:ascii="Times New Roman" w:hAnsi="Times New Roman" w:eastAsia="Times New Roman"/>
          <w:sz w:val="24"/>
        </w:rPr>
        <w:t>mg</w:t>
      </w:r>
      <w:r>
        <w:rPr>
          <w:rFonts w:ascii="Times New Roman" w:hAnsi="Times New Roman" w:eastAsia="Times New Roman"/>
          <w:spacing w:val="24"/>
          <w:sz w:val="24"/>
        </w:rPr>
        <w:t> </w:t>
      </w:r>
      <w:r>
        <w:rPr>
          <w:rFonts w:ascii="Times New Roman" w:hAnsi="Times New Roman" w:eastAsia="Times New Roman"/>
          <w:sz w:val="24"/>
        </w:rPr>
        <w:t>Q8W</w:t>
      </w:r>
      <w:r>
        <w:rPr>
          <w:rFonts w:ascii="Times New Roman" w:hAnsi="Times New Roman" w:eastAsia="Times New Roman"/>
          <w:spacing w:val="-5"/>
          <w:sz w:val="24"/>
        </w:rPr>
        <w:t> </w:t>
      </w:r>
      <w:r>
        <w:rPr>
          <w:sz w:val="24"/>
        </w:rPr>
        <w:t>组的受试</w:t>
      </w:r>
      <w:r>
        <w:rPr>
          <w:spacing w:val="-2"/>
          <w:sz w:val="24"/>
        </w:rPr>
        <w:t>者将继续接受相同的治疗，直至研究完成。</w:t>
      </w:r>
    </w:p>
    <w:p>
      <w:pPr>
        <w:pStyle w:val="BodyText"/>
        <w:spacing w:before="24"/>
        <w:ind w:left="0"/>
      </w:pPr>
    </w:p>
    <w:p>
      <w:pPr>
        <w:pStyle w:val="BodyText"/>
        <w:spacing w:line="276" w:lineRule="auto"/>
        <w:ind w:right="353" w:firstLine="480"/>
        <w:jc w:val="both"/>
      </w:pPr>
      <w:r>
        <w:rPr>
          <w:spacing w:val="-6"/>
        </w:rPr>
        <w:t>将为所有 </w:t>
      </w:r>
      <w:r>
        <w:rPr>
          <w:rFonts w:ascii="Times New Roman" w:eastAsia="Times New Roman"/>
        </w:rPr>
        <w:t>OBERON</w:t>
      </w:r>
      <w:r>
        <w:rPr>
          <w:rFonts w:ascii="Times New Roman" w:eastAsia="Times New Roman"/>
          <w:spacing w:val="-11"/>
        </w:rPr>
        <w:t> </w:t>
      </w:r>
      <w:r>
        <w:rPr>
          <w:spacing w:val="-15"/>
        </w:rPr>
        <w:t>和 </w:t>
      </w:r>
      <w:r>
        <w:rPr>
          <w:rFonts w:ascii="Times New Roman" w:eastAsia="Times New Roman"/>
        </w:rPr>
        <w:t>TITANIA</w:t>
      </w:r>
      <w:r>
        <w:rPr>
          <w:rFonts w:ascii="Times New Roman" w:eastAsia="Times New Roman"/>
          <w:spacing w:val="7"/>
        </w:rPr>
        <w:t> </w:t>
      </w:r>
      <w:r>
        <w:rPr/>
        <w:t>受试者生成随机化方案，无论是否完成前身研</w:t>
      </w:r>
      <w:r>
        <w:rPr>
          <w:spacing w:val="-3"/>
        </w:rPr>
        <w:t>究，而不仅仅是为完成 </w:t>
      </w:r>
      <w:r>
        <w:rPr>
          <w:rFonts w:ascii="Times New Roman" w:eastAsia="Times New Roman"/>
        </w:rPr>
        <w:t>OBERON</w:t>
      </w:r>
      <w:r>
        <w:rPr>
          <w:rFonts w:ascii="Times New Roman" w:eastAsia="Times New Roman"/>
          <w:spacing w:val="-9"/>
        </w:rPr>
        <w:t> </w:t>
      </w:r>
      <w:r>
        <w:rPr>
          <w:spacing w:val="-15"/>
        </w:rPr>
        <w:t>和 </w:t>
      </w:r>
      <w:r>
        <w:rPr>
          <w:rFonts w:ascii="Times New Roman" w:eastAsia="Times New Roman"/>
        </w:rPr>
        <w:t>TITANIA </w:t>
      </w:r>
      <w:r>
        <w:rPr/>
        <w:t>的受试者生成；这样可以确保自前身</w:t>
      </w:r>
      <w:r>
        <w:rPr>
          <w:spacing w:val="-2"/>
        </w:rPr>
        <w:t>研究随机化开始组间比较在综合分析中的可靠性，而不仅仅是在能够接受长期治疗的受试者亚组中。</w:t>
      </w:r>
    </w:p>
    <w:p>
      <w:pPr>
        <w:pStyle w:val="BodyText"/>
        <w:spacing w:line="276" w:lineRule="auto" w:before="236"/>
        <w:ind w:right="116" w:firstLine="480"/>
      </w:pPr>
      <w:r>
        <w:rPr>
          <w:spacing w:val="-2"/>
        </w:rPr>
        <w:t>当受试者有资格接受随机分组时，将在各分层中严格按顺序分配随机编码。随</w:t>
      </w:r>
      <w:r>
        <w:rPr>
          <w:spacing w:val="80"/>
          <w:w w:val="150"/>
        </w:rPr>
        <w:t> </w:t>
      </w:r>
      <w:r>
        <w:rPr>
          <w:spacing w:val="-2"/>
        </w:rPr>
        <w:t>机化将按前身研究（</w:t>
      </w:r>
      <w:r>
        <w:rPr>
          <w:rFonts w:ascii="Times New Roman" w:eastAsia="Times New Roman"/>
          <w:spacing w:val="-2"/>
        </w:rPr>
        <w:t>OBERON</w:t>
      </w:r>
      <w:r>
        <w:rPr>
          <w:rFonts w:ascii="Times New Roman" w:eastAsia="Times New Roman"/>
          <w:spacing w:val="-4"/>
        </w:rPr>
        <w:t> </w:t>
      </w:r>
      <w:r>
        <w:rPr>
          <w:spacing w:val="-24"/>
        </w:rPr>
        <w:t>与 </w:t>
      </w:r>
      <w:r>
        <w:rPr>
          <w:rFonts w:ascii="Times New Roman" w:eastAsia="Times New Roman"/>
          <w:spacing w:val="-2"/>
        </w:rPr>
        <w:t>TITANIA</w:t>
      </w:r>
      <w:r>
        <w:rPr>
          <w:spacing w:val="-2"/>
        </w:rPr>
        <w:t>）、吸烟状况（吸烟者与戒烟者）、吸入性维持治疗（二联与三联）和地区分层，根据前身研究的随机化情况确定这些分层，不考虑后续任何变化。</w:t>
      </w:r>
    </w:p>
    <w:p>
      <w:pPr>
        <w:pStyle w:val="BodyText"/>
        <w:spacing w:line="276" w:lineRule="auto" w:before="237"/>
        <w:ind w:right="357" w:firstLine="480"/>
        <w:jc w:val="both"/>
      </w:pPr>
      <w:r>
        <w:rPr>
          <w:spacing w:val="-2"/>
        </w:rPr>
        <w:t>在任何情况下，不符合入选</w:t>
      </w:r>
      <w:r>
        <w:rPr>
          <w:rFonts w:ascii="Times New Roman" w:eastAsia="Times New Roman"/>
          <w:spacing w:val="-2"/>
        </w:rPr>
        <w:t>/</w:t>
      </w:r>
      <w:r>
        <w:rPr>
          <w:spacing w:val="-2"/>
        </w:rPr>
        <w:t>排除标准的受试者均不得进行随机化，也不得接受 </w:t>
      </w:r>
      <w:r>
        <w:rPr>
          <w:rFonts w:ascii="Times New Roman" w:eastAsia="Times New Roman"/>
        </w:rPr>
        <w:t>IP</w:t>
      </w:r>
      <w:r>
        <w:rPr>
          <w:rFonts w:ascii="Times New Roman" w:eastAsia="Times New Roman"/>
          <w:spacing w:val="-9"/>
        </w:rPr>
        <w:t> </w:t>
      </w:r>
      <w:r>
        <w:rPr/>
        <w:t>治疗。此规则不存在例外情况。若受试者在入选后退出研究，则其入选</w:t>
      </w:r>
      <w:r>
        <w:rPr>
          <w:rFonts w:ascii="Times New Roman" w:eastAsia="Times New Roman"/>
        </w:rPr>
        <w:t>/</w:t>
      </w:r>
      <w:r>
        <w:rPr/>
        <w:t>随机化编</w:t>
      </w:r>
      <w:r>
        <w:rPr>
          <w:spacing w:val="-2"/>
        </w:rPr>
        <w:t>码不得重复使用。对于退出的受试者，将不进行替换。</w:t>
      </w:r>
    </w:p>
    <w:p>
      <w:pPr>
        <w:spacing w:after="0" w:line="276" w:lineRule="auto"/>
        <w:jc w:val="both"/>
        <w:sectPr>
          <w:pgSz w:w="11910" w:h="16840"/>
          <w:pgMar w:header="590" w:footer="784" w:top="1340" w:bottom="980" w:left="1480" w:right="1080"/>
        </w:sectPr>
      </w:pPr>
    </w:p>
    <w:p>
      <w:pPr>
        <w:pStyle w:val="Heading2"/>
        <w:numPr>
          <w:ilvl w:val="2"/>
          <w:numId w:val="3"/>
        </w:numPr>
        <w:tabs>
          <w:tab w:pos="1371" w:val="left" w:leader="none"/>
        </w:tabs>
        <w:spacing w:line="240" w:lineRule="auto" w:before="87" w:after="0"/>
        <w:ind w:left="1371" w:right="0" w:hanging="1150"/>
        <w:jc w:val="both"/>
      </w:pPr>
      <w:bookmarkStart w:name="6.3.2 确保盲态方法" w:id="119"/>
      <w:bookmarkEnd w:id="119"/>
      <w:r>
        <w:rPr>
          <w:b w:val="0"/>
        </w:rPr>
      </w:r>
      <w:bookmarkStart w:name="_bookmark61" w:id="120"/>
      <w:bookmarkEnd w:id="120"/>
      <w:r>
        <w:rPr>
          <w:b w:val="0"/>
        </w:rPr>
      </w:r>
      <w:r>
        <w:rPr>
          <w:spacing w:val="-5"/>
        </w:rPr>
        <w:t>确保盲态方法</w:t>
      </w:r>
    </w:p>
    <w:p>
      <w:pPr>
        <w:pStyle w:val="BodyText"/>
        <w:spacing w:line="276" w:lineRule="auto" w:before="120"/>
        <w:ind w:right="360" w:firstLine="480"/>
        <w:jc w:val="both"/>
      </w:pPr>
      <w:r>
        <w:rPr>
          <w:spacing w:val="-2"/>
        </w:rPr>
        <w:t>本研究是一项双盲研究，参与本研究的研究中心工作人员和受试者在临床研究</w:t>
      </w:r>
      <w:r>
        <w:rPr>
          <w:spacing w:val="13"/>
        </w:rPr>
        <w:t>期间保持盲态。为确保研究盲态， 在 </w:t>
      </w:r>
      <w:r>
        <w:rPr>
          <w:rFonts w:ascii="Times New Roman" w:eastAsia="Times New Roman"/>
        </w:rPr>
        <w:t>APFS</w:t>
      </w:r>
      <w:r>
        <w:rPr>
          <w:rFonts w:ascii="Times New Roman" w:eastAsia="Times New Roman"/>
          <w:spacing w:val="-15"/>
        </w:rPr>
        <w:t> </w:t>
      </w:r>
      <w:r>
        <w:rPr>
          <w:spacing w:val="14"/>
        </w:rPr>
        <w:t>生产期间， 将黄色盲态标签贴在</w:t>
      </w:r>
      <w:r>
        <w:rPr/>
        <w:t> </w:t>
      </w:r>
      <w:r>
        <w:rPr>
          <w:rFonts w:ascii="Times New Roman" w:eastAsia="Times New Roman"/>
        </w:rPr>
        <w:t>tozorakimab</w:t>
      </w:r>
      <w:r>
        <w:rPr>
          <w:rFonts w:ascii="Times New Roman" w:eastAsia="Times New Roman"/>
          <w:spacing w:val="-3"/>
        </w:rPr>
        <w:t> </w:t>
      </w:r>
      <w:r>
        <w:rPr/>
        <w:t>和安慰剂注射器筒上。</w:t>
      </w:r>
    </w:p>
    <w:p>
      <w:pPr>
        <w:pStyle w:val="BodyText"/>
        <w:spacing w:line="276" w:lineRule="auto" w:before="238"/>
        <w:ind w:right="354" w:firstLine="480"/>
        <w:jc w:val="both"/>
      </w:pPr>
      <w:r>
        <w:rPr>
          <w:rFonts w:ascii="Times New Roman" w:eastAsia="Times New Roman"/>
        </w:rPr>
        <w:t>IP </w:t>
      </w:r>
      <w:r>
        <w:rPr/>
        <w:t>的所有包装和贴签工作均需确保所有受试者、申办者和研究中心工作人员可</w:t>
      </w:r>
      <w:r>
        <w:rPr>
          <w:spacing w:val="-2"/>
        </w:rPr>
        <w:t>以保持盲态。整个研究过程中，研究者、盲态申办者和研究中心工作人员以及受试</w:t>
      </w:r>
      <w:r>
        <w:rPr>
          <w:spacing w:val="-5"/>
        </w:rPr>
        <w:t>者将对每名受试者的 </w:t>
      </w:r>
      <w:r>
        <w:rPr>
          <w:rFonts w:ascii="Times New Roman" w:eastAsia="Times New Roman"/>
          <w:spacing w:val="-2"/>
        </w:rPr>
        <w:t>IP</w:t>
      </w:r>
      <w:r>
        <w:rPr>
          <w:rFonts w:ascii="Times New Roman" w:eastAsia="Times New Roman"/>
          <w:spacing w:val="-13"/>
        </w:rPr>
        <w:t> </w:t>
      </w:r>
      <w:r>
        <w:rPr>
          <w:spacing w:val="-4"/>
        </w:rPr>
        <w:t>分配保持盲态，但将知晓受试者是根据哪个版本的 </w:t>
      </w:r>
      <w:r>
        <w:rPr>
          <w:rFonts w:ascii="Times New Roman" w:eastAsia="Times New Roman"/>
          <w:spacing w:val="-2"/>
        </w:rPr>
        <w:t>CSP</w:t>
      </w:r>
      <w:r>
        <w:rPr>
          <w:rFonts w:ascii="Times New Roman" w:eastAsia="Times New Roman"/>
          <w:spacing w:val="-13"/>
        </w:rPr>
        <w:t> </w:t>
      </w:r>
      <w:r>
        <w:rPr>
          <w:spacing w:val="-2"/>
        </w:rPr>
        <w:t>被招募至研究中，以及是否可能随机分配至 </w:t>
      </w:r>
      <w:r>
        <w:rPr>
          <w:rFonts w:ascii="Times New Roman" w:eastAsia="Times New Roman"/>
        </w:rPr>
        <w:t>Q8W </w:t>
      </w:r>
      <w:r>
        <w:rPr/>
        <w:t>组。</w:t>
      </w:r>
    </w:p>
    <w:p>
      <w:pPr>
        <w:pStyle w:val="BodyText"/>
        <w:spacing w:line="276" w:lineRule="auto" w:before="236"/>
        <w:ind w:right="356" w:firstLine="480"/>
        <w:jc w:val="both"/>
      </w:pPr>
      <w:r>
        <w:rPr>
          <w:rFonts w:ascii="Times New Roman" w:eastAsia="Times New Roman"/>
          <w:spacing w:val="-2"/>
        </w:rPr>
        <w:t>Tozorakimab</w:t>
      </w:r>
      <w:r>
        <w:rPr>
          <w:rFonts w:ascii="Times New Roman" w:eastAsia="Times New Roman"/>
          <w:spacing w:val="-7"/>
        </w:rPr>
        <w:t> </w:t>
      </w:r>
      <w:r>
        <w:rPr>
          <w:spacing w:val="-2"/>
        </w:rPr>
        <w:t>可随时间减少血液中嗜酸粒细胞计数。作为预防措施，在干预和随</w:t>
      </w:r>
      <w:r>
        <w:rPr/>
        <w:t>访期间，血液学实验室检查的嗜酸粒细胞、嗜碱性粒细胞和单核细胞数据（</w:t>
      </w:r>
      <w:r>
        <w:rPr>
          <w:rFonts w:ascii="Times New Roman" w:eastAsia="Times New Roman"/>
        </w:rPr>
        <w:t>HP</w:t>
      </w:r>
      <w:r>
        <w:rPr>
          <w:rFonts w:ascii="Times New Roman" w:eastAsia="Times New Roman"/>
          <w:spacing w:val="-15"/>
        </w:rPr>
        <w:t> </w:t>
      </w:r>
      <w:r>
        <w:rPr/>
        <w:t>值除</w:t>
      </w:r>
      <w:r>
        <w:rPr>
          <w:spacing w:val="-2"/>
        </w:rPr>
        <w:t>外）不会传达给盲态申办者或研究中心工作人员。若因急性疾病（例如，实际</w:t>
      </w:r>
      <w:r>
        <w:rPr>
          <w:rFonts w:ascii="Times New Roman" w:eastAsia="Times New Roman"/>
          <w:spacing w:val="-2"/>
        </w:rPr>
        <w:t>/</w:t>
      </w:r>
      <w:r>
        <w:rPr>
          <w:spacing w:val="-2"/>
        </w:rPr>
        <w:t>疑似 </w:t>
      </w:r>
      <w:r>
        <w:rPr>
          <w:rFonts w:ascii="Times New Roman" w:eastAsia="Times New Roman"/>
        </w:rPr>
        <w:t>COPD </w:t>
      </w:r>
      <w:r>
        <w:rPr/>
        <w:t>急性加重）的治疗需要而进行的当地实验室检查，无需进行设盲。研究完整</w:t>
      </w:r>
      <w:r>
        <w:rPr>
          <w:spacing w:val="-2"/>
        </w:rPr>
        <w:t>性计划中描述了维持盲态的措施。</w:t>
      </w:r>
    </w:p>
    <w:p>
      <w:pPr>
        <w:pStyle w:val="BodyText"/>
        <w:spacing w:line="276" w:lineRule="auto" w:before="235"/>
        <w:ind w:right="354" w:firstLine="480"/>
        <w:jc w:val="both"/>
      </w:pPr>
      <w:r>
        <w:rPr>
          <w:spacing w:val="-2"/>
        </w:rPr>
        <w:t>将由一名申办者研究中心监查员进行 </w:t>
      </w:r>
      <w:r>
        <w:rPr>
          <w:rFonts w:ascii="Times New Roman" w:eastAsia="Times New Roman"/>
        </w:rPr>
        <w:t>IP</w:t>
      </w:r>
      <w:r>
        <w:rPr>
          <w:rFonts w:ascii="Times New Roman" w:eastAsia="Times New Roman"/>
          <w:spacing w:val="-15"/>
        </w:rPr>
        <w:t> </w:t>
      </w:r>
      <w:r>
        <w:rPr/>
        <w:t>计数。若研究者或参与研究受试者管理</w:t>
      </w:r>
      <w:r>
        <w:rPr>
          <w:spacing w:val="-2"/>
        </w:rPr>
        <w:t>的其他研究工作人员获知受试者治疗分配信息，或需要获知治疗分配信息以治疗某</w:t>
      </w:r>
      <w:r>
        <w:rPr>
          <w:spacing w:val="-7"/>
        </w:rPr>
        <w:t>个受试者的 </w:t>
      </w:r>
      <w:r>
        <w:rPr>
          <w:rFonts w:ascii="Times New Roman" w:eastAsia="Times New Roman"/>
        </w:rPr>
        <w:t>AE</w:t>
      </w:r>
      <w:r>
        <w:rPr/>
        <w:t>，则研究者必须立即告知申办者，并且尽可能在揭盲前告知。</w:t>
      </w:r>
    </w:p>
    <w:p>
      <w:pPr>
        <w:pStyle w:val="BodyText"/>
        <w:spacing w:before="238"/>
        <w:ind w:left="701"/>
      </w:pPr>
      <w:r>
        <w:rPr>
          <w:spacing w:val="-1"/>
        </w:rPr>
        <w:t>在数据库锁定前，以下人员可在研究期间访问随机化列表：</w:t>
      </w:r>
    </w:p>
    <w:p>
      <w:pPr>
        <w:pStyle w:val="ListParagraph"/>
        <w:numPr>
          <w:ilvl w:val="0"/>
          <w:numId w:val="19"/>
        </w:numPr>
        <w:tabs>
          <w:tab w:pos="646" w:val="left" w:leader="none"/>
        </w:tabs>
        <w:spacing w:line="240" w:lineRule="auto" w:before="287" w:after="0"/>
        <w:ind w:left="646" w:right="0" w:hanging="425"/>
        <w:jc w:val="left"/>
        <w:rPr>
          <w:sz w:val="24"/>
        </w:rPr>
      </w:pPr>
      <w:r>
        <w:rPr>
          <w:spacing w:val="-20"/>
          <w:sz w:val="24"/>
        </w:rPr>
        <w:t>进行 </w:t>
      </w:r>
      <w:r>
        <w:rPr>
          <w:rFonts w:ascii="Times New Roman" w:hAnsi="Times New Roman" w:eastAsia="Times New Roman"/>
          <w:sz w:val="24"/>
        </w:rPr>
        <w:t>IP</w:t>
      </w:r>
      <w:r>
        <w:rPr>
          <w:rFonts w:ascii="Times New Roman" w:hAnsi="Times New Roman" w:eastAsia="Times New Roman"/>
          <w:spacing w:val="-13"/>
          <w:sz w:val="24"/>
        </w:rPr>
        <w:t> </w:t>
      </w:r>
      <w:r>
        <w:rPr>
          <w:spacing w:val="-1"/>
          <w:sz w:val="24"/>
        </w:rPr>
        <w:t>包装和贴签的工作人员。</w:t>
      </w:r>
    </w:p>
    <w:p>
      <w:pPr>
        <w:pStyle w:val="ListParagraph"/>
        <w:numPr>
          <w:ilvl w:val="0"/>
          <w:numId w:val="19"/>
        </w:numPr>
        <w:tabs>
          <w:tab w:pos="646" w:val="left" w:leader="none"/>
        </w:tabs>
        <w:spacing w:line="240" w:lineRule="auto" w:before="59" w:after="0"/>
        <w:ind w:left="646" w:right="0" w:hanging="425"/>
        <w:jc w:val="left"/>
        <w:rPr>
          <w:sz w:val="24"/>
        </w:rPr>
      </w:pPr>
      <w:r>
        <w:rPr>
          <w:spacing w:val="-1"/>
          <w:sz w:val="24"/>
        </w:rPr>
        <w:t>制作随机化列表的工作人员。</w:t>
      </w:r>
    </w:p>
    <w:p>
      <w:pPr>
        <w:pStyle w:val="ListParagraph"/>
        <w:numPr>
          <w:ilvl w:val="0"/>
          <w:numId w:val="19"/>
        </w:numPr>
        <w:tabs>
          <w:tab w:pos="646" w:val="left" w:leader="none"/>
        </w:tabs>
        <w:spacing w:line="240" w:lineRule="auto" w:before="59" w:after="0"/>
        <w:ind w:left="646" w:right="0" w:hanging="425"/>
        <w:jc w:val="left"/>
        <w:rPr>
          <w:sz w:val="24"/>
        </w:rPr>
      </w:pPr>
      <w:r>
        <w:rPr>
          <w:spacing w:val="-2"/>
          <w:sz w:val="24"/>
        </w:rPr>
        <w:t>申办者供应链部门。</w:t>
      </w:r>
    </w:p>
    <w:p>
      <w:pPr>
        <w:pStyle w:val="ListParagraph"/>
        <w:numPr>
          <w:ilvl w:val="0"/>
          <w:numId w:val="19"/>
        </w:numPr>
        <w:tabs>
          <w:tab w:pos="646" w:val="left" w:leader="none"/>
        </w:tabs>
        <w:spacing w:line="240" w:lineRule="auto" w:before="60" w:after="0"/>
        <w:ind w:left="646" w:right="0" w:hanging="425"/>
        <w:jc w:val="left"/>
        <w:rPr>
          <w:sz w:val="24"/>
        </w:rPr>
      </w:pPr>
      <w:r>
        <w:rPr>
          <w:sz w:val="24"/>
        </w:rPr>
        <w:t>非盲态申办者监查员（如适用）</w:t>
      </w:r>
      <w:r>
        <w:rPr>
          <w:spacing w:val="-10"/>
          <w:sz w:val="24"/>
        </w:rPr>
        <w:t>。</w:t>
      </w:r>
    </w:p>
    <w:p>
      <w:pPr>
        <w:pStyle w:val="ListParagraph"/>
        <w:numPr>
          <w:ilvl w:val="0"/>
          <w:numId w:val="19"/>
        </w:numPr>
        <w:tabs>
          <w:tab w:pos="646" w:val="left" w:leader="none"/>
        </w:tabs>
        <w:spacing w:line="240" w:lineRule="auto" w:before="59" w:after="0"/>
        <w:ind w:left="646" w:right="0" w:hanging="425"/>
        <w:jc w:val="left"/>
        <w:rPr>
          <w:sz w:val="24"/>
        </w:rPr>
      </w:pPr>
      <w:r>
        <w:rPr>
          <w:spacing w:val="-6"/>
          <w:sz w:val="24"/>
        </w:rPr>
        <w:t>负责分析样本的生物分析 </w:t>
      </w:r>
      <w:r>
        <w:rPr>
          <w:rFonts w:ascii="Times New Roman" w:hAnsi="Times New Roman" w:eastAsia="Times New Roman"/>
          <w:sz w:val="24"/>
        </w:rPr>
        <w:t>PK</w:t>
      </w:r>
      <w:r>
        <w:rPr>
          <w:rFonts w:ascii="Times New Roman" w:hAnsi="Times New Roman" w:eastAsia="Times New Roman"/>
          <w:spacing w:val="-15"/>
          <w:sz w:val="24"/>
        </w:rPr>
        <w:t> </w:t>
      </w:r>
      <w:r>
        <w:rPr>
          <w:spacing w:val="-30"/>
          <w:sz w:val="24"/>
        </w:rPr>
        <w:t>和 </w:t>
      </w:r>
      <w:r>
        <w:rPr>
          <w:rFonts w:ascii="Times New Roman" w:hAnsi="Times New Roman" w:eastAsia="Times New Roman"/>
          <w:sz w:val="24"/>
        </w:rPr>
        <w:t>ADA</w:t>
      </w:r>
      <w:r>
        <w:rPr>
          <w:rFonts w:ascii="Times New Roman" w:hAnsi="Times New Roman" w:eastAsia="Times New Roman"/>
          <w:spacing w:val="-14"/>
          <w:sz w:val="24"/>
        </w:rPr>
        <w:t> </w:t>
      </w:r>
      <w:r>
        <w:rPr>
          <w:spacing w:val="-3"/>
          <w:sz w:val="24"/>
        </w:rPr>
        <w:t>实验室。</w:t>
      </w:r>
    </w:p>
    <w:p>
      <w:pPr>
        <w:pStyle w:val="BodyText"/>
        <w:spacing w:before="22"/>
        <w:ind w:left="0"/>
      </w:pPr>
    </w:p>
    <w:p>
      <w:pPr>
        <w:pStyle w:val="BodyText"/>
        <w:spacing w:line="276" w:lineRule="auto"/>
        <w:ind w:right="355" w:firstLine="480"/>
        <w:jc w:val="both"/>
      </w:pPr>
      <w:r>
        <w:rPr/>
        <w:t>不得向参与研究实施的其他人员提供随机化列表中的信息，该信息应在研究主</w:t>
      </w:r>
      <w:r>
        <w:rPr>
          <w:spacing w:val="-2"/>
        </w:rPr>
        <w:t>要分析前保存在安全位置。在此期间，申办者扩展研究小组的其他成员或处理数据</w:t>
      </w:r>
      <w:r>
        <w:rPr>
          <w:spacing w:val="-6"/>
        </w:rPr>
        <w:t>的任何 </w:t>
      </w:r>
      <w:r>
        <w:rPr>
          <w:rFonts w:ascii="Times New Roman" w:eastAsia="Times New Roman"/>
        </w:rPr>
        <w:t>CRO </w:t>
      </w:r>
      <w:r>
        <w:rPr/>
        <w:t>成员均不能访问随机化列表。</w:t>
      </w:r>
    </w:p>
    <w:p>
      <w:pPr>
        <w:pStyle w:val="BodyText"/>
        <w:spacing w:line="276" w:lineRule="auto" w:before="238"/>
        <w:ind w:right="117" w:firstLine="480"/>
      </w:pPr>
      <w:r>
        <w:rPr>
          <w:spacing w:val="-2"/>
        </w:rPr>
        <w:t>尽管本研究最初将实行完全双盲（即，对受试者、研究者</w:t>
      </w:r>
      <w:r>
        <w:rPr>
          <w:rFonts w:ascii="Times New Roman" w:eastAsia="Times New Roman"/>
          <w:spacing w:val="-2"/>
        </w:rPr>
        <w:t>/</w:t>
      </w:r>
      <w:r>
        <w:rPr>
          <w:spacing w:val="-2"/>
        </w:rPr>
        <w:t>研究中心工作人员和</w:t>
      </w:r>
      <w:r>
        <w:rPr>
          <w:spacing w:val="80"/>
        </w:rPr>
        <w:t> </w:t>
      </w:r>
      <w:r>
        <w:rPr/>
        <w:t>阿斯利康</w:t>
      </w:r>
      <w:r>
        <w:rPr>
          <w:rFonts w:ascii="Times New Roman" w:eastAsia="Times New Roman"/>
        </w:rPr>
        <w:t>/</w:t>
      </w:r>
      <w:r>
        <w:rPr>
          <w:spacing w:val="-13"/>
        </w:rPr>
        <w:t>指定的 </w:t>
      </w:r>
      <w:r>
        <w:rPr>
          <w:rFonts w:ascii="Times New Roman" w:eastAsia="Times New Roman"/>
        </w:rPr>
        <w:t>CRO</w:t>
      </w:r>
      <w:r>
        <w:rPr>
          <w:rFonts w:ascii="Times New Roman" w:eastAsia="Times New Roman"/>
          <w:spacing w:val="-15"/>
        </w:rPr>
        <w:t> </w:t>
      </w:r>
      <w:r>
        <w:rPr/>
        <w:t>设盲），但在每项前身研究（</w:t>
      </w:r>
      <w:r>
        <w:rPr>
          <w:rFonts w:ascii="Times New Roman" w:eastAsia="Times New Roman"/>
        </w:rPr>
        <w:t>OBERON</w:t>
      </w:r>
      <w:r>
        <w:rPr>
          <w:rFonts w:ascii="Times New Roman" w:eastAsia="Times New Roman"/>
          <w:spacing w:val="-15"/>
        </w:rPr>
        <w:t> </w:t>
      </w:r>
      <w:r>
        <w:rPr>
          <w:spacing w:val="-26"/>
        </w:rPr>
        <w:t>或 </w:t>
      </w:r>
      <w:r>
        <w:rPr>
          <w:rFonts w:ascii="Times New Roman" w:eastAsia="Times New Roman"/>
        </w:rPr>
        <w:t>TITANIA</w:t>
      </w:r>
      <w:r>
        <w:rPr/>
        <w:t>）结束时，参与前身研究报告的阿斯利康工作人员和</w:t>
      </w:r>
      <w:r>
        <w:rPr>
          <w:rFonts w:ascii="Times New Roman" w:eastAsia="Times New Roman"/>
        </w:rPr>
        <w:t>/</w:t>
      </w:r>
      <w:r>
        <w:rPr/>
        <w:t>或指定的 </w:t>
      </w:r>
      <w:r>
        <w:rPr>
          <w:rFonts w:ascii="Times New Roman" w:eastAsia="Times New Roman"/>
        </w:rPr>
        <w:t>CRO</w:t>
      </w:r>
      <w:r>
        <w:rPr>
          <w:rFonts w:ascii="Times New Roman" w:eastAsia="Times New Roman"/>
          <w:spacing w:val="40"/>
        </w:rPr>
        <w:t> </w:t>
      </w:r>
      <w:r>
        <w:rPr/>
        <w:t>将了解前身研究中的治疗分配情况。</w:t>
      </w:r>
      <w:r>
        <w:rPr>
          <w:rFonts w:ascii="Times New Roman" w:eastAsia="Times New Roman"/>
        </w:rPr>
        <w:t>PROSPERO</w:t>
      </w:r>
      <w:r>
        <w:rPr>
          <w:rFonts w:ascii="Times New Roman" w:eastAsia="Times New Roman"/>
          <w:spacing w:val="40"/>
        </w:rPr>
        <w:t> </w:t>
      </w:r>
      <w:r>
        <w:rPr>
          <w:spacing w:val="1"/>
        </w:rPr>
        <w:t>研究小组中，与研究中心直接接触或对受试者管理或终点记录</w:t>
      </w:r>
      <w:r>
        <w:rPr>
          <w:spacing w:val="17"/>
        </w:rPr>
        <w:t>有影响的成员将保持盲态， 并与参与前身研究报告的小组分开， 对包含</w:t>
      </w:r>
      <w:r>
        <w:rPr/>
        <w:t> </w:t>
      </w:r>
      <w:r>
        <w:rPr>
          <w:rFonts w:ascii="Times New Roman" w:eastAsia="Times New Roman"/>
        </w:rPr>
        <w:t>OBERON/TITANIA</w:t>
      </w:r>
      <w:r>
        <w:rPr>
          <w:rFonts w:ascii="Times New Roman" w:eastAsia="Times New Roman"/>
          <w:spacing w:val="34"/>
        </w:rPr>
        <w:t> </w:t>
      </w:r>
      <w:r>
        <w:rPr>
          <w:spacing w:val="-1"/>
        </w:rPr>
        <w:t>治疗分配的系统或文件的访问将受到限制，以便在 </w:t>
      </w:r>
      <w:r>
        <w:rPr>
          <w:rFonts w:ascii="Times New Roman" w:eastAsia="Times New Roman"/>
        </w:rPr>
        <w:t>PROSPERO</w:t>
      </w:r>
      <w:r>
        <w:rPr/>
        <w:t>主</w:t>
      </w:r>
      <w:r>
        <w:rPr>
          <w:spacing w:val="-2"/>
        </w:rPr>
        <w:t>要分析揭盲之前保持盲态。至少在 </w:t>
      </w:r>
      <w:r>
        <w:rPr>
          <w:rFonts w:ascii="Times New Roman" w:eastAsia="Times New Roman"/>
        </w:rPr>
        <w:t>PROSPERO </w:t>
      </w:r>
      <w:r>
        <w:rPr/>
        <w:t>研究的主要报告完成之前，研究者、</w:t>
      </w:r>
    </w:p>
    <w:p>
      <w:pPr>
        <w:spacing w:after="0" w:line="276" w:lineRule="auto"/>
        <w:sectPr>
          <w:pgSz w:w="11910" w:h="16840"/>
          <w:pgMar w:header="590" w:footer="784" w:top="1340" w:bottom="980" w:left="1480" w:right="1080"/>
        </w:sectPr>
      </w:pPr>
    </w:p>
    <w:p>
      <w:pPr>
        <w:pStyle w:val="BodyText"/>
        <w:spacing w:line="276" w:lineRule="auto" w:before="88"/>
        <w:ind w:right="354"/>
      </w:pPr>
      <w:r>
        <w:rPr>
          <w:spacing w:val="-2"/>
        </w:rPr>
        <w:t>研究中心工作人员和受试者应保持盲态。维持这种盲态的措施将在研究完整性计划</w:t>
      </w:r>
      <w:r>
        <w:rPr>
          <w:spacing w:val="-4"/>
        </w:rPr>
        <w:t>中描述。</w:t>
      </w:r>
    </w:p>
    <w:p>
      <w:pPr>
        <w:pStyle w:val="Heading2"/>
        <w:numPr>
          <w:ilvl w:val="2"/>
          <w:numId w:val="3"/>
        </w:numPr>
        <w:tabs>
          <w:tab w:pos="1371" w:val="left" w:leader="none"/>
        </w:tabs>
        <w:spacing w:line="240" w:lineRule="auto" w:before="238" w:after="0"/>
        <w:ind w:left="1371" w:right="0" w:hanging="1150"/>
        <w:jc w:val="both"/>
      </w:pPr>
      <w:bookmarkStart w:name="6.3.3 揭盲方法" w:id="121"/>
      <w:bookmarkEnd w:id="121"/>
      <w:r>
        <w:rPr>
          <w:b w:val="0"/>
        </w:rPr>
      </w:r>
      <w:bookmarkStart w:name="_bookmark62" w:id="122"/>
      <w:bookmarkEnd w:id="122"/>
      <w:r>
        <w:rPr>
          <w:b w:val="0"/>
        </w:rPr>
      </w:r>
      <w:r>
        <w:rPr>
          <w:spacing w:val="-4"/>
        </w:rPr>
        <w:t>揭盲方法</w:t>
      </w:r>
    </w:p>
    <w:p>
      <w:pPr>
        <w:pStyle w:val="BodyText"/>
        <w:spacing w:line="276" w:lineRule="auto" w:before="120"/>
        <w:ind w:right="353" w:firstLine="480"/>
        <w:jc w:val="both"/>
      </w:pPr>
      <w:r>
        <w:rPr>
          <w:spacing w:val="-5"/>
        </w:rPr>
        <w:t>研究者将通过 </w:t>
      </w:r>
      <w:r>
        <w:rPr>
          <w:rFonts w:ascii="Times New Roman" w:eastAsia="Times New Roman"/>
        </w:rPr>
        <w:t>RTSM</w:t>
      </w:r>
      <w:r>
        <w:rPr>
          <w:rFonts w:ascii="Times New Roman" w:eastAsia="Times New Roman"/>
          <w:spacing w:val="12"/>
        </w:rPr>
        <w:t> </w:t>
      </w:r>
      <w:r>
        <w:rPr/>
        <w:t>获得代表每个受试者随机分配治疗信息。该程序请见提供</w:t>
      </w:r>
      <w:r>
        <w:rPr>
          <w:spacing w:val="-5"/>
        </w:rPr>
        <w:t>给各中心的 </w:t>
      </w:r>
      <w:r>
        <w:rPr>
          <w:rFonts w:ascii="Times New Roman" w:eastAsia="Times New Roman"/>
        </w:rPr>
        <w:t>RTSM</w:t>
      </w:r>
      <w:r>
        <w:rPr>
          <w:rFonts w:ascii="Times New Roman" w:eastAsia="Times New Roman"/>
          <w:spacing w:val="12"/>
        </w:rPr>
        <w:t> </w:t>
      </w:r>
      <w:r>
        <w:rPr/>
        <w:t>用户手册。除在医疗紧急情况下，为适当管理受试者需要获知治</w:t>
      </w:r>
      <w:r>
        <w:rPr>
          <w:spacing w:val="-2"/>
        </w:rPr>
        <w:t>疗随机化信息外，任何时候均不得揭盲随机化编码。研究者应记录并向申办者报告揭盲事件，但不得向申办者工作人员揭露受试者接受的随机治疗。申办者保留因非</w:t>
      </w:r>
      <w:r>
        <w:rPr>
          <w:spacing w:val="7"/>
        </w:rPr>
        <w:t>预期、怀疑与</w:t>
      </w:r>
      <w:r>
        <w:rPr>
          <w:rFonts w:ascii="Times New Roman" w:eastAsia="Times New Roman"/>
        </w:rPr>
        <w:t>IP</w:t>
      </w:r>
      <w:r>
        <w:rPr>
          <w:rFonts w:ascii="Times New Roman" w:eastAsia="Times New Roman"/>
          <w:spacing w:val="-15"/>
        </w:rPr>
        <w:t> </w:t>
      </w:r>
      <w:r>
        <w:rPr>
          <w:spacing w:val="2"/>
        </w:rPr>
        <w:t>存在因果关系且可能需要向药政监管部门速报的</w:t>
      </w:r>
      <w:r>
        <w:rPr>
          <w:rFonts w:ascii="Times New Roman" w:eastAsia="Times New Roman"/>
        </w:rPr>
        <w:t>SAE</w:t>
      </w:r>
      <w:r>
        <w:rPr>
          <w:rFonts w:ascii="Times New Roman" w:eastAsia="Times New Roman"/>
          <w:spacing w:val="-15"/>
        </w:rPr>
        <w:t> </w:t>
      </w:r>
      <w:r>
        <w:rPr/>
        <w:t>而揭盲编码的</w:t>
      </w:r>
      <w:r>
        <w:rPr>
          <w:spacing w:val="-2"/>
        </w:rPr>
        <w:t>权利。在对各个受试者的数据可评价性做出决定并完成记录之前，不得因计划的数据分析而揭盲随机化编码。</w:t>
      </w:r>
    </w:p>
    <w:p>
      <w:pPr>
        <w:pStyle w:val="Heading1"/>
        <w:numPr>
          <w:ilvl w:val="1"/>
          <w:numId w:val="3"/>
        </w:numPr>
        <w:tabs>
          <w:tab w:pos="1355" w:val="left" w:leader="none"/>
        </w:tabs>
        <w:spacing w:line="240" w:lineRule="auto" w:before="234" w:after="0"/>
        <w:ind w:left="1355" w:right="0" w:hanging="1134"/>
        <w:jc w:val="both"/>
      </w:pPr>
      <w:bookmarkStart w:name="6.4 研究药物依从性" w:id="123"/>
      <w:bookmarkEnd w:id="123"/>
      <w:r>
        <w:rPr>
          <w:b w:val="0"/>
        </w:rPr>
      </w:r>
      <w:bookmarkStart w:name="_bookmark63" w:id="124"/>
      <w:bookmarkEnd w:id="124"/>
      <w:r>
        <w:rPr>
          <w:b w:val="0"/>
        </w:rPr>
      </w:r>
      <w:r>
        <w:rPr>
          <w:spacing w:val="-5"/>
        </w:rPr>
        <w:t>研究药物依从性</w:t>
      </w:r>
    </w:p>
    <w:p>
      <w:pPr>
        <w:pStyle w:val="BodyText"/>
        <w:spacing w:line="276" w:lineRule="auto" w:before="118"/>
        <w:ind w:right="354" w:firstLine="480"/>
        <w:jc w:val="both"/>
      </w:pPr>
      <w:r>
        <w:rPr/>
        <w:t>当受试者现场访视接受给药时，将在医学监督下进行。并在源文件和 </w:t>
      </w:r>
      <w:r>
        <w:rPr>
          <w:rFonts w:ascii="Times New Roman" w:eastAsia="Times New Roman"/>
        </w:rPr>
        <w:t>eCRF </w:t>
      </w:r>
      <w:r>
        <w:rPr/>
        <w:t>中</w:t>
      </w:r>
      <w:r>
        <w:rPr>
          <w:spacing w:val="-2"/>
        </w:rPr>
        <w:t>记录每次诊室给药的日期和时间。如研究中心程序允许，外包装盒应保存在研究中心，以协助药盒分配检查。</w:t>
      </w:r>
    </w:p>
    <w:p>
      <w:pPr>
        <w:pStyle w:val="BodyText"/>
        <w:spacing w:line="276" w:lineRule="auto" w:before="238"/>
        <w:ind w:right="353" w:firstLine="480"/>
        <w:jc w:val="both"/>
      </w:pPr>
      <w:r>
        <w:rPr/>
        <w:t>受试者</w:t>
      </w:r>
      <w:r>
        <w:rPr>
          <w:rFonts w:ascii="Times New Roman" w:eastAsia="Times New Roman"/>
        </w:rPr>
        <w:t>/</w:t>
      </w:r>
      <w:r>
        <w:rPr/>
        <w:t>护理者自行给药相关程序请见第 </w:t>
      </w:r>
      <w:hyperlink w:history="true" w:anchor="_bookmark56">
        <w:r>
          <w:rPr>
            <w:rFonts w:ascii="Times New Roman" w:eastAsia="Times New Roman"/>
            <w:color w:val="0000FF"/>
          </w:rPr>
          <w:t>6.2.2.3</w:t>
        </w:r>
      </w:hyperlink>
      <w:r>
        <w:rPr>
          <w:rFonts w:ascii="Times New Roman" w:eastAsia="Times New Roman"/>
          <w:color w:val="0000FF"/>
        </w:rPr>
        <w:t> </w:t>
      </w:r>
      <w:r>
        <w:rPr/>
        <w:t>节以及本研究为受试者和</w:t>
      </w:r>
      <w:r>
        <w:rPr>
          <w:rFonts w:ascii="Times New Roman" w:eastAsia="Times New Roman"/>
        </w:rPr>
        <w:t>/</w:t>
      </w:r>
      <w:r>
        <w:rPr/>
        <w:t>或其</w:t>
      </w:r>
      <w:r>
        <w:rPr>
          <w:spacing w:val="-2"/>
        </w:rPr>
        <w:t>护理者提供的研究药物自行给药说明。</w:t>
      </w:r>
    </w:p>
    <w:p>
      <w:pPr>
        <w:pStyle w:val="Heading1"/>
        <w:numPr>
          <w:ilvl w:val="1"/>
          <w:numId w:val="3"/>
        </w:numPr>
        <w:tabs>
          <w:tab w:pos="1355" w:val="left" w:leader="none"/>
        </w:tabs>
        <w:spacing w:line="240" w:lineRule="auto" w:before="239" w:after="0"/>
        <w:ind w:left="1355" w:right="0" w:hanging="1134"/>
        <w:jc w:val="both"/>
      </w:pPr>
      <w:bookmarkStart w:name="6.5 合并治疗" w:id="125"/>
      <w:bookmarkEnd w:id="125"/>
      <w:r>
        <w:rPr>
          <w:b w:val="0"/>
        </w:rPr>
      </w:r>
      <w:bookmarkStart w:name="_bookmark64" w:id="126"/>
      <w:bookmarkEnd w:id="126"/>
      <w:r>
        <w:rPr>
          <w:b w:val="0"/>
        </w:rPr>
      </w:r>
      <w:r>
        <w:rPr>
          <w:spacing w:val="-4"/>
        </w:rPr>
        <w:t>合并治疗</w:t>
      </w:r>
    </w:p>
    <w:p>
      <w:pPr>
        <w:pStyle w:val="BodyText"/>
        <w:spacing w:line="276" w:lineRule="auto" w:before="119"/>
        <w:ind w:right="354" w:firstLine="480"/>
        <w:jc w:val="both"/>
      </w:pPr>
      <w:r>
        <w:rPr>
          <w:spacing w:val="-2"/>
        </w:rPr>
        <w:t>研究者</w:t>
      </w:r>
      <w:r>
        <w:rPr>
          <w:rFonts w:ascii="Times New Roman" w:eastAsia="Times New Roman"/>
          <w:spacing w:val="-2"/>
        </w:rPr>
        <w:t>/</w:t>
      </w:r>
      <w:r>
        <w:rPr>
          <w:spacing w:val="-2"/>
        </w:rPr>
        <w:t>授权代表将收集并记录从入选开始至末次研究访视接受的所有药物。所</w:t>
      </w:r>
      <w:r>
        <w:rPr>
          <w:spacing w:val="-15"/>
        </w:rPr>
        <w:t>有 </w:t>
      </w:r>
      <w:r>
        <w:rPr>
          <w:rFonts w:ascii="Times New Roman" w:eastAsia="Times New Roman"/>
          <w:spacing w:val="-2"/>
        </w:rPr>
        <w:t>COPD</w:t>
      </w:r>
      <w:r>
        <w:rPr>
          <w:rFonts w:ascii="Times New Roman" w:eastAsia="Times New Roman"/>
          <w:spacing w:val="-11"/>
        </w:rPr>
        <w:t> </w:t>
      </w:r>
      <w:r>
        <w:rPr>
          <w:spacing w:val="-7"/>
        </w:rPr>
        <w:t>背景用药如 </w:t>
      </w:r>
      <w:r>
        <w:rPr>
          <w:rFonts w:ascii="Times New Roman" w:eastAsia="Times New Roman"/>
          <w:spacing w:val="-2"/>
        </w:rPr>
        <w:t>ICS/LABA/LAMA</w:t>
      </w:r>
      <w:r>
        <w:rPr>
          <w:spacing w:val="-2"/>
        </w:rPr>
        <w:t>、抗生素）</w:t>
      </w:r>
      <w:r>
        <w:rPr>
          <w:spacing w:val="-9"/>
        </w:rPr>
        <w:t>和用于 </w:t>
      </w:r>
      <w:r>
        <w:rPr>
          <w:rFonts w:ascii="Times New Roman" w:eastAsia="Times New Roman"/>
          <w:spacing w:val="-2"/>
        </w:rPr>
        <w:t>COPD</w:t>
      </w:r>
      <w:r>
        <w:rPr>
          <w:rFonts w:ascii="Times New Roman" w:eastAsia="Times New Roman"/>
          <w:spacing w:val="8"/>
        </w:rPr>
        <w:t> </w:t>
      </w:r>
      <w:r>
        <w:rPr>
          <w:spacing w:val="-2"/>
        </w:rPr>
        <w:t>急性加重的治疗，因任何原因服用的所有其他药物，以及研究期间服用的任何合并用药（包括中草药</w:t>
      </w:r>
      <w:r>
        <w:rPr/>
        <w:t>制剂），</w:t>
      </w:r>
      <w:r>
        <w:rPr>
          <w:spacing w:val="-3"/>
        </w:rPr>
        <w:t>均将记录在源文件和 </w:t>
      </w:r>
      <w:r>
        <w:rPr>
          <w:rFonts w:ascii="Times New Roman" w:eastAsia="Times New Roman"/>
        </w:rPr>
        <w:t>eCRF </w:t>
      </w:r>
      <w:r>
        <w:rPr/>
        <w:t>中，以及记录：</w:t>
      </w:r>
    </w:p>
    <w:p>
      <w:pPr>
        <w:pStyle w:val="ListParagraph"/>
        <w:numPr>
          <w:ilvl w:val="0"/>
          <w:numId w:val="20"/>
        </w:numPr>
        <w:tabs>
          <w:tab w:pos="646" w:val="left" w:leader="none"/>
        </w:tabs>
        <w:spacing w:line="240" w:lineRule="auto" w:before="236" w:after="0"/>
        <w:ind w:left="646" w:right="0" w:hanging="425"/>
        <w:jc w:val="left"/>
        <w:rPr>
          <w:sz w:val="24"/>
        </w:rPr>
      </w:pPr>
      <w:r>
        <w:rPr>
          <w:spacing w:val="-2"/>
          <w:sz w:val="24"/>
        </w:rPr>
        <w:t>使用原因。</w:t>
      </w:r>
    </w:p>
    <w:p>
      <w:pPr>
        <w:pStyle w:val="ListParagraph"/>
        <w:numPr>
          <w:ilvl w:val="0"/>
          <w:numId w:val="20"/>
        </w:numPr>
        <w:tabs>
          <w:tab w:pos="646" w:val="left" w:leader="none"/>
        </w:tabs>
        <w:spacing w:line="240" w:lineRule="auto" w:before="60" w:after="0"/>
        <w:ind w:left="646" w:right="0" w:hanging="425"/>
        <w:jc w:val="left"/>
        <w:rPr>
          <w:sz w:val="24"/>
        </w:rPr>
      </w:pPr>
      <w:r>
        <w:rPr>
          <w:spacing w:val="-1"/>
          <w:sz w:val="24"/>
        </w:rPr>
        <w:t>给药日期，包括开始和结束日期。</w:t>
      </w:r>
    </w:p>
    <w:p>
      <w:pPr>
        <w:pStyle w:val="ListParagraph"/>
        <w:numPr>
          <w:ilvl w:val="0"/>
          <w:numId w:val="20"/>
        </w:numPr>
        <w:tabs>
          <w:tab w:pos="646" w:val="left" w:leader="none"/>
        </w:tabs>
        <w:spacing w:line="240" w:lineRule="auto" w:before="59" w:after="0"/>
        <w:ind w:left="646" w:right="0" w:hanging="425"/>
        <w:jc w:val="left"/>
        <w:rPr>
          <w:sz w:val="24"/>
        </w:rPr>
      </w:pPr>
      <w:r>
        <w:rPr>
          <w:spacing w:val="-1"/>
          <w:sz w:val="24"/>
        </w:rPr>
        <w:t>给药信息，包括剂量、用药频率和给药途径。</w:t>
      </w:r>
    </w:p>
    <w:p>
      <w:pPr>
        <w:pStyle w:val="BodyText"/>
        <w:spacing w:before="22"/>
        <w:ind w:left="0"/>
      </w:pPr>
    </w:p>
    <w:p>
      <w:pPr>
        <w:pStyle w:val="BodyText"/>
        <w:spacing w:before="1"/>
        <w:ind w:left="701"/>
      </w:pPr>
      <w:r>
        <w:rPr>
          <w:spacing w:val="-1"/>
        </w:rPr>
        <w:t>如果对合并治疗或既往治疗有任何疑问，应联系医学监查员。</w:t>
      </w:r>
    </w:p>
    <w:p>
      <w:pPr>
        <w:pStyle w:val="BodyText"/>
        <w:spacing w:before="286"/>
        <w:ind w:left="701"/>
      </w:pPr>
      <w:r>
        <w:rPr/>
        <w:t>禁止受试者接受某些合并用药（</w:t>
      </w:r>
      <w:r>
        <w:rPr>
          <w:spacing w:val="-30"/>
        </w:rPr>
        <w:t>第 </w:t>
      </w:r>
      <w:hyperlink w:history="true" w:anchor="_bookmark68">
        <w:r>
          <w:rPr>
            <w:rFonts w:ascii="Times New Roman" w:eastAsia="Times New Roman"/>
            <w:color w:val="0000FF"/>
          </w:rPr>
          <w:t>6.5.4</w:t>
        </w:r>
      </w:hyperlink>
      <w:r>
        <w:rPr>
          <w:rFonts w:ascii="Times New Roman" w:eastAsia="Times New Roman"/>
          <w:color w:val="0000FF"/>
          <w:spacing w:val="-12"/>
        </w:rPr>
        <w:t> </w:t>
      </w:r>
      <w:r>
        <w:rPr/>
        <w:t>节），</w:t>
      </w:r>
      <w:r>
        <w:rPr>
          <w:spacing w:val="-1"/>
        </w:rPr>
        <w:t>除非医生确定有临床指征。</w:t>
      </w:r>
    </w:p>
    <w:p>
      <w:pPr>
        <w:pStyle w:val="BodyText"/>
        <w:spacing w:line="276" w:lineRule="auto" w:before="286"/>
        <w:ind w:right="365" w:firstLine="480"/>
        <w:jc w:val="both"/>
      </w:pPr>
      <w:r>
        <w:rPr>
          <w:spacing w:val="-2"/>
        </w:rPr>
        <w:t>允许使用既不损害受试者的安全性也不影响研究数据的非禁止药物或疗法（根</w:t>
      </w:r>
      <w:r>
        <w:rPr/>
        <w:t>据研究者的判断），</w:t>
      </w:r>
      <w:r>
        <w:rPr>
          <w:spacing w:val="-5"/>
        </w:rPr>
        <w:t>并记录在 </w:t>
      </w:r>
      <w:r>
        <w:rPr>
          <w:rFonts w:ascii="Times New Roman" w:eastAsia="Times New Roman"/>
        </w:rPr>
        <w:t>eCRF </w:t>
      </w:r>
      <w:r>
        <w:rPr/>
        <w:t>的源文件和相应章节中。</w:t>
      </w:r>
    </w:p>
    <w:p>
      <w:pPr>
        <w:pStyle w:val="BodyText"/>
        <w:spacing w:before="239"/>
        <w:ind w:left="701"/>
      </w:pPr>
      <w:r>
        <w:rPr>
          <w:spacing w:val="-15"/>
        </w:rPr>
        <w:t>适用于 </w:t>
      </w:r>
      <w:r>
        <w:rPr>
          <w:rFonts w:ascii="Times New Roman" w:eastAsia="Times New Roman"/>
        </w:rPr>
        <w:t>EU</w:t>
      </w:r>
      <w:r>
        <w:rPr>
          <w:rFonts w:ascii="Times New Roman" w:eastAsia="Times New Roman"/>
          <w:spacing w:val="-1"/>
        </w:rPr>
        <w:t> </w:t>
      </w:r>
      <w:r>
        <w:rPr>
          <w:rFonts w:ascii="Times New Roman" w:eastAsia="Times New Roman"/>
        </w:rPr>
        <w:t>CTR</w:t>
      </w:r>
      <w:r>
        <w:rPr>
          <w:rFonts w:ascii="Times New Roman" w:eastAsia="Times New Roman"/>
          <w:spacing w:val="-13"/>
        </w:rPr>
        <w:t> </w:t>
      </w:r>
      <w:r>
        <w:rPr/>
        <w:t>的辅助药品参见</w:t>
      </w:r>
      <w:hyperlink w:history="true" w:anchor="_bookmark168">
        <w:r>
          <w:rPr>
            <w:color w:val="0000FF"/>
            <w:spacing w:val="-20"/>
          </w:rPr>
          <w:t>附录 </w:t>
        </w:r>
        <w:r>
          <w:rPr>
            <w:rFonts w:ascii="Times New Roman" w:eastAsia="Times New Roman"/>
            <w:color w:val="0000FF"/>
          </w:rPr>
          <w:t>J</w:t>
        </w:r>
      </w:hyperlink>
      <w:r>
        <w:rPr>
          <w:spacing w:val="-10"/>
        </w:rPr>
        <w:t>。</w:t>
      </w:r>
    </w:p>
    <w:p>
      <w:pPr>
        <w:spacing w:after="0"/>
        <w:sectPr>
          <w:pgSz w:w="11910" w:h="16840"/>
          <w:pgMar w:header="590" w:footer="784" w:top="1340" w:bottom="980" w:left="1480" w:right="1080"/>
        </w:sectPr>
      </w:pPr>
    </w:p>
    <w:p>
      <w:pPr>
        <w:pStyle w:val="Heading2"/>
        <w:numPr>
          <w:ilvl w:val="2"/>
          <w:numId w:val="3"/>
        </w:numPr>
        <w:tabs>
          <w:tab w:pos="1373" w:val="left" w:leader="none"/>
        </w:tabs>
        <w:spacing w:line="240" w:lineRule="auto" w:before="87" w:after="0"/>
        <w:ind w:left="1373" w:right="0" w:hanging="1152"/>
        <w:jc w:val="left"/>
      </w:pPr>
      <w:bookmarkStart w:name="6.5.1 缓解药物" w:id="127"/>
      <w:bookmarkEnd w:id="127"/>
      <w:r>
        <w:rPr>
          <w:b w:val="0"/>
        </w:rPr>
      </w:r>
      <w:bookmarkStart w:name="_bookmark65" w:id="128"/>
      <w:bookmarkEnd w:id="128"/>
      <w:r>
        <w:rPr>
          <w:b w:val="0"/>
        </w:rPr>
      </w:r>
      <w:r>
        <w:rPr>
          <w:spacing w:val="-4"/>
        </w:rPr>
        <w:t>缓解药物</w:t>
      </w:r>
    </w:p>
    <w:p>
      <w:pPr>
        <w:pStyle w:val="BodyText"/>
        <w:spacing w:line="276" w:lineRule="auto" w:before="120"/>
        <w:ind w:right="117" w:firstLine="480"/>
      </w:pPr>
      <w:r>
        <w:rPr>
          <w:spacing w:val="-5"/>
        </w:rPr>
        <w:t>研究期间，出现 </w:t>
      </w:r>
      <w:r>
        <w:rPr>
          <w:rFonts w:ascii="Times New Roman" w:hAnsi="Times New Roman" w:eastAsia="Times New Roman"/>
        </w:rPr>
        <w:t>COPD </w:t>
      </w:r>
      <w:r>
        <w:rPr>
          <w:spacing w:val="3"/>
        </w:rPr>
        <w:t>症状急性加重事件时，可根据当地</w:t>
      </w:r>
      <w:r>
        <w:rPr>
          <w:rFonts w:ascii="Times New Roman" w:hAnsi="Times New Roman" w:eastAsia="Times New Roman"/>
        </w:rPr>
        <w:t>SoC </w:t>
      </w:r>
      <w:r>
        <w:rPr>
          <w:spacing w:val="12"/>
        </w:rPr>
        <w:t>使用短效</w:t>
      </w:r>
      <w:r>
        <w:rPr>
          <w:rFonts w:ascii="Times New Roman" w:hAnsi="Times New Roman" w:eastAsia="Times New Roman"/>
        </w:rPr>
        <w:t>β2 </w:t>
      </w:r>
      <w:r>
        <w:rPr/>
        <w:t>受体</w:t>
      </w:r>
      <w:r>
        <w:rPr/>
        <w:t> </w:t>
      </w:r>
      <w:r>
        <w:rPr>
          <w:spacing w:val="-2"/>
        </w:rPr>
        <w:t>激动剂（</w:t>
      </w:r>
      <w:r>
        <w:rPr>
          <w:rFonts w:ascii="Times New Roman" w:hAnsi="Times New Roman" w:eastAsia="Times New Roman"/>
          <w:spacing w:val="-2"/>
        </w:rPr>
        <w:t>SABA</w:t>
      </w:r>
      <w:r>
        <w:rPr>
          <w:spacing w:val="-2"/>
        </w:rPr>
        <w:t>，如沙丁胺醇、特布他林、左旋沙丁胺醇）、</w:t>
      </w:r>
      <w:r>
        <w:rPr>
          <w:rFonts w:ascii="Times New Roman" w:hAnsi="Times New Roman" w:eastAsia="Times New Roman"/>
          <w:spacing w:val="-2"/>
        </w:rPr>
        <w:t>SAMA</w:t>
      </w:r>
      <w:r>
        <w:rPr>
          <w:spacing w:val="-2"/>
        </w:rPr>
        <w:t>、</w:t>
      </w:r>
      <w:r>
        <w:rPr>
          <w:rFonts w:ascii="Times New Roman" w:hAnsi="Times New Roman" w:eastAsia="Times New Roman"/>
          <w:spacing w:val="-2"/>
        </w:rPr>
        <w:t>SABA/SAMA</w:t>
      </w:r>
      <w:r>
        <w:rPr>
          <w:rFonts w:ascii="Times New Roman" w:hAnsi="Times New Roman" w:eastAsia="Times New Roman"/>
          <w:spacing w:val="80"/>
          <w:w w:val="150"/>
        </w:rPr>
        <w:t> </w:t>
      </w:r>
      <w:r>
        <w:rPr/>
        <w:t>复方制剂或其他缓解药物。注意描述的肺量计测定访视前的用药限制（</w:t>
      </w:r>
      <w:r>
        <w:rPr>
          <w:spacing w:val="-26"/>
        </w:rPr>
        <w:t>第 </w:t>
      </w:r>
      <w:hyperlink w:history="true" w:anchor="_bookmark67">
        <w:r>
          <w:rPr>
            <w:rFonts w:ascii="Times New Roman" w:hAnsi="Times New Roman" w:eastAsia="Times New Roman"/>
            <w:color w:val="0000FF"/>
          </w:rPr>
          <w:t>6.5.3</w:t>
        </w:r>
      </w:hyperlink>
      <w:r>
        <w:rPr>
          <w:rFonts w:ascii="Times New Roman" w:hAnsi="Times New Roman" w:eastAsia="Times New Roman"/>
          <w:color w:val="0000FF"/>
          <w:spacing w:val="-15"/>
        </w:rPr>
        <w:t> </w:t>
      </w:r>
      <w:r>
        <w:rPr/>
        <w:t>节）。</w:t>
      </w:r>
    </w:p>
    <w:p>
      <w:pPr>
        <w:pStyle w:val="Heading2"/>
        <w:numPr>
          <w:ilvl w:val="2"/>
          <w:numId w:val="3"/>
        </w:numPr>
        <w:tabs>
          <w:tab w:pos="1373" w:val="left" w:leader="none"/>
        </w:tabs>
        <w:spacing w:line="240" w:lineRule="auto" w:before="237" w:after="0"/>
        <w:ind w:left="1373" w:right="0" w:hanging="1152"/>
        <w:jc w:val="left"/>
      </w:pPr>
      <w:bookmarkStart w:name="6.5.2 维持治疗" w:id="129"/>
      <w:bookmarkEnd w:id="129"/>
      <w:r>
        <w:rPr>
          <w:b w:val="0"/>
        </w:rPr>
      </w:r>
      <w:bookmarkStart w:name="_bookmark66" w:id="130"/>
      <w:bookmarkEnd w:id="130"/>
      <w:r>
        <w:rPr>
          <w:b w:val="0"/>
        </w:rPr>
      </w:r>
      <w:r>
        <w:rPr>
          <w:spacing w:val="-4"/>
        </w:rPr>
        <w:t>维持治疗</w:t>
      </w:r>
    </w:p>
    <w:p>
      <w:pPr>
        <w:pStyle w:val="BodyText"/>
        <w:spacing w:before="120"/>
        <w:ind w:left="701"/>
        <w:jc w:val="both"/>
      </w:pPr>
      <w:r>
        <w:rPr>
          <w:spacing w:val="54"/>
        </w:rPr>
        <w:t>所有受试者需要在研究期间接受稳定的吸入性维持治疗优化方案</w:t>
      </w:r>
    </w:p>
    <w:p>
      <w:pPr>
        <w:pStyle w:val="BodyText"/>
        <w:spacing w:line="276" w:lineRule="auto" w:before="46"/>
        <w:ind w:right="353" w:hanging="120"/>
        <w:jc w:val="both"/>
      </w:pPr>
      <w:r>
        <w:rPr/>
        <w:t>（</w:t>
      </w:r>
      <w:r>
        <w:rPr>
          <w:rFonts w:ascii="Times New Roman" w:hAnsi="Times New Roman" w:eastAsia="Times New Roman"/>
        </w:rPr>
        <w:t>ICS/LABA/LAMA</w:t>
      </w:r>
      <w:r>
        <w:rPr>
          <w:rFonts w:ascii="Times New Roman" w:hAnsi="Times New Roman" w:eastAsia="Times New Roman"/>
          <w:spacing w:val="-15"/>
        </w:rPr>
        <w:t> </w:t>
      </w:r>
      <w:r>
        <w:rPr>
          <w:spacing w:val="-3"/>
        </w:rPr>
        <w:t>三联疗法，或者二联疗法 </w:t>
      </w:r>
      <w:r>
        <w:rPr>
          <w:rFonts w:ascii="Times New Roman" w:hAnsi="Times New Roman" w:eastAsia="Times New Roman"/>
        </w:rPr>
        <w:t>[</w:t>
      </w:r>
      <w:r>
        <w:rPr/>
        <w:t>如果认为三联疗法不适用</w:t>
      </w:r>
      <w:r>
        <w:rPr>
          <w:rFonts w:ascii="Times New Roman" w:hAnsi="Times New Roman" w:eastAsia="Times New Roman"/>
        </w:rPr>
        <w:t>]</w:t>
      </w:r>
      <w:r>
        <w:rPr/>
        <w:t>）。二联疗</w:t>
      </w:r>
      <w:r>
        <w:rPr>
          <w:spacing w:val="-2"/>
        </w:rPr>
        <w:t>法和三联疗法均可采用单独吸入器联合或固定剂量复方制剂吸入器。只要受试者继续使用相同的等效剂量，允许改变单个成分或改用其他装置。如果在背景治疗和方</w:t>
      </w:r>
      <w:r>
        <w:rPr/>
        <w:t>案中添加了抗生素或 </w:t>
      </w:r>
      <w:r>
        <w:rPr>
          <w:rFonts w:ascii="Times New Roman" w:hAnsi="Times New Roman" w:eastAsia="Times New Roman"/>
        </w:rPr>
        <w:t>PDE4 </w:t>
      </w:r>
      <w:r>
        <w:rPr/>
        <w:t>抑制剂，则在整个研究期间剂量应保持稳定。如果剂量</w:t>
      </w:r>
      <w:r>
        <w:rPr>
          <w:spacing w:val="10"/>
        </w:rPr>
        <w:t>相当于茶碱</w:t>
      </w:r>
      <w:r>
        <w:rPr>
          <w:rFonts w:ascii="Times New Roman" w:hAnsi="Times New Roman" w:eastAsia="Times New Roman"/>
        </w:rPr>
        <w:t>≤400</w:t>
      </w:r>
      <w:r>
        <w:rPr>
          <w:rFonts w:ascii="Times New Roman" w:hAnsi="Times New Roman" w:eastAsia="Times New Roman"/>
          <w:spacing w:val="47"/>
        </w:rPr>
        <w:t> </w:t>
      </w:r>
      <w:r>
        <w:rPr>
          <w:rFonts w:ascii="Times New Roman" w:hAnsi="Times New Roman" w:eastAsia="Times New Roman"/>
        </w:rPr>
        <w:t>mg/</w:t>
      </w:r>
      <w:r>
        <w:rPr>
          <w:spacing w:val="10"/>
        </w:rPr>
        <w:t>天或血清药物水平在治疗范围内</w:t>
      </w:r>
      <w:r>
        <w:rPr>
          <w:spacing w:val="11"/>
        </w:rPr>
        <w:t>（</w:t>
      </w:r>
      <w:r>
        <w:rPr>
          <w:spacing w:val="8"/>
        </w:rPr>
        <w:t>建议进行血液检查以确认</w:t>
      </w:r>
    </w:p>
    <w:p>
      <w:pPr>
        <w:pStyle w:val="BodyText"/>
        <w:spacing w:line="276" w:lineRule="auto"/>
        <w:ind w:right="354"/>
        <w:jc w:val="both"/>
      </w:pPr>
      <w:r>
        <w:rPr>
          <w:rFonts w:ascii="Times New Roman" w:eastAsia="Times New Roman"/>
        </w:rPr>
        <w:t>&lt;12</w:t>
      </w:r>
      <w:r>
        <w:rPr>
          <w:rFonts w:ascii="Times New Roman" w:eastAsia="Times New Roman"/>
          <w:spacing w:val="-15"/>
        </w:rPr>
        <w:t> </w:t>
      </w:r>
      <w:r>
        <w:rPr>
          <w:rFonts w:ascii="Times New Roman" w:eastAsia="Times New Roman"/>
        </w:rPr>
        <w:t>mg/dL</w:t>
      </w:r>
      <w:r>
        <w:rPr/>
        <w:t>），则允许使用黄嘌呤作为维持治疗。强烈不建议受试者在研究期间改变</w:t>
      </w:r>
      <w:r>
        <w:rPr>
          <w:spacing w:val="-2"/>
        </w:rPr>
        <w:t>维持疗法，除非研究者认为医学上有必要。治疗变更的理由和依据应记录在源文件</w:t>
      </w:r>
      <w:r>
        <w:rPr>
          <w:spacing w:val="-6"/>
        </w:rPr>
        <w:t>中。</w:t>
      </w:r>
    </w:p>
    <w:p>
      <w:pPr>
        <w:pStyle w:val="BodyText"/>
        <w:spacing w:line="276" w:lineRule="auto" w:before="232"/>
        <w:ind w:right="358" w:firstLine="480"/>
        <w:jc w:val="both"/>
      </w:pPr>
      <w:r>
        <w:rPr/>
        <w:t>注：本方案中“稳定”或“不变”</w:t>
      </w:r>
      <w:r>
        <w:rPr>
          <w:rFonts w:ascii="Times New Roman" w:hAnsi="Times New Roman" w:eastAsia="Times New Roman"/>
        </w:rPr>
        <w:t>COPD </w:t>
      </w:r>
      <w:r>
        <w:rPr/>
        <w:t>维持疗法的含义允许改变单个成分或更换给药装置，前提是受试者保持相同类别疗法的等效剂量（</w:t>
      </w:r>
      <w:r>
        <w:rPr>
          <w:spacing w:val="-4"/>
        </w:rPr>
        <w:t>例如 </w:t>
      </w:r>
      <w:r>
        <w:rPr>
          <w:rFonts w:ascii="Times New Roman" w:hAnsi="Times New Roman" w:eastAsia="Times New Roman"/>
        </w:rPr>
        <w:t>ICS </w:t>
      </w:r>
      <w:r>
        <w:rPr/>
        <w:t>等效剂量，请见</w:t>
      </w:r>
      <w:hyperlink w:history="true" w:anchor="_bookmark167">
        <w:r>
          <w:rPr>
            <w:color w:val="0000FF"/>
            <w:spacing w:val="-14"/>
          </w:rPr>
          <w:t>附录 </w:t>
        </w:r>
        <w:r>
          <w:rPr>
            <w:rFonts w:ascii="Times New Roman" w:hAnsi="Times New Roman" w:eastAsia="Times New Roman"/>
            <w:color w:val="0000FF"/>
          </w:rPr>
          <w:t>I</w:t>
        </w:r>
      </w:hyperlink>
      <w:r>
        <w:rPr/>
        <w:t>）。</w:t>
      </w:r>
    </w:p>
    <w:p>
      <w:pPr>
        <w:pStyle w:val="BodyText"/>
        <w:spacing w:line="276" w:lineRule="auto" w:before="238"/>
        <w:ind w:right="355" w:firstLine="480"/>
        <w:jc w:val="both"/>
      </w:pPr>
      <w:r>
        <w:rPr/>
        <w:t>治疗期内，推荐 </w:t>
      </w:r>
      <w:r>
        <w:rPr>
          <w:rFonts w:ascii="Times New Roman" w:hAnsi="Times New Roman" w:eastAsia="Times New Roman"/>
        </w:rPr>
        <w:t>COPD </w:t>
      </w:r>
      <w:r>
        <w:rPr/>
        <w:t>吸入性维持疗法的依从性</w:t>
      </w:r>
      <w:r>
        <w:rPr>
          <w:rFonts w:ascii="Times New Roman" w:hAnsi="Times New Roman" w:eastAsia="Times New Roman"/>
        </w:rPr>
        <w:t>≥70%</w:t>
      </w:r>
      <w:r>
        <w:rPr/>
        <w:t>，根据用药开始</w:t>
      </w:r>
      <w:r>
        <w:rPr>
          <w:rFonts w:ascii="Times New Roman" w:hAnsi="Times New Roman" w:eastAsia="Times New Roman"/>
        </w:rPr>
        <w:t>/</w:t>
      </w:r>
      <w:r>
        <w:rPr/>
        <w:t>停止日</w:t>
      </w:r>
      <w:r>
        <w:rPr>
          <w:spacing w:val="-2"/>
        </w:rPr>
        <w:t>期以及每次访视时受试者对“在过去一个月内，您每周有多少天按计划接受了您的</w:t>
      </w:r>
      <w:r>
        <w:rPr/>
        <w:t>维持用药？”的回答确定依从性，记录在源文件中。如果依从性水平低于 </w:t>
      </w:r>
      <w:r>
        <w:rPr>
          <w:rFonts w:ascii="Times New Roman" w:hAnsi="Times New Roman" w:eastAsia="Times New Roman"/>
        </w:rPr>
        <w:t>70%</w:t>
      </w:r>
      <w:r>
        <w:rPr/>
        <w:t>，建议研究中心</w:t>
      </w:r>
      <w:r>
        <w:rPr>
          <w:rFonts w:ascii="Times New Roman" w:hAnsi="Times New Roman" w:eastAsia="Times New Roman"/>
        </w:rPr>
        <w:t>/</w:t>
      </w:r>
      <w:r>
        <w:rPr>
          <w:spacing w:val="-2"/>
        </w:rPr>
        <w:t>研究者应评价依从性低的原因，对受试者提供关于依从性在 </w:t>
      </w:r>
      <w:r>
        <w:rPr>
          <w:rFonts w:ascii="Times New Roman" w:hAnsi="Times New Roman" w:eastAsia="Times New Roman"/>
        </w:rPr>
        <w:t>COPD</w:t>
      </w:r>
      <w:r>
        <w:rPr>
          <w:rFonts w:ascii="Times New Roman" w:hAnsi="Times New Roman" w:eastAsia="Times New Roman"/>
          <w:spacing w:val="-15"/>
        </w:rPr>
        <w:t> </w:t>
      </w:r>
      <w:r>
        <w:rPr/>
        <w:t>吸入性维持治疗中的重要性的再教育。在依从性水平低于 </w:t>
      </w:r>
      <w:r>
        <w:rPr>
          <w:rFonts w:ascii="Times New Roman" w:hAnsi="Times New Roman" w:eastAsia="Times New Roman"/>
        </w:rPr>
        <w:t>50%</w:t>
      </w:r>
      <w:r>
        <w:rPr/>
        <w:t>时，强烈建议研究中心联</w:t>
      </w:r>
      <w:r>
        <w:rPr>
          <w:spacing w:val="-2"/>
        </w:rPr>
        <w:t>系申办者研究医生，以讨论对受试者潜在安全性影响以及下一步决定。</w:t>
      </w:r>
    </w:p>
    <w:p>
      <w:pPr>
        <w:pStyle w:val="BodyText"/>
        <w:spacing w:line="276" w:lineRule="auto" w:before="236"/>
        <w:ind w:right="357" w:firstLine="480"/>
        <w:jc w:val="both"/>
      </w:pPr>
      <w:r>
        <w:rPr>
          <w:spacing w:val="-2"/>
        </w:rPr>
        <w:t>除非受试者禁忌或拒绝接种疫苗，或无疫苗可用，所有受试者应按照当地指南</w:t>
      </w:r>
      <w:r>
        <w:rPr/>
        <w:t>接种肺炎球菌和流感疫苗。在整个研究期间的任何时间（</w:t>
      </w:r>
      <w:r>
        <w:rPr>
          <w:rFonts w:ascii="Times New Roman" w:hAnsi="Times New Roman" w:eastAsia="Times New Roman"/>
        </w:rPr>
        <w:t>IP</w:t>
      </w:r>
      <w:r>
        <w:rPr>
          <w:rFonts w:ascii="Times New Roman" w:hAnsi="Times New Roman" w:eastAsia="Times New Roman"/>
          <w:spacing w:val="-7"/>
        </w:rPr>
        <w:t> </w:t>
      </w:r>
      <w:r>
        <w:rPr/>
        <w:t>给药</w:t>
      </w:r>
      <w:r>
        <w:rPr>
          <w:rFonts w:ascii="Times New Roman" w:hAnsi="Times New Roman" w:eastAsia="Times New Roman"/>
        </w:rPr>
        <w:t>±7</w:t>
      </w:r>
      <w:r>
        <w:rPr>
          <w:rFonts w:ascii="Times New Roman" w:hAnsi="Times New Roman" w:eastAsia="Times New Roman"/>
          <w:spacing w:val="-8"/>
        </w:rPr>
        <w:t> </w:t>
      </w:r>
      <w:r>
        <w:rPr/>
        <w:t>天除外），可根</w:t>
      </w:r>
      <w:r>
        <w:rPr>
          <w:spacing w:val="-2"/>
        </w:rPr>
        <w:t>据研究者的决定接种肺炎球菌和流感疫苗。</w:t>
      </w:r>
    </w:p>
    <w:p>
      <w:pPr>
        <w:pStyle w:val="Heading2"/>
        <w:numPr>
          <w:ilvl w:val="2"/>
          <w:numId w:val="3"/>
        </w:numPr>
        <w:tabs>
          <w:tab w:pos="1373" w:val="left" w:leader="none"/>
        </w:tabs>
        <w:spacing w:line="240" w:lineRule="auto" w:before="236" w:after="0"/>
        <w:ind w:left="1373" w:right="0" w:hanging="1152"/>
        <w:jc w:val="left"/>
      </w:pPr>
      <w:bookmarkStart w:name="6.5.3 药物暂停期" w:id="131"/>
      <w:bookmarkEnd w:id="131"/>
      <w:r>
        <w:rPr>
          <w:b w:val="0"/>
        </w:rPr>
      </w:r>
      <w:bookmarkStart w:name="_bookmark67" w:id="132"/>
      <w:bookmarkEnd w:id="132"/>
      <w:r>
        <w:rPr>
          <w:b w:val="0"/>
        </w:rPr>
      </w:r>
      <w:r>
        <w:rPr>
          <w:spacing w:val="-6"/>
        </w:rPr>
        <w:t>药物暂停期</w:t>
      </w:r>
    </w:p>
    <w:p>
      <w:pPr>
        <w:pStyle w:val="BodyText"/>
        <w:spacing w:line="276" w:lineRule="auto" w:before="120"/>
        <w:ind w:right="357" w:firstLine="480"/>
        <w:jc w:val="both"/>
      </w:pPr>
      <w:r>
        <w:rPr/>
        <w:t>肺量计测定将于计划访视在研究中心实施（</w:t>
      </w:r>
      <w:r>
        <w:rPr>
          <w:spacing w:val="15"/>
        </w:rPr>
        <w:t>第</w:t>
      </w:r>
      <w:hyperlink w:history="true" w:anchor="_bookmark7">
        <w:r>
          <w:rPr>
            <w:rFonts w:ascii="Times New Roman" w:eastAsia="Times New Roman"/>
            <w:color w:val="0000FF"/>
          </w:rPr>
          <w:t>1.3</w:t>
        </w:r>
        <w:r>
          <w:rPr>
            <w:rFonts w:ascii="Times New Roman" w:eastAsia="Times New Roman"/>
            <w:color w:val="0000FF"/>
            <w:spacing w:val="-15"/>
          </w:rPr>
          <w:t> </w:t>
        </w:r>
      </w:hyperlink>
      <w:r>
        <w:rPr/>
        <w:t>节）。肺量计测定前受试者的 </w:t>
      </w:r>
      <w:r>
        <w:rPr>
          <w:rFonts w:ascii="Times New Roman" w:eastAsia="Times New Roman"/>
        </w:rPr>
        <w:t>COPD</w:t>
      </w:r>
      <w:r>
        <w:rPr>
          <w:rFonts w:ascii="Times New Roman" w:eastAsia="Times New Roman"/>
          <w:spacing w:val="-5"/>
        </w:rPr>
        <w:t> </w:t>
      </w:r>
      <w:r>
        <w:rPr/>
        <w:t>用药有限制要求。</w:t>
      </w:r>
    </w:p>
    <w:p>
      <w:pPr>
        <w:pStyle w:val="BodyText"/>
        <w:spacing w:line="276" w:lineRule="auto" w:before="238"/>
        <w:ind w:right="117" w:firstLine="480"/>
      </w:pPr>
      <w:r>
        <w:rPr/>
        <w:t>将要求受试者在预定的 </w:t>
      </w:r>
      <w:r>
        <w:rPr>
          <w:rFonts w:ascii="Times New Roman" w:eastAsia="Times New Roman"/>
        </w:rPr>
        <w:t>BD</w:t>
      </w:r>
      <w:r>
        <w:rPr>
          <w:rFonts w:ascii="Times New Roman" w:eastAsia="Times New Roman"/>
          <w:spacing w:val="40"/>
        </w:rPr>
        <w:t> </w:t>
      </w:r>
      <w:r>
        <w:rPr/>
        <w:t>给药前肺量计测定访视当日晨间暂停其常规吸入性</w:t>
      </w:r>
      <w:r>
        <w:rPr/>
        <w:t> </w:t>
      </w:r>
      <w:r>
        <w:rPr>
          <w:spacing w:val="14"/>
        </w:rPr>
        <w:t>维持治疗</w:t>
      </w:r>
      <w:r>
        <w:rPr/>
        <w:t>（</w:t>
      </w:r>
      <w:r>
        <w:rPr>
          <w:rFonts w:ascii="Times New Roman" w:eastAsia="Times New Roman"/>
        </w:rPr>
        <w:t>ICS/LABA/LAMA</w:t>
      </w:r>
      <w:r>
        <w:rPr>
          <w:rFonts w:ascii="Times New Roman" w:eastAsia="Times New Roman"/>
          <w:spacing w:val="40"/>
        </w:rPr>
        <w:t> </w:t>
      </w:r>
      <w:r>
        <w:rPr>
          <w:spacing w:val="11"/>
        </w:rPr>
        <w:t>三联疗法，或者二联疗法 </w:t>
      </w:r>
      <w:r>
        <w:rPr>
          <w:rFonts w:ascii="Times New Roman" w:eastAsia="Times New Roman"/>
          <w:spacing w:val="13"/>
        </w:rPr>
        <w:t>[</w:t>
      </w:r>
      <w:r>
        <w:rPr>
          <w:spacing w:val="11"/>
        </w:rPr>
        <w:t>如果认为三联疗法不合</w:t>
      </w:r>
      <w:r>
        <w:rPr/>
        <w:t> 适</w:t>
      </w:r>
      <w:r>
        <w:rPr>
          <w:rFonts w:ascii="Times New Roman" w:eastAsia="Times New Roman"/>
        </w:rPr>
        <w:t>]</w:t>
      </w:r>
      <w:r>
        <w:rPr/>
        <w:t>），</w:t>
      </w:r>
      <w:r>
        <w:rPr>
          <w:spacing w:val="-3"/>
        </w:rPr>
        <w:t>最好在肺量计测定前停药至少 </w:t>
      </w:r>
      <w:r>
        <w:rPr>
          <w:rFonts w:ascii="Times New Roman" w:eastAsia="Times New Roman"/>
        </w:rPr>
        <w:t>12</w:t>
      </w:r>
      <w:r>
        <w:rPr>
          <w:rFonts w:ascii="Times New Roman" w:eastAsia="Times New Roman"/>
          <w:spacing w:val="-15"/>
        </w:rPr>
        <w:t> </w:t>
      </w:r>
      <w:r>
        <w:rPr/>
        <w:t>小时（</w:t>
      </w:r>
      <w:r>
        <w:rPr>
          <w:spacing w:val="-4"/>
        </w:rPr>
        <w:t>每日一次用药评估前停药 </w:t>
      </w:r>
      <w:r>
        <w:rPr>
          <w:rFonts w:ascii="Times New Roman" w:eastAsia="Times New Roman"/>
        </w:rPr>
        <w:t>24</w:t>
      </w:r>
      <w:r>
        <w:rPr>
          <w:rFonts w:ascii="Times New Roman" w:eastAsia="Times New Roman"/>
          <w:spacing w:val="-12"/>
        </w:rPr>
        <w:t> </w:t>
      </w:r>
      <w:r>
        <w:rPr/>
        <w:t>小时）。</w:t>
      </w:r>
      <w:r>
        <w:rPr>
          <w:spacing w:val="-4"/>
        </w:rPr>
        <w:t>此外，肺量计测定评估前 </w:t>
      </w:r>
      <w:r>
        <w:rPr>
          <w:rFonts w:ascii="Times New Roman" w:eastAsia="Times New Roman"/>
        </w:rPr>
        <w:t>6</w:t>
      </w:r>
      <w:r>
        <w:rPr>
          <w:rFonts w:ascii="Times New Roman" w:eastAsia="Times New Roman"/>
          <w:spacing w:val="-15"/>
        </w:rPr>
        <w:t> </w:t>
      </w:r>
      <w:r>
        <w:rPr>
          <w:spacing w:val="-6"/>
        </w:rPr>
        <w:t>小时内不得使用 </w:t>
      </w:r>
      <w:r>
        <w:rPr>
          <w:rFonts w:ascii="Times New Roman" w:eastAsia="Times New Roman"/>
        </w:rPr>
        <w:t>SABA</w:t>
      </w:r>
      <w:r>
        <w:rPr>
          <w:rFonts w:ascii="Times New Roman" w:eastAsia="Times New Roman"/>
          <w:spacing w:val="-10"/>
        </w:rPr>
        <w:t> </w:t>
      </w:r>
      <w:r>
        <w:rPr>
          <w:spacing w:val="-21"/>
        </w:rPr>
        <w:t>和 </w:t>
      </w:r>
      <w:r>
        <w:rPr>
          <w:rFonts w:ascii="Times New Roman" w:eastAsia="Times New Roman"/>
        </w:rPr>
        <w:t>SAMA</w:t>
      </w:r>
      <w:r>
        <w:rPr>
          <w:spacing w:val="-6"/>
        </w:rPr>
        <w:t>。受试者可以在 </w:t>
      </w:r>
      <w:r>
        <w:rPr>
          <w:rFonts w:ascii="Times New Roman" w:eastAsia="Times New Roman"/>
        </w:rPr>
        <w:t>BD</w:t>
      </w:r>
      <w:r>
        <w:rPr>
          <w:rFonts w:ascii="Times New Roman" w:eastAsia="Times New Roman"/>
          <w:spacing w:val="-3"/>
        </w:rPr>
        <w:t> </w:t>
      </w:r>
      <w:r>
        <w:rPr/>
        <w:t>前肺</w:t>
      </w:r>
      <w:r>
        <w:rPr>
          <w:spacing w:val="-2"/>
        </w:rPr>
        <w:t>量计测定后继续接受其常规 </w:t>
      </w:r>
      <w:r>
        <w:rPr>
          <w:rFonts w:ascii="Times New Roman" w:eastAsia="Times New Roman"/>
        </w:rPr>
        <w:t>COPD </w:t>
      </w:r>
      <w:r>
        <w:rPr>
          <w:spacing w:val="-2"/>
        </w:rPr>
        <w:t>药物。计划访视中 </w:t>
      </w:r>
      <w:r>
        <w:rPr>
          <w:rFonts w:ascii="Times New Roman" w:eastAsia="Times New Roman"/>
        </w:rPr>
        <w:t>IP </w:t>
      </w:r>
      <w:r>
        <w:rPr/>
        <w:t>将在肺量计测定后给予。</w:t>
      </w:r>
    </w:p>
    <w:p>
      <w:pPr>
        <w:spacing w:after="0" w:line="276" w:lineRule="auto"/>
        <w:sectPr>
          <w:pgSz w:w="11910" w:h="16840"/>
          <w:pgMar w:header="590" w:footer="784" w:top="1340" w:bottom="980" w:left="1480" w:right="1080"/>
        </w:sectPr>
      </w:pPr>
    </w:p>
    <w:p>
      <w:pPr>
        <w:pStyle w:val="BodyText"/>
        <w:spacing w:before="88"/>
        <w:ind w:left="701"/>
      </w:pPr>
      <w:r>
        <w:rPr>
          <w:spacing w:val="9"/>
        </w:rPr>
        <w:t>如果受试者在预定的肺量计测定访视当日晨间已经使用常规吸入性维持治疗</w:t>
      </w:r>
    </w:p>
    <w:p>
      <w:pPr>
        <w:pStyle w:val="BodyText"/>
        <w:spacing w:line="276" w:lineRule="auto" w:before="45"/>
        <w:ind w:right="116" w:hanging="120"/>
      </w:pPr>
      <w:r>
        <w:rPr/>
        <w:t>（</w:t>
      </w:r>
      <w:r>
        <w:rPr>
          <w:rFonts w:ascii="Times New Roman" w:eastAsia="Times New Roman"/>
        </w:rPr>
        <w:t>ICS/LABA/LAMA </w:t>
      </w:r>
      <w:r>
        <w:rPr/>
        <w:t>三联疗法，或者二联疗法 </w:t>
      </w:r>
      <w:r>
        <w:rPr>
          <w:rFonts w:ascii="Times New Roman" w:eastAsia="Times New Roman"/>
        </w:rPr>
        <w:t>[</w:t>
      </w:r>
      <w:r>
        <w:rPr/>
        <w:t>如果认为三联疗法不合适</w:t>
      </w:r>
      <w:r>
        <w:rPr>
          <w:rFonts w:ascii="Times New Roman" w:eastAsia="Times New Roman"/>
        </w:rPr>
        <w:t>]</w:t>
      </w:r>
      <w:r>
        <w:rPr/>
        <w:t>），则研究</w:t>
      </w:r>
      <w:r>
        <w:rPr/>
        <w:t> </w:t>
      </w:r>
      <w:r>
        <w:rPr>
          <w:spacing w:val="-2"/>
        </w:rPr>
        <w:t>者</w:t>
      </w:r>
      <w:r>
        <w:rPr>
          <w:rFonts w:ascii="Times New Roman" w:eastAsia="Times New Roman"/>
          <w:spacing w:val="-2"/>
        </w:rPr>
        <w:t>/</w:t>
      </w:r>
      <w:r>
        <w:rPr>
          <w:spacing w:val="-2"/>
        </w:rPr>
        <w:t>授权代表应在允许的时间窗内重新安排肺量计评估，并提醒受试者肺量计测定前</w:t>
      </w:r>
      <w:r>
        <w:rPr>
          <w:spacing w:val="80"/>
        </w:rPr>
        <w:t> </w:t>
      </w:r>
      <w:r>
        <w:rPr>
          <w:spacing w:val="-2"/>
        </w:rPr>
        <w:t>暂停常规晨间吸入性维持治疗的重要性。如果对于受试者来说重新安排绝对不可行，则可以进行肺量计测定，并在源文件和 </w:t>
      </w:r>
      <w:r>
        <w:rPr>
          <w:rFonts w:ascii="Times New Roman" w:eastAsia="Times New Roman"/>
        </w:rPr>
        <w:t>TPV</w:t>
      </w:r>
      <w:r>
        <w:rPr>
          <w:rFonts w:ascii="Times New Roman" w:eastAsia="Times New Roman"/>
          <w:spacing w:val="-15"/>
        </w:rPr>
        <w:t> </w:t>
      </w:r>
      <w:r>
        <w:rPr/>
        <w:t>系统中添加注释，表明肺量计测定是在常</w:t>
      </w:r>
      <w:r>
        <w:rPr>
          <w:spacing w:val="-2"/>
        </w:rPr>
        <w:t>规优化的吸入性维持治疗给药后进行的。</w:t>
      </w:r>
    </w:p>
    <w:p>
      <w:pPr>
        <w:pStyle w:val="BodyText"/>
        <w:spacing w:line="276" w:lineRule="auto" w:before="237"/>
        <w:ind w:right="354" w:firstLine="480"/>
        <w:jc w:val="both"/>
      </w:pPr>
      <w:r>
        <w:rPr>
          <w:spacing w:val="10"/>
        </w:rPr>
        <w:t>如果受试者在计划的肺量计测定访视前 </w:t>
      </w:r>
      <w:r>
        <w:rPr>
          <w:rFonts w:ascii="Times New Roman" w:eastAsia="Times New Roman"/>
        </w:rPr>
        <w:t>6 </w:t>
      </w:r>
      <w:r>
        <w:rPr>
          <w:spacing w:val="9"/>
        </w:rPr>
        <w:t>小时内使用了缓解药物 </w:t>
      </w:r>
      <w:r>
        <w:rPr>
          <w:rFonts w:ascii="Times New Roman" w:eastAsia="Times New Roman"/>
        </w:rPr>
        <w:t>SABA </w:t>
      </w:r>
      <w:r>
        <w:rPr/>
        <w:t>或 </w:t>
      </w:r>
      <w:r>
        <w:rPr>
          <w:rFonts w:ascii="Times New Roman" w:eastAsia="Times New Roman"/>
        </w:rPr>
        <w:t>SAMA</w:t>
      </w:r>
      <w:r>
        <w:rPr/>
        <w:t>，受试者最好留在研究中心，直至达到 </w:t>
      </w:r>
      <w:r>
        <w:rPr>
          <w:rFonts w:ascii="Times New Roman" w:eastAsia="Times New Roman"/>
        </w:rPr>
        <w:t>6 </w:t>
      </w:r>
      <w:r>
        <w:rPr/>
        <w:t>小时的停药时间，或在访视窗内重</w:t>
      </w:r>
      <w:r>
        <w:rPr>
          <w:spacing w:val="-2"/>
        </w:rPr>
        <w:t>新安排访视。如果上述两种方法对受试者均不可行，则可进行肺量计测定，并注明</w:t>
      </w:r>
      <w:r>
        <w:rPr/>
        <w:t>该次肺容量测量和</w:t>
      </w:r>
      <w:r>
        <w:rPr>
          <w:rFonts w:ascii="Times New Roman" w:eastAsia="Times New Roman"/>
        </w:rPr>
        <w:t>/</w:t>
      </w:r>
      <w:r>
        <w:rPr>
          <w:spacing w:val="-2"/>
        </w:rPr>
        <w:t>或肺功能测定是在使用 </w:t>
      </w:r>
      <w:r>
        <w:rPr>
          <w:rFonts w:ascii="Times New Roman" w:eastAsia="Times New Roman"/>
        </w:rPr>
        <w:t>SABA/SAMA </w:t>
      </w:r>
      <w:r>
        <w:rPr>
          <w:spacing w:val="-9"/>
        </w:rPr>
        <w:t>后 </w:t>
      </w:r>
      <w:r>
        <w:rPr>
          <w:rFonts w:ascii="Times New Roman" w:eastAsia="Times New Roman"/>
        </w:rPr>
        <w:t>6 </w:t>
      </w:r>
      <w:r>
        <w:rPr/>
        <w:t>小时内进行的。</w:t>
      </w:r>
    </w:p>
    <w:p>
      <w:pPr>
        <w:pStyle w:val="Heading2"/>
        <w:numPr>
          <w:ilvl w:val="2"/>
          <w:numId w:val="3"/>
        </w:numPr>
        <w:tabs>
          <w:tab w:pos="1373" w:val="left" w:leader="none"/>
        </w:tabs>
        <w:spacing w:line="240" w:lineRule="auto" w:before="235" w:after="0"/>
        <w:ind w:left="1373" w:right="0" w:hanging="1152"/>
        <w:jc w:val="left"/>
      </w:pPr>
      <w:bookmarkStart w:name="6.5.4 允许、限制和禁用药" w:id="133"/>
      <w:bookmarkEnd w:id="133"/>
      <w:r>
        <w:rPr>
          <w:b w:val="0"/>
        </w:rPr>
      </w:r>
      <w:bookmarkStart w:name="_bookmark68" w:id="134"/>
      <w:bookmarkEnd w:id="134"/>
      <w:r>
        <w:rPr>
          <w:b w:val="0"/>
        </w:rPr>
      </w:r>
      <w:r>
        <w:rPr>
          <w:spacing w:val="-5"/>
        </w:rPr>
        <w:t>允许、限制和禁用药</w:t>
      </w:r>
    </w:p>
    <w:p>
      <w:pPr>
        <w:pStyle w:val="BodyText"/>
        <w:spacing w:line="276" w:lineRule="auto" w:before="121"/>
        <w:ind w:right="365" w:firstLine="480"/>
        <w:jc w:val="both"/>
      </w:pPr>
      <w:r>
        <w:rPr>
          <w:spacing w:val="-2"/>
        </w:rPr>
        <w:t>与前身研究一样，在本研究的整个研究持续期间，允许、限制或禁止使用以下</w:t>
      </w:r>
      <w:r>
        <w:rPr/>
        <w:t>药物（除非特别指明时间段，</w:t>
      </w:r>
      <w:hyperlink w:history="true" w:anchor="_bookmark69">
        <w:r>
          <w:rPr>
            <w:color w:val="0000FF"/>
            <w:spacing w:val="-21"/>
          </w:rPr>
          <w:t>表 </w:t>
        </w:r>
        <w:r>
          <w:rPr>
            <w:rFonts w:ascii="Times New Roman" w:eastAsia="Times New Roman"/>
            <w:color w:val="0000FF"/>
          </w:rPr>
          <w:t>5</w:t>
        </w:r>
      </w:hyperlink>
      <w:r>
        <w:rPr/>
        <w:t>）。</w:t>
      </w:r>
    </w:p>
    <w:p>
      <w:pPr>
        <w:pStyle w:val="Heading3"/>
        <w:tabs>
          <w:tab w:pos="1923" w:val="left" w:leader="none"/>
        </w:tabs>
        <w:spacing w:before="237"/>
      </w:pPr>
      <w:bookmarkStart w:name="_bookmark69" w:id="135"/>
      <w:bookmarkEnd w:id="135"/>
      <w:r>
        <w:rPr>
          <w:b w:val="0"/>
        </w:rPr>
      </w:r>
      <w:r>
        <w:rPr>
          <w:spacing w:val="-4"/>
        </w:rPr>
        <w:t>表</w:t>
      </w:r>
      <w:r>
        <w:rPr>
          <w:spacing w:val="-59"/>
        </w:rPr>
        <w:t> </w:t>
      </w:r>
      <w:r>
        <w:rPr>
          <w:rFonts w:ascii="Times New Roman" w:eastAsia="Times New Roman"/>
          <w:spacing w:val="-10"/>
        </w:rPr>
        <w:t>5</w:t>
      </w:r>
      <w:r>
        <w:rPr>
          <w:rFonts w:ascii="Times New Roman" w:eastAsia="Times New Roman"/>
        </w:rPr>
        <w:tab/>
      </w:r>
      <w:r>
        <w:rPr>
          <w:spacing w:val="-4"/>
        </w:rPr>
        <w:t>允许、限制和禁止的合并用</w:t>
      </w:r>
      <w:r>
        <w:rPr>
          <w:spacing w:val="-10"/>
        </w:rPr>
        <w:t>药</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7"/>
        <w:gridCol w:w="1385"/>
        <w:gridCol w:w="4595"/>
      </w:tblGrid>
      <w:tr>
        <w:trPr>
          <w:trHeight w:val="897" w:hRule="atLeast"/>
        </w:trPr>
        <w:tc>
          <w:tcPr>
            <w:tcW w:w="2777" w:type="dxa"/>
          </w:tcPr>
          <w:p>
            <w:pPr>
              <w:pStyle w:val="TableParagraph"/>
              <w:rPr>
                <w:b/>
                <w:sz w:val="21"/>
              </w:rPr>
            </w:pPr>
          </w:p>
          <w:p>
            <w:pPr>
              <w:pStyle w:val="TableParagraph"/>
              <w:spacing w:before="36"/>
              <w:rPr>
                <w:b/>
                <w:sz w:val="21"/>
              </w:rPr>
            </w:pPr>
          </w:p>
          <w:p>
            <w:pPr>
              <w:pStyle w:val="TableParagraph"/>
              <w:ind w:left="107"/>
              <w:rPr>
                <w:b/>
                <w:sz w:val="21"/>
              </w:rPr>
            </w:pPr>
            <w:r>
              <w:rPr>
                <w:b/>
                <w:spacing w:val="-6"/>
                <w:sz w:val="21"/>
              </w:rPr>
              <w:t>药物</w:t>
            </w:r>
          </w:p>
        </w:tc>
        <w:tc>
          <w:tcPr>
            <w:tcW w:w="1385" w:type="dxa"/>
          </w:tcPr>
          <w:p>
            <w:pPr>
              <w:pStyle w:val="TableParagraph"/>
              <w:spacing w:before="36"/>
              <w:ind w:left="106" w:right="785"/>
              <w:jc w:val="both"/>
              <w:rPr>
                <w:b/>
                <w:sz w:val="21"/>
              </w:rPr>
            </w:pPr>
            <w:r>
              <w:rPr>
                <w:b/>
                <w:spacing w:val="-4"/>
                <w:sz w:val="21"/>
              </w:rPr>
              <w:t>允许</w:t>
            </w:r>
            <w:r>
              <w:rPr>
                <w:rFonts w:ascii="Times New Roman" w:eastAsia="Times New Roman"/>
                <w:b/>
                <w:spacing w:val="-4"/>
                <w:sz w:val="21"/>
              </w:rPr>
              <w:t>/</w:t>
            </w:r>
            <w:r>
              <w:rPr>
                <w:b/>
                <w:spacing w:val="-4"/>
                <w:sz w:val="21"/>
              </w:rPr>
              <w:t>限制</w:t>
            </w:r>
            <w:r>
              <w:rPr>
                <w:rFonts w:ascii="Times New Roman" w:eastAsia="Times New Roman"/>
                <w:b/>
                <w:spacing w:val="-4"/>
                <w:sz w:val="21"/>
              </w:rPr>
              <w:t>/</w:t>
            </w:r>
            <w:r>
              <w:rPr>
                <w:b/>
                <w:spacing w:val="-6"/>
                <w:sz w:val="21"/>
              </w:rPr>
              <w:t>禁止</w:t>
            </w:r>
          </w:p>
        </w:tc>
        <w:tc>
          <w:tcPr>
            <w:tcW w:w="4595" w:type="dxa"/>
          </w:tcPr>
          <w:p>
            <w:pPr>
              <w:pStyle w:val="TableParagraph"/>
              <w:rPr>
                <w:b/>
                <w:sz w:val="21"/>
              </w:rPr>
            </w:pPr>
          </w:p>
          <w:p>
            <w:pPr>
              <w:pStyle w:val="TableParagraph"/>
              <w:spacing w:before="36"/>
              <w:rPr>
                <w:b/>
                <w:sz w:val="21"/>
              </w:rPr>
            </w:pPr>
          </w:p>
          <w:p>
            <w:pPr>
              <w:pStyle w:val="TableParagraph"/>
              <w:ind w:left="106"/>
              <w:rPr>
                <w:b/>
                <w:sz w:val="21"/>
              </w:rPr>
            </w:pPr>
            <w:r>
              <w:rPr>
                <w:b/>
                <w:spacing w:val="-4"/>
                <w:sz w:val="21"/>
              </w:rPr>
              <w:t>详细内容</w:t>
            </w:r>
          </w:p>
        </w:tc>
      </w:tr>
      <w:tr>
        <w:trPr>
          <w:trHeight w:val="3155" w:hRule="atLeast"/>
        </w:trPr>
        <w:tc>
          <w:tcPr>
            <w:tcW w:w="2777" w:type="dxa"/>
          </w:tcPr>
          <w:p>
            <w:pPr>
              <w:pStyle w:val="TableParagraph"/>
              <w:spacing w:before="38"/>
              <w:ind w:left="107"/>
              <w:rPr>
                <w:sz w:val="21"/>
              </w:rPr>
            </w:pPr>
            <w:r>
              <w:rPr>
                <w:rFonts w:ascii="Times New Roman" w:eastAsia="Times New Roman"/>
                <w:sz w:val="21"/>
              </w:rPr>
              <w:t>COPD</w:t>
            </w:r>
            <w:r>
              <w:rPr>
                <w:rFonts w:ascii="Times New Roman" w:eastAsia="Times New Roman"/>
                <w:spacing w:val="-13"/>
                <w:sz w:val="21"/>
              </w:rPr>
              <w:t> </w:t>
            </w:r>
            <w:r>
              <w:rPr>
                <w:spacing w:val="-2"/>
                <w:sz w:val="21"/>
              </w:rPr>
              <w:t>维持用药：</w:t>
            </w:r>
          </w:p>
          <w:p>
            <w:pPr>
              <w:pStyle w:val="TableParagraph"/>
              <w:numPr>
                <w:ilvl w:val="0"/>
                <w:numId w:val="21"/>
              </w:numPr>
              <w:tabs>
                <w:tab w:pos="532" w:val="left" w:leader="none"/>
              </w:tabs>
              <w:spacing w:line="273" w:lineRule="exact" w:before="79" w:after="0"/>
              <w:ind w:left="532" w:right="0" w:hanging="425"/>
              <w:jc w:val="left"/>
              <w:rPr>
                <w:sz w:val="21"/>
              </w:rPr>
            </w:pPr>
            <w:r>
              <w:rPr>
                <w:spacing w:val="-5"/>
                <w:sz w:val="21"/>
              </w:rPr>
              <w:t>二联</w:t>
            </w:r>
          </w:p>
          <w:p>
            <w:pPr>
              <w:pStyle w:val="TableParagraph"/>
              <w:ind w:left="532" w:right="775" w:hanging="105"/>
              <w:rPr>
                <w:sz w:val="21"/>
              </w:rPr>
            </w:pPr>
            <w:r>
              <w:rPr>
                <w:spacing w:val="-2"/>
                <w:sz w:val="21"/>
              </w:rPr>
              <w:t>（</w:t>
            </w:r>
            <w:r>
              <w:rPr>
                <w:rFonts w:ascii="Times New Roman" w:eastAsia="Times New Roman"/>
                <w:spacing w:val="-2"/>
                <w:sz w:val="21"/>
              </w:rPr>
              <w:t>ICS/LABA</w:t>
            </w:r>
            <w:r>
              <w:rPr>
                <w:spacing w:val="-2"/>
                <w:sz w:val="21"/>
              </w:rPr>
              <w:t>、 </w:t>
            </w:r>
            <w:r>
              <w:rPr>
                <w:rFonts w:ascii="Times New Roman" w:eastAsia="Times New Roman"/>
                <w:spacing w:val="-2"/>
                <w:sz w:val="21"/>
              </w:rPr>
              <w:t>LABA/LAMA</w:t>
            </w:r>
            <w:r>
              <w:rPr>
                <w:spacing w:val="-2"/>
                <w:sz w:val="21"/>
              </w:rPr>
              <w:t>、 </w:t>
            </w:r>
            <w:r>
              <w:rPr>
                <w:rFonts w:ascii="Times New Roman" w:eastAsia="Times New Roman"/>
                <w:spacing w:val="-2"/>
                <w:sz w:val="21"/>
              </w:rPr>
              <w:t>ICS/LAMA</w:t>
            </w:r>
            <w:r>
              <w:rPr>
                <w:spacing w:val="-2"/>
                <w:sz w:val="21"/>
              </w:rPr>
              <w:t>）</w:t>
            </w:r>
          </w:p>
          <w:p>
            <w:pPr>
              <w:pStyle w:val="TableParagraph"/>
              <w:numPr>
                <w:ilvl w:val="0"/>
                <w:numId w:val="21"/>
              </w:numPr>
              <w:tabs>
                <w:tab w:pos="532" w:val="left" w:leader="none"/>
              </w:tabs>
              <w:spacing w:line="273" w:lineRule="exact" w:before="38" w:after="0"/>
              <w:ind w:left="532" w:right="0" w:hanging="425"/>
              <w:jc w:val="left"/>
              <w:rPr>
                <w:sz w:val="21"/>
              </w:rPr>
            </w:pPr>
            <w:r>
              <w:rPr>
                <w:spacing w:val="-5"/>
                <w:sz w:val="21"/>
              </w:rPr>
              <w:t>三联</w:t>
            </w:r>
          </w:p>
          <w:p>
            <w:pPr>
              <w:pStyle w:val="TableParagraph"/>
              <w:spacing w:line="273" w:lineRule="exact"/>
              <w:ind w:left="428"/>
              <w:rPr>
                <w:sz w:val="21"/>
              </w:rPr>
            </w:pPr>
            <w:r>
              <w:rPr>
                <w:spacing w:val="-2"/>
                <w:sz w:val="21"/>
              </w:rPr>
              <w:t>（</w:t>
            </w:r>
            <w:r>
              <w:rPr>
                <w:rFonts w:ascii="Times New Roman" w:eastAsia="Times New Roman"/>
                <w:spacing w:val="-2"/>
                <w:sz w:val="21"/>
              </w:rPr>
              <w:t>ICS/LABA/LAMA</w:t>
            </w:r>
            <w:r>
              <w:rPr>
                <w:spacing w:val="-2"/>
                <w:sz w:val="21"/>
              </w:rPr>
              <w:t>）</w:t>
            </w:r>
          </w:p>
        </w:tc>
        <w:tc>
          <w:tcPr>
            <w:tcW w:w="1385" w:type="dxa"/>
          </w:tcPr>
          <w:p>
            <w:pPr>
              <w:pStyle w:val="TableParagraph"/>
              <w:spacing w:line="276" w:lineRule="auto" w:before="36"/>
              <w:ind w:left="106" w:right="216"/>
              <w:jc w:val="both"/>
              <w:rPr>
                <w:sz w:val="21"/>
              </w:rPr>
            </w:pPr>
            <w:r>
              <w:rPr>
                <w:spacing w:val="-2"/>
                <w:sz w:val="21"/>
              </w:rPr>
              <w:t>允许使用并应在研究期间保持稳定</w:t>
            </w:r>
          </w:p>
        </w:tc>
        <w:tc>
          <w:tcPr>
            <w:tcW w:w="4595" w:type="dxa"/>
          </w:tcPr>
          <w:p>
            <w:pPr>
              <w:pStyle w:val="TableParagraph"/>
              <w:numPr>
                <w:ilvl w:val="0"/>
                <w:numId w:val="22"/>
              </w:numPr>
              <w:tabs>
                <w:tab w:pos="531" w:val="left" w:leader="none"/>
              </w:tabs>
              <w:spacing w:line="240" w:lineRule="auto" w:before="36" w:after="0"/>
              <w:ind w:left="531" w:right="59" w:hanging="425"/>
              <w:jc w:val="both"/>
              <w:rPr>
                <w:sz w:val="21"/>
              </w:rPr>
            </w:pPr>
            <w:r>
              <w:rPr>
                <w:sz w:val="21"/>
              </w:rPr>
              <w:t>受试者应该有证据表明，在研究期间接受</w:t>
            </w:r>
            <w:r>
              <w:rPr>
                <w:spacing w:val="34"/>
                <w:sz w:val="21"/>
              </w:rPr>
              <w:t>稳定剂量的吸入性维持治疗优化方案</w:t>
            </w:r>
            <w:r>
              <w:rPr>
                <w:sz w:val="21"/>
              </w:rPr>
              <w:t> </w:t>
            </w:r>
          </w:p>
          <w:p>
            <w:pPr>
              <w:pStyle w:val="TableParagraph"/>
              <w:spacing w:line="271" w:lineRule="exact"/>
              <w:ind w:left="427"/>
              <w:jc w:val="both"/>
              <w:rPr>
                <w:sz w:val="21"/>
              </w:rPr>
            </w:pPr>
            <w:r>
              <w:rPr>
                <w:sz w:val="21"/>
              </w:rPr>
              <w:t>（</w:t>
            </w:r>
            <w:r>
              <w:rPr>
                <w:rFonts w:ascii="Times New Roman" w:eastAsia="Times New Roman"/>
                <w:sz w:val="21"/>
              </w:rPr>
              <w:t>ICS/LABA/LAMA</w:t>
            </w:r>
            <w:r>
              <w:rPr>
                <w:rFonts w:ascii="Times New Roman" w:eastAsia="Times New Roman"/>
                <w:spacing w:val="53"/>
                <w:sz w:val="21"/>
              </w:rPr>
              <w:t> </w:t>
            </w:r>
            <w:r>
              <w:rPr>
                <w:spacing w:val="-1"/>
                <w:sz w:val="21"/>
              </w:rPr>
              <w:t>三联疗法，或二联疗法</w:t>
            </w:r>
          </w:p>
          <w:p>
            <w:pPr>
              <w:pStyle w:val="TableParagraph"/>
              <w:spacing w:line="273" w:lineRule="exact"/>
              <w:ind w:left="531"/>
              <w:jc w:val="both"/>
              <w:rPr>
                <w:sz w:val="21"/>
              </w:rPr>
            </w:pPr>
            <w:r>
              <w:rPr>
                <w:rFonts w:ascii="Times New Roman" w:eastAsia="Times New Roman"/>
                <w:spacing w:val="-2"/>
                <w:sz w:val="21"/>
              </w:rPr>
              <w:t>[</w:t>
            </w:r>
            <w:r>
              <w:rPr>
                <w:spacing w:val="-2"/>
                <w:sz w:val="21"/>
              </w:rPr>
              <w:t>如果认为三联疗法不合适</w:t>
            </w:r>
            <w:r>
              <w:rPr>
                <w:rFonts w:ascii="Times New Roman" w:eastAsia="Times New Roman"/>
                <w:spacing w:val="-2"/>
                <w:sz w:val="21"/>
              </w:rPr>
              <w:t>]</w:t>
            </w:r>
            <w:r>
              <w:rPr>
                <w:spacing w:val="-2"/>
                <w:sz w:val="21"/>
              </w:rPr>
              <w:t>）</w:t>
            </w:r>
            <w:r>
              <w:rPr>
                <w:spacing w:val="-9"/>
                <w:sz w:val="21"/>
              </w:rPr>
              <w:t>治疗 </w:t>
            </w:r>
            <w:r>
              <w:rPr>
                <w:rFonts w:ascii="Times New Roman" w:eastAsia="Times New Roman"/>
                <w:spacing w:val="-2"/>
                <w:sz w:val="21"/>
              </w:rPr>
              <w:t>COPD</w:t>
            </w:r>
            <w:r>
              <w:rPr>
                <w:spacing w:val="-10"/>
                <w:sz w:val="21"/>
              </w:rPr>
              <w:t>。</w:t>
            </w:r>
          </w:p>
          <w:p>
            <w:pPr>
              <w:pStyle w:val="TableParagraph"/>
              <w:numPr>
                <w:ilvl w:val="0"/>
                <w:numId w:val="22"/>
              </w:numPr>
              <w:tabs>
                <w:tab w:pos="531" w:val="left" w:leader="none"/>
              </w:tabs>
              <w:spacing w:line="240" w:lineRule="auto" w:before="39" w:after="0"/>
              <w:ind w:left="531" w:right="97" w:hanging="425"/>
              <w:jc w:val="both"/>
              <w:rPr>
                <w:sz w:val="21"/>
              </w:rPr>
            </w:pPr>
            <w:r>
              <w:rPr>
                <w:sz w:val="21"/>
              </w:rPr>
              <w:t>可通过固定剂量复方制剂或单独的给药装置接受二联或三联吸入性维持治疗成分。</w:t>
            </w:r>
            <w:r>
              <w:rPr>
                <w:spacing w:val="-12"/>
                <w:sz w:val="21"/>
              </w:rPr>
              <w:t>定期使用 </w:t>
            </w:r>
            <w:r>
              <w:rPr>
                <w:rFonts w:ascii="Times New Roman" w:hAnsi="Times New Roman" w:eastAsia="Times New Roman"/>
                <w:spacing w:val="-10"/>
                <w:sz w:val="21"/>
              </w:rPr>
              <w:t>SAMA</w:t>
            </w:r>
            <w:r>
              <w:rPr>
                <w:spacing w:val="-10"/>
                <w:sz w:val="21"/>
              </w:rPr>
              <w:t>（</w:t>
            </w:r>
            <w:r>
              <w:rPr>
                <w:spacing w:val="-13"/>
                <w:sz w:val="21"/>
              </w:rPr>
              <w:t>每 </w:t>
            </w:r>
            <w:r>
              <w:rPr>
                <w:rFonts w:ascii="Times New Roman" w:hAnsi="Times New Roman" w:eastAsia="Times New Roman"/>
                <w:spacing w:val="-10"/>
                <w:sz w:val="21"/>
              </w:rPr>
              <w:t>6</w:t>
            </w:r>
            <w:r>
              <w:rPr>
                <w:rFonts w:ascii="Times New Roman" w:hAnsi="Times New Roman" w:eastAsia="Times New Roman"/>
                <w:spacing w:val="-3"/>
                <w:sz w:val="21"/>
              </w:rPr>
              <w:t> </w:t>
            </w:r>
            <w:r>
              <w:rPr>
                <w:spacing w:val="-13"/>
                <w:sz w:val="21"/>
              </w:rPr>
              <w:t>到 </w:t>
            </w:r>
            <w:r>
              <w:rPr>
                <w:rFonts w:ascii="Times New Roman" w:hAnsi="Times New Roman" w:eastAsia="Times New Roman"/>
                <w:spacing w:val="-10"/>
                <w:sz w:val="21"/>
              </w:rPr>
              <w:t>8</w:t>
            </w:r>
            <w:r>
              <w:rPr>
                <w:rFonts w:ascii="Times New Roman" w:hAnsi="Times New Roman" w:eastAsia="Times New Roman"/>
                <w:spacing w:val="-3"/>
                <w:sz w:val="21"/>
              </w:rPr>
              <w:t> </w:t>
            </w:r>
            <w:r>
              <w:rPr>
                <w:spacing w:val="-10"/>
                <w:sz w:val="21"/>
              </w:rPr>
              <w:t>小时一次，或最</w:t>
            </w:r>
            <w:r>
              <w:rPr>
                <w:spacing w:val="-7"/>
                <w:sz w:val="21"/>
              </w:rPr>
              <w:t>少每日 </w:t>
            </w:r>
            <w:r>
              <w:rPr>
                <w:rFonts w:ascii="Times New Roman" w:hAnsi="Times New Roman" w:eastAsia="Times New Roman"/>
                <w:sz w:val="21"/>
              </w:rPr>
              <w:t>3</w:t>
            </w:r>
            <w:r>
              <w:rPr>
                <w:rFonts w:ascii="Times New Roman" w:hAnsi="Times New Roman" w:eastAsia="Times New Roman"/>
                <w:spacing w:val="-13"/>
                <w:sz w:val="21"/>
              </w:rPr>
              <w:t> </w:t>
            </w:r>
            <w:r>
              <w:rPr>
                <w:sz w:val="21"/>
              </w:rPr>
              <w:t>次）</w:t>
            </w:r>
            <w:r>
              <w:rPr>
                <w:spacing w:val="-4"/>
                <w:sz w:val="21"/>
              </w:rPr>
              <w:t>将被视为等同于 </w:t>
            </w:r>
            <w:r>
              <w:rPr>
                <w:rFonts w:ascii="Times New Roman" w:hAnsi="Times New Roman" w:eastAsia="Times New Roman"/>
                <w:sz w:val="21"/>
              </w:rPr>
              <w:t>LAMA</w:t>
            </w:r>
            <w:r>
              <w:rPr>
                <w:rFonts w:ascii="Times New Roman" w:hAnsi="Times New Roman" w:eastAsia="Times New Roman"/>
                <w:spacing w:val="4"/>
                <w:sz w:val="21"/>
              </w:rPr>
              <w:t> </w:t>
            </w:r>
            <w:r>
              <w:rPr>
                <w:sz w:val="21"/>
              </w:rPr>
              <w:t>维持</w:t>
            </w:r>
            <w:r>
              <w:rPr>
                <w:spacing w:val="-4"/>
                <w:sz w:val="21"/>
              </w:rPr>
              <w:t>治疗。</w:t>
            </w:r>
          </w:p>
          <w:p>
            <w:pPr>
              <w:pStyle w:val="TableParagraph"/>
              <w:numPr>
                <w:ilvl w:val="0"/>
                <w:numId w:val="22"/>
              </w:numPr>
              <w:tabs>
                <w:tab w:pos="531" w:val="left" w:leader="none"/>
              </w:tabs>
              <w:spacing w:line="273" w:lineRule="exact" w:before="37" w:after="0"/>
              <w:ind w:left="531" w:right="0" w:hanging="425"/>
              <w:jc w:val="left"/>
              <w:rPr>
                <w:sz w:val="21"/>
              </w:rPr>
            </w:pPr>
            <w:r>
              <w:rPr>
                <w:spacing w:val="9"/>
                <w:sz w:val="21"/>
              </w:rPr>
              <w:t>雾化 </w:t>
            </w:r>
            <w:r>
              <w:rPr>
                <w:rFonts w:ascii="Times New Roman" w:hAnsi="Times New Roman" w:eastAsia="Times New Roman"/>
                <w:sz w:val="21"/>
              </w:rPr>
              <w:t>ICS</w:t>
            </w:r>
            <w:r>
              <w:rPr>
                <w:sz w:val="21"/>
              </w:rPr>
              <w:t>（</w:t>
            </w:r>
            <w:r>
              <w:rPr>
                <w:spacing w:val="13"/>
                <w:sz w:val="21"/>
              </w:rPr>
              <w:t>如布地奈德</w:t>
            </w:r>
            <w:r>
              <w:rPr>
                <w:spacing w:val="14"/>
                <w:sz w:val="21"/>
              </w:rPr>
              <w:t>）</w:t>
            </w:r>
            <w:r>
              <w:rPr>
                <w:spacing w:val="15"/>
                <w:sz w:val="21"/>
              </w:rPr>
              <w:t>和</w:t>
            </w:r>
            <w:r>
              <w:rPr>
                <w:rFonts w:ascii="Times New Roman" w:hAnsi="Times New Roman" w:eastAsia="Times New Roman"/>
                <w:spacing w:val="13"/>
                <w:sz w:val="21"/>
              </w:rPr>
              <w:t>/</w:t>
            </w:r>
            <w:r>
              <w:rPr>
                <w:spacing w:val="8"/>
                <w:sz w:val="21"/>
              </w:rPr>
              <w:t>或 </w:t>
            </w:r>
            <w:r>
              <w:rPr>
                <w:rFonts w:ascii="Times New Roman" w:hAnsi="Times New Roman" w:eastAsia="Times New Roman"/>
                <w:sz w:val="21"/>
              </w:rPr>
              <w:t>LABA</w:t>
            </w:r>
            <w:r>
              <w:rPr>
                <w:rFonts w:ascii="Times New Roman" w:hAnsi="Times New Roman" w:eastAsia="Times New Roman"/>
                <w:spacing w:val="48"/>
                <w:sz w:val="21"/>
              </w:rPr>
              <w:t> </w:t>
            </w:r>
            <w:r>
              <w:rPr>
                <w:spacing w:val="-10"/>
                <w:sz w:val="21"/>
              </w:rPr>
              <w:t>或</w:t>
            </w:r>
          </w:p>
          <w:p>
            <w:pPr>
              <w:pStyle w:val="TableParagraph"/>
              <w:spacing w:line="273" w:lineRule="exact"/>
              <w:ind w:left="531"/>
              <w:jc w:val="both"/>
              <w:rPr>
                <w:sz w:val="21"/>
              </w:rPr>
            </w:pPr>
            <w:r>
              <w:rPr>
                <w:rFonts w:ascii="Times New Roman" w:eastAsia="Times New Roman"/>
                <w:spacing w:val="-2"/>
                <w:sz w:val="21"/>
              </w:rPr>
              <w:t>LAMA</w:t>
            </w:r>
            <w:r>
              <w:rPr>
                <w:rFonts w:ascii="Times New Roman" w:eastAsia="Times New Roman"/>
                <w:spacing w:val="16"/>
                <w:sz w:val="21"/>
              </w:rPr>
              <w:t> </w:t>
            </w:r>
            <w:r>
              <w:rPr>
                <w:spacing w:val="-3"/>
                <w:sz w:val="21"/>
              </w:rPr>
              <w:t>为吸入性维持治疗的一部分。</w:t>
            </w:r>
          </w:p>
        </w:tc>
      </w:tr>
      <w:tr>
        <w:trPr>
          <w:trHeight w:val="1332" w:hRule="atLeast"/>
        </w:trPr>
        <w:tc>
          <w:tcPr>
            <w:tcW w:w="2777" w:type="dxa"/>
          </w:tcPr>
          <w:p>
            <w:pPr>
              <w:pStyle w:val="TableParagraph"/>
              <w:spacing w:line="276" w:lineRule="auto" w:before="36"/>
              <w:ind w:left="107" w:right="100"/>
              <w:rPr>
                <w:sz w:val="21"/>
              </w:rPr>
            </w:pPr>
            <w:r>
              <w:rPr>
                <w:rFonts w:ascii="Times New Roman" w:eastAsia="Times New Roman"/>
                <w:sz w:val="21"/>
              </w:rPr>
              <w:t>SABA</w:t>
            </w:r>
            <w:r>
              <w:rPr>
                <w:sz w:val="21"/>
              </w:rPr>
              <w:t>（</w:t>
            </w:r>
            <w:r>
              <w:rPr>
                <w:spacing w:val="7"/>
                <w:sz w:val="21"/>
              </w:rPr>
              <w:t>如沙丁胺醇、特布</w:t>
            </w:r>
            <w:r>
              <w:rPr>
                <w:spacing w:val="-2"/>
                <w:sz w:val="21"/>
              </w:rPr>
              <w:t>他林、左旋沙丁胺醇）</w:t>
            </w:r>
          </w:p>
        </w:tc>
        <w:tc>
          <w:tcPr>
            <w:tcW w:w="1385" w:type="dxa"/>
          </w:tcPr>
          <w:p>
            <w:pPr>
              <w:pStyle w:val="TableParagraph"/>
              <w:spacing w:line="276" w:lineRule="auto" w:before="36"/>
              <w:ind w:left="106" w:right="66"/>
              <w:jc w:val="both"/>
              <w:rPr>
                <w:sz w:val="21"/>
              </w:rPr>
            </w:pPr>
            <w:r>
              <w:rPr>
                <w:spacing w:val="23"/>
                <w:sz w:val="21"/>
              </w:rPr>
              <w:t>允许作为缓解药物和治</w:t>
            </w:r>
            <w:r>
              <w:rPr>
                <w:spacing w:val="-2"/>
                <w:sz w:val="21"/>
              </w:rPr>
              <w:t>疗 </w:t>
            </w:r>
            <w:r>
              <w:rPr>
                <w:rFonts w:ascii="Times New Roman" w:eastAsia="Times New Roman"/>
                <w:sz w:val="21"/>
              </w:rPr>
              <w:t>COPD </w:t>
            </w:r>
            <w:r>
              <w:rPr>
                <w:sz w:val="21"/>
              </w:rPr>
              <w:t>急</w:t>
            </w:r>
            <w:r>
              <w:rPr>
                <w:spacing w:val="-4"/>
                <w:sz w:val="21"/>
              </w:rPr>
              <w:t>性加重</w:t>
            </w:r>
          </w:p>
        </w:tc>
        <w:tc>
          <w:tcPr>
            <w:tcW w:w="4595" w:type="dxa"/>
          </w:tcPr>
          <w:p>
            <w:pPr>
              <w:pStyle w:val="TableParagraph"/>
              <w:spacing w:line="276" w:lineRule="auto" w:before="36"/>
              <w:ind w:left="106" w:right="97"/>
              <w:jc w:val="both"/>
              <w:rPr>
                <w:sz w:val="21"/>
              </w:rPr>
            </w:pPr>
            <w:r>
              <w:rPr>
                <w:spacing w:val="-4"/>
                <w:sz w:val="21"/>
              </w:rPr>
              <w:t>不鼓励在没有症状的情况下预防性使用 </w:t>
            </w:r>
            <w:r>
              <w:rPr>
                <w:rFonts w:ascii="Times New Roman" w:eastAsia="Times New Roman"/>
                <w:spacing w:val="-4"/>
                <w:sz w:val="21"/>
              </w:rPr>
              <w:t>SAB</w:t>
            </w:r>
            <w:r>
              <w:rPr>
                <w:rFonts w:ascii="Times New Roman" w:eastAsia="Times New Roman"/>
                <w:spacing w:val="-2"/>
                <w:sz w:val="21"/>
              </w:rPr>
              <w:t>A</w:t>
            </w:r>
            <w:r>
              <w:rPr>
                <w:spacing w:val="-3"/>
                <w:sz w:val="21"/>
              </w:rPr>
              <w:t>；</w:t>
            </w:r>
            <w:r>
              <w:rPr>
                <w:spacing w:val="8"/>
                <w:sz w:val="21"/>
              </w:rPr>
              <w:t>但是，如果受试者和研究者认为有必要</w:t>
            </w:r>
            <w:r>
              <w:rPr>
                <w:spacing w:val="9"/>
                <w:sz w:val="21"/>
              </w:rPr>
              <w:t>（</w:t>
            </w:r>
            <w:r>
              <w:rPr>
                <w:spacing w:val="4"/>
                <w:sz w:val="21"/>
              </w:rPr>
              <w:t>如计</w:t>
            </w:r>
            <w:r>
              <w:rPr>
                <w:spacing w:val="9"/>
                <w:sz w:val="21"/>
              </w:rPr>
              <w:t>划锻炼前</w:t>
            </w:r>
            <w:r>
              <w:rPr>
                <w:spacing w:val="8"/>
                <w:sz w:val="21"/>
              </w:rPr>
              <w:t>）</w:t>
            </w:r>
            <w:r>
              <w:rPr>
                <w:spacing w:val="7"/>
                <w:sz w:val="21"/>
              </w:rPr>
              <w:t>，则可以使用，并且这类使用应记</w:t>
            </w:r>
            <w:r>
              <w:rPr>
                <w:spacing w:val="-2"/>
                <w:sz w:val="21"/>
              </w:rPr>
              <w:t>录在源文件和 </w:t>
            </w:r>
            <w:r>
              <w:rPr>
                <w:rFonts w:ascii="Times New Roman" w:eastAsia="Times New Roman"/>
                <w:sz w:val="21"/>
              </w:rPr>
              <w:t>eCRF</w:t>
            </w:r>
            <w:r>
              <w:rPr>
                <w:rFonts w:ascii="Times New Roman" w:eastAsia="Times New Roman"/>
                <w:spacing w:val="-11"/>
                <w:sz w:val="21"/>
              </w:rPr>
              <w:t> </w:t>
            </w:r>
            <w:r>
              <w:rPr>
                <w:sz w:val="21"/>
              </w:rPr>
              <w:t>中。</w:t>
            </w:r>
          </w:p>
        </w:tc>
      </w:tr>
      <w:tr>
        <w:trPr>
          <w:trHeight w:val="1793" w:hRule="atLeast"/>
        </w:trPr>
        <w:tc>
          <w:tcPr>
            <w:tcW w:w="2777" w:type="dxa"/>
          </w:tcPr>
          <w:p>
            <w:pPr>
              <w:pStyle w:val="TableParagraph"/>
              <w:spacing w:line="276" w:lineRule="auto" w:before="36"/>
              <w:ind w:left="107" w:right="97"/>
              <w:rPr>
                <w:sz w:val="21"/>
              </w:rPr>
            </w:pPr>
            <w:r>
              <w:rPr>
                <w:rFonts w:ascii="Times New Roman" w:eastAsia="Times New Roman"/>
                <w:sz w:val="21"/>
              </w:rPr>
              <w:t>SAMA</w:t>
            </w:r>
            <w:r>
              <w:rPr>
                <w:rFonts w:ascii="Times New Roman" w:eastAsia="Times New Roman"/>
                <w:spacing w:val="-19"/>
                <w:sz w:val="21"/>
              </w:rPr>
              <w:t> </w:t>
            </w:r>
            <w:r>
              <w:rPr>
                <w:sz w:val="21"/>
              </w:rPr>
              <w:t>（</w:t>
            </w:r>
            <w:r>
              <w:rPr>
                <w:spacing w:val="13"/>
                <w:sz w:val="21"/>
              </w:rPr>
              <w:t> 短效抗胆碱能药</w:t>
            </w:r>
            <w:r>
              <w:rPr>
                <w:spacing w:val="-2"/>
                <w:sz w:val="21"/>
              </w:rPr>
              <w:t>物；如异丙托溴铵）</w:t>
            </w:r>
          </w:p>
        </w:tc>
        <w:tc>
          <w:tcPr>
            <w:tcW w:w="1385" w:type="dxa"/>
          </w:tcPr>
          <w:p>
            <w:pPr>
              <w:pStyle w:val="TableParagraph"/>
              <w:spacing w:before="38"/>
              <w:ind w:left="106"/>
              <w:rPr>
                <w:sz w:val="21"/>
              </w:rPr>
            </w:pPr>
            <w:r>
              <w:rPr>
                <w:spacing w:val="-5"/>
                <w:sz w:val="21"/>
              </w:rPr>
              <w:t>允许</w:t>
            </w:r>
          </w:p>
        </w:tc>
        <w:tc>
          <w:tcPr>
            <w:tcW w:w="4595" w:type="dxa"/>
          </w:tcPr>
          <w:p>
            <w:pPr>
              <w:pStyle w:val="TableParagraph"/>
              <w:numPr>
                <w:ilvl w:val="0"/>
                <w:numId w:val="23"/>
              </w:numPr>
              <w:tabs>
                <w:tab w:pos="531" w:val="left" w:leader="none"/>
              </w:tabs>
              <w:spacing w:line="240" w:lineRule="auto" w:before="36" w:after="0"/>
              <w:ind w:left="531" w:right="97" w:hanging="425"/>
              <w:jc w:val="both"/>
              <w:rPr>
                <w:sz w:val="21"/>
              </w:rPr>
            </w:pPr>
            <w:r>
              <w:rPr>
                <w:spacing w:val="-12"/>
                <w:sz w:val="21"/>
              </w:rPr>
              <w:t>定期使用 </w:t>
            </w:r>
            <w:r>
              <w:rPr>
                <w:rFonts w:ascii="Times New Roman" w:hAnsi="Times New Roman" w:eastAsia="Times New Roman"/>
                <w:spacing w:val="-10"/>
                <w:sz w:val="21"/>
              </w:rPr>
              <w:t>SAMA</w:t>
            </w:r>
            <w:r>
              <w:rPr>
                <w:spacing w:val="-10"/>
                <w:sz w:val="21"/>
              </w:rPr>
              <w:t>（</w:t>
            </w:r>
            <w:r>
              <w:rPr>
                <w:spacing w:val="-13"/>
                <w:sz w:val="21"/>
              </w:rPr>
              <w:t>每 </w:t>
            </w:r>
            <w:r>
              <w:rPr>
                <w:rFonts w:ascii="Times New Roman" w:hAnsi="Times New Roman" w:eastAsia="Times New Roman"/>
                <w:spacing w:val="-10"/>
                <w:sz w:val="21"/>
              </w:rPr>
              <w:t>6</w:t>
            </w:r>
            <w:r>
              <w:rPr>
                <w:rFonts w:ascii="Times New Roman" w:hAnsi="Times New Roman" w:eastAsia="Times New Roman"/>
                <w:spacing w:val="-3"/>
                <w:sz w:val="21"/>
              </w:rPr>
              <w:t> </w:t>
            </w:r>
            <w:r>
              <w:rPr>
                <w:spacing w:val="-13"/>
                <w:sz w:val="21"/>
              </w:rPr>
              <w:t>到 </w:t>
            </w:r>
            <w:r>
              <w:rPr>
                <w:rFonts w:ascii="Times New Roman" w:hAnsi="Times New Roman" w:eastAsia="Times New Roman"/>
                <w:spacing w:val="-10"/>
                <w:sz w:val="21"/>
              </w:rPr>
              <w:t>8</w:t>
            </w:r>
            <w:r>
              <w:rPr>
                <w:rFonts w:ascii="Times New Roman" w:hAnsi="Times New Roman" w:eastAsia="Times New Roman"/>
                <w:spacing w:val="-3"/>
                <w:sz w:val="21"/>
              </w:rPr>
              <w:t> </w:t>
            </w:r>
            <w:r>
              <w:rPr>
                <w:spacing w:val="-10"/>
                <w:sz w:val="21"/>
              </w:rPr>
              <w:t>小时一次，或最</w:t>
            </w:r>
            <w:r>
              <w:rPr>
                <w:spacing w:val="-7"/>
                <w:sz w:val="21"/>
              </w:rPr>
              <w:t>少每日 </w:t>
            </w:r>
            <w:r>
              <w:rPr>
                <w:rFonts w:ascii="Times New Roman" w:hAnsi="Times New Roman" w:eastAsia="Times New Roman"/>
                <w:sz w:val="21"/>
              </w:rPr>
              <w:t>3</w:t>
            </w:r>
            <w:r>
              <w:rPr>
                <w:rFonts w:ascii="Times New Roman" w:hAnsi="Times New Roman" w:eastAsia="Times New Roman"/>
                <w:spacing w:val="-13"/>
                <w:sz w:val="21"/>
              </w:rPr>
              <w:t> </w:t>
            </w:r>
            <w:r>
              <w:rPr>
                <w:sz w:val="21"/>
              </w:rPr>
              <w:t>次）</w:t>
            </w:r>
            <w:r>
              <w:rPr>
                <w:spacing w:val="-4"/>
                <w:sz w:val="21"/>
              </w:rPr>
              <w:t>将被视为等同于 </w:t>
            </w:r>
            <w:r>
              <w:rPr>
                <w:rFonts w:ascii="Times New Roman" w:hAnsi="Times New Roman" w:eastAsia="Times New Roman"/>
                <w:sz w:val="21"/>
              </w:rPr>
              <w:t>LAMA</w:t>
            </w:r>
            <w:r>
              <w:rPr>
                <w:rFonts w:ascii="Times New Roman" w:hAnsi="Times New Roman" w:eastAsia="Times New Roman"/>
                <w:spacing w:val="4"/>
                <w:sz w:val="21"/>
              </w:rPr>
              <w:t> </w:t>
            </w:r>
            <w:r>
              <w:rPr>
                <w:sz w:val="21"/>
              </w:rPr>
              <w:t>维持</w:t>
            </w:r>
            <w:r>
              <w:rPr>
                <w:spacing w:val="-4"/>
                <w:sz w:val="21"/>
              </w:rPr>
              <w:t>治疗。</w:t>
            </w:r>
          </w:p>
          <w:p>
            <w:pPr>
              <w:pStyle w:val="TableParagraph"/>
              <w:numPr>
                <w:ilvl w:val="0"/>
                <w:numId w:val="23"/>
              </w:numPr>
              <w:tabs>
                <w:tab w:pos="530" w:val="left" w:leader="none"/>
              </w:tabs>
              <w:spacing w:line="240" w:lineRule="auto" w:before="40" w:after="0"/>
              <w:ind w:left="530" w:right="0" w:hanging="424"/>
              <w:jc w:val="both"/>
              <w:rPr>
                <w:sz w:val="21"/>
              </w:rPr>
            </w:pPr>
            <w:r>
              <w:rPr>
                <w:spacing w:val="-1"/>
                <w:sz w:val="21"/>
              </w:rPr>
              <w:t>允许作为缓解治疗使用。</w:t>
            </w:r>
          </w:p>
          <w:p>
            <w:pPr>
              <w:pStyle w:val="TableParagraph"/>
              <w:numPr>
                <w:ilvl w:val="0"/>
                <w:numId w:val="23"/>
              </w:numPr>
              <w:tabs>
                <w:tab w:pos="530" w:val="left" w:leader="none"/>
              </w:tabs>
              <w:spacing w:line="273" w:lineRule="exact" w:before="39" w:after="0"/>
              <w:ind w:left="530" w:right="0" w:hanging="424"/>
              <w:jc w:val="both"/>
              <w:rPr>
                <w:sz w:val="21"/>
              </w:rPr>
            </w:pPr>
            <w:r>
              <w:rPr>
                <w:spacing w:val="-6"/>
                <w:sz w:val="21"/>
              </w:rPr>
              <w:t>必须在源文件和 </w:t>
            </w:r>
            <w:r>
              <w:rPr>
                <w:rFonts w:ascii="Times New Roman" w:hAnsi="Times New Roman" w:eastAsia="Times New Roman"/>
                <w:sz w:val="21"/>
              </w:rPr>
              <w:t>eCRF</w:t>
            </w:r>
            <w:r>
              <w:rPr>
                <w:rFonts w:ascii="Times New Roman" w:hAnsi="Times New Roman" w:eastAsia="Times New Roman"/>
                <w:spacing w:val="-9"/>
                <w:sz w:val="21"/>
              </w:rPr>
              <w:t> </w:t>
            </w:r>
            <w:r>
              <w:rPr>
                <w:spacing w:val="-2"/>
                <w:sz w:val="21"/>
              </w:rPr>
              <w:t>中准确记录给药方案</w:t>
            </w:r>
          </w:p>
          <w:p>
            <w:pPr>
              <w:pStyle w:val="TableParagraph"/>
              <w:spacing w:line="273" w:lineRule="exact"/>
              <w:ind w:left="427"/>
              <w:jc w:val="both"/>
              <w:rPr>
                <w:sz w:val="21"/>
              </w:rPr>
            </w:pPr>
            <w:r>
              <w:rPr>
                <w:spacing w:val="-2"/>
                <w:sz w:val="21"/>
              </w:rPr>
              <w:t>（</w:t>
            </w:r>
            <w:r>
              <w:rPr>
                <w:spacing w:val="-8"/>
                <w:sz w:val="21"/>
              </w:rPr>
              <w:t>计划给药和 </w:t>
            </w:r>
            <w:r>
              <w:rPr>
                <w:rFonts w:ascii="Times New Roman" w:eastAsia="Times New Roman"/>
                <w:spacing w:val="-2"/>
                <w:sz w:val="21"/>
              </w:rPr>
              <w:t>PRN</w:t>
            </w:r>
            <w:r>
              <w:rPr>
                <w:spacing w:val="-2"/>
                <w:sz w:val="21"/>
              </w:rPr>
              <w:t>）</w:t>
            </w:r>
            <w:r>
              <w:rPr>
                <w:spacing w:val="-10"/>
                <w:sz w:val="21"/>
              </w:rPr>
              <w:t>。</w:t>
            </w:r>
          </w:p>
        </w:tc>
      </w:tr>
    </w:tbl>
    <w:p>
      <w:pPr>
        <w:spacing w:after="0" w:line="273" w:lineRule="exact"/>
        <w:jc w:val="both"/>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7"/>
        <w:gridCol w:w="1385"/>
        <w:gridCol w:w="4595"/>
      </w:tblGrid>
      <w:tr>
        <w:trPr>
          <w:trHeight w:val="897" w:hRule="atLeast"/>
        </w:trPr>
        <w:tc>
          <w:tcPr>
            <w:tcW w:w="2777" w:type="dxa"/>
          </w:tcPr>
          <w:p>
            <w:pPr>
              <w:pStyle w:val="TableParagraph"/>
              <w:rPr>
                <w:b/>
                <w:sz w:val="21"/>
              </w:rPr>
            </w:pPr>
          </w:p>
          <w:p>
            <w:pPr>
              <w:pStyle w:val="TableParagraph"/>
              <w:spacing w:before="36"/>
              <w:rPr>
                <w:b/>
                <w:sz w:val="21"/>
              </w:rPr>
            </w:pPr>
          </w:p>
          <w:p>
            <w:pPr>
              <w:pStyle w:val="TableParagraph"/>
              <w:ind w:left="107"/>
              <w:rPr>
                <w:b/>
                <w:sz w:val="21"/>
              </w:rPr>
            </w:pPr>
            <w:r>
              <w:rPr>
                <w:b/>
                <w:spacing w:val="-6"/>
                <w:sz w:val="21"/>
              </w:rPr>
              <w:t>药物</w:t>
            </w:r>
          </w:p>
        </w:tc>
        <w:tc>
          <w:tcPr>
            <w:tcW w:w="1385" w:type="dxa"/>
          </w:tcPr>
          <w:p>
            <w:pPr>
              <w:pStyle w:val="TableParagraph"/>
              <w:spacing w:before="36"/>
              <w:ind w:left="106" w:right="785"/>
              <w:jc w:val="both"/>
              <w:rPr>
                <w:b/>
                <w:sz w:val="21"/>
              </w:rPr>
            </w:pPr>
            <w:r>
              <w:rPr>
                <w:b/>
                <w:spacing w:val="-4"/>
                <w:sz w:val="21"/>
              </w:rPr>
              <w:t>允许</w:t>
            </w:r>
            <w:r>
              <w:rPr>
                <w:rFonts w:ascii="Times New Roman" w:eastAsia="Times New Roman"/>
                <w:b/>
                <w:spacing w:val="-4"/>
                <w:sz w:val="21"/>
              </w:rPr>
              <w:t>/</w:t>
            </w:r>
            <w:r>
              <w:rPr>
                <w:b/>
                <w:spacing w:val="-4"/>
                <w:sz w:val="21"/>
              </w:rPr>
              <w:t>限制</w:t>
            </w:r>
            <w:r>
              <w:rPr>
                <w:rFonts w:ascii="Times New Roman" w:eastAsia="Times New Roman"/>
                <w:b/>
                <w:spacing w:val="-4"/>
                <w:sz w:val="21"/>
              </w:rPr>
              <w:t>/</w:t>
            </w:r>
            <w:r>
              <w:rPr>
                <w:b/>
                <w:spacing w:val="-6"/>
                <w:sz w:val="21"/>
              </w:rPr>
              <w:t>禁止</w:t>
            </w:r>
          </w:p>
        </w:tc>
        <w:tc>
          <w:tcPr>
            <w:tcW w:w="4595" w:type="dxa"/>
          </w:tcPr>
          <w:p>
            <w:pPr>
              <w:pStyle w:val="TableParagraph"/>
              <w:rPr>
                <w:b/>
                <w:sz w:val="21"/>
              </w:rPr>
            </w:pPr>
          </w:p>
          <w:p>
            <w:pPr>
              <w:pStyle w:val="TableParagraph"/>
              <w:spacing w:before="36"/>
              <w:rPr>
                <w:b/>
                <w:sz w:val="21"/>
              </w:rPr>
            </w:pPr>
          </w:p>
          <w:p>
            <w:pPr>
              <w:pStyle w:val="TableParagraph"/>
              <w:ind w:left="106"/>
              <w:rPr>
                <w:b/>
                <w:sz w:val="21"/>
              </w:rPr>
            </w:pPr>
            <w:r>
              <w:rPr>
                <w:b/>
                <w:spacing w:val="-4"/>
                <w:sz w:val="21"/>
              </w:rPr>
              <w:t>详细内容</w:t>
            </w:r>
          </w:p>
        </w:tc>
      </w:tr>
      <w:tr>
        <w:trPr>
          <w:trHeight w:val="2148" w:hRule="atLeast"/>
        </w:trPr>
        <w:tc>
          <w:tcPr>
            <w:tcW w:w="2777" w:type="dxa"/>
          </w:tcPr>
          <w:p>
            <w:pPr>
              <w:pStyle w:val="TableParagraph"/>
              <w:spacing w:line="276" w:lineRule="auto" w:before="36"/>
              <w:ind w:left="107" w:right="95"/>
              <w:rPr>
                <w:sz w:val="21"/>
              </w:rPr>
            </w:pPr>
            <w:r>
              <w:rPr>
                <w:spacing w:val="-2"/>
                <w:sz w:val="21"/>
              </w:rPr>
              <w:t>全身性（口服或注射）皮质</w:t>
            </w:r>
            <w:r>
              <w:rPr>
                <w:spacing w:val="-4"/>
                <w:sz w:val="21"/>
              </w:rPr>
              <w:t>类固醇</w:t>
            </w:r>
          </w:p>
        </w:tc>
        <w:tc>
          <w:tcPr>
            <w:tcW w:w="1385" w:type="dxa"/>
          </w:tcPr>
          <w:p>
            <w:pPr>
              <w:pStyle w:val="TableParagraph"/>
              <w:spacing w:before="38"/>
              <w:ind w:left="106"/>
              <w:rPr>
                <w:sz w:val="21"/>
              </w:rPr>
            </w:pPr>
            <w:r>
              <w:rPr>
                <w:spacing w:val="-5"/>
                <w:sz w:val="21"/>
              </w:rPr>
              <w:t>限制</w:t>
            </w:r>
          </w:p>
        </w:tc>
        <w:tc>
          <w:tcPr>
            <w:tcW w:w="4595" w:type="dxa"/>
          </w:tcPr>
          <w:p>
            <w:pPr>
              <w:pStyle w:val="TableParagraph"/>
              <w:spacing w:line="276" w:lineRule="auto" w:before="36"/>
              <w:ind w:left="106" w:right="100"/>
              <w:rPr>
                <w:sz w:val="21"/>
              </w:rPr>
            </w:pPr>
            <w:r>
              <w:rPr>
                <w:spacing w:val="7"/>
                <w:sz w:val="21"/>
              </w:rPr>
              <w:t>禁止在整个研究期间直至随访期结束使用，但以下情况除外：</w:t>
            </w:r>
          </w:p>
          <w:p>
            <w:pPr>
              <w:pStyle w:val="TableParagraph"/>
              <w:numPr>
                <w:ilvl w:val="0"/>
                <w:numId w:val="24"/>
              </w:numPr>
              <w:tabs>
                <w:tab w:pos="531" w:val="left" w:leader="none"/>
              </w:tabs>
              <w:spacing w:line="240" w:lineRule="auto" w:before="40" w:after="0"/>
              <w:ind w:left="531" w:right="0" w:hanging="425"/>
              <w:jc w:val="left"/>
              <w:rPr>
                <w:sz w:val="21"/>
              </w:rPr>
            </w:pPr>
            <w:r>
              <w:rPr>
                <w:rFonts w:ascii="Times New Roman" w:hAnsi="Times New Roman" w:eastAsia="Times New Roman"/>
                <w:spacing w:val="-2"/>
                <w:sz w:val="21"/>
              </w:rPr>
              <w:t>COPD</w:t>
            </w:r>
            <w:r>
              <w:rPr>
                <w:rFonts w:ascii="Times New Roman" w:hAnsi="Times New Roman" w:eastAsia="Times New Roman"/>
                <w:spacing w:val="4"/>
                <w:sz w:val="21"/>
              </w:rPr>
              <w:t> </w:t>
            </w:r>
            <w:r>
              <w:rPr>
                <w:spacing w:val="-4"/>
                <w:sz w:val="21"/>
              </w:rPr>
              <w:t>急性加重治疗；</w:t>
            </w:r>
          </w:p>
          <w:p>
            <w:pPr>
              <w:pStyle w:val="TableParagraph"/>
              <w:numPr>
                <w:ilvl w:val="0"/>
                <w:numId w:val="24"/>
              </w:numPr>
              <w:tabs>
                <w:tab w:pos="531" w:val="left" w:leader="none"/>
              </w:tabs>
              <w:spacing w:line="240" w:lineRule="auto" w:before="39" w:after="0"/>
              <w:ind w:left="531" w:right="97" w:hanging="425"/>
              <w:jc w:val="both"/>
              <w:rPr>
                <w:sz w:val="21"/>
              </w:rPr>
            </w:pPr>
            <w:r>
              <w:rPr>
                <w:sz w:val="21"/>
              </w:rPr>
              <w:t>在无其他可用治疗方案的情况下用于治疗 </w:t>
            </w:r>
            <w:r>
              <w:rPr>
                <w:rFonts w:ascii="Times New Roman" w:hAnsi="Times New Roman" w:eastAsia="Times New Roman"/>
                <w:sz w:val="21"/>
              </w:rPr>
              <w:t>AE</w:t>
            </w:r>
            <w:r>
              <w:rPr>
                <w:sz w:val="21"/>
              </w:rPr>
              <w:t>，但持续时间必须</w:t>
            </w:r>
            <w:r>
              <w:rPr>
                <w:rFonts w:ascii="Times New Roman" w:hAnsi="Times New Roman" w:eastAsia="Times New Roman"/>
                <w:sz w:val="21"/>
              </w:rPr>
              <w:t>&lt;4 </w:t>
            </w:r>
            <w:r>
              <w:rPr>
                <w:sz w:val="21"/>
              </w:rPr>
              <w:t>周。如果需要治疗</w:t>
            </w:r>
            <w:r>
              <w:rPr>
                <w:spacing w:val="-5"/>
                <w:sz w:val="21"/>
              </w:rPr>
              <w:t>更长时间，应与 </w:t>
            </w:r>
            <w:r>
              <w:rPr>
                <w:rFonts w:ascii="Times New Roman" w:hAnsi="Times New Roman" w:eastAsia="Times New Roman"/>
                <w:spacing w:val="-2"/>
                <w:sz w:val="21"/>
              </w:rPr>
              <w:t>AZ</w:t>
            </w:r>
            <w:r>
              <w:rPr>
                <w:rFonts w:ascii="Times New Roman" w:hAnsi="Times New Roman" w:eastAsia="Times New Roman"/>
                <w:spacing w:val="-11"/>
                <w:sz w:val="21"/>
              </w:rPr>
              <w:t> </w:t>
            </w:r>
            <w:r>
              <w:rPr>
                <w:spacing w:val="-2"/>
                <w:sz w:val="21"/>
              </w:rPr>
              <w:t>研究医生讨论，以决定患者的处置情况。</w:t>
            </w:r>
          </w:p>
        </w:tc>
      </w:tr>
      <w:tr>
        <w:trPr>
          <w:trHeight w:val="393" w:hRule="atLeast"/>
        </w:trPr>
        <w:tc>
          <w:tcPr>
            <w:tcW w:w="2777" w:type="dxa"/>
          </w:tcPr>
          <w:p>
            <w:pPr>
              <w:pStyle w:val="TableParagraph"/>
              <w:spacing w:before="39"/>
              <w:ind w:left="107"/>
              <w:rPr>
                <w:sz w:val="21"/>
              </w:rPr>
            </w:pPr>
            <w:r>
              <w:rPr>
                <w:spacing w:val="-1"/>
                <w:sz w:val="21"/>
              </w:rPr>
              <w:t>外用和关节内皮质类固醇</w:t>
            </w:r>
          </w:p>
        </w:tc>
        <w:tc>
          <w:tcPr>
            <w:tcW w:w="1385" w:type="dxa"/>
          </w:tcPr>
          <w:p>
            <w:pPr>
              <w:pStyle w:val="TableParagraph"/>
              <w:spacing w:before="39"/>
              <w:ind w:left="106"/>
              <w:rPr>
                <w:sz w:val="21"/>
              </w:rPr>
            </w:pPr>
            <w:r>
              <w:rPr>
                <w:spacing w:val="-5"/>
                <w:sz w:val="21"/>
              </w:rPr>
              <w:t>允许</w:t>
            </w:r>
          </w:p>
        </w:tc>
        <w:tc>
          <w:tcPr>
            <w:tcW w:w="4595" w:type="dxa"/>
          </w:tcPr>
          <w:p>
            <w:pPr>
              <w:pStyle w:val="TableParagraph"/>
              <w:spacing w:before="40"/>
              <w:ind w:left="106"/>
              <w:rPr>
                <w:rFonts w:ascii="Times New Roman"/>
                <w:sz w:val="21"/>
              </w:rPr>
            </w:pPr>
            <w:r>
              <w:rPr>
                <w:rFonts w:ascii="Times New Roman"/>
                <w:spacing w:val="-5"/>
                <w:sz w:val="21"/>
              </w:rPr>
              <w:t>NA</w:t>
            </w:r>
          </w:p>
        </w:tc>
      </w:tr>
      <w:tr>
        <w:trPr>
          <w:trHeight w:val="1753" w:hRule="atLeast"/>
        </w:trPr>
        <w:tc>
          <w:tcPr>
            <w:tcW w:w="2777" w:type="dxa"/>
          </w:tcPr>
          <w:p>
            <w:pPr>
              <w:pStyle w:val="TableParagraph"/>
              <w:spacing w:line="276" w:lineRule="auto" w:before="38"/>
              <w:ind w:left="107" w:right="137"/>
              <w:jc w:val="both"/>
              <w:rPr>
                <w:sz w:val="21"/>
              </w:rPr>
            </w:pPr>
            <w:r>
              <w:rPr>
                <w:spacing w:val="-2"/>
                <w:sz w:val="21"/>
              </w:rPr>
              <w:t>免疫抑制疗法（皮质类固醇除外；包括但不限于：甲氨蝶呤、醋竹桃霉素、环孢菌素、硫唑嘌呤）</w:t>
            </w:r>
          </w:p>
        </w:tc>
        <w:tc>
          <w:tcPr>
            <w:tcW w:w="1385" w:type="dxa"/>
          </w:tcPr>
          <w:p>
            <w:pPr>
              <w:pStyle w:val="TableParagraph"/>
              <w:spacing w:before="39"/>
              <w:ind w:left="106"/>
              <w:rPr>
                <w:sz w:val="21"/>
              </w:rPr>
            </w:pPr>
            <w:r>
              <w:rPr>
                <w:spacing w:val="-5"/>
                <w:sz w:val="21"/>
              </w:rPr>
              <w:t>限制</w:t>
            </w:r>
          </w:p>
        </w:tc>
        <w:tc>
          <w:tcPr>
            <w:tcW w:w="4595" w:type="dxa"/>
          </w:tcPr>
          <w:p>
            <w:pPr>
              <w:pStyle w:val="TableParagraph"/>
              <w:numPr>
                <w:ilvl w:val="0"/>
                <w:numId w:val="25"/>
              </w:numPr>
              <w:tabs>
                <w:tab w:pos="531" w:val="left" w:leader="none"/>
              </w:tabs>
              <w:spacing w:line="240" w:lineRule="auto" w:before="38" w:after="0"/>
              <w:ind w:left="531" w:right="93" w:hanging="425"/>
              <w:jc w:val="both"/>
              <w:rPr>
                <w:sz w:val="21"/>
              </w:rPr>
            </w:pPr>
            <w:r>
              <w:rPr>
                <w:sz w:val="21"/>
              </w:rPr>
              <w:t>允许在无其他可用治疗方案的情况下用于治疗不良事件，但持续时间必须</w:t>
            </w:r>
            <w:r>
              <w:rPr>
                <w:rFonts w:ascii="Times New Roman" w:hAnsi="Times New Roman" w:eastAsia="Times New Roman"/>
                <w:sz w:val="21"/>
              </w:rPr>
              <w:t>&lt;4 </w:t>
            </w:r>
            <w:r>
              <w:rPr>
                <w:sz w:val="21"/>
              </w:rPr>
              <w:t>周。如果治疗需要更长时间，应与申办者研究医</w:t>
            </w:r>
            <w:r>
              <w:rPr>
                <w:spacing w:val="-2"/>
                <w:sz w:val="21"/>
              </w:rPr>
              <w:t>生讨论，以决定受试者的处置情况。</w:t>
            </w:r>
          </w:p>
          <w:p>
            <w:pPr>
              <w:pStyle w:val="TableParagraph"/>
              <w:numPr>
                <w:ilvl w:val="0"/>
                <w:numId w:val="25"/>
              </w:numPr>
              <w:tabs>
                <w:tab w:pos="531" w:val="left" w:leader="none"/>
              </w:tabs>
              <w:spacing w:line="240" w:lineRule="auto" w:before="37" w:after="0"/>
              <w:ind w:left="531" w:right="99" w:hanging="425"/>
              <w:jc w:val="both"/>
              <w:rPr>
                <w:sz w:val="21"/>
              </w:rPr>
            </w:pPr>
            <w:r>
              <w:rPr>
                <w:sz w:val="21"/>
              </w:rPr>
              <w:t>禁止在整个研究期间出于任何其他原因使</w:t>
            </w:r>
            <w:r>
              <w:rPr>
                <w:spacing w:val="-6"/>
                <w:sz w:val="21"/>
              </w:rPr>
              <w:t>用。</w:t>
            </w:r>
          </w:p>
        </w:tc>
      </w:tr>
      <w:tr>
        <w:trPr>
          <w:trHeight w:val="1019" w:hRule="atLeast"/>
        </w:trPr>
        <w:tc>
          <w:tcPr>
            <w:tcW w:w="2777" w:type="dxa"/>
          </w:tcPr>
          <w:p>
            <w:pPr>
              <w:pStyle w:val="TableParagraph"/>
              <w:spacing w:before="39"/>
              <w:ind w:left="107"/>
              <w:rPr>
                <w:sz w:val="21"/>
              </w:rPr>
            </w:pPr>
            <w:r>
              <w:rPr>
                <w:spacing w:val="-2"/>
                <w:sz w:val="21"/>
              </w:rPr>
              <w:t>过敏原免疫疗法</w:t>
            </w:r>
          </w:p>
        </w:tc>
        <w:tc>
          <w:tcPr>
            <w:tcW w:w="1385" w:type="dxa"/>
          </w:tcPr>
          <w:p>
            <w:pPr>
              <w:pStyle w:val="TableParagraph"/>
              <w:spacing w:before="39"/>
              <w:ind w:left="106"/>
              <w:rPr>
                <w:sz w:val="21"/>
              </w:rPr>
            </w:pPr>
            <w:r>
              <w:rPr>
                <w:spacing w:val="-5"/>
                <w:sz w:val="21"/>
              </w:rPr>
              <w:t>限制</w:t>
            </w:r>
          </w:p>
        </w:tc>
        <w:tc>
          <w:tcPr>
            <w:tcW w:w="4595" w:type="dxa"/>
          </w:tcPr>
          <w:p>
            <w:pPr>
              <w:pStyle w:val="TableParagraph"/>
              <w:spacing w:line="276" w:lineRule="auto" w:before="38"/>
              <w:ind w:left="106" w:right="87"/>
              <w:jc w:val="both"/>
              <w:rPr>
                <w:sz w:val="21"/>
              </w:rPr>
            </w:pPr>
            <w:r>
              <w:rPr>
                <w:spacing w:val="7"/>
                <w:sz w:val="21"/>
              </w:rPr>
              <w:t>治疗期间稳定维持剂量的过敏原特异性免疫治</w:t>
            </w:r>
            <w:r>
              <w:rPr>
                <w:spacing w:val="8"/>
                <w:sz w:val="21"/>
              </w:rPr>
              <w:t>疗除外，直至随访期结束限制使用。建议受试</w:t>
            </w:r>
            <w:r>
              <w:rPr>
                <w:spacing w:val="-18"/>
                <w:sz w:val="21"/>
              </w:rPr>
              <w:t>者在 </w:t>
            </w:r>
            <w:r>
              <w:rPr>
                <w:rFonts w:ascii="Times New Roman" w:eastAsia="Times New Roman"/>
                <w:spacing w:val="-1"/>
                <w:sz w:val="21"/>
              </w:rPr>
              <w:t>I</w:t>
            </w:r>
            <w:r>
              <w:rPr>
                <w:rFonts w:ascii="Times New Roman" w:eastAsia="Times New Roman"/>
                <w:sz w:val="21"/>
              </w:rPr>
              <w:t>P</w:t>
            </w:r>
            <w:r>
              <w:rPr>
                <w:rFonts w:ascii="Times New Roman" w:eastAsia="Times New Roman"/>
                <w:spacing w:val="-11"/>
                <w:sz w:val="21"/>
              </w:rPr>
              <w:t> </w:t>
            </w:r>
            <w:r>
              <w:rPr>
                <w:sz w:val="21"/>
              </w:rPr>
              <w:t>给药当天不接受过敏原免疫治疗。</w:t>
            </w:r>
          </w:p>
        </w:tc>
      </w:tr>
      <w:tr>
        <w:trPr>
          <w:trHeight w:val="393" w:hRule="atLeast"/>
        </w:trPr>
        <w:tc>
          <w:tcPr>
            <w:tcW w:w="2777" w:type="dxa"/>
          </w:tcPr>
          <w:p>
            <w:pPr>
              <w:pStyle w:val="TableParagraph"/>
              <w:spacing w:before="39"/>
              <w:ind w:left="107"/>
              <w:rPr>
                <w:rFonts w:ascii="Times New Roman" w:hAnsi="Times New Roman" w:eastAsia="Times New Roman"/>
                <w:sz w:val="21"/>
              </w:rPr>
            </w:pPr>
            <w:r>
              <w:rPr>
                <w:spacing w:val="-2"/>
                <w:sz w:val="21"/>
              </w:rPr>
              <w:t>干扰素</w:t>
            </w:r>
            <w:r>
              <w:rPr>
                <w:rFonts w:ascii="Times New Roman" w:hAnsi="Times New Roman" w:eastAsia="Times New Roman"/>
                <w:spacing w:val="-2"/>
                <w:sz w:val="21"/>
              </w:rPr>
              <w:t>-</w:t>
            </w:r>
            <w:r>
              <w:rPr>
                <w:rFonts w:ascii="Times New Roman" w:hAnsi="Times New Roman" w:eastAsia="Times New Roman"/>
                <w:spacing w:val="-10"/>
                <w:sz w:val="21"/>
              </w:rPr>
              <w:t>γ</w:t>
            </w:r>
          </w:p>
        </w:tc>
        <w:tc>
          <w:tcPr>
            <w:tcW w:w="1385" w:type="dxa"/>
          </w:tcPr>
          <w:p>
            <w:pPr>
              <w:pStyle w:val="TableParagraph"/>
              <w:spacing w:before="39"/>
              <w:ind w:left="106"/>
              <w:rPr>
                <w:sz w:val="21"/>
              </w:rPr>
            </w:pPr>
            <w:r>
              <w:rPr>
                <w:spacing w:val="-5"/>
                <w:sz w:val="21"/>
              </w:rPr>
              <w:t>禁止</w:t>
            </w:r>
          </w:p>
        </w:tc>
        <w:tc>
          <w:tcPr>
            <w:tcW w:w="4595" w:type="dxa"/>
          </w:tcPr>
          <w:p>
            <w:pPr>
              <w:pStyle w:val="TableParagraph"/>
              <w:spacing w:before="39"/>
              <w:ind w:left="106"/>
              <w:rPr>
                <w:sz w:val="21"/>
              </w:rPr>
            </w:pPr>
            <w:r>
              <w:rPr>
                <w:spacing w:val="-1"/>
                <w:sz w:val="21"/>
              </w:rPr>
              <w:t>禁止使用，直至随访期结束。</w:t>
            </w:r>
          </w:p>
        </w:tc>
      </w:tr>
      <w:tr>
        <w:trPr>
          <w:trHeight w:val="393" w:hRule="atLeast"/>
        </w:trPr>
        <w:tc>
          <w:tcPr>
            <w:tcW w:w="2777" w:type="dxa"/>
          </w:tcPr>
          <w:p>
            <w:pPr>
              <w:pStyle w:val="TableParagraph"/>
              <w:spacing w:before="39"/>
              <w:ind w:left="107"/>
              <w:rPr>
                <w:rFonts w:ascii="Times New Roman" w:eastAsia="Times New Roman"/>
                <w:sz w:val="21"/>
              </w:rPr>
            </w:pPr>
            <w:r>
              <w:rPr>
                <w:spacing w:val="-11"/>
                <w:sz w:val="21"/>
              </w:rPr>
              <w:t>非生物学 </w:t>
            </w:r>
            <w:r>
              <w:rPr>
                <w:rFonts w:ascii="Times New Roman" w:eastAsia="Times New Roman"/>
                <w:spacing w:val="-5"/>
                <w:sz w:val="21"/>
              </w:rPr>
              <w:t>IP</w:t>
            </w:r>
          </w:p>
        </w:tc>
        <w:tc>
          <w:tcPr>
            <w:tcW w:w="1385" w:type="dxa"/>
          </w:tcPr>
          <w:p>
            <w:pPr>
              <w:pStyle w:val="TableParagraph"/>
              <w:spacing w:before="39"/>
              <w:ind w:left="106"/>
              <w:rPr>
                <w:sz w:val="21"/>
              </w:rPr>
            </w:pPr>
            <w:r>
              <w:rPr>
                <w:spacing w:val="-5"/>
                <w:sz w:val="21"/>
              </w:rPr>
              <w:t>禁止</w:t>
            </w:r>
          </w:p>
        </w:tc>
        <w:tc>
          <w:tcPr>
            <w:tcW w:w="4595" w:type="dxa"/>
          </w:tcPr>
          <w:p>
            <w:pPr>
              <w:pStyle w:val="TableParagraph"/>
              <w:spacing w:before="39"/>
              <w:ind w:left="106"/>
              <w:rPr>
                <w:sz w:val="21"/>
              </w:rPr>
            </w:pPr>
            <w:r>
              <w:rPr>
                <w:spacing w:val="-1"/>
                <w:sz w:val="21"/>
              </w:rPr>
              <w:t>禁止使用，直至随访期结束。</w:t>
            </w:r>
          </w:p>
        </w:tc>
      </w:tr>
      <w:tr>
        <w:trPr>
          <w:trHeight w:val="706" w:hRule="atLeast"/>
        </w:trPr>
        <w:tc>
          <w:tcPr>
            <w:tcW w:w="2777" w:type="dxa"/>
          </w:tcPr>
          <w:p>
            <w:pPr>
              <w:pStyle w:val="TableParagraph"/>
              <w:spacing w:line="276" w:lineRule="auto" w:before="38"/>
              <w:ind w:left="107" w:right="304"/>
              <w:rPr>
                <w:sz w:val="21"/>
              </w:rPr>
            </w:pPr>
            <w:r>
              <w:rPr>
                <w:rFonts w:ascii="Times New Roman" w:eastAsia="Times New Roman"/>
                <w:spacing w:val="-2"/>
                <w:sz w:val="21"/>
              </w:rPr>
              <w:t>tozorakimab</w:t>
            </w:r>
            <w:r>
              <w:rPr>
                <w:rFonts w:ascii="Times New Roman" w:eastAsia="Times New Roman"/>
                <w:spacing w:val="-12"/>
                <w:sz w:val="21"/>
              </w:rPr>
              <w:t> </w:t>
            </w:r>
            <w:r>
              <w:rPr>
                <w:spacing w:val="-2"/>
                <w:sz w:val="21"/>
              </w:rPr>
              <w:t>以外的研究用</w:t>
            </w:r>
            <w:r>
              <w:rPr>
                <w:spacing w:val="-4"/>
                <w:sz w:val="21"/>
              </w:rPr>
              <w:t>生物制品</w:t>
            </w:r>
          </w:p>
        </w:tc>
        <w:tc>
          <w:tcPr>
            <w:tcW w:w="1385" w:type="dxa"/>
          </w:tcPr>
          <w:p>
            <w:pPr>
              <w:pStyle w:val="TableParagraph"/>
              <w:spacing w:before="39"/>
              <w:ind w:left="106"/>
              <w:rPr>
                <w:sz w:val="21"/>
              </w:rPr>
            </w:pPr>
            <w:r>
              <w:rPr>
                <w:spacing w:val="-5"/>
                <w:sz w:val="21"/>
              </w:rPr>
              <w:t>禁止</w:t>
            </w:r>
          </w:p>
        </w:tc>
        <w:tc>
          <w:tcPr>
            <w:tcW w:w="4595" w:type="dxa"/>
          </w:tcPr>
          <w:p>
            <w:pPr>
              <w:pStyle w:val="TableParagraph"/>
              <w:spacing w:before="39"/>
              <w:ind w:left="106"/>
              <w:rPr>
                <w:sz w:val="21"/>
              </w:rPr>
            </w:pPr>
            <w:r>
              <w:rPr>
                <w:spacing w:val="-1"/>
                <w:sz w:val="21"/>
              </w:rPr>
              <w:t>禁止使用，直至随访期结束。</w:t>
            </w:r>
          </w:p>
        </w:tc>
      </w:tr>
      <w:tr>
        <w:trPr>
          <w:trHeight w:val="4216" w:hRule="atLeast"/>
        </w:trPr>
        <w:tc>
          <w:tcPr>
            <w:tcW w:w="2777" w:type="dxa"/>
          </w:tcPr>
          <w:p>
            <w:pPr>
              <w:pStyle w:val="TableParagraph"/>
              <w:spacing w:before="39"/>
              <w:ind w:left="107"/>
              <w:rPr>
                <w:sz w:val="21"/>
              </w:rPr>
            </w:pPr>
            <w:r>
              <w:rPr>
                <w:spacing w:val="-2"/>
                <w:sz w:val="21"/>
              </w:rPr>
              <w:t>已上市生物制品</w:t>
            </w:r>
          </w:p>
        </w:tc>
        <w:tc>
          <w:tcPr>
            <w:tcW w:w="1385" w:type="dxa"/>
          </w:tcPr>
          <w:p>
            <w:pPr>
              <w:pStyle w:val="TableParagraph"/>
              <w:spacing w:before="39"/>
              <w:ind w:left="106"/>
              <w:rPr>
                <w:sz w:val="21"/>
              </w:rPr>
            </w:pPr>
            <w:r>
              <w:rPr>
                <w:spacing w:val="-5"/>
                <w:sz w:val="21"/>
              </w:rPr>
              <w:t>限制</w:t>
            </w:r>
          </w:p>
        </w:tc>
        <w:tc>
          <w:tcPr>
            <w:tcW w:w="4595" w:type="dxa"/>
          </w:tcPr>
          <w:p>
            <w:pPr>
              <w:pStyle w:val="TableParagraph"/>
              <w:spacing w:line="276" w:lineRule="auto" w:before="38"/>
              <w:ind w:left="106" w:right="487"/>
              <w:rPr>
                <w:sz w:val="21"/>
              </w:rPr>
            </w:pPr>
            <w:r>
              <w:rPr>
                <w:spacing w:val="-2"/>
                <w:sz w:val="21"/>
              </w:rPr>
              <w:t>禁止使用，直至随访期结束，但以下情况除</w:t>
            </w:r>
            <w:r>
              <w:rPr>
                <w:spacing w:val="-6"/>
                <w:sz w:val="21"/>
              </w:rPr>
              <w:t>外：</w:t>
            </w:r>
          </w:p>
          <w:p>
            <w:pPr>
              <w:pStyle w:val="TableParagraph"/>
              <w:numPr>
                <w:ilvl w:val="0"/>
                <w:numId w:val="26"/>
              </w:numPr>
              <w:tabs>
                <w:tab w:pos="531" w:val="left" w:leader="none"/>
              </w:tabs>
              <w:spacing w:line="240" w:lineRule="auto" w:before="38" w:after="0"/>
              <w:ind w:left="531" w:right="97" w:hanging="425"/>
              <w:jc w:val="both"/>
              <w:rPr>
                <w:sz w:val="21"/>
              </w:rPr>
            </w:pPr>
            <w:r>
              <w:rPr>
                <w:spacing w:val="-1"/>
                <w:sz w:val="21"/>
              </w:rPr>
              <w:t>如果在研究前接受稳定剂量给药且在 </w:t>
            </w:r>
            <w:r>
              <w:rPr>
                <w:rFonts w:ascii="Times New Roman" w:hAnsi="Times New Roman" w:eastAsia="Times New Roman"/>
                <w:sz w:val="21"/>
              </w:rPr>
              <w:t>IP </w:t>
            </w:r>
            <w:r>
              <w:rPr>
                <w:sz w:val="21"/>
              </w:rPr>
              <w:t>给</w:t>
            </w:r>
            <w:r>
              <w:rPr>
                <w:spacing w:val="-4"/>
                <w:sz w:val="21"/>
              </w:rPr>
              <w:t>药前或给药后 </w:t>
            </w:r>
            <w:r>
              <w:rPr>
                <w:rFonts w:ascii="Times New Roman" w:hAnsi="Times New Roman" w:eastAsia="Times New Roman"/>
                <w:sz w:val="21"/>
              </w:rPr>
              <w:t>14</w:t>
            </w:r>
            <w:r>
              <w:rPr>
                <w:rFonts w:ascii="Times New Roman" w:hAnsi="Times New Roman" w:eastAsia="Times New Roman"/>
                <w:spacing w:val="6"/>
                <w:sz w:val="21"/>
              </w:rPr>
              <w:t> </w:t>
            </w:r>
            <w:r>
              <w:rPr>
                <w:sz w:val="21"/>
              </w:rPr>
              <w:t>天内未给药，则允许使用</w:t>
            </w:r>
            <w:r>
              <w:rPr>
                <w:spacing w:val="-2"/>
                <w:sz w:val="21"/>
              </w:rPr>
              <w:t>治疗骨质疏松症的注射生物制品。</w:t>
            </w:r>
          </w:p>
          <w:p>
            <w:pPr>
              <w:pStyle w:val="TableParagraph"/>
              <w:numPr>
                <w:ilvl w:val="0"/>
                <w:numId w:val="26"/>
              </w:numPr>
              <w:tabs>
                <w:tab w:pos="531" w:val="left" w:leader="none"/>
              </w:tabs>
              <w:spacing w:line="240" w:lineRule="auto" w:before="37" w:after="0"/>
              <w:ind w:left="531" w:right="85" w:hanging="425"/>
              <w:jc w:val="both"/>
              <w:rPr>
                <w:sz w:val="21"/>
              </w:rPr>
            </w:pPr>
            <w:r>
              <w:rPr>
                <w:spacing w:val="-1"/>
                <w:sz w:val="21"/>
              </w:rPr>
              <w:t>如果在研究开始前稳定给药且在 </w:t>
            </w:r>
            <w:r>
              <w:rPr>
                <w:rFonts w:ascii="Times New Roman" w:hAnsi="Times New Roman" w:eastAsia="Times New Roman"/>
                <w:sz w:val="21"/>
              </w:rPr>
              <w:t>IP </w:t>
            </w:r>
            <w:r>
              <w:rPr>
                <w:sz w:val="21"/>
              </w:rPr>
              <w:t>给药前</w:t>
            </w:r>
            <w:r>
              <w:rPr>
                <w:spacing w:val="-14"/>
                <w:sz w:val="21"/>
              </w:rPr>
              <w:t>后 </w:t>
            </w:r>
            <w:r>
              <w:rPr>
                <w:rFonts w:ascii="Times New Roman" w:hAnsi="Times New Roman" w:eastAsia="Times New Roman"/>
                <w:spacing w:val="-4"/>
                <w:sz w:val="21"/>
              </w:rPr>
              <w:t>7</w:t>
            </w:r>
            <w:r>
              <w:rPr>
                <w:rFonts w:ascii="Times New Roman" w:hAnsi="Times New Roman" w:eastAsia="Times New Roman"/>
                <w:spacing w:val="-9"/>
                <w:sz w:val="21"/>
              </w:rPr>
              <w:t> </w:t>
            </w:r>
            <w:r>
              <w:rPr>
                <w:spacing w:val="-4"/>
                <w:sz w:val="21"/>
              </w:rPr>
              <w:t>天内未给药，则允许使用玻璃体内注射</w:t>
            </w:r>
            <w:r>
              <w:rPr>
                <w:spacing w:val="2"/>
                <w:sz w:val="21"/>
              </w:rPr>
              <w:t>生物制品治疗新生血管性</w:t>
            </w:r>
            <w:r>
              <w:rPr>
                <w:spacing w:val="9"/>
                <w:sz w:val="21"/>
              </w:rPr>
              <w:t>（</w:t>
            </w:r>
            <w:r>
              <w:rPr>
                <w:spacing w:val="5"/>
                <w:sz w:val="21"/>
              </w:rPr>
              <w:t>渗出性</w:t>
            </w:r>
            <w:r>
              <w:rPr>
                <w:spacing w:val="9"/>
                <w:sz w:val="21"/>
              </w:rPr>
              <w:t>）年龄</w:t>
            </w:r>
            <w:r>
              <w:rPr>
                <w:spacing w:val="-2"/>
                <w:sz w:val="21"/>
              </w:rPr>
              <w:t>相关性黄斑变性。</w:t>
            </w:r>
          </w:p>
          <w:p>
            <w:pPr>
              <w:pStyle w:val="TableParagraph"/>
              <w:numPr>
                <w:ilvl w:val="0"/>
                <w:numId w:val="26"/>
              </w:numPr>
              <w:tabs>
                <w:tab w:pos="531" w:val="left" w:leader="none"/>
              </w:tabs>
              <w:spacing w:line="240" w:lineRule="auto" w:before="39" w:after="0"/>
              <w:ind w:left="531" w:right="97" w:hanging="425"/>
              <w:jc w:val="both"/>
              <w:rPr>
                <w:sz w:val="21"/>
              </w:rPr>
            </w:pPr>
            <w:r>
              <w:rPr>
                <w:spacing w:val="-9"/>
                <w:sz w:val="21"/>
              </w:rPr>
              <w:t>如果在 </w:t>
            </w:r>
            <w:r>
              <w:rPr>
                <w:rFonts w:ascii="Times New Roman" w:hAnsi="Times New Roman" w:eastAsia="Times New Roman"/>
                <w:spacing w:val="-4"/>
                <w:sz w:val="21"/>
              </w:rPr>
              <w:t>IP</w:t>
            </w:r>
            <w:r>
              <w:rPr>
                <w:rFonts w:ascii="Times New Roman" w:hAnsi="Times New Roman" w:eastAsia="Times New Roman"/>
                <w:spacing w:val="-9"/>
                <w:sz w:val="21"/>
              </w:rPr>
              <w:t> </w:t>
            </w:r>
            <w:r>
              <w:rPr>
                <w:spacing w:val="-7"/>
                <w:sz w:val="21"/>
              </w:rPr>
              <w:t>给药前或给药后 </w:t>
            </w:r>
            <w:r>
              <w:rPr>
                <w:rFonts w:ascii="Times New Roman" w:hAnsi="Times New Roman" w:eastAsia="Times New Roman"/>
                <w:spacing w:val="-4"/>
                <w:sz w:val="21"/>
              </w:rPr>
              <w:t>14</w:t>
            </w:r>
            <w:r>
              <w:rPr>
                <w:rFonts w:ascii="Times New Roman" w:hAnsi="Times New Roman" w:eastAsia="Times New Roman"/>
                <w:spacing w:val="-9"/>
                <w:sz w:val="21"/>
              </w:rPr>
              <w:t> </w:t>
            </w:r>
            <w:r>
              <w:rPr>
                <w:spacing w:val="-4"/>
                <w:sz w:val="21"/>
              </w:rPr>
              <w:t>天内未给药，</w:t>
            </w:r>
            <w:r>
              <w:rPr>
                <w:spacing w:val="1"/>
                <w:sz w:val="21"/>
              </w:rPr>
              <w:t>则允许使用靶向</w:t>
            </w:r>
            <w:r>
              <w:rPr>
                <w:rFonts w:ascii="Times New Roman" w:hAnsi="Times New Roman" w:eastAsia="Times New Roman"/>
                <w:sz w:val="21"/>
              </w:rPr>
              <w:t>SARS-CoV-2</w:t>
            </w:r>
            <w:r>
              <w:rPr>
                <w:rFonts w:ascii="Times New Roman" w:hAnsi="Times New Roman" w:eastAsia="Times New Roman"/>
                <w:spacing w:val="-14"/>
                <w:sz w:val="21"/>
              </w:rPr>
              <w:t> </w:t>
            </w:r>
            <w:r>
              <w:rPr>
                <w:sz w:val="21"/>
              </w:rPr>
              <w:t>病毒成分的单</w:t>
            </w:r>
            <w:r>
              <w:rPr>
                <w:spacing w:val="-2"/>
                <w:sz w:val="21"/>
              </w:rPr>
              <w:t>克隆抗体用治疗或预防。</w:t>
            </w:r>
          </w:p>
          <w:p>
            <w:pPr>
              <w:pStyle w:val="TableParagraph"/>
              <w:spacing w:line="276" w:lineRule="auto" w:before="38"/>
              <w:ind w:left="106" w:right="98"/>
              <w:jc w:val="both"/>
              <w:rPr>
                <w:sz w:val="21"/>
              </w:rPr>
            </w:pPr>
            <w:r>
              <w:rPr>
                <w:spacing w:val="-7"/>
                <w:sz w:val="21"/>
              </w:rPr>
              <w:t>在 </w:t>
            </w:r>
            <w:r>
              <w:rPr>
                <w:rFonts w:ascii="Times New Roman" w:eastAsia="Times New Roman"/>
                <w:sz w:val="21"/>
              </w:rPr>
              <w:t>IP </w:t>
            </w:r>
            <w:r>
              <w:rPr>
                <w:sz w:val="21"/>
              </w:rPr>
              <w:t>给药前，上述例外情况需要讨论并获得研</w:t>
            </w:r>
            <w:r>
              <w:rPr>
                <w:spacing w:val="-2"/>
                <w:sz w:val="21"/>
              </w:rPr>
              <w:t>究医生批准。</w:t>
            </w:r>
          </w:p>
        </w:tc>
      </w:tr>
      <w:tr>
        <w:trPr>
          <w:trHeight w:val="393" w:hRule="atLeast"/>
        </w:trPr>
        <w:tc>
          <w:tcPr>
            <w:tcW w:w="2777" w:type="dxa"/>
          </w:tcPr>
          <w:p>
            <w:pPr>
              <w:pStyle w:val="TableParagraph"/>
              <w:spacing w:before="38"/>
              <w:ind w:left="107"/>
              <w:rPr>
                <w:sz w:val="21"/>
              </w:rPr>
            </w:pPr>
            <w:r>
              <w:rPr>
                <w:spacing w:val="-1"/>
                <w:sz w:val="21"/>
              </w:rPr>
              <w:t>免疫球蛋白或血液制品</w:t>
            </w:r>
          </w:p>
        </w:tc>
        <w:tc>
          <w:tcPr>
            <w:tcW w:w="1385" w:type="dxa"/>
          </w:tcPr>
          <w:p>
            <w:pPr>
              <w:pStyle w:val="TableParagraph"/>
              <w:spacing w:before="38"/>
              <w:ind w:left="106"/>
              <w:rPr>
                <w:sz w:val="21"/>
              </w:rPr>
            </w:pPr>
            <w:r>
              <w:rPr>
                <w:spacing w:val="-5"/>
                <w:sz w:val="21"/>
              </w:rPr>
              <w:t>禁止</w:t>
            </w:r>
          </w:p>
        </w:tc>
        <w:tc>
          <w:tcPr>
            <w:tcW w:w="4595" w:type="dxa"/>
          </w:tcPr>
          <w:p>
            <w:pPr>
              <w:pStyle w:val="TableParagraph"/>
              <w:spacing w:before="38"/>
              <w:ind w:left="106"/>
              <w:rPr>
                <w:sz w:val="21"/>
              </w:rPr>
            </w:pPr>
            <w:r>
              <w:rPr>
                <w:spacing w:val="-1"/>
                <w:sz w:val="21"/>
              </w:rPr>
              <w:t>禁止使用，直至随访期结束。</w:t>
            </w:r>
          </w:p>
        </w:tc>
      </w:tr>
      <w:tr>
        <w:trPr>
          <w:trHeight w:val="1019" w:hRule="atLeast"/>
        </w:trPr>
        <w:tc>
          <w:tcPr>
            <w:tcW w:w="2777" w:type="dxa"/>
          </w:tcPr>
          <w:p>
            <w:pPr>
              <w:pStyle w:val="TableParagraph"/>
              <w:spacing w:before="38"/>
              <w:ind w:left="107"/>
              <w:rPr>
                <w:sz w:val="21"/>
              </w:rPr>
            </w:pPr>
            <w:r>
              <w:rPr>
                <w:spacing w:val="-2"/>
                <w:sz w:val="21"/>
              </w:rPr>
              <w:t>减毒活疫苗</w:t>
            </w:r>
          </w:p>
        </w:tc>
        <w:tc>
          <w:tcPr>
            <w:tcW w:w="1385" w:type="dxa"/>
          </w:tcPr>
          <w:p>
            <w:pPr>
              <w:pStyle w:val="TableParagraph"/>
              <w:spacing w:before="38"/>
              <w:ind w:left="106"/>
              <w:rPr>
                <w:sz w:val="21"/>
              </w:rPr>
            </w:pPr>
            <w:r>
              <w:rPr>
                <w:spacing w:val="-5"/>
                <w:sz w:val="21"/>
              </w:rPr>
              <w:t>禁止</w:t>
            </w:r>
          </w:p>
        </w:tc>
        <w:tc>
          <w:tcPr>
            <w:tcW w:w="4595" w:type="dxa"/>
          </w:tcPr>
          <w:p>
            <w:pPr>
              <w:pStyle w:val="TableParagraph"/>
              <w:spacing w:line="276" w:lineRule="auto" w:before="36"/>
              <w:ind w:left="106" w:right="93"/>
              <w:jc w:val="both"/>
              <w:rPr>
                <w:sz w:val="21"/>
              </w:rPr>
            </w:pPr>
            <w:r>
              <w:rPr>
                <w:spacing w:val="8"/>
                <w:sz w:val="21"/>
              </w:rPr>
              <w:t>禁止使用，直至随访期结束</w:t>
            </w:r>
            <w:r>
              <w:rPr>
                <w:spacing w:val="9"/>
                <w:sz w:val="21"/>
              </w:rPr>
              <w:t>（</w:t>
            </w:r>
            <w:r>
              <w:rPr>
                <w:spacing w:val="6"/>
                <w:sz w:val="21"/>
              </w:rPr>
              <w:t>注：以不能复制</w:t>
            </w:r>
            <w:r>
              <w:rPr>
                <w:spacing w:val="2"/>
                <w:sz w:val="21"/>
              </w:rPr>
              <w:t>的腺病毒作为载体的疫苗</w:t>
            </w:r>
            <w:r>
              <w:rPr>
                <w:spacing w:val="3"/>
                <w:sz w:val="21"/>
              </w:rPr>
              <w:t>（</w:t>
            </w:r>
            <w:r>
              <w:rPr>
                <w:spacing w:val="2"/>
                <w:sz w:val="21"/>
              </w:rPr>
              <w:t>例如 </w:t>
            </w:r>
            <w:r>
              <w:rPr>
                <w:rFonts w:ascii="Times New Roman" w:eastAsia="Times New Roman"/>
                <w:spacing w:val="-1"/>
                <w:sz w:val="21"/>
              </w:rPr>
              <w:t>Ch</w:t>
            </w:r>
            <w:r>
              <w:rPr>
                <w:rFonts w:ascii="Times New Roman" w:eastAsia="Times New Roman"/>
                <w:spacing w:val="-2"/>
                <w:sz w:val="21"/>
              </w:rPr>
              <w:t>A</w:t>
            </w:r>
            <w:r>
              <w:rPr>
                <w:rFonts w:ascii="Times New Roman" w:eastAsia="Times New Roman"/>
                <w:sz w:val="21"/>
              </w:rPr>
              <w:t>dOx</w:t>
            </w:r>
            <w:r>
              <w:rPr>
                <w:rFonts w:ascii="Times New Roman" w:eastAsia="Times New Roman"/>
                <w:spacing w:val="3"/>
                <w:sz w:val="21"/>
              </w:rPr>
              <w:t>1</w:t>
            </w:r>
            <w:r>
              <w:rPr>
                <w:spacing w:val="3"/>
                <w:sz w:val="21"/>
              </w:rPr>
              <w:t>）不</w:t>
            </w:r>
            <w:r>
              <w:rPr>
                <w:sz w:val="21"/>
              </w:rPr>
              <w:t>视为活疫苗或减毒疫苗）。</w:t>
            </w:r>
          </w:p>
        </w:tc>
      </w:tr>
    </w:tbl>
    <w:p>
      <w:pPr>
        <w:spacing w:after="0" w:line="276" w:lineRule="auto"/>
        <w:jc w:val="both"/>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7"/>
        <w:gridCol w:w="1385"/>
        <w:gridCol w:w="4595"/>
      </w:tblGrid>
      <w:tr>
        <w:trPr>
          <w:trHeight w:val="897" w:hRule="atLeast"/>
        </w:trPr>
        <w:tc>
          <w:tcPr>
            <w:tcW w:w="2777" w:type="dxa"/>
          </w:tcPr>
          <w:p>
            <w:pPr>
              <w:pStyle w:val="TableParagraph"/>
              <w:rPr>
                <w:b/>
                <w:sz w:val="21"/>
              </w:rPr>
            </w:pPr>
          </w:p>
          <w:p>
            <w:pPr>
              <w:pStyle w:val="TableParagraph"/>
              <w:spacing w:before="36"/>
              <w:rPr>
                <w:b/>
                <w:sz w:val="21"/>
              </w:rPr>
            </w:pPr>
          </w:p>
          <w:p>
            <w:pPr>
              <w:pStyle w:val="TableParagraph"/>
              <w:ind w:left="107"/>
              <w:rPr>
                <w:b/>
                <w:sz w:val="21"/>
              </w:rPr>
            </w:pPr>
            <w:r>
              <w:rPr>
                <w:b/>
                <w:spacing w:val="-6"/>
                <w:sz w:val="21"/>
              </w:rPr>
              <w:t>药物</w:t>
            </w:r>
          </w:p>
        </w:tc>
        <w:tc>
          <w:tcPr>
            <w:tcW w:w="1385" w:type="dxa"/>
          </w:tcPr>
          <w:p>
            <w:pPr>
              <w:pStyle w:val="TableParagraph"/>
              <w:spacing w:before="36"/>
              <w:ind w:left="106" w:right="785"/>
              <w:jc w:val="both"/>
              <w:rPr>
                <w:b/>
                <w:sz w:val="21"/>
              </w:rPr>
            </w:pPr>
            <w:r>
              <w:rPr>
                <w:b/>
                <w:spacing w:val="-4"/>
                <w:sz w:val="21"/>
              </w:rPr>
              <w:t>允许</w:t>
            </w:r>
            <w:r>
              <w:rPr>
                <w:rFonts w:ascii="Times New Roman" w:eastAsia="Times New Roman"/>
                <w:b/>
                <w:spacing w:val="-4"/>
                <w:sz w:val="21"/>
              </w:rPr>
              <w:t>/</w:t>
            </w:r>
            <w:r>
              <w:rPr>
                <w:b/>
                <w:spacing w:val="-4"/>
                <w:sz w:val="21"/>
              </w:rPr>
              <w:t>限制</w:t>
            </w:r>
            <w:r>
              <w:rPr>
                <w:rFonts w:ascii="Times New Roman" w:eastAsia="Times New Roman"/>
                <w:b/>
                <w:spacing w:val="-4"/>
                <w:sz w:val="21"/>
              </w:rPr>
              <w:t>/</w:t>
            </w:r>
            <w:r>
              <w:rPr>
                <w:b/>
                <w:spacing w:val="-6"/>
                <w:sz w:val="21"/>
              </w:rPr>
              <w:t>禁止</w:t>
            </w:r>
          </w:p>
        </w:tc>
        <w:tc>
          <w:tcPr>
            <w:tcW w:w="4595" w:type="dxa"/>
          </w:tcPr>
          <w:p>
            <w:pPr>
              <w:pStyle w:val="TableParagraph"/>
              <w:rPr>
                <w:b/>
                <w:sz w:val="21"/>
              </w:rPr>
            </w:pPr>
          </w:p>
          <w:p>
            <w:pPr>
              <w:pStyle w:val="TableParagraph"/>
              <w:spacing w:before="36"/>
              <w:rPr>
                <w:b/>
                <w:sz w:val="21"/>
              </w:rPr>
            </w:pPr>
          </w:p>
          <w:p>
            <w:pPr>
              <w:pStyle w:val="TableParagraph"/>
              <w:ind w:left="106"/>
              <w:rPr>
                <w:b/>
                <w:sz w:val="21"/>
              </w:rPr>
            </w:pPr>
            <w:r>
              <w:rPr>
                <w:b/>
                <w:spacing w:val="-4"/>
                <w:sz w:val="21"/>
              </w:rPr>
              <w:t>详细内容</w:t>
            </w:r>
          </w:p>
        </w:tc>
      </w:tr>
      <w:tr>
        <w:trPr>
          <w:trHeight w:val="706" w:hRule="atLeast"/>
        </w:trPr>
        <w:tc>
          <w:tcPr>
            <w:tcW w:w="2777" w:type="dxa"/>
          </w:tcPr>
          <w:p>
            <w:pPr>
              <w:pStyle w:val="TableParagraph"/>
              <w:spacing w:line="276" w:lineRule="auto" w:before="36"/>
              <w:ind w:left="107" w:right="200"/>
              <w:rPr>
                <w:sz w:val="21"/>
              </w:rPr>
            </w:pPr>
            <w:r>
              <w:rPr>
                <w:rFonts w:ascii="Times New Roman" w:eastAsia="Times New Roman"/>
                <w:spacing w:val="-2"/>
                <w:sz w:val="21"/>
              </w:rPr>
              <w:t>COVID-19</w:t>
            </w:r>
            <w:r>
              <w:rPr>
                <w:rFonts w:ascii="Times New Roman" w:eastAsia="Times New Roman"/>
                <w:spacing w:val="-12"/>
                <w:sz w:val="21"/>
              </w:rPr>
              <w:t> </w:t>
            </w:r>
            <w:r>
              <w:rPr>
                <w:spacing w:val="-2"/>
                <w:sz w:val="21"/>
              </w:rPr>
              <w:t>疫苗接种（首剂量或后续剂量）</w:t>
            </w:r>
          </w:p>
        </w:tc>
        <w:tc>
          <w:tcPr>
            <w:tcW w:w="1385" w:type="dxa"/>
          </w:tcPr>
          <w:p>
            <w:pPr>
              <w:pStyle w:val="TableParagraph"/>
              <w:spacing w:before="38"/>
              <w:ind w:left="106"/>
              <w:rPr>
                <w:sz w:val="21"/>
              </w:rPr>
            </w:pPr>
            <w:r>
              <w:rPr>
                <w:spacing w:val="-5"/>
                <w:sz w:val="21"/>
              </w:rPr>
              <w:t>限制</w:t>
            </w:r>
          </w:p>
        </w:tc>
        <w:tc>
          <w:tcPr>
            <w:tcW w:w="4595" w:type="dxa"/>
          </w:tcPr>
          <w:p>
            <w:pPr>
              <w:pStyle w:val="TableParagraph"/>
              <w:spacing w:before="38"/>
              <w:ind w:left="106"/>
              <w:rPr>
                <w:sz w:val="21"/>
              </w:rPr>
            </w:pPr>
            <w:r>
              <w:rPr>
                <w:spacing w:val="-14"/>
                <w:sz w:val="21"/>
              </w:rPr>
              <w:t>在任何 </w:t>
            </w:r>
            <w:r>
              <w:rPr>
                <w:rFonts w:ascii="Times New Roman" w:eastAsia="Times New Roman"/>
                <w:sz w:val="21"/>
              </w:rPr>
              <w:t>IP</w:t>
            </w:r>
            <w:r>
              <w:rPr>
                <w:rFonts w:ascii="Times New Roman" w:eastAsia="Times New Roman"/>
                <w:spacing w:val="-14"/>
                <w:sz w:val="21"/>
              </w:rPr>
              <w:t> </w:t>
            </w:r>
            <w:r>
              <w:rPr>
                <w:spacing w:val="-7"/>
                <w:sz w:val="21"/>
              </w:rPr>
              <w:t>给药前或给药后 </w:t>
            </w:r>
            <w:r>
              <w:rPr>
                <w:rFonts w:ascii="Times New Roman" w:eastAsia="Times New Roman"/>
                <w:sz w:val="21"/>
              </w:rPr>
              <w:t>7</w:t>
            </w:r>
            <w:r>
              <w:rPr>
                <w:rFonts w:ascii="Times New Roman" w:eastAsia="Times New Roman"/>
                <w:spacing w:val="-10"/>
                <w:sz w:val="21"/>
              </w:rPr>
              <w:t> </w:t>
            </w:r>
            <w:r>
              <w:rPr>
                <w:spacing w:val="-2"/>
                <w:sz w:val="21"/>
              </w:rPr>
              <w:t>天内禁止使用。</w:t>
            </w:r>
          </w:p>
        </w:tc>
      </w:tr>
      <w:tr>
        <w:trPr>
          <w:trHeight w:val="706" w:hRule="atLeast"/>
        </w:trPr>
        <w:tc>
          <w:tcPr>
            <w:tcW w:w="2777" w:type="dxa"/>
          </w:tcPr>
          <w:p>
            <w:pPr>
              <w:pStyle w:val="TableParagraph"/>
              <w:spacing w:line="276" w:lineRule="auto" w:before="36"/>
              <w:ind w:left="107" w:right="137"/>
              <w:rPr>
                <w:sz w:val="21"/>
              </w:rPr>
            </w:pPr>
            <w:r>
              <w:rPr>
                <w:spacing w:val="-2"/>
                <w:sz w:val="21"/>
              </w:rPr>
              <w:t>灭活疫苗（例如肺炎球菌疫苗、灭活流感疫苗）</w:t>
            </w:r>
          </w:p>
        </w:tc>
        <w:tc>
          <w:tcPr>
            <w:tcW w:w="1385" w:type="dxa"/>
          </w:tcPr>
          <w:p>
            <w:pPr>
              <w:pStyle w:val="TableParagraph"/>
              <w:spacing w:before="38"/>
              <w:ind w:left="106"/>
              <w:rPr>
                <w:sz w:val="21"/>
              </w:rPr>
            </w:pPr>
            <w:r>
              <w:rPr>
                <w:spacing w:val="-5"/>
                <w:sz w:val="21"/>
              </w:rPr>
              <w:t>限用</w:t>
            </w:r>
          </w:p>
        </w:tc>
        <w:tc>
          <w:tcPr>
            <w:tcW w:w="4595" w:type="dxa"/>
          </w:tcPr>
          <w:p>
            <w:pPr>
              <w:pStyle w:val="TableParagraph"/>
              <w:spacing w:before="38"/>
              <w:ind w:left="106"/>
              <w:rPr>
                <w:sz w:val="21"/>
              </w:rPr>
            </w:pPr>
            <w:r>
              <w:rPr>
                <w:spacing w:val="-14"/>
                <w:sz w:val="21"/>
              </w:rPr>
              <w:t>在任何 </w:t>
            </w:r>
            <w:r>
              <w:rPr>
                <w:rFonts w:ascii="Times New Roman" w:eastAsia="Times New Roman"/>
                <w:sz w:val="21"/>
              </w:rPr>
              <w:t>IP</w:t>
            </w:r>
            <w:r>
              <w:rPr>
                <w:rFonts w:ascii="Times New Roman" w:eastAsia="Times New Roman"/>
                <w:spacing w:val="-14"/>
                <w:sz w:val="21"/>
              </w:rPr>
              <w:t> </w:t>
            </w:r>
            <w:r>
              <w:rPr>
                <w:spacing w:val="-7"/>
                <w:sz w:val="21"/>
              </w:rPr>
              <w:t>给药前或给药后 </w:t>
            </w:r>
            <w:r>
              <w:rPr>
                <w:rFonts w:ascii="Times New Roman" w:eastAsia="Times New Roman"/>
                <w:sz w:val="21"/>
              </w:rPr>
              <w:t>7</w:t>
            </w:r>
            <w:r>
              <w:rPr>
                <w:rFonts w:ascii="Times New Roman" w:eastAsia="Times New Roman"/>
                <w:spacing w:val="-10"/>
                <w:sz w:val="21"/>
              </w:rPr>
              <w:t> </w:t>
            </w:r>
            <w:r>
              <w:rPr>
                <w:spacing w:val="-2"/>
                <w:sz w:val="21"/>
              </w:rPr>
              <w:t>天内禁用。</w:t>
            </w:r>
          </w:p>
        </w:tc>
      </w:tr>
      <w:tr>
        <w:trPr>
          <w:trHeight w:val="393" w:hRule="atLeast"/>
        </w:trPr>
        <w:tc>
          <w:tcPr>
            <w:tcW w:w="2777" w:type="dxa"/>
          </w:tcPr>
          <w:p>
            <w:pPr>
              <w:pStyle w:val="TableParagraph"/>
              <w:spacing w:before="38"/>
              <w:ind w:left="107"/>
              <w:rPr>
                <w:sz w:val="21"/>
              </w:rPr>
            </w:pPr>
            <w:r>
              <w:rPr>
                <w:spacing w:val="-3"/>
                <w:sz w:val="21"/>
              </w:rPr>
              <w:t>镇咳药物</w:t>
            </w:r>
          </w:p>
        </w:tc>
        <w:tc>
          <w:tcPr>
            <w:tcW w:w="1385" w:type="dxa"/>
          </w:tcPr>
          <w:p>
            <w:pPr>
              <w:pStyle w:val="TableParagraph"/>
              <w:spacing w:before="38"/>
              <w:ind w:left="106"/>
              <w:rPr>
                <w:sz w:val="21"/>
              </w:rPr>
            </w:pPr>
            <w:r>
              <w:rPr>
                <w:spacing w:val="-5"/>
                <w:sz w:val="21"/>
              </w:rPr>
              <w:t>允许</w:t>
            </w:r>
          </w:p>
        </w:tc>
        <w:tc>
          <w:tcPr>
            <w:tcW w:w="4595" w:type="dxa"/>
          </w:tcPr>
          <w:p>
            <w:pPr>
              <w:pStyle w:val="TableParagraph"/>
              <w:spacing w:before="39"/>
              <w:ind w:left="106"/>
              <w:rPr>
                <w:rFonts w:ascii="Times New Roman"/>
                <w:sz w:val="21"/>
              </w:rPr>
            </w:pPr>
            <w:r>
              <w:rPr>
                <w:rFonts w:ascii="Times New Roman"/>
                <w:spacing w:val="-5"/>
                <w:sz w:val="21"/>
              </w:rPr>
              <w:t>NA</w:t>
            </w:r>
          </w:p>
        </w:tc>
      </w:tr>
      <w:tr>
        <w:trPr>
          <w:trHeight w:val="706" w:hRule="atLeast"/>
        </w:trPr>
        <w:tc>
          <w:tcPr>
            <w:tcW w:w="2777" w:type="dxa"/>
          </w:tcPr>
          <w:p>
            <w:pPr>
              <w:pStyle w:val="TableParagraph"/>
              <w:spacing w:line="276" w:lineRule="auto" w:before="36"/>
              <w:ind w:left="107" w:right="136"/>
              <w:rPr>
                <w:sz w:val="21"/>
              </w:rPr>
            </w:pPr>
            <w:r>
              <w:rPr>
                <w:spacing w:val="-2"/>
                <w:sz w:val="21"/>
              </w:rPr>
              <w:t>粘液溶解药物（如，羧甲司</w:t>
            </w:r>
            <w:r>
              <w:rPr>
                <w:spacing w:val="-6"/>
                <w:sz w:val="21"/>
              </w:rPr>
              <w:t>坦）</w:t>
            </w:r>
          </w:p>
        </w:tc>
        <w:tc>
          <w:tcPr>
            <w:tcW w:w="1385" w:type="dxa"/>
          </w:tcPr>
          <w:p>
            <w:pPr>
              <w:pStyle w:val="TableParagraph"/>
              <w:spacing w:before="38"/>
              <w:ind w:left="106"/>
              <w:rPr>
                <w:sz w:val="21"/>
              </w:rPr>
            </w:pPr>
            <w:r>
              <w:rPr>
                <w:spacing w:val="-5"/>
                <w:sz w:val="21"/>
              </w:rPr>
              <w:t>允许</w:t>
            </w:r>
          </w:p>
        </w:tc>
        <w:tc>
          <w:tcPr>
            <w:tcW w:w="4595" w:type="dxa"/>
          </w:tcPr>
          <w:p>
            <w:pPr>
              <w:pStyle w:val="TableParagraph"/>
              <w:spacing w:before="39"/>
              <w:ind w:left="106"/>
              <w:rPr>
                <w:rFonts w:ascii="Times New Roman"/>
                <w:sz w:val="21"/>
              </w:rPr>
            </w:pPr>
            <w:r>
              <w:rPr>
                <w:rFonts w:ascii="Times New Roman"/>
                <w:spacing w:val="-5"/>
                <w:sz w:val="21"/>
              </w:rPr>
              <w:t>NA</w:t>
            </w:r>
          </w:p>
        </w:tc>
      </w:tr>
      <w:tr>
        <w:trPr>
          <w:trHeight w:val="1019" w:hRule="atLeast"/>
        </w:trPr>
        <w:tc>
          <w:tcPr>
            <w:tcW w:w="2777" w:type="dxa"/>
          </w:tcPr>
          <w:p>
            <w:pPr>
              <w:pStyle w:val="TableParagraph"/>
              <w:spacing w:line="276" w:lineRule="auto" w:before="36"/>
              <w:ind w:left="107" w:right="193"/>
              <w:rPr>
                <w:sz w:val="21"/>
              </w:rPr>
            </w:pPr>
            <w:r>
              <w:rPr>
                <w:spacing w:val="-2"/>
                <w:sz w:val="21"/>
              </w:rPr>
              <w:t>罗氟司特（</w:t>
            </w:r>
            <w:r>
              <w:rPr>
                <w:rFonts w:ascii="Times New Roman" w:hAnsi="Times New Roman" w:eastAsia="Times New Roman"/>
                <w:spacing w:val="-2"/>
                <w:sz w:val="21"/>
              </w:rPr>
              <w:t>Daxas</w:t>
            </w:r>
            <w:r>
              <w:rPr>
                <w:rFonts w:ascii="Times New Roman" w:hAnsi="Times New Roman" w:eastAsia="Times New Roman"/>
                <w:spacing w:val="-2"/>
                <w:sz w:val="21"/>
                <w:vertAlign w:val="superscript"/>
              </w:rPr>
              <w:t>®</w:t>
            </w:r>
            <w:r>
              <w:rPr>
                <w:spacing w:val="-2"/>
                <w:sz w:val="21"/>
                <w:vertAlign w:val="baseline"/>
              </w:rPr>
              <w:t>、 </w:t>
            </w:r>
            <w:r>
              <w:rPr>
                <w:rFonts w:ascii="Times New Roman" w:hAnsi="Times New Roman" w:eastAsia="Times New Roman"/>
                <w:spacing w:val="-2"/>
                <w:sz w:val="21"/>
                <w:vertAlign w:val="baseline"/>
              </w:rPr>
              <w:t>Daliresp</w:t>
            </w:r>
            <w:r>
              <w:rPr>
                <w:rFonts w:ascii="Times New Roman" w:hAnsi="Times New Roman" w:eastAsia="Times New Roman"/>
                <w:spacing w:val="-2"/>
                <w:sz w:val="21"/>
                <w:vertAlign w:val="superscript"/>
              </w:rPr>
              <w:t>®</w:t>
            </w:r>
            <w:r>
              <w:rPr>
                <w:spacing w:val="-2"/>
                <w:sz w:val="21"/>
                <w:vertAlign w:val="baseline"/>
              </w:rPr>
              <w:t>）</w:t>
            </w:r>
            <w:r>
              <w:rPr>
                <w:spacing w:val="-15"/>
                <w:sz w:val="21"/>
                <w:vertAlign w:val="baseline"/>
              </w:rPr>
              <w:t>和其他 </w:t>
            </w:r>
            <w:r>
              <w:rPr>
                <w:rFonts w:ascii="Times New Roman" w:hAnsi="Times New Roman" w:eastAsia="Times New Roman"/>
                <w:spacing w:val="-2"/>
                <w:sz w:val="21"/>
                <w:vertAlign w:val="baseline"/>
              </w:rPr>
              <w:t>PDE4</w:t>
            </w:r>
            <w:r>
              <w:rPr>
                <w:rFonts w:ascii="Times New Roman" w:hAnsi="Times New Roman" w:eastAsia="Times New Roman"/>
                <w:spacing w:val="-12"/>
                <w:sz w:val="21"/>
                <w:vertAlign w:val="baseline"/>
              </w:rPr>
              <w:t> </w:t>
            </w:r>
            <w:r>
              <w:rPr>
                <w:spacing w:val="-2"/>
                <w:sz w:val="21"/>
                <w:vertAlign w:val="baseline"/>
              </w:rPr>
              <w:t>抑</w:t>
            </w:r>
            <w:r>
              <w:rPr>
                <w:spacing w:val="-6"/>
                <w:sz w:val="21"/>
                <w:vertAlign w:val="baseline"/>
              </w:rPr>
              <w:t>制剂</w:t>
            </w:r>
          </w:p>
        </w:tc>
        <w:tc>
          <w:tcPr>
            <w:tcW w:w="1385" w:type="dxa"/>
          </w:tcPr>
          <w:p>
            <w:pPr>
              <w:pStyle w:val="TableParagraph"/>
              <w:spacing w:line="276" w:lineRule="auto" w:before="36"/>
              <w:ind w:left="106" w:right="216"/>
              <w:jc w:val="both"/>
              <w:rPr>
                <w:sz w:val="21"/>
              </w:rPr>
            </w:pPr>
            <w:r>
              <w:rPr>
                <w:spacing w:val="-2"/>
                <w:sz w:val="21"/>
              </w:rPr>
              <w:t>仅允许作为 </w:t>
            </w:r>
            <w:r>
              <w:rPr>
                <w:rFonts w:ascii="Times New Roman" w:eastAsia="Times New Roman"/>
                <w:sz w:val="21"/>
              </w:rPr>
              <w:t>COPD</w:t>
            </w:r>
            <w:r>
              <w:rPr>
                <w:rFonts w:ascii="Times New Roman" w:eastAsia="Times New Roman"/>
                <w:spacing w:val="-14"/>
                <w:sz w:val="21"/>
              </w:rPr>
              <w:t> </w:t>
            </w:r>
            <w:r>
              <w:rPr>
                <w:sz w:val="21"/>
              </w:rPr>
              <w:t>的稳</w:t>
            </w:r>
            <w:r>
              <w:rPr>
                <w:spacing w:val="-2"/>
                <w:sz w:val="21"/>
              </w:rPr>
              <w:t>定维持疗法</w:t>
            </w:r>
          </w:p>
        </w:tc>
        <w:tc>
          <w:tcPr>
            <w:tcW w:w="4595" w:type="dxa"/>
          </w:tcPr>
          <w:p>
            <w:pPr>
              <w:pStyle w:val="TableParagraph"/>
              <w:spacing w:line="276" w:lineRule="auto" w:before="36"/>
              <w:ind w:left="106" w:right="77"/>
              <w:jc w:val="both"/>
              <w:rPr>
                <w:sz w:val="21"/>
              </w:rPr>
            </w:pPr>
            <w:r>
              <w:rPr>
                <w:spacing w:val="19"/>
                <w:sz w:val="21"/>
              </w:rPr>
              <w:t>如果受试者在前身研究中接受了稳定剂量的 </w:t>
            </w:r>
            <w:r>
              <w:rPr>
                <w:rFonts w:ascii="Times New Roman" w:eastAsia="Times New Roman"/>
                <w:sz w:val="21"/>
              </w:rPr>
              <w:t>PDE4 </w:t>
            </w:r>
            <w:r>
              <w:rPr>
                <w:sz w:val="21"/>
              </w:rPr>
              <w:t>抑制剂治疗，则允许在整个研究期间继续</w:t>
            </w:r>
            <w:r>
              <w:rPr>
                <w:spacing w:val="-2"/>
                <w:sz w:val="21"/>
              </w:rPr>
              <w:t>接受治疗。</w:t>
            </w:r>
          </w:p>
        </w:tc>
      </w:tr>
      <w:tr>
        <w:trPr>
          <w:trHeight w:val="1019" w:hRule="atLeast"/>
        </w:trPr>
        <w:tc>
          <w:tcPr>
            <w:tcW w:w="2777" w:type="dxa"/>
          </w:tcPr>
          <w:p>
            <w:pPr>
              <w:pStyle w:val="TableParagraph"/>
              <w:spacing w:line="276" w:lineRule="auto" w:before="36"/>
              <w:ind w:left="107" w:right="137"/>
              <w:rPr>
                <w:sz w:val="21"/>
              </w:rPr>
            </w:pPr>
            <w:r>
              <w:rPr>
                <w:spacing w:val="-2"/>
                <w:sz w:val="21"/>
              </w:rPr>
              <w:t>长期使用大环内酯类或其他抗生素治疗</w:t>
            </w:r>
          </w:p>
        </w:tc>
        <w:tc>
          <w:tcPr>
            <w:tcW w:w="1385" w:type="dxa"/>
          </w:tcPr>
          <w:p>
            <w:pPr>
              <w:pStyle w:val="TableParagraph"/>
              <w:spacing w:before="38"/>
              <w:ind w:left="106"/>
              <w:rPr>
                <w:sz w:val="21"/>
              </w:rPr>
            </w:pPr>
            <w:r>
              <w:rPr>
                <w:spacing w:val="-5"/>
                <w:sz w:val="21"/>
              </w:rPr>
              <w:t>限制</w:t>
            </w:r>
          </w:p>
        </w:tc>
        <w:tc>
          <w:tcPr>
            <w:tcW w:w="4595" w:type="dxa"/>
          </w:tcPr>
          <w:p>
            <w:pPr>
              <w:pStyle w:val="TableParagraph"/>
              <w:spacing w:line="276" w:lineRule="auto" w:before="36"/>
              <w:ind w:left="106" w:right="91"/>
              <w:jc w:val="both"/>
              <w:rPr>
                <w:sz w:val="21"/>
              </w:rPr>
            </w:pPr>
            <w:r>
              <w:rPr>
                <w:spacing w:val="6"/>
                <w:sz w:val="21"/>
              </w:rPr>
              <w:t>如果受试者在前身研究中接受了稳定剂量</w:t>
            </w:r>
            <w:r>
              <w:rPr>
                <w:rFonts w:ascii="Times New Roman" w:eastAsia="Times New Roman"/>
                <w:spacing w:val="6"/>
                <w:sz w:val="21"/>
              </w:rPr>
              <w:t>/</w:t>
            </w:r>
            <w:r>
              <w:rPr>
                <w:spacing w:val="-3"/>
                <w:sz w:val="21"/>
              </w:rPr>
              <w:t>给药</w:t>
            </w:r>
            <w:r>
              <w:rPr>
                <w:spacing w:val="7"/>
                <w:sz w:val="21"/>
              </w:rPr>
              <w:t>方案，并在整个研究期间继续接受治疗，则允许使用。</w:t>
            </w:r>
          </w:p>
        </w:tc>
      </w:tr>
      <w:tr>
        <w:trPr>
          <w:trHeight w:val="2026" w:hRule="atLeast"/>
        </w:trPr>
        <w:tc>
          <w:tcPr>
            <w:tcW w:w="2777" w:type="dxa"/>
          </w:tcPr>
          <w:p>
            <w:pPr>
              <w:pStyle w:val="TableParagraph"/>
              <w:spacing w:before="38"/>
              <w:ind w:left="107"/>
              <w:rPr>
                <w:sz w:val="21"/>
              </w:rPr>
            </w:pPr>
            <w:r>
              <w:rPr>
                <w:spacing w:val="-3"/>
                <w:sz w:val="21"/>
              </w:rPr>
              <w:t>黄嘌呤类</w:t>
            </w:r>
          </w:p>
        </w:tc>
        <w:tc>
          <w:tcPr>
            <w:tcW w:w="1385" w:type="dxa"/>
          </w:tcPr>
          <w:p>
            <w:pPr>
              <w:pStyle w:val="TableParagraph"/>
              <w:spacing w:before="38"/>
              <w:ind w:left="106"/>
              <w:rPr>
                <w:sz w:val="21"/>
              </w:rPr>
            </w:pPr>
            <w:r>
              <w:rPr>
                <w:spacing w:val="-5"/>
                <w:sz w:val="21"/>
              </w:rPr>
              <w:t>限制</w:t>
            </w:r>
          </w:p>
        </w:tc>
        <w:tc>
          <w:tcPr>
            <w:tcW w:w="4595" w:type="dxa"/>
          </w:tcPr>
          <w:p>
            <w:pPr>
              <w:pStyle w:val="TableParagraph"/>
              <w:numPr>
                <w:ilvl w:val="0"/>
                <w:numId w:val="27"/>
              </w:numPr>
              <w:tabs>
                <w:tab w:pos="531" w:val="left" w:leader="none"/>
              </w:tabs>
              <w:spacing w:line="273" w:lineRule="exact" w:before="36" w:after="0"/>
              <w:ind w:left="531" w:right="0" w:hanging="425"/>
              <w:jc w:val="left"/>
              <w:rPr>
                <w:sz w:val="21"/>
              </w:rPr>
            </w:pPr>
            <w:r>
              <w:rPr>
                <w:spacing w:val="24"/>
                <w:sz w:val="21"/>
              </w:rPr>
              <w:t>对于茶碱和氨茶碱， 剂量相当于茶碱</w:t>
            </w:r>
            <w:r>
              <w:rPr>
                <w:spacing w:val="-10"/>
                <w:sz w:val="21"/>
              </w:rPr>
              <w:t> </w:t>
            </w:r>
          </w:p>
          <w:p>
            <w:pPr>
              <w:pStyle w:val="TableParagraph"/>
              <w:ind w:left="531" w:right="57"/>
              <w:rPr>
                <w:sz w:val="21"/>
              </w:rPr>
            </w:pPr>
            <w:r>
              <w:rPr>
                <w:rFonts w:ascii="Times New Roman" w:hAnsi="Times New Roman" w:eastAsia="Times New Roman"/>
                <w:sz w:val="21"/>
              </w:rPr>
              <w:t>≤400 mg/</w:t>
            </w:r>
            <w:r>
              <w:rPr>
                <w:spacing w:val="5"/>
                <w:sz w:val="21"/>
              </w:rPr>
              <w:t>天和</w:t>
            </w:r>
            <w:r>
              <w:rPr>
                <w:rFonts w:ascii="Times New Roman" w:hAnsi="Times New Roman" w:eastAsia="Times New Roman"/>
                <w:spacing w:val="10"/>
                <w:sz w:val="21"/>
              </w:rPr>
              <w:t>/</w:t>
            </w:r>
            <w:r>
              <w:rPr>
                <w:sz w:val="21"/>
              </w:rPr>
              <w:t>或血清药物水平应确认在治</w:t>
            </w:r>
            <w:r>
              <w:rPr>
                <w:spacing w:val="39"/>
                <w:sz w:val="21"/>
              </w:rPr>
              <w:t>疗范围内</w:t>
            </w:r>
            <w:r>
              <w:rPr>
                <w:sz w:val="21"/>
              </w:rPr>
              <w:t>（</w:t>
            </w:r>
            <w:r>
              <w:rPr>
                <w:spacing w:val="23"/>
                <w:sz w:val="21"/>
              </w:rPr>
              <w:t> 建议进行血液检查以确认</w:t>
            </w:r>
            <w:r>
              <w:rPr>
                <w:spacing w:val="-10"/>
                <w:sz w:val="21"/>
              </w:rPr>
              <w:t> </w:t>
            </w:r>
          </w:p>
          <w:p>
            <w:pPr>
              <w:pStyle w:val="TableParagraph"/>
              <w:spacing w:line="272" w:lineRule="exact"/>
              <w:ind w:left="531"/>
              <w:rPr>
                <w:sz w:val="21"/>
              </w:rPr>
            </w:pPr>
            <w:r>
              <w:rPr>
                <w:rFonts w:ascii="Times New Roman" w:eastAsia="Times New Roman"/>
                <w:sz w:val="21"/>
              </w:rPr>
              <w:t>&lt;12</w:t>
            </w:r>
            <w:r>
              <w:rPr>
                <w:rFonts w:ascii="Times New Roman" w:eastAsia="Times New Roman"/>
                <w:spacing w:val="-3"/>
                <w:sz w:val="21"/>
              </w:rPr>
              <w:t> </w:t>
            </w:r>
            <w:r>
              <w:rPr>
                <w:rFonts w:ascii="Times New Roman" w:eastAsia="Times New Roman"/>
                <w:sz w:val="21"/>
              </w:rPr>
              <w:t>mg/dL</w:t>
            </w:r>
            <w:r>
              <w:rPr>
                <w:sz w:val="21"/>
              </w:rPr>
              <w:t>）</w:t>
            </w:r>
            <w:r>
              <w:rPr>
                <w:spacing w:val="-10"/>
                <w:sz w:val="21"/>
              </w:rPr>
              <w:t>。</w:t>
            </w:r>
          </w:p>
          <w:p>
            <w:pPr>
              <w:pStyle w:val="TableParagraph"/>
              <w:numPr>
                <w:ilvl w:val="0"/>
                <w:numId w:val="27"/>
              </w:numPr>
              <w:tabs>
                <w:tab w:pos="531" w:val="left" w:leader="none"/>
              </w:tabs>
              <w:spacing w:line="240" w:lineRule="auto" w:before="41" w:after="0"/>
              <w:ind w:left="531" w:right="99" w:hanging="425"/>
              <w:jc w:val="both"/>
              <w:rPr>
                <w:sz w:val="21"/>
              </w:rPr>
            </w:pPr>
            <w:r>
              <w:rPr>
                <w:sz w:val="21"/>
              </w:rPr>
              <w:t>允许使用其他黄嘌呤类药物，前提是剂量不超过当地批准的最大剂量，并采取推荐</w:t>
            </w:r>
            <w:r>
              <w:rPr>
                <w:spacing w:val="-2"/>
                <w:sz w:val="21"/>
              </w:rPr>
              <w:t>的预防措施。</w:t>
            </w:r>
          </w:p>
        </w:tc>
      </w:tr>
      <w:tr>
        <w:trPr>
          <w:trHeight w:val="393" w:hRule="atLeast"/>
        </w:trPr>
        <w:tc>
          <w:tcPr>
            <w:tcW w:w="2777" w:type="dxa"/>
          </w:tcPr>
          <w:p>
            <w:pPr>
              <w:pStyle w:val="TableParagraph"/>
              <w:spacing w:before="38"/>
              <w:ind w:left="107"/>
              <w:rPr>
                <w:sz w:val="21"/>
              </w:rPr>
            </w:pPr>
            <w:r>
              <w:rPr>
                <w:spacing w:val="-5"/>
                <w:sz w:val="21"/>
              </w:rPr>
              <w:t>大麻</w:t>
            </w:r>
          </w:p>
        </w:tc>
        <w:tc>
          <w:tcPr>
            <w:tcW w:w="1385" w:type="dxa"/>
          </w:tcPr>
          <w:p>
            <w:pPr>
              <w:pStyle w:val="TableParagraph"/>
              <w:spacing w:before="38"/>
              <w:ind w:left="106"/>
              <w:rPr>
                <w:sz w:val="21"/>
              </w:rPr>
            </w:pPr>
            <w:r>
              <w:rPr>
                <w:spacing w:val="-5"/>
                <w:sz w:val="21"/>
              </w:rPr>
              <w:t>禁止</w:t>
            </w:r>
          </w:p>
        </w:tc>
        <w:tc>
          <w:tcPr>
            <w:tcW w:w="4595" w:type="dxa"/>
          </w:tcPr>
          <w:p>
            <w:pPr>
              <w:pStyle w:val="TableParagraph"/>
              <w:spacing w:before="38"/>
              <w:ind w:left="106"/>
              <w:rPr>
                <w:sz w:val="21"/>
              </w:rPr>
            </w:pPr>
            <w:r>
              <w:rPr>
                <w:spacing w:val="-1"/>
                <w:sz w:val="21"/>
              </w:rPr>
              <w:t>治疗期间不允许吸食大麻。</w:t>
            </w:r>
          </w:p>
        </w:tc>
      </w:tr>
      <w:tr>
        <w:trPr>
          <w:trHeight w:val="393" w:hRule="atLeast"/>
        </w:trPr>
        <w:tc>
          <w:tcPr>
            <w:tcW w:w="2777" w:type="dxa"/>
          </w:tcPr>
          <w:p>
            <w:pPr>
              <w:pStyle w:val="TableParagraph"/>
              <w:spacing w:before="38"/>
              <w:ind w:left="107"/>
              <w:rPr>
                <w:sz w:val="21"/>
              </w:rPr>
            </w:pPr>
            <w:r>
              <w:rPr>
                <w:spacing w:val="-2"/>
                <w:sz w:val="21"/>
              </w:rPr>
              <w:t>非肠道草药或中药</w:t>
            </w:r>
          </w:p>
        </w:tc>
        <w:tc>
          <w:tcPr>
            <w:tcW w:w="1385" w:type="dxa"/>
          </w:tcPr>
          <w:p>
            <w:pPr>
              <w:pStyle w:val="TableParagraph"/>
              <w:spacing w:before="38"/>
              <w:ind w:left="106"/>
              <w:rPr>
                <w:sz w:val="21"/>
              </w:rPr>
            </w:pPr>
            <w:r>
              <w:rPr>
                <w:spacing w:val="-5"/>
                <w:sz w:val="21"/>
              </w:rPr>
              <w:t>禁止</w:t>
            </w:r>
          </w:p>
        </w:tc>
        <w:tc>
          <w:tcPr>
            <w:tcW w:w="4595" w:type="dxa"/>
          </w:tcPr>
          <w:p>
            <w:pPr>
              <w:pStyle w:val="TableParagraph"/>
              <w:spacing w:before="38"/>
              <w:ind w:left="106"/>
              <w:rPr>
                <w:sz w:val="21"/>
              </w:rPr>
            </w:pPr>
            <w:r>
              <w:rPr>
                <w:spacing w:val="-1"/>
                <w:sz w:val="21"/>
              </w:rPr>
              <w:t>不允许使用任何非肠道草药或中药。</w:t>
            </w:r>
          </w:p>
        </w:tc>
      </w:tr>
      <w:tr>
        <w:trPr>
          <w:trHeight w:val="706" w:hRule="atLeast"/>
        </w:trPr>
        <w:tc>
          <w:tcPr>
            <w:tcW w:w="2777" w:type="dxa"/>
          </w:tcPr>
          <w:p>
            <w:pPr>
              <w:pStyle w:val="TableParagraph"/>
              <w:spacing w:before="38"/>
              <w:ind w:left="107"/>
              <w:rPr>
                <w:sz w:val="21"/>
              </w:rPr>
            </w:pPr>
            <w:r>
              <w:rPr>
                <w:spacing w:val="-2"/>
                <w:sz w:val="21"/>
              </w:rPr>
              <w:t>口服草药或中药</w:t>
            </w:r>
          </w:p>
        </w:tc>
        <w:tc>
          <w:tcPr>
            <w:tcW w:w="1385" w:type="dxa"/>
          </w:tcPr>
          <w:p>
            <w:pPr>
              <w:pStyle w:val="TableParagraph"/>
              <w:spacing w:before="38"/>
              <w:ind w:left="106"/>
              <w:rPr>
                <w:sz w:val="21"/>
              </w:rPr>
            </w:pPr>
            <w:r>
              <w:rPr>
                <w:spacing w:val="-5"/>
                <w:sz w:val="21"/>
              </w:rPr>
              <w:t>限制</w:t>
            </w:r>
          </w:p>
        </w:tc>
        <w:tc>
          <w:tcPr>
            <w:tcW w:w="4595" w:type="dxa"/>
          </w:tcPr>
          <w:p>
            <w:pPr>
              <w:pStyle w:val="TableParagraph"/>
              <w:spacing w:line="276" w:lineRule="auto" w:before="36"/>
              <w:ind w:left="106" w:right="100"/>
              <w:rPr>
                <w:sz w:val="21"/>
              </w:rPr>
            </w:pPr>
            <w:r>
              <w:rPr>
                <w:spacing w:val="7"/>
                <w:sz w:val="21"/>
              </w:rPr>
              <w:t>不建议口服草药或中药，如果预期出现任何毒性，应咨询申办者研究医生。</w:t>
            </w:r>
          </w:p>
        </w:tc>
      </w:tr>
    </w:tbl>
    <w:p>
      <w:pPr>
        <w:spacing w:line="259" w:lineRule="auto" w:before="41"/>
        <w:ind w:left="221" w:right="148" w:firstLine="0"/>
        <w:jc w:val="left"/>
        <w:rPr>
          <w:sz w:val="21"/>
        </w:rPr>
      </w:pPr>
      <w:r>
        <w:rPr>
          <w:rFonts w:ascii="Times New Roman" w:hAnsi="Times New Roman" w:eastAsia="Times New Roman"/>
          <w:sz w:val="21"/>
        </w:rPr>
        <w:t>AE</w:t>
      </w:r>
      <w:r>
        <w:rPr>
          <w:sz w:val="21"/>
        </w:rPr>
        <w:t>，不良事件；</w:t>
      </w:r>
      <w:r>
        <w:rPr>
          <w:rFonts w:ascii="Times New Roman" w:hAnsi="Times New Roman" w:eastAsia="Times New Roman"/>
          <w:sz w:val="21"/>
        </w:rPr>
        <w:t>COPD</w:t>
      </w:r>
      <w:r>
        <w:rPr>
          <w:sz w:val="21"/>
        </w:rPr>
        <w:t>，慢性阻塞性肺疾病；</w:t>
      </w:r>
      <w:r>
        <w:rPr>
          <w:rFonts w:ascii="Times New Roman" w:hAnsi="Times New Roman" w:eastAsia="Times New Roman"/>
          <w:sz w:val="21"/>
        </w:rPr>
        <w:t>COVID-19</w:t>
      </w:r>
      <w:r>
        <w:rPr>
          <w:sz w:val="21"/>
        </w:rPr>
        <w:t>，</w:t>
      </w:r>
      <w:r>
        <w:rPr>
          <w:rFonts w:ascii="Times New Roman" w:hAnsi="Times New Roman" w:eastAsia="Times New Roman"/>
          <w:sz w:val="21"/>
        </w:rPr>
        <w:t>2019</w:t>
      </w:r>
      <w:r>
        <w:rPr>
          <w:rFonts w:ascii="Times New Roman" w:hAnsi="Times New Roman" w:eastAsia="Times New Roman"/>
          <w:spacing w:val="40"/>
          <w:sz w:val="21"/>
        </w:rPr>
        <w:t> </w:t>
      </w:r>
      <w:r>
        <w:rPr>
          <w:sz w:val="21"/>
        </w:rPr>
        <w:t>冠状病毒疾病；</w:t>
      </w:r>
      <w:r>
        <w:rPr>
          <w:rFonts w:ascii="Times New Roman" w:hAnsi="Times New Roman" w:eastAsia="Times New Roman"/>
          <w:sz w:val="21"/>
        </w:rPr>
        <w:t>eCRF</w:t>
      </w:r>
      <w:r>
        <w:rPr>
          <w:sz w:val="21"/>
        </w:rPr>
        <w:t>，电子病</w:t>
      </w:r>
      <w:r>
        <w:rPr>
          <w:spacing w:val="40"/>
          <w:sz w:val="21"/>
        </w:rPr>
        <w:t> </w:t>
      </w:r>
      <w:r>
        <w:rPr>
          <w:sz w:val="21"/>
        </w:rPr>
        <w:t>例报告表；</w:t>
      </w:r>
      <w:r>
        <w:rPr>
          <w:rFonts w:ascii="Times New Roman" w:hAnsi="Times New Roman" w:eastAsia="Times New Roman"/>
          <w:sz w:val="21"/>
        </w:rPr>
        <w:t>ICS</w:t>
      </w:r>
      <w:r>
        <w:rPr>
          <w:sz w:val="21"/>
        </w:rPr>
        <w:t>，吸入性皮质类固醇；</w:t>
      </w:r>
      <w:r>
        <w:rPr>
          <w:rFonts w:ascii="Times New Roman" w:hAnsi="Times New Roman" w:eastAsia="Times New Roman"/>
          <w:sz w:val="21"/>
        </w:rPr>
        <w:t>IP</w:t>
      </w:r>
      <w:r>
        <w:rPr>
          <w:sz w:val="21"/>
        </w:rPr>
        <w:t>，研究药物；</w:t>
      </w:r>
      <w:r>
        <w:rPr>
          <w:rFonts w:ascii="Times New Roman" w:hAnsi="Times New Roman" w:eastAsia="Times New Roman"/>
          <w:sz w:val="21"/>
        </w:rPr>
        <w:t>LABA</w:t>
      </w:r>
      <w:r>
        <w:rPr>
          <w:sz w:val="21"/>
        </w:rPr>
        <w:t>，长效 </w:t>
      </w:r>
      <w:r>
        <w:rPr>
          <w:rFonts w:ascii="Times New Roman" w:hAnsi="Times New Roman" w:eastAsia="Times New Roman"/>
          <w:sz w:val="21"/>
        </w:rPr>
        <w:t>β</w:t>
      </w:r>
      <w:r>
        <w:rPr>
          <w:rFonts w:ascii="Times New Roman" w:hAnsi="Times New Roman" w:eastAsia="Times New Roman"/>
          <w:spacing w:val="36"/>
          <w:sz w:val="21"/>
        </w:rPr>
        <w:t> </w:t>
      </w:r>
      <w:r>
        <w:rPr>
          <w:sz w:val="21"/>
        </w:rPr>
        <w:t>受体激动剂；</w:t>
      </w:r>
      <w:r>
        <w:rPr>
          <w:rFonts w:ascii="Times New Roman" w:hAnsi="Times New Roman" w:eastAsia="Times New Roman"/>
          <w:sz w:val="21"/>
        </w:rPr>
        <w:t>LAMA</w:t>
      </w:r>
      <w:r>
        <w:rPr>
          <w:sz w:val="21"/>
        </w:rPr>
        <w:t>，长效毒蕈碱拮抗剂；</w:t>
      </w:r>
      <w:r>
        <w:rPr>
          <w:rFonts w:ascii="Times New Roman" w:hAnsi="Times New Roman" w:eastAsia="Times New Roman"/>
          <w:sz w:val="21"/>
        </w:rPr>
        <w:t>NA</w:t>
      </w:r>
      <w:r>
        <w:rPr>
          <w:sz w:val="21"/>
        </w:rPr>
        <w:t>，不适用；</w:t>
      </w:r>
      <w:r>
        <w:rPr>
          <w:rFonts w:ascii="Times New Roman" w:hAnsi="Times New Roman" w:eastAsia="Times New Roman"/>
          <w:sz w:val="21"/>
        </w:rPr>
        <w:t>PDE4</w:t>
      </w:r>
      <w:r>
        <w:rPr>
          <w:sz w:val="21"/>
        </w:rPr>
        <w:t>，磷酸二酯酶</w:t>
      </w:r>
      <w:r>
        <w:rPr>
          <w:rFonts w:ascii="Times New Roman" w:hAnsi="Times New Roman" w:eastAsia="Times New Roman"/>
          <w:sz w:val="21"/>
        </w:rPr>
        <w:t>-4</w:t>
      </w:r>
      <w:r>
        <w:rPr>
          <w:sz w:val="21"/>
        </w:rPr>
        <w:t>；</w:t>
      </w:r>
      <w:r>
        <w:rPr>
          <w:rFonts w:ascii="Times New Roman" w:hAnsi="Times New Roman" w:eastAsia="Times New Roman"/>
          <w:sz w:val="21"/>
        </w:rPr>
        <w:t>PRN</w:t>
      </w:r>
      <w:r>
        <w:rPr>
          <w:sz w:val="21"/>
        </w:rPr>
        <w:t>，</w:t>
      </w:r>
      <w:r>
        <w:rPr>
          <w:rFonts w:ascii="Times New Roman" w:hAnsi="Times New Roman" w:eastAsia="Times New Roman"/>
          <w:sz w:val="21"/>
        </w:rPr>
        <w:t>pro re nata</w:t>
      </w:r>
      <w:r>
        <w:rPr>
          <w:sz w:val="21"/>
        </w:rPr>
        <w:t>（按照要求）；</w:t>
      </w:r>
      <w:r>
        <w:rPr>
          <w:rFonts w:ascii="Times New Roman" w:hAnsi="Times New Roman" w:eastAsia="Times New Roman"/>
          <w:sz w:val="21"/>
        </w:rPr>
        <w:t>SABA</w:t>
      </w:r>
      <w:r>
        <w:rPr>
          <w:sz w:val="21"/>
        </w:rPr>
        <w:t>，速</w:t>
      </w:r>
      <w:r>
        <w:rPr>
          <w:spacing w:val="-12"/>
          <w:sz w:val="21"/>
        </w:rPr>
        <w:t>效 </w:t>
      </w:r>
      <w:r>
        <w:rPr>
          <w:rFonts w:ascii="Times New Roman" w:hAnsi="Times New Roman" w:eastAsia="Times New Roman"/>
          <w:sz w:val="21"/>
        </w:rPr>
        <w:t>β2 </w:t>
      </w:r>
      <w:r>
        <w:rPr>
          <w:sz w:val="21"/>
        </w:rPr>
        <w:t>受体激动剂；</w:t>
      </w:r>
      <w:r>
        <w:rPr>
          <w:rFonts w:ascii="Times New Roman" w:hAnsi="Times New Roman" w:eastAsia="Times New Roman"/>
          <w:sz w:val="21"/>
        </w:rPr>
        <w:t>SAMA</w:t>
      </w:r>
      <w:r>
        <w:rPr>
          <w:sz w:val="21"/>
        </w:rPr>
        <w:t>，速效毒蕈碱拮抗剂；</w:t>
      </w:r>
      <w:r>
        <w:rPr>
          <w:rFonts w:ascii="Times New Roman" w:hAnsi="Times New Roman" w:eastAsia="Times New Roman"/>
          <w:sz w:val="21"/>
        </w:rPr>
        <w:t>SARS-CoV 2</w:t>
      </w:r>
      <w:r>
        <w:rPr>
          <w:sz w:val="21"/>
        </w:rPr>
        <w:t>，重度急性呼吸综合征冠状病毒 </w:t>
      </w:r>
      <w:r>
        <w:rPr>
          <w:rFonts w:ascii="Times New Roman" w:hAnsi="Times New Roman" w:eastAsia="Times New Roman"/>
          <w:sz w:val="21"/>
        </w:rPr>
        <w:t>2 </w:t>
      </w:r>
      <w:r>
        <w:rPr>
          <w:spacing w:val="-6"/>
          <w:sz w:val="21"/>
        </w:rPr>
        <w:t>型。</w:t>
      </w:r>
    </w:p>
    <w:p>
      <w:pPr>
        <w:pStyle w:val="BodyText"/>
        <w:spacing w:before="158"/>
        <w:ind w:left="0"/>
        <w:rPr>
          <w:sz w:val="21"/>
        </w:rPr>
      </w:pPr>
    </w:p>
    <w:p>
      <w:pPr>
        <w:pStyle w:val="Heading2"/>
        <w:numPr>
          <w:ilvl w:val="2"/>
          <w:numId w:val="3"/>
        </w:numPr>
        <w:tabs>
          <w:tab w:pos="1373" w:val="left" w:leader="none"/>
        </w:tabs>
        <w:spacing w:line="240" w:lineRule="auto" w:before="0" w:after="0"/>
        <w:ind w:left="1373" w:right="0" w:hanging="1152"/>
        <w:jc w:val="left"/>
      </w:pPr>
      <w:bookmarkStart w:name="6.5.5 COVID-19疫苗接种" w:id="136"/>
      <w:bookmarkEnd w:id="136"/>
      <w:r>
        <w:rPr>
          <w:b w:val="0"/>
        </w:rPr>
      </w:r>
      <w:bookmarkStart w:name="_bookmark70" w:id="137"/>
      <w:bookmarkEnd w:id="137"/>
      <w:r>
        <w:rPr>
          <w:b w:val="0"/>
        </w:rPr>
      </w:r>
      <w:r>
        <w:rPr>
          <w:rFonts w:ascii="Times New Roman" w:eastAsia="Times New Roman"/>
          <w:spacing w:val="-2"/>
        </w:rPr>
        <w:t>COVID-19 </w:t>
      </w:r>
      <w:r>
        <w:rPr>
          <w:spacing w:val="-4"/>
        </w:rPr>
        <w:t>疫苗接种</w:t>
      </w:r>
    </w:p>
    <w:p>
      <w:pPr>
        <w:pStyle w:val="BodyText"/>
        <w:spacing w:line="276" w:lineRule="auto" w:before="120"/>
        <w:ind w:right="360" w:firstLine="480"/>
        <w:jc w:val="both"/>
      </w:pPr>
      <w:r>
        <w:rPr/>
        <w:t>没有临床数据可用于评估 </w:t>
      </w:r>
      <w:r>
        <w:rPr>
          <w:rFonts w:ascii="Times New Roman" w:eastAsia="Times New Roman"/>
        </w:rPr>
        <w:t>tozorakimab </w:t>
      </w:r>
      <w:r>
        <w:rPr/>
        <w:t>与任何 </w:t>
      </w:r>
      <w:r>
        <w:rPr>
          <w:rFonts w:ascii="Times New Roman" w:eastAsia="Times New Roman"/>
        </w:rPr>
        <w:t>COVID-19 </w:t>
      </w:r>
      <w:r>
        <w:rPr/>
        <w:t>疫苗的相互作用（如</w:t>
      </w:r>
      <w:r>
        <w:rPr>
          <w:spacing w:val="-4"/>
        </w:rPr>
        <w:t>有）。</w:t>
      </w:r>
    </w:p>
    <w:p>
      <w:pPr>
        <w:pStyle w:val="BodyText"/>
        <w:spacing w:line="276" w:lineRule="auto" w:before="239"/>
        <w:ind w:right="363" w:firstLine="480"/>
        <w:jc w:val="both"/>
      </w:pPr>
      <w:r>
        <w:rPr>
          <w:spacing w:val="8"/>
        </w:rPr>
        <w:t>在疫苗可用、且根据适用指南受试者符合接种条件情况下，申办者同意针对</w:t>
      </w:r>
      <w:r>
        <w:rPr/>
        <w:t> </w:t>
      </w:r>
      <w:r>
        <w:rPr>
          <w:rFonts w:ascii="Times New Roman" w:eastAsia="Times New Roman"/>
        </w:rPr>
        <w:t>COVID-19 </w:t>
      </w:r>
      <w:r>
        <w:rPr/>
        <w:t>的疫苗接种符合受试者的最大利益。因此，研究期间接种疫苗通常是允</w:t>
      </w:r>
      <w:r>
        <w:rPr>
          <w:spacing w:val="-2"/>
        </w:rPr>
        <w:t>许的，并且应尽量减少因参与研究而导致的疫苗接种延迟。</w:t>
      </w:r>
    </w:p>
    <w:p>
      <w:pPr>
        <w:spacing w:after="0" w:line="276" w:lineRule="auto"/>
        <w:jc w:val="both"/>
        <w:sectPr>
          <w:pgSz w:w="11910" w:h="16840"/>
          <w:pgMar w:header="590" w:footer="784" w:top="1340" w:bottom="980" w:left="1480" w:right="1080"/>
        </w:sectPr>
      </w:pPr>
    </w:p>
    <w:p>
      <w:pPr>
        <w:pStyle w:val="BodyText"/>
        <w:spacing w:before="88"/>
        <w:ind w:left="701"/>
      </w:pPr>
      <w:r>
        <w:rPr>
          <w:spacing w:val="1"/>
        </w:rPr>
        <w:t>为了确保安全性数据的可解释性，在任何 </w:t>
      </w:r>
      <w:r>
        <w:rPr>
          <w:rFonts w:ascii="Times New Roman" w:eastAsia="Times New Roman"/>
        </w:rPr>
        <w:t>IP</w:t>
      </w:r>
      <w:r>
        <w:rPr>
          <w:rFonts w:ascii="Times New Roman" w:eastAsia="Times New Roman"/>
          <w:spacing w:val="51"/>
        </w:rPr>
        <w:t> </w:t>
      </w:r>
      <w:r>
        <w:rPr>
          <w:spacing w:val="2"/>
        </w:rPr>
        <w:t>给药之前或之后 </w:t>
      </w:r>
      <w:r>
        <w:rPr>
          <w:rFonts w:ascii="Times New Roman" w:eastAsia="Times New Roman"/>
        </w:rPr>
        <w:t>7</w:t>
      </w:r>
      <w:r>
        <w:rPr>
          <w:rFonts w:ascii="Times New Roman" w:eastAsia="Times New Roman"/>
          <w:spacing w:val="51"/>
        </w:rPr>
        <w:t> </w:t>
      </w:r>
      <w:r>
        <w:rPr>
          <w:spacing w:val="-2"/>
        </w:rPr>
        <w:t>天内禁止接种</w:t>
      </w:r>
    </w:p>
    <w:p>
      <w:pPr>
        <w:pStyle w:val="BodyText"/>
        <w:spacing w:before="45"/>
      </w:pPr>
      <w:r>
        <w:rPr>
          <w:rFonts w:ascii="Times New Roman" w:eastAsia="Times New Roman"/>
          <w:spacing w:val="-2"/>
        </w:rPr>
        <w:t>COVID-19</w:t>
      </w:r>
      <w:r>
        <w:rPr>
          <w:rFonts w:ascii="Times New Roman" w:eastAsia="Times New Roman"/>
          <w:spacing w:val="26"/>
        </w:rPr>
        <w:t> </w:t>
      </w:r>
      <w:r>
        <w:rPr>
          <w:spacing w:val="-2"/>
        </w:rPr>
        <w:t>疫苗（第一次或任何后续剂量）</w:t>
      </w:r>
      <w:r>
        <w:rPr>
          <w:spacing w:val="-10"/>
        </w:rPr>
        <w:t>。</w:t>
      </w:r>
    </w:p>
    <w:p>
      <w:pPr>
        <w:pStyle w:val="BodyText"/>
        <w:spacing w:line="276" w:lineRule="auto" w:before="287"/>
        <w:ind w:right="121" w:firstLine="480"/>
      </w:pPr>
      <w:r>
        <w:rPr>
          <w:spacing w:val="-1"/>
        </w:rPr>
        <w:t>对于所有研究受试者，研究期间 </w:t>
      </w:r>
      <w:r>
        <w:rPr>
          <w:rFonts w:ascii="Times New Roman" w:eastAsia="Times New Roman"/>
        </w:rPr>
        <w:t>COVID-19</w:t>
      </w:r>
      <w:r>
        <w:rPr>
          <w:rFonts w:ascii="Times New Roman" w:eastAsia="Times New Roman"/>
          <w:spacing w:val="31"/>
        </w:rPr>
        <w:t> </w:t>
      </w:r>
      <w:r>
        <w:rPr/>
        <w:t>疫苗接种应记录在受试者的病历中，并作为合并用药记录在 </w:t>
      </w:r>
      <w:r>
        <w:rPr>
          <w:rFonts w:ascii="Times New Roman" w:eastAsia="Times New Roman"/>
        </w:rPr>
        <w:t>eCRF</w:t>
      </w:r>
      <w:r>
        <w:rPr>
          <w:rFonts w:ascii="Times New Roman" w:eastAsia="Times New Roman"/>
          <w:spacing w:val="40"/>
        </w:rPr>
        <w:t> </w:t>
      </w:r>
      <w:r>
        <w:rPr/>
        <w:t>中，包括日期、剂量、商品名、剂量顺序编号（例如，第一剂、第二剂等）和接种部位（如适用）（例如，</w:t>
      </w:r>
      <w:r>
        <w:rPr>
          <w:rFonts w:ascii="Times New Roman" w:eastAsia="Times New Roman"/>
        </w:rPr>
        <w:t>Pfizer-BioNTech</w:t>
      </w:r>
      <w:r>
        <w:rPr>
          <w:rFonts w:ascii="Times New Roman" w:eastAsia="Times New Roman"/>
          <w:spacing w:val="40"/>
        </w:rPr>
        <w:t> </w:t>
      </w:r>
      <w:r>
        <w:rPr>
          <w:rFonts w:ascii="Times New Roman" w:eastAsia="Times New Roman"/>
        </w:rPr>
        <w:t>COVID-19</w:t>
      </w:r>
      <w:r>
        <w:rPr>
          <w:rFonts w:ascii="Times New Roman" w:eastAsia="Times New Roman"/>
          <w:spacing w:val="40"/>
        </w:rPr>
        <w:t> </w:t>
      </w:r>
      <w:r>
        <w:rPr/>
        <w:t>疫</w:t>
      </w:r>
      <w:r>
        <w:rPr/>
        <w:t> 苗，第一剂，左三角肌）相关数据。如果受试者在参加研究期间接种了 </w:t>
      </w:r>
      <w:r>
        <w:rPr>
          <w:rFonts w:ascii="Times New Roman" w:eastAsia="Times New Roman"/>
        </w:rPr>
        <w:t>COVID-19</w:t>
      </w:r>
      <w:r>
        <w:rPr/>
        <w:t>疫</w:t>
      </w:r>
      <w:r>
        <w:rPr>
          <w:spacing w:val="-2"/>
        </w:rPr>
        <w:t>苗，并且在接种疫苗后观察到注射部位反应，则应记录接种部位。</w:t>
      </w:r>
    </w:p>
    <w:p>
      <w:pPr>
        <w:pStyle w:val="BodyText"/>
        <w:spacing w:line="276" w:lineRule="auto" w:before="236"/>
        <w:ind w:right="358" w:firstLine="480"/>
      </w:pPr>
      <w:r>
        <w:rPr>
          <w:spacing w:val="-5"/>
        </w:rPr>
        <w:t>任何疑似由疫苗接种引起的 </w:t>
      </w:r>
      <w:r>
        <w:rPr>
          <w:rFonts w:ascii="Times New Roman" w:eastAsia="Times New Roman"/>
        </w:rPr>
        <w:t>AE</w:t>
      </w:r>
      <w:r>
        <w:rPr>
          <w:rFonts w:ascii="Times New Roman" w:eastAsia="Times New Roman"/>
          <w:spacing w:val="-15"/>
        </w:rPr>
        <w:t> </w:t>
      </w:r>
      <w:r>
        <w:rPr>
          <w:spacing w:val="-10"/>
        </w:rPr>
        <w:t>都应记录在 </w:t>
      </w:r>
      <w:r>
        <w:rPr>
          <w:rFonts w:ascii="Times New Roman" w:eastAsia="Times New Roman"/>
        </w:rPr>
        <w:t>AE</w:t>
      </w:r>
      <w:r>
        <w:rPr>
          <w:rFonts w:ascii="Times New Roman" w:eastAsia="Times New Roman"/>
          <w:spacing w:val="-15"/>
        </w:rPr>
        <w:t> </w:t>
      </w:r>
      <w:r>
        <w:rPr>
          <w:spacing w:val="-8"/>
        </w:rPr>
        <w:t>表格中，包括与 </w:t>
      </w:r>
      <w:r>
        <w:rPr>
          <w:rFonts w:ascii="Times New Roman" w:eastAsia="Times New Roman"/>
        </w:rPr>
        <w:t>COVID-19</w:t>
      </w:r>
      <w:r>
        <w:rPr>
          <w:rFonts w:ascii="Times New Roman" w:eastAsia="Times New Roman"/>
          <w:spacing w:val="-15"/>
        </w:rPr>
        <w:t> </w:t>
      </w:r>
      <w:r>
        <w:rPr/>
        <w:t>疫苗</w:t>
      </w:r>
      <w:r>
        <w:rPr>
          <w:spacing w:val="-2"/>
        </w:rPr>
        <w:t>相关的因果关系评估。</w:t>
      </w:r>
    </w:p>
    <w:p>
      <w:pPr>
        <w:pStyle w:val="Heading1"/>
        <w:numPr>
          <w:ilvl w:val="1"/>
          <w:numId w:val="3"/>
        </w:numPr>
        <w:tabs>
          <w:tab w:pos="1355" w:val="left" w:leader="none"/>
        </w:tabs>
        <w:spacing w:line="240" w:lineRule="auto" w:before="239" w:after="0"/>
        <w:ind w:left="1355" w:right="0" w:hanging="1134"/>
        <w:jc w:val="left"/>
      </w:pPr>
      <w:bookmarkStart w:name="6.6 剂量调整-不适用" w:id="138"/>
      <w:bookmarkEnd w:id="138"/>
      <w:r>
        <w:rPr>
          <w:b w:val="0"/>
        </w:rPr>
      </w:r>
      <w:bookmarkStart w:name="_bookmark71" w:id="139"/>
      <w:bookmarkEnd w:id="139"/>
      <w:r>
        <w:rPr>
          <w:b w:val="0"/>
        </w:rPr>
      </w:r>
      <w:r>
        <w:rPr>
          <w:spacing w:val="-2"/>
        </w:rPr>
        <w:t>剂量调整</w:t>
      </w:r>
      <w:r>
        <w:rPr>
          <w:rFonts w:ascii="Times New Roman" w:eastAsia="Times New Roman"/>
          <w:spacing w:val="-2"/>
        </w:rPr>
        <w:t>-</w:t>
      </w:r>
      <w:r>
        <w:rPr>
          <w:spacing w:val="-5"/>
        </w:rPr>
        <w:t>不适用</w:t>
      </w:r>
    </w:p>
    <w:p>
      <w:pPr>
        <w:pStyle w:val="BodyText"/>
        <w:spacing w:before="118"/>
        <w:ind w:left="701"/>
      </w:pPr>
      <w:r>
        <w:rPr>
          <w:spacing w:val="-1"/>
        </w:rPr>
        <w:t>本方案不允许改变当前概述的给药方案。</w:t>
      </w:r>
    </w:p>
    <w:p>
      <w:pPr>
        <w:pStyle w:val="Heading1"/>
        <w:numPr>
          <w:ilvl w:val="1"/>
          <w:numId w:val="3"/>
        </w:numPr>
        <w:tabs>
          <w:tab w:pos="1355" w:val="left" w:leader="none"/>
        </w:tabs>
        <w:spacing w:line="240" w:lineRule="auto" w:before="286" w:after="0"/>
        <w:ind w:left="1355" w:right="0" w:hanging="1134"/>
        <w:jc w:val="left"/>
      </w:pPr>
      <w:bookmarkStart w:name="6.7 研究结束后的干预治疗" w:id="140"/>
      <w:bookmarkEnd w:id="140"/>
      <w:r>
        <w:rPr>
          <w:b w:val="0"/>
        </w:rPr>
      </w:r>
      <w:bookmarkStart w:name="_bookmark72" w:id="141"/>
      <w:bookmarkEnd w:id="141"/>
      <w:r>
        <w:rPr>
          <w:b w:val="0"/>
        </w:rPr>
      </w:r>
      <w:r>
        <w:rPr>
          <w:spacing w:val="-5"/>
        </w:rPr>
        <w:t>研究结束后的干预治疗</w:t>
      </w:r>
    </w:p>
    <w:p>
      <w:pPr>
        <w:pStyle w:val="BodyText"/>
        <w:spacing w:before="119"/>
        <w:ind w:left="701"/>
      </w:pPr>
      <w:r>
        <w:rPr/>
        <w:t>完成研究后，受试者应根据研究者</w:t>
      </w:r>
      <w:r>
        <w:rPr>
          <w:rFonts w:ascii="Times New Roman" w:eastAsia="Times New Roman"/>
        </w:rPr>
        <w:t>/</w:t>
      </w:r>
      <w:r>
        <w:rPr>
          <w:spacing w:val="-5"/>
        </w:rPr>
        <w:t>主治医生的判断在当地提供 </w:t>
      </w:r>
      <w:r>
        <w:rPr>
          <w:rFonts w:ascii="Times New Roman" w:eastAsia="Times New Roman"/>
        </w:rPr>
        <w:t>SoC</w:t>
      </w:r>
      <w:r>
        <w:rPr>
          <w:spacing w:val="-10"/>
        </w:rPr>
        <w:t>。</w:t>
      </w:r>
    </w:p>
    <w:p>
      <w:pPr>
        <w:pStyle w:val="Heading1"/>
        <w:numPr>
          <w:ilvl w:val="0"/>
          <w:numId w:val="3"/>
        </w:numPr>
        <w:tabs>
          <w:tab w:pos="1355" w:val="left" w:leader="none"/>
        </w:tabs>
        <w:spacing w:line="240" w:lineRule="auto" w:before="286" w:after="0"/>
        <w:ind w:left="1355" w:right="0" w:hanging="1134"/>
        <w:jc w:val="left"/>
      </w:pPr>
      <w:bookmarkStart w:name="7 中止研究药物和受试者终止/退出研究" w:id="142"/>
      <w:bookmarkEnd w:id="142"/>
      <w:r>
        <w:rPr>
          <w:b w:val="0"/>
        </w:rPr>
      </w:r>
      <w:bookmarkStart w:name="_bookmark73" w:id="143"/>
      <w:bookmarkEnd w:id="143"/>
      <w:r>
        <w:rPr>
          <w:b w:val="0"/>
        </w:rPr>
      </w:r>
      <w:r>
        <w:rPr>
          <w:spacing w:val="-2"/>
        </w:rPr>
        <w:t>中止研究药物和受试者终止</w:t>
      </w:r>
      <w:r>
        <w:rPr>
          <w:rFonts w:ascii="Times New Roman" w:eastAsia="Times New Roman"/>
          <w:spacing w:val="-2"/>
        </w:rPr>
        <w:t>/</w:t>
      </w:r>
      <w:r>
        <w:rPr>
          <w:spacing w:val="-4"/>
        </w:rPr>
        <w:t>退出研究</w:t>
      </w:r>
    </w:p>
    <w:p>
      <w:pPr>
        <w:pStyle w:val="Heading1"/>
        <w:numPr>
          <w:ilvl w:val="1"/>
          <w:numId w:val="3"/>
        </w:numPr>
        <w:tabs>
          <w:tab w:pos="1355" w:val="left" w:leader="none"/>
        </w:tabs>
        <w:spacing w:line="240" w:lineRule="auto" w:before="120" w:after="0"/>
        <w:ind w:left="1355" w:right="0" w:hanging="1134"/>
        <w:jc w:val="left"/>
      </w:pPr>
      <w:bookmarkStart w:name="7.1 中止研究药物" w:id="144"/>
      <w:bookmarkEnd w:id="144"/>
      <w:r>
        <w:rPr>
          <w:b w:val="0"/>
        </w:rPr>
      </w:r>
      <w:bookmarkStart w:name="_bookmark74" w:id="145"/>
      <w:bookmarkEnd w:id="145"/>
      <w:r>
        <w:rPr>
          <w:b w:val="0"/>
        </w:rPr>
      </w:r>
      <w:r>
        <w:rPr>
          <w:spacing w:val="-5"/>
        </w:rPr>
        <w:t>中止研究药物</w:t>
      </w:r>
    </w:p>
    <w:p>
      <w:pPr>
        <w:pStyle w:val="BodyText"/>
        <w:spacing w:before="119"/>
        <w:ind w:left="701"/>
        <w:rPr>
          <w:rFonts w:ascii="Times New Roman" w:eastAsia="Times New Roman"/>
        </w:rPr>
      </w:pPr>
      <w:r>
        <w:rPr>
          <w:spacing w:val="-10"/>
        </w:rPr>
        <w:t>中止 </w:t>
      </w:r>
      <w:r>
        <w:rPr>
          <w:rFonts w:ascii="Times New Roman" w:eastAsia="Times New Roman"/>
        </w:rPr>
        <w:t>IP</w:t>
      </w:r>
      <w:r>
        <w:rPr>
          <w:rFonts w:ascii="Times New Roman" w:eastAsia="Times New Roman"/>
          <w:spacing w:val="12"/>
        </w:rPr>
        <w:t> </w:t>
      </w:r>
      <w:r>
        <w:rPr>
          <w:spacing w:val="-2"/>
        </w:rPr>
        <w:t>治疗不会自动导致完全退出研究。如第 </w:t>
      </w:r>
      <w:hyperlink w:history="true" w:anchor="_bookmark75">
        <w:r>
          <w:rPr>
            <w:rFonts w:ascii="Times New Roman" w:eastAsia="Times New Roman"/>
            <w:color w:val="0000FF"/>
          </w:rPr>
          <w:t>7.1.1</w:t>
        </w:r>
      </w:hyperlink>
      <w:r>
        <w:rPr>
          <w:rFonts w:ascii="Times New Roman" w:eastAsia="Times New Roman"/>
          <w:color w:val="0000FF"/>
          <w:spacing w:val="13"/>
        </w:rPr>
        <w:t> </w:t>
      </w:r>
      <w:r>
        <w:rPr>
          <w:spacing w:val="-3"/>
        </w:rPr>
        <w:t>节所述，强烈建议终止 </w:t>
      </w:r>
      <w:r>
        <w:rPr>
          <w:rFonts w:ascii="Times New Roman" w:eastAsia="Times New Roman"/>
          <w:spacing w:val="-5"/>
        </w:rPr>
        <w:t>IP</w:t>
      </w:r>
    </w:p>
    <w:p>
      <w:pPr>
        <w:pStyle w:val="BodyText"/>
        <w:spacing w:before="46"/>
      </w:pPr>
      <w:r>
        <w:rPr>
          <w:spacing w:val="-1"/>
        </w:rPr>
        <w:t>治疗的受试者继续参与研究，直至治疗期结束。</w:t>
      </w:r>
    </w:p>
    <w:p>
      <w:pPr>
        <w:pStyle w:val="BodyText"/>
        <w:spacing w:line="276" w:lineRule="auto" w:before="285"/>
        <w:ind w:right="354" w:firstLine="480"/>
        <w:jc w:val="both"/>
      </w:pPr>
      <w:r>
        <w:rPr>
          <w:spacing w:val="-4"/>
        </w:rPr>
        <w:t>在决定中止受试者 </w:t>
      </w:r>
      <w:r>
        <w:rPr>
          <w:rFonts w:ascii="Times New Roman" w:eastAsia="Times New Roman"/>
        </w:rPr>
        <w:t>IP</w:t>
      </w:r>
      <w:r>
        <w:rPr>
          <w:rFonts w:ascii="Times New Roman" w:eastAsia="Times New Roman"/>
          <w:spacing w:val="-15"/>
        </w:rPr>
        <w:t> </w:t>
      </w:r>
      <w:r>
        <w:rPr>
          <w:spacing w:val="-2"/>
        </w:rPr>
        <w:t>治疗前，研究者应仔细考虑继续 </w:t>
      </w:r>
      <w:r>
        <w:rPr>
          <w:rFonts w:ascii="Times New Roman" w:eastAsia="Times New Roman"/>
        </w:rPr>
        <w:t>IP</w:t>
      </w:r>
      <w:r>
        <w:rPr>
          <w:rFonts w:ascii="Times New Roman" w:eastAsia="Times New Roman"/>
          <w:spacing w:val="-15"/>
        </w:rPr>
        <w:t> </w:t>
      </w:r>
      <w:r>
        <w:rPr>
          <w:spacing w:val="-5"/>
        </w:rPr>
        <w:t>治疗或中止 </w:t>
      </w:r>
      <w:r>
        <w:rPr>
          <w:rFonts w:ascii="Times New Roman" w:eastAsia="Times New Roman"/>
        </w:rPr>
        <w:t>IP</w:t>
      </w:r>
      <w:r>
        <w:rPr>
          <w:rFonts w:ascii="Times New Roman" w:eastAsia="Times New Roman"/>
          <w:spacing w:val="-6"/>
        </w:rPr>
        <w:t> </w:t>
      </w:r>
      <w:r>
        <w:rPr/>
        <w:t>治疗是</w:t>
      </w:r>
      <w:r>
        <w:rPr>
          <w:spacing w:val="-2"/>
        </w:rPr>
        <w:t>否符合受试者的最佳利益，以及是否可通过推迟或跳过给药剂量以缓解问题。建议</w:t>
      </w:r>
      <w:r>
        <w:rPr>
          <w:spacing w:val="-9"/>
        </w:rPr>
        <w:t>在进行 </w:t>
      </w:r>
      <w:r>
        <w:rPr>
          <w:rFonts w:ascii="Times New Roman" w:eastAsia="Times New Roman"/>
          <w:spacing w:val="-2"/>
        </w:rPr>
        <w:t>IP</w:t>
      </w:r>
      <w:r>
        <w:rPr>
          <w:rFonts w:ascii="Times New Roman" w:eastAsia="Times New Roman"/>
          <w:spacing w:val="-13"/>
        </w:rPr>
        <w:t> </w:t>
      </w:r>
      <w:r>
        <w:rPr>
          <w:spacing w:val="-3"/>
        </w:rPr>
        <w:t>中止行为前咨询申办者研究医生。如果出现安全性问题，必须立即暂停 </w:t>
      </w:r>
      <w:r>
        <w:rPr>
          <w:rFonts w:ascii="Times New Roman" w:eastAsia="Times New Roman"/>
          <w:spacing w:val="-2"/>
        </w:rPr>
        <w:t>IP</w:t>
      </w:r>
      <w:r>
        <w:rPr/>
        <w:t>给药，直至做出最终决定（</w:t>
      </w:r>
      <w:r>
        <w:rPr>
          <w:spacing w:val="-6"/>
        </w:rPr>
        <w:t>参见第 </w:t>
      </w:r>
      <w:hyperlink w:history="true" w:anchor="_bookmark50">
        <w:r>
          <w:rPr>
            <w:rFonts w:ascii="Times New Roman" w:eastAsia="Times New Roman"/>
            <w:color w:val="0000FF"/>
          </w:rPr>
          <w:t>6.1.2</w:t>
        </w:r>
      </w:hyperlink>
      <w:r>
        <w:rPr>
          <w:rFonts w:ascii="Times New Roman" w:eastAsia="Times New Roman"/>
          <w:color w:val="0000FF"/>
        </w:rPr>
        <w:t> </w:t>
      </w:r>
      <w:r>
        <w:rPr/>
        <w:t>节）。</w:t>
      </w:r>
    </w:p>
    <w:p>
      <w:pPr>
        <w:pStyle w:val="BodyText"/>
        <w:spacing w:before="237"/>
        <w:ind w:left="701"/>
      </w:pPr>
      <w:r>
        <w:rPr>
          <w:spacing w:val="-4"/>
        </w:rPr>
        <w:t>在以下情况下，受试者可能中止 </w:t>
      </w:r>
      <w:r>
        <w:rPr>
          <w:rFonts w:ascii="Times New Roman" w:eastAsia="Times New Roman"/>
        </w:rPr>
        <w:t>IP</w:t>
      </w:r>
      <w:r>
        <w:rPr>
          <w:rFonts w:ascii="Times New Roman" w:eastAsia="Times New Roman"/>
          <w:spacing w:val="-13"/>
        </w:rPr>
        <w:t> </w:t>
      </w:r>
      <w:r>
        <w:rPr>
          <w:spacing w:val="-4"/>
        </w:rPr>
        <w:t>治疗：</w:t>
      </w:r>
    </w:p>
    <w:p>
      <w:pPr>
        <w:pStyle w:val="ListParagraph"/>
        <w:numPr>
          <w:ilvl w:val="0"/>
          <w:numId w:val="28"/>
        </w:numPr>
        <w:tabs>
          <w:tab w:pos="646" w:val="left" w:leader="none"/>
        </w:tabs>
        <w:spacing w:line="240" w:lineRule="auto" w:before="287" w:after="0"/>
        <w:ind w:left="646" w:right="0" w:hanging="425"/>
        <w:jc w:val="left"/>
        <w:rPr>
          <w:sz w:val="24"/>
        </w:rPr>
      </w:pPr>
      <w:r>
        <w:rPr>
          <w:spacing w:val="-2"/>
          <w:sz w:val="24"/>
        </w:rPr>
        <w:t>受试者决定。</w:t>
      </w:r>
    </w:p>
    <w:p>
      <w:pPr>
        <w:pStyle w:val="ListParagraph"/>
        <w:numPr>
          <w:ilvl w:val="0"/>
          <w:numId w:val="28"/>
        </w:numPr>
        <w:tabs>
          <w:tab w:pos="646" w:val="left" w:leader="none"/>
        </w:tabs>
        <w:spacing w:line="240" w:lineRule="auto" w:before="105" w:after="0"/>
        <w:ind w:left="646" w:right="0" w:hanging="425"/>
        <w:jc w:val="left"/>
        <w:rPr>
          <w:sz w:val="24"/>
        </w:rPr>
      </w:pPr>
      <w:r>
        <w:rPr>
          <w:spacing w:val="-1"/>
          <w:sz w:val="24"/>
        </w:rPr>
        <w:t>研究者或申办者判断的对受试者的风险。</w:t>
      </w:r>
    </w:p>
    <w:p>
      <w:pPr>
        <w:pStyle w:val="ListParagraph"/>
        <w:numPr>
          <w:ilvl w:val="0"/>
          <w:numId w:val="28"/>
        </w:numPr>
        <w:tabs>
          <w:tab w:pos="646" w:val="left" w:leader="none"/>
        </w:tabs>
        <w:spacing w:line="240" w:lineRule="auto" w:before="106" w:after="0"/>
        <w:ind w:left="646" w:right="0" w:hanging="425"/>
        <w:jc w:val="left"/>
        <w:rPr>
          <w:sz w:val="24"/>
        </w:rPr>
      </w:pPr>
      <w:r>
        <w:rPr>
          <w:spacing w:val="-30"/>
          <w:sz w:val="24"/>
        </w:rPr>
        <w:t>对 </w:t>
      </w:r>
      <w:r>
        <w:rPr>
          <w:rFonts w:ascii="Times New Roman" w:eastAsia="Times New Roman"/>
          <w:sz w:val="24"/>
        </w:rPr>
        <w:t>IP</w:t>
      </w:r>
      <w:r>
        <w:rPr>
          <w:rFonts w:ascii="Times New Roman" w:eastAsia="Times New Roman"/>
          <w:spacing w:val="-13"/>
          <w:sz w:val="24"/>
        </w:rPr>
        <w:t> </w:t>
      </w:r>
      <w:r>
        <w:rPr>
          <w:spacing w:val="-1"/>
          <w:sz w:val="24"/>
        </w:rPr>
        <w:t>产生过敏反应且需要肾上腺素治疗。</w:t>
      </w:r>
    </w:p>
    <w:p>
      <w:pPr>
        <w:pStyle w:val="ListParagraph"/>
        <w:numPr>
          <w:ilvl w:val="0"/>
          <w:numId w:val="28"/>
        </w:numPr>
        <w:tabs>
          <w:tab w:pos="646" w:val="left" w:leader="none"/>
        </w:tabs>
        <w:spacing w:line="240" w:lineRule="auto" w:before="105" w:after="0"/>
        <w:ind w:left="646" w:right="0" w:hanging="425"/>
        <w:jc w:val="left"/>
        <w:rPr>
          <w:sz w:val="24"/>
        </w:rPr>
      </w:pPr>
      <w:r>
        <w:rPr>
          <w:spacing w:val="-4"/>
          <w:sz w:val="24"/>
        </w:rPr>
        <w:t>妊娠。</w:t>
      </w:r>
    </w:p>
    <w:p>
      <w:pPr>
        <w:pStyle w:val="ListParagraph"/>
        <w:numPr>
          <w:ilvl w:val="0"/>
          <w:numId w:val="28"/>
        </w:numPr>
        <w:tabs>
          <w:tab w:pos="646" w:val="left" w:leader="none"/>
        </w:tabs>
        <w:spacing w:line="276" w:lineRule="auto" w:before="107" w:after="0"/>
        <w:ind w:left="646" w:right="363" w:hanging="425"/>
        <w:jc w:val="both"/>
        <w:rPr>
          <w:sz w:val="24"/>
        </w:rPr>
      </w:pPr>
      <w:r>
        <w:rPr>
          <w:spacing w:val="3"/>
          <w:sz w:val="24"/>
        </w:rPr>
        <w:t>发现受试者不符合合格性标准，且研究者或申办者认为可能使受试者处于风险之中。如果受试者不符合全部合格性标准但错误地进行了随机化，研究者应立即通知申办者研究医生，讨论潜在安全性问题和受试者的最大利益，并决定受试者的进一步处置措施。</w:t>
      </w:r>
    </w:p>
    <w:p>
      <w:pPr>
        <w:pStyle w:val="ListParagraph"/>
        <w:numPr>
          <w:ilvl w:val="0"/>
          <w:numId w:val="28"/>
        </w:numPr>
        <w:tabs>
          <w:tab w:pos="645" w:val="left" w:leader="none"/>
        </w:tabs>
        <w:spacing w:line="240" w:lineRule="auto" w:before="57" w:after="0"/>
        <w:ind w:left="645" w:right="0" w:hanging="424"/>
        <w:jc w:val="both"/>
        <w:rPr>
          <w:sz w:val="24"/>
        </w:rPr>
      </w:pPr>
      <w:r>
        <w:rPr>
          <w:spacing w:val="-15"/>
          <w:sz w:val="24"/>
        </w:rPr>
        <w:t>自上次 </w:t>
      </w:r>
      <w:r>
        <w:rPr>
          <w:rFonts w:ascii="Times New Roman" w:eastAsia="Times New Roman"/>
          <w:sz w:val="24"/>
        </w:rPr>
        <w:t>IP</w:t>
      </w:r>
      <w:r>
        <w:rPr>
          <w:rFonts w:ascii="Times New Roman" w:eastAsia="Times New Roman"/>
          <w:spacing w:val="-13"/>
          <w:sz w:val="24"/>
        </w:rPr>
        <w:t> </w:t>
      </w:r>
      <w:r>
        <w:rPr>
          <w:spacing w:val="-7"/>
          <w:sz w:val="24"/>
        </w:rPr>
        <w:t>给药后的时间超过 </w:t>
      </w:r>
      <w:r>
        <w:rPr>
          <w:rFonts w:ascii="Times New Roman" w:eastAsia="Times New Roman"/>
          <w:sz w:val="24"/>
        </w:rPr>
        <w:t>12</w:t>
      </w:r>
      <w:r>
        <w:rPr>
          <w:rFonts w:ascii="Times New Roman" w:eastAsia="Times New Roman"/>
          <w:spacing w:val="-12"/>
          <w:sz w:val="24"/>
        </w:rPr>
        <w:t> </w:t>
      </w:r>
      <w:r>
        <w:rPr>
          <w:spacing w:val="-5"/>
          <w:sz w:val="24"/>
        </w:rPr>
        <w:t>周。</w:t>
      </w:r>
    </w:p>
    <w:p>
      <w:pPr>
        <w:spacing w:after="0" w:line="240" w:lineRule="auto"/>
        <w:jc w:val="both"/>
        <w:rPr>
          <w:sz w:val="24"/>
        </w:rPr>
        <w:sectPr>
          <w:pgSz w:w="11910" w:h="16840"/>
          <w:pgMar w:header="590" w:footer="784" w:top="1340" w:bottom="980" w:left="1480" w:right="1080"/>
        </w:sectPr>
      </w:pPr>
    </w:p>
    <w:p>
      <w:pPr>
        <w:pStyle w:val="ListParagraph"/>
        <w:numPr>
          <w:ilvl w:val="0"/>
          <w:numId w:val="28"/>
        </w:numPr>
        <w:tabs>
          <w:tab w:pos="646" w:val="left" w:leader="none"/>
        </w:tabs>
        <w:spacing w:line="240" w:lineRule="auto" w:before="88" w:after="0"/>
        <w:ind w:left="646" w:right="0" w:hanging="425"/>
        <w:jc w:val="left"/>
        <w:rPr>
          <w:sz w:val="24"/>
        </w:rPr>
      </w:pPr>
      <w:r>
        <w:rPr>
          <w:spacing w:val="-10"/>
          <w:sz w:val="24"/>
        </w:rPr>
        <w:t>严重未依从 </w:t>
      </w:r>
      <w:r>
        <w:rPr>
          <w:rFonts w:ascii="Times New Roman" w:eastAsia="Times New Roman"/>
          <w:spacing w:val="-2"/>
          <w:sz w:val="24"/>
        </w:rPr>
        <w:t>CSP</w:t>
      </w:r>
      <w:r>
        <w:rPr>
          <w:spacing w:val="-10"/>
          <w:sz w:val="24"/>
        </w:rPr>
        <w:t>。</w:t>
      </w:r>
    </w:p>
    <w:p>
      <w:pPr>
        <w:pStyle w:val="ListParagraph"/>
        <w:numPr>
          <w:ilvl w:val="0"/>
          <w:numId w:val="28"/>
        </w:numPr>
        <w:tabs>
          <w:tab w:pos="646" w:val="left" w:leader="none"/>
        </w:tabs>
        <w:spacing w:line="240" w:lineRule="auto" w:before="105" w:after="0"/>
        <w:ind w:left="646" w:right="0" w:hanging="425"/>
        <w:jc w:val="left"/>
        <w:rPr>
          <w:sz w:val="24"/>
        </w:rPr>
      </w:pPr>
      <w:r>
        <w:rPr>
          <w:spacing w:val="-4"/>
          <w:sz w:val="24"/>
        </w:rPr>
        <w:t>失访。</w:t>
      </w:r>
    </w:p>
    <w:p>
      <w:pPr>
        <w:pStyle w:val="ListParagraph"/>
        <w:numPr>
          <w:ilvl w:val="0"/>
          <w:numId w:val="28"/>
        </w:numPr>
        <w:tabs>
          <w:tab w:pos="646" w:val="left" w:leader="none"/>
        </w:tabs>
        <w:spacing w:line="240" w:lineRule="auto" w:before="107" w:after="0"/>
        <w:ind w:left="646" w:right="0" w:hanging="425"/>
        <w:jc w:val="left"/>
        <w:rPr>
          <w:sz w:val="24"/>
        </w:rPr>
      </w:pPr>
      <w:r>
        <w:rPr>
          <w:spacing w:val="-2"/>
          <w:sz w:val="24"/>
        </w:rPr>
        <w:t>确认海氏法则事件。</w:t>
      </w:r>
    </w:p>
    <w:p>
      <w:pPr>
        <w:pStyle w:val="BodyText"/>
        <w:spacing w:before="70"/>
        <w:ind w:left="0"/>
      </w:pPr>
    </w:p>
    <w:p>
      <w:pPr>
        <w:pStyle w:val="BodyText"/>
        <w:ind w:left="701"/>
      </w:pPr>
      <w:r>
        <w:rPr>
          <w:spacing w:val="-1"/>
        </w:rPr>
        <w:t>有关干预治疗中止和访视时应采集的数据以及需完成的其他进一步评价，请见</w:t>
      </w:r>
    </w:p>
    <w:p>
      <w:pPr>
        <w:pStyle w:val="BodyText"/>
        <w:spacing w:before="46"/>
      </w:pPr>
      <w:r>
        <w:rPr>
          <w:rFonts w:ascii="Times New Roman" w:eastAsia="Times New Roman"/>
        </w:rPr>
        <w:t>SoA</w:t>
      </w:r>
      <w:r>
        <w:rPr/>
        <w:t>（</w:t>
      </w:r>
      <w:r>
        <w:rPr>
          <w:spacing w:val="-30"/>
        </w:rPr>
        <w:t>第 </w:t>
      </w:r>
      <w:hyperlink w:history="true" w:anchor="_bookmark7">
        <w:r>
          <w:rPr>
            <w:rFonts w:ascii="Times New Roman" w:eastAsia="Times New Roman"/>
            <w:color w:val="0000FF"/>
          </w:rPr>
          <w:t>1.3</w:t>
        </w:r>
      </w:hyperlink>
      <w:r>
        <w:rPr>
          <w:rFonts w:ascii="Times New Roman" w:eastAsia="Times New Roman"/>
          <w:color w:val="0000FF"/>
          <w:spacing w:val="-15"/>
        </w:rPr>
        <w:t> </w:t>
      </w:r>
      <w:r>
        <w:rPr/>
        <w:t>节）</w:t>
      </w:r>
      <w:r>
        <w:rPr>
          <w:spacing w:val="-10"/>
        </w:rPr>
        <w:t>。</w:t>
      </w:r>
    </w:p>
    <w:p>
      <w:pPr>
        <w:pStyle w:val="BodyText"/>
        <w:spacing w:line="276" w:lineRule="auto" w:before="285"/>
        <w:ind w:right="357" w:firstLine="480"/>
        <w:jc w:val="both"/>
      </w:pPr>
      <w:r>
        <w:rPr>
          <w:spacing w:val="-6"/>
        </w:rPr>
        <w:t>应在源文件中说明提前中止 </w:t>
      </w:r>
      <w:r>
        <w:rPr>
          <w:rFonts w:ascii="Times New Roman" w:eastAsia="Times New Roman"/>
          <w:spacing w:val="-4"/>
        </w:rPr>
        <w:t>IP</w:t>
      </w:r>
      <w:r>
        <w:rPr>
          <w:rFonts w:ascii="Times New Roman" w:eastAsia="Times New Roman"/>
          <w:spacing w:val="-11"/>
        </w:rPr>
        <w:t> </w:t>
      </w:r>
      <w:r>
        <w:rPr>
          <w:spacing w:val="-6"/>
        </w:rPr>
        <w:t>治疗的原因，并记录在 </w:t>
      </w:r>
      <w:r>
        <w:rPr>
          <w:rFonts w:ascii="Times New Roman" w:eastAsia="Times New Roman"/>
          <w:spacing w:val="-4"/>
        </w:rPr>
        <w:t>eCRF</w:t>
      </w:r>
      <w:r>
        <w:rPr>
          <w:rFonts w:ascii="Times New Roman" w:eastAsia="Times New Roman"/>
          <w:spacing w:val="-6"/>
        </w:rPr>
        <w:t> </w:t>
      </w:r>
      <w:r>
        <w:rPr>
          <w:spacing w:val="-8"/>
        </w:rPr>
        <w:t>中。需要暂停 </w:t>
      </w:r>
      <w:r>
        <w:rPr>
          <w:rFonts w:ascii="Times New Roman" w:eastAsia="Times New Roman"/>
          <w:spacing w:val="-4"/>
        </w:rPr>
        <w:t>IP</w:t>
      </w:r>
      <w:r>
        <w:rPr>
          <w:rFonts w:ascii="Times New Roman" w:eastAsia="Times New Roman"/>
          <w:spacing w:val="7"/>
        </w:rPr>
        <w:t> </w:t>
      </w:r>
      <w:r>
        <w:rPr>
          <w:spacing w:val="-4"/>
        </w:rPr>
        <w:t>给</w:t>
      </w:r>
      <w:r>
        <w:rPr>
          <w:spacing w:val="-3"/>
        </w:rPr>
        <w:t>药的情况请见第 </w:t>
      </w:r>
      <w:hyperlink w:history="true" w:anchor="_bookmark50">
        <w:r>
          <w:rPr>
            <w:rFonts w:ascii="Times New Roman" w:eastAsia="Times New Roman"/>
            <w:color w:val="0000FF"/>
          </w:rPr>
          <w:t>6.1.2</w:t>
        </w:r>
      </w:hyperlink>
      <w:r>
        <w:rPr>
          <w:rFonts w:ascii="Times New Roman" w:eastAsia="Times New Roman"/>
          <w:color w:val="0000FF"/>
        </w:rPr>
        <w:t> </w:t>
      </w:r>
      <w:r>
        <w:rPr/>
        <w:t>节。</w:t>
      </w:r>
    </w:p>
    <w:p>
      <w:pPr>
        <w:pStyle w:val="Heading2"/>
        <w:numPr>
          <w:ilvl w:val="2"/>
          <w:numId w:val="3"/>
        </w:numPr>
        <w:tabs>
          <w:tab w:pos="1371" w:val="left" w:leader="none"/>
        </w:tabs>
        <w:spacing w:line="240" w:lineRule="auto" w:before="238" w:after="0"/>
        <w:ind w:left="1371" w:right="0" w:hanging="1150"/>
        <w:jc w:val="both"/>
      </w:pPr>
      <w:bookmarkStart w:name="7.1.1 中止研究药物的程序" w:id="146"/>
      <w:bookmarkEnd w:id="146"/>
      <w:r>
        <w:rPr>
          <w:b w:val="0"/>
        </w:rPr>
      </w:r>
      <w:bookmarkStart w:name="_bookmark75" w:id="147"/>
      <w:bookmarkEnd w:id="147"/>
      <w:r>
        <w:rPr>
          <w:b w:val="0"/>
        </w:rPr>
      </w:r>
      <w:r>
        <w:rPr>
          <w:spacing w:val="-5"/>
        </w:rPr>
        <w:t>中止研究药物的程序</w:t>
      </w:r>
    </w:p>
    <w:p>
      <w:pPr>
        <w:pStyle w:val="BodyText"/>
        <w:spacing w:line="276" w:lineRule="auto" w:before="120"/>
        <w:ind w:right="358" w:firstLine="480"/>
        <w:jc w:val="both"/>
      </w:pPr>
      <w:r>
        <w:rPr>
          <w:spacing w:val="6"/>
        </w:rPr>
        <w:t>如果决定停止</w:t>
      </w:r>
      <w:r>
        <w:rPr>
          <w:rFonts w:ascii="Times New Roman" w:eastAsia="Times New Roman"/>
        </w:rPr>
        <w:t>IP</w:t>
      </w:r>
      <w:r>
        <w:rPr>
          <w:rFonts w:ascii="Times New Roman" w:eastAsia="Times New Roman"/>
          <w:spacing w:val="-15"/>
        </w:rPr>
        <w:t> </w:t>
      </w:r>
      <w:r>
        <w:rPr>
          <w:spacing w:val="2"/>
        </w:rPr>
        <w:t>治疗，研究者应联系受试者。决定中止</w:t>
      </w:r>
      <w:r>
        <w:rPr>
          <w:rFonts w:ascii="Times New Roman" w:eastAsia="Times New Roman"/>
        </w:rPr>
        <w:t>IP</w:t>
      </w:r>
      <w:r>
        <w:rPr>
          <w:rFonts w:ascii="Times New Roman" w:eastAsia="Times New Roman"/>
          <w:spacing w:val="-15"/>
        </w:rPr>
        <w:t> </w:t>
      </w:r>
      <w:r>
        <w:rPr/>
        <w:t>治疗的受试者将始终</w:t>
      </w:r>
      <w:r>
        <w:rPr>
          <w:spacing w:val="-6"/>
        </w:rPr>
        <w:t>被询问要求中止 </w:t>
      </w:r>
      <w:r>
        <w:rPr>
          <w:rFonts w:ascii="Times New Roman" w:eastAsia="Times New Roman"/>
          <w:spacing w:val="-2"/>
        </w:rPr>
        <w:t>IP</w:t>
      </w:r>
      <w:r>
        <w:rPr>
          <w:rFonts w:ascii="Times New Roman" w:eastAsia="Times New Roman"/>
          <w:spacing w:val="-13"/>
        </w:rPr>
        <w:t> </w:t>
      </w:r>
      <w:r>
        <w:rPr>
          <w:spacing w:val="-4"/>
        </w:rPr>
        <w:t>的原因，以及是否发生任何 </w:t>
      </w:r>
      <w:r>
        <w:rPr>
          <w:rFonts w:ascii="Times New Roman" w:eastAsia="Times New Roman"/>
          <w:spacing w:val="-2"/>
        </w:rPr>
        <w:t>AE</w:t>
      </w:r>
      <w:r>
        <w:rPr>
          <w:spacing w:val="-9"/>
        </w:rPr>
        <w:t>。应将 </w:t>
      </w:r>
      <w:r>
        <w:rPr>
          <w:rFonts w:ascii="Times New Roman" w:eastAsia="Times New Roman"/>
          <w:spacing w:val="-2"/>
        </w:rPr>
        <w:t>IP</w:t>
      </w:r>
      <w:r>
        <w:rPr>
          <w:rFonts w:ascii="Times New Roman" w:eastAsia="Times New Roman"/>
          <w:spacing w:val="-3"/>
        </w:rPr>
        <w:t> </w:t>
      </w:r>
      <w:r>
        <w:rPr>
          <w:spacing w:val="-2"/>
        </w:rPr>
        <w:t>末次给药日期、决定中</w:t>
      </w:r>
      <w:r>
        <w:rPr>
          <w:spacing w:val="-8"/>
        </w:rPr>
        <w:t>止 </w:t>
      </w:r>
      <w:r>
        <w:rPr>
          <w:rFonts w:ascii="Times New Roman" w:eastAsia="Times New Roman"/>
        </w:rPr>
        <w:t>IP </w:t>
      </w:r>
      <w:r>
        <w:rPr>
          <w:spacing w:val="-1"/>
        </w:rPr>
        <w:t>治疗日期和中止原因记录在源文件及 </w:t>
      </w:r>
      <w:r>
        <w:rPr>
          <w:rFonts w:ascii="Times New Roman" w:eastAsia="Times New Roman"/>
        </w:rPr>
        <w:t>eCRF </w:t>
      </w:r>
      <w:r>
        <w:rPr/>
        <w:t>中。</w:t>
      </w:r>
    </w:p>
    <w:p>
      <w:pPr>
        <w:pStyle w:val="BodyText"/>
        <w:spacing w:before="238"/>
        <w:ind w:left="701"/>
      </w:pPr>
      <w:r>
        <w:rPr>
          <w:spacing w:val="-20"/>
        </w:rPr>
        <w:t>将在 </w:t>
      </w:r>
      <w:r>
        <w:rPr>
          <w:rFonts w:ascii="Times New Roman" w:eastAsia="Times New Roman"/>
        </w:rPr>
        <w:t>RTSM</w:t>
      </w:r>
      <w:r>
        <w:rPr>
          <w:rFonts w:ascii="Times New Roman" w:eastAsia="Times New Roman"/>
          <w:spacing w:val="-15"/>
        </w:rPr>
        <w:t> </w:t>
      </w:r>
      <w:r>
        <w:rPr>
          <w:spacing w:val="-10"/>
        </w:rPr>
        <w:t>中登记中止 </w:t>
      </w:r>
      <w:r>
        <w:rPr>
          <w:rFonts w:ascii="Times New Roman" w:eastAsia="Times New Roman"/>
        </w:rPr>
        <w:t>IP</w:t>
      </w:r>
      <w:r>
        <w:rPr>
          <w:rFonts w:ascii="Times New Roman" w:eastAsia="Times New Roman"/>
          <w:spacing w:val="-13"/>
        </w:rPr>
        <w:t> </w:t>
      </w:r>
      <w:r>
        <w:rPr>
          <w:spacing w:val="-2"/>
        </w:rPr>
        <w:t>治疗的信息。</w:t>
      </w:r>
    </w:p>
    <w:p>
      <w:pPr>
        <w:pStyle w:val="BodyText"/>
        <w:spacing w:before="285"/>
        <w:ind w:left="701"/>
      </w:pPr>
      <w:r>
        <w:rPr>
          <w:spacing w:val="-20"/>
        </w:rPr>
        <w:t>中止 </w:t>
      </w:r>
      <w:r>
        <w:rPr>
          <w:rFonts w:ascii="Times New Roman" w:eastAsia="Times New Roman"/>
        </w:rPr>
        <w:t>IP</w:t>
      </w:r>
      <w:r>
        <w:rPr>
          <w:rFonts w:ascii="Times New Roman" w:eastAsia="Times New Roman"/>
          <w:spacing w:val="-13"/>
        </w:rPr>
        <w:t> </w:t>
      </w:r>
      <w:r>
        <w:rPr>
          <w:spacing w:val="-1"/>
        </w:rPr>
        <w:t>治疗的所有受试者将继续参与研究随访，直至研究完成。</w:t>
      </w:r>
    </w:p>
    <w:p>
      <w:pPr>
        <w:pStyle w:val="BodyText"/>
        <w:spacing w:line="276" w:lineRule="auto" w:before="286"/>
        <w:ind w:right="356" w:firstLine="480"/>
        <w:jc w:val="both"/>
      </w:pPr>
      <w:r>
        <w:rPr>
          <w:spacing w:val="-8"/>
        </w:rPr>
        <w:t>提前中止 </w:t>
      </w:r>
      <w:r>
        <w:rPr>
          <w:rFonts w:ascii="Times New Roman" w:eastAsia="Times New Roman"/>
          <w:spacing w:val="-2"/>
        </w:rPr>
        <w:t>IP</w:t>
      </w:r>
      <w:r>
        <w:rPr>
          <w:rFonts w:ascii="Times New Roman" w:eastAsia="Times New Roman"/>
          <w:spacing w:val="-13"/>
        </w:rPr>
        <w:t> </w:t>
      </w:r>
      <w:r>
        <w:rPr>
          <w:spacing w:val="-5"/>
        </w:rPr>
        <w:t>治疗的受试者应在 </w:t>
      </w:r>
      <w:r>
        <w:rPr>
          <w:rFonts w:ascii="Times New Roman" w:eastAsia="Times New Roman"/>
          <w:spacing w:val="-2"/>
        </w:rPr>
        <w:t>IP</w:t>
      </w:r>
      <w:r>
        <w:rPr>
          <w:rFonts w:ascii="Times New Roman" w:eastAsia="Times New Roman"/>
          <w:spacing w:val="-13"/>
        </w:rPr>
        <w:t> </w:t>
      </w:r>
      <w:r>
        <w:rPr>
          <w:spacing w:val="-7"/>
        </w:rPr>
        <w:t>末次给药后 </w:t>
      </w:r>
      <w:r>
        <w:rPr>
          <w:rFonts w:ascii="Times New Roman" w:eastAsia="Times New Roman"/>
          <w:spacing w:val="-2"/>
        </w:rPr>
        <w:t>12</w:t>
      </w:r>
      <w:r>
        <w:rPr>
          <w:rFonts w:ascii="Times New Roman" w:eastAsia="Times New Roman"/>
          <w:spacing w:val="-13"/>
        </w:rPr>
        <w:t> </w:t>
      </w:r>
      <w:r>
        <w:rPr>
          <w:spacing w:val="-5"/>
        </w:rPr>
        <w:t>周返回研究中心并完成 </w:t>
      </w:r>
      <w:r>
        <w:rPr>
          <w:rFonts w:ascii="Times New Roman" w:eastAsia="Times New Roman"/>
          <w:spacing w:val="-2"/>
        </w:rPr>
        <w:t>E/D</w:t>
      </w:r>
      <w:r>
        <w:rPr>
          <w:rFonts w:ascii="Times New Roman" w:eastAsia="Times New Roman"/>
          <w:spacing w:val="-13"/>
        </w:rPr>
        <w:t> </w:t>
      </w:r>
      <w:r>
        <w:rPr>
          <w:spacing w:val="-2"/>
        </w:rPr>
        <w:t>访</w:t>
      </w:r>
      <w:r>
        <w:rPr>
          <w:spacing w:val="-4"/>
        </w:rPr>
        <w:t>视程序（</w:t>
      </w:r>
      <w:r>
        <w:rPr>
          <w:spacing w:val="-15"/>
        </w:rPr>
        <w:t>第 </w:t>
      </w:r>
      <w:hyperlink w:history="true" w:anchor="_bookmark7">
        <w:r>
          <w:rPr>
            <w:rFonts w:ascii="Times New Roman" w:eastAsia="Times New Roman"/>
            <w:color w:val="0000FF"/>
            <w:spacing w:val="-4"/>
          </w:rPr>
          <w:t>1.3</w:t>
        </w:r>
      </w:hyperlink>
      <w:r>
        <w:rPr>
          <w:rFonts w:ascii="Times New Roman" w:eastAsia="Times New Roman"/>
          <w:color w:val="0000FF"/>
          <w:spacing w:val="-11"/>
        </w:rPr>
        <w:t> </w:t>
      </w:r>
      <w:r>
        <w:rPr>
          <w:spacing w:val="-4"/>
        </w:rPr>
        <w:t>节），</w:t>
      </w:r>
      <w:r>
        <w:rPr>
          <w:spacing w:val="-12"/>
        </w:rPr>
        <w:t>或在 </w:t>
      </w:r>
      <w:r>
        <w:rPr>
          <w:rFonts w:ascii="Times New Roman" w:eastAsia="Times New Roman"/>
          <w:spacing w:val="-4"/>
        </w:rPr>
        <w:t>IP </w:t>
      </w:r>
      <w:r>
        <w:rPr>
          <w:spacing w:val="-9"/>
        </w:rPr>
        <w:t>末次给药 </w:t>
      </w:r>
      <w:r>
        <w:rPr>
          <w:rFonts w:ascii="Times New Roman" w:eastAsia="Times New Roman"/>
          <w:spacing w:val="-4"/>
        </w:rPr>
        <w:t>12</w:t>
      </w:r>
      <w:r>
        <w:rPr>
          <w:rFonts w:ascii="Times New Roman" w:eastAsia="Times New Roman"/>
          <w:spacing w:val="8"/>
        </w:rPr>
        <w:t> </w:t>
      </w:r>
      <w:r>
        <w:rPr>
          <w:spacing w:val="-4"/>
        </w:rPr>
        <w:t>周后尽快进行。如果受试者无法或不愿意</w:t>
      </w:r>
      <w:r>
        <w:rPr>
          <w:spacing w:val="-15"/>
        </w:rPr>
        <w:t>在 </w:t>
      </w:r>
      <w:r>
        <w:rPr>
          <w:rFonts w:ascii="Times New Roman" w:eastAsia="Times New Roman"/>
        </w:rPr>
        <w:t>IP</w:t>
      </w:r>
      <w:r>
        <w:rPr>
          <w:rFonts w:ascii="Times New Roman" w:eastAsia="Times New Roman"/>
          <w:spacing w:val="-11"/>
        </w:rPr>
        <w:t> </w:t>
      </w:r>
      <w:r>
        <w:rPr>
          <w:spacing w:val="-5"/>
        </w:rPr>
        <w:t>末次给药后 </w:t>
      </w:r>
      <w:r>
        <w:rPr>
          <w:rFonts w:ascii="Times New Roman" w:eastAsia="Times New Roman"/>
        </w:rPr>
        <w:t>12</w:t>
      </w:r>
      <w:r>
        <w:rPr>
          <w:rFonts w:ascii="Times New Roman" w:eastAsia="Times New Roman"/>
          <w:spacing w:val="7"/>
        </w:rPr>
        <w:t> </w:t>
      </w:r>
      <w:r>
        <w:rPr>
          <w:spacing w:val="-3"/>
        </w:rPr>
        <w:t>周返回研究中心进行 </w:t>
      </w:r>
      <w:r>
        <w:rPr>
          <w:rFonts w:ascii="Times New Roman" w:eastAsia="Times New Roman"/>
        </w:rPr>
        <w:t>E/D </w:t>
      </w:r>
      <w:r>
        <w:rPr/>
        <w:t>访视，则可在受试者可行的时间点提</w:t>
      </w:r>
      <w:r>
        <w:rPr>
          <w:spacing w:val="-9"/>
        </w:rPr>
        <w:t>前进行 </w:t>
      </w:r>
      <w:r>
        <w:rPr>
          <w:rFonts w:ascii="Times New Roman" w:eastAsia="Times New Roman"/>
        </w:rPr>
        <w:t>E/D</w:t>
      </w:r>
      <w:r>
        <w:rPr>
          <w:rFonts w:ascii="Times New Roman" w:eastAsia="Times New Roman"/>
          <w:spacing w:val="5"/>
        </w:rPr>
        <w:t> </w:t>
      </w:r>
      <w:r>
        <w:rPr>
          <w:spacing w:val="-2"/>
        </w:rPr>
        <w:t>访视评估。强烈建议所有计划的研究访视和研究程序应持续至 </w:t>
      </w:r>
      <w:r>
        <w:rPr>
          <w:rFonts w:ascii="Times New Roman" w:eastAsia="Times New Roman"/>
        </w:rPr>
        <w:t>E/D</w:t>
      </w:r>
      <w:r>
        <w:rPr>
          <w:rFonts w:ascii="Times New Roman" w:eastAsia="Times New Roman"/>
          <w:spacing w:val="9"/>
        </w:rPr>
        <w:t> </w:t>
      </w:r>
      <w:r>
        <w:rPr>
          <w:spacing w:val="-5"/>
        </w:rPr>
        <w:t>访视</w:t>
      </w:r>
    </w:p>
    <w:p>
      <w:pPr>
        <w:pStyle w:val="BodyText"/>
        <w:spacing w:line="276" w:lineRule="auto"/>
        <w:ind w:right="358" w:hanging="120"/>
      </w:pPr>
      <w:r>
        <w:rPr>
          <w:spacing w:val="-2"/>
        </w:rPr>
        <w:t>（如果可能）。如果受试者无法参与计划的门诊访视，则应通过电话联系收集相应访视的以下信息：</w:t>
      </w:r>
    </w:p>
    <w:p>
      <w:pPr>
        <w:pStyle w:val="ListParagraph"/>
        <w:numPr>
          <w:ilvl w:val="0"/>
          <w:numId w:val="29"/>
        </w:numPr>
        <w:tabs>
          <w:tab w:pos="646" w:val="left" w:leader="none"/>
        </w:tabs>
        <w:spacing w:line="240" w:lineRule="auto" w:before="236" w:after="0"/>
        <w:ind w:left="646" w:right="0" w:hanging="425"/>
        <w:jc w:val="left"/>
        <w:rPr>
          <w:rFonts w:ascii="Symbol" w:hAnsi="Symbol" w:eastAsia="Symbol"/>
          <w:sz w:val="24"/>
        </w:rPr>
      </w:pPr>
      <w:r>
        <w:rPr>
          <w:spacing w:val="-3"/>
          <w:sz w:val="24"/>
        </w:rPr>
        <w:t>合并用药</w:t>
      </w:r>
    </w:p>
    <w:p>
      <w:pPr>
        <w:pStyle w:val="ListParagraph"/>
        <w:numPr>
          <w:ilvl w:val="0"/>
          <w:numId w:val="29"/>
        </w:numPr>
        <w:tabs>
          <w:tab w:pos="646" w:val="left" w:leader="none"/>
        </w:tabs>
        <w:spacing w:line="240" w:lineRule="auto" w:before="58" w:after="0"/>
        <w:ind w:left="646" w:right="0" w:hanging="425"/>
        <w:jc w:val="left"/>
        <w:rPr>
          <w:rFonts w:ascii="Symbol" w:hAnsi="Symbol" w:eastAsia="Symbol"/>
          <w:sz w:val="24"/>
        </w:rPr>
      </w:pPr>
      <w:r>
        <w:rPr>
          <w:spacing w:val="-3"/>
          <w:sz w:val="24"/>
        </w:rPr>
        <w:t>吸烟状况</w:t>
      </w:r>
    </w:p>
    <w:p>
      <w:pPr>
        <w:pStyle w:val="ListParagraph"/>
        <w:numPr>
          <w:ilvl w:val="0"/>
          <w:numId w:val="29"/>
        </w:numPr>
        <w:tabs>
          <w:tab w:pos="646" w:val="left" w:leader="none"/>
        </w:tabs>
        <w:spacing w:line="240" w:lineRule="auto" w:before="60" w:after="0"/>
        <w:ind w:left="646" w:right="0" w:hanging="425"/>
        <w:jc w:val="left"/>
        <w:rPr>
          <w:rFonts w:ascii="Symbol" w:hAnsi="Symbol" w:eastAsia="Symbol"/>
          <w:position w:val="1"/>
          <w:sz w:val="24"/>
        </w:rPr>
      </w:pPr>
      <w:r>
        <w:rPr>
          <w:spacing w:val="-2"/>
          <w:position w:val="1"/>
          <w:sz w:val="24"/>
        </w:rPr>
        <w:t>吸氧（</w:t>
      </w:r>
      <w:r>
        <w:rPr>
          <w:rFonts w:ascii="Times New Roman" w:hAnsi="Times New Roman" w:eastAsia="Times New Roman"/>
          <w:spacing w:val="-2"/>
          <w:position w:val="1"/>
          <w:sz w:val="24"/>
        </w:rPr>
        <w:t>O</w:t>
      </w:r>
      <w:r>
        <w:rPr>
          <w:rFonts w:ascii="Times New Roman" w:hAnsi="Times New Roman" w:eastAsia="Times New Roman"/>
          <w:spacing w:val="-2"/>
          <w:sz w:val="16"/>
        </w:rPr>
        <w:t>2</w:t>
      </w:r>
      <w:r>
        <w:rPr>
          <w:spacing w:val="-2"/>
          <w:position w:val="1"/>
          <w:sz w:val="24"/>
        </w:rPr>
        <w:t>）</w:t>
      </w:r>
      <w:r>
        <w:rPr>
          <w:spacing w:val="-6"/>
          <w:position w:val="1"/>
          <w:sz w:val="24"/>
        </w:rPr>
        <w:t>状态</w:t>
      </w:r>
    </w:p>
    <w:p>
      <w:pPr>
        <w:pStyle w:val="ListParagraph"/>
        <w:numPr>
          <w:ilvl w:val="0"/>
          <w:numId w:val="29"/>
        </w:numPr>
        <w:tabs>
          <w:tab w:pos="646" w:val="left" w:leader="none"/>
        </w:tabs>
        <w:spacing w:line="240" w:lineRule="auto" w:before="61" w:after="0"/>
        <w:ind w:left="646" w:right="0" w:hanging="425"/>
        <w:jc w:val="left"/>
        <w:rPr>
          <w:rFonts w:ascii="Symbol" w:hAnsi="Symbol"/>
          <w:sz w:val="24"/>
        </w:rPr>
      </w:pPr>
      <w:r>
        <w:rPr>
          <w:rFonts w:ascii="Times New Roman" w:hAnsi="Times New Roman"/>
          <w:spacing w:val="-5"/>
          <w:sz w:val="24"/>
        </w:rPr>
        <w:t>AE</w:t>
      </w:r>
    </w:p>
    <w:p>
      <w:pPr>
        <w:pStyle w:val="ListParagraph"/>
        <w:numPr>
          <w:ilvl w:val="0"/>
          <w:numId w:val="29"/>
        </w:numPr>
        <w:tabs>
          <w:tab w:pos="646" w:val="left" w:leader="none"/>
        </w:tabs>
        <w:spacing w:line="240" w:lineRule="auto" w:before="60" w:after="0"/>
        <w:ind w:left="646" w:right="0" w:hanging="425"/>
        <w:jc w:val="left"/>
        <w:rPr>
          <w:rFonts w:ascii="Symbol" w:hAnsi="Symbol"/>
          <w:sz w:val="24"/>
        </w:rPr>
      </w:pPr>
      <w:r>
        <w:rPr>
          <w:rFonts w:ascii="Times New Roman" w:hAnsi="Times New Roman"/>
          <w:spacing w:val="-5"/>
          <w:sz w:val="24"/>
        </w:rPr>
        <w:t>SAE</w:t>
      </w:r>
    </w:p>
    <w:p>
      <w:pPr>
        <w:pStyle w:val="ListParagraph"/>
        <w:numPr>
          <w:ilvl w:val="0"/>
          <w:numId w:val="29"/>
        </w:numPr>
        <w:tabs>
          <w:tab w:pos="645" w:val="left" w:leader="none"/>
        </w:tabs>
        <w:spacing w:line="240" w:lineRule="auto" w:before="57" w:after="0"/>
        <w:ind w:left="645" w:right="0" w:hanging="424"/>
        <w:jc w:val="both"/>
        <w:rPr>
          <w:rFonts w:ascii="Symbol" w:hAnsi="Symbol" w:eastAsia="Symbol"/>
          <w:sz w:val="24"/>
        </w:rPr>
      </w:pPr>
      <w:r>
        <w:rPr>
          <w:rFonts w:ascii="Times New Roman" w:hAnsi="Times New Roman" w:eastAsia="Times New Roman"/>
          <w:sz w:val="24"/>
        </w:rPr>
        <w:t>COPD</w:t>
      </w:r>
      <w:r>
        <w:rPr>
          <w:rFonts w:ascii="Times New Roman" w:hAnsi="Times New Roman" w:eastAsia="Times New Roman"/>
          <w:spacing w:val="-13"/>
          <w:sz w:val="24"/>
        </w:rPr>
        <w:t> </w:t>
      </w:r>
      <w:r>
        <w:rPr>
          <w:spacing w:val="-2"/>
          <w:sz w:val="24"/>
        </w:rPr>
        <w:t>急性加重评价</w:t>
      </w:r>
    </w:p>
    <w:p>
      <w:pPr>
        <w:pStyle w:val="ListParagraph"/>
        <w:numPr>
          <w:ilvl w:val="0"/>
          <w:numId w:val="29"/>
        </w:numPr>
        <w:tabs>
          <w:tab w:pos="646" w:val="left" w:leader="none"/>
        </w:tabs>
        <w:spacing w:line="240" w:lineRule="auto" w:before="61" w:after="0"/>
        <w:ind w:left="646" w:right="0" w:hanging="425"/>
        <w:jc w:val="left"/>
        <w:rPr>
          <w:rFonts w:ascii="Symbol" w:hAnsi="Symbol"/>
          <w:sz w:val="24"/>
        </w:rPr>
      </w:pPr>
      <w:r>
        <w:rPr>
          <w:rFonts w:ascii="Times New Roman" w:hAnsi="Times New Roman"/>
          <w:spacing w:val="-5"/>
          <w:sz w:val="24"/>
        </w:rPr>
        <w:t>HRU</w:t>
      </w:r>
    </w:p>
    <w:p>
      <w:pPr>
        <w:pStyle w:val="BodyText"/>
        <w:spacing w:before="58"/>
        <w:ind w:left="0"/>
        <w:rPr>
          <w:rFonts w:ascii="Times New Roman"/>
        </w:rPr>
      </w:pPr>
    </w:p>
    <w:p>
      <w:pPr>
        <w:pStyle w:val="BodyText"/>
        <w:spacing w:line="276" w:lineRule="auto"/>
        <w:ind w:right="356" w:firstLine="480"/>
        <w:jc w:val="both"/>
      </w:pPr>
      <w:r>
        <w:rPr>
          <w:spacing w:val="-15"/>
        </w:rPr>
        <w:t>在 </w:t>
      </w:r>
      <w:r>
        <w:rPr>
          <w:rFonts w:ascii="Times New Roman" w:hAnsi="Times New Roman" w:eastAsia="Times New Roman"/>
        </w:rPr>
        <w:t>E/D</w:t>
      </w:r>
      <w:r>
        <w:rPr>
          <w:rFonts w:ascii="Times New Roman" w:hAnsi="Times New Roman" w:eastAsia="Times New Roman"/>
          <w:spacing w:val="-15"/>
        </w:rPr>
        <w:t> </w:t>
      </w:r>
      <w:r>
        <w:rPr>
          <w:spacing w:val="-2"/>
        </w:rPr>
        <w:t>访视后，受试者将继续进行研究随访直至第 </w:t>
      </w:r>
      <w:r>
        <w:rPr>
          <w:rFonts w:ascii="Times New Roman" w:hAnsi="Times New Roman" w:eastAsia="Times New Roman"/>
        </w:rPr>
        <w:t>28</w:t>
      </w:r>
      <w:r>
        <w:rPr>
          <w:rFonts w:ascii="Times New Roman" w:hAnsi="Times New Roman" w:eastAsia="Times New Roman"/>
          <w:spacing w:val="-12"/>
        </w:rPr>
        <w:t> </w:t>
      </w:r>
      <w:r>
        <w:rPr>
          <w:spacing w:val="-8"/>
        </w:rPr>
        <w:t>周或第 </w:t>
      </w:r>
      <w:r>
        <w:rPr>
          <w:rFonts w:ascii="Times New Roman" w:hAnsi="Times New Roman" w:eastAsia="Times New Roman"/>
        </w:rPr>
        <w:t>52</w:t>
      </w:r>
      <w:r>
        <w:rPr>
          <w:rFonts w:ascii="Times New Roman" w:hAnsi="Times New Roman" w:eastAsia="Times New Roman"/>
          <w:spacing w:val="3"/>
        </w:rPr>
        <w:t> </w:t>
      </w:r>
      <w:r>
        <w:rPr/>
        <w:t>周（除非在计</w:t>
      </w:r>
      <w:r>
        <w:rPr>
          <w:spacing w:val="-10"/>
        </w:rPr>
        <w:t>划访视 </w:t>
      </w:r>
      <w:r>
        <w:rPr>
          <w:rFonts w:ascii="Times New Roman" w:hAnsi="Times New Roman" w:eastAsia="Times New Roman"/>
          <w:spacing w:val="-4"/>
        </w:rPr>
        <w:t>8</w:t>
      </w:r>
      <w:r>
        <w:rPr>
          <w:rFonts w:ascii="Times New Roman" w:hAnsi="Times New Roman" w:eastAsia="Times New Roman"/>
          <w:spacing w:val="-11"/>
        </w:rPr>
        <w:t> </w:t>
      </w:r>
      <w:r>
        <w:rPr>
          <w:spacing w:val="-10"/>
        </w:rPr>
        <w:t>或访视 </w:t>
      </w:r>
      <w:r>
        <w:rPr>
          <w:rFonts w:ascii="Times New Roman" w:hAnsi="Times New Roman" w:eastAsia="Times New Roman"/>
          <w:spacing w:val="-4"/>
        </w:rPr>
        <w:t>14</w:t>
      </w:r>
      <w:r>
        <w:rPr>
          <w:rFonts w:ascii="Times New Roman" w:hAnsi="Times New Roman" w:eastAsia="Times New Roman"/>
          <w:spacing w:val="-11"/>
        </w:rPr>
        <w:t> </w:t>
      </w:r>
      <w:r>
        <w:rPr>
          <w:spacing w:val="-8"/>
        </w:rPr>
        <w:t>后分别进行 </w:t>
      </w:r>
      <w:r>
        <w:rPr>
          <w:rFonts w:ascii="Times New Roman" w:hAnsi="Times New Roman" w:eastAsia="Times New Roman"/>
          <w:spacing w:val="-4"/>
        </w:rPr>
        <w:t>E/D</w:t>
      </w:r>
      <w:r>
        <w:rPr>
          <w:rFonts w:ascii="Times New Roman" w:hAnsi="Times New Roman" w:eastAsia="Times New Roman"/>
          <w:spacing w:val="-11"/>
        </w:rPr>
        <w:t> </w:t>
      </w:r>
      <w:r>
        <w:rPr>
          <w:spacing w:val="-4"/>
        </w:rPr>
        <w:t>访视）。为减轻受试者负担，对于提前中止</w:t>
      </w:r>
      <w:r>
        <w:rPr>
          <w:rFonts w:ascii="Times New Roman" w:hAnsi="Times New Roman" w:eastAsia="Times New Roman"/>
          <w:spacing w:val="-4"/>
        </w:rPr>
        <w:t>IP</w:t>
      </w:r>
      <w:r>
        <w:rPr>
          <w:rFonts w:ascii="Times New Roman" w:hAnsi="Times New Roman" w:eastAsia="Times New Roman"/>
          <w:spacing w:val="-1"/>
        </w:rPr>
        <w:t> </w:t>
      </w:r>
      <w:r>
        <w:rPr>
          <w:spacing w:val="-4"/>
        </w:rPr>
        <w:t>治疗的受试者，在 </w:t>
      </w:r>
      <w:r>
        <w:rPr>
          <w:rFonts w:ascii="Times New Roman" w:hAnsi="Times New Roman" w:eastAsia="Times New Roman"/>
        </w:rPr>
        <w:t>E/D</w:t>
      </w:r>
      <w:r>
        <w:rPr>
          <w:rFonts w:ascii="Times New Roman" w:hAnsi="Times New Roman" w:eastAsia="Times New Roman"/>
          <w:spacing w:val="-15"/>
        </w:rPr>
        <w:t> </w:t>
      </w:r>
      <w:r>
        <w:rPr>
          <w:spacing w:val="-5"/>
        </w:rPr>
        <w:t>访视后，将每 </w:t>
      </w:r>
      <w:r>
        <w:rPr>
          <w:rFonts w:ascii="Times New Roman" w:hAnsi="Times New Roman" w:eastAsia="Times New Roman"/>
        </w:rPr>
        <w:t>12</w:t>
      </w:r>
      <w:r>
        <w:rPr>
          <w:rFonts w:ascii="Times New Roman" w:hAnsi="Times New Roman" w:eastAsia="Times New Roman"/>
          <w:spacing w:val="-12"/>
        </w:rPr>
        <w:t> </w:t>
      </w:r>
      <w:r>
        <w:rPr>
          <w:spacing w:val="-2"/>
        </w:rPr>
        <w:t>周分别进行一次远程随访访视，直至第 </w:t>
      </w:r>
      <w:r>
        <w:rPr>
          <w:rFonts w:ascii="Times New Roman" w:hAnsi="Times New Roman" w:eastAsia="Times New Roman"/>
        </w:rPr>
        <w:t>28</w:t>
      </w:r>
      <w:r>
        <w:rPr>
          <w:rFonts w:ascii="Times New Roman" w:hAnsi="Times New Roman" w:eastAsia="Times New Roman"/>
          <w:spacing w:val="3"/>
        </w:rPr>
        <w:t> </w:t>
      </w:r>
      <w:r>
        <w:rPr/>
        <w:t>周</w:t>
      </w:r>
      <w:r>
        <w:rPr>
          <w:spacing w:val="-10"/>
        </w:rPr>
        <w:t>或第 </w:t>
      </w:r>
      <w:r>
        <w:rPr>
          <w:rFonts w:ascii="Times New Roman" w:hAnsi="Times New Roman" w:eastAsia="Times New Roman"/>
        </w:rPr>
        <w:t>52</w:t>
      </w:r>
      <w:r>
        <w:rPr>
          <w:rFonts w:ascii="Times New Roman" w:hAnsi="Times New Roman" w:eastAsia="Times New Roman"/>
          <w:spacing w:val="-15"/>
        </w:rPr>
        <w:t> </w:t>
      </w:r>
      <w:r>
        <w:rPr/>
        <w:t>周（</w:t>
      </w:r>
      <w:r>
        <w:rPr>
          <w:rFonts w:ascii="Times New Roman" w:hAnsi="Times New Roman" w:eastAsia="Times New Roman"/>
        </w:rPr>
        <w:t>±1</w:t>
      </w:r>
      <w:r>
        <w:rPr>
          <w:rFonts w:ascii="Times New Roman" w:hAnsi="Times New Roman" w:eastAsia="Times New Roman"/>
          <w:spacing w:val="-15"/>
        </w:rPr>
        <w:t> </w:t>
      </w:r>
      <w:r>
        <w:rPr/>
        <w:t>周）</w:t>
      </w:r>
      <w:r>
        <w:rPr>
          <w:spacing w:val="-3"/>
        </w:rPr>
        <w:t>，以通过电话收集死亡、重度 </w:t>
      </w:r>
      <w:r>
        <w:rPr>
          <w:rFonts w:ascii="Times New Roman" w:hAnsi="Times New Roman" w:eastAsia="Times New Roman"/>
        </w:rPr>
        <w:t>COPD</w:t>
      </w:r>
      <w:r>
        <w:rPr>
          <w:rFonts w:ascii="Times New Roman" w:hAnsi="Times New Roman" w:eastAsia="Times New Roman"/>
          <w:spacing w:val="-15"/>
        </w:rPr>
        <w:t> </w:t>
      </w:r>
      <w:r>
        <w:rPr>
          <w:spacing w:val="-5"/>
        </w:rPr>
        <w:t>急性加重和 </w:t>
      </w:r>
      <w:r>
        <w:rPr>
          <w:rFonts w:ascii="Times New Roman" w:hAnsi="Times New Roman" w:eastAsia="Times New Roman"/>
        </w:rPr>
        <w:t>SAE</w:t>
      </w:r>
      <w:r>
        <w:rPr>
          <w:rFonts w:ascii="Times New Roman" w:hAnsi="Times New Roman" w:eastAsia="Times New Roman"/>
          <w:spacing w:val="-15"/>
        </w:rPr>
        <w:t> </w:t>
      </w:r>
      <w:r>
        <w:rPr/>
        <w:t>信息。继</w:t>
      </w:r>
      <w:r>
        <w:rPr>
          <w:spacing w:val="-8"/>
        </w:rPr>
        <w:t>续对 </w:t>
      </w:r>
      <w:r>
        <w:rPr>
          <w:rFonts w:ascii="Times New Roman" w:hAnsi="Times New Roman" w:eastAsia="Times New Roman"/>
        </w:rPr>
        <w:t>E/D</w:t>
      </w:r>
      <w:r>
        <w:rPr>
          <w:rFonts w:ascii="Times New Roman" w:hAnsi="Times New Roman" w:eastAsia="Times New Roman"/>
          <w:spacing w:val="17"/>
        </w:rPr>
        <w:t> </w:t>
      </w:r>
      <w:r>
        <w:rPr>
          <w:spacing w:val="-3"/>
        </w:rPr>
        <w:t>访视后持续存在的 </w:t>
      </w:r>
      <w:r>
        <w:rPr>
          <w:rFonts w:ascii="Times New Roman" w:hAnsi="Times New Roman" w:eastAsia="Times New Roman"/>
        </w:rPr>
        <w:t>AE </w:t>
      </w:r>
      <w:r>
        <w:rPr/>
        <w:t>进行跟踪。此类随访访视可在或不在计划的访视时</w:t>
      </w:r>
      <w:r>
        <w:rPr>
          <w:spacing w:val="-1"/>
        </w:rPr>
        <w:t>间窗内进行。对于中止治疗的受试者，在 </w:t>
      </w:r>
      <w:r>
        <w:rPr>
          <w:rFonts w:ascii="Times New Roman" w:hAnsi="Times New Roman" w:eastAsia="Times New Roman"/>
        </w:rPr>
        <w:t>E/D</w:t>
      </w:r>
      <w:r>
        <w:rPr>
          <w:rFonts w:ascii="Times New Roman" w:hAnsi="Times New Roman" w:eastAsia="Times New Roman"/>
          <w:spacing w:val="35"/>
        </w:rPr>
        <w:t> </w:t>
      </w:r>
      <w:r>
        <w:rPr>
          <w:spacing w:val="-1"/>
        </w:rPr>
        <w:t>访视后无需进行其他评估，如血液检</w:t>
      </w:r>
    </w:p>
    <w:p>
      <w:pPr>
        <w:spacing w:after="0" w:line="276" w:lineRule="auto"/>
        <w:jc w:val="both"/>
        <w:sectPr>
          <w:pgSz w:w="11910" w:h="16840"/>
          <w:pgMar w:header="590" w:footer="784" w:top="1340" w:bottom="980" w:left="1480" w:right="1080"/>
        </w:sectPr>
      </w:pPr>
    </w:p>
    <w:p>
      <w:pPr>
        <w:pStyle w:val="BodyText"/>
        <w:spacing w:line="276" w:lineRule="auto" w:before="88"/>
        <w:ind w:right="354"/>
      </w:pPr>
      <w:r>
        <w:rPr>
          <w:spacing w:val="-2"/>
        </w:rPr>
        <w:t>查、肺量计测定或影像学检查。随访还可能包括与亲属或主治医生联系并从病历中收集信息。</w:t>
      </w:r>
    </w:p>
    <w:p>
      <w:pPr>
        <w:pStyle w:val="BodyText"/>
        <w:spacing w:line="276" w:lineRule="auto" w:before="239"/>
        <w:ind w:right="356" w:firstLine="480"/>
        <w:jc w:val="both"/>
      </w:pPr>
      <w:r>
        <w:rPr>
          <w:spacing w:val="-7"/>
        </w:rPr>
        <w:t>在计划访视 </w:t>
      </w:r>
      <w:r>
        <w:rPr>
          <w:rFonts w:ascii="Times New Roman" w:eastAsia="Times New Roman"/>
          <w:spacing w:val="-2"/>
        </w:rPr>
        <w:t>8</w:t>
      </w:r>
      <w:r>
        <w:rPr>
          <w:rFonts w:ascii="Times New Roman" w:eastAsia="Times New Roman"/>
          <w:spacing w:val="-13"/>
        </w:rPr>
        <w:t> </w:t>
      </w:r>
      <w:r>
        <w:rPr>
          <w:spacing w:val="-9"/>
        </w:rPr>
        <w:t>或访视 </w:t>
      </w:r>
      <w:r>
        <w:rPr>
          <w:rFonts w:ascii="Times New Roman" w:eastAsia="Times New Roman"/>
          <w:spacing w:val="-2"/>
        </w:rPr>
        <w:t>14</w:t>
      </w:r>
      <w:r>
        <w:rPr>
          <w:spacing w:val="-2"/>
        </w:rPr>
        <w:t>（</w:t>
      </w:r>
      <w:r>
        <w:rPr>
          <w:spacing w:val="-15"/>
        </w:rPr>
        <w:t>第 </w:t>
      </w:r>
      <w:r>
        <w:rPr>
          <w:rFonts w:ascii="Times New Roman" w:eastAsia="Times New Roman"/>
          <w:spacing w:val="-2"/>
        </w:rPr>
        <w:t>28</w:t>
      </w:r>
      <w:r>
        <w:rPr>
          <w:rFonts w:ascii="Times New Roman" w:eastAsia="Times New Roman"/>
          <w:spacing w:val="-13"/>
        </w:rPr>
        <w:t> </w:t>
      </w:r>
      <w:r>
        <w:rPr>
          <w:spacing w:val="-9"/>
        </w:rPr>
        <w:t>周或第 </w:t>
      </w:r>
      <w:r>
        <w:rPr>
          <w:rFonts w:ascii="Times New Roman" w:eastAsia="Times New Roman"/>
          <w:spacing w:val="-2"/>
        </w:rPr>
        <w:t>52</w:t>
      </w:r>
      <w:r>
        <w:rPr>
          <w:rFonts w:ascii="Times New Roman" w:eastAsia="Times New Roman"/>
          <w:spacing w:val="-13"/>
        </w:rPr>
        <w:t> </w:t>
      </w:r>
      <w:r>
        <w:rPr>
          <w:spacing w:val="-2"/>
        </w:rPr>
        <w:t>周）</w:t>
      </w:r>
      <w:r>
        <w:rPr>
          <w:spacing w:val="-7"/>
        </w:rPr>
        <w:t>或之后参与 </w:t>
      </w:r>
      <w:r>
        <w:rPr>
          <w:rFonts w:ascii="Times New Roman" w:eastAsia="Times New Roman"/>
          <w:spacing w:val="-2"/>
        </w:rPr>
        <w:t>E/D</w:t>
      </w:r>
      <w:r>
        <w:rPr>
          <w:rFonts w:ascii="Times New Roman" w:eastAsia="Times New Roman"/>
          <w:spacing w:val="-13"/>
        </w:rPr>
        <w:t> </w:t>
      </w:r>
      <w:r>
        <w:rPr>
          <w:spacing w:val="-2"/>
        </w:rPr>
        <w:t>访视的受试者将</w:t>
      </w:r>
      <w:r>
        <w:rPr>
          <w:spacing w:val="-1"/>
        </w:rPr>
        <w:t>直接退出研究。在主要报告时间，将要求处于治疗期的所有受试者在 </w:t>
      </w:r>
      <w:r>
        <w:rPr>
          <w:rFonts w:ascii="Times New Roman" w:eastAsia="Times New Roman"/>
        </w:rPr>
        <w:t>IP</w:t>
      </w:r>
      <w:r>
        <w:rPr>
          <w:rFonts w:ascii="Times New Roman" w:eastAsia="Times New Roman"/>
          <w:spacing w:val="-15"/>
        </w:rPr>
        <w:t> </w:t>
      </w:r>
      <w:r>
        <w:rPr/>
        <w:t>末次给药后 </w:t>
      </w:r>
      <w:r>
        <w:rPr>
          <w:rFonts w:ascii="Times New Roman" w:eastAsia="Times New Roman"/>
          <w:spacing w:val="-2"/>
        </w:rPr>
        <w:t>12</w:t>
      </w:r>
      <w:r>
        <w:rPr>
          <w:rFonts w:ascii="Times New Roman" w:eastAsia="Times New Roman"/>
          <w:spacing w:val="-13"/>
        </w:rPr>
        <w:t> </w:t>
      </w:r>
      <w:r>
        <w:rPr>
          <w:spacing w:val="-7"/>
        </w:rPr>
        <w:t>周继续参与 </w:t>
      </w:r>
      <w:r>
        <w:rPr>
          <w:rFonts w:ascii="Times New Roman" w:eastAsia="Times New Roman"/>
          <w:spacing w:val="-2"/>
        </w:rPr>
        <w:t>E/D</w:t>
      </w:r>
      <w:r>
        <w:rPr>
          <w:rFonts w:ascii="Times New Roman" w:eastAsia="Times New Roman"/>
          <w:spacing w:val="-13"/>
        </w:rPr>
        <w:t> </w:t>
      </w:r>
      <w:r>
        <w:rPr>
          <w:spacing w:val="-5"/>
        </w:rPr>
        <w:t>访视，并退出研究。在 </w:t>
      </w:r>
      <w:r>
        <w:rPr>
          <w:rFonts w:ascii="Times New Roman" w:eastAsia="Times New Roman"/>
          <w:spacing w:val="-2"/>
        </w:rPr>
        <w:t>IP</w:t>
      </w:r>
      <w:r>
        <w:rPr>
          <w:rFonts w:ascii="Times New Roman" w:eastAsia="Times New Roman"/>
          <w:spacing w:val="-11"/>
        </w:rPr>
        <w:t> </w:t>
      </w:r>
      <w:r>
        <w:rPr>
          <w:spacing w:val="-2"/>
        </w:rPr>
        <w:t>末次给药后、直至</w:t>
      </w:r>
      <w:r>
        <w:rPr>
          <w:rFonts w:ascii="Times New Roman" w:eastAsia="Times New Roman"/>
          <w:spacing w:val="-2"/>
        </w:rPr>
        <w:t>E/D </w:t>
      </w:r>
      <w:r>
        <w:rPr>
          <w:spacing w:val="-2"/>
        </w:rPr>
        <w:t>访视前，受试者将不会参与计划的研究访视，在 </w:t>
      </w:r>
      <w:r>
        <w:rPr>
          <w:rFonts w:ascii="Times New Roman" w:eastAsia="Times New Roman"/>
        </w:rPr>
        <w:t>E/D </w:t>
      </w:r>
      <w:r>
        <w:rPr/>
        <w:t>访视后也不会进行电话随访。</w:t>
      </w:r>
    </w:p>
    <w:p>
      <w:pPr>
        <w:pStyle w:val="Heading1"/>
        <w:numPr>
          <w:ilvl w:val="1"/>
          <w:numId w:val="3"/>
        </w:numPr>
        <w:tabs>
          <w:tab w:pos="1355" w:val="left" w:leader="none"/>
        </w:tabs>
        <w:spacing w:line="240" w:lineRule="auto" w:before="236" w:after="0"/>
        <w:ind w:left="1355" w:right="0" w:hanging="1134"/>
        <w:jc w:val="both"/>
      </w:pPr>
      <w:bookmarkStart w:name="7.2 受试者退出研究" w:id="148"/>
      <w:bookmarkEnd w:id="148"/>
      <w:r>
        <w:rPr>
          <w:b w:val="0"/>
        </w:rPr>
      </w:r>
      <w:bookmarkStart w:name="_bookmark76" w:id="149"/>
      <w:bookmarkEnd w:id="149"/>
      <w:r>
        <w:rPr>
          <w:b w:val="0"/>
        </w:rPr>
      </w:r>
      <w:r>
        <w:rPr>
          <w:spacing w:val="-5"/>
        </w:rPr>
        <w:t>受试者退出研究</w:t>
      </w:r>
    </w:p>
    <w:p>
      <w:pPr>
        <w:pStyle w:val="ListParagraph"/>
        <w:numPr>
          <w:ilvl w:val="0"/>
          <w:numId w:val="30"/>
        </w:numPr>
        <w:tabs>
          <w:tab w:pos="646" w:val="left" w:leader="none"/>
        </w:tabs>
        <w:spacing w:line="240" w:lineRule="auto" w:before="117" w:after="0"/>
        <w:ind w:left="646" w:right="348" w:hanging="425"/>
        <w:jc w:val="both"/>
        <w:rPr>
          <w:sz w:val="24"/>
        </w:rPr>
      </w:pPr>
      <w:r>
        <w:rPr>
          <w:spacing w:val="-2"/>
          <w:sz w:val="24"/>
        </w:rPr>
        <w:t>受试者可根据他</w:t>
      </w:r>
      <w:r>
        <w:rPr>
          <w:rFonts w:ascii="Times New Roman" w:hAnsi="Times New Roman" w:eastAsia="Times New Roman"/>
          <w:spacing w:val="-2"/>
          <w:sz w:val="24"/>
        </w:rPr>
        <w:t>/</w:t>
      </w:r>
      <w:r>
        <w:rPr>
          <w:spacing w:val="-2"/>
          <w:sz w:val="24"/>
        </w:rPr>
        <w:t>她自己的要求在任意时间退出研究，或研究者出于安全性、行</w:t>
      </w:r>
      <w:r>
        <w:rPr>
          <w:sz w:val="24"/>
        </w:rPr>
        <w:t>为的考量、依从性或给药原因酌情决定，在任意时间安排受试者退出。这种情</w:t>
      </w:r>
      <w:r>
        <w:rPr>
          <w:spacing w:val="-2"/>
          <w:sz w:val="24"/>
        </w:rPr>
        <w:t>况并不常见。</w:t>
      </w:r>
    </w:p>
    <w:p>
      <w:pPr>
        <w:pStyle w:val="ListParagraph"/>
        <w:numPr>
          <w:ilvl w:val="0"/>
          <w:numId w:val="30"/>
        </w:numPr>
        <w:tabs>
          <w:tab w:pos="646" w:val="left" w:leader="none"/>
        </w:tabs>
        <w:spacing w:line="240" w:lineRule="auto" w:before="58" w:after="0"/>
        <w:ind w:left="646" w:right="127" w:hanging="425"/>
        <w:jc w:val="both"/>
        <w:rPr>
          <w:sz w:val="24"/>
        </w:rPr>
      </w:pPr>
      <w:r>
        <w:rPr>
          <w:spacing w:val="4"/>
          <w:sz w:val="24"/>
        </w:rPr>
        <w:t>研究者必须告知考虑退出研究的受试者关于更改的随访选项（</w:t>
      </w:r>
      <w:r>
        <w:rPr>
          <w:spacing w:val="3"/>
          <w:sz w:val="24"/>
        </w:rPr>
        <w:t>例如，电话联系、与亲属或主治医生联系、或病历信息）。</w:t>
      </w:r>
    </w:p>
    <w:p>
      <w:pPr>
        <w:pStyle w:val="ListParagraph"/>
        <w:numPr>
          <w:ilvl w:val="0"/>
          <w:numId w:val="30"/>
        </w:numPr>
        <w:tabs>
          <w:tab w:pos="646" w:val="left" w:leader="none"/>
        </w:tabs>
        <w:spacing w:line="240" w:lineRule="auto" w:before="59" w:after="0"/>
        <w:ind w:left="646" w:right="357" w:hanging="425"/>
        <w:jc w:val="both"/>
        <w:rPr>
          <w:sz w:val="24"/>
        </w:rPr>
      </w:pPr>
      <w:r>
        <w:rPr>
          <w:spacing w:val="-11"/>
          <w:sz w:val="24"/>
        </w:rPr>
        <w:t>如第 </w:t>
      </w:r>
      <w:hyperlink w:history="true" w:anchor="_bookmark7">
        <w:r>
          <w:rPr>
            <w:rFonts w:ascii="Times New Roman" w:hAnsi="Times New Roman" w:eastAsia="Times New Roman"/>
            <w:color w:val="0000FF"/>
            <w:spacing w:val="-2"/>
            <w:sz w:val="24"/>
          </w:rPr>
          <w:t>1.3</w:t>
        </w:r>
      </w:hyperlink>
      <w:r>
        <w:rPr>
          <w:rFonts w:ascii="Times New Roman" w:hAnsi="Times New Roman" w:eastAsia="Times New Roman"/>
          <w:color w:val="0000FF"/>
          <w:spacing w:val="-13"/>
          <w:sz w:val="24"/>
        </w:rPr>
        <w:t> </w:t>
      </w:r>
      <w:r>
        <w:rPr>
          <w:spacing w:val="-4"/>
          <w:sz w:val="24"/>
        </w:rPr>
        <w:t>节所示，退出研究时，如果可能，应进行 </w:t>
      </w:r>
      <w:r>
        <w:rPr>
          <w:rFonts w:ascii="Times New Roman" w:hAnsi="Times New Roman" w:eastAsia="Times New Roman"/>
          <w:spacing w:val="-2"/>
          <w:sz w:val="24"/>
        </w:rPr>
        <w:t>E/D</w:t>
      </w:r>
      <w:r>
        <w:rPr>
          <w:rFonts w:ascii="Times New Roman" w:hAnsi="Times New Roman" w:eastAsia="Times New Roman"/>
          <w:spacing w:val="-13"/>
          <w:sz w:val="24"/>
        </w:rPr>
        <w:t> </w:t>
      </w:r>
      <w:r>
        <w:rPr>
          <w:spacing w:val="-2"/>
          <w:sz w:val="24"/>
        </w:rPr>
        <w:t>访视。有关退出研究时和</w:t>
      </w:r>
      <w:r>
        <w:rPr>
          <w:spacing w:val="-3"/>
          <w:sz w:val="24"/>
        </w:rPr>
        <w:t>随访时需收集的数据以及需要完成的进一步评价，请见第 </w:t>
      </w:r>
      <w:hyperlink w:history="true" w:anchor="_bookmark7">
        <w:r>
          <w:rPr>
            <w:rFonts w:ascii="Times New Roman" w:hAnsi="Times New Roman" w:eastAsia="Times New Roman"/>
            <w:color w:val="0000FF"/>
            <w:spacing w:val="-2"/>
            <w:sz w:val="24"/>
          </w:rPr>
          <w:t>1.3</w:t>
        </w:r>
      </w:hyperlink>
      <w:r>
        <w:rPr>
          <w:rFonts w:ascii="Times New Roman" w:hAnsi="Times New Roman" w:eastAsia="Times New Roman"/>
          <w:color w:val="0000FF"/>
          <w:spacing w:val="6"/>
          <w:sz w:val="24"/>
        </w:rPr>
        <w:t> </w:t>
      </w:r>
      <w:r>
        <w:rPr>
          <w:spacing w:val="-2"/>
          <w:sz w:val="24"/>
        </w:rPr>
        <w:t>节。受试者将终止 </w:t>
      </w:r>
      <w:r>
        <w:rPr>
          <w:rFonts w:ascii="Times New Roman" w:hAnsi="Times New Roman" w:eastAsia="Times New Roman"/>
          <w:spacing w:val="-2"/>
          <w:sz w:val="24"/>
        </w:rPr>
        <w:t>IP</w:t>
      </w:r>
      <w:r>
        <w:rPr>
          <w:spacing w:val="-2"/>
          <w:sz w:val="24"/>
        </w:rPr>
        <w:t>，并在当时退出研究。</w:t>
      </w:r>
    </w:p>
    <w:p>
      <w:pPr>
        <w:pStyle w:val="ListParagraph"/>
        <w:numPr>
          <w:ilvl w:val="0"/>
          <w:numId w:val="30"/>
        </w:numPr>
        <w:tabs>
          <w:tab w:pos="646" w:val="left" w:leader="none"/>
        </w:tabs>
        <w:spacing w:line="240" w:lineRule="auto" w:before="57" w:after="0"/>
        <w:ind w:left="646" w:right="363" w:hanging="425"/>
        <w:jc w:val="both"/>
        <w:rPr>
          <w:sz w:val="24"/>
        </w:rPr>
      </w:pPr>
      <w:r>
        <w:rPr>
          <w:spacing w:val="3"/>
          <w:sz w:val="24"/>
        </w:rPr>
        <w:t>如果受试者撤回了披露后续信息的同意书，申办者可保留并继续使用撤回同意前收集的全部数据。</w:t>
      </w:r>
    </w:p>
    <w:p>
      <w:pPr>
        <w:pStyle w:val="ListParagraph"/>
        <w:numPr>
          <w:ilvl w:val="0"/>
          <w:numId w:val="30"/>
        </w:numPr>
        <w:tabs>
          <w:tab w:pos="646" w:val="left" w:leader="none"/>
        </w:tabs>
        <w:spacing w:line="240" w:lineRule="auto" w:before="59" w:after="0"/>
        <w:ind w:left="646" w:right="363" w:hanging="425"/>
        <w:jc w:val="both"/>
        <w:rPr>
          <w:sz w:val="24"/>
        </w:rPr>
      </w:pPr>
      <w:r>
        <w:rPr>
          <w:spacing w:val="3"/>
          <w:sz w:val="24"/>
        </w:rPr>
        <w:t>如果受试者退出研究，应确认其是否仍同意按照原始同意书使用现有样本。如果受试者要求撤回使用样本的知情同意，则应依照知情同意书和当地法规要求销毁已采集但并未检测的所有样本。研究者必须在研究中心的研究记录文件中记录现有样本的使用决定，并通知全球研究团队。</w:t>
      </w:r>
    </w:p>
    <w:p>
      <w:pPr>
        <w:pStyle w:val="ListParagraph"/>
        <w:numPr>
          <w:ilvl w:val="0"/>
          <w:numId w:val="30"/>
        </w:numPr>
        <w:tabs>
          <w:tab w:pos="646" w:val="left" w:leader="none"/>
        </w:tabs>
        <w:spacing w:line="240" w:lineRule="auto" w:before="58" w:after="0"/>
        <w:ind w:left="646" w:right="127" w:hanging="425"/>
        <w:jc w:val="left"/>
        <w:rPr>
          <w:sz w:val="24"/>
        </w:rPr>
      </w:pPr>
      <w:r>
        <w:rPr>
          <w:sz w:val="24"/>
        </w:rPr>
        <w:t>询问受试者其撤回知情同意的原因以及是否出现任何 </w:t>
      </w:r>
      <w:r>
        <w:rPr>
          <w:rFonts w:ascii="Times New Roman" w:hAnsi="Times New Roman" w:eastAsia="Times New Roman"/>
          <w:sz w:val="24"/>
        </w:rPr>
        <w:t>AE</w:t>
      </w:r>
      <w:r>
        <w:rPr>
          <w:sz w:val="24"/>
        </w:rPr>
        <w:t>。根据临床指征，研究</w:t>
      </w:r>
      <w:r>
        <w:rPr>
          <w:spacing w:val="-2"/>
          <w:sz w:val="24"/>
        </w:rPr>
        <w:t>者将对受试者进行随访。依照当地法规，申办者或其代表要求研究者在研究结</w:t>
      </w:r>
      <w:r>
        <w:rPr>
          <w:spacing w:val="21"/>
          <w:sz w:val="24"/>
        </w:rPr>
        <w:t>  </w:t>
      </w:r>
      <w:r>
        <w:rPr>
          <w:spacing w:val="20"/>
          <w:sz w:val="24"/>
        </w:rPr>
        <w:t>束时收集公共资源中受试者生命状况信息</w:t>
      </w:r>
      <w:r>
        <w:rPr>
          <w:sz w:val="24"/>
        </w:rPr>
        <w:t>（</w:t>
      </w:r>
      <w:r>
        <w:rPr>
          <w:spacing w:val="-3"/>
          <w:sz w:val="24"/>
        </w:rPr>
        <w:t> 死亡或存活； 死亡日期</w:t>
      </w:r>
      <w:r>
        <w:rPr>
          <w:sz w:val="24"/>
        </w:rPr>
        <w:t>（</w:t>
      </w:r>
      <w:r>
        <w:rPr>
          <w:spacing w:val="-20"/>
          <w:sz w:val="24"/>
        </w:rPr>
        <w:t> 如适用</w:t>
      </w:r>
      <w:r>
        <w:rPr>
          <w:spacing w:val="-2"/>
          <w:sz w:val="24"/>
        </w:rPr>
        <w:t>））。了解所有受试者在研究结束时的生命状况对于研究的完整性至关重要。</w:t>
      </w:r>
    </w:p>
    <w:p>
      <w:pPr>
        <w:pStyle w:val="ListParagraph"/>
        <w:numPr>
          <w:ilvl w:val="0"/>
          <w:numId w:val="30"/>
        </w:numPr>
        <w:tabs>
          <w:tab w:pos="646" w:val="left" w:leader="none"/>
        </w:tabs>
        <w:spacing w:line="240" w:lineRule="auto" w:before="57" w:after="0"/>
        <w:ind w:left="646" w:right="363" w:hanging="425"/>
        <w:jc w:val="left"/>
        <w:rPr>
          <w:sz w:val="24"/>
        </w:rPr>
      </w:pPr>
      <w:r>
        <w:rPr>
          <w:spacing w:val="3"/>
          <w:sz w:val="24"/>
        </w:rPr>
        <w:t>终止治疗或退出研究后，由研究者负责全面评估受试者，以确保受试者根据其临床状态</w:t>
      </w:r>
      <w:r>
        <w:rPr>
          <w:rFonts w:ascii="Times New Roman" w:hAnsi="Times New Roman" w:eastAsia="Times New Roman"/>
          <w:spacing w:val="3"/>
          <w:sz w:val="24"/>
        </w:rPr>
        <w:t>/</w:t>
      </w:r>
      <w:r>
        <w:rPr>
          <w:spacing w:val="3"/>
          <w:sz w:val="24"/>
        </w:rPr>
        <w:t>疾病接受适当治疗。</w:t>
      </w:r>
    </w:p>
    <w:p>
      <w:pPr>
        <w:pStyle w:val="BodyText"/>
        <w:spacing w:before="142"/>
        <w:ind w:left="0"/>
      </w:pPr>
    </w:p>
    <w:p>
      <w:pPr>
        <w:pStyle w:val="Heading2"/>
        <w:numPr>
          <w:ilvl w:val="2"/>
          <w:numId w:val="3"/>
        </w:numPr>
        <w:tabs>
          <w:tab w:pos="1371" w:val="left" w:leader="none"/>
        </w:tabs>
        <w:spacing w:line="240" w:lineRule="auto" w:before="1" w:after="0"/>
        <w:ind w:left="1371" w:right="0" w:hanging="1150"/>
        <w:jc w:val="both"/>
      </w:pPr>
      <w:bookmarkStart w:name="7.2.1 撤回捐献生物样本的知情同意书" w:id="150"/>
      <w:bookmarkEnd w:id="150"/>
      <w:r>
        <w:rPr>
          <w:b w:val="0"/>
        </w:rPr>
      </w:r>
      <w:bookmarkStart w:name="_bookmark77" w:id="151"/>
      <w:bookmarkEnd w:id="151"/>
      <w:r>
        <w:rPr>
          <w:b w:val="0"/>
        </w:rPr>
      </w:r>
      <w:r>
        <w:rPr>
          <w:spacing w:val="-5"/>
        </w:rPr>
        <w:t>撤回捐献生物样本的知情同意书</w:t>
      </w:r>
    </w:p>
    <w:p>
      <w:pPr>
        <w:pStyle w:val="BodyText"/>
        <w:spacing w:line="276" w:lineRule="auto" w:before="120"/>
        <w:ind w:right="354" w:firstLine="480"/>
        <w:jc w:val="both"/>
      </w:pPr>
      <w:r>
        <w:rPr>
          <w:spacing w:val="-2"/>
        </w:rPr>
        <w:t>若受试者撤回有关捐献生物样本使用的知情同意书，样本将被处理</w:t>
      </w:r>
      <w:r>
        <w:rPr>
          <w:rFonts w:ascii="Times New Roman" w:eastAsia="Times New Roman"/>
          <w:spacing w:val="-2"/>
        </w:rPr>
        <w:t>/</w:t>
      </w:r>
      <w:r>
        <w:rPr>
          <w:spacing w:val="-2"/>
        </w:rPr>
        <w:t>销毁，并记录采取的措施。生物样本采集是研究不可或缺的一部分，其中强制性采样符合临床安全性实验室检查要求。</w:t>
      </w:r>
    </w:p>
    <w:p>
      <w:pPr>
        <w:pStyle w:val="BodyText"/>
        <w:spacing w:line="276" w:lineRule="auto" w:before="237"/>
        <w:ind w:right="365" w:firstLine="480"/>
        <w:jc w:val="both"/>
      </w:pPr>
      <w:r>
        <w:rPr>
          <w:spacing w:val="-2"/>
        </w:rPr>
        <w:t>对于不允许进一步采集或分析对临床安全性实验室检查至关重要的强制性生物样本的受试者，将需要终止 </w:t>
      </w:r>
      <w:r>
        <w:rPr>
          <w:rFonts w:ascii="Times New Roman" w:eastAsia="Times New Roman"/>
        </w:rPr>
        <w:t>IP </w:t>
      </w:r>
      <w:r>
        <w:rPr/>
        <w:t>治疗。</w:t>
      </w:r>
    </w:p>
    <w:p>
      <w:pPr>
        <w:pStyle w:val="BodyText"/>
        <w:spacing w:before="238"/>
        <w:ind w:left="701"/>
      </w:pPr>
      <w:r>
        <w:rPr>
          <w:spacing w:val="-3"/>
        </w:rPr>
        <w:t>撤回捐献生物样本的同意书时应采取的其他措施请见附录 </w:t>
      </w:r>
      <w:hyperlink w:history="true" w:anchor="_bookmark154">
        <w:r>
          <w:rPr>
            <w:rFonts w:ascii="Times New Roman" w:eastAsia="Times New Roman"/>
            <w:color w:val="0000FF"/>
          </w:rPr>
          <w:t>C</w:t>
        </w:r>
        <w:r>
          <w:rPr>
            <w:rFonts w:ascii="Times New Roman" w:eastAsia="Times New Roman"/>
            <w:color w:val="0000FF"/>
            <w:spacing w:val="-1"/>
          </w:rPr>
          <w:t> </w:t>
        </w:r>
        <w:r>
          <w:rPr>
            <w:rFonts w:ascii="Times New Roman" w:eastAsia="Times New Roman"/>
            <w:color w:val="0000FF"/>
          </w:rPr>
          <w:t>2</w:t>
        </w:r>
      </w:hyperlink>
      <w:r>
        <w:rPr>
          <w:spacing w:val="-10"/>
        </w:rPr>
        <w:t>。</w:t>
      </w:r>
    </w:p>
    <w:p>
      <w:pPr>
        <w:spacing w:after="0"/>
        <w:sectPr>
          <w:pgSz w:w="11910" w:h="16840"/>
          <w:pgMar w:header="590" w:footer="784" w:top="1340" w:bottom="980" w:left="1480" w:right="1080"/>
        </w:sectPr>
      </w:pPr>
    </w:p>
    <w:p>
      <w:pPr>
        <w:pStyle w:val="Heading1"/>
        <w:numPr>
          <w:ilvl w:val="1"/>
          <w:numId w:val="3"/>
        </w:numPr>
        <w:tabs>
          <w:tab w:pos="1355" w:val="left" w:leader="none"/>
        </w:tabs>
        <w:spacing w:line="240" w:lineRule="auto" w:before="88" w:after="0"/>
        <w:ind w:left="1355" w:right="0" w:hanging="1134"/>
        <w:jc w:val="left"/>
      </w:pPr>
      <w:bookmarkStart w:name="7.3 失访" w:id="152"/>
      <w:bookmarkEnd w:id="152"/>
      <w:r>
        <w:rPr>
          <w:b w:val="0"/>
        </w:rPr>
      </w:r>
      <w:bookmarkStart w:name="_bookmark78" w:id="153"/>
      <w:bookmarkEnd w:id="153"/>
      <w:r>
        <w:rPr>
          <w:b w:val="0"/>
        </w:rPr>
      </w:r>
      <w:r>
        <w:rPr>
          <w:spacing w:val="-6"/>
        </w:rPr>
        <w:t>失访</w:t>
      </w:r>
    </w:p>
    <w:p>
      <w:pPr>
        <w:pStyle w:val="BodyText"/>
        <w:spacing w:line="276" w:lineRule="auto" w:before="119"/>
        <w:ind w:right="365" w:firstLine="480"/>
      </w:pPr>
      <w:r>
        <w:rPr>
          <w:spacing w:val="-2"/>
        </w:rPr>
        <w:t>如果受试者在计划访视时多次未返回研究中心，并且研究中心无法与其取得联系，则认为该受试者失访。</w:t>
      </w:r>
    </w:p>
    <w:p>
      <w:pPr>
        <w:pStyle w:val="BodyText"/>
        <w:spacing w:line="276" w:lineRule="auto" w:before="238"/>
        <w:ind w:right="354" w:firstLine="480"/>
        <w:jc w:val="both"/>
      </w:pPr>
      <w:r>
        <w:rPr>
          <w:spacing w:val="-2"/>
        </w:rPr>
        <w:t>为避免受试者失访，研究中心工作人员或代表应在最初收集其联系方式（包括近亲或其他紧急联系人）并定期更新（如国家法规允许）。研究者应告知受试者有关在研究期间与研究者保持联系的重要性。</w:t>
      </w:r>
    </w:p>
    <w:p>
      <w:pPr>
        <w:pStyle w:val="BodyText"/>
        <w:spacing w:before="238"/>
        <w:ind w:left="701"/>
      </w:pPr>
      <w:r>
        <w:rPr>
          <w:spacing w:val="-1"/>
        </w:rPr>
        <w:t>如果确定受试者可能失访，必须采取以下措施：</w:t>
      </w:r>
    </w:p>
    <w:p>
      <w:pPr>
        <w:pStyle w:val="ListParagraph"/>
        <w:numPr>
          <w:ilvl w:val="0"/>
          <w:numId w:val="31"/>
        </w:numPr>
        <w:tabs>
          <w:tab w:pos="646" w:val="left" w:leader="none"/>
        </w:tabs>
        <w:spacing w:line="240" w:lineRule="auto" w:before="284" w:after="0"/>
        <w:ind w:left="646" w:right="363" w:hanging="425"/>
        <w:jc w:val="left"/>
        <w:rPr>
          <w:sz w:val="24"/>
        </w:rPr>
      </w:pPr>
      <w:r>
        <w:rPr>
          <w:spacing w:val="3"/>
          <w:sz w:val="24"/>
        </w:rPr>
        <w:t>研究中心必须尝试联系受试者，并尽快重新安排错过的访视，告知受试者维持分配的访视计划的重要性。</w:t>
      </w:r>
    </w:p>
    <w:p>
      <w:pPr>
        <w:pStyle w:val="ListParagraph"/>
        <w:numPr>
          <w:ilvl w:val="0"/>
          <w:numId w:val="31"/>
        </w:numPr>
        <w:tabs>
          <w:tab w:pos="646" w:val="left" w:leader="none"/>
        </w:tabs>
        <w:spacing w:line="240" w:lineRule="auto" w:before="59" w:after="0"/>
        <w:ind w:left="646" w:right="359" w:hanging="425"/>
        <w:jc w:val="left"/>
        <w:rPr>
          <w:sz w:val="24"/>
        </w:rPr>
      </w:pPr>
      <w:r>
        <w:rPr>
          <w:spacing w:val="-2"/>
          <w:sz w:val="24"/>
        </w:rPr>
        <w:t>必须反复尝试通过电话、传真、电子邮件、挂号信和</w:t>
      </w:r>
      <w:r>
        <w:rPr>
          <w:rFonts w:ascii="Times New Roman" w:hAnsi="Times New Roman" w:eastAsia="Times New Roman"/>
          <w:spacing w:val="-2"/>
          <w:sz w:val="24"/>
        </w:rPr>
        <w:t>/</w:t>
      </w:r>
      <w:r>
        <w:rPr>
          <w:spacing w:val="-2"/>
          <w:sz w:val="24"/>
        </w:rPr>
        <w:t>或通过受试者定位机构联系受试者或近亲</w:t>
      </w:r>
      <w:r>
        <w:rPr>
          <w:rFonts w:ascii="Times New Roman" w:hAnsi="Times New Roman" w:eastAsia="Times New Roman"/>
          <w:spacing w:val="-2"/>
          <w:sz w:val="24"/>
        </w:rPr>
        <w:t>/</w:t>
      </w:r>
      <w:r>
        <w:rPr>
          <w:spacing w:val="-2"/>
          <w:sz w:val="24"/>
        </w:rPr>
        <w:t>紧急联系人（如国家法规允许）。</w:t>
      </w:r>
    </w:p>
    <w:p>
      <w:pPr>
        <w:pStyle w:val="ListParagraph"/>
        <w:numPr>
          <w:ilvl w:val="0"/>
          <w:numId w:val="31"/>
        </w:numPr>
        <w:tabs>
          <w:tab w:pos="646" w:val="left" w:leader="none"/>
        </w:tabs>
        <w:spacing w:line="240" w:lineRule="auto" w:before="59" w:after="0"/>
        <w:ind w:left="646" w:right="363" w:hanging="425"/>
        <w:jc w:val="left"/>
        <w:rPr>
          <w:sz w:val="24"/>
        </w:rPr>
      </w:pPr>
      <w:r>
        <w:rPr>
          <w:spacing w:val="3"/>
          <w:sz w:val="24"/>
        </w:rPr>
        <w:t>必须反复尝试通过现有的医院记录、受试者的初级医师和公开的死亡登记找到并获得受试者的相关医疗信息，以获取当前的生存状态（如国家法规允许）。</w:t>
      </w:r>
    </w:p>
    <w:p>
      <w:pPr>
        <w:pStyle w:val="ListParagraph"/>
        <w:numPr>
          <w:ilvl w:val="0"/>
          <w:numId w:val="31"/>
        </w:numPr>
        <w:tabs>
          <w:tab w:pos="646" w:val="left" w:leader="none"/>
        </w:tabs>
        <w:spacing w:line="240" w:lineRule="auto" w:before="59" w:after="0"/>
        <w:ind w:left="646" w:right="357" w:hanging="425"/>
        <w:jc w:val="left"/>
        <w:rPr>
          <w:sz w:val="24"/>
        </w:rPr>
      </w:pPr>
      <w:r>
        <w:rPr>
          <w:spacing w:val="-2"/>
          <w:sz w:val="24"/>
        </w:rPr>
        <w:t>若当地法规允许，</w:t>
      </w:r>
      <w:r>
        <w:rPr>
          <w:rFonts w:ascii="Times New Roman" w:hAnsi="Times New Roman" w:eastAsia="Times New Roman"/>
          <w:spacing w:val="-2"/>
          <w:sz w:val="24"/>
        </w:rPr>
        <w:t>ICF</w:t>
      </w:r>
      <w:r>
        <w:rPr>
          <w:rFonts w:ascii="Times New Roman" w:hAnsi="Times New Roman" w:eastAsia="Times New Roman"/>
          <w:spacing w:val="-7"/>
          <w:sz w:val="24"/>
        </w:rPr>
        <w:t> </w:t>
      </w:r>
      <w:r>
        <w:rPr>
          <w:spacing w:val="-2"/>
          <w:sz w:val="24"/>
        </w:rPr>
        <w:t>中应包括选择雇佣外部公司采用公开发表资源以帮助获取失访受试者的更新后联系信息或确定其生命状态。</w:t>
      </w:r>
    </w:p>
    <w:p>
      <w:pPr>
        <w:pStyle w:val="BodyText"/>
        <w:spacing w:before="22"/>
        <w:ind w:left="0"/>
      </w:pPr>
    </w:p>
    <w:p>
      <w:pPr>
        <w:pStyle w:val="BodyText"/>
        <w:ind w:left="701"/>
      </w:pPr>
      <w:r>
        <w:rPr>
          <w:spacing w:val="-1"/>
        </w:rPr>
        <w:t>研究结束前，应始终尝试联系受试者。</w:t>
      </w:r>
    </w:p>
    <w:p>
      <w:pPr>
        <w:pStyle w:val="BodyText"/>
        <w:spacing w:line="276" w:lineRule="auto" w:before="288"/>
        <w:ind w:right="365" w:firstLine="480"/>
      </w:pPr>
      <w:r>
        <w:rPr>
          <w:spacing w:val="-2"/>
        </w:rPr>
        <w:t>只有当受试者未能返回接受要求的研究访视，且尽管进行了上述所有尝试，在研究结束时其生命状态仍未知时，才将其归类为失访。</w:t>
      </w:r>
    </w:p>
    <w:p>
      <w:pPr>
        <w:pStyle w:val="BodyText"/>
        <w:spacing w:before="237"/>
        <w:ind w:left="701"/>
      </w:pPr>
      <w:r>
        <w:rPr/>
        <w:t>终止特定研究中心或整体研究将作为</w:t>
      </w:r>
      <w:hyperlink w:history="true" w:anchor="_bookmark149">
        <w:r>
          <w:rPr>
            <w:color w:val="0000FF"/>
            <w:spacing w:val="-20"/>
          </w:rPr>
          <w:t>附录 </w:t>
        </w:r>
        <w:r>
          <w:rPr>
            <w:rFonts w:ascii="Times New Roman" w:eastAsia="Times New Roman"/>
            <w:color w:val="0000FF"/>
          </w:rPr>
          <w:t>A</w:t>
        </w:r>
      </w:hyperlink>
      <w:r>
        <w:rPr>
          <w:rFonts w:ascii="Times New Roman" w:eastAsia="Times New Roman"/>
          <w:color w:val="0000FF"/>
          <w:spacing w:val="-13"/>
        </w:rPr>
        <w:t> </w:t>
      </w:r>
      <w:r>
        <w:rPr>
          <w:spacing w:val="-2"/>
        </w:rPr>
        <w:t>的一部分进行处理。</w:t>
      </w:r>
    </w:p>
    <w:p>
      <w:pPr>
        <w:pStyle w:val="Heading1"/>
        <w:numPr>
          <w:ilvl w:val="0"/>
          <w:numId w:val="3"/>
        </w:numPr>
        <w:tabs>
          <w:tab w:pos="1355" w:val="left" w:leader="none"/>
        </w:tabs>
        <w:spacing w:line="240" w:lineRule="auto" w:before="286" w:after="0"/>
        <w:ind w:left="1355" w:right="0" w:hanging="1134"/>
        <w:jc w:val="left"/>
      </w:pPr>
      <w:bookmarkStart w:name="8 研究评估和操作步骤" w:id="154"/>
      <w:bookmarkEnd w:id="154"/>
      <w:r>
        <w:rPr>
          <w:b w:val="0"/>
        </w:rPr>
      </w:r>
      <w:bookmarkStart w:name="_bookmark79" w:id="155"/>
      <w:bookmarkEnd w:id="155"/>
      <w:r>
        <w:rPr>
          <w:b w:val="0"/>
        </w:rPr>
      </w:r>
      <w:r>
        <w:rPr>
          <w:spacing w:val="-5"/>
        </w:rPr>
        <w:t>研究评估和操作步骤</w:t>
      </w:r>
    </w:p>
    <w:p>
      <w:pPr>
        <w:pStyle w:val="BodyText"/>
        <w:spacing w:line="276" w:lineRule="auto" w:before="119"/>
        <w:ind w:right="357" w:firstLine="480"/>
        <w:jc w:val="both"/>
      </w:pPr>
      <w:r>
        <w:rPr>
          <w:spacing w:val="2"/>
        </w:rPr>
        <w:t>研究步骤及其时间总结请见</w:t>
      </w:r>
      <w:r>
        <w:rPr>
          <w:rFonts w:ascii="Times New Roman" w:eastAsia="Times New Roman"/>
        </w:rPr>
        <w:t>SoA</w:t>
      </w:r>
      <w:r>
        <w:rPr/>
        <w:t>（</w:t>
      </w:r>
      <w:r>
        <w:rPr>
          <w:spacing w:val="34"/>
        </w:rPr>
        <w:t>第</w:t>
      </w:r>
      <w:hyperlink w:history="true" w:anchor="_bookmark7">
        <w:r>
          <w:rPr>
            <w:rFonts w:ascii="Times New Roman" w:eastAsia="Times New Roman"/>
            <w:color w:val="0000FF"/>
          </w:rPr>
          <w:t>1.3</w:t>
        </w:r>
      </w:hyperlink>
      <w:r>
        <w:rPr>
          <w:rFonts w:ascii="Times New Roman" w:eastAsia="Times New Roman"/>
          <w:color w:val="0000FF"/>
          <w:spacing w:val="-15"/>
        </w:rPr>
        <w:t> </w:t>
      </w:r>
      <w:r>
        <w:rPr/>
        <w:t>节）。不允许研究方案申请免除或采取</w:t>
      </w:r>
      <w:r>
        <w:rPr>
          <w:spacing w:val="-2"/>
        </w:rPr>
        <w:t>治疗用药豁免措施。</w:t>
      </w:r>
    </w:p>
    <w:p>
      <w:pPr>
        <w:pStyle w:val="BodyText"/>
        <w:spacing w:line="276" w:lineRule="auto" w:before="239"/>
        <w:ind w:right="357" w:firstLine="480"/>
        <w:jc w:val="both"/>
      </w:pPr>
      <w:r>
        <w:rPr>
          <w:spacing w:val="-3"/>
        </w:rPr>
        <w:t>研究者将确保数据记录在 </w:t>
      </w:r>
      <w:r>
        <w:rPr>
          <w:rFonts w:ascii="Times New Roman" w:eastAsia="Times New Roman"/>
        </w:rPr>
        <w:t>eCRF</w:t>
      </w:r>
      <w:r>
        <w:rPr>
          <w:rFonts w:ascii="Times New Roman" w:eastAsia="Times New Roman"/>
          <w:spacing w:val="-15"/>
        </w:rPr>
        <w:t> </w:t>
      </w:r>
      <w:r>
        <w:rPr>
          <w:spacing w:val="-6"/>
        </w:rPr>
        <w:t>中。采用 </w:t>
      </w:r>
      <w:r>
        <w:rPr>
          <w:rFonts w:ascii="Times New Roman" w:eastAsia="Times New Roman"/>
        </w:rPr>
        <w:t>EDC</w:t>
      </w:r>
      <w:r>
        <w:rPr>
          <w:rFonts w:ascii="Times New Roman" w:eastAsia="Times New Roman"/>
          <w:spacing w:val="-15"/>
        </w:rPr>
        <w:t> </w:t>
      </w:r>
      <w:r>
        <w:rPr/>
        <w:t>系统，进行数据收集和处理数据</w:t>
      </w:r>
      <w:r>
        <w:rPr>
          <w:spacing w:val="-4"/>
        </w:rPr>
        <w:t>疑问表。</w:t>
      </w:r>
    </w:p>
    <w:p>
      <w:pPr>
        <w:pStyle w:val="BodyText"/>
        <w:spacing w:line="276" w:lineRule="auto" w:before="238"/>
        <w:ind w:right="358" w:firstLine="480"/>
        <w:jc w:val="both"/>
      </w:pPr>
      <w:r>
        <w:rPr/>
        <w:t>在 </w:t>
      </w:r>
      <w:r>
        <w:rPr>
          <w:rFonts w:ascii="Times New Roman" w:eastAsia="Times New Roman"/>
        </w:rPr>
        <w:t>PROSPERO</w:t>
      </w:r>
      <w:r>
        <w:rPr>
          <w:rFonts w:ascii="Times New Roman" w:eastAsia="Times New Roman"/>
          <w:spacing w:val="40"/>
        </w:rPr>
        <w:t> </w:t>
      </w:r>
      <w:r>
        <w:rPr/>
        <w:t>研究的随机化和首次给药之前，所有相关数据，包括但不限于 </w:t>
      </w:r>
      <w:r>
        <w:rPr>
          <w:rFonts w:ascii="Times New Roman" w:eastAsia="Times New Roman"/>
        </w:rPr>
        <w:t>AE</w:t>
      </w:r>
      <w:r>
        <w:rPr/>
        <w:t>、</w:t>
      </w:r>
      <w:r>
        <w:rPr>
          <w:rFonts w:ascii="Times New Roman" w:eastAsia="Times New Roman"/>
        </w:rPr>
        <w:t>SAE</w:t>
      </w:r>
      <w:r>
        <w:rPr/>
        <w:t>、</w:t>
      </w:r>
      <w:r>
        <w:rPr>
          <w:rFonts w:ascii="Times New Roman" w:eastAsia="Times New Roman"/>
        </w:rPr>
        <w:t>CM</w:t>
      </w:r>
      <w:r>
        <w:rPr/>
        <w:t>、</w:t>
      </w:r>
      <w:r>
        <w:rPr>
          <w:rFonts w:ascii="Times New Roman" w:eastAsia="Times New Roman"/>
        </w:rPr>
        <w:t>HRU</w:t>
      </w:r>
      <w:r>
        <w:rPr>
          <w:rFonts w:ascii="Times New Roman" w:eastAsia="Times New Roman"/>
          <w:spacing w:val="-14"/>
        </w:rPr>
        <w:t> </w:t>
      </w:r>
      <w:r>
        <w:rPr>
          <w:spacing w:val="-15"/>
        </w:rPr>
        <w:t>和 </w:t>
      </w:r>
      <w:r>
        <w:rPr>
          <w:rFonts w:ascii="Times New Roman" w:eastAsia="Times New Roman"/>
        </w:rPr>
        <w:t>COPD </w:t>
      </w:r>
      <w:r>
        <w:rPr/>
        <w:t>急性加重，将作为前身研究的一部分收集，并且应</w:t>
      </w:r>
      <w:r>
        <w:rPr>
          <w:spacing w:val="-2"/>
        </w:rPr>
        <w:t>在前身研究中进行记录和更新。</w:t>
      </w:r>
    </w:p>
    <w:p>
      <w:pPr>
        <w:pStyle w:val="BodyText"/>
        <w:spacing w:line="276" w:lineRule="auto" w:before="238"/>
        <w:ind w:right="358" w:firstLine="480"/>
        <w:jc w:val="both"/>
      </w:pPr>
      <w:r>
        <w:rPr>
          <w:spacing w:val="-2"/>
        </w:rPr>
        <w:t>根据临床研究协议，研究者应确保数据记录以及数据疑问表答复的准确性、完</w:t>
      </w:r>
      <w:r>
        <w:rPr>
          <w:spacing w:val="3"/>
        </w:rPr>
        <w:t>整性和及时性。研究者将在已填写的</w:t>
      </w:r>
      <w:r>
        <w:rPr>
          <w:rFonts w:ascii="Times New Roman" w:eastAsia="Times New Roman"/>
        </w:rPr>
        <w:t>eCRF</w:t>
      </w:r>
      <w:r>
        <w:rPr>
          <w:rFonts w:ascii="Times New Roman" w:eastAsia="Times New Roman"/>
          <w:spacing w:val="-15"/>
        </w:rPr>
        <w:t> </w:t>
      </w:r>
      <w:r>
        <w:rPr>
          <w:spacing w:val="3"/>
        </w:rPr>
        <w:t>上签字。在研究中心将已填写的</w:t>
      </w:r>
      <w:r>
        <w:rPr>
          <w:rFonts w:ascii="Times New Roman" w:eastAsia="Times New Roman"/>
        </w:rPr>
        <w:t>eCRF</w:t>
      </w:r>
      <w:r>
        <w:rPr>
          <w:rFonts w:ascii="Times New Roman" w:eastAsia="Times New Roman"/>
          <w:spacing w:val="-15"/>
        </w:rPr>
        <w:t> </w:t>
      </w:r>
      <w:r>
        <w:rPr/>
        <w:t>副</w:t>
      </w:r>
      <w:r>
        <w:rPr>
          <w:spacing w:val="-4"/>
        </w:rPr>
        <w:t>本归档。</w:t>
      </w:r>
    </w:p>
    <w:p>
      <w:pPr>
        <w:spacing w:after="0" w:line="276" w:lineRule="auto"/>
        <w:jc w:val="both"/>
        <w:sectPr>
          <w:pgSz w:w="11910" w:h="16840"/>
          <w:pgMar w:header="590" w:footer="784" w:top="1340" w:bottom="980" w:left="1480" w:right="1080"/>
        </w:sectPr>
      </w:pPr>
    </w:p>
    <w:p>
      <w:pPr>
        <w:pStyle w:val="BodyText"/>
        <w:spacing w:line="276" w:lineRule="auto" w:before="88"/>
        <w:ind w:right="365" w:firstLine="480"/>
      </w:pPr>
      <w:r>
        <w:rPr>
          <w:spacing w:val="-2"/>
        </w:rPr>
        <w:t>如果发生或意识到安全性担忧时，应立即与申办者进行讨论，以确定受试者是</w:t>
      </w:r>
      <w:r>
        <w:rPr>
          <w:spacing w:val="-3"/>
        </w:rPr>
        <w:t>否应继续或终止 </w:t>
      </w:r>
      <w:r>
        <w:rPr>
          <w:rFonts w:ascii="Times New Roman" w:eastAsia="Times New Roman"/>
        </w:rPr>
        <w:t>IP </w:t>
      </w:r>
      <w:r>
        <w:rPr/>
        <w:t>治疗。</w:t>
      </w:r>
    </w:p>
    <w:p>
      <w:pPr>
        <w:pStyle w:val="BodyText"/>
        <w:spacing w:line="276" w:lineRule="auto" w:before="239"/>
        <w:ind w:right="117" w:firstLine="480"/>
      </w:pPr>
      <w:r>
        <w:rPr/>
        <w:t>遵守研究设计要求（</w:t>
      </w:r>
      <w:r>
        <w:rPr>
          <w:spacing w:val="-17"/>
        </w:rPr>
        <w:t>包括 </w:t>
      </w:r>
      <w:r>
        <w:rPr>
          <w:rFonts w:ascii="Times New Roman" w:eastAsia="Times New Roman"/>
        </w:rPr>
        <w:t>SoA[</w:t>
      </w:r>
      <w:r>
        <w:rPr>
          <w:spacing w:val="-24"/>
        </w:rPr>
        <w:t>第 </w:t>
      </w:r>
      <w:hyperlink w:history="true" w:anchor="_bookmark7">
        <w:r>
          <w:rPr>
            <w:rFonts w:ascii="Times New Roman" w:eastAsia="Times New Roman"/>
            <w:color w:val="0000FF"/>
          </w:rPr>
          <w:t>1.3</w:t>
        </w:r>
      </w:hyperlink>
      <w:r>
        <w:rPr>
          <w:rFonts w:ascii="Times New Roman" w:eastAsia="Times New Roman"/>
          <w:color w:val="0000FF"/>
          <w:spacing w:val="-15"/>
        </w:rPr>
        <w:t> </w:t>
      </w:r>
      <w:r>
        <w:rPr/>
        <w:t>节</w:t>
      </w:r>
      <w:r>
        <w:rPr>
          <w:rFonts w:ascii="Times New Roman" w:eastAsia="Times New Roman"/>
        </w:rPr>
        <w:t>]</w:t>
      </w:r>
      <w:r>
        <w:rPr/>
        <w:t>中规定的要求）对于研究实施至关重要，</w:t>
      </w:r>
      <w:r>
        <w:rPr>
          <w:spacing w:val="-2"/>
        </w:rPr>
        <w:t>也是必需的。</w:t>
      </w:r>
    </w:p>
    <w:p>
      <w:pPr>
        <w:pStyle w:val="BodyText"/>
        <w:spacing w:line="276" w:lineRule="auto" w:before="237"/>
        <w:ind w:right="355" w:firstLine="480"/>
        <w:jc w:val="both"/>
      </w:pPr>
      <w:r>
        <w:rPr>
          <w:spacing w:val="-2"/>
        </w:rPr>
        <w:t>在随机化处理前，必须完成并审查所有入选评估，以确认潜在受试者符合所有合格性标准。研究者将保存记录表，记录所有接受入选程序的受试者的详细信息，并确认合格性或记录入选失败的原因（如适用）。</w:t>
      </w:r>
    </w:p>
    <w:p>
      <w:pPr>
        <w:pStyle w:val="BodyText"/>
        <w:spacing w:line="276" w:lineRule="auto" w:before="238"/>
        <w:ind w:right="356" w:firstLine="480"/>
        <w:jc w:val="both"/>
      </w:pPr>
      <w:r>
        <w:rPr>
          <w:spacing w:val="-2"/>
        </w:rPr>
        <w:t>在进行入选评估时，可采用受试者临床治疗中常规检查数据（如超声心动图、</w:t>
      </w:r>
      <w:r>
        <w:rPr/>
        <w:t>放射学评估）</w:t>
      </w:r>
      <w:r>
        <w:rPr>
          <w:spacing w:val="-8"/>
        </w:rPr>
        <w:t>和签署 </w:t>
      </w:r>
      <w:r>
        <w:rPr>
          <w:rFonts w:ascii="Times New Roman" w:eastAsia="Times New Roman"/>
        </w:rPr>
        <w:t>ICF</w:t>
      </w:r>
      <w:r>
        <w:rPr>
          <w:rFonts w:ascii="Times New Roman" w:eastAsia="Times New Roman"/>
          <w:spacing w:val="11"/>
        </w:rPr>
        <w:t> </w:t>
      </w:r>
      <w:r>
        <w:rPr>
          <w:spacing w:val="-2"/>
        </w:rPr>
        <w:t>前获得的数据，但检查必须符合方案规定的标准并在 </w:t>
      </w:r>
      <w:r>
        <w:rPr>
          <w:rFonts w:ascii="Times New Roman" w:eastAsia="Times New Roman"/>
        </w:rPr>
        <w:t>SoA</w:t>
      </w:r>
      <w:r>
        <w:rPr>
          <w:spacing w:val="-2"/>
        </w:rPr>
        <w:t>规定的时限内进行。</w:t>
      </w:r>
    </w:p>
    <w:p>
      <w:pPr>
        <w:pStyle w:val="BodyText"/>
        <w:spacing w:before="238"/>
        <w:ind w:left="701"/>
      </w:pPr>
      <w:r>
        <w:rPr>
          <w:spacing w:val="-1"/>
        </w:rPr>
        <w:t>出于安全性原因或采样技术问题，可进行重复或非计划采样。</w:t>
      </w:r>
    </w:p>
    <w:p>
      <w:pPr>
        <w:pStyle w:val="Heading1"/>
        <w:numPr>
          <w:ilvl w:val="1"/>
          <w:numId w:val="3"/>
        </w:numPr>
        <w:tabs>
          <w:tab w:pos="1355" w:val="left" w:leader="none"/>
        </w:tabs>
        <w:spacing w:line="240" w:lineRule="auto" w:before="285" w:after="0"/>
        <w:ind w:left="1355" w:right="0" w:hanging="1134"/>
        <w:jc w:val="left"/>
      </w:pPr>
      <w:bookmarkStart w:name="8.1 有效性评估" w:id="156"/>
      <w:bookmarkEnd w:id="156"/>
      <w:r>
        <w:rPr>
          <w:b w:val="0"/>
        </w:rPr>
      </w:r>
      <w:bookmarkStart w:name="_bookmark80" w:id="157"/>
      <w:bookmarkEnd w:id="157"/>
      <w:r>
        <w:rPr>
          <w:b w:val="0"/>
        </w:rPr>
      </w:r>
      <w:r>
        <w:rPr>
          <w:spacing w:val="-6"/>
        </w:rPr>
        <w:t>有效性评估</w:t>
      </w:r>
    </w:p>
    <w:p>
      <w:pPr>
        <w:pStyle w:val="Heading2"/>
        <w:numPr>
          <w:ilvl w:val="2"/>
          <w:numId w:val="3"/>
        </w:numPr>
        <w:tabs>
          <w:tab w:pos="1373" w:val="left" w:leader="none"/>
        </w:tabs>
        <w:spacing w:line="240" w:lineRule="auto" w:before="119" w:after="0"/>
        <w:ind w:left="1373" w:right="0" w:hanging="1152"/>
        <w:jc w:val="left"/>
      </w:pPr>
      <w:bookmarkStart w:name="8.1.1 COPD急性加重评估" w:id="158"/>
      <w:bookmarkEnd w:id="158"/>
      <w:r>
        <w:rPr>
          <w:b w:val="0"/>
        </w:rPr>
      </w:r>
      <w:bookmarkStart w:name="_bookmark81" w:id="159"/>
      <w:bookmarkEnd w:id="159"/>
      <w:r>
        <w:rPr>
          <w:b w:val="0"/>
        </w:rPr>
      </w:r>
      <w:r>
        <w:rPr>
          <w:rFonts w:ascii="Times New Roman" w:eastAsia="Times New Roman"/>
          <w:spacing w:val="-2"/>
        </w:rPr>
        <w:t>COPD</w:t>
      </w:r>
      <w:r>
        <w:rPr>
          <w:rFonts w:ascii="Times New Roman" w:eastAsia="Times New Roman"/>
          <w:spacing w:val="-7"/>
        </w:rPr>
        <w:t> </w:t>
      </w:r>
      <w:r>
        <w:rPr>
          <w:spacing w:val="-4"/>
        </w:rPr>
        <w:t>急性加重评估</w:t>
      </w:r>
    </w:p>
    <w:p>
      <w:pPr>
        <w:pStyle w:val="BodyText"/>
        <w:spacing w:line="276" w:lineRule="auto" w:before="120"/>
        <w:ind w:right="354" w:firstLine="480"/>
        <w:jc w:val="both"/>
      </w:pPr>
      <w:r>
        <w:rPr/>
        <w:t>出于方案目的，</w:t>
      </w:r>
      <w:r>
        <w:rPr>
          <w:rFonts w:ascii="Times New Roman" w:eastAsia="Times New Roman"/>
        </w:rPr>
        <w:t>COPD </w:t>
      </w:r>
      <w:r>
        <w:rPr>
          <w:spacing w:val="-2"/>
        </w:rPr>
        <w:t>急性加重是指受试者平常 </w:t>
      </w:r>
      <w:r>
        <w:rPr>
          <w:rFonts w:ascii="Times New Roman" w:eastAsia="Times New Roman"/>
        </w:rPr>
        <w:t>COPD </w:t>
      </w:r>
      <w:r>
        <w:rPr/>
        <w:t>症状的恶化，即超出常</w:t>
      </w:r>
      <w:r>
        <w:rPr>
          <w:spacing w:val="-2"/>
        </w:rPr>
        <w:t>规的日常变化、急性发作、持续 </w:t>
      </w:r>
      <w:r>
        <w:rPr>
          <w:rFonts w:ascii="Times New Roman" w:eastAsia="Times New Roman"/>
        </w:rPr>
        <w:t>2 </w:t>
      </w:r>
      <w:r>
        <w:rPr>
          <w:spacing w:val="-9"/>
        </w:rPr>
        <w:t>天或 </w:t>
      </w:r>
      <w:r>
        <w:rPr>
          <w:rFonts w:ascii="Times New Roman" w:eastAsia="Times New Roman"/>
        </w:rPr>
        <w:t>2 </w:t>
      </w:r>
      <w:r>
        <w:rPr/>
        <w:t>天以上（或更短时间，如果急性加重如此</w:t>
      </w:r>
      <w:r>
        <w:rPr>
          <w:spacing w:val="-2"/>
        </w:rPr>
        <w:t>迅速且明显，以至于主治医生判断不能延迟强化治疗），以及可能需要改变常规药物，并导致出现以下任一情况：</w:t>
      </w:r>
    </w:p>
    <w:p>
      <w:pPr>
        <w:pStyle w:val="ListParagraph"/>
        <w:numPr>
          <w:ilvl w:val="0"/>
          <w:numId w:val="32"/>
        </w:numPr>
        <w:tabs>
          <w:tab w:pos="646" w:val="left" w:leader="none"/>
        </w:tabs>
        <w:spacing w:line="240" w:lineRule="auto" w:before="236" w:after="0"/>
        <w:ind w:left="646" w:right="361" w:hanging="425"/>
        <w:jc w:val="left"/>
        <w:rPr>
          <w:sz w:val="24"/>
        </w:rPr>
      </w:pPr>
      <w:r>
        <w:rPr>
          <w:spacing w:val="-1"/>
          <w:sz w:val="24"/>
        </w:rPr>
        <w:t>使用全身皮质类固醇至少 </w:t>
      </w:r>
      <w:r>
        <w:rPr>
          <w:rFonts w:ascii="Times New Roman" w:hAnsi="Times New Roman" w:eastAsia="Times New Roman"/>
          <w:sz w:val="24"/>
        </w:rPr>
        <w:t>3</w:t>
      </w:r>
      <w:r>
        <w:rPr>
          <w:rFonts w:ascii="Times New Roman" w:hAnsi="Times New Roman" w:eastAsia="Times New Roman"/>
          <w:spacing w:val="32"/>
          <w:sz w:val="24"/>
        </w:rPr>
        <w:t> </w:t>
      </w:r>
      <w:r>
        <w:rPr>
          <w:sz w:val="24"/>
        </w:rPr>
        <w:t>天；单次注射（</w:t>
      </w:r>
      <w:r>
        <w:rPr>
          <w:rFonts w:ascii="Times New Roman" w:hAnsi="Times New Roman" w:eastAsia="Times New Roman"/>
          <w:sz w:val="24"/>
        </w:rPr>
        <w:t>IM</w:t>
      </w:r>
      <w:r>
        <w:rPr>
          <w:sz w:val="24"/>
        </w:rPr>
        <w:t>）皮质类固醇植入剂的剂量相当</w:t>
      </w:r>
      <w:r>
        <w:rPr>
          <w:spacing w:val="-12"/>
          <w:sz w:val="24"/>
        </w:rPr>
        <w:t>于 </w:t>
      </w:r>
      <w:r>
        <w:rPr>
          <w:rFonts w:ascii="Times New Roman" w:hAnsi="Times New Roman" w:eastAsia="Times New Roman"/>
          <w:sz w:val="24"/>
        </w:rPr>
        <w:t>3 </w:t>
      </w:r>
      <w:r>
        <w:rPr>
          <w:sz w:val="24"/>
        </w:rPr>
        <w:t>天疗程的全身性皮质类固醇。</w:t>
      </w:r>
    </w:p>
    <w:p>
      <w:pPr>
        <w:pStyle w:val="ListParagraph"/>
        <w:numPr>
          <w:ilvl w:val="0"/>
          <w:numId w:val="32"/>
        </w:numPr>
        <w:tabs>
          <w:tab w:pos="646" w:val="left" w:leader="none"/>
        </w:tabs>
        <w:spacing w:line="240" w:lineRule="auto" w:before="60" w:after="0"/>
        <w:ind w:left="646" w:right="0" w:hanging="425"/>
        <w:jc w:val="left"/>
        <w:rPr>
          <w:sz w:val="24"/>
        </w:rPr>
      </w:pPr>
      <w:r>
        <w:rPr>
          <w:spacing w:val="-2"/>
          <w:sz w:val="24"/>
        </w:rPr>
        <w:t>使用抗生素。</w:t>
      </w:r>
    </w:p>
    <w:p>
      <w:pPr>
        <w:pStyle w:val="ListParagraph"/>
        <w:numPr>
          <w:ilvl w:val="0"/>
          <w:numId w:val="32"/>
        </w:numPr>
        <w:tabs>
          <w:tab w:pos="646" w:val="left" w:leader="none"/>
        </w:tabs>
        <w:spacing w:line="240" w:lineRule="auto" w:before="58" w:after="0"/>
        <w:ind w:left="646" w:right="0" w:hanging="425"/>
        <w:jc w:val="left"/>
        <w:rPr>
          <w:sz w:val="24"/>
        </w:rPr>
      </w:pPr>
      <w:r>
        <w:rPr>
          <w:sz w:val="24"/>
        </w:rPr>
        <w:t>需要强化治疗的</w:t>
      </w:r>
      <w:r>
        <w:rPr>
          <w:rFonts w:ascii="Times New Roman" w:hAnsi="Times New Roman" w:eastAsia="Times New Roman"/>
          <w:sz w:val="24"/>
        </w:rPr>
        <w:t>&lt;24</w:t>
      </w:r>
      <w:r>
        <w:rPr>
          <w:rFonts w:ascii="Times New Roman" w:hAnsi="Times New Roman" w:eastAsia="Times New Roman"/>
          <w:spacing w:val="-16"/>
          <w:sz w:val="24"/>
        </w:rPr>
        <w:t> </w:t>
      </w:r>
      <w:r>
        <w:rPr>
          <w:spacing w:val="-15"/>
          <w:sz w:val="24"/>
        </w:rPr>
        <w:t>小时的 </w:t>
      </w:r>
      <w:r>
        <w:rPr>
          <w:rFonts w:ascii="Times New Roman" w:hAnsi="Times New Roman" w:eastAsia="Times New Roman"/>
          <w:sz w:val="24"/>
        </w:rPr>
        <w:t>ER</w:t>
      </w:r>
      <w:r>
        <w:rPr>
          <w:rFonts w:ascii="Times New Roman" w:hAnsi="Times New Roman" w:eastAsia="Times New Roman"/>
          <w:spacing w:val="-13"/>
          <w:sz w:val="24"/>
        </w:rPr>
        <w:t> </w:t>
      </w:r>
      <w:r>
        <w:rPr>
          <w:spacing w:val="-30"/>
          <w:sz w:val="24"/>
        </w:rPr>
        <w:t>或 </w:t>
      </w:r>
      <w:r>
        <w:rPr>
          <w:rFonts w:ascii="Times New Roman" w:hAnsi="Times New Roman" w:eastAsia="Times New Roman"/>
          <w:sz w:val="24"/>
        </w:rPr>
        <w:t>ED</w:t>
      </w:r>
      <w:r>
        <w:rPr>
          <w:rFonts w:ascii="Times New Roman" w:hAnsi="Times New Roman" w:eastAsia="Times New Roman"/>
          <w:spacing w:val="-13"/>
          <w:sz w:val="24"/>
        </w:rPr>
        <w:t> </w:t>
      </w:r>
      <w:r>
        <w:rPr>
          <w:spacing w:val="-5"/>
          <w:sz w:val="24"/>
        </w:rPr>
        <w:t>就诊</w:t>
      </w:r>
    </w:p>
    <w:p>
      <w:pPr>
        <w:pStyle w:val="ListParagraph"/>
        <w:numPr>
          <w:ilvl w:val="0"/>
          <w:numId w:val="32"/>
        </w:numPr>
        <w:tabs>
          <w:tab w:pos="646" w:val="left" w:leader="none"/>
        </w:tabs>
        <w:spacing w:line="240" w:lineRule="auto" w:before="58" w:after="0"/>
        <w:ind w:left="646" w:right="0" w:hanging="425"/>
        <w:jc w:val="left"/>
        <w:rPr>
          <w:sz w:val="24"/>
        </w:rPr>
      </w:pPr>
      <w:r>
        <w:rPr>
          <w:spacing w:val="-25"/>
          <w:sz w:val="24"/>
        </w:rPr>
        <w:t>因 </w:t>
      </w:r>
      <w:r>
        <w:rPr>
          <w:rFonts w:ascii="Times New Roman" w:hAnsi="Times New Roman" w:eastAsia="Times New Roman"/>
          <w:sz w:val="24"/>
        </w:rPr>
        <w:t>COPD</w:t>
      </w:r>
      <w:r>
        <w:rPr>
          <w:rFonts w:ascii="Times New Roman" w:hAnsi="Times New Roman" w:eastAsia="Times New Roman"/>
          <w:spacing w:val="-7"/>
          <w:sz w:val="24"/>
        </w:rPr>
        <w:t> </w:t>
      </w:r>
      <w:r>
        <w:rPr>
          <w:sz w:val="24"/>
        </w:rPr>
        <w:t>住院治疗（住院定义为在医院、观察区、</w:t>
      </w:r>
      <w:r>
        <w:rPr>
          <w:rFonts w:ascii="Times New Roman" w:hAnsi="Times New Roman" w:eastAsia="Times New Roman"/>
          <w:sz w:val="24"/>
        </w:rPr>
        <w:t>ED</w:t>
      </w:r>
      <w:r>
        <w:rPr>
          <w:rFonts w:ascii="Times New Roman" w:hAnsi="Times New Roman" w:eastAsia="Times New Roman"/>
          <w:spacing w:val="-5"/>
          <w:sz w:val="24"/>
        </w:rPr>
        <w:t> </w:t>
      </w:r>
      <w:r>
        <w:rPr>
          <w:spacing w:val="-1"/>
          <w:sz w:val="24"/>
        </w:rPr>
        <w:t>或其他等效医疗保健机构</w:t>
      </w:r>
    </w:p>
    <w:p>
      <w:pPr>
        <w:pStyle w:val="BodyText"/>
        <w:spacing w:before="1"/>
        <w:ind w:left="646"/>
      </w:pPr>
      <w:r>
        <w:rPr>
          <w:rFonts w:ascii="Times New Roman" w:hAnsi="Times New Roman" w:eastAsia="Times New Roman"/>
        </w:rPr>
        <w:t>≥24</w:t>
      </w:r>
      <w:r>
        <w:rPr>
          <w:rFonts w:ascii="Times New Roman" w:hAnsi="Times New Roman" w:eastAsia="Times New Roman"/>
          <w:spacing w:val="-12"/>
        </w:rPr>
        <w:t> </w:t>
      </w:r>
      <w:r>
        <w:rPr/>
        <w:t>小时，具体取决于国家和医疗保健系统）</w:t>
      </w:r>
      <w:r>
        <w:rPr>
          <w:spacing w:val="-10"/>
        </w:rPr>
        <w:t>。</w:t>
      </w:r>
    </w:p>
    <w:p>
      <w:pPr>
        <w:pStyle w:val="ListParagraph"/>
        <w:numPr>
          <w:ilvl w:val="0"/>
          <w:numId w:val="32"/>
        </w:numPr>
        <w:tabs>
          <w:tab w:pos="646" w:val="left" w:leader="none"/>
        </w:tabs>
        <w:spacing w:line="240" w:lineRule="auto" w:before="59" w:after="0"/>
        <w:ind w:left="646" w:right="0" w:hanging="425"/>
        <w:jc w:val="left"/>
        <w:rPr>
          <w:sz w:val="24"/>
        </w:rPr>
      </w:pPr>
      <w:r>
        <w:rPr>
          <w:spacing w:val="-2"/>
          <w:sz w:val="24"/>
        </w:rPr>
        <w:t>导致死亡。</w:t>
      </w:r>
    </w:p>
    <w:p>
      <w:pPr>
        <w:pStyle w:val="BodyText"/>
        <w:spacing w:before="23"/>
        <w:ind w:left="0"/>
      </w:pPr>
    </w:p>
    <w:p>
      <w:pPr>
        <w:pStyle w:val="BodyText"/>
        <w:spacing w:line="276" w:lineRule="auto"/>
        <w:ind w:right="357" w:firstLine="480"/>
        <w:jc w:val="both"/>
      </w:pPr>
      <w:r>
        <w:rPr/>
        <w:t>如果需全身皮质类固醇和</w:t>
      </w:r>
      <w:r>
        <w:rPr>
          <w:rFonts w:ascii="Times New Roman" w:eastAsia="Times New Roman"/>
        </w:rPr>
        <w:t>/</w:t>
      </w:r>
      <w:r>
        <w:rPr/>
        <w:t>或抗生素治疗，或导致</w:t>
      </w:r>
      <w:r>
        <w:rPr>
          <w:rFonts w:ascii="Times New Roman" w:eastAsia="Times New Roman"/>
        </w:rPr>
        <w:t>&lt;24</w:t>
      </w:r>
      <w:r>
        <w:rPr>
          <w:rFonts w:ascii="Times New Roman" w:eastAsia="Times New Roman"/>
          <w:spacing w:val="-15"/>
        </w:rPr>
        <w:t> </w:t>
      </w:r>
      <w:r>
        <w:rPr>
          <w:spacing w:val="-8"/>
        </w:rPr>
        <w:t>小时的 </w:t>
      </w:r>
      <w:r>
        <w:rPr>
          <w:rFonts w:ascii="Times New Roman" w:eastAsia="Times New Roman"/>
        </w:rPr>
        <w:t>ER/ED</w:t>
      </w:r>
      <w:r>
        <w:rPr>
          <w:rFonts w:ascii="Times New Roman" w:eastAsia="Times New Roman"/>
          <w:spacing w:val="-15"/>
        </w:rPr>
        <w:t> </w:t>
      </w:r>
      <w:r>
        <w:rPr/>
        <w:t>访视，需要强化治疗，且未导致住院治疗或死亡，则认为急性加重为</w:t>
      </w:r>
      <w:r>
        <w:rPr>
          <w:b/>
        </w:rPr>
        <w:t>中度</w:t>
      </w:r>
      <w:r>
        <w:rPr>
          <w:spacing w:val="-6"/>
        </w:rPr>
        <w:t>。如果因 </w:t>
      </w:r>
      <w:r>
        <w:rPr>
          <w:rFonts w:ascii="Times New Roman" w:eastAsia="Times New Roman"/>
        </w:rPr>
        <w:t>COPD</w:t>
      </w:r>
      <w:r>
        <w:rPr>
          <w:rFonts w:ascii="Times New Roman" w:eastAsia="Times New Roman"/>
          <w:spacing w:val="16"/>
        </w:rPr>
        <w:t> </w:t>
      </w:r>
      <w:r>
        <w:rPr/>
        <w:t>导致</w:t>
      </w:r>
      <w:r>
        <w:rPr>
          <w:spacing w:val="-2"/>
        </w:rPr>
        <w:t>受试者住院治疗或死亡，则认为该加重情况为</w:t>
      </w:r>
      <w:r>
        <w:rPr>
          <w:b/>
          <w:spacing w:val="-2"/>
        </w:rPr>
        <w:t>重度</w:t>
      </w:r>
      <w:r>
        <w:rPr>
          <w:spacing w:val="-2"/>
        </w:rPr>
        <w:t>。</w:t>
      </w:r>
    </w:p>
    <w:p>
      <w:pPr>
        <w:pStyle w:val="BodyText"/>
        <w:spacing w:line="276" w:lineRule="auto" w:before="237"/>
        <w:ind w:right="357" w:firstLine="480"/>
        <w:jc w:val="both"/>
      </w:pPr>
      <w:r>
        <w:rPr>
          <w:spacing w:val="-4"/>
        </w:rPr>
        <w:t>将鼓励受试者在 </w:t>
      </w:r>
      <w:r>
        <w:rPr>
          <w:rFonts w:ascii="Times New Roman" w:eastAsia="Times New Roman"/>
        </w:rPr>
        <w:t>COPD</w:t>
      </w:r>
      <w:r>
        <w:rPr>
          <w:rFonts w:ascii="Times New Roman" w:eastAsia="Times New Roman"/>
          <w:spacing w:val="-15"/>
        </w:rPr>
        <w:t> </w:t>
      </w:r>
      <w:r>
        <w:rPr/>
        <w:t>症状急性加重时联系研究中心和</w:t>
      </w:r>
      <w:r>
        <w:rPr>
          <w:rFonts w:ascii="Times New Roman" w:eastAsia="Times New Roman"/>
        </w:rPr>
        <w:t>/</w:t>
      </w:r>
      <w:r>
        <w:rPr/>
        <w:t>或其初级保健医师。将</w:t>
      </w:r>
      <w:r>
        <w:rPr>
          <w:spacing w:val="-1"/>
        </w:rPr>
        <w:t>要求受试者告知研究者在研究中心以外接受治疗的任何 </w:t>
      </w:r>
      <w:r>
        <w:rPr>
          <w:rFonts w:ascii="Times New Roman" w:eastAsia="Times New Roman"/>
        </w:rPr>
        <w:t>COPD </w:t>
      </w:r>
      <w:r>
        <w:rPr/>
        <w:t>相关事件。</w:t>
      </w:r>
    </w:p>
    <w:p>
      <w:pPr>
        <w:pStyle w:val="BodyText"/>
        <w:spacing w:line="276" w:lineRule="auto" w:before="240"/>
        <w:ind w:right="357" w:firstLine="480"/>
        <w:jc w:val="both"/>
      </w:pPr>
      <w:r>
        <w:rPr>
          <w:spacing w:val="3"/>
        </w:rPr>
        <w:t>研究者应在源文件以及</w:t>
      </w:r>
      <w:r>
        <w:rPr>
          <w:rFonts w:ascii="Times New Roman" w:eastAsia="Times New Roman"/>
        </w:rPr>
        <w:t>eCRF</w:t>
      </w:r>
      <w:r>
        <w:rPr>
          <w:rFonts w:ascii="Times New Roman" w:eastAsia="Times New Roman"/>
          <w:spacing w:val="-15"/>
        </w:rPr>
        <w:t> </w:t>
      </w:r>
      <w:r>
        <w:rPr>
          <w:rFonts w:ascii="Times New Roman" w:eastAsia="Times New Roman"/>
        </w:rPr>
        <w:t>COPD</w:t>
      </w:r>
      <w:r>
        <w:rPr>
          <w:rFonts w:ascii="Times New Roman" w:eastAsia="Times New Roman"/>
          <w:spacing w:val="-15"/>
        </w:rPr>
        <w:t> </w:t>
      </w:r>
      <w:r>
        <w:rPr/>
        <w:t>急性加重模块中记录与急性加重事件相关的所有相关发现和症状（</w:t>
      </w:r>
      <w:r>
        <w:rPr>
          <w:spacing w:val="-2"/>
        </w:rPr>
        <w:t>如呼吸困难、痰量、脓痰、咳嗽、喘息和其他 </w:t>
      </w:r>
      <w:r>
        <w:rPr>
          <w:rFonts w:ascii="Times New Roman" w:eastAsia="Times New Roman"/>
        </w:rPr>
        <w:t>COPD</w:t>
      </w:r>
      <w:r>
        <w:rPr>
          <w:rFonts w:ascii="Times New Roman" w:eastAsia="Times New Roman"/>
          <w:spacing w:val="16"/>
        </w:rPr>
        <w:t> </w:t>
      </w:r>
      <w:r>
        <w:rPr/>
        <w:t>相关症</w:t>
      </w:r>
      <w:r>
        <w:rPr>
          <w:spacing w:val="-2"/>
        </w:rPr>
        <w:t>状和</w:t>
      </w:r>
      <w:r>
        <w:rPr>
          <w:rFonts w:ascii="Times New Roman" w:eastAsia="Times New Roman"/>
          <w:spacing w:val="-2"/>
        </w:rPr>
        <w:t>/</w:t>
      </w:r>
      <w:r>
        <w:rPr>
          <w:spacing w:val="-2"/>
        </w:rPr>
        <w:t>或发现）及其持续时间。</w:t>
      </w:r>
    </w:p>
    <w:p>
      <w:pPr>
        <w:spacing w:after="0" w:line="276" w:lineRule="auto"/>
        <w:jc w:val="both"/>
        <w:sectPr>
          <w:pgSz w:w="11910" w:h="16840"/>
          <w:pgMar w:header="590" w:footer="784" w:top="1340" w:bottom="980" w:left="1480" w:right="1080"/>
        </w:sectPr>
      </w:pPr>
    </w:p>
    <w:p>
      <w:pPr>
        <w:pStyle w:val="BodyText"/>
        <w:spacing w:line="276" w:lineRule="auto" w:before="88"/>
        <w:ind w:right="357" w:firstLine="480"/>
        <w:jc w:val="both"/>
      </w:pPr>
      <w:r>
        <w:rPr>
          <w:spacing w:val="-5"/>
        </w:rPr>
        <w:t>绝大多数 </w:t>
      </w:r>
      <w:r>
        <w:rPr>
          <w:rFonts w:ascii="Times New Roman" w:eastAsia="Times New Roman"/>
        </w:rPr>
        <w:t>COPD </w:t>
      </w:r>
      <w:r>
        <w:rPr/>
        <w:t>急性加重与上述症状的恶化有关。但是，临床表现可能因受试</w:t>
      </w:r>
      <w:r>
        <w:rPr/>
        <w:t>者而异。如果无法捕获上述症状（如受试者到达 </w:t>
      </w:r>
      <w:r>
        <w:rPr>
          <w:rFonts w:ascii="Times New Roman" w:eastAsia="Times New Roman"/>
        </w:rPr>
        <w:t>ED </w:t>
      </w:r>
      <w:r>
        <w:rPr/>
        <w:t>后插管），研究者必须记录定</w:t>
      </w:r>
      <w:r>
        <w:rPr>
          <w:spacing w:val="-1"/>
        </w:rPr>
        <w:t>义事件为急性加重的依据，并将其记录在源文件以及 </w:t>
      </w:r>
      <w:r>
        <w:rPr>
          <w:rFonts w:ascii="Times New Roman" w:eastAsia="Times New Roman"/>
        </w:rPr>
        <w:t>eCRF </w:t>
      </w:r>
      <w:r>
        <w:rPr/>
        <w:t>中。</w:t>
      </w:r>
    </w:p>
    <w:p>
      <w:pPr>
        <w:pStyle w:val="BodyText"/>
        <w:spacing w:before="238"/>
        <w:ind w:left="701"/>
      </w:pPr>
      <w:r>
        <w:rPr>
          <w:rFonts w:ascii="Times New Roman" w:eastAsia="Times New Roman"/>
        </w:rPr>
        <w:t>COPD</w:t>
      </w:r>
      <w:r>
        <w:rPr>
          <w:rFonts w:ascii="Times New Roman" w:eastAsia="Times New Roman"/>
          <w:spacing w:val="-15"/>
        </w:rPr>
        <w:t> </w:t>
      </w:r>
      <w:r>
        <w:rPr>
          <w:spacing w:val="-5"/>
        </w:rPr>
        <w:t>导致的死亡始终记录为重度 </w:t>
      </w:r>
      <w:r>
        <w:rPr>
          <w:rFonts w:ascii="Times New Roman" w:eastAsia="Times New Roman"/>
        </w:rPr>
        <w:t>COPD</w:t>
      </w:r>
      <w:r>
        <w:rPr>
          <w:rFonts w:ascii="Times New Roman" w:eastAsia="Times New Roman"/>
          <w:spacing w:val="-13"/>
        </w:rPr>
        <w:t> </w:t>
      </w:r>
      <w:r>
        <w:rPr>
          <w:spacing w:val="-1"/>
        </w:rPr>
        <w:t>急性加重，不考虑相关症状恶化。</w:t>
      </w:r>
    </w:p>
    <w:p>
      <w:pPr>
        <w:pStyle w:val="BodyText"/>
        <w:spacing w:line="276" w:lineRule="auto" w:before="285"/>
        <w:ind w:right="117" w:firstLine="480"/>
      </w:pPr>
      <w:r>
        <w:rPr>
          <w:spacing w:val="-30"/>
        </w:rPr>
        <w:t>在 </w:t>
      </w:r>
      <w:r>
        <w:rPr>
          <w:rFonts w:ascii="Times New Roman" w:eastAsia="Times New Roman"/>
        </w:rPr>
        <w:t>COPD</w:t>
      </w:r>
      <w:r>
        <w:rPr>
          <w:rFonts w:ascii="Times New Roman" w:eastAsia="Times New Roman"/>
          <w:spacing w:val="-15"/>
        </w:rPr>
        <w:t> </w:t>
      </w:r>
      <w:r>
        <w:rPr>
          <w:spacing w:val="-4"/>
        </w:rPr>
        <w:t>急性加重期间，受试者接受主治 </w:t>
      </w:r>
      <w:r>
        <w:rPr>
          <w:rFonts w:ascii="Times New Roman" w:eastAsia="Times New Roman"/>
        </w:rPr>
        <w:t>HCP</w:t>
      </w:r>
      <w:r>
        <w:rPr>
          <w:rFonts w:ascii="Times New Roman" w:eastAsia="Times New Roman"/>
          <w:spacing w:val="-15"/>
        </w:rPr>
        <w:t> </w:t>
      </w:r>
      <w:r>
        <w:rPr/>
        <w:t>认为适当的治疗非常重要。但是，一旦研究者认为安全，应尽快停用治疗 </w:t>
      </w:r>
      <w:r>
        <w:rPr>
          <w:rFonts w:ascii="Times New Roman" w:eastAsia="Times New Roman"/>
        </w:rPr>
        <w:t>COPD</w:t>
      </w:r>
      <w:r>
        <w:rPr>
          <w:rFonts w:ascii="Times New Roman" w:eastAsia="Times New Roman"/>
          <w:spacing w:val="40"/>
        </w:rPr>
        <w:t> </w:t>
      </w:r>
      <w:r>
        <w:rPr/>
        <w:t>急性加重的所有补充药物，受试者应 </w:t>
      </w:r>
      <w:r>
        <w:rPr>
          <w:spacing w:val="-2"/>
        </w:rPr>
        <w:t>尽快恢复其急性加重前用药方案。</w:t>
      </w:r>
    </w:p>
    <w:p>
      <w:pPr>
        <w:pStyle w:val="BodyText"/>
        <w:spacing w:line="276" w:lineRule="auto" w:before="238"/>
        <w:ind w:right="353" w:firstLine="480"/>
      </w:pPr>
      <w:r>
        <w:rPr>
          <w:spacing w:val="-13"/>
        </w:rPr>
        <w:t>建议用于 </w:t>
      </w:r>
      <w:r>
        <w:rPr>
          <w:rFonts w:ascii="Times New Roman" w:eastAsia="Times New Roman"/>
        </w:rPr>
        <w:t>COPD</w:t>
      </w:r>
      <w:r>
        <w:rPr>
          <w:rFonts w:ascii="Times New Roman" w:eastAsia="Times New Roman"/>
          <w:spacing w:val="-16"/>
        </w:rPr>
        <w:t> </w:t>
      </w:r>
      <w:r>
        <w:rPr>
          <w:spacing w:val="-5"/>
        </w:rPr>
        <w:t>急性加重治疗的药物不要超过 </w:t>
      </w:r>
      <w:r>
        <w:rPr>
          <w:rFonts w:ascii="Times New Roman" w:eastAsia="Times New Roman"/>
        </w:rPr>
        <w:t>14</w:t>
      </w:r>
      <w:r>
        <w:rPr>
          <w:rFonts w:ascii="Times New Roman" w:eastAsia="Times New Roman"/>
          <w:spacing w:val="-15"/>
        </w:rPr>
        <w:t> </w:t>
      </w:r>
      <w:r>
        <w:rPr/>
        <w:t>天。最近的数据表明，短时间</w:t>
      </w:r>
      <w:r>
        <w:rPr>
          <w:spacing w:val="-1"/>
        </w:rPr>
        <w:t>全身性皮质类固醇药物应用具有相似的治疗效果，且糖皮质激素的系统暴露量更低</w:t>
      </w:r>
    </w:p>
    <w:p>
      <w:pPr>
        <w:pStyle w:val="BodyText"/>
        <w:spacing w:line="311" w:lineRule="exact"/>
        <w:ind w:left="101"/>
      </w:pPr>
      <w:r>
        <w:rPr/>
        <w:t>（</w:t>
      </w:r>
      <w:hyperlink w:history="true" w:anchor="_bookmark188">
        <w:r>
          <w:rPr>
            <w:rFonts w:ascii="Times New Roman" w:eastAsia="Times New Roman"/>
            <w:color w:val="0000FF"/>
          </w:rPr>
          <w:t>Leuppi</w:t>
        </w:r>
        <w:r>
          <w:rPr>
            <w:rFonts w:ascii="Times New Roman" w:eastAsia="Times New Roman"/>
            <w:color w:val="0000FF"/>
            <w:spacing w:val="-1"/>
          </w:rPr>
          <w:t> </w:t>
        </w:r>
        <w:r>
          <w:rPr>
            <w:rFonts w:ascii="Times New Roman" w:eastAsia="Times New Roman"/>
            <w:color w:val="0000FF"/>
          </w:rPr>
          <w:t>et al 2013</w:t>
        </w:r>
      </w:hyperlink>
      <w:r>
        <w:rPr/>
        <w:t>）</w:t>
      </w:r>
      <w:r>
        <w:rPr>
          <w:spacing w:val="-10"/>
        </w:rPr>
        <w:t>。</w:t>
      </w:r>
    </w:p>
    <w:p>
      <w:pPr>
        <w:pStyle w:val="BodyText"/>
        <w:spacing w:line="276" w:lineRule="auto" w:before="285"/>
        <w:ind w:right="116" w:firstLine="480"/>
      </w:pPr>
      <w:r>
        <w:rPr>
          <w:spacing w:val="-2"/>
        </w:rPr>
        <w:t>急性加重开始日期定义为开始使用全身皮质类固醇或抗生素治疗，或者住院治</w:t>
      </w:r>
      <w:r>
        <w:rPr>
          <w:spacing w:val="80"/>
          <w:w w:val="150"/>
        </w:rPr>
        <w:t> </w:t>
      </w:r>
      <w:r>
        <w:rPr>
          <w:spacing w:val="-2"/>
        </w:rPr>
        <w:t>疗的日期（以较早者为准），结束日期定义为末次全身皮质类固醇或抗生素治疗，或</w:t>
      </w:r>
      <w:r>
        <w:rPr/>
        <w:t>者出院日期（以较晚者为准）。单次注射皮质类固醇植入剂的剂量相当于 </w:t>
      </w:r>
      <w:r>
        <w:rPr>
          <w:rFonts w:ascii="Times New Roman" w:eastAsia="Times New Roman"/>
        </w:rPr>
        <w:t>3</w:t>
      </w:r>
      <w:r>
        <w:rPr>
          <w:rFonts w:ascii="Times New Roman" w:eastAsia="Times New Roman"/>
          <w:spacing w:val="31"/>
        </w:rPr>
        <w:t> </w:t>
      </w:r>
      <w:r>
        <w:rPr/>
        <w:t>天疗程的全身性皮质类固醇。因此，该治疗的相应停止日期确定为给药日期</w:t>
      </w:r>
      <w:r>
        <w:rPr>
          <w:rFonts w:ascii="Times New Roman" w:eastAsia="Times New Roman"/>
        </w:rPr>
        <w:t>+2</w:t>
      </w:r>
      <w:r>
        <w:rPr>
          <w:rFonts w:ascii="Times New Roman" w:eastAsia="Times New Roman"/>
          <w:spacing w:val="17"/>
        </w:rPr>
        <w:t> </w:t>
      </w:r>
      <w:r>
        <w:rPr/>
        <w:t>天。一次急性加</w:t>
      </w:r>
      <w:r>
        <w:rPr>
          <w:spacing w:val="-2"/>
        </w:rPr>
        <w:t>重的治疗结束（全身性皮质类固醇或抗生素末次给药或住院治疗的最后一天）与下一次急性加重的治疗开始之间需要至少间隔 </w:t>
      </w:r>
      <w:r>
        <w:rPr>
          <w:rFonts w:ascii="Times New Roman" w:eastAsia="Times New Roman"/>
        </w:rPr>
        <w:t>7 </w:t>
      </w:r>
      <w:r>
        <w:rPr/>
        <w:t>天。</w:t>
      </w:r>
    </w:p>
    <w:p>
      <w:pPr>
        <w:pStyle w:val="BodyText"/>
        <w:spacing w:line="276" w:lineRule="auto" w:before="236"/>
        <w:ind w:right="353" w:firstLine="480"/>
      </w:pPr>
      <w:r>
        <w:rPr>
          <w:spacing w:val="-2"/>
        </w:rPr>
        <w:t>如果研究者判断在医学上对于受试者是适当的，急性加重后受试者可以继续参</w:t>
      </w:r>
      <w:r>
        <w:rPr>
          <w:spacing w:val="-4"/>
        </w:rPr>
        <w:t>与研究并接受 </w:t>
      </w:r>
      <w:r>
        <w:rPr>
          <w:rFonts w:ascii="Times New Roman" w:eastAsia="Times New Roman"/>
        </w:rPr>
        <w:t>IP </w:t>
      </w:r>
      <w:r>
        <w:rPr/>
        <w:t>治疗。</w:t>
      </w:r>
    </w:p>
    <w:p>
      <w:pPr>
        <w:pStyle w:val="BodyText"/>
        <w:spacing w:line="276" w:lineRule="auto" w:before="238"/>
        <w:ind w:right="353" w:firstLine="480"/>
        <w:jc w:val="both"/>
      </w:pPr>
      <w:r>
        <w:rPr>
          <w:spacing w:val="-2"/>
        </w:rPr>
        <w:t>如果研究者认为有必要，研究中心对 </w:t>
      </w:r>
      <w:r>
        <w:rPr>
          <w:rFonts w:ascii="Times New Roman" w:eastAsia="Times New Roman"/>
        </w:rPr>
        <w:t>COPD</w:t>
      </w:r>
      <w:r>
        <w:rPr>
          <w:rFonts w:ascii="Times New Roman" w:eastAsia="Times New Roman"/>
          <w:spacing w:val="18"/>
        </w:rPr>
        <w:t> </w:t>
      </w:r>
      <w:r>
        <w:rPr/>
        <w:t>急性加重进行的评估可作为常规现</w:t>
      </w:r>
      <w:r>
        <w:rPr>
          <w:spacing w:val="-2"/>
        </w:rPr>
        <w:t>场访视（通过电话联系）的一部分，或作为计划外访视。对于在非研究中心（如通</w:t>
      </w:r>
      <w:r>
        <w:rPr>
          <w:spacing w:val="-5"/>
        </w:rPr>
        <w:t>过初级保健 </w:t>
      </w:r>
      <w:r>
        <w:rPr>
          <w:rFonts w:ascii="Times New Roman" w:eastAsia="Times New Roman"/>
        </w:rPr>
        <w:t>HCP</w:t>
      </w:r>
      <w:r>
        <w:rPr>
          <w:rFonts w:ascii="Times New Roman" w:eastAsia="Times New Roman"/>
          <w:spacing w:val="-15"/>
        </w:rPr>
        <w:t> </w:t>
      </w:r>
      <w:r>
        <w:rPr>
          <w:spacing w:val="-10"/>
        </w:rPr>
        <w:t>或在 </w:t>
      </w:r>
      <w:r>
        <w:rPr>
          <w:rFonts w:ascii="Times New Roman" w:eastAsia="Times New Roman"/>
        </w:rPr>
        <w:t>ED/</w:t>
      </w:r>
      <w:r>
        <w:rPr/>
        <w:t>医院）评价和治疗的急性加重，应获取该病历复印件，并及时将详细内容录入 </w:t>
      </w:r>
      <w:r>
        <w:rPr>
          <w:rFonts w:ascii="Times New Roman" w:eastAsia="Times New Roman"/>
        </w:rPr>
        <w:t>eCRF </w:t>
      </w:r>
      <w:r>
        <w:rPr/>
        <w:t>急性加重模块中。因急性加重导致的伴随用药变化必须</w:t>
      </w:r>
      <w:r>
        <w:rPr>
          <w:spacing w:val="-4"/>
        </w:rPr>
        <w:t>在源文件和 </w:t>
      </w:r>
      <w:r>
        <w:rPr>
          <w:rFonts w:ascii="Times New Roman" w:eastAsia="Times New Roman"/>
        </w:rPr>
        <w:t>eCRF </w:t>
      </w:r>
      <w:r>
        <w:rPr/>
        <w:t>的相应模块中记录。</w:t>
      </w:r>
    </w:p>
    <w:p>
      <w:pPr>
        <w:pStyle w:val="BodyText"/>
        <w:spacing w:before="236"/>
        <w:ind w:left="701"/>
      </w:pPr>
      <w:r>
        <w:rPr>
          <w:spacing w:val="-8"/>
        </w:rPr>
        <w:t>研究中心负责在 </w:t>
      </w:r>
      <w:r>
        <w:rPr>
          <w:rFonts w:ascii="Times New Roman" w:eastAsia="Times New Roman"/>
        </w:rPr>
        <w:t>eCRF</w:t>
      </w:r>
      <w:r>
        <w:rPr>
          <w:rFonts w:ascii="Times New Roman" w:eastAsia="Times New Roman"/>
          <w:spacing w:val="-13"/>
        </w:rPr>
        <w:t> </w:t>
      </w:r>
      <w:r>
        <w:rPr/>
        <w:t>中记录联系受试者后的联系行为（或其他措施）</w:t>
      </w:r>
      <w:r>
        <w:rPr>
          <w:spacing w:val="-10"/>
        </w:rPr>
        <w:t>。</w:t>
      </w:r>
    </w:p>
    <w:p>
      <w:pPr>
        <w:pStyle w:val="Heading2"/>
        <w:numPr>
          <w:ilvl w:val="2"/>
          <w:numId w:val="3"/>
        </w:numPr>
        <w:tabs>
          <w:tab w:pos="1371" w:val="left" w:leader="none"/>
        </w:tabs>
        <w:spacing w:line="240" w:lineRule="auto" w:before="285" w:after="0"/>
        <w:ind w:left="1371" w:right="0" w:hanging="1150"/>
        <w:jc w:val="both"/>
      </w:pPr>
      <w:bookmarkStart w:name="8.1.2 药物/治疗使用情况评估" w:id="160"/>
      <w:bookmarkEnd w:id="160"/>
      <w:r>
        <w:rPr>
          <w:b w:val="0"/>
        </w:rPr>
      </w:r>
      <w:bookmarkStart w:name="_bookmark82" w:id="161"/>
      <w:bookmarkEnd w:id="161"/>
      <w:r>
        <w:rPr>
          <w:b w:val="0"/>
        </w:rPr>
      </w:r>
      <w:r>
        <w:rPr>
          <w:spacing w:val="-2"/>
        </w:rPr>
        <w:t>药物</w:t>
      </w:r>
      <w:r>
        <w:rPr>
          <w:rFonts w:ascii="Times New Roman" w:eastAsia="Times New Roman"/>
          <w:spacing w:val="-2"/>
        </w:rPr>
        <w:t>/</w:t>
      </w:r>
      <w:r>
        <w:rPr>
          <w:spacing w:val="-4"/>
        </w:rPr>
        <w:t>治疗使用情况评估</w:t>
      </w:r>
    </w:p>
    <w:p>
      <w:pPr>
        <w:pStyle w:val="BodyText"/>
        <w:spacing w:line="276" w:lineRule="auto" w:before="120"/>
        <w:ind w:right="358" w:firstLine="480"/>
        <w:jc w:val="both"/>
      </w:pPr>
      <w:r>
        <w:rPr>
          <w:spacing w:val="-2"/>
        </w:rPr>
        <w:t>在研究访视时，将询问受试者一个问题，即“在过去一个月内，您每周有多少</w:t>
      </w:r>
      <w:r>
        <w:rPr/>
        <w:t>天按计划接受了您的维持用药？”。必须在源文件和 </w:t>
      </w:r>
      <w:r>
        <w:rPr>
          <w:rFonts w:ascii="Times New Roman" w:hAnsi="Times New Roman" w:eastAsia="Times New Roman"/>
        </w:rPr>
        <w:t>eCRF </w:t>
      </w:r>
      <w:r>
        <w:rPr/>
        <w:t>的相应模块中记录受试</w:t>
      </w:r>
      <w:r>
        <w:rPr>
          <w:spacing w:val="-2"/>
        </w:rPr>
        <w:t>者的回答。</w:t>
      </w:r>
    </w:p>
    <w:p>
      <w:pPr>
        <w:pStyle w:val="Heading2"/>
        <w:numPr>
          <w:ilvl w:val="2"/>
          <w:numId w:val="3"/>
        </w:numPr>
        <w:tabs>
          <w:tab w:pos="1371" w:val="left" w:leader="none"/>
        </w:tabs>
        <w:spacing w:line="240" w:lineRule="auto" w:before="237" w:after="0"/>
        <w:ind w:left="1371" w:right="0" w:hanging="1150"/>
        <w:jc w:val="both"/>
      </w:pPr>
      <w:bookmarkStart w:name="8.1.3 肺量计测定（支气管扩张剂给药前和给药后）" w:id="162"/>
      <w:bookmarkEnd w:id="162"/>
      <w:r>
        <w:rPr>
          <w:b w:val="0"/>
        </w:rPr>
      </w:r>
      <w:bookmarkStart w:name="_bookmark83" w:id="163"/>
      <w:bookmarkEnd w:id="163"/>
      <w:r>
        <w:rPr>
          <w:b w:val="0"/>
        </w:rPr>
      </w:r>
      <w:r>
        <w:rPr>
          <w:spacing w:val="-4"/>
        </w:rPr>
        <w:t>肺量计测定（支气管扩张剂给药前和给药后</w:t>
      </w:r>
      <w:r>
        <w:rPr>
          <w:spacing w:val="-10"/>
        </w:rPr>
        <w:t>）</w:t>
      </w:r>
    </w:p>
    <w:p>
      <w:pPr>
        <w:pStyle w:val="Heading3"/>
        <w:spacing w:before="120"/>
      </w:pPr>
      <w:r>
        <w:rPr>
          <w:spacing w:val="-4"/>
        </w:rPr>
        <w:t>基本要求</w:t>
      </w:r>
    </w:p>
    <w:p>
      <w:pPr>
        <w:pStyle w:val="BodyText"/>
        <w:spacing w:before="119"/>
        <w:ind w:left="701"/>
      </w:pPr>
      <w:r>
        <w:rPr>
          <w:spacing w:val="-1"/>
        </w:rPr>
        <w:t>所有肺量计测定均在给药前实施。</w:t>
      </w:r>
    </w:p>
    <w:p>
      <w:pPr>
        <w:spacing w:after="0"/>
        <w:sectPr>
          <w:pgSz w:w="11910" w:h="16840"/>
          <w:pgMar w:header="590" w:footer="784" w:top="1340" w:bottom="980" w:left="1480" w:right="1080"/>
        </w:sectPr>
      </w:pPr>
    </w:p>
    <w:p>
      <w:pPr>
        <w:pStyle w:val="BodyText"/>
        <w:spacing w:line="276" w:lineRule="auto" w:before="87"/>
        <w:ind w:right="356" w:firstLine="480"/>
        <w:jc w:val="both"/>
      </w:pPr>
      <w:r>
        <w:rPr>
          <w:spacing w:val="-2"/>
          <w:position w:val="1"/>
        </w:rPr>
        <w:t>采用中心供应商提供的设备，通过肺量计测定法测量肺功能（</w:t>
      </w:r>
      <w:r>
        <w:rPr>
          <w:rFonts w:ascii="Times New Roman" w:eastAsia="Times New Roman"/>
          <w:spacing w:val="-2"/>
          <w:position w:val="1"/>
        </w:rPr>
        <w:t>FEV</w:t>
      </w:r>
      <w:r>
        <w:rPr>
          <w:rFonts w:ascii="Times New Roman" w:eastAsia="Times New Roman"/>
          <w:spacing w:val="-2"/>
          <w:sz w:val="16"/>
        </w:rPr>
        <w:t>1</w:t>
      </w:r>
      <w:r>
        <w:rPr>
          <w:rFonts w:ascii="Times New Roman" w:eastAsia="Times New Roman"/>
          <w:spacing w:val="-6"/>
          <w:sz w:val="16"/>
        </w:rPr>
        <w:t> </w:t>
      </w:r>
      <w:r>
        <w:rPr>
          <w:spacing w:val="-15"/>
          <w:position w:val="1"/>
        </w:rPr>
        <w:t>和 </w:t>
      </w:r>
      <w:r>
        <w:rPr>
          <w:rFonts w:ascii="Times New Roman" w:eastAsia="Times New Roman"/>
          <w:spacing w:val="-2"/>
          <w:position w:val="1"/>
        </w:rPr>
        <w:t>FVC</w:t>
      </w:r>
      <w:r>
        <w:rPr>
          <w:spacing w:val="-2"/>
          <w:position w:val="1"/>
        </w:rPr>
        <w:t>）</w:t>
      </w:r>
      <w:r>
        <w:rPr>
          <w:spacing w:val="-2"/>
          <w:position w:val="1"/>
        </w:rPr>
        <w:t>。</w:t>
      </w:r>
      <w:r>
        <w:rPr>
          <w:spacing w:val="-2"/>
        </w:rPr>
        <w:t>由研究者或授权代表依照美国胸科协会（</w:t>
      </w:r>
      <w:r>
        <w:rPr>
          <w:rFonts w:ascii="Times New Roman" w:eastAsia="Times New Roman"/>
          <w:spacing w:val="-2"/>
        </w:rPr>
        <w:t>ATS</w:t>
      </w:r>
      <w:r>
        <w:rPr>
          <w:spacing w:val="-2"/>
        </w:rPr>
        <w:t>）</w:t>
      </w:r>
      <w:r>
        <w:rPr>
          <w:rFonts w:ascii="Times New Roman" w:eastAsia="Times New Roman"/>
          <w:spacing w:val="-2"/>
        </w:rPr>
        <w:t>/</w:t>
      </w:r>
      <w:r>
        <w:rPr>
          <w:spacing w:val="-2"/>
        </w:rPr>
        <w:t>欧洲呼吸学会（</w:t>
      </w:r>
      <w:r>
        <w:rPr>
          <w:rFonts w:ascii="Times New Roman" w:eastAsia="Times New Roman"/>
          <w:spacing w:val="-2"/>
        </w:rPr>
        <w:t>ERS</w:t>
      </w:r>
      <w:r>
        <w:rPr>
          <w:spacing w:val="-2"/>
        </w:rPr>
        <w:t>）指导原则实</w:t>
      </w:r>
      <w:r>
        <w:rPr/>
        <w:t>施肺量计测定（</w:t>
      </w:r>
      <w:hyperlink w:history="true" w:anchor="_bookmark181">
        <w:r>
          <w:rPr>
            <w:rFonts w:ascii="Times New Roman" w:eastAsia="Times New Roman"/>
            <w:color w:val="0000FF"/>
          </w:rPr>
          <w:t>Graham et al 2019</w:t>
        </w:r>
      </w:hyperlink>
      <w:r>
        <w:rPr/>
        <w:t>）。</w:t>
      </w:r>
    </w:p>
    <w:p>
      <w:pPr>
        <w:pStyle w:val="BodyText"/>
        <w:spacing w:line="276" w:lineRule="auto" w:before="239"/>
        <w:ind w:right="354" w:firstLine="480"/>
        <w:jc w:val="both"/>
      </w:pPr>
      <w:r>
        <w:rPr>
          <w:spacing w:val="-4"/>
        </w:rPr>
        <w:t>提供中心肺功能测定的供应商负责确保肺量计符合 </w:t>
      </w:r>
      <w:r>
        <w:rPr>
          <w:rFonts w:ascii="Times New Roman" w:eastAsia="Times New Roman"/>
          <w:spacing w:val="-2"/>
        </w:rPr>
        <w:t>ATS/ERS</w:t>
      </w:r>
      <w:r>
        <w:rPr>
          <w:rFonts w:ascii="Times New Roman" w:eastAsia="Times New Roman"/>
          <w:spacing w:val="14"/>
        </w:rPr>
        <w:t> </w:t>
      </w:r>
      <w:r>
        <w:rPr>
          <w:spacing w:val="-2"/>
        </w:rPr>
        <w:t>建议，并由实施检</w:t>
      </w:r>
      <w:r>
        <w:rPr>
          <w:spacing w:val="-2"/>
        </w:rPr>
        <w:t>查的研究中心工作人员进行适当鉴定。肺量计校准和数据质量检查（包括监测非预期的结果高度变化性）将在单独的肺量计测定操作手册以及监查计划中详细说明。</w:t>
      </w:r>
      <w:r>
        <w:rPr>
          <w:spacing w:val="-4"/>
          <w:position w:val="1"/>
        </w:rPr>
        <w:t>研究者将对表现出非预期的 </w:t>
      </w:r>
      <w:r>
        <w:rPr>
          <w:rFonts w:ascii="Times New Roman" w:eastAsia="Times New Roman"/>
          <w:spacing w:val="-2"/>
          <w:position w:val="1"/>
        </w:rPr>
        <w:t>FEV</w:t>
      </w:r>
      <w:r>
        <w:rPr>
          <w:rFonts w:ascii="Times New Roman" w:eastAsia="Times New Roman"/>
          <w:spacing w:val="-2"/>
          <w:sz w:val="16"/>
        </w:rPr>
        <w:t>1</w:t>
      </w:r>
      <w:r>
        <w:rPr>
          <w:rFonts w:ascii="Times New Roman" w:eastAsia="Times New Roman"/>
          <w:spacing w:val="-8"/>
          <w:sz w:val="16"/>
        </w:rPr>
        <w:t> </w:t>
      </w:r>
      <w:r>
        <w:rPr>
          <w:spacing w:val="-2"/>
          <w:position w:val="1"/>
        </w:rPr>
        <w:t>高度变异性的受试者进行病因学、必要的随访措施</w:t>
      </w:r>
      <w:r>
        <w:rPr>
          <w:spacing w:val="-2"/>
        </w:rPr>
        <w:t>和持续受试者合格性评估。研究者将与申办者研究医生讨论非预期的高变异性。</w:t>
      </w:r>
    </w:p>
    <w:p>
      <w:pPr>
        <w:pStyle w:val="BodyText"/>
        <w:spacing w:line="276" w:lineRule="auto" w:before="235"/>
        <w:ind w:right="354" w:firstLine="480"/>
        <w:jc w:val="both"/>
      </w:pPr>
      <w:r>
        <w:rPr/>
        <w:t>受试者应事先遵守相关药物暂停给药期和其他限制（</w:t>
      </w:r>
      <w:r>
        <w:rPr>
          <w:spacing w:val="-14"/>
        </w:rPr>
        <w:t>第 </w:t>
      </w:r>
      <w:hyperlink w:history="true" w:anchor="_bookmark42">
        <w:r>
          <w:rPr>
            <w:rFonts w:ascii="Times New Roman" w:eastAsia="Times New Roman"/>
            <w:color w:val="0000FF"/>
          </w:rPr>
          <w:t>5.3.3</w:t>
        </w:r>
      </w:hyperlink>
      <w:r>
        <w:rPr>
          <w:rFonts w:ascii="Times New Roman" w:eastAsia="Times New Roman"/>
          <w:color w:val="0000FF"/>
        </w:rPr>
        <w:t> </w:t>
      </w:r>
      <w:r>
        <w:rPr>
          <w:spacing w:val="-7"/>
        </w:rPr>
        <w:t>节、第 </w:t>
      </w:r>
      <w:hyperlink w:history="true" w:anchor="_bookmark43">
        <w:r>
          <w:rPr>
            <w:rFonts w:ascii="Times New Roman" w:eastAsia="Times New Roman"/>
            <w:color w:val="0000FF"/>
          </w:rPr>
          <w:t>5.3.4</w:t>
        </w:r>
      </w:hyperlink>
      <w:r>
        <w:rPr>
          <w:rFonts w:ascii="Times New Roman" w:eastAsia="Times New Roman"/>
          <w:color w:val="0000FF"/>
        </w:rPr>
        <w:t> </w:t>
      </w:r>
      <w:r>
        <w:rPr/>
        <w:t>节、</w:t>
      </w:r>
      <w:r>
        <w:rPr>
          <w:spacing w:val="16"/>
        </w:rPr>
        <w:t>第</w:t>
      </w:r>
      <w:hyperlink w:history="true" w:anchor="_bookmark44">
        <w:r>
          <w:rPr>
            <w:rFonts w:ascii="Times New Roman" w:eastAsia="Times New Roman"/>
            <w:color w:val="0000FF"/>
          </w:rPr>
          <w:t>5.3.5</w:t>
        </w:r>
        <w:r>
          <w:rPr>
            <w:rFonts w:ascii="Times New Roman" w:eastAsia="Times New Roman"/>
            <w:color w:val="0000FF"/>
            <w:spacing w:val="-15"/>
          </w:rPr>
          <w:t> </w:t>
        </w:r>
      </w:hyperlink>
      <w:r>
        <w:rPr>
          <w:spacing w:val="5"/>
        </w:rPr>
        <w:t>节和第</w:t>
      </w:r>
      <w:hyperlink w:history="true" w:anchor="_bookmark67">
        <w:r>
          <w:rPr>
            <w:rFonts w:ascii="Times New Roman" w:eastAsia="Times New Roman"/>
            <w:color w:val="0000FF"/>
          </w:rPr>
          <w:t>6.5.3</w:t>
        </w:r>
        <w:r>
          <w:rPr>
            <w:rFonts w:ascii="Times New Roman" w:eastAsia="Times New Roman"/>
            <w:color w:val="0000FF"/>
            <w:spacing w:val="-15"/>
          </w:rPr>
          <w:t> </w:t>
        </w:r>
      </w:hyperlink>
      <w:r>
        <w:rPr/>
        <w:t>节）。如果没有满足任何限制条件且当天的治疗不能充分延迟，</w:t>
      </w:r>
      <w:r>
        <w:rPr>
          <w:spacing w:val="-2"/>
        </w:rPr>
        <w:t>则应在允许的访视窗内重新安排现场访视和给药。如果计划在同一访视给药，则所有肺功能测量应在给药前进行。</w:t>
      </w:r>
    </w:p>
    <w:p>
      <w:pPr>
        <w:pStyle w:val="BodyText"/>
        <w:spacing w:line="276" w:lineRule="auto" w:before="236"/>
        <w:ind w:right="365" w:firstLine="480"/>
        <w:jc w:val="both"/>
      </w:pPr>
      <w:r>
        <w:rPr>
          <w:spacing w:val="-2"/>
        </w:rPr>
        <w:t>应遵循常规感染控制措施，包括按照中心供应商的说明使用过滤器。还应遵循</w:t>
      </w:r>
      <w:r>
        <w:rPr>
          <w:spacing w:val="-12"/>
        </w:rPr>
        <w:t>与 </w:t>
      </w:r>
      <w:r>
        <w:rPr>
          <w:rFonts w:ascii="Times New Roman" w:eastAsia="Times New Roman"/>
        </w:rPr>
        <w:t>COVID-19 </w:t>
      </w:r>
      <w:r>
        <w:rPr/>
        <w:t>相关的当地及国家指南规定的任何其他感染控制措施。</w:t>
      </w:r>
    </w:p>
    <w:p>
      <w:pPr>
        <w:pStyle w:val="Heading3"/>
        <w:spacing w:before="239"/>
      </w:pPr>
      <w:r>
        <w:rPr>
          <w:spacing w:val="-5"/>
        </w:rPr>
        <w:t>计划现场访视肺功能测定的时间</w:t>
      </w:r>
    </w:p>
    <w:p>
      <w:pPr>
        <w:pStyle w:val="BodyText"/>
        <w:spacing w:line="276" w:lineRule="auto" w:before="119"/>
        <w:ind w:right="356" w:firstLine="480"/>
        <w:jc w:val="both"/>
      </w:pPr>
      <w:r>
        <w:rPr>
          <w:spacing w:val="17"/>
        </w:rPr>
        <w:t>根据</w:t>
      </w:r>
      <w:r>
        <w:rPr>
          <w:rFonts w:ascii="Times New Roman" w:hAnsi="Times New Roman" w:eastAsia="Times New Roman"/>
        </w:rPr>
        <w:t>SoA</w:t>
      </w:r>
      <w:r>
        <w:rPr/>
        <w:t>（</w:t>
      </w:r>
      <w:r>
        <w:rPr>
          <w:spacing w:val="34"/>
        </w:rPr>
        <w:t>第</w:t>
      </w:r>
      <w:hyperlink w:history="true" w:anchor="_bookmark7">
        <w:r>
          <w:rPr>
            <w:rFonts w:ascii="Times New Roman" w:hAnsi="Times New Roman" w:eastAsia="Times New Roman"/>
            <w:color w:val="0000FF"/>
          </w:rPr>
          <w:t>1.3</w:t>
        </w:r>
      </w:hyperlink>
      <w:r>
        <w:rPr>
          <w:rFonts w:ascii="Times New Roman" w:hAnsi="Times New Roman" w:eastAsia="Times New Roman"/>
          <w:color w:val="0000FF"/>
          <w:spacing w:val="-15"/>
        </w:rPr>
        <w:t> </w:t>
      </w:r>
      <w:r>
        <w:rPr/>
        <w:t>节），应在指定访视进行肺量计测定。如果可能，建议所有入</w:t>
      </w:r>
      <w:r>
        <w:rPr/>
        <w:t>选后肺功能评估应在前身研究入选肺量计测定时间</w:t>
      </w:r>
      <w:r>
        <w:rPr>
          <w:rFonts w:ascii="Times New Roman" w:hAnsi="Times New Roman" w:eastAsia="Times New Roman"/>
        </w:rPr>
        <w:t>±1.5 </w:t>
      </w:r>
      <w:r>
        <w:rPr/>
        <w:t>小时内进行。例如，如果在</w:t>
      </w:r>
      <w:r>
        <w:rPr>
          <w:spacing w:val="-4"/>
        </w:rPr>
        <w:t>前身研究中入选肺功能在晨间 </w:t>
      </w:r>
      <w:r>
        <w:rPr>
          <w:rFonts w:ascii="Times New Roman" w:hAnsi="Times New Roman" w:eastAsia="Times New Roman"/>
          <w:spacing w:val="-2"/>
        </w:rPr>
        <w:t>8:00</w:t>
      </w:r>
      <w:r>
        <w:rPr>
          <w:rFonts w:ascii="Times New Roman" w:hAnsi="Times New Roman" w:eastAsia="Times New Roman"/>
          <w:spacing w:val="-4"/>
        </w:rPr>
        <w:t> </w:t>
      </w:r>
      <w:r>
        <w:rPr>
          <w:spacing w:val="-2"/>
        </w:rPr>
        <w:t>开始测量，则建议</w:t>
      </w:r>
      <w:r>
        <w:rPr>
          <w:rFonts w:ascii="Times New Roman" w:hAnsi="Times New Roman" w:eastAsia="Times New Roman"/>
          <w:spacing w:val="-2"/>
        </w:rPr>
        <w:t>PROSPERO </w:t>
      </w:r>
      <w:r>
        <w:rPr>
          <w:spacing w:val="-2"/>
        </w:rPr>
        <w:t>中的所有后续肺功</w:t>
      </w:r>
      <w:r>
        <w:rPr>
          <w:spacing w:val="-3"/>
        </w:rPr>
        <w:t>能测定应在晨间 </w:t>
      </w:r>
      <w:r>
        <w:rPr>
          <w:rFonts w:ascii="Times New Roman" w:hAnsi="Times New Roman" w:eastAsia="Times New Roman"/>
        </w:rPr>
        <w:t>6:30~9:30 </w:t>
      </w:r>
      <w:r>
        <w:rPr/>
        <w:t>之间开始。</w:t>
      </w:r>
    </w:p>
    <w:p>
      <w:pPr>
        <w:pStyle w:val="Heading3"/>
        <w:spacing w:before="237"/>
      </w:pPr>
      <w:r>
        <w:rPr>
          <w:spacing w:val="-5"/>
        </w:rPr>
        <w:t>肺量计测定技术</w:t>
      </w:r>
    </w:p>
    <w:p>
      <w:pPr>
        <w:pStyle w:val="BodyText"/>
        <w:spacing w:line="276" w:lineRule="auto" w:before="120"/>
        <w:ind w:right="365" w:firstLine="480"/>
      </w:pPr>
      <w:r>
        <w:rPr>
          <w:spacing w:val="-2"/>
        </w:rPr>
        <w:t>实施肺量计测定的详细步骤请见使用说明手册。有关肺量计测定质量评估和最佳检查流程的详细内容也将在手册以及监查计划中详细说明。</w:t>
      </w:r>
    </w:p>
    <w:p>
      <w:pPr>
        <w:pStyle w:val="Heading3"/>
        <w:spacing w:before="237"/>
      </w:pPr>
      <w:r>
        <w:rPr>
          <w:spacing w:val="-5"/>
        </w:rPr>
        <w:t>肺量计测定参考</w:t>
      </w:r>
    </w:p>
    <w:p>
      <w:pPr>
        <w:pStyle w:val="BodyText"/>
        <w:spacing w:line="276" w:lineRule="auto" w:before="120"/>
        <w:ind w:right="361" w:firstLine="480"/>
      </w:pPr>
      <w:r>
        <w:rPr>
          <w:spacing w:val="-2"/>
        </w:rPr>
        <w:t>将采用全球肺功能防治创议等式测定预计正常值（</w:t>
      </w:r>
      <w:r>
        <w:rPr>
          <w:rFonts w:ascii="Times New Roman" w:eastAsia="Times New Roman"/>
          <w:spacing w:val="-2"/>
        </w:rPr>
        <w:t>PNV</w:t>
      </w:r>
      <w:r>
        <w:rPr>
          <w:spacing w:val="-2"/>
        </w:rPr>
        <w:t>），并预先编程在肺量</w:t>
      </w:r>
      <w:r>
        <w:rPr/>
        <w:t>计中（</w:t>
      </w:r>
      <w:hyperlink w:history="true" w:anchor="_bookmark195">
        <w:r>
          <w:rPr>
            <w:rFonts w:ascii="Times New Roman" w:eastAsia="Times New Roman"/>
            <w:color w:val="0000FF"/>
          </w:rPr>
          <w:t>Quanjer et al 2012</w:t>
        </w:r>
      </w:hyperlink>
      <w:r>
        <w:rPr/>
        <w:t>）。</w:t>
      </w:r>
    </w:p>
    <w:p>
      <w:pPr>
        <w:pStyle w:val="BodyText"/>
        <w:spacing w:before="238"/>
        <w:ind w:left="701"/>
      </w:pPr>
      <w:r>
        <w:rPr>
          <w:spacing w:val="-30"/>
        </w:rPr>
        <w:t>第 </w:t>
      </w:r>
      <w:r>
        <w:rPr>
          <w:rFonts w:ascii="Times New Roman" w:eastAsia="Times New Roman"/>
        </w:rPr>
        <w:t>1</w:t>
      </w:r>
      <w:r>
        <w:rPr>
          <w:rFonts w:ascii="Times New Roman" w:eastAsia="Times New Roman"/>
          <w:spacing w:val="-14"/>
        </w:rPr>
        <w:t> </w:t>
      </w:r>
      <w:r>
        <w:rPr>
          <w:spacing w:val="-6"/>
        </w:rPr>
        <w:t>秒用力呼气容积表示为 </w:t>
      </w:r>
      <w:r>
        <w:rPr>
          <w:rFonts w:ascii="Times New Roman" w:eastAsia="Times New Roman"/>
        </w:rPr>
        <w:t>PNV</w:t>
      </w:r>
      <w:r>
        <w:rPr>
          <w:rFonts w:ascii="Times New Roman" w:eastAsia="Times New Roman"/>
          <w:spacing w:val="-12"/>
        </w:rPr>
        <w:t> </w:t>
      </w:r>
      <w:r>
        <w:rPr>
          <w:spacing w:val="-1"/>
        </w:rPr>
        <w:t>的百分比，计算公式如下：</w:t>
      </w:r>
    </w:p>
    <w:p>
      <w:pPr>
        <w:spacing w:before="276"/>
        <w:ind w:left="117" w:right="253" w:firstLine="0"/>
        <w:jc w:val="center"/>
        <w:rPr>
          <w:rFonts w:ascii="Times New Roman" w:hAnsi="Times New Roman" w:eastAsia="Times New Roman"/>
          <w:i/>
          <w:sz w:val="24"/>
        </w:rPr>
      </w:pPr>
      <w:r>
        <w:rPr>
          <w:rFonts w:ascii="Times New Roman" w:hAnsi="Times New Roman" w:eastAsia="Times New Roman"/>
          <w:i/>
          <w:spacing w:val="-4"/>
          <w:position w:val="1"/>
          <w:sz w:val="24"/>
        </w:rPr>
        <w:t>PNV</w:t>
      </w:r>
      <w:r>
        <w:rPr>
          <w:rFonts w:ascii="Times New Roman" w:hAnsi="Times New Roman" w:eastAsia="Times New Roman"/>
          <w:i/>
          <w:spacing w:val="-8"/>
          <w:position w:val="1"/>
          <w:sz w:val="24"/>
        </w:rPr>
        <w:t> </w:t>
      </w:r>
      <w:r>
        <w:rPr>
          <w:i/>
          <w:spacing w:val="-31"/>
          <w:position w:val="1"/>
          <w:sz w:val="25"/>
        </w:rPr>
        <w:t>的 </w:t>
      </w:r>
      <w:r>
        <w:rPr>
          <w:rFonts w:ascii="Times New Roman" w:hAnsi="Times New Roman" w:eastAsia="Times New Roman"/>
          <w:i/>
          <w:spacing w:val="-4"/>
          <w:position w:val="1"/>
          <w:sz w:val="24"/>
        </w:rPr>
        <w:t>FEV</w:t>
      </w:r>
      <w:r>
        <w:rPr>
          <w:rFonts w:ascii="Times New Roman" w:hAnsi="Times New Roman" w:eastAsia="Times New Roman"/>
          <w:i/>
          <w:spacing w:val="-4"/>
          <w:sz w:val="16"/>
        </w:rPr>
        <w:t>1</w:t>
      </w:r>
      <w:r>
        <w:rPr>
          <w:rFonts w:ascii="Times New Roman" w:hAnsi="Times New Roman" w:eastAsia="Times New Roman"/>
          <w:i/>
          <w:spacing w:val="-4"/>
          <w:position w:val="1"/>
          <w:sz w:val="24"/>
        </w:rPr>
        <w:t>%=</w:t>
      </w:r>
      <w:r>
        <w:rPr>
          <w:i/>
          <w:spacing w:val="-4"/>
          <w:position w:val="1"/>
          <w:sz w:val="25"/>
        </w:rPr>
        <w:t>（</w:t>
      </w:r>
      <w:r>
        <w:rPr>
          <w:rFonts w:ascii="Times New Roman" w:hAnsi="Times New Roman" w:eastAsia="Times New Roman"/>
          <w:i/>
          <w:spacing w:val="-4"/>
          <w:position w:val="1"/>
          <w:sz w:val="24"/>
        </w:rPr>
        <w:t>FEV</w:t>
      </w:r>
      <w:r>
        <w:rPr>
          <w:rFonts w:ascii="Times New Roman" w:hAnsi="Times New Roman" w:eastAsia="Times New Roman"/>
          <w:i/>
          <w:spacing w:val="-4"/>
          <w:sz w:val="16"/>
        </w:rPr>
        <w:t>1</w:t>
      </w:r>
      <w:r>
        <w:rPr>
          <w:rFonts w:ascii="Times New Roman" w:hAnsi="Times New Roman" w:eastAsia="Times New Roman"/>
          <w:i/>
          <w:spacing w:val="-3"/>
          <w:sz w:val="16"/>
        </w:rPr>
        <w:t> </w:t>
      </w:r>
      <w:r>
        <w:rPr>
          <w:i/>
          <w:spacing w:val="-4"/>
          <w:position w:val="1"/>
          <w:sz w:val="25"/>
        </w:rPr>
        <w:t>测量值</w:t>
      </w:r>
      <w:r>
        <w:rPr>
          <w:rFonts w:ascii="Times New Roman" w:hAnsi="Times New Roman" w:eastAsia="Times New Roman"/>
          <w:i/>
          <w:spacing w:val="-4"/>
          <w:position w:val="1"/>
          <w:sz w:val="24"/>
        </w:rPr>
        <w:t>/FEV</w:t>
      </w:r>
      <w:r>
        <w:rPr>
          <w:rFonts w:ascii="Times New Roman" w:hAnsi="Times New Roman" w:eastAsia="Times New Roman"/>
          <w:i/>
          <w:spacing w:val="-4"/>
          <w:sz w:val="16"/>
        </w:rPr>
        <w:t>1</w:t>
      </w:r>
      <w:r>
        <w:rPr>
          <w:rFonts w:ascii="Times New Roman" w:hAnsi="Times New Roman" w:eastAsia="Times New Roman"/>
          <w:i/>
          <w:spacing w:val="-4"/>
          <w:position w:val="1"/>
          <w:sz w:val="24"/>
        </w:rPr>
        <w:t>PNV</w:t>
      </w:r>
      <w:r>
        <w:rPr>
          <w:i/>
          <w:spacing w:val="-4"/>
          <w:position w:val="1"/>
          <w:sz w:val="25"/>
        </w:rPr>
        <w:t>）</w:t>
      </w:r>
      <w:r>
        <w:rPr>
          <w:rFonts w:ascii="Times New Roman" w:hAnsi="Times New Roman" w:eastAsia="Times New Roman"/>
          <w:i/>
          <w:spacing w:val="-4"/>
          <w:position w:val="1"/>
          <w:sz w:val="24"/>
        </w:rPr>
        <w:t>×100</w:t>
      </w:r>
    </w:p>
    <w:p>
      <w:pPr>
        <w:pStyle w:val="BodyText"/>
        <w:spacing w:before="7"/>
        <w:ind w:left="0"/>
        <w:rPr>
          <w:rFonts w:ascii="Times New Roman"/>
          <w:i/>
        </w:rPr>
      </w:pPr>
    </w:p>
    <w:p>
      <w:pPr>
        <w:spacing w:before="0"/>
        <w:ind w:left="701" w:right="0" w:firstLine="0"/>
        <w:jc w:val="left"/>
        <w:rPr>
          <w:sz w:val="24"/>
        </w:rPr>
      </w:pPr>
      <w:r>
        <w:rPr>
          <w:spacing w:val="-9"/>
          <w:position w:val="1"/>
          <w:sz w:val="24"/>
        </w:rPr>
        <w:t>将使用与计算 </w:t>
      </w:r>
      <w:r>
        <w:rPr>
          <w:rFonts w:ascii="Times New Roman" w:eastAsia="Times New Roman"/>
          <w:spacing w:val="-2"/>
          <w:position w:val="1"/>
          <w:sz w:val="24"/>
        </w:rPr>
        <w:t>FEV</w:t>
      </w:r>
      <w:r>
        <w:rPr>
          <w:rFonts w:ascii="Times New Roman" w:eastAsia="Times New Roman"/>
          <w:spacing w:val="-2"/>
          <w:sz w:val="16"/>
        </w:rPr>
        <w:t>1</w:t>
      </w:r>
      <w:r>
        <w:rPr>
          <w:rFonts w:ascii="Times New Roman" w:eastAsia="Times New Roman"/>
          <w:spacing w:val="1"/>
          <w:sz w:val="16"/>
        </w:rPr>
        <w:t> </w:t>
      </w:r>
      <w:r>
        <w:rPr>
          <w:spacing w:val="-8"/>
          <w:position w:val="1"/>
          <w:sz w:val="24"/>
        </w:rPr>
        <w:t>相似的方法计算 </w:t>
      </w:r>
      <w:r>
        <w:rPr>
          <w:rFonts w:ascii="Times New Roman" w:eastAsia="Times New Roman"/>
          <w:spacing w:val="-2"/>
          <w:position w:val="1"/>
          <w:sz w:val="24"/>
        </w:rPr>
        <w:t>FEF</w:t>
      </w:r>
      <w:r>
        <w:rPr>
          <w:rFonts w:ascii="Times New Roman" w:eastAsia="Times New Roman"/>
          <w:spacing w:val="-2"/>
          <w:sz w:val="16"/>
        </w:rPr>
        <w:t>25-75%</w:t>
      </w:r>
      <w:r>
        <w:rPr>
          <w:spacing w:val="-10"/>
          <w:position w:val="1"/>
          <w:sz w:val="24"/>
        </w:rPr>
        <w:t>。</w:t>
      </w:r>
    </w:p>
    <w:p>
      <w:pPr>
        <w:spacing w:after="0"/>
        <w:jc w:val="left"/>
        <w:rPr>
          <w:sz w:val="24"/>
        </w:rPr>
        <w:sectPr>
          <w:pgSz w:w="11910" w:h="16840"/>
          <w:pgMar w:header="590" w:footer="784" w:top="1340" w:bottom="980" w:left="1480" w:right="1080"/>
        </w:sectPr>
      </w:pPr>
    </w:p>
    <w:p>
      <w:pPr>
        <w:pStyle w:val="Heading3"/>
        <w:spacing w:before="88"/>
        <w:jc w:val="both"/>
      </w:pPr>
      <w:r>
        <w:rPr>
          <w:rFonts w:ascii="Times New Roman" w:eastAsia="Times New Roman"/>
          <w:spacing w:val="-2"/>
        </w:rPr>
        <w:t>BD </w:t>
      </w:r>
      <w:r>
        <w:rPr>
          <w:spacing w:val="-4"/>
        </w:rPr>
        <w:t>给药后肺量计测定</w:t>
      </w:r>
    </w:p>
    <w:p>
      <w:pPr>
        <w:pStyle w:val="BodyText"/>
        <w:spacing w:line="276" w:lineRule="auto" w:before="118"/>
        <w:ind w:right="357" w:firstLine="480"/>
        <w:jc w:val="both"/>
      </w:pPr>
      <w:r>
        <w:rPr>
          <w:rFonts w:ascii="Times New Roman" w:eastAsia="Times New Roman"/>
          <w:spacing w:val="-2"/>
        </w:rPr>
        <w:t>BD</w:t>
      </w:r>
      <w:r>
        <w:rPr>
          <w:rFonts w:ascii="Times New Roman" w:eastAsia="Times New Roman"/>
          <w:spacing w:val="-7"/>
        </w:rPr>
        <w:t> </w:t>
      </w:r>
      <w:r>
        <w:rPr>
          <w:spacing w:val="-5"/>
        </w:rPr>
        <w:t>给药后肺量计测定将在 </w:t>
      </w:r>
      <w:r>
        <w:rPr>
          <w:rFonts w:ascii="Times New Roman" w:eastAsia="Times New Roman"/>
          <w:spacing w:val="-2"/>
        </w:rPr>
        <w:t>SoA</w:t>
      </w:r>
      <w:r>
        <w:rPr>
          <w:spacing w:val="-2"/>
        </w:rPr>
        <w:t>（</w:t>
      </w:r>
      <w:r>
        <w:rPr>
          <w:spacing w:val="-15"/>
        </w:rPr>
        <w:t>第 </w:t>
      </w:r>
      <w:hyperlink w:history="true" w:anchor="_bookmark7">
        <w:r>
          <w:rPr>
            <w:rFonts w:ascii="Times New Roman" w:eastAsia="Times New Roman"/>
            <w:color w:val="0000FF"/>
            <w:spacing w:val="-2"/>
          </w:rPr>
          <w:t>1.3</w:t>
        </w:r>
      </w:hyperlink>
      <w:r>
        <w:rPr>
          <w:rFonts w:ascii="Times New Roman" w:eastAsia="Times New Roman"/>
          <w:color w:val="0000FF"/>
          <w:spacing w:val="8"/>
        </w:rPr>
        <w:t> </w:t>
      </w:r>
      <w:r>
        <w:rPr>
          <w:spacing w:val="-2"/>
        </w:rPr>
        <w:t>节）中详述的指定访视时实施。如果患</w:t>
      </w:r>
      <w:r>
        <w:rPr/>
        <w:t>者不能耐受 </w:t>
      </w:r>
      <w:r>
        <w:rPr>
          <w:rFonts w:ascii="Times New Roman" w:eastAsia="Times New Roman"/>
        </w:rPr>
        <w:t>BD </w:t>
      </w:r>
      <w:r>
        <w:rPr/>
        <w:t>给药后肺量计测定，或其疾病在其他方面禁忌进行该测定，则可跳</w:t>
      </w:r>
      <w:r>
        <w:rPr>
          <w:spacing w:val="-2"/>
        </w:rPr>
        <w:t>过该测定。</w:t>
      </w:r>
    </w:p>
    <w:p>
      <w:pPr>
        <w:pStyle w:val="BodyText"/>
        <w:spacing w:before="238"/>
        <w:ind w:left="701"/>
        <w:jc w:val="both"/>
      </w:pPr>
      <w:r>
        <w:rPr/>
        <w:t>在有或无储雾罐器械的情况下，采用沙丁胺醇（</w:t>
      </w:r>
      <w:r>
        <w:rPr>
          <w:rFonts w:ascii="Times New Roman" w:hAnsi="Times New Roman" w:eastAsia="Times New Roman"/>
        </w:rPr>
        <w:t>90</w:t>
      </w:r>
      <w:r>
        <w:rPr>
          <w:rFonts w:ascii="Times New Roman" w:hAnsi="Times New Roman" w:eastAsia="Times New Roman"/>
          <w:spacing w:val="71"/>
          <w:w w:val="150"/>
        </w:rPr>
        <w:t> </w:t>
      </w:r>
      <w:r>
        <w:rPr>
          <w:rFonts w:ascii="Times New Roman" w:hAnsi="Times New Roman" w:eastAsia="Times New Roman"/>
        </w:rPr>
        <w:t>μg</w:t>
      </w:r>
      <w:r>
        <w:rPr>
          <w:rFonts w:ascii="Times New Roman" w:hAnsi="Times New Roman" w:eastAsia="Times New Roman"/>
          <w:spacing w:val="26"/>
        </w:rPr>
        <w:t>  </w:t>
      </w:r>
      <w:r>
        <w:rPr/>
        <w:t>固定剂量）</w:t>
      </w:r>
      <w:r>
        <w:rPr>
          <w:spacing w:val="-2"/>
        </w:rPr>
        <w:t>或沙丁胺醇</w:t>
      </w:r>
    </w:p>
    <w:p>
      <w:pPr>
        <w:pStyle w:val="BodyText"/>
        <w:spacing w:line="276" w:lineRule="auto" w:before="47"/>
        <w:ind w:right="357" w:hanging="120"/>
        <w:jc w:val="both"/>
      </w:pPr>
      <w:r>
        <w:rPr>
          <w:spacing w:val="-2"/>
        </w:rPr>
        <w:t>（</w:t>
      </w:r>
      <w:r>
        <w:rPr>
          <w:rFonts w:ascii="Times New Roman" w:hAnsi="Times New Roman" w:eastAsia="Times New Roman"/>
          <w:spacing w:val="-2"/>
        </w:rPr>
        <w:t>100</w:t>
      </w:r>
      <w:r>
        <w:rPr>
          <w:rFonts w:ascii="Times New Roman" w:hAnsi="Times New Roman" w:eastAsia="Times New Roman"/>
          <w:spacing w:val="-13"/>
        </w:rPr>
        <w:t> </w:t>
      </w:r>
      <w:r>
        <w:rPr>
          <w:rFonts w:ascii="Times New Roman" w:hAnsi="Times New Roman" w:eastAsia="Times New Roman"/>
          <w:spacing w:val="-2"/>
        </w:rPr>
        <w:t>μg</w:t>
      </w:r>
      <w:r>
        <w:rPr>
          <w:rFonts w:ascii="Times New Roman" w:hAnsi="Times New Roman" w:eastAsia="Times New Roman"/>
          <w:spacing w:val="-13"/>
        </w:rPr>
        <w:t> </w:t>
      </w:r>
      <w:r>
        <w:rPr>
          <w:spacing w:val="-2"/>
        </w:rPr>
        <w:t>固定剂量），</w:t>
      </w:r>
      <w:r>
        <w:rPr>
          <w:spacing w:val="-7"/>
        </w:rPr>
        <w:t>建议在最终 </w:t>
      </w:r>
      <w:r>
        <w:rPr>
          <w:rFonts w:ascii="Times New Roman" w:hAnsi="Times New Roman" w:eastAsia="Times New Roman"/>
          <w:spacing w:val="-2"/>
        </w:rPr>
        <w:t>BD</w:t>
      </w:r>
      <w:r>
        <w:rPr>
          <w:rFonts w:ascii="Times New Roman" w:hAnsi="Times New Roman" w:eastAsia="Times New Roman"/>
          <w:spacing w:val="-13"/>
        </w:rPr>
        <w:t> </w:t>
      </w:r>
      <w:r>
        <w:rPr>
          <w:spacing w:val="-5"/>
        </w:rPr>
        <w:t>给药前肺量计测定 </w:t>
      </w:r>
      <w:r>
        <w:rPr>
          <w:rFonts w:ascii="Times New Roman" w:hAnsi="Times New Roman" w:eastAsia="Times New Roman"/>
          <w:spacing w:val="-2"/>
        </w:rPr>
        <w:t>30</w:t>
      </w:r>
      <w:r>
        <w:rPr>
          <w:rFonts w:ascii="Times New Roman" w:hAnsi="Times New Roman" w:eastAsia="Times New Roman"/>
          <w:spacing w:val="-13"/>
        </w:rPr>
        <w:t> </w:t>
      </w:r>
      <w:r>
        <w:rPr>
          <w:spacing w:val="-2"/>
        </w:rPr>
        <w:t>分钟</w:t>
      </w:r>
      <w:r>
        <w:rPr>
          <w:rFonts w:ascii="Times New Roman" w:hAnsi="Times New Roman" w:eastAsia="Times New Roman"/>
          <w:spacing w:val="-2"/>
        </w:rPr>
        <w:t>±15</w:t>
      </w:r>
      <w:r>
        <w:rPr>
          <w:rFonts w:ascii="Times New Roman" w:hAnsi="Times New Roman" w:eastAsia="Times New Roman"/>
          <w:spacing w:val="-12"/>
        </w:rPr>
        <w:t> </w:t>
      </w:r>
      <w:r>
        <w:rPr>
          <w:spacing w:val="-2"/>
        </w:rPr>
        <w:t>分钟范围内最多</w:t>
      </w:r>
      <w:r>
        <w:rPr>
          <w:spacing w:val="-10"/>
        </w:rPr>
        <w:t>吸入 </w:t>
      </w:r>
      <w:r>
        <w:rPr>
          <w:rFonts w:ascii="Times New Roman" w:hAnsi="Times New Roman" w:eastAsia="Times New Roman"/>
        </w:rPr>
        <w:t>4</w:t>
      </w:r>
      <w:r>
        <w:rPr>
          <w:rFonts w:ascii="Times New Roman" w:hAnsi="Times New Roman" w:eastAsia="Times New Roman"/>
          <w:spacing w:val="-15"/>
        </w:rPr>
        <w:t> </w:t>
      </w:r>
      <w:r>
        <w:rPr>
          <w:spacing w:val="-4"/>
        </w:rPr>
        <w:t>吸，诱导终点最大 </w:t>
      </w:r>
      <w:r>
        <w:rPr>
          <w:rFonts w:ascii="Times New Roman" w:hAnsi="Times New Roman" w:eastAsia="Times New Roman"/>
        </w:rPr>
        <w:t>BD</w:t>
      </w:r>
      <w:r>
        <w:rPr/>
        <w:t>。</w:t>
      </w:r>
      <w:r>
        <w:rPr>
          <w:rFonts w:ascii="Times New Roman" w:hAnsi="Times New Roman" w:eastAsia="Times New Roman"/>
        </w:rPr>
        <w:t>BD</w:t>
      </w:r>
      <w:r>
        <w:rPr>
          <w:rFonts w:ascii="Times New Roman" w:hAnsi="Times New Roman" w:eastAsia="Times New Roman"/>
          <w:spacing w:val="-15"/>
        </w:rPr>
        <w:t> </w:t>
      </w:r>
      <w:r>
        <w:rPr>
          <w:spacing w:val="-8"/>
        </w:rPr>
        <w:t>给药后 </w:t>
      </w:r>
      <w:r>
        <w:rPr>
          <w:rFonts w:ascii="Times New Roman" w:hAnsi="Times New Roman" w:eastAsia="Times New Roman"/>
        </w:rPr>
        <w:t>15~30</w:t>
      </w:r>
      <w:r>
        <w:rPr>
          <w:rFonts w:ascii="Times New Roman" w:hAnsi="Times New Roman" w:eastAsia="Times New Roman"/>
          <w:spacing w:val="-15"/>
        </w:rPr>
        <w:t> </w:t>
      </w:r>
      <w:r>
        <w:rPr/>
        <w:t>分钟内实施肺量计测定。如果受试</w:t>
      </w:r>
      <w:r>
        <w:rPr>
          <w:spacing w:val="-1"/>
        </w:rPr>
        <w:t>者无法耐受 </w:t>
      </w:r>
      <w:r>
        <w:rPr>
          <w:rFonts w:ascii="Times New Roman" w:hAnsi="Times New Roman" w:eastAsia="Times New Roman"/>
        </w:rPr>
        <w:t>4 </w:t>
      </w:r>
      <w:r>
        <w:rPr/>
        <w:t>喷沙丁胺醇，则根据研究者的临床判断，可考虑使用较少数量的吸入</w:t>
      </w:r>
      <w:r>
        <w:rPr>
          <w:spacing w:val="-6"/>
        </w:rPr>
        <w:t>剂。</w:t>
      </w:r>
    </w:p>
    <w:p>
      <w:pPr>
        <w:pStyle w:val="Heading3"/>
        <w:spacing w:before="237"/>
        <w:jc w:val="both"/>
      </w:pPr>
      <w:r>
        <w:rPr>
          <w:rFonts w:ascii="Times New Roman" w:eastAsia="Times New Roman"/>
          <w:spacing w:val="-2"/>
        </w:rPr>
        <w:t>COPD</w:t>
      </w:r>
      <w:r>
        <w:rPr>
          <w:rFonts w:ascii="Times New Roman" w:eastAsia="Times New Roman"/>
          <w:spacing w:val="-9"/>
        </w:rPr>
        <w:t> </w:t>
      </w:r>
      <w:r>
        <w:rPr>
          <w:spacing w:val="-9"/>
        </w:rPr>
        <w:t>吸入性维持治疗和 </w:t>
      </w:r>
      <w:r>
        <w:rPr>
          <w:rFonts w:ascii="Times New Roman" w:eastAsia="Times New Roman"/>
          <w:spacing w:val="-2"/>
        </w:rPr>
        <w:t>IP</w:t>
      </w:r>
      <w:r>
        <w:rPr>
          <w:rFonts w:ascii="Times New Roman" w:eastAsia="Times New Roman"/>
          <w:spacing w:val="-9"/>
        </w:rPr>
        <w:t> </w:t>
      </w:r>
      <w:r>
        <w:rPr>
          <w:spacing w:val="-11"/>
        </w:rPr>
        <w:t>相对于计划的 </w:t>
      </w:r>
      <w:r>
        <w:rPr>
          <w:rFonts w:ascii="Times New Roman" w:eastAsia="Times New Roman"/>
          <w:spacing w:val="-2"/>
        </w:rPr>
        <w:t>BD</w:t>
      </w:r>
      <w:r>
        <w:rPr>
          <w:rFonts w:ascii="Times New Roman" w:eastAsia="Times New Roman"/>
          <w:spacing w:val="-9"/>
        </w:rPr>
        <w:t> </w:t>
      </w:r>
      <w:r>
        <w:rPr>
          <w:spacing w:val="-3"/>
        </w:rPr>
        <w:t>给药前后肺功能测定的给药顺序</w:t>
      </w:r>
    </w:p>
    <w:p>
      <w:pPr>
        <w:pStyle w:val="BodyText"/>
        <w:spacing w:line="276" w:lineRule="auto" w:before="118"/>
        <w:ind w:right="357" w:firstLine="480"/>
        <w:jc w:val="both"/>
      </w:pPr>
      <w:r>
        <w:rPr>
          <w:spacing w:val="-2"/>
        </w:rPr>
        <w:t>在完成肺量计测定评估之前，不得给予受试者常规 </w:t>
      </w:r>
      <w:r>
        <w:rPr>
          <w:rFonts w:ascii="Times New Roman" w:eastAsia="Times New Roman"/>
        </w:rPr>
        <w:t>COPD </w:t>
      </w:r>
      <w:r>
        <w:rPr/>
        <w:t>早晨吸入性维持治疗和缓解药物。</w:t>
      </w:r>
      <w:r>
        <w:rPr>
          <w:rFonts w:ascii="Times New Roman" w:eastAsia="Times New Roman"/>
        </w:rPr>
        <w:t>IP</w:t>
      </w:r>
      <w:r>
        <w:rPr>
          <w:rFonts w:ascii="Times New Roman" w:eastAsia="Times New Roman"/>
          <w:spacing w:val="-7"/>
        </w:rPr>
        <w:t> </w:t>
      </w:r>
      <w:r>
        <w:rPr/>
        <w:t>给药也应在肺功能测定结束之后。</w:t>
      </w:r>
    </w:p>
    <w:p>
      <w:pPr>
        <w:pStyle w:val="BodyText"/>
        <w:spacing w:line="276" w:lineRule="auto" w:before="239"/>
        <w:ind w:right="357" w:firstLine="480"/>
        <w:jc w:val="both"/>
      </w:pPr>
      <w:r>
        <w:rPr>
          <w:spacing w:val="-2"/>
        </w:rPr>
        <w:t>如果受试者在访视期间无法耐受肺量计测定评估，可以在不同日期重新安排评估，最好在访视窗内。在这种情况下，无需暂停 </w:t>
      </w:r>
      <w:r>
        <w:rPr>
          <w:rFonts w:ascii="Times New Roman" w:eastAsia="Times New Roman"/>
        </w:rPr>
        <w:t>IP</w:t>
      </w:r>
      <w:r>
        <w:rPr>
          <w:rFonts w:ascii="Times New Roman" w:eastAsia="Times New Roman"/>
          <w:spacing w:val="-15"/>
        </w:rPr>
        <w:t> </w:t>
      </w:r>
      <w:r>
        <w:rPr/>
        <w:t>给药，可在访视期间按计划进行 </w:t>
      </w:r>
      <w:r>
        <w:rPr>
          <w:rFonts w:ascii="Times New Roman" w:eastAsia="Times New Roman"/>
        </w:rPr>
        <w:t>IP</w:t>
      </w:r>
      <w:r>
        <w:rPr>
          <w:rFonts w:ascii="Times New Roman" w:eastAsia="Times New Roman"/>
          <w:spacing w:val="-7"/>
        </w:rPr>
        <w:t> </w:t>
      </w:r>
      <w:r>
        <w:rPr/>
        <w:t>给药。</w:t>
      </w:r>
    </w:p>
    <w:p>
      <w:pPr>
        <w:pStyle w:val="Heading3"/>
        <w:spacing w:before="237"/>
      </w:pPr>
      <w:r>
        <w:rPr>
          <w:spacing w:val="-4"/>
        </w:rPr>
        <w:t>记录保存</w:t>
      </w:r>
    </w:p>
    <w:p>
      <w:pPr>
        <w:pStyle w:val="BodyText"/>
        <w:spacing w:line="276" w:lineRule="auto" w:before="120"/>
        <w:ind w:right="116" w:firstLine="480"/>
      </w:pPr>
      <w:r>
        <w:rPr/>
        <w:t>必须将已签字并注明日期的 </w:t>
      </w:r>
      <w:r>
        <w:rPr>
          <w:rFonts w:ascii="Times New Roman" w:eastAsia="Times New Roman"/>
        </w:rPr>
        <w:t>BD</w:t>
      </w:r>
      <w:r>
        <w:rPr>
          <w:rFonts w:ascii="Times New Roman" w:eastAsia="Times New Roman"/>
          <w:spacing w:val="40"/>
        </w:rPr>
        <w:t> </w:t>
      </w:r>
      <w:r>
        <w:rPr/>
        <w:t>给药前和给药后打印文件的副本保存在研究中</w:t>
      </w:r>
      <w:r>
        <w:rPr/>
        <w:t> </w:t>
      </w:r>
      <w:r>
        <w:rPr>
          <w:spacing w:val="-2"/>
        </w:rPr>
        <w:t>心，以进行原始数据验证。打印文件上必须标有研究代码、入选编码、测量日期和时间以及访视编号。如果无法打印输出文件，平均测量值则将记录在受试者病历中。</w:t>
      </w:r>
    </w:p>
    <w:p>
      <w:pPr>
        <w:pStyle w:val="Heading2"/>
        <w:numPr>
          <w:ilvl w:val="2"/>
          <w:numId w:val="3"/>
        </w:numPr>
        <w:tabs>
          <w:tab w:pos="1371" w:val="left" w:leader="none"/>
        </w:tabs>
        <w:spacing w:line="240" w:lineRule="auto" w:before="237" w:after="0"/>
        <w:ind w:left="1371" w:right="0" w:hanging="1150"/>
        <w:jc w:val="both"/>
      </w:pPr>
      <w:bookmarkStart w:name="8.1.4 定量计算机断层扫描评估" w:id="164"/>
      <w:bookmarkEnd w:id="164"/>
      <w:r>
        <w:rPr>
          <w:b w:val="0"/>
        </w:rPr>
      </w:r>
      <w:bookmarkStart w:name="_bookmark84" w:id="165"/>
      <w:bookmarkEnd w:id="165"/>
      <w:r>
        <w:rPr>
          <w:b w:val="0"/>
        </w:rPr>
      </w:r>
      <w:r>
        <w:rPr>
          <w:spacing w:val="-5"/>
        </w:rPr>
        <w:t>定量计算机断层扫描评估</w:t>
      </w:r>
    </w:p>
    <w:p>
      <w:pPr>
        <w:pStyle w:val="BodyText"/>
        <w:spacing w:line="276" w:lineRule="auto" w:before="120"/>
        <w:ind w:right="357" w:firstLine="480"/>
        <w:jc w:val="both"/>
      </w:pPr>
      <w:r>
        <w:rPr>
          <w:spacing w:val="1"/>
        </w:rPr>
        <w:t>如果可行，对于前身研究中基线</w:t>
      </w:r>
      <w:r>
        <w:rPr>
          <w:rFonts w:ascii="Times New Roman" w:eastAsia="Times New Roman"/>
          <w:spacing w:val="13"/>
        </w:rPr>
        <w:t>CT</w:t>
      </w:r>
      <w:r>
        <w:rPr/>
        <w:t>符合条件（经成像供应商确认）的受试者，</w:t>
      </w:r>
      <w:r>
        <w:rPr>
          <w:spacing w:val="11"/>
        </w:rPr>
        <w:t>应根据</w:t>
      </w:r>
      <w:r>
        <w:rPr>
          <w:rFonts w:ascii="Times New Roman" w:eastAsia="Times New Roman"/>
        </w:rPr>
        <w:t>SoA</w:t>
      </w:r>
      <w:r>
        <w:rPr/>
        <w:t>（</w:t>
      </w:r>
      <w:r>
        <w:rPr>
          <w:spacing w:val="34"/>
        </w:rPr>
        <w:t>第</w:t>
      </w:r>
      <w:hyperlink w:history="true" w:anchor="_bookmark7">
        <w:r>
          <w:rPr>
            <w:rFonts w:ascii="Times New Roman" w:eastAsia="Times New Roman"/>
            <w:color w:val="0000FF"/>
          </w:rPr>
          <w:t>1.3</w:t>
        </w:r>
      </w:hyperlink>
      <w:r>
        <w:rPr>
          <w:rFonts w:ascii="Times New Roman" w:eastAsia="Times New Roman"/>
          <w:color w:val="0000FF"/>
          <w:spacing w:val="-15"/>
        </w:rPr>
        <w:t> </w:t>
      </w:r>
      <w:r>
        <w:rPr/>
        <w:t>节）中详述的治疗期结束时标准化方案进行低辐射剂量吸气和呼</w:t>
      </w:r>
      <w:r>
        <w:rPr>
          <w:spacing w:val="-12"/>
        </w:rPr>
        <w:t>气 </w:t>
      </w:r>
      <w:r>
        <w:rPr>
          <w:rFonts w:ascii="Times New Roman" w:eastAsia="Times New Roman"/>
        </w:rPr>
        <w:t>CT </w:t>
      </w:r>
      <w:r>
        <w:rPr/>
        <w:t>扫描。</w:t>
      </w:r>
    </w:p>
    <w:p>
      <w:pPr>
        <w:pStyle w:val="BodyText"/>
        <w:spacing w:line="276" w:lineRule="auto" w:before="236"/>
        <w:ind w:right="357" w:firstLine="480"/>
        <w:jc w:val="both"/>
      </w:pPr>
      <w:r>
        <w:rPr>
          <w:spacing w:val="-5"/>
        </w:rPr>
        <w:t>对于提前终止 </w:t>
      </w:r>
      <w:r>
        <w:rPr>
          <w:rFonts w:ascii="Times New Roman" w:eastAsia="Times New Roman"/>
        </w:rPr>
        <w:t>IP</w:t>
      </w:r>
      <w:r>
        <w:rPr>
          <w:rFonts w:ascii="Times New Roman" w:eastAsia="Times New Roman"/>
          <w:spacing w:val="-15"/>
        </w:rPr>
        <w:t> </w:t>
      </w:r>
      <w:r>
        <w:rPr>
          <w:spacing w:val="-3"/>
        </w:rPr>
        <w:t>治疗的受试者，强烈建议在 </w:t>
      </w:r>
      <w:r>
        <w:rPr>
          <w:rFonts w:ascii="Times New Roman" w:eastAsia="Times New Roman"/>
        </w:rPr>
        <w:t>E/D</w:t>
      </w:r>
      <w:r>
        <w:rPr>
          <w:rFonts w:ascii="Times New Roman" w:eastAsia="Times New Roman"/>
          <w:spacing w:val="-15"/>
        </w:rPr>
        <w:t> </w:t>
      </w:r>
      <w:r>
        <w:rPr>
          <w:spacing w:val="-5"/>
        </w:rPr>
        <w:t>访视时进行 </w:t>
      </w:r>
      <w:r>
        <w:rPr>
          <w:rFonts w:ascii="Times New Roman" w:eastAsia="Times New Roman"/>
        </w:rPr>
        <w:t>CT</w:t>
      </w:r>
      <w:r>
        <w:rPr>
          <w:rFonts w:ascii="Times New Roman" w:eastAsia="Times New Roman"/>
          <w:spacing w:val="-15"/>
        </w:rPr>
        <w:t> </w:t>
      </w:r>
      <w:r>
        <w:rPr/>
        <w:t>检查，而不是</w:t>
      </w:r>
      <w:r>
        <w:rPr>
          <w:spacing w:val="-2"/>
        </w:rPr>
        <w:t>在治疗期结束时进行。但是，如果自 </w:t>
      </w:r>
      <w:r>
        <w:rPr>
          <w:rFonts w:ascii="Times New Roman" w:eastAsia="Times New Roman"/>
        </w:rPr>
        <w:t>PROSPERO </w:t>
      </w:r>
      <w:r>
        <w:rPr>
          <w:spacing w:val="-5"/>
        </w:rPr>
        <w:t>随机化后不到 </w:t>
      </w:r>
      <w:r>
        <w:rPr>
          <w:rFonts w:ascii="Times New Roman" w:eastAsia="Times New Roman"/>
        </w:rPr>
        <w:t>24</w:t>
      </w:r>
      <w:r>
        <w:rPr>
          <w:rFonts w:ascii="Times New Roman" w:eastAsia="Times New Roman"/>
          <w:spacing w:val="11"/>
        </w:rPr>
        <w:t> </w:t>
      </w:r>
      <w:r>
        <w:rPr/>
        <w:t>周，则不应进行</w:t>
      </w:r>
      <w:r>
        <w:rPr>
          <w:spacing w:val="-4"/>
        </w:rPr>
        <w:t>该扫描。</w:t>
      </w:r>
    </w:p>
    <w:p>
      <w:pPr>
        <w:pStyle w:val="BodyText"/>
        <w:spacing w:before="238"/>
        <w:ind w:left="701"/>
        <w:jc w:val="both"/>
      </w:pPr>
      <w:r>
        <w:rPr>
          <w:rFonts w:ascii="Times New Roman" w:eastAsia="Times New Roman"/>
        </w:rPr>
        <w:t>CT</w:t>
      </w:r>
      <w:r>
        <w:rPr>
          <w:rFonts w:ascii="Times New Roman" w:eastAsia="Times New Roman"/>
          <w:spacing w:val="-13"/>
        </w:rPr>
        <w:t> </w:t>
      </w:r>
      <w:r>
        <w:rPr>
          <w:spacing w:val="-2"/>
        </w:rPr>
        <w:t>扫描是可选项目。</w:t>
      </w:r>
    </w:p>
    <w:p>
      <w:pPr>
        <w:pStyle w:val="BodyText"/>
        <w:spacing w:line="276" w:lineRule="auto" w:before="287"/>
        <w:ind w:right="357" w:firstLine="480"/>
        <w:jc w:val="both"/>
      </w:pPr>
      <w:r>
        <w:rPr/>
        <w:t>由成像供应商进行 </w:t>
      </w:r>
      <w:r>
        <w:rPr>
          <w:rFonts w:ascii="Times New Roman" w:eastAsia="Times New Roman"/>
        </w:rPr>
        <w:t>CT </w:t>
      </w:r>
      <w:r>
        <w:rPr/>
        <w:t>图像分析，以便能够对粘液阻塞、肺气肿和气道壁增厚进行定量。本研究中进行的随访扫描将用于确定研究治疗对 </w:t>
      </w:r>
      <w:r>
        <w:rPr>
          <w:rFonts w:ascii="Times New Roman" w:eastAsia="Times New Roman"/>
        </w:rPr>
        <w:t>CT </w:t>
      </w:r>
      <w:r>
        <w:rPr/>
        <w:t>参数相对基线变化</w:t>
      </w:r>
      <w:r>
        <w:rPr>
          <w:spacing w:val="-2"/>
        </w:rPr>
        <w:t>的长期影响。</w:t>
      </w:r>
    </w:p>
    <w:p>
      <w:pPr>
        <w:pStyle w:val="BodyText"/>
        <w:spacing w:line="276" w:lineRule="auto" w:before="236"/>
        <w:ind w:right="356" w:firstLine="480"/>
        <w:jc w:val="both"/>
      </w:pPr>
      <w:r>
        <w:rPr/>
        <w:t>理想情况下，应以标准化方式进行新的 </w:t>
      </w:r>
      <w:r>
        <w:rPr>
          <w:rFonts w:ascii="Times New Roman" w:eastAsia="Times New Roman"/>
        </w:rPr>
        <w:t>CT </w:t>
      </w:r>
      <w:r>
        <w:rPr/>
        <w:t>扫描，这将有助于成像供应商对以</w:t>
      </w:r>
      <w:r>
        <w:rPr>
          <w:spacing w:val="-2"/>
        </w:rPr>
        <w:t>下方面进行更详细的评估：</w:t>
      </w:r>
    </w:p>
    <w:p>
      <w:pPr>
        <w:spacing w:after="0" w:line="276" w:lineRule="auto"/>
        <w:jc w:val="both"/>
        <w:sectPr>
          <w:pgSz w:w="11910" w:h="16840"/>
          <w:pgMar w:header="590" w:footer="784" w:top="1340" w:bottom="980" w:left="1480" w:right="1080"/>
        </w:sectPr>
      </w:pPr>
    </w:p>
    <w:p>
      <w:pPr>
        <w:pStyle w:val="ListParagraph"/>
        <w:numPr>
          <w:ilvl w:val="0"/>
          <w:numId w:val="33"/>
        </w:numPr>
        <w:tabs>
          <w:tab w:pos="646" w:val="left" w:leader="none"/>
        </w:tabs>
        <w:spacing w:line="240" w:lineRule="auto" w:before="88" w:after="0"/>
        <w:ind w:left="646" w:right="0" w:hanging="425"/>
        <w:jc w:val="left"/>
        <w:rPr>
          <w:sz w:val="24"/>
        </w:rPr>
      </w:pPr>
      <w:r>
        <w:rPr>
          <w:spacing w:val="-4"/>
          <w:sz w:val="24"/>
        </w:rPr>
        <w:t>粘液栓</w:t>
      </w:r>
    </w:p>
    <w:p>
      <w:pPr>
        <w:pStyle w:val="ListParagraph"/>
        <w:numPr>
          <w:ilvl w:val="0"/>
          <w:numId w:val="33"/>
        </w:numPr>
        <w:tabs>
          <w:tab w:pos="646" w:val="left" w:leader="none"/>
        </w:tabs>
        <w:spacing w:line="240" w:lineRule="auto" w:before="58" w:after="0"/>
        <w:ind w:left="646" w:right="0" w:hanging="425"/>
        <w:jc w:val="left"/>
        <w:rPr>
          <w:sz w:val="24"/>
        </w:rPr>
      </w:pPr>
      <w:r>
        <w:rPr>
          <w:spacing w:val="-2"/>
          <w:sz w:val="24"/>
        </w:rPr>
        <w:t>气道壁和气道腔尺寸</w:t>
      </w:r>
    </w:p>
    <w:p>
      <w:pPr>
        <w:pStyle w:val="ListParagraph"/>
        <w:numPr>
          <w:ilvl w:val="0"/>
          <w:numId w:val="33"/>
        </w:numPr>
        <w:tabs>
          <w:tab w:pos="646" w:val="left" w:leader="none"/>
        </w:tabs>
        <w:spacing w:line="240" w:lineRule="auto" w:before="60" w:after="0"/>
        <w:ind w:left="646" w:right="0" w:hanging="425"/>
        <w:jc w:val="left"/>
        <w:rPr>
          <w:sz w:val="24"/>
        </w:rPr>
      </w:pPr>
      <w:r>
        <w:rPr>
          <w:spacing w:val="-4"/>
          <w:sz w:val="24"/>
        </w:rPr>
        <w:t>肺气肿</w:t>
      </w:r>
    </w:p>
    <w:p>
      <w:pPr>
        <w:pStyle w:val="ListParagraph"/>
        <w:numPr>
          <w:ilvl w:val="0"/>
          <w:numId w:val="33"/>
        </w:numPr>
        <w:tabs>
          <w:tab w:pos="646" w:val="left" w:leader="none"/>
        </w:tabs>
        <w:spacing w:line="240" w:lineRule="auto" w:before="60" w:after="0"/>
        <w:ind w:left="646" w:right="0" w:hanging="425"/>
        <w:jc w:val="left"/>
        <w:rPr>
          <w:sz w:val="24"/>
        </w:rPr>
      </w:pPr>
      <w:r>
        <w:rPr>
          <w:spacing w:val="-3"/>
          <w:sz w:val="24"/>
        </w:rPr>
        <w:t>空气储留</w:t>
      </w:r>
    </w:p>
    <w:p>
      <w:pPr>
        <w:pStyle w:val="ListParagraph"/>
        <w:numPr>
          <w:ilvl w:val="0"/>
          <w:numId w:val="33"/>
        </w:numPr>
        <w:tabs>
          <w:tab w:pos="646" w:val="left" w:leader="none"/>
        </w:tabs>
        <w:spacing w:line="240" w:lineRule="auto" w:before="60" w:after="0"/>
        <w:ind w:left="646" w:right="0" w:hanging="425"/>
        <w:jc w:val="left"/>
        <w:rPr>
          <w:sz w:val="24"/>
        </w:rPr>
      </w:pPr>
      <w:r>
        <w:rPr>
          <w:spacing w:val="-1"/>
          <w:sz w:val="24"/>
        </w:rPr>
        <w:t>气道形态测定和肺密度的其他定量评估结果</w:t>
      </w:r>
    </w:p>
    <w:p>
      <w:pPr>
        <w:pStyle w:val="BodyText"/>
        <w:spacing w:before="22"/>
        <w:ind w:left="0"/>
      </w:pPr>
    </w:p>
    <w:p>
      <w:pPr>
        <w:pStyle w:val="BodyText"/>
        <w:spacing w:line="276" w:lineRule="auto"/>
        <w:ind w:right="357" w:firstLine="480"/>
        <w:jc w:val="both"/>
      </w:pPr>
      <w:r>
        <w:rPr/>
        <w:t>放射学检查手册以及影检查像供应商提供的进一步培训将描述获得 </w:t>
      </w:r>
      <w:r>
        <w:rPr>
          <w:rFonts w:ascii="Times New Roman" w:eastAsia="Times New Roman"/>
        </w:rPr>
        <w:t>CT </w:t>
      </w:r>
      <w:r>
        <w:rPr/>
        <w:t>扫描结</w:t>
      </w:r>
      <w:r>
        <w:rPr>
          <w:spacing w:val="-3"/>
        </w:rPr>
        <w:t>果的流程以及如何向影检查像供应商提交这些结果。还将向研究中心提供优化的 </w:t>
      </w:r>
      <w:r>
        <w:rPr>
          <w:rFonts w:ascii="Times New Roman" w:eastAsia="Times New Roman"/>
          <w:spacing w:val="-2"/>
        </w:rPr>
        <w:t>CT</w:t>
      </w:r>
      <w:r>
        <w:rPr>
          <w:spacing w:val="-2"/>
        </w:rPr>
        <w:t>方案，其中包括所有要求的扫描参数（和前身研究相同）。</w:t>
      </w:r>
    </w:p>
    <w:p>
      <w:pPr>
        <w:pStyle w:val="BodyText"/>
        <w:spacing w:before="238"/>
        <w:ind w:left="701"/>
      </w:pPr>
      <w:r>
        <w:rPr>
          <w:spacing w:val="-8"/>
        </w:rPr>
        <w:t>如果可能，所有 </w:t>
      </w:r>
      <w:r>
        <w:rPr>
          <w:rFonts w:ascii="Times New Roman" w:eastAsia="Times New Roman"/>
        </w:rPr>
        <w:t>CT</w:t>
      </w:r>
      <w:r>
        <w:rPr>
          <w:rFonts w:ascii="Times New Roman" w:eastAsia="Times New Roman"/>
          <w:spacing w:val="-13"/>
        </w:rPr>
        <w:t> </w:t>
      </w:r>
      <w:r>
        <w:rPr>
          <w:spacing w:val="-1"/>
        </w:rPr>
        <w:t>扫描应递交给中心成像供应商进行中心审查。</w:t>
      </w:r>
    </w:p>
    <w:p>
      <w:pPr>
        <w:pStyle w:val="Heading1"/>
        <w:numPr>
          <w:ilvl w:val="1"/>
          <w:numId w:val="3"/>
        </w:numPr>
        <w:tabs>
          <w:tab w:pos="1355" w:val="left" w:leader="none"/>
        </w:tabs>
        <w:spacing w:line="240" w:lineRule="auto" w:before="286" w:after="0"/>
        <w:ind w:left="1355" w:right="0" w:hanging="1134"/>
        <w:jc w:val="left"/>
      </w:pPr>
      <w:bookmarkStart w:name="8.2 安全性评估" w:id="166"/>
      <w:bookmarkEnd w:id="166"/>
      <w:r>
        <w:rPr>
          <w:b w:val="0"/>
        </w:rPr>
      </w:r>
      <w:bookmarkStart w:name="_bookmark85" w:id="167"/>
      <w:bookmarkEnd w:id="167"/>
      <w:r>
        <w:rPr>
          <w:b w:val="0"/>
        </w:rPr>
      </w:r>
      <w:r>
        <w:rPr>
          <w:spacing w:val="-6"/>
        </w:rPr>
        <w:t>安全性评估</w:t>
      </w:r>
    </w:p>
    <w:p>
      <w:pPr>
        <w:pStyle w:val="BodyText"/>
        <w:spacing w:before="119"/>
        <w:ind w:left="701"/>
      </w:pPr>
      <w:r>
        <w:rPr>
          <w:spacing w:val="-4"/>
        </w:rPr>
        <w:t>所有安全性评估的计划时间点请见 </w:t>
      </w:r>
      <w:r>
        <w:rPr>
          <w:rFonts w:ascii="Times New Roman" w:eastAsia="Times New Roman"/>
        </w:rPr>
        <w:t>SoA</w:t>
      </w:r>
      <w:r>
        <w:rPr/>
        <w:t>（</w:t>
      </w:r>
      <w:r>
        <w:rPr>
          <w:spacing w:val="-30"/>
        </w:rPr>
        <w:t>第 </w:t>
      </w:r>
      <w:hyperlink w:history="true" w:anchor="_bookmark7">
        <w:r>
          <w:rPr>
            <w:rFonts w:ascii="Times New Roman" w:eastAsia="Times New Roman"/>
            <w:color w:val="0000FF"/>
          </w:rPr>
          <w:t>1.3</w:t>
        </w:r>
      </w:hyperlink>
      <w:r>
        <w:rPr>
          <w:rFonts w:ascii="Times New Roman" w:eastAsia="Times New Roman"/>
          <w:color w:val="0000FF"/>
          <w:spacing w:val="-14"/>
        </w:rPr>
        <w:t> </w:t>
      </w:r>
      <w:r>
        <w:rPr/>
        <w:t>节）</w:t>
      </w:r>
      <w:r>
        <w:rPr>
          <w:spacing w:val="-10"/>
        </w:rPr>
        <w:t>。</w:t>
      </w:r>
    </w:p>
    <w:p>
      <w:pPr>
        <w:pStyle w:val="Heading2"/>
        <w:numPr>
          <w:ilvl w:val="2"/>
          <w:numId w:val="3"/>
        </w:numPr>
        <w:tabs>
          <w:tab w:pos="1371" w:val="left" w:leader="none"/>
        </w:tabs>
        <w:spacing w:line="240" w:lineRule="auto" w:before="285" w:after="0"/>
        <w:ind w:left="1371" w:right="0" w:hanging="1150"/>
        <w:jc w:val="both"/>
      </w:pPr>
      <w:bookmarkStart w:name="8.2.1 体格检查、体重和吸氧状态" w:id="168"/>
      <w:bookmarkEnd w:id="168"/>
      <w:r>
        <w:rPr>
          <w:b w:val="0"/>
        </w:rPr>
      </w:r>
      <w:bookmarkStart w:name="_bookmark86" w:id="169"/>
      <w:bookmarkEnd w:id="169"/>
      <w:r>
        <w:rPr>
          <w:b w:val="0"/>
        </w:rPr>
      </w:r>
      <w:r>
        <w:rPr>
          <w:spacing w:val="-5"/>
        </w:rPr>
        <w:t>体格检查、体重和吸氧状态</w:t>
      </w:r>
    </w:p>
    <w:p>
      <w:pPr>
        <w:pStyle w:val="BodyText"/>
        <w:spacing w:line="276" w:lineRule="auto" w:before="120"/>
        <w:ind w:right="354" w:firstLine="480"/>
        <w:jc w:val="both"/>
      </w:pPr>
      <w:r>
        <w:rPr>
          <w:spacing w:val="-3"/>
        </w:rPr>
        <w:t>将由执业 </w:t>
      </w:r>
      <w:r>
        <w:rPr>
          <w:rFonts w:ascii="Times New Roman" w:eastAsia="Times New Roman"/>
        </w:rPr>
        <w:t>HCP</w:t>
      </w:r>
      <w:r>
        <w:rPr/>
        <w:t>（如医师、助理医师或执业护士）进行全面和简单的体格检查。</w:t>
      </w:r>
      <w:r>
        <w:rPr>
          <w:spacing w:val="-2"/>
        </w:rPr>
        <w:t>全面体格检查将包括但不限于评估一般外观、头、耳、眼、鼻、喉、颈、皮肤以及心血管、呼吸、腹部和神经系统。</w:t>
      </w:r>
    </w:p>
    <w:p>
      <w:pPr>
        <w:pStyle w:val="BodyText"/>
        <w:spacing w:before="238"/>
        <w:ind w:left="701"/>
      </w:pPr>
      <w:r>
        <w:rPr>
          <w:spacing w:val="-1"/>
        </w:rPr>
        <w:t>简单体格检查将至少包括心血管、呼吸道、皮肤和神经系统评估。</w:t>
      </w:r>
    </w:p>
    <w:p>
      <w:pPr>
        <w:pStyle w:val="BodyText"/>
        <w:spacing w:line="276" w:lineRule="auto" w:before="286"/>
        <w:ind w:right="357" w:firstLine="480"/>
        <w:jc w:val="both"/>
      </w:pPr>
      <w:r>
        <w:rPr>
          <w:spacing w:val="-15"/>
        </w:rPr>
        <w:t>在 </w:t>
      </w:r>
      <w:r>
        <w:rPr>
          <w:rFonts w:ascii="Times New Roman" w:eastAsia="Times New Roman"/>
          <w:spacing w:val="-2"/>
        </w:rPr>
        <w:t>PROSPERO</w:t>
      </w:r>
      <w:r>
        <w:rPr>
          <w:rFonts w:ascii="Times New Roman" w:eastAsia="Times New Roman"/>
          <w:spacing w:val="-1"/>
        </w:rPr>
        <w:t> </w:t>
      </w:r>
      <w:r>
        <w:rPr>
          <w:spacing w:val="-2"/>
        </w:rPr>
        <w:t>研究中随机和首次给药前，体格检查的每项有临床意义的异常结果均将记录为前身研究中发生的 </w:t>
      </w:r>
      <w:r>
        <w:rPr>
          <w:rFonts w:ascii="Times New Roman" w:eastAsia="Times New Roman"/>
        </w:rPr>
        <w:t>AE</w:t>
      </w:r>
      <w:r>
        <w:rPr/>
        <w:t>，每项治疗中出现的异常（</w:t>
      </w:r>
      <w:r>
        <w:rPr>
          <w:spacing w:val="-5"/>
        </w:rPr>
        <w:t>包括通过评估 </w:t>
      </w:r>
      <w:r>
        <w:rPr>
          <w:rFonts w:ascii="Times New Roman" w:eastAsia="Times New Roman"/>
        </w:rPr>
        <w:t>SC</w:t>
      </w:r>
      <w:r>
        <w:rPr>
          <w:rFonts w:ascii="Times New Roman" w:eastAsia="Times New Roman"/>
          <w:spacing w:val="-15"/>
        </w:rPr>
        <w:t> </w:t>
      </w:r>
      <w:r>
        <w:rPr/>
        <w:t>注射部位确定的注射部位反应）</w:t>
      </w:r>
      <w:r>
        <w:rPr>
          <w:spacing w:val="-9"/>
        </w:rPr>
        <w:t>将记录为 </w:t>
      </w:r>
      <w:r>
        <w:rPr>
          <w:rFonts w:ascii="Times New Roman" w:eastAsia="Times New Roman"/>
        </w:rPr>
        <w:t>AE</w:t>
      </w:r>
      <w:r>
        <w:rPr/>
        <w:t>。</w:t>
      </w:r>
    </w:p>
    <w:p>
      <w:pPr>
        <w:pStyle w:val="BodyText"/>
        <w:spacing w:before="237"/>
        <w:ind w:left="701"/>
      </w:pPr>
      <w:r>
        <w:rPr>
          <w:spacing w:val="-20"/>
        </w:rPr>
        <w:t>将在 </w:t>
      </w:r>
      <w:r>
        <w:rPr>
          <w:rFonts w:ascii="Times New Roman" w:eastAsia="Times New Roman"/>
        </w:rPr>
        <w:t>SoA</w:t>
      </w:r>
      <w:r>
        <w:rPr/>
        <w:t>（</w:t>
      </w:r>
      <w:r>
        <w:rPr>
          <w:spacing w:val="-30"/>
        </w:rPr>
        <w:t>第 </w:t>
      </w:r>
      <w:hyperlink w:history="true" w:anchor="_bookmark7">
        <w:r>
          <w:rPr>
            <w:rFonts w:ascii="Times New Roman" w:eastAsia="Times New Roman"/>
            <w:color w:val="0000FF"/>
          </w:rPr>
          <w:t>1.3</w:t>
        </w:r>
      </w:hyperlink>
      <w:r>
        <w:rPr>
          <w:rFonts w:ascii="Times New Roman" w:eastAsia="Times New Roman"/>
          <w:color w:val="0000FF"/>
          <w:spacing w:val="-14"/>
        </w:rPr>
        <w:t> </w:t>
      </w:r>
      <w:r>
        <w:rPr/>
        <w:t>节）</w:t>
      </w:r>
      <w:r>
        <w:rPr>
          <w:spacing w:val="-1"/>
        </w:rPr>
        <w:t>中规定的时间点记录体格检查、体重和吸氧状态。</w:t>
      </w:r>
    </w:p>
    <w:p>
      <w:pPr>
        <w:pStyle w:val="Heading2"/>
        <w:numPr>
          <w:ilvl w:val="2"/>
          <w:numId w:val="3"/>
        </w:numPr>
        <w:tabs>
          <w:tab w:pos="1371" w:val="left" w:leader="none"/>
        </w:tabs>
        <w:spacing w:line="240" w:lineRule="auto" w:before="285" w:after="0"/>
        <w:ind w:left="1371" w:right="0" w:hanging="1150"/>
        <w:jc w:val="both"/>
      </w:pPr>
      <w:bookmarkStart w:name="8.2.2 吸烟状况" w:id="170"/>
      <w:bookmarkEnd w:id="170"/>
      <w:r>
        <w:rPr>
          <w:b w:val="0"/>
        </w:rPr>
      </w:r>
      <w:bookmarkStart w:name="_bookmark87" w:id="171"/>
      <w:bookmarkEnd w:id="171"/>
      <w:r>
        <w:rPr>
          <w:b w:val="0"/>
        </w:rPr>
      </w:r>
      <w:r>
        <w:rPr>
          <w:spacing w:val="-4"/>
        </w:rPr>
        <w:t>吸烟状况</w:t>
      </w:r>
    </w:p>
    <w:p>
      <w:pPr>
        <w:pStyle w:val="BodyText"/>
        <w:spacing w:line="276" w:lineRule="auto" w:before="120"/>
        <w:ind w:right="362" w:firstLine="480"/>
      </w:pPr>
      <w:r>
        <w:rPr>
          <w:spacing w:val="-2"/>
        </w:rPr>
        <w:t>将在访视时通过从研究人员处收集受试者对单个是</w:t>
      </w:r>
      <w:r>
        <w:rPr>
          <w:rFonts w:ascii="Times New Roman" w:hAnsi="Times New Roman" w:eastAsia="Times New Roman"/>
          <w:spacing w:val="-2"/>
        </w:rPr>
        <w:t>/</w:t>
      </w:r>
      <w:r>
        <w:rPr>
          <w:spacing w:val="-2"/>
        </w:rPr>
        <w:t>否问题的回答情况来评估吸烟状况：“截至目前，您的吸烟状况如何，您目前是否吸烟？”。</w:t>
      </w:r>
    </w:p>
    <w:p>
      <w:pPr>
        <w:pStyle w:val="BodyText"/>
        <w:spacing w:line="276" w:lineRule="auto" w:before="239"/>
        <w:ind w:right="359" w:firstLine="480"/>
        <w:jc w:val="both"/>
      </w:pPr>
      <w:r>
        <w:rPr>
          <w:spacing w:val="-2"/>
        </w:rPr>
        <w:t>研究期间不鼓励使用电子烟或任何蒸汽电子烟产品（如尼古丁，</w:t>
      </w:r>
      <w:r>
        <w:rPr>
          <w:rFonts w:ascii="Times New Roman" w:eastAsia="Times New Roman"/>
          <w:spacing w:val="-2"/>
        </w:rPr>
        <w:t>THC</w:t>
      </w:r>
      <w:r>
        <w:rPr>
          <w:spacing w:val="-2"/>
        </w:rPr>
        <w:t>）。在戒</w:t>
      </w:r>
      <w:r>
        <w:rPr/>
        <w:t>烟者队列中，不鼓励使用加热的烟草产品（</w:t>
      </w:r>
      <w:r>
        <w:rPr>
          <w:spacing w:val="-10"/>
        </w:rPr>
        <w:t>例如 </w:t>
      </w:r>
      <w:r>
        <w:rPr>
          <w:rFonts w:ascii="Times New Roman" w:eastAsia="Times New Roman"/>
        </w:rPr>
        <w:t>IQOS</w:t>
      </w:r>
      <w:r>
        <w:rPr/>
        <w:t>）；</w:t>
      </w:r>
      <w:r>
        <w:rPr>
          <w:spacing w:val="-4"/>
        </w:rPr>
        <w:t>应将其在源文件和 </w:t>
      </w:r>
      <w:r>
        <w:rPr>
          <w:rFonts w:ascii="Times New Roman" w:eastAsia="Times New Roman"/>
        </w:rPr>
        <w:t>eCRF</w:t>
      </w:r>
      <w:r>
        <w:rPr>
          <w:spacing w:val="-4"/>
        </w:rPr>
        <w:t>中记录。</w:t>
      </w:r>
    </w:p>
    <w:p>
      <w:pPr>
        <w:pStyle w:val="Heading2"/>
        <w:numPr>
          <w:ilvl w:val="2"/>
          <w:numId w:val="3"/>
        </w:numPr>
        <w:tabs>
          <w:tab w:pos="1371" w:val="left" w:leader="none"/>
        </w:tabs>
        <w:spacing w:line="240" w:lineRule="auto" w:before="236" w:after="0"/>
        <w:ind w:left="1371" w:right="0" w:hanging="1150"/>
        <w:jc w:val="both"/>
      </w:pPr>
      <w:bookmarkStart w:name="8.2.3 生命体征" w:id="172"/>
      <w:bookmarkEnd w:id="172"/>
      <w:r>
        <w:rPr>
          <w:b w:val="0"/>
        </w:rPr>
      </w:r>
      <w:bookmarkStart w:name="_bookmark88" w:id="173"/>
      <w:bookmarkEnd w:id="173"/>
      <w:r>
        <w:rPr>
          <w:b w:val="0"/>
        </w:rPr>
      </w:r>
      <w:r>
        <w:rPr>
          <w:spacing w:val="-4"/>
        </w:rPr>
        <w:t>生命体征</w:t>
      </w:r>
    </w:p>
    <w:p>
      <w:pPr>
        <w:pStyle w:val="BodyText"/>
        <w:spacing w:line="276" w:lineRule="auto" w:before="121"/>
        <w:ind w:right="357" w:firstLine="480"/>
      </w:pPr>
      <w:r>
        <w:rPr>
          <w:spacing w:val="40"/>
        </w:rPr>
        <w:t>如</w:t>
      </w:r>
      <w:r>
        <w:rPr>
          <w:rFonts w:ascii="Times New Roman" w:eastAsia="Times New Roman"/>
        </w:rPr>
        <w:t>SoA</w:t>
      </w:r>
      <w:r>
        <w:rPr/>
        <w:t>（</w:t>
      </w:r>
      <w:r>
        <w:rPr>
          <w:spacing w:val="40"/>
        </w:rPr>
        <w:t>第</w:t>
      </w:r>
      <w:hyperlink w:history="true" w:anchor="_bookmark7">
        <w:r>
          <w:rPr>
            <w:rFonts w:ascii="Times New Roman" w:eastAsia="Times New Roman"/>
            <w:color w:val="0000FF"/>
          </w:rPr>
          <w:t>1.3</w:t>
        </w:r>
      </w:hyperlink>
      <w:r>
        <w:rPr>
          <w:rFonts w:ascii="Times New Roman" w:eastAsia="Times New Roman"/>
          <w:color w:val="0000FF"/>
          <w:spacing w:val="-27"/>
        </w:rPr>
        <w:t> </w:t>
      </w:r>
      <w:r>
        <w:rPr/>
        <w:t>节）所述，将在给药前对生命体征进行评估。建议在进行任何干预性研究程序（采血检查、肺功能测定、</w:t>
      </w:r>
      <w:r>
        <w:rPr>
          <w:rFonts w:ascii="Times New Roman" w:eastAsia="Times New Roman"/>
        </w:rPr>
        <w:t>IP</w:t>
      </w:r>
      <w:r>
        <w:rPr>
          <w:rFonts w:ascii="Times New Roman" w:eastAsia="Times New Roman"/>
          <w:spacing w:val="7"/>
        </w:rPr>
        <w:t> </w:t>
      </w:r>
      <w:r>
        <w:rPr/>
        <w:t>给药）</w:t>
      </w:r>
      <w:r>
        <w:rPr>
          <w:spacing w:val="-11"/>
        </w:rPr>
        <w:t>前和 </w:t>
      </w:r>
      <w:r>
        <w:rPr>
          <w:rFonts w:ascii="Times New Roman" w:eastAsia="Times New Roman"/>
        </w:rPr>
        <w:t>COPD</w:t>
      </w:r>
      <w:r>
        <w:rPr>
          <w:rFonts w:ascii="Times New Roman" w:eastAsia="Times New Roman"/>
          <w:spacing w:val="12"/>
        </w:rPr>
        <w:t> </w:t>
      </w:r>
      <w:r>
        <w:rPr>
          <w:spacing w:val="-2"/>
        </w:rPr>
        <w:t>吸入性维持治疗给药</w:t>
      </w:r>
    </w:p>
    <w:p>
      <w:pPr>
        <w:spacing w:after="0" w:line="276" w:lineRule="auto"/>
        <w:sectPr>
          <w:pgSz w:w="11910" w:h="16840"/>
          <w:pgMar w:header="590" w:footer="784" w:top="1340" w:bottom="980" w:left="1480" w:right="1080"/>
        </w:sectPr>
      </w:pPr>
    </w:p>
    <w:p>
      <w:pPr>
        <w:pStyle w:val="BodyText"/>
        <w:spacing w:before="88"/>
        <w:rPr>
          <w:rFonts w:ascii="Times New Roman" w:eastAsia="Times New Roman"/>
        </w:rPr>
      </w:pPr>
      <w:r>
        <w:rPr/>
        <w:t>前评估生命体征（如可能）。采集生命体征之前，受试者应该处于静息状态至少</w:t>
      </w:r>
      <w:r>
        <w:rPr>
          <w:spacing w:val="43"/>
          <w:w w:val="150"/>
        </w:rPr>
        <w:t> </w:t>
      </w:r>
      <w:r>
        <w:rPr>
          <w:rFonts w:ascii="Times New Roman" w:eastAsia="Times New Roman"/>
          <w:spacing w:val="-10"/>
        </w:rPr>
        <w:t>5</w:t>
      </w:r>
    </w:p>
    <w:p>
      <w:pPr>
        <w:pStyle w:val="BodyText"/>
        <w:spacing w:before="45"/>
      </w:pPr>
      <w:r>
        <w:rPr>
          <w:spacing w:val="-2"/>
        </w:rPr>
        <w:t>分钟，具体如下：</w:t>
      </w:r>
    </w:p>
    <w:p>
      <w:pPr>
        <w:pStyle w:val="ListParagraph"/>
        <w:numPr>
          <w:ilvl w:val="0"/>
          <w:numId w:val="34"/>
        </w:numPr>
        <w:tabs>
          <w:tab w:pos="646" w:val="left" w:leader="none"/>
        </w:tabs>
        <w:spacing w:line="240" w:lineRule="auto" w:before="286" w:after="0"/>
        <w:ind w:left="646" w:right="363" w:hanging="425"/>
        <w:jc w:val="left"/>
        <w:rPr>
          <w:rFonts w:ascii="Symbol" w:hAnsi="Symbol" w:eastAsia="Symbol"/>
          <w:sz w:val="24"/>
        </w:rPr>
      </w:pPr>
      <w:r>
        <w:rPr>
          <w:spacing w:val="5"/>
          <w:sz w:val="24"/>
        </w:rPr>
        <w:t>体温</w:t>
      </w:r>
      <w:r>
        <w:rPr>
          <w:spacing w:val="4"/>
          <w:sz w:val="24"/>
        </w:rPr>
        <w:t>（以摄氏度测量）</w:t>
      </w:r>
      <w:r>
        <w:rPr>
          <w:spacing w:val="3"/>
          <w:sz w:val="24"/>
        </w:rPr>
        <w:t>。首选口腔测量法，但根据当地标准，其他方法也可以接受。</w:t>
      </w:r>
    </w:p>
    <w:p>
      <w:pPr>
        <w:pStyle w:val="ListParagraph"/>
        <w:numPr>
          <w:ilvl w:val="0"/>
          <w:numId w:val="34"/>
        </w:numPr>
        <w:tabs>
          <w:tab w:pos="646" w:val="left" w:leader="none"/>
        </w:tabs>
        <w:spacing w:line="240" w:lineRule="auto" w:before="59" w:after="0"/>
        <w:ind w:left="646" w:right="0" w:hanging="425"/>
        <w:jc w:val="left"/>
        <w:rPr>
          <w:rFonts w:ascii="Symbol" w:hAnsi="Symbol" w:eastAsia="Symbol"/>
          <w:sz w:val="24"/>
        </w:rPr>
      </w:pPr>
      <w:r>
        <w:rPr>
          <w:sz w:val="24"/>
        </w:rPr>
        <w:t>心率（脉率</w:t>
      </w:r>
      <w:r>
        <w:rPr>
          <w:spacing w:val="-10"/>
          <w:sz w:val="24"/>
        </w:rPr>
        <w:t>）</w:t>
      </w:r>
    </w:p>
    <w:p>
      <w:pPr>
        <w:pStyle w:val="ListParagraph"/>
        <w:numPr>
          <w:ilvl w:val="0"/>
          <w:numId w:val="34"/>
        </w:numPr>
        <w:tabs>
          <w:tab w:pos="646" w:val="left" w:leader="none"/>
        </w:tabs>
        <w:spacing w:line="240" w:lineRule="auto" w:before="60" w:after="0"/>
        <w:ind w:left="646" w:right="0" w:hanging="425"/>
        <w:jc w:val="left"/>
        <w:rPr>
          <w:rFonts w:ascii="Symbol" w:hAnsi="Symbol" w:eastAsia="Symbol"/>
          <w:sz w:val="24"/>
        </w:rPr>
      </w:pPr>
      <w:r>
        <w:rPr>
          <w:sz w:val="24"/>
        </w:rPr>
        <w:t>血压（收缩压和舒张压</w:t>
      </w:r>
      <w:r>
        <w:rPr>
          <w:spacing w:val="-10"/>
          <w:sz w:val="24"/>
        </w:rPr>
        <w:t>）</w:t>
      </w:r>
    </w:p>
    <w:p>
      <w:pPr>
        <w:pStyle w:val="ListParagraph"/>
        <w:numPr>
          <w:ilvl w:val="0"/>
          <w:numId w:val="34"/>
        </w:numPr>
        <w:tabs>
          <w:tab w:pos="646" w:val="left" w:leader="none"/>
        </w:tabs>
        <w:spacing w:line="240" w:lineRule="auto" w:before="59" w:after="0"/>
        <w:ind w:left="646" w:right="0" w:hanging="425"/>
        <w:jc w:val="left"/>
        <w:rPr>
          <w:rFonts w:ascii="Symbol" w:hAnsi="Symbol" w:eastAsia="Symbol"/>
          <w:sz w:val="24"/>
        </w:rPr>
      </w:pPr>
      <w:r>
        <w:rPr>
          <w:spacing w:val="-3"/>
          <w:sz w:val="24"/>
        </w:rPr>
        <w:t>呼吸频率</w:t>
      </w:r>
    </w:p>
    <w:p>
      <w:pPr>
        <w:pStyle w:val="ListParagraph"/>
        <w:numPr>
          <w:ilvl w:val="0"/>
          <w:numId w:val="34"/>
        </w:numPr>
        <w:tabs>
          <w:tab w:pos="646" w:val="left" w:leader="none"/>
        </w:tabs>
        <w:spacing w:line="240" w:lineRule="auto" w:before="58" w:after="0"/>
        <w:ind w:left="646" w:right="0" w:hanging="425"/>
        <w:jc w:val="left"/>
        <w:rPr>
          <w:rFonts w:ascii="Symbol" w:hAnsi="Symbol" w:eastAsia="Symbol"/>
          <w:position w:val="1"/>
          <w:sz w:val="24"/>
        </w:rPr>
      </w:pPr>
      <w:r>
        <w:rPr>
          <w:position w:val="1"/>
          <w:sz w:val="24"/>
        </w:rPr>
        <w:t>通过脉搏血氧仪测量的氧饱和度</w:t>
      </w:r>
      <w:r>
        <w:rPr>
          <w:spacing w:val="-2"/>
          <w:position w:val="1"/>
          <w:sz w:val="24"/>
        </w:rPr>
        <w:t>（</w:t>
      </w:r>
      <w:r>
        <w:rPr>
          <w:rFonts w:ascii="Times New Roman" w:hAnsi="Times New Roman" w:eastAsia="Times New Roman"/>
          <w:spacing w:val="-2"/>
          <w:position w:val="1"/>
          <w:sz w:val="24"/>
        </w:rPr>
        <w:t>SpO</w:t>
      </w:r>
      <w:r>
        <w:rPr>
          <w:rFonts w:ascii="Times New Roman" w:hAnsi="Times New Roman" w:eastAsia="Times New Roman"/>
          <w:spacing w:val="-2"/>
          <w:sz w:val="16"/>
        </w:rPr>
        <w:t>2</w:t>
      </w:r>
      <w:r>
        <w:rPr>
          <w:spacing w:val="-2"/>
          <w:position w:val="1"/>
          <w:sz w:val="24"/>
        </w:rPr>
        <w:t>）</w:t>
      </w:r>
    </w:p>
    <w:p>
      <w:pPr>
        <w:pStyle w:val="BodyText"/>
        <w:spacing w:before="143"/>
        <w:ind w:left="0"/>
      </w:pPr>
    </w:p>
    <w:p>
      <w:pPr>
        <w:pStyle w:val="Heading2"/>
        <w:numPr>
          <w:ilvl w:val="2"/>
          <w:numId w:val="3"/>
        </w:numPr>
        <w:tabs>
          <w:tab w:pos="1373" w:val="left" w:leader="none"/>
        </w:tabs>
        <w:spacing w:line="240" w:lineRule="auto" w:before="1" w:after="0"/>
        <w:ind w:left="1373" w:right="0" w:hanging="1152"/>
        <w:jc w:val="left"/>
      </w:pPr>
      <w:bookmarkStart w:name="8.2.4 心电图" w:id="174"/>
      <w:bookmarkEnd w:id="174"/>
      <w:r>
        <w:rPr>
          <w:b w:val="0"/>
        </w:rPr>
      </w:r>
      <w:bookmarkStart w:name="_bookmark89" w:id="175"/>
      <w:bookmarkEnd w:id="175"/>
      <w:r>
        <w:rPr>
          <w:b w:val="0"/>
        </w:rPr>
      </w:r>
      <w:r>
        <w:rPr>
          <w:spacing w:val="-5"/>
        </w:rPr>
        <w:t>心电图</w:t>
      </w:r>
    </w:p>
    <w:p>
      <w:pPr>
        <w:pStyle w:val="BodyText"/>
        <w:spacing w:line="276" w:lineRule="auto" w:before="120"/>
        <w:ind w:right="355" w:firstLine="480"/>
        <w:jc w:val="both"/>
      </w:pPr>
      <w:r>
        <w:rPr>
          <w:spacing w:val="-15"/>
        </w:rPr>
        <w:t>在 </w:t>
      </w:r>
      <w:r>
        <w:rPr>
          <w:rFonts w:ascii="Times New Roman" w:eastAsia="Times New Roman"/>
          <w:spacing w:val="-6"/>
        </w:rPr>
        <w:t>SoA</w:t>
      </w:r>
      <w:r>
        <w:rPr>
          <w:spacing w:val="-6"/>
        </w:rPr>
        <w:t>（</w:t>
      </w:r>
      <w:r>
        <w:rPr>
          <w:spacing w:val="-15"/>
        </w:rPr>
        <w:t>第 </w:t>
      </w:r>
      <w:hyperlink w:history="true" w:anchor="_bookmark7">
        <w:r>
          <w:rPr>
            <w:rFonts w:ascii="Times New Roman" w:eastAsia="Times New Roman"/>
            <w:color w:val="0000FF"/>
            <w:spacing w:val="-6"/>
          </w:rPr>
          <w:t>1.3</w:t>
        </w:r>
      </w:hyperlink>
      <w:r>
        <w:rPr>
          <w:rFonts w:ascii="Times New Roman" w:eastAsia="Times New Roman"/>
          <w:color w:val="0000FF"/>
          <w:spacing w:val="-9"/>
        </w:rPr>
        <w:t> </w:t>
      </w:r>
      <w:r>
        <w:rPr>
          <w:spacing w:val="-6"/>
        </w:rPr>
        <w:t>节）</w:t>
      </w:r>
      <w:r>
        <w:rPr>
          <w:spacing w:val="-8"/>
        </w:rPr>
        <w:t>中规定的时间点进行单次 </w:t>
      </w:r>
      <w:r>
        <w:rPr>
          <w:rFonts w:ascii="Times New Roman" w:eastAsia="Times New Roman"/>
          <w:spacing w:val="-6"/>
        </w:rPr>
        <w:t>12</w:t>
      </w:r>
      <w:r>
        <w:rPr>
          <w:rFonts w:ascii="Times New Roman" w:eastAsia="Times New Roman"/>
          <w:spacing w:val="-8"/>
        </w:rPr>
        <w:t> </w:t>
      </w:r>
      <w:r>
        <w:rPr>
          <w:spacing w:val="-12"/>
        </w:rPr>
        <w:t>导联 </w:t>
      </w:r>
      <w:r>
        <w:rPr>
          <w:rFonts w:ascii="Times New Roman" w:eastAsia="Times New Roman"/>
          <w:spacing w:val="-6"/>
        </w:rPr>
        <w:t>ECG</w:t>
      </w:r>
      <w:r>
        <w:rPr>
          <w:rFonts w:ascii="Times New Roman" w:eastAsia="Times New Roman"/>
          <w:spacing w:val="8"/>
        </w:rPr>
        <w:t> </w:t>
      </w:r>
      <w:r>
        <w:rPr>
          <w:spacing w:val="-6"/>
        </w:rPr>
        <w:t>检查。建议在其他干</w:t>
      </w:r>
      <w:r>
        <w:rPr/>
        <w:t>预措施（</w:t>
      </w:r>
      <w:r>
        <w:rPr>
          <w:spacing w:val="-3"/>
        </w:rPr>
        <w:t>如采血、肺量计测定及 </w:t>
      </w:r>
      <w:r>
        <w:rPr>
          <w:rFonts w:ascii="Times New Roman" w:eastAsia="Times New Roman"/>
        </w:rPr>
        <w:t>COPD</w:t>
      </w:r>
      <w:r>
        <w:rPr>
          <w:rFonts w:ascii="Times New Roman" w:eastAsia="Times New Roman"/>
          <w:spacing w:val="16"/>
        </w:rPr>
        <w:t> </w:t>
      </w:r>
      <w:r>
        <w:rPr/>
        <w:t>维持用药）</w:t>
      </w:r>
      <w:r>
        <w:rPr>
          <w:spacing w:val="-6"/>
        </w:rPr>
        <w:t>前进行 </w:t>
      </w:r>
      <w:r>
        <w:rPr>
          <w:rFonts w:ascii="Times New Roman" w:eastAsia="Times New Roman"/>
        </w:rPr>
        <w:t>ECG</w:t>
      </w:r>
      <w:r>
        <w:rPr>
          <w:rFonts w:ascii="Times New Roman" w:eastAsia="Times New Roman"/>
          <w:spacing w:val="15"/>
        </w:rPr>
        <w:t> </w:t>
      </w:r>
      <w:r>
        <w:rPr>
          <w:spacing w:val="-3"/>
        </w:rPr>
        <w:t>评估，但必须在 </w:t>
      </w:r>
      <w:r>
        <w:rPr>
          <w:rFonts w:ascii="Times New Roman" w:eastAsia="Times New Roman"/>
        </w:rPr>
        <w:t>IP</w:t>
      </w:r>
      <w:r>
        <w:rPr>
          <w:spacing w:val="-2"/>
        </w:rPr>
        <w:t>给药前进行。采集 </w:t>
      </w:r>
      <w:r>
        <w:rPr>
          <w:rFonts w:ascii="Times New Roman" w:eastAsia="Times New Roman"/>
        </w:rPr>
        <w:t>ECG </w:t>
      </w:r>
      <w:r>
        <w:rPr>
          <w:spacing w:val="-2"/>
        </w:rPr>
        <w:t>之前，受试者应保持仰卧位至少 </w:t>
      </w:r>
      <w:r>
        <w:rPr>
          <w:rFonts w:ascii="Times New Roman" w:eastAsia="Times New Roman"/>
        </w:rPr>
        <w:t>10 </w:t>
      </w:r>
      <w:r>
        <w:rPr/>
        <w:t>分钟。</w:t>
      </w:r>
    </w:p>
    <w:p>
      <w:pPr>
        <w:pStyle w:val="BodyText"/>
        <w:spacing w:line="276" w:lineRule="auto" w:before="237"/>
        <w:ind w:right="117" w:firstLine="480"/>
      </w:pPr>
      <w:r>
        <w:rPr>
          <w:spacing w:val="-1"/>
        </w:rPr>
        <w:t>将采用中心供应商提供的 </w:t>
      </w:r>
      <w:r>
        <w:rPr>
          <w:rFonts w:ascii="Times New Roman" w:eastAsia="Times New Roman"/>
        </w:rPr>
        <w:t>ECG </w:t>
      </w:r>
      <w:r>
        <w:rPr/>
        <w:t>仪器记录心电图，该仪器可自动计算心率，并测</w:t>
      </w:r>
      <w:r>
        <w:rPr/>
        <w:t> </w:t>
      </w:r>
      <w:r>
        <w:rPr>
          <w:spacing w:val="-26"/>
        </w:rPr>
        <w:t>量 </w:t>
      </w:r>
      <w:r>
        <w:rPr>
          <w:rFonts w:ascii="Times New Roman" w:eastAsia="Times New Roman"/>
        </w:rPr>
        <w:t>PR</w:t>
      </w:r>
      <w:r>
        <w:rPr/>
        <w:t>、</w:t>
      </w:r>
      <w:r>
        <w:rPr>
          <w:rFonts w:ascii="Times New Roman" w:eastAsia="Times New Roman"/>
        </w:rPr>
        <w:t>QRS</w:t>
      </w:r>
      <w:r>
        <w:rPr>
          <w:rFonts w:ascii="Times New Roman" w:eastAsia="Times New Roman"/>
          <w:spacing w:val="-15"/>
        </w:rPr>
        <w:t> </w:t>
      </w:r>
      <w:r>
        <w:rPr>
          <w:spacing w:val="-26"/>
        </w:rPr>
        <w:t>和 </w:t>
      </w:r>
      <w:r>
        <w:rPr>
          <w:rFonts w:ascii="Times New Roman" w:eastAsia="Times New Roman"/>
        </w:rPr>
        <w:t>QT</w:t>
      </w:r>
      <w:r>
        <w:rPr>
          <w:rFonts w:ascii="Times New Roman" w:eastAsia="Times New Roman"/>
          <w:spacing w:val="-15"/>
        </w:rPr>
        <w:t> </w:t>
      </w:r>
      <w:r>
        <w:rPr/>
        <w:t>间期；在受试者参与研究的整个过程中，应仅使用该设备进行评估</w:t>
      </w:r>
      <w:r>
        <w:rPr>
          <w:spacing w:val="-3"/>
        </w:rPr>
        <w:t>。心电图设备软件将用于评估心电图参数。将 </w:t>
      </w:r>
      <w:r>
        <w:rPr>
          <w:rFonts w:ascii="Times New Roman" w:eastAsia="Times New Roman"/>
        </w:rPr>
        <w:t>ECG</w:t>
      </w:r>
      <w:r>
        <w:rPr>
          <w:rFonts w:ascii="Times New Roman" w:eastAsia="Times New Roman"/>
          <w:spacing w:val="-15"/>
        </w:rPr>
        <w:t> </w:t>
      </w:r>
      <w:r>
        <w:rPr/>
        <w:t>结果传送至中心阅片人。研究者或</w:t>
      </w:r>
      <w:r>
        <w:rPr>
          <w:spacing w:val="-3"/>
        </w:rPr>
        <w:t>授权代表将负责解释总体结果，并决定任何可能的 </w:t>
      </w:r>
      <w:r>
        <w:rPr>
          <w:rFonts w:ascii="Times New Roman" w:eastAsia="Times New Roman"/>
        </w:rPr>
        <w:t>ECG</w:t>
      </w:r>
      <w:r>
        <w:rPr>
          <w:rFonts w:ascii="Times New Roman" w:eastAsia="Times New Roman"/>
          <w:spacing w:val="-15"/>
        </w:rPr>
        <w:t> </w:t>
      </w:r>
      <w:r>
        <w:rPr/>
        <w:t>结果是否具有临床意义。将结</w:t>
      </w:r>
      <w:r>
        <w:rPr>
          <w:spacing w:val="-3"/>
        </w:rPr>
        <w:t>果记录在源文件以及 </w:t>
      </w:r>
      <w:r>
        <w:rPr>
          <w:rFonts w:ascii="Times New Roman" w:eastAsia="Times New Roman"/>
        </w:rPr>
        <w:t>eCRF </w:t>
      </w:r>
      <w:r>
        <w:rPr/>
        <w:t>中。</w:t>
      </w:r>
    </w:p>
    <w:p>
      <w:pPr>
        <w:pStyle w:val="BodyText"/>
        <w:spacing w:before="236"/>
        <w:ind w:left="701"/>
      </w:pPr>
      <w:r>
        <w:rPr>
          <w:spacing w:val="-1"/>
        </w:rPr>
        <w:t>收集心电图变量，具体如下：</w:t>
      </w:r>
    </w:p>
    <w:p>
      <w:pPr>
        <w:pStyle w:val="ListParagraph"/>
        <w:numPr>
          <w:ilvl w:val="0"/>
          <w:numId w:val="35"/>
        </w:numPr>
        <w:tabs>
          <w:tab w:pos="646" w:val="left" w:leader="none"/>
        </w:tabs>
        <w:spacing w:line="240" w:lineRule="auto" w:before="286" w:after="0"/>
        <w:ind w:left="646" w:right="0" w:hanging="425"/>
        <w:jc w:val="left"/>
        <w:rPr>
          <w:sz w:val="24"/>
        </w:rPr>
      </w:pPr>
      <w:r>
        <w:rPr>
          <w:sz w:val="24"/>
        </w:rPr>
        <w:t>心率（脉率</w:t>
      </w:r>
      <w:r>
        <w:rPr>
          <w:spacing w:val="-10"/>
          <w:sz w:val="24"/>
        </w:rPr>
        <w:t>）</w:t>
      </w:r>
    </w:p>
    <w:p>
      <w:pPr>
        <w:pStyle w:val="ListParagraph"/>
        <w:numPr>
          <w:ilvl w:val="0"/>
          <w:numId w:val="35"/>
        </w:numPr>
        <w:tabs>
          <w:tab w:pos="646" w:val="left" w:leader="none"/>
        </w:tabs>
        <w:spacing w:line="240" w:lineRule="auto" w:before="60" w:after="0"/>
        <w:ind w:left="646" w:right="0" w:hanging="425"/>
        <w:jc w:val="left"/>
        <w:rPr>
          <w:sz w:val="24"/>
        </w:rPr>
      </w:pPr>
      <w:r>
        <w:rPr>
          <w:rFonts w:ascii="Times New Roman" w:hAnsi="Times New Roman" w:eastAsia="Times New Roman"/>
          <w:sz w:val="24"/>
        </w:rPr>
        <w:t>RR</w:t>
      </w:r>
      <w:r>
        <w:rPr>
          <w:rFonts w:ascii="Times New Roman" w:hAnsi="Times New Roman" w:eastAsia="Times New Roman"/>
          <w:spacing w:val="-14"/>
          <w:sz w:val="24"/>
        </w:rPr>
        <w:t> </w:t>
      </w:r>
      <w:r>
        <w:rPr>
          <w:spacing w:val="-5"/>
          <w:sz w:val="24"/>
        </w:rPr>
        <w:t>间期</w:t>
      </w:r>
    </w:p>
    <w:p>
      <w:pPr>
        <w:pStyle w:val="ListParagraph"/>
        <w:numPr>
          <w:ilvl w:val="0"/>
          <w:numId w:val="35"/>
        </w:numPr>
        <w:tabs>
          <w:tab w:pos="646" w:val="left" w:leader="none"/>
        </w:tabs>
        <w:spacing w:line="240" w:lineRule="auto" w:before="58" w:after="0"/>
        <w:ind w:left="646" w:right="0" w:hanging="425"/>
        <w:jc w:val="left"/>
        <w:rPr>
          <w:sz w:val="24"/>
        </w:rPr>
      </w:pPr>
      <w:r>
        <w:rPr>
          <w:rFonts w:ascii="Times New Roman" w:hAnsi="Times New Roman" w:eastAsia="Times New Roman"/>
          <w:sz w:val="24"/>
        </w:rPr>
        <w:t>QRS</w:t>
      </w:r>
      <w:r>
        <w:rPr>
          <w:rFonts w:ascii="Times New Roman" w:hAnsi="Times New Roman" w:eastAsia="Times New Roman"/>
          <w:spacing w:val="-14"/>
          <w:sz w:val="24"/>
        </w:rPr>
        <w:t> </w:t>
      </w:r>
      <w:r>
        <w:rPr>
          <w:spacing w:val="-5"/>
          <w:sz w:val="24"/>
        </w:rPr>
        <w:t>间期</w:t>
      </w:r>
    </w:p>
    <w:p>
      <w:pPr>
        <w:pStyle w:val="ListParagraph"/>
        <w:numPr>
          <w:ilvl w:val="0"/>
          <w:numId w:val="35"/>
        </w:numPr>
        <w:tabs>
          <w:tab w:pos="646" w:val="left" w:leader="none"/>
        </w:tabs>
        <w:spacing w:line="240" w:lineRule="auto" w:before="59" w:after="0"/>
        <w:ind w:left="646" w:right="0" w:hanging="425"/>
        <w:jc w:val="left"/>
        <w:rPr>
          <w:sz w:val="24"/>
        </w:rPr>
      </w:pPr>
      <w:r>
        <w:rPr>
          <w:rFonts w:ascii="Times New Roman" w:hAnsi="Times New Roman" w:eastAsia="Times New Roman"/>
          <w:sz w:val="24"/>
        </w:rPr>
        <w:t>PR</w:t>
      </w:r>
      <w:r>
        <w:rPr>
          <w:rFonts w:ascii="Times New Roman" w:hAnsi="Times New Roman" w:eastAsia="Times New Roman"/>
          <w:spacing w:val="-14"/>
          <w:sz w:val="24"/>
        </w:rPr>
        <w:t> </w:t>
      </w:r>
      <w:r>
        <w:rPr>
          <w:spacing w:val="-5"/>
          <w:sz w:val="24"/>
        </w:rPr>
        <w:t>间期</w:t>
      </w:r>
    </w:p>
    <w:p>
      <w:pPr>
        <w:pStyle w:val="ListParagraph"/>
        <w:numPr>
          <w:ilvl w:val="0"/>
          <w:numId w:val="35"/>
        </w:numPr>
        <w:tabs>
          <w:tab w:pos="646" w:val="left" w:leader="none"/>
        </w:tabs>
        <w:spacing w:line="240" w:lineRule="auto" w:before="60" w:after="0"/>
        <w:ind w:left="646" w:right="0" w:hanging="425"/>
        <w:jc w:val="left"/>
        <w:rPr>
          <w:sz w:val="24"/>
        </w:rPr>
      </w:pPr>
      <w:r>
        <w:rPr>
          <w:rFonts w:ascii="Times New Roman" w:hAnsi="Times New Roman" w:eastAsia="Times New Roman"/>
          <w:sz w:val="24"/>
        </w:rPr>
        <w:t>QT</w:t>
      </w:r>
      <w:r>
        <w:rPr>
          <w:rFonts w:ascii="Times New Roman" w:hAnsi="Times New Roman" w:eastAsia="Times New Roman"/>
          <w:spacing w:val="-15"/>
          <w:sz w:val="24"/>
        </w:rPr>
        <w:t> </w:t>
      </w:r>
      <w:r>
        <w:rPr>
          <w:spacing w:val="-5"/>
          <w:sz w:val="24"/>
        </w:rPr>
        <w:t>间期</w:t>
      </w:r>
    </w:p>
    <w:p>
      <w:pPr>
        <w:pStyle w:val="BodyText"/>
        <w:spacing w:before="142"/>
        <w:ind w:left="0"/>
      </w:pPr>
    </w:p>
    <w:p>
      <w:pPr>
        <w:pStyle w:val="Heading2"/>
        <w:numPr>
          <w:ilvl w:val="2"/>
          <w:numId w:val="3"/>
        </w:numPr>
        <w:tabs>
          <w:tab w:pos="1371" w:val="left" w:leader="none"/>
        </w:tabs>
        <w:spacing w:line="240" w:lineRule="auto" w:before="0" w:after="0"/>
        <w:ind w:left="1371" w:right="0" w:hanging="1150"/>
        <w:jc w:val="both"/>
      </w:pPr>
      <w:bookmarkStart w:name="8.2.5 超声心动图" w:id="176"/>
      <w:bookmarkEnd w:id="176"/>
      <w:r>
        <w:rPr>
          <w:b w:val="0"/>
        </w:rPr>
      </w:r>
      <w:bookmarkStart w:name="_bookmark90" w:id="177"/>
      <w:bookmarkEnd w:id="177"/>
      <w:r>
        <w:rPr>
          <w:b w:val="0"/>
        </w:rPr>
      </w:r>
      <w:r>
        <w:rPr>
          <w:spacing w:val="-6"/>
        </w:rPr>
        <w:t>超声心动图</w:t>
      </w:r>
    </w:p>
    <w:p>
      <w:pPr>
        <w:pStyle w:val="BodyText"/>
        <w:spacing w:line="276" w:lineRule="auto" w:before="120"/>
        <w:ind w:right="357" w:firstLine="480"/>
        <w:jc w:val="both"/>
      </w:pPr>
      <w:r>
        <w:rPr>
          <w:spacing w:val="-2"/>
        </w:rPr>
        <w:t>对于基线时符合超声心动图条件和</w:t>
      </w:r>
      <w:r>
        <w:rPr>
          <w:rFonts w:ascii="Times New Roman" w:eastAsia="Times New Roman"/>
          <w:spacing w:val="-2"/>
        </w:rPr>
        <w:t>/</w:t>
      </w:r>
      <w:r>
        <w:rPr>
          <w:spacing w:val="-2"/>
        </w:rPr>
        <w:t>或在前身研究中或本研究期间接受超声心动</w:t>
      </w:r>
      <w:r>
        <w:rPr>
          <w:spacing w:val="-1"/>
        </w:rPr>
        <w:t>图检查的所有受试者，将在治疗期结束或 </w:t>
      </w:r>
      <w:r>
        <w:rPr>
          <w:rFonts w:ascii="Times New Roman" w:eastAsia="Times New Roman"/>
        </w:rPr>
        <w:t>E/D </w:t>
      </w:r>
      <w:r>
        <w:rPr/>
        <w:t>访视时接受随访超声心动图检查（</w:t>
      </w:r>
      <w:r>
        <w:rPr/>
        <w:t>见</w:t>
      </w:r>
      <w:r>
        <w:rPr>
          <w:spacing w:val="-12"/>
        </w:rPr>
        <w:t>第 </w:t>
      </w:r>
      <w:hyperlink w:history="true" w:anchor="_bookmark7">
        <w:r>
          <w:rPr>
            <w:rFonts w:ascii="Times New Roman" w:eastAsia="Times New Roman"/>
            <w:color w:val="0000FF"/>
          </w:rPr>
          <w:t>1.3</w:t>
        </w:r>
      </w:hyperlink>
      <w:r>
        <w:rPr>
          <w:rFonts w:ascii="Times New Roman" w:eastAsia="Times New Roman"/>
          <w:color w:val="0000FF"/>
        </w:rPr>
        <w:t> </w:t>
      </w:r>
      <w:r>
        <w:rPr/>
        <w:t>节）。</w:t>
      </w:r>
    </w:p>
    <w:p>
      <w:pPr>
        <w:pStyle w:val="BodyText"/>
        <w:spacing w:line="276" w:lineRule="auto" w:before="238"/>
        <w:ind w:right="364" w:firstLine="480"/>
      </w:pPr>
      <w:r>
        <w:rPr>
          <w:spacing w:val="-2"/>
        </w:rPr>
        <w:t>研究期间，如果怀疑新发心力衰竭或心力衰竭恶化，必须尽快进行额外的超声心动图评估，也可根据临床指征因其他原因进行评估。</w:t>
      </w:r>
    </w:p>
    <w:p>
      <w:pPr>
        <w:pStyle w:val="BodyText"/>
        <w:spacing w:line="276" w:lineRule="auto" w:before="239"/>
        <w:ind w:right="357" w:firstLine="480"/>
        <w:jc w:val="both"/>
      </w:pPr>
      <w:r>
        <w:rPr/>
        <w:t>使用当地设备进行超声心动图检查。强烈建议在整个研究期间由同一名超声心</w:t>
      </w:r>
      <w:r>
        <w:rPr>
          <w:spacing w:val="-1"/>
        </w:rPr>
        <w:t>动图专家在相同设备上对同一个受试者进行任何重复评估。将评估 </w:t>
      </w:r>
      <w:r>
        <w:rPr>
          <w:rFonts w:ascii="Times New Roman" w:eastAsia="Times New Roman"/>
        </w:rPr>
        <w:t>LVEF</w:t>
      </w:r>
      <w:r>
        <w:rPr>
          <w:rFonts w:ascii="Times New Roman" w:eastAsia="Times New Roman"/>
          <w:spacing w:val="34"/>
        </w:rPr>
        <w:t> </w:t>
      </w:r>
      <w:r>
        <w:rPr/>
        <w:t>和左心室</w:t>
      </w:r>
      <w:r>
        <w:rPr>
          <w:spacing w:val="-2"/>
        </w:rPr>
        <w:t>容积，当地超声心动图结果应包括有资质专家的临床解读说明。</w:t>
      </w:r>
    </w:p>
    <w:p>
      <w:pPr>
        <w:spacing w:after="0" w:line="276" w:lineRule="auto"/>
        <w:jc w:val="both"/>
        <w:sectPr>
          <w:pgSz w:w="11910" w:h="16840"/>
          <w:pgMar w:header="590" w:footer="784" w:top="1340" w:bottom="980" w:left="1480" w:right="1080"/>
        </w:sectPr>
      </w:pPr>
    </w:p>
    <w:p>
      <w:pPr>
        <w:pStyle w:val="BodyText"/>
        <w:spacing w:line="276" w:lineRule="auto" w:before="88"/>
        <w:ind w:right="367" w:firstLine="480"/>
        <w:jc w:val="both"/>
      </w:pPr>
      <w:r>
        <w:rPr>
          <w:spacing w:val="-2"/>
        </w:rPr>
        <w:t>研究者</w:t>
      </w:r>
      <w:r>
        <w:rPr>
          <w:rFonts w:ascii="Times New Roman" w:eastAsia="Times New Roman"/>
          <w:spacing w:val="-2"/>
        </w:rPr>
        <w:t>/</w:t>
      </w:r>
      <w:r>
        <w:rPr>
          <w:spacing w:val="-2"/>
        </w:rPr>
        <w:t>代理人将负责总体解读和确定任何可能的超声心动图结果的临床意义，</w:t>
      </w:r>
      <w:r>
        <w:rPr>
          <w:spacing w:val="-3"/>
        </w:rPr>
        <w:t>并将其记录在源记录和 </w:t>
      </w:r>
      <w:r>
        <w:rPr>
          <w:rFonts w:ascii="Times New Roman" w:eastAsia="Times New Roman"/>
        </w:rPr>
        <w:t>eCRF </w:t>
      </w:r>
      <w:r>
        <w:rPr/>
        <w:t>中。</w:t>
      </w:r>
    </w:p>
    <w:p>
      <w:pPr>
        <w:pStyle w:val="Heading2"/>
        <w:numPr>
          <w:ilvl w:val="2"/>
          <w:numId w:val="3"/>
        </w:numPr>
        <w:tabs>
          <w:tab w:pos="1371" w:val="left" w:leader="none"/>
        </w:tabs>
        <w:spacing w:line="240" w:lineRule="auto" w:before="238" w:after="0"/>
        <w:ind w:left="1371" w:right="0" w:hanging="1150"/>
        <w:jc w:val="both"/>
      </w:pPr>
      <w:bookmarkStart w:name="8.2.6 临床安全性实验室评估" w:id="178"/>
      <w:bookmarkEnd w:id="178"/>
      <w:r>
        <w:rPr>
          <w:b w:val="0"/>
        </w:rPr>
      </w:r>
      <w:bookmarkStart w:name="_bookmark91" w:id="179"/>
      <w:bookmarkEnd w:id="179"/>
      <w:r>
        <w:rPr>
          <w:b w:val="0"/>
        </w:rPr>
      </w:r>
      <w:r>
        <w:rPr>
          <w:spacing w:val="-5"/>
        </w:rPr>
        <w:t>临床安全性实验室评估</w:t>
      </w:r>
    </w:p>
    <w:p>
      <w:pPr>
        <w:pStyle w:val="BodyText"/>
        <w:spacing w:line="276" w:lineRule="auto" w:before="120"/>
        <w:ind w:right="354" w:firstLine="480"/>
        <w:jc w:val="both"/>
      </w:pPr>
      <w:r>
        <w:rPr>
          <w:spacing w:val="4"/>
        </w:rPr>
        <w:t>采血的标称时间请见</w:t>
      </w:r>
      <w:r>
        <w:rPr>
          <w:rFonts w:ascii="Times New Roman" w:eastAsia="Times New Roman"/>
        </w:rPr>
        <w:t>SoA</w:t>
      </w:r>
      <w:r>
        <w:rPr/>
        <w:t>（</w:t>
      </w:r>
      <w:r>
        <w:rPr>
          <w:spacing w:val="36"/>
        </w:rPr>
        <w:t>第</w:t>
      </w:r>
      <w:hyperlink w:history="true" w:anchor="_bookmark7">
        <w:r>
          <w:rPr>
            <w:rFonts w:ascii="Times New Roman" w:eastAsia="Times New Roman"/>
            <w:color w:val="0000FF"/>
          </w:rPr>
          <w:t>1.3</w:t>
        </w:r>
      </w:hyperlink>
      <w:r>
        <w:rPr>
          <w:rFonts w:ascii="Times New Roman" w:eastAsia="Times New Roman"/>
          <w:color w:val="0000FF"/>
          <w:spacing w:val="-15"/>
        </w:rPr>
        <w:t> </w:t>
      </w:r>
      <w:r>
        <w:rPr/>
        <w:t>节）。将向研究中心提供实验室手册，其中说</w:t>
      </w:r>
      <w:r>
        <w:rPr>
          <w:spacing w:val="-2"/>
        </w:rPr>
        <w:t>明了本临床研究特定的样本采集、处理、贮藏和运输程序及实验室联系信息。将在</w:t>
      </w:r>
      <w:r>
        <w:rPr>
          <w:spacing w:val="-1"/>
        </w:rPr>
        <w:t>中心临床实验室进行临床实验室安全性检查。在研究中心使用获得许可的试验方法</w:t>
      </w:r>
    </w:p>
    <w:p>
      <w:pPr>
        <w:pStyle w:val="BodyText"/>
        <w:spacing w:line="276" w:lineRule="auto"/>
        <w:ind w:right="358" w:hanging="120"/>
      </w:pPr>
      <w:r>
        <w:rPr>
          <w:spacing w:val="-2"/>
        </w:rPr>
        <w:t>（试纸法）进行尿液妊娠试验（如适用）。如果进行远程医疗访视，将视情况在其他地方进行尿液妊娠试验。</w:t>
      </w:r>
    </w:p>
    <w:p>
      <w:pPr>
        <w:pStyle w:val="BodyText"/>
        <w:spacing w:line="276" w:lineRule="auto" w:before="235"/>
        <w:ind w:right="357" w:firstLine="480"/>
        <w:jc w:val="both"/>
      </w:pPr>
      <w:r>
        <w:rPr/>
        <w:t>应尽快对有临床意义的异常实验室结果进行复测（</w:t>
      </w:r>
      <w:r>
        <w:rPr>
          <w:spacing w:val="-2"/>
        </w:rPr>
        <w:t>最好在 </w:t>
      </w:r>
      <w:r>
        <w:rPr>
          <w:rFonts w:ascii="Times New Roman" w:eastAsia="Times New Roman"/>
        </w:rPr>
        <w:t>24~48 </w:t>
      </w:r>
      <w:r>
        <w:rPr/>
        <w:t>小时内）。当</w:t>
      </w:r>
      <w:r>
        <w:rPr>
          <w:spacing w:val="1"/>
        </w:rPr>
        <w:t>怀疑新发心力衰竭时，应额外进行</w:t>
      </w:r>
      <w:r>
        <w:rPr>
          <w:rFonts w:ascii="Times New Roman" w:eastAsia="Times New Roman"/>
        </w:rPr>
        <w:t>NT-proBNP</w:t>
      </w:r>
      <w:r>
        <w:rPr>
          <w:rFonts w:ascii="Times New Roman" w:eastAsia="Times New Roman"/>
          <w:spacing w:val="-15"/>
        </w:rPr>
        <w:t> </w:t>
      </w:r>
      <w:r>
        <w:rPr>
          <w:spacing w:val="2"/>
        </w:rPr>
        <w:t>检测，或此后尽快进行</w:t>
      </w:r>
      <w:r>
        <w:rPr>
          <w:rFonts w:ascii="Times New Roman" w:eastAsia="Times New Roman"/>
        </w:rPr>
        <w:t>NT-proBNP</w:t>
      </w:r>
      <w:r>
        <w:rPr>
          <w:rFonts w:ascii="Times New Roman" w:eastAsia="Times New Roman"/>
          <w:spacing w:val="-15"/>
        </w:rPr>
        <w:t> </w:t>
      </w:r>
      <w:r>
        <w:rPr/>
        <w:t>检</w:t>
      </w:r>
      <w:r>
        <w:rPr>
          <w:spacing w:val="-2"/>
        </w:rPr>
        <w:t>测。如有临床指征，可根据当地 </w:t>
      </w:r>
      <w:r>
        <w:rPr>
          <w:rFonts w:ascii="Times New Roman" w:eastAsia="Times New Roman"/>
        </w:rPr>
        <w:t>SoC </w:t>
      </w:r>
      <w:r>
        <w:rPr/>
        <w:t>在当地进行其他实验室检查，包括肌钙蛋白检</w:t>
      </w:r>
      <w:r>
        <w:rPr>
          <w:spacing w:val="-6"/>
        </w:rPr>
        <w:t>查。</w:t>
      </w:r>
    </w:p>
    <w:p>
      <w:pPr>
        <w:pStyle w:val="BodyText"/>
        <w:spacing w:line="276" w:lineRule="auto" w:before="237"/>
        <w:ind w:right="357" w:firstLine="480"/>
        <w:jc w:val="both"/>
      </w:pPr>
      <w:r>
        <w:rPr/>
        <w:t>将测定以下实验室变量（</w:t>
      </w:r>
      <w:hyperlink w:history="true" w:anchor="_bookmark92">
        <w:r>
          <w:rPr>
            <w:color w:val="0000FF"/>
            <w:spacing w:val="-15"/>
          </w:rPr>
          <w:t>表 </w:t>
        </w:r>
        <w:r>
          <w:rPr>
            <w:rFonts w:ascii="Times New Roman" w:eastAsia="Times New Roman"/>
            <w:color w:val="0000FF"/>
          </w:rPr>
          <w:t>6</w:t>
        </w:r>
      </w:hyperlink>
      <w:r>
        <w:rPr/>
        <w:t>）</w:t>
      </w:r>
      <w:r>
        <w:rPr>
          <w:spacing w:val="-3"/>
        </w:rPr>
        <w:t>。对于血常规检查，请见第 </w:t>
      </w:r>
      <w:hyperlink w:history="true" w:anchor="_bookmark61">
        <w:r>
          <w:rPr>
            <w:rFonts w:ascii="Times New Roman" w:eastAsia="Times New Roman"/>
            <w:color w:val="0000FF"/>
          </w:rPr>
          <w:t>6.3.2</w:t>
        </w:r>
      </w:hyperlink>
      <w:r>
        <w:rPr>
          <w:rFonts w:ascii="Times New Roman" w:eastAsia="Times New Roman"/>
          <w:color w:val="0000FF"/>
          <w:spacing w:val="-15"/>
        </w:rPr>
        <w:t> </w:t>
      </w:r>
      <w:r>
        <w:rPr/>
        <w:t>节中嗜酸性粒</w:t>
      </w:r>
      <w:r>
        <w:rPr>
          <w:spacing w:val="-2"/>
        </w:rPr>
        <w:t>细胞数据的设盲程序。</w:t>
      </w:r>
    </w:p>
    <w:p>
      <w:pPr>
        <w:pStyle w:val="Heading3"/>
        <w:tabs>
          <w:tab w:pos="1923" w:val="left" w:leader="none"/>
        </w:tabs>
        <w:spacing w:before="238"/>
      </w:pPr>
      <w:bookmarkStart w:name="_bookmark92" w:id="180"/>
      <w:bookmarkEnd w:id="180"/>
      <w:r>
        <w:rPr>
          <w:b w:val="0"/>
        </w:rPr>
      </w:r>
      <w:r>
        <w:rPr>
          <w:spacing w:val="-4"/>
        </w:rPr>
        <w:t>表</w:t>
      </w:r>
      <w:r>
        <w:rPr>
          <w:spacing w:val="-59"/>
        </w:rPr>
        <w:t> </w:t>
      </w:r>
      <w:r>
        <w:rPr>
          <w:rFonts w:ascii="Times New Roman" w:eastAsia="Times New Roman"/>
          <w:spacing w:val="-10"/>
        </w:rPr>
        <w:t>6</w:t>
      </w:r>
      <w:r>
        <w:rPr>
          <w:rFonts w:ascii="Times New Roman" w:eastAsia="Times New Roman"/>
        </w:rPr>
        <w:tab/>
      </w:r>
      <w:r>
        <w:rPr>
          <w:spacing w:val="-4"/>
        </w:rPr>
        <w:t>实验室安全性变</w:t>
      </w:r>
      <w:r>
        <w:rPr>
          <w:spacing w:val="-10"/>
        </w:rPr>
        <w:t>量</w:t>
      </w:r>
    </w:p>
    <w:p>
      <w:pPr>
        <w:pStyle w:val="BodyText"/>
        <w:spacing w:before="4"/>
        <w:ind w:left="0"/>
        <w:rPr>
          <w:b/>
          <w:sz w:val="9"/>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504"/>
        <w:gridCol w:w="4257"/>
      </w:tblGrid>
      <w:tr>
        <w:trPr>
          <w:trHeight w:val="7367" w:hRule="atLeast"/>
        </w:trPr>
        <w:tc>
          <w:tcPr>
            <w:tcW w:w="4504" w:type="dxa"/>
          </w:tcPr>
          <w:p>
            <w:pPr>
              <w:pStyle w:val="TableParagraph"/>
              <w:spacing w:before="27"/>
              <w:ind w:left="106"/>
              <w:rPr>
                <w:b/>
                <w:sz w:val="21"/>
              </w:rPr>
            </w:pPr>
            <w:r>
              <w:rPr>
                <w:b/>
                <w:spacing w:val="-2"/>
                <w:sz w:val="21"/>
              </w:rPr>
              <w:t>血常规</w:t>
            </w:r>
            <w:r>
              <w:rPr>
                <w:rFonts w:ascii="Times New Roman" w:eastAsia="Times New Roman"/>
                <w:b/>
                <w:spacing w:val="-2"/>
                <w:sz w:val="21"/>
              </w:rPr>
              <w:t>/</w:t>
            </w:r>
            <w:r>
              <w:rPr>
                <w:b/>
                <w:spacing w:val="-6"/>
                <w:sz w:val="21"/>
              </w:rPr>
              <w:t>凝血</w:t>
            </w:r>
          </w:p>
          <w:p>
            <w:pPr>
              <w:pStyle w:val="TableParagraph"/>
              <w:numPr>
                <w:ilvl w:val="0"/>
                <w:numId w:val="36"/>
              </w:numPr>
              <w:tabs>
                <w:tab w:pos="531" w:val="left" w:leader="none"/>
              </w:tabs>
              <w:spacing w:line="240" w:lineRule="auto" w:before="70" w:after="0"/>
              <w:ind w:left="531" w:right="0" w:hanging="425"/>
              <w:jc w:val="left"/>
              <w:rPr>
                <w:sz w:val="21"/>
              </w:rPr>
            </w:pPr>
            <w:r>
              <w:rPr>
                <w:spacing w:val="-5"/>
                <w:sz w:val="21"/>
              </w:rPr>
              <w:t>血液</w:t>
            </w:r>
          </w:p>
          <w:p>
            <w:pPr>
              <w:pStyle w:val="TableParagraph"/>
              <w:numPr>
                <w:ilvl w:val="1"/>
                <w:numId w:val="36"/>
              </w:numPr>
              <w:tabs>
                <w:tab w:pos="956" w:val="left" w:leader="none"/>
              </w:tabs>
              <w:spacing w:line="240" w:lineRule="auto" w:before="30" w:after="0"/>
              <w:ind w:left="956" w:right="0" w:hanging="425"/>
              <w:jc w:val="left"/>
              <w:rPr>
                <w:sz w:val="21"/>
              </w:rPr>
            </w:pPr>
            <w:r>
              <w:rPr>
                <w:spacing w:val="-2"/>
                <w:sz w:val="21"/>
              </w:rPr>
              <w:t>红细胞压积</w:t>
            </w:r>
          </w:p>
          <w:p>
            <w:pPr>
              <w:pStyle w:val="TableParagraph"/>
              <w:numPr>
                <w:ilvl w:val="1"/>
                <w:numId w:val="36"/>
              </w:numPr>
              <w:tabs>
                <w:tab w:pos="956" w:val="left" w:leader="none"/>
              </w:tabs>
              <w:spacing w:line="240" w:lineRule="auto" w:before="73" w:after="0"/>
              <w:ind w:left="956" w:right="0" w:hanging="425"/>
              <w:jc w:val="left"/>
              <w:rPr>
                <w:rFonts w:ascii="Times New Roman" w:hAnsi="Times New Roman"/>
                <w:sz w:val="21"/>
              </w:rPr>
            </w:pPr>
            <w:r>
              <w:rPr>
                <w:rFonts w:ascii="Times New Roman" w:hAnsi="Times New Roman"/>
                <w:spacing w:val="-5"/>
                <w:sz w:val="21"/>
              </w:rPr>
              <w:t>Hb</w:t>
            </w:r>
          </w:p>
          <w:p>
            <w:pPr>
              <w:pStyle w:val="TableParagraph"/>
              <w:numPr>
                <w:ilvl w:val="1"/>
                <w:numId w:val="36"/>
              </w:numPr>
              <w:tabs>
                <w:tab w:pos="956" w:val="left" w:leader="none"/>
              </w:tabs>
              <w:spacing w:line="240" w:lineRule="auto" w:before="65" w:after="0"/>
              <w:ind w:left="956" w:right="0" w:hanging="425"/>
              <w:jc w:val="left"/>
              <w:rPr>
                <w:rFonts w:ascii="Times New Roman" w:hAnsi="Times New Roman"/>
                <w:sz w:val="21"/>
              </w:rPr>
            </w:pPr>
            <w:r>
              <w:rPr>
                <w:rFonts w:ascii="Times New Roman" w:hAnsi="Times New Roman"/>
                <w:spacing w:val="-2"/>
                <w:sz w:val="21"/>
              </w:rPr>
              <w:t>HbA1c</w:t>
            </w:r>
          </w:p>
          <w:p>
            <w:pPr>
              <w:pStyle w:val="TableParagraph"/>
              <w:numPr>
                <w:ilvl w:val="1"/>
                <w:numId w:val="36"/>
              </w:numPr>
              <w:tabs>
                <w:tab w:pos="956" w:val="left" w:leader="none"/>
              </w:tabs>
              <w:spacing w:line="240" w:lineRule="auto" w:before="63" w:after="0"/>
              <w:ind w:left="956" w:right="0" w:hanging="425"/>
              <w:jc w:val="left"/>
              <w:rPr>
                <w:sz w:val="21"/>
              </w:rPr>
            </w:pPr>
            <w:r>
              <w:rPr>
                <w:spacing w:val="-2"/>
                <w:sz w:val="21"/>
              </w:rPr>
              <w:t>白细胞计数</w:t>
            </w:r>
          </w:p>
          <w:p>
            <w:pPr>
              <w:pStyle w:val="TableParagraph"/>
              <w:numPr>
                <w:ilvl w:val="1"/>
                <w:numId w:val="36"/>
              </w:numPr>
              <w:tabs>
                <w:tab w:pos="956" w:val="left" w:leader="none"/>
              </w:tabs>
              <w:spacing w:line="240" w:lineRule="auto" w:before="70" w:after="0"/>
              <w:ind w:left="956" w:right="0" w:hanging="425"/>
              <w:jc w:val="left"/>
              <w:rPr>
                <w:rFonts w:ascii="Times New Roman" w:hAnsi="Times New Roman" w:eastAsia="Times New Roman"/>
                <w:sz w:val="21"/>
              </w:rPr>
            </w:pPr>
            <w:r>
              <w:rPr>
                <w:sz w:val="21"/>
              </w:rPr>
              <w:t>白细胞分类计数（绝对计数</w:t>
            </w:r>
            <w:r>
              <w:rPr>
                <w:spacing w:val="-5"/>
                <w:sz w:val="21"/>
              </w:rPr>
              <w:t>）</w:t>
            </w:r>
            <w:r>
              <w:rPr>
                <w:rFonts w:ascii="Times New Roman" w:hAnsi="Times New Roman" w:eastAsia="Times New Roman"/>
                <w:spacing w:val="-5"/>
                <w:sz w:val="21"/>
                <w:vertAlign w:val="superscript"/>
              </w:rPr>
              <w:t>a</w:t>
            </w:r>
          </w:p>
          <w:p>
            <w:pPr>
              <w:pStyle w:val="TableParagraph"/>
              <w:numPr>
                <w:ilvl w:val="1"/>
                <w:numId w:val="36"/>
              </w:numPr>
              <w:tabs>
                <w:tab w:pos="956" w:val="left" w:leader="none"/>
              </w:tabs>
              <w:spacing w:line="240" w:lineRule="auto" w:before="71" w:after="0"/>
              <w:ind w:left="956" w:right="0" w:hanging="425"/>
              <w:jc w:val="left"/>
              <w:rPr>
                <w:sz w:val="21"/>
              </w:rPr>
            </w:pPr>
            <w:r>
              <w:rPr>
                <w:spacing w:val="-2"/>
                <w:sz w:val="21"/>
              </w:rPr>
              <w:t>血小板计数</w:t>
            </w:r>
          </w:p>
          <w:p>
            <w:pPr>
              <w:pStyle w:val="TableParagraph"/>
              <w:numPr>
                <w:ilvl w:val="1"/>
                <w:numId w:val="36"/>
              </w:numPr>
              <w:tabs>
                <w:tab w:pos="956" w:val="left" w:leader="none"/>
              </w:tabs>
              <w:spacing w:line="240" w:lineRule="auto" w:before="73" w:after="0"/>
              <w:ind w:left="956" w:right="0" w:hanging="425"/>
              <w:jc w:val="left"/>
              <w:rPr>
                <w:rFonts w:ascii="Times New Roman" w:hAnsi="Times New Roman"/>
                <w:sz w:val="21"/>
              </w:rPr>
            </w:pPr>
            <w:r>
              <w:rPr>
                <w:rFonts w:ascii="Times New Roman" w:hAnsi="Times New Roman"/>
                <w:spacing w:val="-5"/>
                <w:sz w:val="21"/>
              </w:rPr>
              <w:t>RBC</w:t>
            </w:r>
          </w:p>
          <w:p>
            <w:pPr>
              <w:pStyle w:val="TableParagraph"/>
              <w:spacing w:before="62"/>
              <w:ind w:left="106"/>
              <w:rPr>
                <w:b/>
                <w:sz w:val="21"/>
              </w:rPr>
            </w:pPr>
            <w:r>
              <w:rPr>
                <w:b/>
                <w:spacing w:val="-5"/>
                <w:sz w:val="21"/>
              </w:rPr>
              <w:t>尿分析</w:t>
            </w:r>
          </w:p>
          <w:p>
            <w:pPr>
              <w:pStyle w:val="TableParagraph"/>
              <w:numPr>
                <w:ilvl w:val="0"/>
                <w:numId w:val="36"/>
              </w:numPr>
              <w:tabs>
                <w:tab w:pos="531" w:val="left" w:leader="none"/>
              </w:tabs>
              <w:spacing w:line="240" w:lineRule="auto" w:before="70" w:after="0"/>
              <w:ind w:left="531" w:right="0" w:hanging="425"/>
              <w:jc w:val="left"/>
              <w:rPr>
                <w:sz w:val="21"/>
              </w:rPr>
            </w:pPr>
            <w:r>
              <w:rPr>
                <w:sz w:val="21"/>
              </w:rPr>
              <w:t>显微镜检查，包括白细胞</w:t>
            </w:r>
            <w:r>
              <w:rPr>
                <w:rFonts w:ascii="Times New Roman" w:hAnsi="Times New Roman" w:eastAsia="Times New Roman"/>
                <w:sz w:val="21"/>
              </w:rPr>
              <w:t>/RBC</w:t>
            </w:r>
            <w:r>
              <w:rPr>
                <w:rFonts w:ascii="Times New Roman" w:hAnsi="Times New Roman" w:eastAsia="Times New Roman"/>
                <w:spacing w:val="-13"/>
                <w:sz w:val="21"/>
              </w:rPr>
              <w:t> </w:t>
            </w:r>
            <w:r>
              <w:rPr>
                <w:spacing w:val="-4"/>
                <w:sz w:val="21"/>
              </w:rPr>
              <w:t>和管型</w:t>
            </w:r>
          </w:p>
          <w:p>
            <w:pPr>
              <w:pStyle w:val="TableParagraph"/>
              <w:numPr>
                <w:ilvl w:val="0"/>
                <w:numId w:val="36"/>
              </w:numPr>
              <w:tabs>
                <w:tab w:pos="531" w:val="left" w:leader="none"/>
              </w:tabs>
              <w:spacing w:line="240" w:lineRule="auto" w:before="30" w:after="0"/>
              <w:ind w:left="531" w:right="0" w:hanging="425"/>
              <w:jc w:val="left"/>
              <w:rPr>
                <w:sz w:val="21"/>
              </w:rPr>
            </w:pPr>
            <w:r>
              <w:rPr>
                <w:spacing w:val="-5"/>
                <w:sz w:val="21"/>
              </w:rPr>
              <w:t>尿液</w:t>
            </w:r>
          </w:p>
          <w:p>
            <w:pPr>
              <w:pStyle w:val="TableParagraph"/>
              <w:numPr>
                <w:ilvl w:val="1"/>
                <w:numId w:val="36"/>
              </w:numPr>
              <w:tabs>
                <w:tab w:pos="956" w:val="left" w:leader="none"/>
              </w:tabs>
              <w:spacing w:line="240" w:lineRule="auto" w:before="29" w:after="0"/>
              <w:ind w:left="956" w:right="0" w:hanging="425"/>
              <w:jc w:val="left"/>
              <w:rPr>
                <w:sz w:val="21"/>
              </w:rPr>
            </w:pPr>
            <w:r>
              <w:rPr>
                <w:spacing w:val="-2"/>
                <w:sz w:val="21"/>
              </w:rPr>
              <w:t>外观和颜色</w:t>
            </w:r>
          </w:p>
          <w:p>
            <w:pPr>
              <w:pStyle w:val="TableParagraph"/>
              <w:numPr>
                <w:ilvl w:val="1"/>
                <w:numId w:val="36"/>
              </w:numPr>
              <w:tabs>
                <w:tab w:pos="956" w:val="left" w:leader="none"/>
              </w:tabs>
              <w:spacing w:line="240" w:lineRule="auto" w:before="70" w:after="0"/>
              <w:ind w:left="956" w:right="0" w:hanging="425"/>
              <w:jc w:val="left"/>
              <w:rPr>
                <w:sz w:val="21"/>
              </w:rPr>
            </w:pPr>
            <w:r>
              <w:rPr>
                <w:spacing w:val="-4"/>
                <w:sz w:val="21"/>
              </w:rPr>
              <w:t>胆红素</w:t>
            </w:r>
          </w:p>
          <w:p>
            <w:pPr>
              <w:pStyle w:val="TableParagraph"/>
              <w:numPr>
                <w:ilvl w:val="1"/>
                <w:numId w:val="36"/>
              </w:numPr>
              <w:tabs>
                <w:tab w:pos="956" w:val="left" w:leader="none"/>
              </w:tabs>
              <w:spacing w:line="240" w:lineRule="auto" w:before="71" w:after="0"/>
              <w:ind w:left="956" w:right="0" w:hanging="425"/>
              <w:jc w:val="left"/>
              <w:rPr>
                <w:sz w:val="21"/>
              </w:rPr>
            </w:pPr>
            <w:r>
              <w:rPr>
                <w:spacing w:val="-5"/>
                <w:sz w:val="21"/>
              </w:rPr>
              <w:t>血液</w:t>
            </w:r>
          </w:p>
          <w:p>
            <w:pPr>
              <w:pStyle w:val="TableParagraph"/>
              <w:numPr>
                <w:ilvl w:val="1"/>
                <w:numId w:val="36"/>
              </w:numPr>
              <w:tabs>
                <w:tab w:pos="956" w:val="left" w:leader="none"/>
              </w:tabs>
              <w:spacing w:line="240" w:lineRule="auto" w:before="70" w:after="0"/>
              <w:ind w:left="956" w:right="0" w:hanging="425"/>
              <w:jc w:val="left"/>
              <w:rPr>
                <w:sz w:val="21"/>
              </w:rPr>
            </w:pPr>
            <w:r>
              <w:rPr>
                <w:spacing w:val="-4"/>
                <w:sz w:val="21"/>
              </w:rPr>
              <w:t>葡萄糖</w:t>
            </w:r>
          </w:p>
          <w:p>
            <w:pPr>
              <w:pStyle w:val="TableParagraph"/>
              <w:numPr>
                <w:ilvl w:val="1"/>
                <w:numId w:val="36"/>
              </w:numPr>
              <w:tabs>
                <w:tab w:pos="956" w:val="left" w:leader="none"/>
              </w:tabs>
              <w:spacing w:line="240" w:lineRule="auto" w:before="70" w:after="0"/>
              <w:ind w:left="956" w:right="0" w:hanging="425"/>
              <w:jc w:val="left"/>
              <w:rPr>
                <w:sz w:val="21"/>
              </w:rPr>
            </w:pPr>
            <w:r>
              <w:rPr>
                <w:spacing w:val="-5"/>
                <w:sz w:val="21"/>
              </w:rPr>
              <w:t>酮体</w:t>
            </w:r>
          </w:p>
          <w:p>
            <w:pPr>
              <w:pStyle w:val="TableParagraph"/>
              <w:numPr>
                <w:ilvl w:val="1"/>
                <w:numId w:val="36"/>
              </w:numPr>
              <w:tabs>
                <w:tab w:pos="956" w:val="left" w:leader="none"/>
              </w:tabs>
              <w:spacing w:line="240" w:lineRule="auto" w:before="70" w:after="0"/>
              <w:ind w:left="956" w:right="0" w:hanging="425"/>
              <w:jc w:val="left"/>
              <w:rPr>
                <w:sz w:val="21"/>
              </w:rPr>
            </w:pPr>
            <w:r>
              <w:rPr>
                <w:spacing w:val="-4"/>
                <w:sz w:val="21"/>
              </w:rPr>
              <w:t>白细胞</w:t>
            </w:r>
          </w:p>
          <w:p>
            <w:pPr>
              <w:pStyle w:val="TableParagraph"/>
              <w:numPr>
                <w:ilvl w:val="1"/>
                <w:numId w:val="36"/>
              </w:numPr>
              <w:tabs>
                <w:tab w:pos="956" w:val="left" w:leader="none"/>
              </w:tabs>
              <w:spacing w:line="240" w:lineRule="auto" w:before="74" w:after="0"/>
              <w:ind w:left="956" w:right="0" w:hanging="425"/>
              <w:jc w:val="left"/>
              <w:rPr>
                <w:rFonts w:ascii="Times New Roman" w:hAnsi="Times New Roman"/>
                <w:sz w:val="21"/>
              </w:rPr>
            </w:pPr>
            <w:r>
              <w:rPr>
                <w:rFonts w:ascii="Times New Roman" w:hAnsi="Times New Roman"/>
                <w:spacing w:val="-5"/>
                <w:sz w:val="21"/>
              </w:rPr>
              <w:t>pH</w:t>
            </w:r>
          </w:p>
          <w:p>
            <w:pPr>
              <w:pStyle w:val="TableParagraph"/>
              <w:numPr>
                <w:ilvl w:val="1"/>
                <w:numId w:val="36"/>
              </w:numPr>
              <w:tabs>
                <w:tab w:pos="956" w:val="left" w:leader="none"/>
              </w:tabs>
              <w:spacing w:line="240" w:lineRule="auto" w:before="62" w:after="0"/>
              <w:ind w:left="956" w:right="0" w:hanging="425"/>
              <w:jc w:val="left"/>
              <w:rPr>
                <w:sz w:val="21"/>
              </w:rPr>
            </w:pPr>
            <w:r>
              <w:rPr>
                <w:spacing w:val="-5"/>
                <w:sz w:val="21"/>
              </w:rPr>
              <w:t>蛋白</w:t>
            </w:r>
          </w:p>
          <w:p>
            <w:pPr>
              <w:pStyle w:val="TableParagraph"/>
              <w:numPr>
                <w:ilvl w:val="1"/>
                <w:numId w:val="36"/>
              </w:numPr>
              <w:tabs>
                <w:tab w:pos="956" w:val="left" w:leader="none"/>
              </w:tabs>
              <w:spacing w:line="240" w:lineRule="auto" w:before="71" w:after="0"/>
              <w:ind w:left="956" w:right="0" w:hanging="425"/>
              <w:jc w:val="left"/>
              <w:rPr>
                <w:sz w:val="21"/>
              </w:rPr>
            </w:pPr>
            <w:r>
              <w:rPr>
                <w:spacing w:val="-5"/>
                <w:sz w:val="21"/>
              </w:rPr>
              <w:t>比重</w:t>
            </w:r>
          </w:p>
        </w:tc>
        <w:tc>
          <w:tcPr>
            <w:tcW w:w="4257" w:type="dxa"/>
          </w:tcPr>
          <w:p>
            <w:pPr>
              <w:pStyle w:val="TableParagraph"/>
              <w:spacing w:before="27"/>
              <w:ind w:left="106"/>
              <w:rPr>
                <w:b/>
                <w:sz w:val="21"/>
              </w:rPr>
            </w:pPr>
            <w:r>
              <w:rPr>
                <w:b/>
                <w:spacing w:val="-4"/>
                <w:sz w:val="21"/>
              </w:rPr>
              <w:t>临床生化</w:t>
            </w:r>
          </w:p>
          <w:p>
            <w:pPr>
              <w:pStyle w:val="TableParagraph"/>
              <w:numPr>
                <w:ilvl w:val="0"/>
                <w:numId w:val="37"/>
              </w:numPr>
              <w:tabs>
                <w:tab w:pos="531" w:val="left" w:leader="none"/>
              </w:tabs>
              <w:spacing w:line="240" w:lineRule="auto" w:before="70" w:after="0"/>
              <w:ind w:left="531" w:right="0" w:hanging="425"/>
              <w:jc w:val="left"/>
              <w:rPr>
                <w:sz w:val="21"/>
              </w:rPr>
            </w:pPr>
            <w:r>
              <w:rPr>
                <w:spacing w:val="-5"/>
                <w:sz w:val="21"/>
              </w:rPr>
              <w:t>血浆</w:t>
            </w:r>
          </w:p>
          <w:p>
            <w:pPr>
              <w:pStyle w:val="TableParagraph"/>
              <w:numPr>
                <w:ilvl w:val="1"/>
                <w:numId w:val="37"/>
              </w:numPr>
              <w:tabs>
                <w:tab w:pos="956" w:val="left" w:leader="none"/>
              </w:tabs>
              <w:spacing w:line="240" w:lineRule="auto" w:before="30" w:after="0"/>
              <w:ind w:left="956" w:right="0" w:hanging="425"/>
              <w:jc w:val="left"/>
              <w:rPr>
                <w:sz w:val="21"/>
              </w:rPr>
            </w:pPr>
            <w:r>
              <w:rPr>
                <w:spacing w:val="-2"/>
                <w:sz w:val="21"/>
              </w:rPr>
              <w:t>纤维蛋白原</w:t>
            </w:r>
          </w:p>
          <w:p>
            <w:pPr>
              <w:pStyle w:val="TableParagraph"/>
              <w:numPr>
                <w:ilvl w:val="0"/>
                <w:numId w:val="37"/>
              </w:numPr>
              <w:tabs>
                <w:tab w:pos="531" w:val="left" w:leader="none"/>
              </w:tabs>
              <w:spacing w:line="240" w:lineRule="auto" w:before="70" w:after="0"/>
              <w:ind w:left="531" w:right="0" w:hanging="425"/>
              <w:jc w:val="left"/>
              <w:rPr>
                <w:sz w:val="21"/>
              </w:rPr>
            </w:pPr>
            <w:r>
              <w:rPr>
                <w:spacing w:val="-5"/>
                <w:sz w:val="21"/>
              </w:rPr>
              <w:t>血清</w:t>
            </w:r>
          </w:p>
          <w:p>
            <w:pPr>
              <w:pStyle w:val="TableParagraph"/>
              <w:numPr>
                <w:ilvl w:val="1"/>
                <w:numId w:val="37"/>
              </w:numPr>
              <w:tabs>
                <w:tab w:pos="956" w:val="left" w:leader="none"/>
              </w:tabs>
              <w:spacing w:line="240" w:lineRule="auto" w:before="29" w:after="0"/>
              <w:ind w:left="956" w:right="0" w:hanging="425"/>
              <w:jc w:val="left"/>
              <w:rPr>
                <w:sz w:val="21"/>
              </w:rPr>
            </w:pPr>
            <w:r>
              <w:rPr>
                <w:spacing w:val="-4"/>
                <w:sz w:val="21"/>
              </w:rPr>
              <w:t>白蛋白</w:t>
            </w:r>
          </w:p>
          <w:p>
            <w:pPr>
              <w:pStyle w:val="TableParagraph"/>
              <w:numPr>
                <w:ilvl w:val="1"/>
                <w:numId w:val="37"/>
              </w:numPr>
              <w:tabs>
                <w:tab w:pos="956" w:val="left" w:leader="none"/>
              </w:tabs>
              <w:spacing w:line="240" w:lineRule="auto" w:before="73" w:after="0"/>
              <w:ind w:left="956" w:right="0" w:hanging="425"/>
              <w:jc w:val="left"/>
              <w:rPr>
                <w:rFonts w:ascii="Times New Roman" w:hAnsi="Times New Roman"/>
                <w:sz w:val="21"/>
              </w:rPr>
            </w:pPr>
            <w:r>
              <w:rPr>
                <w:rFonts w:ascii="Times New Roman" w:hAnsi="Times New Roman"/>
                <w:spacing w:val="-5"/>
                <w:sz w:val="21"/>
              </w:rPr>
              <w:t>ALP</w:t>
            </w:r>
          </w:p>
          <w:p>
            <w:pPr>
              <w:pStyle w:val="TableParagraph"/>
              <w:numPr>
                <w:ilvl w:val="1"/>
                <w:numId w:val="37"/>
              </w:numPr>
              <w:tabs>
                <w:tab w:pos="956" w:val="left" w:leader="none"/>
              </w:tabs>
              <w:spacing w:line="240" w:lineRule="auto" w:before="66" w:after="0"/>
              <w:ind w:left="956" w:right="0" w:hanging="425"/>
              <w:jc w:val="left"/>
              <w:rPr>
                <w:rFonts w:ascii="Times New Roman" w:hAnsi="Times New Roman"/>
                <w:sz w:val="21"/>
              </w:rPr>
            </w:pPr>
            <w:r>
              <w:rPr>
                <w:rFonts w:ascii="Times New Roman" w:hAnsi="Times New Roman"/>
                <w:spacing w:val="-5"/>
                <w:sz w:val="21"/>
              </w:rPr>
              <w:t>ALT</w:t>
            </w:r>
          </w:p>
          <w:p>
            <w:pPr>
              <w:pStyle w:val="TableParagraph"/>
              <w:numPr>
                <w:ilvl w:val="1"/>
                <w:numId w:val="37"/>
              </w:numPr>
              <w:tabs>
                <w:tab w:pos="956" w:val="left" w:leader="none"/>
              </w:tabs>
              <w:spacing w:line="240" w:lineRule="auto" w:before="66" w:after="0"/>
              <w:ind w:left="956" w:right="0" w:hanging="425"/>
              <w:jc w:val="left"/>
              <w:rPr>
                <w:rFonts w:ascii="Times New Roman" w:hAnsi="Times New Roman"/>
                <w:sz w:val="21"/>
              </w:rPr>
            </w:pPr>
            <w:r>
              <w:rPr>
                <w:rFonts w:ascii="Times New Roman" w:hAnsi="Times New Roman"/>
                <w:spacing w:val="-5"/>
                <w:sz w:val="21"/>
              </w:rPr>
              <w:t>AST</w:t>
            </w:r>
          </w:p>
          <w:p>
            <w:pPr>
              <w:pStyle w:val="TableParagraph"/>
              <w:numPr>
                <w:ilvl w:val="1"/>
                <w:numId w:val="37"/>
              </w:numPr>
              <w:tabs>
                <w:tab w:pos="956" w:val="left" w:leader="none"/>
              </w:tabs>
              <w:spacing w:line="240" w:lineRule="auto" w:before="62" w:after="0"/>
              <w:ind w:left="956" w:right="0" w:hanging="425"/>
              <w:jc w:val="left"/>
              <w:rPr>
                <w:sz w:val="21"/>
              </w:rPr>
            </w:pPr>
            <w:r>
              <w:rPr>
                <w:spacing w:val="-3"/>
                <w:sz w:val="21"/>
              </w:rPr>
              <w:t>总胆红素</w:t>
            </w:r>
          </w:p>
          <w:p>
            <w:pPr>
              <w:pStyle w:val="TableParagraph"/>
              <w:numPr>
                <w:ilvl w:val="1"/>
                <w:numId w:val="37"/>
              </w:numPr>
              <w:tabs>
                <w:tab w:pos="956" w:val="left" w:leader="none"/>
              </w:tabs>
              <w:spacing w:line="240" w:lineRule="auto" w:before="70" w:after="0"/>
              <w:ind w:left="956" w:right="0" w:hanging="425"/>
              <w:jc w:val="left"/>
              <w:rPr>
                <w:sz w:val="21"/>
              </w:rPr>
            </w:pPr>
            <w:r>
              <w:rPr>
                <w:spacing w:val="-3"/>
                <w:sz w:val="21"/>
              </w:rPr>
              <w:t>碳酸氢盐</w:t>
            </w:r>
          </w:p>
          <w:p>
            <w:pPr>
              <w:pStyle w:val="TableParagraph"/>
              <w:numPr>
                <w:ilvl w:val="1"/>
                <w:numId w:val="37"/>
              </w:numPr>
              <w:tabs>
                <w:tab w:pos="956" w:val="left" w:leader="none"/>
              </w:tabs>
              <w:spacing w:line="240" w:lineRule="auto" w:before="71" w:after="0"/>
              <w:ind w:left="956" w:right="0" w:hanging="425"/>
              <w:jc w:val="left"/>
              <w:rPr>
                <w:sz w:val="21"/>
              </w:rPr>
            </w:pPr>
            <w:r>
              <w:rPr>
                <w:spacing w:val="-3"/>
                <w:sz w:val="21"/>
              </w:rPr>
              <w:t>血尿素氮</w:t>
            </w:r>
          </w:p>
          <w:p>
            <w:pPr>
              <w:pStyle w:val="TableParagraph"/>
              <w:numPr>
                <w:ilvl w:val="1"/>
                <w:numId w:val="37"/>
              </w:numPr>
              <w:tabs>
                <w:tab w:pos="956" w:val="left" w:leader="none"/>
              </w:tabs>
              <w:spacing w:line="240" w:lineRule="auto" w:before="70" w:after="0"/>
              <w:ind w:left="956" w:right="0" w:hanging="425"/>
              <w:jc w:val="left"/>
              <w:rPr>
                <w:sz w:val="21"/>
              </w:rPr>
            </w:pPr>
            <w:r>
              <w:rPr>
                <w:spacing w:val="-5"/>
                <w:sz w:val="21"/>
              </w:rPr>
              <w:t>肌酐</w:t>
            </w:r>
          </w:p>
          <w:p>
            <w:pPr>
              <w:pStyle w:val="TableParagraph"/>
              <w:numPr>
                <w:ilvl w:val="1"/>
                <w:numId w:val="37"/>
              </w:numPr>
              <w:tabs>
                <w:tab w:pos="956" w:val="left" w:leader="none"/>
              </w:tabs>
              <w:spacing w:line="240" w:lineRule="auto" w:before="73" w:after="0"/>
              <w:ind w:left="956" w:right="0" w:hanging="425"/>
              <w:jc w:val="left"/>
              <w:rPr>
                <w:rFonts w:ascii="Times New Roman" w:hAnsi="Times New Roman"/>
                <w:sz w:val="21"/>
              </w:rPr>
            </w:pPr>
            <w:r>
              <w:rPr>
                <w:rFonts w:ascii="Times New Roman" w:hAnsi="Times New Roman"/>
                <w:spacing w:val="-5"/>
                <w:sz w:val="21"/>
              </w:rPr>
              <w:t>GGT</w:t>
            </w:r>
          </w:p>
          <w:p>
            <w:pPr>
              <w:pStyle w:val="TableParagraph"/>
              <w:numPr>
                <w:ilvl w:val="1"/>
                <w:numId w:val="37"/>
              </w:numPr>
              <w:tabs>
                <w:tab w:pos="956" w:val="left" w:leader="none"/>
              </w:tabs>
              <w:spacing w:line="240" w:lineRule="auto" w:before="63" w:after="0"/>
              <w:ind w:left="956" w:right="0" w:hanging="425"/>
              <w:jc w:val="left"/>
              <w:rPr>
                <w:sz w:val="21"/>
              </w:rPr>
            </w:pPr>
            <w:r>
              <w:rPr>
                <w:spacing w:val="-4"/>
                <w:sz w:val="21"/>
              </w:rPr>
              <w:t>葡萄糖</w:t>
            </w:r>
          </w:p>
          <w:p>
            <w:pPr>
              <w:pStyle w:val="TableParagraph"/>
              <w:numPr>
                <w:ilvl w:val="1"/>
                <w:numId w:val="37"/>
              </w:numPr>
              <w:tabs>
                <w:tab w:pos="956" w:val="left" w:leader="none"/>
              </w:tabs>
              <w:spacing w:line="240" w:lineRule="auto" w:before="70" w:after="0"/>
              <w:ind w:left="956" w:right="0" w:hanging="425"/>
              <w:jc w:val="left"/>
              <w:rPr>
                <w:rFonts w:ascii="Times New Roman" w:hAnsi="Times New Roman" w:eastAsia="Times New Roman"/>
                <w:sz w:val="21"/>
              </w:rPr>
            </w:pPr>
            <w:r>
              <w:rPr>
                <w:spacing w:val="-11"/>
                <w:sz w:val="21"/>
              </w:rPr>
              <w:t>高灵敏度 </w:t>
            </w:r>
            <w:r>
              <w:rPr>
                <w:rFonts w:ascii="Times New Roman" w:hAnsi="Times New Roman" w:eastAsia="Times New Roman"/>
                <w:spacing w:val="-5"/>
                <w:sz w:val="21"/>
              </w:rPr>
              <w:t>CRP</w:t>
            </w:r>
          </w:p>
          <w:p>
            <w:pPr>
              <w:pStyle w:val="TableParagraph"/>
              <w:numPr>
                <w:ilvl w:val="1"/>
                <w:numId w:val="37"/>
              </w:numPr>
              <w:tabs>
                <w:tab w:pos="956" w:val="left" w:leader="none"/>
              </w:tabs>
              <w:spacing w:line="240" w:lineRule="auto" w:before="73" w:after="0"/>
              <w:ind w:left="956" w:right="0" w:hanging="425"/>
              <w:jc w:val="left"/>
              <w:rPr>
                <w:rFonts w:ascii="Times New Roman" w:hAnsi="Times New Roman"/>
                <w:sz w:val="21"/>
              </w:rPr>
            </w:pPr>
            <w:r>
              <w:rPr>
                <w:rFonts w:ascii="Times New Roman" w:hAnsi="Times New Roman"/>
                <w:spacing w:val="-2"/>
                <w:sz w:val="21"/>
              </w:rPr>
              <w:t>NT-ProBNP</w:t>
            </w:r>
          </w:p>
          <w:p>
            <w:pPr>
              <w:pStyle w:val="TableParagraph"/>
              <w:numPr>
                <w:ilvl w:val="1"/>
                <w:numId w:val="37"/>
              </w:numPr>
              <w:tabs>
                <w:tab w:pos="956" w:val="left" w:leader="none"/>
              </w:tabs>
              <w:spacing w:line="240" w:lineRule="auto" w:before="63" w:after="0"/>
              <w:ind w:left="956" w:right="0" w:hanging="425"/>
              <w:jc w:val="left"/>
              <w:rPr>
                <w:sz w:val="21"/>
              </w:rPr>
            </w:pPr>
            <w:r>
              <w:rPr>
                <w:spacing w:val="-10"/>
                <w:sz w:val="21"/>
              </w:rPr>
              <w:t>钾</w:t>
            </w:r>
          </w:p>
          <w:p>
            <w:pPr>
              <w:pStyle w:val="TableParagraph"/>
              <w:numPr>
                <w:ilvl w:val="1"/>
                <w:numId w:val="37"/>
              </w:numPr>
              <w:tabs>
                <w:tab w:pos="956" w:val="left" w:leader="none"/>
              </w:tabs>
              <w:spacing w:line="240" w:lineRule="auto" w:before="70" w:after="0"/>
              <w:ind w:left="956" w:right="0" w:hanging="425"/>
              <w:jc w:val="left"/>
              <w:rPr>
                <w:sz w:val="21"/>
              </w:rPr>
            </w:pPr>
            <w:r>
              <w:rPr>
                <w:spacing w:val="-10"/>
                <w:sz w:val="21"/>
              </w:rPr>
              <w:t>钠</w:t>
            </w:r>
          </w:p>
          <w:p>
            <w:pPr>
              <w:pStyle w:val="TableParagraph"/>
              <w:numPr>
                <w:ilvl w:val="1"/>
                <w:numId w:val="37"/>
              </w:numPr>
              <w:tabs>
                <w:tab w:pos="956" w:val="left" w:leader="none"/>
              </w:tabs>
              <w:spacing w:line="240" w:lineRule="auto" w:before="70" w:after="0"/>
              <w:ind w:left="956" w:right="0" w:hanging="425"/>
              <w:jc w:val="left"/>
              <w:rPr>
                <w:sz w:val="21"/>
              </w:rPr>
            </w:pPr>
            <w:r>
              <w:rPr>
                <w:spacing w:val="-4"/>
                <w:sz w:val="21"/>
              </w:rPr>
              <w:t>总蛋白</w:t>
            </w:r>
          </w:p>
          <w:p>
            <w:pPr>
              <w:pStyle w:val="TableParagraph"/>
              <w:numPr>
                <w:ilvl w:val="1"/>
                <w:numId w:val="37"/>
              </w:numPr>
              <w:tabs>
                <w:tab w:pos="956" w:val="left" w:leader="none"/>
              </w:tabs>
              <w:spacing w:line="276" w:lineRule="auto" w:before="71" w:after="0"/>
              <w:ind w:left="956" w:right="102" w:hanging="425"/>
              <w:jc w:val="left"/>
              <w:rPr>
                <w:sz w:val="21"/>
              </w:rPr>
            </w:pPr>
            <w:r>
              <w:rPr>
                <w:spacing w:val="-2"/>
                <w:sz w:val="21"/>
              </w:rPr>
              <w:t>类胰蛋白酶（仅在发生疑似速发严</w:t>
            </w:r>
            <w:r>
              <w:rPr>
                <w:sz w:val="21"/>
              </w:rPr>
              <w:t>重过敏反应时采集；</w:t>
            </w:r>
            <w:hyperlink w:history="true" w:anchor="_bookmark162">
              <w:r>
                <w:rPr>
                  <w:color w:val="0000FF"/>
                  <w:spacing w:val="-15"/>
                  <w:sz w:val="21"/>
                </w:rPr>
                <w:t>附录 </w:t>
              </w:r>
              <w:r>
                <w:rPr>
                  <w:rFonts w:ascii="Times New Roman" w:hAnsi="Times New Roman" w:eastAsia="Times New Roman"/>
                  <w:color w:val="0000FF"/>
                  <w:sz w:val="21"/>
                </w:rPr>
                <w:t>G</w:t>
              </w:r>
            </w:hyperlink>
            <w:r>
              <w:rPr>
                <w:sz w:val="21"/>
              </w:rPr>
              <w:t>）</w:t>
            </w:r>
          </w:p>
          <w:p>
            <w:pPr>
              <w:pStyle w:val="TableParagraph"/>
              <w:numPr>
                <w:ilvl w:val="1"/>
                <w:numId w:val="37"/>
              </w:numPr>
              <w:tabs>
                <w:tab w:pos="956" w:val="left" w:leader="none"/>
              </w:tabs>
              <w:spacing w:line="240" w:lineRule="auto" w:before="28" w:after="0"/>
              <w:ind w:left="956" w:right="0" w:hanging="425"/>
              <w:jc w:val="left"/>
              <w:rPr>
                <w:sz w:val="21"/>
              </w:rPr>
            </w:pPr>
            <w:r>
              <w:rPr>
                <w:spacing w:val="-5"/>
                <w:sz w:val="21"/>
              </w:rPr>
              <w:t>尿酸</w:t>
            </w:r>
          </w:p>
        </w:tc>
      </w:tr>
    </w:tbl>
    <w:p>
      <w:pPr>
        <w:spacing w:after="0" w:line="240" w:lineRule="auto"/>
        <w:jc w:val="left"/>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504"/>
        <w:gridCol w:w="4257"/>
      </w:tblGrid>
      <w:tr>
        <w:trPr>
          <w:trHeight w:val="1291" w:hRule="atLeast"/>
        </w:trPr>
        <w:tc>
          <w:tcPr>
            <w:tcW w:w="4504" w:type="dxa"/>
          </w:tcPr>
          <w:p>
            <w:pPr>
              <w:pStyle w:val="TableParagraph"/>
              <w:spacing w:line="270" w:lineRule="exact"/>
              <w:ind w:left="106"/>
              <w:rPr>
                <w:b/>
                <w:sz w:val="21"/>
              </w:rPr>
            </w:pPr>
            <w:r>
              <w:rPr>
                <w:b/>
                <w:spacing w:val="-4"/>
                <w:sz w:val="21"/>
              </w:rPr>
              <w:t>内分泌学</w:t>
            </w:r>
          </w:p>
          <w:p>
            <w:pPr>
              <w:pStyle w:val="TableParagraph"/>
              <w:numPr>
                <w:ilvl w:val="0"/>
                <w:numId w:val="38"/>
              </w:numPr>
              <w:tabs>
                <w:tab w:pos="531" w:val="left" w:leader="none"/>
              </w:tabs>
              <w:spacing w:line="240" w:lineRule="auto" w:before="70" w:after="0"/>
              <w:ind w:left="531" w:right="0" w:hanging="425"/>
              <w:jc w:val="left"/>
              <w:rPr>
                <w:sz w:val="21"/>
              </w:rPr>
            </w:pPr>
            <w:r>
              <w:rPr>
                <w:spacing w:val="-5"/>
                <w:sz w:val="21"/>
              </w:rPr>
              <w:t>血清</w:t>
            </w:r>
          </w:p>
          <w:p>
            <w:pPr>
              <w:pStyle w:val="TableParagraph"/>
              <w:numPr>
                <w:ilvl w:val="1"/>
                <w:numId w:val="38"/>
              </w:numPr>
              <w:tabs>
                <w:tab w:pos="956" w:val="left" w:leader="none"/>
              </w:tabs>
              <w:spacing w:line="240" w:lineRule="auto" w:before="32" w:after="0"/>
              <w:ind w:left="956" w:right="0" w:hanging="425"/>
              <w:jc w:val="left"/>
              <w:rPr>
                <w:rFonts w:ascii="Times New Roman" w:hAnsi="Times New Roman"/>
                <w:sz w:val="21"/>
              </w:rPr>
            </w:pPr>
            <w:r>
              <w:rPr>
                <w:rFonts w:ascii="Times New Roman" w:hAnsi="Times New Roman"/>
                <w:sz w:val="21"/>
              </w:rPr>
              <w:t>FSH</w:t>
            </w:r>
            <w:r>
              <w:rPr>
                <w:rFonts w:ascii="Times New Roman" w:hAnsi="Times New Roman"/>
                <w:spacing w:val="-5"/>
                <w:sz w:val="21"/>
              </w:rPr>
              <w:t> </w:t>
            </w:r>
            <w:r>
              <w:rPr>
                <w:rFonts w:ascii="Times New Roman" w:hAnsi="Times New Roman"/>
                <w:spacing w:val="-10"/>
                <w:sz w:val="21"/>
                <w:vertAlign w:val="superscript"/>
              </w:rPr>
              <w:t>b</w:t>
            </w:r>
          </w:p>
          <w:p>
            <w:pPr>
              <w:pStyle w:val="TableParagraph"/>
              <w:numPr>
                <w:ilvl w:val="1"/>
                <w:numId w:val="38"/>
              </w:numPr>
              <w:tabs>
                <w:tab w:pos="956" w:val="left" w:leader="none"/>
              </w:tabs>
              <w:spacing w:line="240" w:lineRule="auto" w:before="66" w:after="0"/>
              <w:ind w:left="956" w:right="0" w:hanging="425"/>
              <w:jc w:val="left"/>
              <w:rPr>
                <w:rFonts w:ascii="Times New Roman" w:hAnsi="Times New Roman"/>
                <w:sz w:val="21"/>
              </w:rPr>
            </w:pPr>
            <w:r>
              <w:rPr>
                <w:rFonts w:ascii="Times New Roman" w:hAnsi="Times New Roman"/>
                <w:sz w:val="21"/>
              </w:rPr>
              <w:t>HCG</w:t>
            </w:r>
            <w:r>
              <w:rPr>
                <w:rFonts w:ascii="Times New Roman" w:hAnsi="Times New Roman"/>
                <w:spacing w:val="-5"/>
                <w:sz w:val="21"/>
              </w:rPr>
              <w:t> </w:t>
            </w:r>
            <w:r>
              <w:rPr>
                <w:rFonts w:ascii="Times New Roman" w:hAnsi="Times New Roman"/>
                <w:spacing w:val="-10"/>
                <w:sz w:val="21"/>
                <w:vertAlign w:val="superscript"/>
              </w:rPr>
              <w:t>c</w:t>
            </w:r>
          </w:p>
        </w:tc>
        <w:tc>
          <w:tcPr>
            <w:tcW w:w="4257" w:type="dxa"/>
          </w:tcPr>
          <w:p>
            <w:pPr>
              <w:pStyle w:val="TableParagraph"/>
              <w:spacing w:line="270" w:lineRule="exact"/>
              <w:ind w:left="106"/>
              <w:rPr>
                <w:b/>
                <w:sz w:val="21"/>
              </w:rPr>
            </w:pPr>
            <w:r>
              <w:rPr>
                <w:b/>
                <w:spacing w:val="-4"/>
                <w:sz w:val="21"/>
              </w:rPr>
              <w:t>妊娠试纸检测</w:t>
            </w:r>
          </w:p>
          <w:p>
            <w:pPr>
              <w:pStyle w:val="TableParagraph"/>
              <w:numPr>
                <w:ilvl w:val="0"/>
                <w:numId w:val="39"/>
              </w:numPr>
              <w:tabs>
                <w:tab w:pos="531" w:val="left" w:leader="none"/>
              </w:tabs>
              <w:spacing w:line="240" w:lineRule="auto" w:before="70" w:after="0"/>
              <w:ind w:left="531" w:right="0" w:hanging="425"/>
              <w:jc w:val="left"/>
              <w:rPr>
                <w:rFonts w:ascii="Times New Roman" w:hAnsi="Times New Roman" w:eastAsia="Times New Roman"/>
                <w:sz w:val="21"/>
              </w:rPr>
            </w:pPr>
            <w:r>
              <w:rPr>
                <w:sz w:val="21"/>
              </w:rPr>
              <w:t>妊娠试验（</w:t>
            </w:r>
            <w:r>
              <w:rPr>
                <w:spacing w:val="-26"/>
                <w:sz w:val="21"/>
              </w:rPr>
              <w:t>尿 </w:t>
            </w:r>
            <w:r>
              <w:rPr>
                <w:rFonts w:ascii="Times New Roman" w:hAnsi="Times New Roman" w:eastAsia="Times New Roman"/>
                <w:spacing w:val="-4"/>
                <w:sz w:val="21"/>
              </w:rPr>
              <w:t>HCG</w:t>
            </w:r>
            <w:r>
              <w:rPr>
                <w:spacing w:val="-4"/>
                <w:sz w:val="21"/>
              </w:rPr>
              <w:t>）</w:t>
            </w:r>
            <w:r>
              <w:rPr>
                <w:rFonts w:ascii="Times New Roman" w:hAnsi="Times New Roman" w:eastAsia="Times New Roman"/>
                <w:spacing w:val="-4"/>
                <w:sz w:val="21"/>
                <w:vertAlign w:val="superscript"/>
              </w:rPr>
              <w:t>d</w:t>
            </w:r>
          </w:p>
        </w:tc>
      </w:tr>
    </w:tbl>
    <w:p>
      <w:pPr>
        <w:spacing w:line="259" w:lineRule="auto" w:before="37"/>
        <w:ind w:left="221" w:right="358" w:firstLine="0"/>
        <w:jc w:val="both"/>
        <w:rPr>
          <w:sz w:val="21"/>
        </w:rPr>
      </w:pPr>
      <w:r>
        <w:rPr>
          <w:spacing w:val="-2"/>
          <w:sz w:val="21"/>
        </w:rPr>
        <w:t>注：对于血清生化检查，必须同时进行 </w:t>
      </w:r>
      <w:r>
        <w:rPr>
          <w:rFonts w:ascii="Times New Roman" w:hAnsi="Times New Roman" w:eastAsia="Times New Roman"/>
          <w:sz w:val="21"/>
        </w:rPr>
        <w:t>AST</w:t>
      </w:r>
      <w:r>
        <w:rPr>
          <w:sz w:val="21"/>
        </w:rPr>
        <w:t>、</w:t>
      </w:r>
      <w:r>
        <w:rPr>
          <w:rFonts w:ascii="Times New Roman" w:hAnsi="Times New Roman" w:eastAsia="Times New Roman"/>
          <w:sz w:val="21"/>
        </w:rPr>
        <w:t>ALT</w:t>
      </w:r>
      <w:r>
        <w:rPr>
          <w:sz w:val="21"/>
        </w:rPr>
        <w:t>、</w:t>
      </w:r>
      <w:r>
        <w:rPr>
          <w:rFonts w:ascii="Times New Roman" w:hAnsi="Times New Roman" w:eastAsia="Times New Roman"/>
          <w:sz w:val="21"/>
        </w:rPr>
        <w:t>ALP</w:t>
      </w:r>
      <w:r>
        <w:rPr>
          <w:rFonts w:ascii="Times New Roman" w:hAnsi="Times New Roman" w:eastAsia="Times New Roman"/>
          <w:spacing w:val="-7"/>
          <w:sz w:val="21"/>
        </w:rPr>
        <w:t> </w:t>
      </w:r>
      <w:r>
        <w:rPr>
          <w:spacing w:val="-14"/>
          <w:sz w:val="21"/>
        </w:rPr>
        <w:t>和 </w:t>
      </w:r>
      <w:r>
        <w:rPr>
          <w:rFonts w:ascii="Times New Roman" w:hAnsi="Times New Roman" w:eastAsia="Times New Roman"/>
          <w:sz w:val="21"/>
        </w:rPr>
        <w:t>S-</w:t>
      </w:r>
      <w:r>
        <w:rPr>
          <w:sz w:val="21"/>
        </w:rPr>
        <w:t>胆红素检查，并同时进行评估。</w:t>
      </w:r>
      <w:r>
        <w:rPr>
          <w:spacing w:val="-4"/>
          <w:sz w:val="21"/>
        </w:rPr>
        <w:t>如果受试者的 </w:t>
      </w:r>
      <w:r>
        <w:rPr>
          <w:rFonts w:ascii="Times New Roman" w:hAnsi="Times New Roman" w:eastAsia="Times New Roman"/>
          <w:sz w:val="21"/>
        </w:rPr>
        <w:t>AST</w:t>
      </w:r>
      <w:r>
        <w:rPr>
          <w:rFonts w:ascii="Times New Roman" w:hAnsi="Times New Roman" w:eastAsia="Times New Roman"/>
          <w:spacing w:val="-13"/>
          <w:sz w:val="21"/>
        </w:rPr>
        <w:t> </w:t>
      </w:r>
      <w:r>
        <w:rPr>
          <w:b/>
          <w:spacing w:val="-13"/>
          <w:sz w:val="21"/>
        </w:rPr>
        <w:t>或 </w:t>
      </w:r>
      <w:r>
        <w:rPr>
          <w:rFonts w:ascii="Times New Roman" w:hAnsi="Times New Roman" w:eastAsia="Times New Roman"/>
          <w:sz w:val="21"/>
        </w:rPr>
        <w:t>ALT≥3×ULN</w:t>
      </w:r>
      <w:r>
        <w:rPr>
          <w:rFonts w:ascii="Times New Roman" w:hAnsi="Times New Roman" w:eastAsia="Times New Roman"/>
          <w:spacing w:val="-13"/>
          <w:sz w:val="21"/>
        </w:rPr>
        <w:t> </w:t>
      </w:r>
      <w:r>
        <w:rPr>
          <w:spacing w:val="-14"/>
          <w:sz w:val="21"/>
        </w:rPr>
        <w:t>且 </w:t>
      </w:r>
      <w:r>
        <w:rPr>
          <w:rFonts w:ascii="Times New Roman" w:hAnsi="Times New Roman" w:eastAsia="Times New Roman"/>
          <w:sz w:val="21"/>
        </w:rPr>
        <w:t>TBL≥2×ULN</w:t>
      </w:r>
      <w:r>
        <w:rPr>
          <w:sz w:val="21"/>
        </w:rPr>
        <w:t>，请参见</w:t>
      </w:r>
      <w:hyperlink w:history="true" w:anchor="_bookmark155">
        <w:r>
          <w:rPr>
            <w:color w:val="0000FF"/>
            <w:spacing w:val="-9"/>
            <w:sz w:val="21"/>
          </w:rPr>
          <w:t>附录 </w:t>
        </w:r>
        <w:r>
          <w:rPr>
            <w:rFonts w:ascii="Times New Roman" w:hAnsi="Times New Roman" w:eastAsia="Times New Roman"/>
            <w:color w:val="0000FF"/>
            <w:sz w:val="21"/>
          </w:rPr>
          <w:t>D</w:t>
        </w:r>
      </w:hyperlink>
      <w:r>
        <w:rPr>
          <w:sz w:val="21"/>
        </w:rPr>
        <w:t>“肝生化指标升高所需采取</w:t>
      </w:r>
      <w:r>
        <w:rPr>
          <w:spacing w:val="-2"/>
          <w:sz w:val="21"/>
        </w:rPr>
        <w:t>措施和海氏法则（</w:t>
      </w:r>
      <w:r>
        <w:rPr>
          <w:rFonts w:ascii="Times New Roman" w:hAnsi="Times New Roman" w:eastAsia="Times New Roman"/>
          <w:spacing w:val="-2"/>
          <w:sz w:val="21"/>
        </w:rPr>
        <w:t>HL</w:t>
      </w:r>
      <w:r>
        <w:rPr>
          <w:spacing w:val="-2"/>
          <w:sz w:val="21"/>
        </w:rPr>
        <w:t>）评价”，以获取更多说明。</w:t>
      </w:r>
    </w:p>
    <w:p>
      <w:pPr>
        <w:spacing w:before="38"/>
        <w:ind w:left="221" w:right="0" w:firstLine="0"/>
        <w:jc w:val="both"/>
        <w:rPr>
          <w:sz w:val="21"/>
        </w:rPr>
      </w:pPr>
      <w:r>
        <w:rPr>
          <w:rFonts w:ascii="Times New Roman" w:eastAsia="Times New Roman"/>
          <w:sz w:val="21"/>
          <w:vertAlign w:val="superscript"/>
        </w:rPr>
        <w:t>a</w:t>
      </w:r>
      <w:r>
        <w:rPr>
          <w:rFonts w:ascii="Times New Roman" w:eastAsia="Times New Roman"/>
          <w:spacing w:val="68"/>
          <w:sz w:val="21"/>
          <w:vertAlign w:val="baseline"/>
        </w:rPr>
        <w:t>   </w:t>
      </w:r>
      <w:r>
        <w:rPr>
          <w:spacing w:val="-1"/>
          <w:sz w:val="21"/>
          <w:vertAlign w:val="baseline"/>
        </w:rPr>
        <w:t>嗜酸粒细胞、嗜碱性粒细胞和单核细胞计数将进行设盲处理。</w:t>
      </w:r>
    </w:p>
    <w:p>
      <w:pPr>
        <w:spacing w:before="39"/>
        <w:ind w:left="221" w:right="0" w:firstLine="0"/>
        <w:jc w:val="both"/>
        <w:rPr>
          <w:sz w:val="21"/>
        </w:rPr>
      </w:pPr>
      <w:r>
        <w:rPr>
          <w:rFonts w:ascii="Times New Roman" w:eastAsia="Times New Roman"/>
          <w:sz w:val="21"/>
          <w:vertAlign w:val="superscript"/>
        </w:rPr>
        <w:t>b</w:t>
      </w:r>
      <w:r>
        <w:rPr>
          <w:rFonts w:ascii="Times New Roman" w:eastAsia="Times New Roman"/>
          <w:spacing w:val="65"/>
          <w:sz w:val="21"/>
          <w:vertAlign w:val="baseline"/>
        </w:rPr>
        <w:t>   </w:t>
      </w:r>
      <w:r>
        <w:rPr>
          <w:sz w:val="21"/>
          <w:vertAlign w:val="baseline"/>
        </w:rPr>
        <w:t>如果需要确认</w:t>
      </w:r>
      <w:r>
        <w:rPr>
          <w:rFonts w:ascii="Times New Roman" w:eastAsia="Times New Roman"/>
          <w:sz w:val="21"/>
          <w:vertAlign w:val="baseline"/>
        </w:rPr>
        <w:t>&lt;50</w:t>
      </w:r>
      <w:r>
        <w:rPr>
          <w:rFonts w:ascii="Times New Roman" w:eastAsia="Times New Roman"/>
          <w:spacing w:val="-11"/>
          <w:sz w:val="21"/>
          <w:vertAlign w:val="baseline"/>
        </w:rPr>
        <w:t> </w:t>
      </w:r>
      <w:r>
        <w:rPr>
          <w:spacing w:val="-1"/>
          <w:sz w:val="21"/>
          <w:vertAlign w:val="baseline"/>
        </w:rPr>
        <w:t>岁女性受试者的绝经后状态。</w:t>
      </w:r>
    </w:p>
    <w:p>
      <w:pPr>
        <w:spacing w:before="39"/>
        <w:ind w:left="646" w:right="356" w:hanging="425"/>
        <w:jc w:val="both"/>
        <w:rPr>
          <w:sz w:val="21"/>
        </w:rPr>
      </w:pPr>
      <w:r>
        <w:rPr>
          <w:rFonts w:ascii="Times New Roman" w:eastAsia="Times New Roman"/>
          <w:sz w:val="21"/>
          <w:vertAlign w:val="superscript"/>
        </w:rPr>
        <w:t>c</w:t>
      </w:r>
      <w:r>
        <w:rPr>
          <w:rFonts w:ascii="Times New Roman" w:eastAsia="Times New Roman"/>
          <w:spacing w:val="80"/>
          <w:w w:val="150"/>
          <w:sz w:val="21"/>
          <w:vertAlign w:val="baseline"/>
        </w:rPr>
        <w:t>  </w:t>
      </w:r>
      <w:r>
        <w:rPr>
          <w:spacing w:val="-6"/>
          <w:sz w:val="21"/>
          <w:vertAlign w:val="baseline"/>
        </w:rPr>
        <w:t>将在访视 </w:t>
      </w:r>
      <w:r>
        <w:rPr>
          <w:rFonts w:ascii="Times New Roman" w:eastAsia="Times New Roman"/>
          <w:sz w:val="21"/>
          <w:vertAlign w:val="baseline"/>
        </w:rPr>
        <w:t>1 </w:t>
      </w:r>
      <w:r>
        <w:rPr>
          <w:spacing w:val="-9"/>
          <w:sz w:val="21"/>
          <w:vertAlign w:val="baseline"/>
        </w:rPr>
        <w:t>时对 </w:t>
      </w:r>
      <w:r>
        <w:rPr>
          <w:rFonts w:ascii="Times New Roman" w:eastAsia="Times New Roman"/>
          <w:sz w:val="21"/>
          <w:vertAlign w:val="baseline"/>
        </w:rPr>
        <w:t>FOCBP </w:t>
      </w:r>
      <w:r>
        <w:rPr>
          <w:spacing w:val="-6"/>
          <w:sz w:val="21"/>
          <w:vertAlign w:val="baseline"/>
        </w:rPr>
        <w:t>进行血清 </w:t>
      </w:r>
      <w:r>
        <w:rPr>
          <w:rFonts w:ascii="Times New Roman" w:eastAsia="Times New Roman"/>
          <w:sz w:val="21"/>
          <w:vertAlign w:val="baseline"/>
        </w:rPr>
        <w:t>HCG </w:t>
      </w:r>
      <w:r>
        <w:rPr>
          <w:sz w:val="21"/>
          <w:vertAlign w:val="baseline"/>
        </w:rPr>
        <w:t>检测。如果尿液试纸检测结果为阳性，则需要通过</w:t>
      </w:r>
      <w:r>
        <w:rPr>
          <w:spacing w:val="-8"/>
          <w:sz w:val="21"/>
          <w:vertAlign w:val="baseline"/>
        </w:rPr>
        <w:t>血清 </w:t>
      </w:r>
      <w:r>
        <w:rPr>
          <w:rFonts w:ascii="Times New Roman" w:eastAsia="Times New Roman"/>
          <w:sz w:val="21"/>
          <w:vertAlign w:val="baseline"/>
        </w:rPr>
        <w:t>HCG </w:t>
      </w:r>
      <w:r>
        <w:rPr>
          <w:sz w:val="21"/>
          <w:vertAlign w:val="baseline"/>
        </w:rPr>
        <w:t>检测进行确认。</w:t>
      </w:r>
    </w:p>
    <w:p>
      <w:pPr>
        <w:spacing w:before="39"/>
        <w:ind w:left="221" w:right="0" w:firstLine="0"/>
        <w:jc w:val="both"/>
        <w:rPr>
          <w:sz w:val="21"/>
        </w:rPr>
      </w:pPr>
      <w:r>
        <w:rPr>
          <w:rFonts w:ascii="Times New Roman" w:eastAsia="Times New Roman"/>
          <w:sz w:val="21"/>
          <w:vertAlign w:val="superscript"/>
        </w:rPr>
        <w:t>d</w:t>
      </w:r>
      <w:r>
        <w:rPr>
          <w:rFonts w:ascii="Times New Roman" w:eastAsia="Times New Roman"/>
          <w:spacing w:val="64"/>
          <w:sz w:val="21"/>
          <w:vertAlign w:val="baseline"/>
        </w:rPr>
        <w:t>   </w:t>
      </w:r>
      <w:r>
        <w:rPr>
          <w:spacing w:val="-26"/>
          <w:sz w:val="21"/>
          <w:vertAlign w:val="baseline"/>
        </w:rPr>
        <w:t>仅 </w:t>
      </w:r>
      <w:r>
        <w:rPr>
          <w:rFonts w:ascii="Times New Roman" w:eastAsia="Times New Roman"/>
          <w:sz w:val="21"/>
          <w:vertAlign w:val="baseline"/>
        </w:rPr>
        <w:t>FOCBP</w:t>
      </w:r>
      <w:r>
        <w:rPr>
          <w:spacing w:val="-10"/>
          <w:sz w:val="21"/>
          <w:vertAlign w:val="baseline"/>
        </w:rPr>
        <w:t>。</w:t>
      </w:r>
    </w:p>
    <w:p>
      <w:pPr>
        <w:spacing w:line="259" w:lineRule="auto" w:before="40"/>
        <w:ind w:left="221" w:right="147" w:firstLine="0"/>
        <w:jc w:val="left"/>
        <w:rPr>
          <w:sz w:val="21"/>
        </w:rPr>
      </w:pPr>
      <w:r>
        <w:rPr>
          <w:rFonts w:ascii="Times New Roman" w:hAnsi="Times New Roman" w:eastAsia="Times New Roman"/>
          <w:sz w:val="21"/>
        </w:rPr>
        <w:t>ALP</w:t>
      </w:r>
      <w:r>
        <w:rPr>
          <w:sz w:val="21"/>
        </w:rPr>
        <w:t>，碱性磷酸酶；</w:t>
      </w:r>
      <w:r>
        <w:rPr>
          <w:rFonts w:ascii="Times New Roman" w:hAnsi="Times New Roman" w:eastAsia="Times New Roman"/>
          <w:sz w:val="21"/>
        </w:rPr>
        <w:t>ALT</w:t>
      </w:r>
      <w:r>
        <w:rPr>
          <w:sz w:val="21"/>
        </w:rPr>
        <w:t>，丙氨酸氨基转移酶；</w:t>
      </w:r>
      <w:r>
        <w:rPr>
          <w:rFonts w:ascii="Times New Roman" w:hAnsi="Times New Roman" w:eastAsia="Times New Roman"/>
          <w:sz w:val="21"/>
        </w:rPr>
        <w:t>AST</w:t>
      </w:r>
      <w:r>
        <w:rPr>
          <w:sz w:val="21"/>
        </w:rPr>
        <w:t>，天门冬氨酸氨基转移酶；</w:t>
      </w:r>
      <w:r>
        <w:rPr>
          <w:rFonts w:ascii="Times New Roman" w:hAnsi="Times New Roman" w:eastAsia="Times New Roman"/>
          <w:sz w:val="21"/>
        </w:rPr>
        <w:t>CRP</w:t>
      </w:r>
      <w:r>
        <w:rPr>
          <w:sz w:val="21"/>
        </w:rPr>
        <w:t>，</w:t>
      </w:r>
      <w:r>
        <w:rPr>
          <w:rFonts w:ascii="Times New Roman" w:hAnsi="Times New Roman" w:eastAsia="Times New Roman"/>
          <w:sz w:val="21"/>
        </w:rPr>
        <w:t>C</w:t>
      </w:r>
      <w:r>
        <w:rPr>
          <w:rFonts w:ascii="Times New Roman" w:hAnsi="Times New Roman" w:eastAsia="Times New Roman"/>
          <w:spacing w:val="40"/>
          <w:sz w:val="21"/>
        </w:rPr>
        <w:t> </w:t>
      </w:r>
      <w:r>
        <w:rPr>
          <w:sz w:val="21"/>
        </w:rPr>
        <w:t>反应蛋</w:t>
      </w:r>
      <w:r>
        <w:rPr>
          <w:sz w:val="21"/>
        </w:rPr>
        <w:t> </w:t>
      </w:r>
      <w:r>
        <w:rPr>
          <w:spacing w:val="-2"/>
          <w:sz w:val="21"/>
        </w:rPr>
        <w:t>白；</w:t>
      </w:r>
      <w:r>
        <w:rPr>
          <w:rFonts w:ascii="Times New Roman" w:hAnsi="Times New Roman" w:eastAsia="Times New Roman"/>
          <w:spacing w:val="-2"/>
          <w:sz w:val="21"/>
        </w:rPr>
        <w:t>FOCBP</w:t>
      </w:r>
      <w:r>
        <w:rPr>
          <w:spacing w:val="-2"/>
          <w:sz w:val="21"/>
        </w:rPr>
        <w:t>，有生育能力的女性；</w:t>
      </w:r>
      <w:r>
        <w:rPr>
          <w:rFonts w:ascii="Times New Roman" w:hAnsi="Times New Roman" w:eastAsia="Times New Roman"/>
          <w:spacing w:val="-2"/>
          <w:sz w:val="21"/>
        </w:rPr>
        <w:t>FSH</w:t>
      </w:r>
      <w:r>
        <w:rPr>
          <w:spacing w:val="-2"/>
          <w:sz w:val="21"/>
        </w:rPr>
        <w:t>，卵泡刺激素；</w:t>
      </w:r>
      <w:r>
        <w:rPr>
          <w:rFonts w:ascii="Times New Roman" w:hAnsi="Times New Roman" w:eastAsia="Times New Roman"/>
          <w:spacing w:val="-2"/>
          <w:sz w:val="21"/>
        </w:rPr>
        <w:t>GGT</w:t>
      </w:r>
      <w:r>
        <w:rPr>
          <w:spacing w:val="-2"/>
          <w:sz w:val="21"/>
        </w:rPr>
        <w:t>，</w:t>
      </w:r>
      <w:r>
        <w:rPr>
          <w:rFonts w:ascii="Times New Roman" w:hAnsi="Times New Roman" w:eastAsia="Times New Roman"/>
          <w:spacing w:val="-2"/>
          <w:sz w:val="21"/>
        </w:rPr>
        <w:t>γ-</w:t>
      </w:r>
      <w:r>
        <w:rPr>
          <w:spacing w:val="-2"/>
          <w:sz w:val="21"/>
        </w:rPr>
        <w:t>谷氨酰转移酶；</w:t>
      </w:r>
      <w:r>
        <w:rPr>
          <w:rFonts w:ascii="Times New Roman" w:hAnsi="Times New Roman" w:eastAsia="Times New Roman"/>
          <w:spacing w:val="-2"/>
          <w:sz w:val="21"/>
        </w:rPr>
        <w:t>Hb</w:t>
      </w:r>
      <w:r>
        <w:rPr>
          <w:spacing w:val="-2"/>
          <w:sz w:val="21"/>
        </w:rPr>
        <w:t>，血红蛋白； </w:t>
      </w:r>
      <w:r>
        <w:rPr>
          <w:rFonts w:ascii="Times New Roman" w:hAnsi="Times New Roman" w:eastAsia="Times New Roman"/>
          <w:sz w:val="21"/>
        </w:rPr>
        <w:t>HbA1c</w:t>
      </w:r>
      <w:r>
        <w:rPr>
          <w:spacing w:val="8"/>
          <w:sz w:val="21"/>
        </w:rPr>
        <w:t>，血红蛋白</w:t>
      </w:r>
      <w:r>
        <w:rPr>
          <w:rFonts w:ascii="Times New Roman" w:hAnsi="Times New Roman" w:eastAsia="Times New Roman"/>
          <w:sz w:val="21"/>
        </w:rPr>
        <w:t>A1c</w:t>
      </w:r>
      <w:r>
        <w:rPr>
          <w:sz w:val="21"/>
        </w:rPr>
        <w:t>；</w:t>
      </w:r>
      <w:r>
        <w:rPr>
          <w:rFonts w:ascii="Times New Roman" w:hAnsi="Times New Roman" w:eastAsia="Times New Roman"/>
          <w:sz w:val="21"/>
        </w:rPr>
        <w:t>HCG</w:t>
      </w:r>
      <w:r>
        <w:rPr>
          <w:sz w:val="21"/>
        </w:rPr>
        <w:t>，人绒毛膜促性腺激素；</w:t>
      </w:r>
      <w:r>
        <w:rPr>
          <w:rFonts w:ascii="Times New Roman" w:hAnsi="Times New Roman" w:eastAsia="Times New Roman"/>
          <w:sz w:val="21"/>
        </w:rPr>
        <w:t>NT-ProBNP</w:t>
      </w:r>
      <w:r>
        <w:rPr>
          <w:sz w:val="21"/>
        </w:rPr>
        <w:t>，</w:t>
      </w:r>
      <w:r>
        <w:rPr>
          <w:rFonts w:ascii="Times New Roman" w:hAnsi="Times New Roman" w:eastAsia="Times New Roman"/>
          <w:sz w:val="21"/>
        </w:rPr>
        <w:t>N</w:t>
      </w:r>
      <w:r>
        <w:rPr>
          <w:rFonts w:ascii="Times New Roman" w:hAnsi="Times New Roman" w:eastAsia="Times New Roman"/>
          <w:spacing w:val="-20"/>
          <w:sz w:val="21"/>
        </w:rPr>
        <w:t> </w:t>
      </w:r>
      <w:r>
        <w:rPr>
          <w:sz w:val="21"/>
        </w:rPr>
        <w:t>末端脑钠肽前体；</w:t>
      </w:r>
      <w:r>
        <w:rPr>
          <w:rFonts w:ascii="Times New Roman" w:hAnsi="Times New Roman" w:eastAsia="Times New Roman"/>
          <w:sz w:val="21"/>
        </w:rPr>
        <w:t>RBC</w:t>
      </w:r>
      <w:r>
        <w:rPr>
          <w:sz w:val="21"/>
        </w:rPr>
        <w:t>， </w:t>
      </w:r>
      <w:r>
        <w:rPr>
          <w:spacing w:val="-2"/>
          <w:sz w:val="21"/>
        </w:rPr>
        <w:t>红细胞；</w:t>
      </w:r>
      <w:r>
        <w:rPr>
          <w:rFonts w:ascii="Times New Roman" w:hAnsi="Times New Roman" w:eastAsia="Times New Roman"/>
          <w:spacing w:val="-2"/>
          <w:sz w:val="21"/>
        </w:rPr>
        <w:t>TBL</w:t>
      </w:r>
      <w:r>
        <w:rPr>
          <w:spacing w:val="-2"/>
          <w:sz w:val="21"/>
        </w:rPr>
        <w:t>，总胆红素；</w:t>
      </w:r>
      <w:r>
        <w:rPr>
          <w:rFonts w:ascii="Times New Roman" w:hAnsi="Times New Roman" w:eastAsia="Times New Roman"/>
          <w:spacing w:val="-2"/>
          <w:sz w:val="21"/>
        </w:rPr>
        <w:t>ULN</w:t>
      </w:r>
      <w:r>
        <w:rPr>
          <w:spacing w:val="-2"/>
          <w:sz w:val="21"/>
        </w:rPr>
        <w:t>，正常值上限。</w:t>
      </w:r>
    </w:p>
    <w:p>
      <w:pPr>
        <w:pStyle w:val="BodyText"/>
        <w:spacing w:before="159"/>
        <w:ind w:left="0"/>
        <w:rPr>
          <w:sz w:val="21"/>
        </w:rPr>
      </w:pPr>
    </w:p>
    <w:p>
      <w:pPr>
        <w:pStyle w:val="Heading3"/>
        <w:spacing w:before="1"/>
      </w:pPr>
      <w:r>
        <w:rPr>
          <w:spacing w:val="-4"/>
        </w:rPr>
        <w:t>妊娠试验</w:t>
      </w:r>
    </w:p>
    <w:p>
      <w:pPr>
        <w:pStyle w:val="BodyText"/>
        <w:spacing w:line="276" w:lineRule="auto" w:before="118"/>
        <w:ind w:right="358" w:firstLine="480"/>
      </w:pPr>
      <w:r>
        <w:rPr>
          <w:spacing w:val="-6"/>
        </w:rPr>
        <w:t>以下检查仅适用于 </w:t>
      </w:r>
      <w:r>
        <w:rPr>
          <w:rFonts w:ascii="Times New Roman" w:eastAsia="Times New Roman"/>
        </w:rPr>
        <w:t>FOCBP</w:t>
      </w:r>
      <w:r>
        <w:rPr>
          <w:rFonts w:ascii="Times New Roman" w:eastAsia="Times New Roman"/>
          <w:spacing w:val="-15"/>
        </w:rPr>
        <w:t> </w:t>
      </w:r>
      <w:r>
        <w:rPr>
          <w:spacing w:val="-7"/>
        </w:rPr>
        <w:t>受试者，将根据 </w:t>
      </w:r>
      <w:r>
        <w:rPr>
          <w:rFonts w:ascii="Times New Roman" w:eastAsia="Times New Roman"/>
        </w:rPr>
        <w:t>SoA</w:t>
      </w:r>
      <w:r>
        <w:rPr/>
        <w:t>（</w:t>
      </w:r>
      <w:r>
        <w:rPr>
          <w:spacing w:val="-25"/>
        </w:rPr>
        <w:t>第 </w:t>
      </w:r>
      <w:hyperlink w:history="true" w:anchor="_bookmark7">
        <w:r>
          <w:rPr>
            <w:rFonts w:ascii="Times New Roman" w:eastAsia="Times New Roman"/>
            <w:color w:val="0000FF"/>
          </w:rPr>
          <w:t>1.3</w:t>
        </w:r>
      </w:hyperlink>
      <w:r>
        <w:rPr>
          <w:rFonts w:ascii="Times New Roman" w:eastAsia="Times New Roman"/>
          <w:color w:val="0000FF"/>
          <w:spacing w:val="-15"/>
        </w:rPr>
        <w:t> </w:t>
      </w:r>
      <w:r>
        <w:rPr/>
        <w:t>节）中提供的时间计划</w:t>
      </w:r>
      <w:r>
        <w:rPr>
          <w:spacing w:val="-4"/>
        </w:rPr>
        <w:t>表进行：</w:t>
      </w:r>
    </w:p>
    <w:p>
      <w:pPr>
        <w:pStyle w:val="ListParagraph"/>
        <w:numPr>
          <w:ilvl w:val="0"/>
          <w:numId w:val="40"/>
        </w:numPr>
        <w:tabs>
          <w:tab w:pos="646" w:val="left" w:leader="none"/>
        </w:tabs>
        <w:spacing w:line="240" w:lineRule="auto" w:before="238" w:after="0"/>
        <w:ind w:left="646" w:right="358" w:hanging="425"/>
        <w:jc w:val="both"/>
        <w:rPr>
          <w:sz w:val="24"/>
        </w:rPr>
      </w:pPr>
      <w:r>
        <w:rPr>
          <w:rFonts w:ascii="Times New Roman" w:hAnsi="Times New Roman" w:eastAsia="Times New Roman"/>
          <w:sz w:val="24"/>
        </w:rPr>
        <w:t>FSH</w:t>
      </w:r>
      <w:r>
        <w:rPr>
          <w:sz w:val="24"/>
        </w:rPr>
        <w:t>：对女性受试者进行检测，以确认闭经</w:t>
      </w:r>
      <w:r>
        <w:rPr>
          <w:rFonts w:ascii="Times New Roman" w:hAnsi="Times New Roman" w:eastAsia="Times New Roman"/>
          <w:sz w:val="24"/>
        </w:rPr>
        <w:t>≥12 </w:t>
      </w:r>
      <w:r>
        <w:rPr>
          <w:sz w:val="24"/>
        </w:rPr>
        <w:t>个月的</w:t>
      </w:r>
      <w:r>
        <w:rPr>
          <w:rFonts w:ascii="Times New Roman" w:hAnsi="Times New Roman" w:eastAsia="Times New Roman"/>
          <w:sz w:val="24"/>
        </w:rPr>
        <w:t>&lt;50 </w:t>
      </w:r>
      <w:r>
        <w:rPr>
          <w:sz w:val="24"/>
        </w:rPr>
        <w:t>岁女性是否处于绝经</w:t>
      </w:r>
      <w:r>
        <w:rPr>
          <w:spacing w:val="-4"/>
          <w:sz w:val="24"/>
        </w:rPr>
        <w:t>后状态。</w:t>
      </w:r>
    </w:p>
    <w:p>
      <w:pPr>
        <w:pStyle w:val="ListParagraph"/>
        <w:numPr>
          <w:ilvl w:val="0"/>
          <w:numId w:val="40"/>
        </w:numPr>
        <w:tabs>
          <w:tab w:pos="645" w:val="left" w:leader="none"/>
        </w:tabs>
        <w:spacing w:line="240" w:lineRule="auto" w:before="59" w:after="0"/>
        <w:ind w:left="645" w:right="0" w:hanging="424"/>
        <w:jc w:val="both"/>
        <w:rPr>
          <w:sz w:val="24"/>
        </w:rPr>
      </w:pPr>
      <w:r>
        <w:rPr>
          <w:spacing w:val="-15"/>
          <w:sz w:val="24"/>
        </w:rPr>
        <w:t>血清 </w:t>
      </w:r>
      <w:r>
        <w:rPr>
          <w:rFonts w:ascii="Times New Roman" w:hAnsi="Times New Roman" w:eastAsia="Times New Roman"/>
          <w:spacing w:val="-2"/>
          <w:sz w:val="24"/>
        </w:rPr>
        <w:t>β-HCG</w:t>
      </w:r>
      <w:r>
        <w:rPr>
          <w:spacing w:val="-12"/>
          <w:sz w:val="24"/>
        </w:rPr>
        <w:t>：将对 </w:t>
      </w:r>
      <w:r>
        <w:rPr>
          <w:rFonts w:ascii="Times New Roman" w:hAnsi="Times New Roman" w:eastAsia="Times New Roman"/>
          <w:spacing w:val="-2"/>
          <w:sz w:val="24"/>
        </w:rPr>
        <w:t>FOCBP</w:t>
      </w:r>
      <w:r>
        <w:rPr>
          <w:rFonts w:ascii="Times New Roman" w:hAnsi="Times New Roman" w:eastAsia="Times New Roman"/>
          <w:spacing w:val="6"/>
          <w:sz w:val="24"/>
        </w:rPr>
        <w:t> </w:t>
      </w:r>
      <w:r>
        <w:rPr>
          <w:spacing w:val="-2"/>
          <w:sz w:val="24"/>
        </w:rPr>
        <w:t>实施该试验（由中心实验室进行分析）</w:t>
      </w:r>
      <w:r>
        <w:rPr>
          <w:spacing w:val="-10"/>
          <w:sz w:val="24"/>
        </w:rPr>
        <w:t>。</w:t>
      </w:r>
    </w:p>
    <w:p>
      <w:pPr>
        <w:pStyle w:val="ListParagraph"/>
        <w:numPr>
          <w:ilvl w:val="0"/>
          <w:numId w:val="40"/>
        </w:numPr>
        <w:tabs>
          <w:tab w:pos="646" w:val="left" w:leader="none"/>
        </w:tabs>
        <w:spacing w:line="240" w:lineRule="auto" w:before="59" w:after="0"/>
        <w:ind w:left="646" w:right="357" w:hanging="425"/>
        <w:jc w:val="both"/>
        <w:rPr>
          <w:sz w:val="24"/>
        </w:rPr>
      </w:pPr>
      <w:r>
        <w:rPr>
          <w:spacing w:val="-10"/>
          <w:sz w:val="24"/>
        </w:rPr>
        <w:t>尿液 </w:t>
      </w:r>
      <w:r>
        <w:rPr>
          <w:rFonts w:ascii="Times New Roman" w:hAnsi="Times New Roman" w:eastAsia="Times New Roman"/>
          <w:sz w:val="24"/>
        </w:rPr>
        <w:t>HCG</w:t>
      </w:r>
      <w:r>
        <w:rPr>
          <w:spacing w:val="-8"/>
          <w:sz w:val="24"/>
        </w:rPr>
        <w:t>：将对 </w:t>
      </w:r>
      <w:r>
        <w:rPr>
          <w:rFonts w:ascii="Times New Roman" w:hAnsi="Times New Roman" w:eastAsia="Times New Roman"/>
          <w:sz w:val="24"/>
        </w:rPr>
        <w:t>FOCBP</w:t>
      </w:r>
      <w:r>
        <w:rPr>
          <w:rFonts w:ascii="Times New Roman" w:hAnsi="Times New Roman" w:eastAsia="Times New Roman"/>
          <w:spacing w:val="-15"/>
          <w:sz w:val="24"/>
        </w:rPr>
        <w:t> </w:t>
      </w:r>
      <w:r>
        <w:rPr>
          <w:spacing w:val="-2"/>
          <w:sz w:val="24"/>
        </w:rPr>
        <w:t>进行试纸法检测。在每次治疗访视时，将在 </w:t>
      </w:r>
      <w:r>
        <w:rPr>
          <w:rFonts w:ascii="Times New Roman" w:hAnsi="Times New Roman" w:eastAsia="Times New Roman"/>
          <w:sz w:val="24"/>
        </w:rPr>
        <w:t>IP</w:t>
      </w:r>
      <w:r>
        <w:rPr>
          <w:rFonts w:ascii="Times New Roman" w:hAnsi="Times New Roman" w:eastAsia="Times New Roman"/>
          <w:spacing w:val="-15"/>
          <w:sz w:val="24"/>
        </w:rPr>
        <w:t> </w:t>
      </w:r>
      <w:r>
        <w:rPr>
          <w:sz w:val="24"/>
        </w:rPr>
        <w:t>给药前进行检测。如果试纸检查结果呈阳性，则必须暂停使用 </w:t>
      </w:r>
      <w:r>
        <w:rPr>
          <w:rFonts w:ascii="Times New Roman" w:hAnsi="Times New Roman" w:eastAsia="Times New Roman"/>
          <w:sz w:val="24"/>
        </w:rPr>
        <w:t>IP</w:t>
      </w:r>
      <w:r>
        <w:rPr>
          <w:sz w:val="24"/>
        </w:rPr>
        <w:t>，并进行确证性血清 </w:t>
      </w:r>
      <w:r>
        <w:rPr>
          <w:rFonts w:ascii="Times New Roman" w:hAnsi="Times New Roman" w:eastAsia="Times New Roman"/>
          <w:sz w:val="24"/>
        </w:rPr>
        <w:t>β-HCG</w:t>
      </w:r>
      <w:r>
        <w:rPr>
          <w:rFonts w:ascii="Times New Roman" w:hAnsi="Times New Roman" w:eastAsia="Times New Roman"/>
          <w:spacing w:val="-7"/>
          <w:sz w:val="24"/>
        </w:rPr>
        <w:t> </w:t>
      </w:r>
      <w:r>
        <w:rPr>
          <w:sz w:val="24"/>
        </w:rPr>
        <w:t>检测。</w:t>
      </w:r>
    </w:p>
    <w:p>
      <w:pPr>
        <w:pStyle w:val="BodyText"/>
        <w:spacing w:before="143"/>
        <w:ind w:left="0"/>
      </w:pPr>
    </w:p>
    <w:p>
      <w:pPr>
        <w:pStyle w:val="Heading3"/>
      </w:pPr>
      <w:r>
        <w:rPr>
          <w:spacing w:val="-5"/>
        </w:rPr>
        <w:t>其他安全性检查</w:t>
      </w:r>
    </w:p>
    <w:p>
      <w:pPr>
        <w:pStyle w:val="BodyText"/>
        <w:spacing w:before="119"/>
        <w:ind w:left="701"/>
      </w:pPr>
      <w:r>
        <w:rPr>
          <w:spacing w:val="-5"/>
        </w:rPr>
        <w:t>如有临床指征，可根据当地 </w:t>
      </w:r>
      <w:r>
        <w:rPr>
          <w:rFonts w:ascii="Times New Roman" w:eastAsia="Times New Roman"/>
        </w:rPr>
        <w:t>SoC</w:t>
      </w:r>
      <w:r>
        <w:rPr>
          <w:rFonts w:ascii="Times New Roman" w:eastAsia="Times New Roman"/>
          <w:spacing w:val="-12"/>
        </w:rPr>
        <w:t> </w:t>
      </w:r>
      <w:r>
        <w:rPr>
          <w:spacing w:val="-1"/>
        </w:rPr>
        <w:t>在当地进行以下检查：</w:t>
      </w:r>
    </w:p>
    <w:p>
      <w:pPr>
        <w:pStyle w:val="ListParagraph"/>
        <w:numPr>
          <w:ilvl w:val="0"/>
          <w:numId w:val="40"/>
        </w:numPr>
        <w:tabs>
          <w:tab w:pos="645" w:val="left" w:leader="none"/>
        </w:tabs>
        <w:spacing w:line="240" w:lineRule="auto" w:before="286" w:after="0"/>
        <w:ind w:left="645" w:right="0" w:hanging="424"/>
        <w:jc w:val="both"/>
        <w:rPr>
          <w:sz w:val="24"/>
        </w:rPr>
      </w:pPr>
      <w:r>
        <w:rPr>
          <w:sz w:val="24"/>
        </w:rPr>
        <w:t>血清学检查：乙型肝炎（</w:t>
      </w:r>
      <w:r>
        <w:rPr>
          <w:rFonts w:ascii="Times New Roman" w:hAnsi="Times New Roman" w:eastAsia="Times New Roman"/>
          <w:sz w:val="24"/>
        </w:rPr>
        <w:t>HBsAg</w:t>
      </w:r>
      <w:r>
        <w:rPr>
          <w:rFonts w:ascii="Times New Roman" w:hAnsi="Times New Roman" w:eastAsia="Times New Roman"/>
          <w:spacing w:val="-15"/>
          <w:sz w:val="24"/>
        </w:rPr>
        <w:t> </w:t>
      </w:r>
      <w:r>
        <w:rPr>
          <w:spacing w:val="-20"/>
          <w:sz w:val="24"/>
        </w:rPr>
        <w:t>和抗 </w:t>
      </w:r>
      <w:r>
        <w:rPr>
          <w:rFonts w:ascii="Times New Roman" w:hAnsi="Times New Roman" w:eastAsia="Times New Roman"/>
          <w:sz w:val="24"/>
        </w:rPr>
        <w:t>HBc</w:t>
      </w:r>
      <w:r>
        <w:rPr>
          <w:sz w:val="24"/>
        </w:rPr>
        <w:t>）</w:t>
      </w:r>
      <w:r>
        <w:rPr>
          <w:spacing w:val="-2"/>
          <w:sz w:val="24"/>
        </w:rPr>
        <w:t>和丙型肝炎抗体</w:t>
      </w:r>
    </w:p>
    <w:p>
      <w:pPr>
        <w:pStyle w:val="ListParagraph"/>
        <w:numPr>
          <w:ilvl w:val="0"/>
          <w:numId w:val="40"/>
        </w:numPr>
        <w:tabs>
          <w:tab w:pos="645" w:val="left" w:leader="none"/>
        </w:tabs>
        <w:spacing w:line="240" w:lineRule="auto" w:before="59" w:after="0"/>
        <w:ind w:left="645" w:right="0" w:hanging="424"/>
        <w:jc w:val="both"/>
        <w:rPr>
          <w:sz w:val="24"/>
        </w:rPr>
      </w:pPr>
      <w:r>
        <w:rPr>
          <w:rFonts w:ascii="Times New Roman" w:hAnsi="Times New Roman" w:eastAsia="Times New Roman"/>
          <w:sz w:val="24"/>
        </w:rPr>
        <w:t>p24</w:t>
      </w:r>
      <w:r>
        <w:rPr>
          <w:rFonts w:ascii="Times New Roman" w:hAnsi="Times New Roman" w:eastAsia="Times New Roman"/>
          <w:spacing w:val="-15"/>
          <w:sz w:val="24"/>
        </w:rPr>
        <w:t> </w:t>
      </w:r>
      <w:r>
        <w:rPr>
          <w:sz w:val="24"/>
        </w:rPr>
        <w:t>抗原、</w:t>
      </w:r>
      <w:r>
        <w:rPr>
          <w:rFonts w:ascii="Times New Roman" w:hAnsi="Times New Roman" w:eastAsia="Times New Roman"/>
          <w:sz w:val="24"/>
        </w:rPr>
        <w:t>HIV-1</w:t>
      </w:r>
      <w:r>
        <w:rPr>
          <w:rFonts w:ascii="Times New Roman" w:hAnsi="Times New Roman" w:eastAsia="Times New Roman"/>
          <w:spacing w:val="-14"/>
          <w:sz w:val="24"/>
        </w:rPr>
        <w:t> </w:t>
      </w:r>
      <w:r>
        <w:rPr>
          <w:spacing w:val="-30"/>
          <w:sz w:val="24"/>
        </w:rPr>
        <w:t>和 </w:t>
      </w:r>
      <w:r>
        <w:rPr>
          <w:rFonts w:ascii="Times New Roman" w:hAnsi="Times New Roman" w:eastAsia="Times New Roman"/>
          <w:sz w:val="24"/>
        </w:rPr>
        <w:t>HIV-2</w:t>
      </w:r>
      <w:r>
        <w:rPr>
          <w:rFonts w:ascii="Times New Roman" w:hAnsi="Times New Roman" w:eastAsia="Times New Roman"/>
          <w:spacing w:val="-13"/>
          <w:sz w:val="24"/>
        </w:rPr>
        <w:t> </w:t>
      </w:r>
      <w:r>
        <w:rPr>
          <w:spacing w:val="-5"/>
          <w:sz w:val="24"/>
        </w:rPr>
        <w:t>抗体</w:t>
      </w:r>
    </w:p>
    <w:p>
      <w:pPr>
        <w:pStyle w:val="ListParagraph"/>
        <w:numPr>
          <w:ilvl w:val="0"/>
          <w:numId w:val="40"/>
        </w:numPr>
        <w:tabs>
          <w:tab w:pos="645" w:val="left" w:leader="none"/>
        </w:tabs>
        <w:spacing w:line="240" w:lineRule="auto" w:before="59" w:after="0"/>
        <w:ind w:left="645" w:right="0" w:hanging="424"/>
        <w:jc w:val="both"/>
        <w:rPr>
          <w:sz w:val="24"/>
        </w:rPr>
      </w:pPr>
      <w:r>
        <w:rPr>
          <w:rFonts w:ascii="Times New Roman" w:hAnsi="Times New Roman" w:eastAsia="Times New Roman"/>
          <w:sz w:val="24"/>
        </w:rPr>
        <w:t>TB</w:t>
      </w:r>
      <w:r>
        <w:rPr>
          <w:rFonts w:ascii="Times New Roman" w:hAnsi="Times New Roman" w:eastAsia="Times New Roman"/>
          <w:spacing w:val="-15"/>
          <w:sz w:val="24"/>
        </w:rPr>
        <w:t> </w:t>
      </w:r>
      <w:r>
        <w:rPr>
          <w:spacing w:val="-3"/>
          <w:sz w:val="24"/>
        </w:rPr>
        <w:t>检查：如适用，将根据按当地指南制定的当地 </w:t>
      </w:r>
      <w:r>
        <w:rPr>
          <w:rFonts w:ascii="Times New Roman" w:hAnsi="Times New Roman" w:eastAsia="Times New Roman"/>
          <w:sz w:val="24"/>
        </w:rPr>
        <w:t>SoC</w:t>
      </w:r>
      <w:r>
        <w:rPr>
          <w:rFonts w:ascii="Times New Roman" w:hAnsi="Times New Roman" w:eastAsia="Times New Roman"/>
          <w:spacing w:val="-12"/>
          <w:sz w:val="24"/>
        </w:rPr>
        <w:t> </w:t>
      </w:r>
      <w:r>
        <w:rPr>
          <w:spacing w:val="-20"/>
          <w:sz w:val="24"/>
        </w:rPr>
        <w:t>进行 </w:t>
      </w:r>
      <w:r>
        <w:rPr>
          <w:rFonts w:ascii="Times New Roman" w:hAnsi="Times New Roman" w:eastAsia="Times New Roman"/>
          <w:sz w:val="24"/>
        </w:rPr>
        <w:t>TB</w:t>
      </w:r>
      <w:r>
        <w:rPr>
          <w:rFonts w:ascii="Times New Roman" w:hAnsi="Times New Roman" w:eastAsia="Times New Roman"/>
          <w:spacing w:val="-13"/>
          <w:sz w:val="24"/>
        </w:rPr>
        <w:t> </w:t>
      </w:r>
      <w:r>
        <w:rPr>
          <w:spacing w:val="-4"/>
          <w:sz w:val="24"/>
        </w:rPr>
        <w:t>检查。</w:t>
      </w:r>
    </w:p>
    <w:p>
      <w:pPr>
        <w:pStyle w:val="BodyText"/>
        <w:spacing w:before="144"/>
        <w:ind w:left="0"/>
      </w:pPr>
    </w:p>
    <w:p>
      <w:pPr>
        <w:pStyle w:val="Heading1"/>
        <w:numPr>
          <w:ilvl w:val="1"/>
          <w:numId w:val="3"/>
        </w:numPr>
        <w:tabs>
          <w:tab w:pos="1355" w:val="left" w:leader="none"/>
        </w:tabs>
        <w:spacing w:line="240" w:lineRule="auto" w:before="0" w:after="0"/>
        <w:ind w:left="1355" w:right="0" w:hanging="1134"/>
        <w:jc w:val="both"/>
      </w:pPr>
      <w:bookmarkStart w:name="8.3 不良事件及严重不良事件" w:id="181"/>
      <w:bookmarkEnd w:id="181"/>
      <w:r>
        <w:rPr>
          <w:b w:val="0"/>
        </w:rPr>
      </w:r>
      <w:bookmarkStart w:name="_bookmark93" w:id="182"/>
      <w:bookmarkEnd w:id="182"/>
      <w:r>
        <w:rPr>
          <w:b w:val="0"/>
        </w:rPr>
      </w:r>
      <w:r>
        <w:rPr>
          <w:spacing w:val="-5"/>
        </w:rPr>
        <w:t>不良事件及严重不良事件</w:t>
      </w:r>
    </w:p>
    <w:p>
      <w:pPr>
        <w:pStyle w:val="BodyText"/>
        <w:spacing w:before="119"/>
        <w:ind w:left="701"/>
      </w:pPr>
      <w:r>
        <w:rPr>
          <w:spacing w:val="-1"/>
        </w:rPr>
        <w:t>研究者应确保参与研究的所有工作人员了解本节内容。</w:t>
      </w:r>
    </w:p>
    <w:p>
      <w:pPr>
        <w:pStyle w:val="BodyText"/>
        <w:spacing w:before="287"/>
        <w:ind w:left="701"/>
      </w:pPr>
      <w:r>
        <w:rPr>
          <w:rFonts w:ascii="Times New Roman" w:eastAsia="Times New Roman"/>
        </w:rPr>
        <w:t>AE</w:t>
      </w:r>
      <w:r>
        <w:rPr>
          <w:rFonts w:ascii="Times New Roman" w:eastAsia="Times New Roman"/>
          <w:spacing w:val="-14"/>
        </w:rPr>
        <w:t> </w:t>
      </w:r>
      <w:r>
        <w:rPr>
          <w:spacing w:val="-30"/>
        </w:rPr>
        <w:t>或 </w:t>
      </w:r>
      <w:r>
        <w:rPr>
          <w:rFonts w:ascii="Times New Roman" w:eastAsia="Times New Roman"/>
        </w:rPr>
        <w:t>SAE</w:t>
      </w:r>
      <w:r>
        <w:rPr>
          <w:rFonts w:ascii="Times New Roman" w:eastAsia="Times New Roman"/>
          <w:spacing w:val="-11"/>
        </w:rPr>
        <w:t> </w:t>
      </w:r>
      <w:r>
        <w:rPr/>
        <w:t>的定义请见</w:t>
      </w:r>
      <w:hyperlink w:history="true" w:anchor="_bookmark150">
        <w:r>
          <w:rPr>
            <w:color w:val="0000FF"/>
            <w:spacing w:val="-20"/>
          </w:rPr>
          <w:t>附录 </w:t>
        </w:r>
        <w:r>
          <w:rPr>
            <w:rFonts w:ascii="Times New Roman" w:eastAsia="Times New Roman"/>
            <w:color w:val="0000FF"/>
          </w:rPr>
          <w:t>B</w:t>
        </w:r>
      </w:hyperlink>
      <w:r>
        <w:rPr>
          <w:spacing w:val="-10"/>
        </w:rPr>
        <w:t>。</w:t>
      </w:r>
    </w:p>
    <w:p>
      <w:pPr>
        <w:spacing w:after="0"/>
        <w:sectPr>
          <w:pgSz w:w="11910" w:h="16840"/>
          <w:pgMar w:header="590" w:footer="784" w:top="1340" w:bottom="980" w:left="1480" w:right="1080"/>
        </w:sectPr>
      </w:pPr>
    </w:p>
    <w:p>
      <w:pPr>
        <w:pStyle w:val="BodyText"/>
        <w:spacing w:line="276" w:lineRule="auto" w:before="88"/>
        <w:ind w:right="365" w:firstLine="480"/>
      </w:pPr>
      <w:r>
        <w:rPr>
          <w:spacing w:val="-2"/>
        </w:rPr>
        <w:t>将由受试者（或适当时，由其护理者、代理人或受试者的合法授权代表）报告不良事件。</w:t>
      </w:r>
    </w:p>
    <w:p>
      <w:pPr>
        <w:pStyle w:val="BodyText"/>
        <w:spacing w:before="239"/>
        <w:ind w:left="701"/>
      </w:pPr>
      <w:r>
        <w:rPr>
          <w:spacing w:val="-3"/>
        </w:rPr>
        <w:t>研究者和任何指定人员负责检测、记录和录入符合 </w:t>
      </w:r>
      <w:r>
        <w:rPr>
          <w:rFonts w:ascii="Times New Roman" w:eastAsia="Times New Roman"/>
        </w:rPr>
        <w:t>AE</w:t>
      </w:r>
      <w:r>
        <w:rPr>
          <w:rFonts w:ascii="Times New Roman" w:eastAsia="Times New Roman"/>
          <w:spacing w:val="-14"/>
        </w:rPr>
        <w:t> </w:t>
      </w:r>
      <w:r>
        <w:rPr>
          <w:spacing w:val="-2"/>
        </w:rPr>
        <w:t>定义的事件。</w:t>
      </w:r>
    </w:p>
    <w:p>
      <w:pPr>
        <w:pStyle w:val="Heading2"/>
        <w:numPr>
          <w:ilvl w:val="2"/>
          <w:numId w:val="3"/>
        </w:numPr>
        <w:tabs>
          <w:tab w:pos="1373" w:val="left" w:leader="none"/>
        </w:tabs>
        <w:spacing w:line="240" w:lineRule="auto" w:before="284" w:after="0"/>
        <w:ind w:left="1373" w:right="0" w:hanging="1152"/>
        <w:jc w:val="left"/>
      </w:pPr>
      <w:bookmarkStart w:name="8.3.1 AE和SAE信息采集时限和频率" w:id="183"/>
      <w:bookmarkEnd w:id="183"/>
      <w:r>
        <w:rPr>
          <w:b w:val="0"/>
        </w:rPr>
      </w:r>
      <w:bookmarkStart w:name="_bookmark94" w:id="184"/>
      <w:bookmarkEnd w:id="184"/>
      <w:r>
        <w:rPr>
          <w:b w:val="0"/>
        </w:rPr>
      </w:r>
      <w:r>
        <w:rPr>
          <w:rFonts w:ascii="Times New Roman" w:eastAsia="Times New Roman"/>
          <w:spacing w:val="-2"/>
        </w:rPr>
        <w:t>AE</w:t>
      </w:r>
      <w:r>
        <w:rPr>
          <w:rFonts w:ascii="Times New Roman" w:eastAsia="Times New Roman"/>
          <w:spacing w:val="-8"/>
        </w:rPr>
        <w:t> </w:t>
      </w:r>
      <w:r>
        <w:rPr>
          <w:spacing w:val="-34"/>
        </w:rPr>
        <w:t>和 </w:t>
      </w:r>
      <w:r>
        <w:rPr>
          <w:rFonts w:ascii="Times New Roman" w:eastAsia="Times New Roman"/>
          <w:spacing w:val="-2"/>
        </w:rPr>
        <w:t>SAE</w:t>
      </w:r>
      <w:r>
        <w:rPr>
          <w:rFonts w:ascii="Times New Roman" w:eastAsia="Times New Roman"/>
          <w:spacing w:val="-8"/>
        </w:rPr>
        <w:t> </w:t>
      </w:r>
      <w:r>
        <w:rPr>
          <w:spacing w:val="-3"/>
        </w:rPr>
        <w:t>信息采集时限和频率</w:t>
      </w:r>
    </w:p>
    <w:p>
      <w:pPr>
        <w:pStyle w:val="BodyText"/>
        <w:spacing w:before="121"/>
        <w:ind w:left="701"/>
      </w:pPr>
      <w:r>
        <w:rPr>
          <w:spacing w:val="-2"/>
        </w:rPr>
        <w:t>从随机（</w:t>
      </w:r>
      <w:r>
        <w:rPr>
          <w:rFonts w:ascii="Times New Roman" w:eastAsia="Times New Roman"/>
          <w:spacing w:val="-2"/>
        </w:rPr>
        <w:t>V1</w:t>
      </w:r>
      <w:r>
        <w:rPr>
          <w:spacing w:val="-2"/>
        </w:rPr>
        <w:t>）开始至整个治疗期间（包括随访期）</w:t>
      </w:r>
      <w:r>
        <w:rPr>
          <w:spacing w:val="-4"/>
        </w:rPr>
        <w:t>收集不良事件。</w:t>
      </w:r>
    </w:p>
    <w:p>
      <w:pPr>
        <w:pStyle w:val="BodyText"/>
        <w:spacing w:line="276" w:lineRule="auto" w:before="285"/>
        <w:ind w:right="358" w:firstLine="480"/>
      </w:pPr>
      <w:r>
        <w:rPr>
          <w:spacing w:val="-16"/>
        </w:rPr>
        <w:t>从签署 </w:t>
      </w:r>
      <w:r>
        <w:rPr>
          <w:rFonts w:ascii="Times New Roman" w:eastAsia="Times New Roman"/>
        </w:rPr>
        <w:t>ICF</w:t>
      </w:r>
      <w:r>
        <w:rPr>
          <w:rFonts w:ascii="Times New Roman" w:eastAsia="Times New Roman"/>
          <w:spacing w:val="-15"/>
        </w:rPr>
        <w:t> </w:t>
      </w:r>
      <w:r>
        <w:rPr/>
        <w:t>开始至整个研究期间，将在前身研究和</w:t>
      </w:r>
      <w:r>
        <w:rPr>
          <w:rFonts w:ascii="Times New Roman" w:eastAsia="Times New Roman"/>
        </w:rPr>
        <w:t>/</w:t>
      </w:r>
      <w:r>
        <w:rPr>
          <w:spacing w:val="55"/>
        </w:rPr>
        <w:t>或</w:t>
      </w:r>
      <w:r>
        <w:rPr>
          <w:rFonts w:ascii="Times New Roman" w:eastAsia="Times New Roman"/>
        </w:rPr>
        <w:t>PROSPERO</w:t>
      </w:r>
      <w:r>
        <w:rPr>
          <w:rFonts w:ascii="Times New Roman" w:eastAsia="Times New Roman"/>
          <w:spacing w:val="-15"/>
        </w:rPr>
        <w:t> </w:t>
      </w:r>
      <w:r>
        <w:rPr>
          <w:spacing w:val="27"/>
        </w:rPr>
        <w:t>研究</w:t>
      </w:r>
      <w:r>
        <w:rPr>
          <w:rFonts w:ascii="Times New Roman" w:eastAsia="Times New Roman"/>
        </w:rPr>
        <w:t>eCRF</w:t>
      </w:r>
      <w:r>
        <w:rPr>
          <w:rFonts w:ascii="Times New Roman" w:eastAsia="Times New Roman"/>
          <w:spacing w:val="-15"/>
        </w:rPr>
        <w:t> </w:t>
      </w:r>
      <w:r>
        <w:rPr/>
        <w:t>中</w:t>
      </w:r>
      <w:r>
        <w:rPr>
          <w:spacing w:val="-14"/>
        </w:rPr>
        <w:t>收集 </w:t>
      </w:r>
      <w:r>
        <w:rPr>
          <w:rFonts w:ascii="Times New Roman" w:eastAsia="Times New Roman"/>
        </w:rPr>
        <w:t>SAE</w:t>
      </w:r>
      <w:r>
        <w:rPr/>
        <w:t>。</w:t>
      </w:r>
    </w:p>
    <w:p>
      <w:pPr>
        <w:pStyle w:val="BodyText"/>
        <w:spacing w:line="276" w:lineRule="auto" w:before="239"/>
        <w:ind w:right="357" w:firstLine="480"/>
        <w:jc w:val="both"/>
      </w:pPr>
      <w:r>
        <w:rPr>
          <w:spacing w:val="-15"/>
        </w:rPr>
        <w:t>在 </w:t>
      </w:r>
      <w:r>
        <w:rPr>
          <w:rFonts w:ascii="Times New Roman" w:eastAsia="Times New Roman"/>
        </w:rPr>
        <w:t>PROSPERO</w:t>
      </w:r>
      <w:r>
        <w:rPr>
          <w:rFonts w:ascii="Times New Roman" w:eastAsia="Times New Roman"/>
          <w:spacing w:val="-2"/>
        </w:rPr>
        <w:t> </w:t>
      </w:r>
      <w:r>
        <w:rPr>
          <w:spacing w:val="-2"/>
        </w:rPr>
        <w:t>研究的随机和首次给药之前，将作为前身研究的一部分收集 </w:t>
      </w:r>
      <w:r>
        <w:rPr>
          <w:rFonts w:ascii="Times New Roman" w:eastAsia="Times New Roman"/>
        </w:rPr>
        <w:t>AE</w:t>
      </w:r>
      <w:r>
        <w:rPr>
          <w:spacing w:val="-15"/>
        </w:rPr>
        <w:t>和 </w:t>
      </w:r>
      <w:r>
        <w:rPr>
          <w:rFonts w:ascii="Times New Roman" w:eastAsia="Times New Roman"/>
        </w:rPr>
        <w:t>SAE</w:t>
      </w:r>
      <w:r>
        <w:rPr>
          <w:rFonts w:ascii="Times New Roman" w:eastAsia="Times New Roman"/>
          <w:spacing w:val="-15"/>
        </w:rPr>
        <w:t> </w:t>
      </w:r>
      <w:r>
        <w:rPr>
          <w:spacing w:val="8"/>
        </w:rPr>
        <w:t>， 并且应在前身研究的 </w:t>
      </w:r>
      <w:r>
        <w:rPr>
          <w:rFonts w:ascii="Times New Roman" w:eastAsia="Times New Roman"/>
        </w:rPr>
        <w:t>eCRF</w:t>
      </w:r>
      <w:r>
        <w:rPr>
          <w:rFonts w:ascii="Times New Roman" w:eastAsia="Times New Roman"/>
          <w:spacing w:val="40"/>
        </w:rPr>
        <w:t> </w:t>
      </w:r>
      <w:r>
        <w:rPr>
          <w:spacing w:val="21"/>
        </w:rPr>
        <w:t>中进行记录和更新。如果在随机分配至</w:t>
      </w:r>
      <w:r>
        <w:rPr/>
        <w:t> </w:t>
      </w:r>
      <w:r>
        <w:rPr>
          <w:rFonts w:ascii="Times New Roman" w:eastAsia="Times New Roman"/>
        </w:rPr>
        <w:t>PROSPERO</w:t>
      </w:r>
      <w:r>
        <w:rPr>
          <w:rFonts w:ascii="Times New Roman" w:eastAsia="Times New Roman"/>
          <w:spacing w:val="-15"/>
        </w:rPr>
        <w:t> </w:t>
      </w:r>
      <w:r>
        <w:rPr>
          <w:spacing w:val="-4"/>
        </w:rPr>
        <w:t>时前身研究中的 </w:t>
      </w:r>
      <w:r>
        <w:rPr>
          <w:rFonts w:ascii="Times New Roman" w:eastAsia="Times New Roman"/>
        </w:rPr>
        <w:t>AE</w:t>
      </w:r>
      <w:r>
        <w:rPr>
          <w:rFonts w:ascii="Times New Roman" w:eastAsia="Times New Roman"/>
          <w:spacing w:val="-12"/>
        </w:rPr>
        <w:t> </w:t>
      </w:r>
      <w:r>
        <w:rPr>
          <w:spacing w:val="-15"/>
        </w:rPr>
        <w:t>和 </w:t>
      </w:r>
      <w:r>
        <w:rPr>
          <w:rFonts w:ascii="Times New Roman" w:eastAsia="Times New Roman"/>
        </w:rPr>
        <w:t>SAE </w:t>
      </w:r>
      <w:r>
        <w:rPr>
          <w:spacing w:val="-3"/>
        </w:rPr>
        <w:t>未缓解，则也将其记录在 </w:t>
      </w:r>
      <w:r>
        <w:rPr>
          <w:rFonts w:ascii="Times New Roman" w:eastAsia="Times New Roman"/>
        </w:rPr>
        <w:t>PROSPERO </w:t>
      </w:r>
      <w:r>
        <w:rPr/>
        <w:t>研究</w:t>
      </w:r>
      <w:r>
        <w:rPr>
          <w:spacing w:val="-12"/>
        </w:rPr>
        <w:t>的 </w:t>
      </w:r>
      <w:r>
        <w:rPr>
          <w:rFonts w:ascii="Times New Roman" w:eastAsia="Times New Roman"/>
        </w:rPr>
        <w:t>eCRF </w:t>
      </w:r>
      <w:r>
        <w:rPr/>
        <w:t>中。</w:t>
      </w:r>
    </w:p>
    <w:p>
      <w:pPr>
        <w:pStyle w:val="BodyText"/>
        <w:spacing w:line="276" w:lineRule="auto" w:before="236"/>
        <w:ind w:right="357" w:firstLine="480"/>
      </w:pPr>
      <w:r>
        <w:rPr>
          <w:spacing w:val="-2"/>
        </w:rPr>
        <w:t>如果研究者获悉由其治疗的受试者在临床研究结束后发生疑似与任何 </w:t>
      </w:r>
      <w:r>
        <w:rPr>
          <w:rFonts w:ascii="Times New Roman" w:eastAsia="Times New Roman"/>
        </w:rPr>
        <w:t>IP</w:t>
      </w:r>
      <w:r>
        <w:rPr>
          <w:rFonts w:ascii="Times New Roman" w:eastAsia="Times New Roman"/>
          <w:spacing w:val="-15"/>
        </w:rPr>
        <w:t> </w:t>
      </w:r>
      <w:r>
        <w:rPr/>
        <w:t>存在因</w:t>
      </w:r>
      <w:r>
        <w:rPr>
          <w:spacing w:val="-5"/>
        </w:rPr>
        <w:t>果关系的 </w:t>
      </w:r>
      <w:r>
        <w:rPr>
          <w:rFonts w:ascii="Times New Roman" w:eastAsia="Times New Roman"/>
        </w:rPr>
        <w:t>SAE</w:t>
      </w:r>
      <w:r>
        <w:rPr>
          <w:spacing w:val="-2"/>
        </w:rPr>
        <w:t>，则研究者应立即向申办者报告该 </w:t>
      </w:r>
      <w:r>
        <w:rPr>
          <w:rFonts w:ascii="Times New Roman" w:eastAsia="Times New Roman"/>
        </w:rPr>
        <w:t>SAE</w:t>
      </w:r>
      <w:r>
        <w:rPr/>
        <w:t>。</w:t>
      </w:r>
    </w:p>
    <w:p>
      <w:pPr>
        <w:pStyle w:val="Heading2"/>
        <w:numPr>
          <w:ilvl w:val="2"/>
          <w:numId w:val="3"/>
        </w:numPr>
        <w:tabs>
          <w:tab w:pos="1373" w:val="left" w:leader="none"/>
        </w:tabs>
        <w:spacing w:line="240" w:lineRule="auto" w:before="237" w:after="0"/>
        <w:ind w:left="1373" w:right="0" w:hanging="1152"/>
        <w:jc w:val="left"/>
      </w:pPr>
      <w:bookmarkStart w:name="8.3.2 AE和SAE随访" w:id="185"/>
      <w:bookmarkEnd w:id="185"/>
      <w:r>
        <w:rPr>
          <w:b w:val="0"/>
        </w:rPr>
      </w:r>
      <w:bookmarkStart w:name="_bookmark95" w:id="186"/>
      <w:bookmarkEnd w:id="186"/>
      <w:r>
        <w:rPr>
          <w:b w:val="0"/>
        </w:rPr>
      </w:r>
      <w:r>
        <w:rPr>
          <w:rFonts w:ascii="Times New Roman" w:eastAsia="Times New Roman"/>
        </w:rPr>
        <w:t>AE</w:t>
      </w:r>
      <w:r>
        <w:rPr>
          <w:rFonts w:ascii="Times New Roman" w:eastAsia="Times New Roman"/>
          <w:spacing w:val="-15"/>
        </w:rPr>
        <w:t> </w:t>
      </w:r>
      <w:r>
        <w:rPr>
          <w:spacing w:val="-33"/>
        </w:rPr>
        <w:t>和 </w:t>
      </w:r>
      <w:r>
        <w:rPr>
          <w:rFonts w:ascii="Times New Roman" w:eastAsia="Times New Roman"/>
        </w:rPr>
        <w:t>SAE</w:t>
      </w:r>
      <w:r>
        <w:rPr>
          <w:rFonts w:ascii="Times New Roman" w:eastAsia="Times New Roman"/>
          <w:spacing w:val="-12"/>
        </w:rPr>
        <w:t> </w:t>
      </w:r>
      <w:r>
        <w:rPr>
          <w:spacing w:val="-5"/>
        </w:rPr>
        <w:t>随访</w:t>
      </w:r>
    </w:p>
    <w:p>
      <w:pPr>
        <w:pStyle w:val="BodyText"/>
        <w:spacing w:line="276" w:lineRule="auto" w:before="121"/>
        <w:ind w:right="357" w:firstLine="480"/>
        <w:jc w:val="both"/>
      </w:pPr>
      <w:r>
        <w:rPr>
          <w:spacing w:val="-4"/>
        </w:rPr>
        <w:t>对于研究期间受试者最后一次 </w:t>
      </w:r>
      <w:r>
        <w:rPr>
          <w:rFonts w:ascii="Times New Roman" w:eastAsia="Times New Roman"/>
          <w:spacing w:val="-2"/>
        </w:rPr>
        <w:t>AE</w:t>
      </w:r>
      <w:r>
        <w:rPr>
          <w:rFonts w:ascii="Times New Roman" w:eastAsia="Times New Roman"/>
          <w:spacing w:val="-3"/>
        </w:rPr>
        <w:t> </w:t>
      </w:r>
      <w:r>
        <w:rPr>
          <w:spacing w:val="-5"/>
        </w:rPr>
        <w:t>评估时仍未缓解的 </w:t>
      </w:r>
      <w:r>
        <w:rPr>
          <w:rFonts w:ascii="Times New Roman" w:eastAsia="Times New Roman"/>
          <w:spacing w:val="-2"/>
        </w:rPr>
        <w:t>AE</w:t>
      </w:r>
      <w:r>
        <w:rPr>
          <w:spacing w:val="-2"/>
        </w:rPr>
        <w:t>，如有医学指征，研究</w:t>
      </w:r>
      <w:r>
        <w:rPr/>
        <w:t>者应持续随访，但不在 </w:t>
      </w:r>
      <w:r>
        <w:rPr>
          <w:rFonts w:ascii="Times New Roman" w:eastAsia="Times New Roman"/>
        </w:rPr>
        <w:t>eCRF </w:t>
      </w:r>
      <w:r>
        <w:rPr/>
        <w:t>中进行进一步记录。如果认为必要，申办者保留要求</w:t>
      </w:r>
      <w:r>
        <w:rPr>
          <w:spacing w:val="-2"/>
        </w:rPr>
        <w:t>获得在研究结束时正在发生 </w:t>
      </w:r>
      <w:r>
        <w:rPr>
          <w:rFonts w:ascii="Times New Roman" w:eastAsia="Times New Roman"/>
        </w:rPr>
        <w:t>AE/SAE </w:t>
      </w:r>
      <w:r>
        <w:rPr/>
        <w:t>的任何受试者额外信息的权利。</w:t>
      </w:r>
    </w:p>
    <w:p>
      <w:pPr>
        <w:pStyle w:val="Heading3"/>
        <w:spacing w:before="237"/>
      </w:pPr>
      <w:r>
        <w:rPr>
          <w:spacing w:val="-5"/>
        </w:rPr>
        <w:t>不良事件变量</w:t>
      </w:r>
    </w:p>
    <w:p>
      <w:pPr>
        <w:pStyle w:val="BodyText"/>
        <w:spacing w:before="120"/>
        <w:ind w:left="701"/>
      </w:pPr>
      <w:r>
        <w:rPr>
          <w:spacing w:val="-12"/>
        </w:rPr>
        <w:t>将收集各 </w:t>
      </w:r>
      <w:r>
        <w:rPr>
          <w:rFonts w:ascii="Times New Roman" w:eastAsia="Times New Roman"/>
        </w:rPr>
        <w:t>AE</w:t>
      </w:r>
      <w:r>
        <w:rPr>
          <w:rFonts w:ascii="Times New Roman" w:eastAsia="Times New Roman"/>
          <w:spacing w:val="-14"/>
        </w:rPr>
        <w:t> </w:t>
      </w:r>
      <w:r>
        <w:rPr>
          <w:spacing w:val="-2"/>
        </w:rPr>
        <w:t>的下列变量：</w:t>
      </w:r>
    </w:p>
    <w:p>
      <w:pPr>
        <w:pStyle w:val="ListParagraph"/>
        <w:numPr>
          <w:ilvl w:val="0"/>
          <w:numId w:val="41"/>
        </w:numPr>
        <w:tabs>
          <w:tab w:pos="646" w:val="left" w:leader="none"/>
        </w:tabs>
        <w:spacing w:line="240" w:lineRule="auto" w:before="285" w:after="0"/>
        <w:ind w:left="646" w:right="357" w:hanging="425"/>
        <w:jc w:val="left"/>
        <w:rPr>
          <w:sz w:val="24"/>
        </w:rPr>
      </w:pPr>
      <w:r>
        <w:rPr>
          <w:sz w:val="24"/>
        </w:rPr>
        <w:t>不良事件（报告术语）</w:t>
      </w:r>
      <w:r>
        <w:rPr>
          <w:spacing w:val="-8"/>
          <w:sz w:val="24"/>
        </w:rPr>
        <w:t>。注：对于 </w:t>
      </w:r>
      <w:r>
        <w:rPr>
          <w:rFonts w:ascii="Times New Roman" w:hAnsi="Times New Roman" w:eastAsia="Times New Roman"/>
          <w:sz w:val="24"/>
        </w:rPr>
        <w:t>COVID</w:t>
      </w:r>
      <w:r>
        <w:rPr>
          <w:rFonts w:ascii="Times New Roman" w:hAnsi="Times New Roman" w:eastAsia="Times New Roman"/>
          <w:spacing w:val="-15"/>
          <w:sz w:val="24"/>
        </w:rPr>
        <w:t> </w:t>
      </w:r>
      <w:r>
        <w:rPr>
          <w:sz w:val="24"/>
        </w:rPr>
        <w:t>相关事件，研究者应在报告术语中添</w:t>
      </w:r>
      <w:r>
        <w:rPr>
          <w:spacing w:val="-2"/>
          <w:sz w:val="24"/>
        </w:rPr>
        <w:t>加“</w:t>
      </w:r>
      <w:r>
        <w:rPr>
          <w:rFonts w:ascii="Times New Roman" w:hAnsi="Times New Roman" w:eastAsia="Times New Roman"/>
          <w:spacing w:val="-2"/>
          <w:sz w:val="24"/>
        </w:rPr>
        <w:t>COVID</w:t>
      </w:r>
      <w:r>
        <w:rPr>
          <w:spacing w:val="-2"/>
          <w:sz w:val="24"/>
        </w:rPr>
        <w:t>”。</w:t>
      </w:r>
    </w:p>
    <w:p>
      <w:pPr>
        <w:pStyle w:val="ListParagraph"/>
        <w:numPr>
          <w:ilvl w:val="0"/>
          <w:numId w:val="41"/>
        </w:numPr>
        <w:tabs>
          <w:tab w:pos="646" w:val="left" w:leader="none"/>
        </w:tabs>
        <w:spacing w:line="240" w:lineRule="auto" w:before="60" w:after="0"/>
        <w:ind w:left="646" w:right="0" w:hanging="425"/>
        <w:jc w:val="left"/>
        <w:rPr>
          <w:sz w:val="24"/>
        </w:rPr>
      </w:pPr>
      <w:r>
        <w:rPr>
          <w:rFonts w:ascii="Times New Roman" w:hAnsi="Times New Roman" w:eastAsia="Times New Roman"/>
          <w:sz w:val="24"/>
        </w:rPr>
        <w:t>AE</w:t>
      </w:r>
      <w:r>
        <w:rPr>
          <w:rFonts w:ascii="Times New Roman" w:hAnsi="Times New Roman" w:eastAsia="Times New Roman"/>
          <w:spacing w:val="-13"/>
          <w:sz w:val="24"/>
        </w:rPr>
        <w:t> </w:t>
      </w:r>
      <w:r>
        <w:rPr>
          <w:spacing w:val="-2"/>
          <w:sz w:val="24"/>
        </w:rPr>
        <w:t>起止日期和时间</w:t>
      </w:r>
    </w:p>
    <w:p>
      <w:pPr>
        <w:pStyle w:val="ListParagraph"/>
        <w:numPr>
          <w:ilvl w:val="0"/>
          <w:numId w:val="41"/>
        </w:numPr>
        <w:tabs>
          <w:tab w:pos="646" w:val="left" w:leader="none"/>
        </w:tabs>
        <w:spacing w:line="240" w:lineRule="auto" w:before="58" w:after="0"/>
        <w:ind w:left="646" w:right="0" w:hanging="425"/>
        <w:jc w:val="left"/>
        <w:rPr>
          <w:sz w:val="24"/>
        </w:rPr>
      </w:pPr>
      <w:r>
        <w:rPr>
          <w:spacing w:val="-3"/>
          <w:sz w:val="24"/>
        </w:rPr>
        <w:t>严重程度</w:t>
      </w:r>
    </w:p>
    <w:p>
      <w:pPr>
        <w:pStyle w:val="ListParagraph"/>
        <w:numPr>
          <w:ilvl w:val="0"/>
          <w:numId w:val="41"/>
        </w:numPr>
        <w:tabs>
          <w:tab w:pos="646" w:val="left" w:leader="none"/>
        </w:tabs>
        <w:spacing w:line="240" w:lineRule="auto" w:before="59" w:after="0"/>
        <w:ind w:left="646" w:right="0" w:hanging="425"/>
        <w:jc w:val="left"/>
        <w:rPr>
          <w:sz w:val="24"/>
        </w:rPr>
      </w:pPr>
      <w:r>
        <w:rPr>
          <w:spacing w:val="-30"/>
          <w:sz w:val="24"/>
        </w:rPr>
        <w:t>该 </w:t>
      </w:r>
      <w:r>
        <w:rPr>
          <w:rFonts w:ascii="Times New Roman" w:hAnsi="Times New Roman" w:eastAsia="Times New Roman"/>
          <w:sz w:val="24"/>
        </w:rPr>
        <w:t>AE</w:t>
      </w:r>
      <w:r>
        <w:rPr>
          <w:rFonts w:ascii="Times New Roman" w:hAnsi="Times New Roman" w:eastAsia="Times New Roman"/>
          <w:spacing w:val="-14"/>
          <w:sz w:val="24"/>
        </w:rPr>
        <w:t> </w:t>
      </w:r>
      <w:r>
        <w:rPr>
          <w:spacing w:val="-2"/>
          <w:sz w:val="24"/>
        </w:rPr>
        <w:t>是否是严重事件</w:t>
      </w:r>
    </w:p>
    <w:p>
      <w:pPr>
        <w:pStyle w:val="ListParagraph"/>
        <w:numPr>
          <w:ilvl w:val="0"/>
          <w:numId w:val="41"/>
        </w:numPr>
        <w:tabs>
          <w:tab w:pos="646" w:val="left" w:leader="none"/>
        </w:tabs>
        <w:spacing w:line="240" w:lineRule="auto" w:before="60" w:after="0"/>
        <w:ind w:left="646" w:right="0" w:hanging="425"/>
        <w:jc w:val="left"/>
        <w:rPr>
          <w:sz w:val="24"/>
        </w:rPr>
      </w:pPr>
      <w:r>
        <w:rPr>
          <w:spacing w:val="-10"/>
          <w:sz w:val="24"/>
        </w:rPr>
        <w:t>研究者评价 </w:t>
      </w:r>
      <w:r>
        <w:rPr>
          <w:rFonts w:ascii="Times New Roman" w:hAnsi="Times New Roman" w:eastAsia="Times New Roman"/>
          <w:sz w:val="24"/>
        </w:rPr>
        <w:t>AE</w:t>
      </w:r>
      <w:r>
        <w:rPr>
          <w:rFonts w:ascii="Times New Roman" w:hAnsi="Times New Roman" w:eastAsia="Times New Roman"/>
          <w:spacing w:val="-14"/>
          <w:sz w:val="24"/>
        </w:rPr>
        <w:t> </w:t>
      </w:r>
      <w:r>
        <w:rPr>
          <w:spacing w:val="-30"/>
          <w:sz w:val="24"/>
        </w:rPr>
        <w:t>与 </w:t>
      </w:r>
      <w:r>
        <w:rPr>
          <w:rFonts w:ascii="Times New Roman" w:hAnsi="Times New Roman" w:eastAsia="Times New Roman"/>
          <w:sz w:val="24"/>
        </w:rPr>
        <w:t>IP</w:t>
      </w:r>
      <w:r>
        <w:rPr>
          <w:rFonts w:ascii="Times New Roman" w:hAnsi="Times New Roman" w:eastAsia="Times New Roman"/>
          <w:spacing w:val="-13"/>
          <w:sz w:val="24"/>
        </w:rPr>
        <w:t> </w:t>
      </w:r>
      <w:r>
        <w:rPr>
          <w:sz w:val="24"/>
        </w:rPr>
        <w:t>之间的因果关系（是或否</w:t>
      </w:r>
      <w:r>
        <w:rPr>
          <w:spacing w:val="-12"/>
          <w:sz w:val="24"/>
        </w:rPr>
        <w:t>）</w:t>
      </w:r>
    </w:p>
    <w:p>
      <w:pPr>
        <w:pStyle w:val="ListParagraph"/>
        <w:numPr>
          <w:ilvl w:val="0"/>
          <w:numId w:val="41"/>
        </w:numPr>
        <w:tabs>
          <w:tab w:pos="646" w:val="left" w:leader="none"/>
        </w:tabs>
        <w:spacing w:line="240" w:lineRule="auto" w:before="59" w:after="0"/>
        <w:ind w:left="646" w:right="0" w:hanging="425"/>
        <w:jc w:val="left"/>
        <w:rPr>
          <w:sz w:val="24"/>
        </w:rPr>
      </w:pPr>
      <w:r>
        <w:rPr>
          <w:spacing w:val="-20"/>
          <w:sz w:val="24"/>
        </w:rPr>
        <w:t>针对 </w:t>
      </w:r>
      <w:r>
        <w:rPr>
          <w:rFonts w:ascii="Times New Roman" w:hAnsi="Times New Roman" w:eastAsia="Times New Roman"/>
          <w:sz w:val="24"/>
        </w:rPr>
        <w:t>IP</w:t>
      </w:r>
      <w:r>
        <w:rPr>
          <w:rFonts w:ascii="Times New Roman" w:hAnsi="Times New Roman" w:eastAsia="Times New Roman"/>
          <w:spacing w:val="-13"/>
          <w:sz w:val="24"/>
        </w:rPr>
        <w:t> </w:t>
      </w:r>
      <w:r>
        <w:rPr>
          <w:spacing w:val="-2"/>
          <w:sz w:val="24"/>
        </w:rPr>
        <w:t>所采取的措施</w:t>
      </w:r>
    </w:p>
    <w:p>
      <w:pPr>
        <w:pStyle w:val="ListParagraph"/>
        <w:numPr>
          <w:ilvl w:val="0"/>
          <w:numId w:val="41"/>
        </w:numPr>
        <w:tabs>
          <w:tab w:pos="646" w:val="left" w:leader="none"/>
        </w:tabs>
        <w:spacing w:line="240" w:lineRule="auto" w:before="60" w:after="0"/>
        <w:ind w:left="646" w:right="0" w:hanging="425"/>
        <w:jc w:val="left"/>
        <w:rPr>
          <w:sz w:val="24"/>
        </w:rPr>
      </w:pPr>
      <w:r>
        <w:rPr>
          <w:sz w:val="24"/>
        </w:rPr>
        <w:t>不良事件是否导致受试者退出研究（是或否</w:t>
      </w:r>
      <w:r>
        <w:rPr>
          <w:spacing w:val="-10"/>
          <w:sz w:val="24"/>
        </w:rPr>
        <w:t>）</w:t>
      </w:r>
    </w:p>
    <w:p>
      <w:pPr>
        <w:pStyle w:val="ListParagraph"/>
        <w:numPr>
          <w:ilvl w:val="0"/>
          <w:numId w:val="41"/>
        </w:numPr>
        <w:tabs>
          <w:tab w:pos="646" w:val="left" w:leader="none"/>
        </w:tabs>
        <w:spacing w:line="240" w:lineRule="auto" w:before="59" w:after="0"/>
        <w:ind w:left="646" w:right="0" w:hanging="425"/>
        <w:jc w:val="left"/>
        <w:rPr>
          <w:sz w:val="24"/>
        </w:rPr>
      </w:pPr>
      <w:r>
        <w:rPr>
          <w:spacing w:val="-5"/>
          <w:sz w:val="24"/>
        </w:rPr>
        <w:t>结局</w:t>
      </w:r>
    </w:p>
    <w:p>
      <w:pPr>
        <w:pStyle w:val="BodyText"/>
        <w:spacing w:before="23"/>
        <w:ind w:left="0"/>
      </w:pPr>
    </w:p>
    <w:p>
      <w:pPr>
        <w:pStyle w:val="BodyText"/>
        <w:ind w:left="701"/>
      </w:pPr>
      <w:r>
        <w:rPr>
          <w:spacing w:val="-9"/>
        </w:rPr>
        <w:t>另外，将收集 </w:t>
      </w:r>
      <w:r>
        <w:rPr>
          <w:rFonts w:ascii="Times New Roman" w:eastAsia="Times New Roman"/>
        </w:rPr>
        <w:t>SAE</w:t>
      </w:r>
      <w:r>
        <w:rPr>
          <w:rFonts w:ascii="Times New Roman" w:eastAsia="Times New Roman"/>
          <w:spacing w:val="-15"/>
        </w:rPr>
        <w:t> </w:t>
      </w:r>
      <w:r>
        <w:rPr>
          <w:spacing w:val="-2"/>
        </w:rPr>
        <w:t>的以下变量：</w:t>
      </w:r>
    </w:p>
    <w:p>
      <w:pPr>
        <w:pStyle w:val="ListParagraph"/>
        <w:numPr>
          <w:ilvl w:val="0"/>
          <w:numId w:val="41"/>
        </w:numPr>
        <w:tabs>
          <w:tab w:pos="646" w:val="left" w:leader="none"/>
        </w:tabs>
        <w:spacing w:line="240" w:lineRule="auto" w:before="287" w:after="0"/>
        <w:ind w:left="646" w:right="0" w:hanging="425"/>
        <w:jc w:val="left"/>
        <w:rPr>
          <w:sz w:val="24"/>
        </w:rPr>
      </w:pPr>
      <w:r>
        <w:rPr>
          <w:rFonts w:ascii="Times New Roman" w:hAnsi="Times New Roman" w:eastAsia="Times New Roman"/>
          <w:sz w:val="24"/>
        </w:rPr>
        <w:t>AE</w:t>
      </w:r>
      <w:r>
        <w:rPr>
          <w:rFonts w:ascii="Times New Roman" w:hAnsi="Times New Roman" w:eastAsia="Times New Roman"/>
          <w:spacing w:val="-14"/>
          <w:sz w:val="24"/>
        </w:rPr>
        <w:t> </w:t>
      </w:r>
      <w:r>
        <w:rPr>
          <w:spacing w:val="-20"/>
          <w:sz w:val="24"/>
        </w:rPr>
        <w:t>符合 </w:t>
      </w:r>
      <w:r>
        <w:rPr>
          <w:rFonts w:ascii="Times New Roman" w:hAnsi="Times New Roman" w:eastAsia="Times New Roman"/>
          <w:sz w:val="24"/>
        </w:rPr>
        <w:t>SAE</w:t>
      </w:r>
      <w:r>
        <w:rPr>
          <w:rFonts w:ascii="Times New Roman" w:hAnsi="Times New Roman" w:eastAsia="Times New Roman"/>
          <w:spacing w:val="-13"/>
          <w:sz w:val="24"/>
        </w:rPr>
        <w:t> </w:t>
      </w:r>
      <w:r>
        <w:rPr>
          <w:spacing w:val="-2"/>
          <w:sz w:val="24"/>
        </w:rPr>
        <w:t>标准的日期</w:t>
      </w:r>
    </w:p>
    <w:p>
      <w:pPr>
        <w:pStyle w:val="ListParagraph"/>
        <w:numPr>
          <w:ilvl w:val="0"/>
          <w:numId w:val="41"/>
        </w:numPr>
        <w:tabs>
          <w:tab w:pos="646" w:val="left" w:leader="none"/>
        </w:tabs>
        <w:spacing w:line="240" w:lineRule="auto" w:before="59" w:after="0"/>
        <w:ind w:left="646" w:right="0" w:hanging="425"/>
        <w:jc w:val="left"/>
        <w:rPr>
          <w:sz w:val="24"/>
        </w:rPr>
      </w:pPr>
      <w:r>
        <w:rPr>
          <w:spacing w:val="-10"/>
          <w:sz w:val="24"/>
        </w:rPr>
        <w:t>研究者获知 </w:t>
      </w:r>
      <w:r>
        <w:rPr>
          <w:rFonts w:ascii="Times New Roman" w:hAnsi="Times New Roman" w:eastAsia="Times New Roman"/>
          <w:sz w:val="24"/>
        </w:rPr>
        <w:t>SAE</w:t>
      </w:r>
      <w:r>
        <w:rPr>
          <w:rFonts w:ascii="Times New Roman" w:hAnsi="Times New Roman" w:eastAsia="Times New Roman"/>
          <w:spacing w:val="-15"/>
          <w:sz w:val="24"/>
        </w:rPr>
        <w:t> </w:t>
      </w:r>
      <w:r>
        <w:rPr>
          <w:spacing w:val="-4"/>
          <w:sz w:val="24"/>
        </w:rPr>
        <w:t>的日期</w:t>
      </w:r>
    </w:p>
    <w:p>
      <w:pPr>
        <w:spacing w:after="0" w:line="240" w:lineRule="auto"/>
        <w:jc w:val="left"/>
        <w:rPr>
          <w:sz w:val="24"/>
        </w:rPr>
        <w:sectPr>
          <w:pgSz w:w="11910" w:h="16840"/>
          <w:pgMar w:header="590" w:footer="784" w:top="1340" w:bottom="980" w:left="1480" w:right="1080"/>
        </w:sectPr>
      </w:pPr>
    </w:p>
    <w:p>
      <w:pPr>
        <w:pStyle w:val="ListParagraph"/>
        <w:numPr>
          <w:ilvl w:val="0"/>
          <w:numId w:val="41"/>
        </w:numPr>
        <w:tabs>
          <w:tab w:pos="646" w:val="left" w:leader="none"/>
        </w:tabs>
        <w:spacing w:line="240" w:lineRule="auto" w:before="88" w:after="0"/>
        <w:ind w:left="646" w:right="0" w:hanging="425"/>
        <w:jc w:val="left"/>
        <w:rPr>
          <w:sz w:val="24"/>
        </w:rPr>
      </w:pPr>
      <w:r>
        <w:rPr>
          <w:spacing w:val="-1"/>
          <w:sz w:val="24"/>
        </w:rPr>
        <w:t>导致不良事件为严重的原因</w:t>
      </w:r>
    </w:p>
    <w:p>
      <w:pPr>
        <w:pStyle w:val="ListParagraph"/>
        <w:numPr>
          <w:ilvl w:val="0"/>
          <w:numId w:val="41"/>
        </w:numPr>
        <w:tabs>
          <w:tab w:pos="646" w:val="left" w:leader="none"/>
        </w:tabs>
        <w:spacing w:line="240" w:lineRule="auto" w:before="58" w:after="0"/>
        <w:ind w:left="646" w:right="0" w:hanging="425"/>
        <w:jc w:val="left"/>
        <w:rPr>
          <w:sz w:val="24"/>
        </w:rPr>
      </w:pPr>
      <w:r>
        <w:rPr>
          <w:spacing w:val="-3"/>
          <w:sz w:val="24"/>
        </w:rPr>
        <w:t>住院日期</w:t>
      </w:r>
    </w:p>
    <w:p>
      <w:pPr>
        <w:pStyle w:val="ListParagraph"/>
        <w:numPr>
          <w:ilvl w:val="0"/>
          <w:numId w:val="41"/>
        </w:numPr>
        <w:tabs>
          <w:tab w:pos="646" w:val="left" w:leader="none"/>
        </w:tabs>
        <w:spacing w:line="240" w:lineRule="auto" w:before="60" w:after="0"/>
        <w:ind w:left="646" w:right="0" w:hanging="425"/>
        <w:jc w:val="left"/>
        <w:rPr>
          <w:sz w:val="24"/>
        </w:rPr>
      </w:pPr>
      <w:r>
        <w:rPr>
          <w:spacing w:val="-3"/>
          <w:sz w:val="24"/>
        </w:rPr>
        <w:t>出院日期</w:t>
      </w:r>
    </w:p>
    <w:p>
      <w:pPr>
        <w:pStyle w:val="ListParagraph"/>
        <w:numPr>
          <w:ilvl w:val="0"/>
          <w:numId w:val="41"/>
        </w:numPr>
        <w:tabs>
          <w:tab w:pos="646" w:val="left" w:leader="none"/>
        </w:tabs>
        <w:spacing w:line="240" w:lineRule="auto" w:before="60" w:after="0"/>
        <w:ind w:left="646" w:right="0" w:hanging="425"/>
        <w:jc w:val="left"/>
        <w:rPr>
          <w:sz w:val="24"/>
        </w:rPr>
      </w:pPr>
      <w:r>
        <w:rPr>
          <w:spacing w:val="-2"/>
          <w:sz w:val="24"/>
        </w:rPr>
        <w:t>很可能的死亡原因</w:t>
      </w:r>
    </w:p>
    <w:p>
      <w:pPr>
        <w:pStyle w:val="ListParagraph"/>
        <w:numPr>
          <w:ilvl w:val="0"/>
          <w:numId w:val="41"/>
        </w:numPr>
        <w:tabs>
          <w:tab w:pos="646" w:val="left" w:leader="none"/>
        </w:tabs>
        <w:spacing w:line="240" w:lineRule="auto" w:before="60" w:after="0"/>
        <w:ind w:left="646" w:right="0" w:hanging="425"/>
        <w:jc w:val="left"/>
        <w:rPr>
          <w:sz w:val="24"/>
        </w:rPr>
      </w:pPr>
      <w:r>
        <w:rPr>
          <w:spacing w:val="-3"/>
          <w:sz w:val="24"/>
        </w:rPr>
        <w:t>死亡日期</w:t>
      </w:r>
    </w:p>
    <w:p>
      <w:pPr>
        <w:pStyle w:val="ListParagraph"/>
        <w:numPr>
          <w:ilvl w:val="0"/>
          <w:numId w:val="41"/>
        </w:numPr>
        <w:tabs>
          <w:tab w:pos="646" w:val="left" w:leader="none"/>
        </w:tabs>
        <w:spacing w:line="240" w:lineRule="auto" w:before="58" w:after="0"/>
        <w:ind w:left="646" w:right="0" w:hanging="425"/>
        <w:jc w:val="left"/>
        <w:rPr>
          <w:sz w:val="24"/>
        </w:rPr>
      </w:pPr>
      <w:r>
        <w:rPr>
          <w:spacing w:val="-2"/>
          <w:sz w:val="24"/>
        </w:rPr>
        <w:t>是否进行尸检</w:t>
      </w:r>
    </w:p>
    <w:p>
      <w:pPr>
        <w:pStyle w:val="ListParagraph"/>
        <w:numPr>
          <w:ilvl w:val="0"/>
          <w:numId w:val="41"/>
        </w:numPr>
        <w:tabs>
          <w:tab w:pos="646" w:val="left" w:leader="none"/>
        </w:tabs>
        <w:spacing w:line="240" w:lineRule="auto" w:before="59" w:after="0"/>
        <w:ind w:left="646" w:right="0" w:hanging="425"/>
        <w:jc w:val="left"/>
        <w:rPr>
          <w:sz w:val="24"/>
        </w:rPr>
      </w:pPr>
      <w:r>
        <w:rPr>
          <w:spacing w:val="-1"/>
          <w:sz w:val="24"/>
        </w:rPr>
        <w:t>与研究步骤相关的因果关系评估</w:t>
      </w:r>
    </w:p>
    <w:p>
      <w:pPr>
        <w:pStyle w:val="ListParagraph"/>
        <w:numPr>
          <w:ilvl w:val="0"/>
          <w:numId w:val="41"/>
        </w:numPr>
        <w:tabs>
          <w:tab w:pos="646" w:val="left" w:leader="none"/>
        </w:tabs>
        <w:spacing w:line="240" w:lineRule="auto" w:before="60" w:after="0"/>
        <w:ind w:left="646" w:right="0" w:hanging="425"/>
        <w:jc w:val="left"/>
        <w:rPr>
          <w:sz w:val="24"/>
        </w:rPr>
      </w:pPr>
      <w:r>
        <w:rPr>
          <w:spacing w:val="-1"/>
          <w:sz w:val="24"/>
        </w:rPr>
        <w:t>对其他用药的因果关系评估</w:t>
      </w:r>
    </w:p>
    <w:p>
      <w:pPr>
        <w:pStyle w:val="BodyText"/>
        <w:spacing w:before="142"/>
        <w:ind w:left="0"/>
      </w:pPr>
    </w:p>
    <w:p>
      <w:pPr>
        <w:pStyle w:val="Heading2"/>
        <w:numPr>
          <w:ilvl w:val="2"/>
          <w:numId w:val="3"/>
        </w:numPr>
        <w:tabs>
          <w:tab w:pos="1373" w:val="left" w:leader="none"/>
        </w:tabs>
        <w:spacing w:line="240" w:lineRule="auto" w:before="0" w:after="0"/>
        <w:ind w:left="1373" w:right="0" w:hanging="1152"/>
        <w:jc w:val="left"/>
      </w:pPr>
      <w:bookmarkStart w:name="8.3.3 因果关系收集" w:id="187"/>
      <w:bookmarkEnd w:id="187"/>
      <w:r>
        <w:rPr>
          <w:b w:val="0"/>
        </w:rPr>
      </w:r>
      <w:bookmarkStart w:name="_bookmark96" w:id="188"/>
      <w:bookmarkEnd w:id="188"/>
      <w:r>
        <w:rPr>
          <w:b w:val="0"/>
        </w:rPr>
      </w:r>
      <w:r>
        <w:rPr>
          <w:spacing w:val="-5"/>
        </w:rPr>
        <w:t>因果关系收集</w:t>
      </w:r>
    </w:p>
    <w:p>
      <w:pPr>
        <w:pStyle w:val="BodyText"/>
        <w:spacing w:line="276" w:lineRule="auto" w:before="120"/>
        <w:ind w:right="359" w:firstLine="480"/>
        <w:jc w:val="both"/>
      </w:pPr>
      <w:r>
        <w:rPr/>
        <w:t>研究者应评估 </w:t>
      </w:r>
      <w:r>
        <w:rPr>
          <w:rFonts w:ascii="Times New Roman" w:hAnsi="Times New Roman" w:eastAsia="Times New Roman"/>
        </w:rPr>
        <w:t>IP </w:t>
      </w:r>
      <w:r>
        <w:rPr/>
        <w:t>与各 </w:t>
      </w:r>
      <w:r>
        <w:rPr>
          <w:rFonts w:ascii="Times New Roman" w:hAnsi="Times New Roman" w:eastAsia="Times New Roman"/>
        </w:rPr>
        <w:t>AE </w:t>
      </w:r>
      <w:r>
        <w:rPr/>
        <w:t>之间的因果关系，并用“是”或“否”来回答问题 </w:t>
      </w:r>
      <w:r>
        <w:rPr>
          <w:spacing w:val="-2"/>
        </w:rPr>
        <w:t>“您认为是否存在该事件由 </w:t>
      </w:r>
      <w:r>
        <w:rPr>
          <w:rFonts w:ascii="Times New Roman" w:hAnsi="Times New Roman" w:eastAsia="Times New Roman"/>
        </w:rPr>
        <w:t>IP </w:t>
      </w:r>
      <w:r>
        <w:rPr/>
        <w:t>所导致的合理可能性？”</w:t>
      </w:r>
    </w:p>
    <w:p>
      <w:pPr>
        <w:pStyle w:val="BodyText"/>
        <w:spacing w:line="276" w:lineRule="auto" w:before="239"/>
        <w:ind w:right="363" w:firstLine="480"/>
        <w:jc w:val="both"/>
      </w:pPr>
      <w:r>
        <w:rPr>
          <w:spacing w:val="-3"/>
        </w:rPr>
        <w:t>对于 </w:t>
      </w:r>
      <w:r>
        <w:rPr>
          <w:rFonts w:ascii="Times New Roman" w:hAnsi="Times New Roman" w:eastAsia="Times New Roman"/>
        </w:rPr>
        <w:t>SAE</w:t>
      </w:r>
      <w:r>
        <w:rPr/>
        <w:t>，还应评估与其他药物和研究步骤的因果关系。需要注意的是，对于</w:t>
      </w:r>
      <w:r>
        <w:rPr>
          <w:spacing w:val="-4"/>
        </w:rPr>
        <w:t>可能与任何研究步骤有关的 </w:t>
      </w:r>
      <w:r>
        <w:rPr>
          <w:rFonts w:ascii="Times New Roman" w:hAnsi="Times New Roman" w:eastAsia="Times New Roman"/>
        </w:rPr>
        <w:t>SAE</w:t>
      </w:r>
      <w:r>
        <w:rPr/>
        <w:t>，因果关系为“是”。</w:t>
      </w:r>
    </w:p>
    <w:p>
      <w:pPr>
        <w:pStyle w:val="BodyText"/>
        <w:spacing w:before="238"/>
        <w:ind w:left="701"/>
      </w:pPr>
      <w:r>
        <w:rPr>
          <w:spacing w:val="-5"/>
        </w:rPr>
        <w:t>解释因果关系问题的指南请见 </w:t>
      </w:r>
      <w:r>
        <w:rPr>
          <w:rFonts w:ascii="Times New Roman" w:eastAsia="Times New Roman"/>
        </w:rPr>
        <w:t>CSP</w:t>
      </w:r>
      <w:r>
        <w:rPr>
          <w:rFonts w:ascii="Times New Roman" w:eastAsia="Times New Roman"/>
          <w:spacing w:val="-14"/>
        </w:rPr>
        <w:t> </w:t>
      </w:r>
      <w:r>
        <w:rPr/>
        <w:t>的</w:t>
      </w:r>
      <w:hyperlink w:history="true" w:anchor="_bookmark150">
        <w:r>
          <w:rPr>
            <w:color w:val="0000FF"/>
            <w:spacing w:val="-20"/>
          </w:rPr>
          <w:t>附录 </w:t>
        </w:r>
        <w:r>
          <w:rPr>
            <w:rFonts w:ascii="Times New Roman" w:eastAsia="Times New Roman"/>
            <w:color w:val="0000FF"/>
          </w:rPr>
          <w:t>B</w:t>
        </w:r>
      </w:hyperlink>
      <w:r>
        <w:rPr>
          <w:spacing w:val="-10"/>
        </w:rPr>
        <w:t>。</w:t>
      </w:r>
    </w:p>
    <w:p>
      <w:pPr>
        <w:pStyle w:val="Heading2"/>
        <w:numPr>
          <w:ilvl w:val="2"/>
          <w:numId w:val="3"/>
        </w:numPr>
        <w:tabs>
          <w:tab w:pos="1371" w:val="left" w:leader="none"/>
        </w:tabs>
        <w:spacing w:line="240" w:lineRule="auto" w:before="284" w:after="0"/>
        <w:ind w:left="1371" w:right="0" w:hanging="1150"/>
        <w:jc w:val="both"/>
      </w:pPr>
      <w:bookmarkStart w:name="8.3.4 基于体征和症状的不良事件" w:id="189"/>
      <w:bookmarkEnd w:id="189"/>
      <w:r>
        <w:rPr>
          <w:b w:val="0"/>
        </w:rPr>
      </w:r>
      <w:bookmarkStart w:name="_bookmark97" w:id="190"/>
      <w:bookmarkEnd w:id="190"/>
      <w:r>
        <w:rPr>
          <w:b w:val="0"/>
        </w:rPr>
      </w:r>
      <w:r>
        <w:rPr>
          <w:spacing w:val="-5"/>
        </w:rPr>
        <w:t>基于体征和症状的不良事件</w:t>
      </w:r>
    </w:p>
    <w:p>
      <w:pPr>
        <w:pStyle w:val="BodyText"/>
        <w:spacing w:line="276" w:lineRule="auto" w:before="121"/>
        <w:ind w:right="357" w:firstLine="480"/>
        <w:jc w:val="both"/>
      </w:pPr>
      <w:r>
        <w:rPr/>
        <w:t>由受试者自发报告，或者受试者回答研究中心工作人员提出的开放式问题“自</w:t>
      </w:r>
      <w:r>
        <w:rPr>
          <w:spacing w:val="-2"/>
        </w:rPr>
        <w:t>上一次随访</w:t>
      </w:r>
      <w:r>
        <w:rPr>
          <w:rFonts w:ascii="Times New Roman" w:hAnsi="Times New Roman" w:eastAsia="Times New Roman"/>
          <w:spacing w:val="-2"/>
        </w:rPr>
        <w:t>/</w:t>
      </w:r>
      <w:r>
        <w:rPr>
          <w:spacing w:val="-2"/>
        </w:rPr>
        <w:t>上一次被询问以来你是否出现健康问题？”而报告的，或者通过观察发</w:t>
      </w:r>
      <w:r>
        <w:rPr>
          <w:spacing w:val="-8"/>
        </w:rPr>
        <w:t>现的所有 </w:t>
      </w:r>
      <w:r>
        <w:rPr>
          <w:rFonts w:ascii="Times New Roman" w:hAnsi="Times New Roman" w:eastAsia="Times New Roman"/>
          <w:spacing w:val="-2"/>
        </w:rPr>
        <w:t>AE</w:t>
      </w:r>
      <w:r>
        <w:rPr>
          <w:rFonts w:ascii="Times New Roman" w:hAnsi="Times New Roman" w:eastAsia="Times New Roman"/>
          <w:spacing w:val="-13"/>
        </w:rPr>
        <w:t> </w:t>
      </w:r>
      <w:r>
        <w:rPr>
          <w:spacing w:val="-4"/>
        </w:rPr>
        <w:t>都应收集并记录在源文件以及 </w:t>
      </w:r>
      <w:r>
        <w:rPr>
          <w:rFonts w:ascii="Times New Roman" w:hAnsi="Times New Roman" w:eastAsia="Times New Roman"/>
          <w:spacing w:val="-2"/>
        </w:rPr>
        <w:t>eCRF</w:t>
      </w:r>
      <w:r>
        <w:rPr>
          <w:rFonts w:ascii="Times New Roman" w:hAnsi="Times New Roman" w:eastAsia="Times New Roman"/>
          <w:spacing w:val="-13"/>
        </w:rPr>
        <w:t> </w:t>
      </w:r>
      <w:r>
        <w:rPr>
          <w:spacing w:val="-7"/>
        </w:rPr>
        <w:t>中。在收集 </w:t>
      </w:r>
      <w:r>
        <w:rPr>
          <w:rFonts w:ascii="Times New Roman" w:hAnsi="Times New Roman" w:eastAsia="Times New Roman"/>
          <w:spacing w:val="-2"/>
        </w:rPr>
        <w:t>AE</w:t>
      </w:r>
      <w:r>
        <w:rPr>
          <w:rFonts w:ascii="Times New Roman" w:hAnsi="Times New Roman" w:eastAsia="Times New Roman"/>
          <w:spacing w:val="-13"/>
        </w:rPr>
        <w:t> </w:t>
      </w:r>
      <w:r>
        <w:rPr>
          <w:spacing w:val="-2"/>
        </w:rPr>
        <w:t>时，应首选诊断记录（如可能），而不是一系列症状和体征。但是，若已知诊断结果，同时还存在通常不属于该诊断的其他体征或症状时，则需单独记录诊断结果和各体征或症状。</w:t>
      </w:r>
    </w:p>
    <w:p>
      <w:pPr>
        <w:pStyle w:val="Heading2"/>
        <w:numPr>
          <w:ilvl w:val="2"/>
          <w:numId w:val="3"/>
        </w:numPr>
        <w:tabs>
          <w:tab w:pos="1371" w:val="left" w:leader="none"/>
        </w:tabs>
        <w:spacing w:line="240" w:lineRule="auto" w:before="235" w:after="0"/>
        <w:ind w:left="1371" w:right="0" w:hanging="1150"/>
        <w:jc w:val="both"/>
      </w:pPr>
      <w:bookmarkStart w:name="8.3.5 基于检查和检测发现的不良事件" w:id="191"/>
      <w:bookmarkEnd w:id="191"/>
      <w:r>
        <w:rPr>
          <w:b w:val="0"/>
        </w:rPr>
      </w:r>
      <w:bookmarkStart w:name="_bookmark98" w:id="192"/>
      <w:bookmarkEnd w:id="192"/>
      <w:r>
        <w:rPr>
          <w:b w:val="0"/>
        </w:rPr>
      </w:r>
      <w:r>
        <w:rPr>
          <w:spacing w:val="-5"/>
        </w:rPr>
        <w:t>基于检查和检测发现的不良事件</w:t>
      </w:r>
    </w:p>
    <w:p>
      <w:pPr>
        <w:pStyle w:val="BodyText"/>
        <w:spacing w:before="120"/>
        <w:ind w:left="701"/>
      </w:pPr>
      <w:r>
        <w:rPr>
          <w:rFonts w:ascii="Times New Roman" w:eastAsia="Times New Roman"/>
          <w:spacing w:val="-2"/>
        </w:rPr>
        <w:t>CSP</w:t>
      </w:r>
      <w:r>
        <w:rPr>
          <w:rFonts w:ascii="Times New Roman" w:eastAsia="Times New Roman"/>
          <w:spacing w:val="7"/>
        </w:rPr>
        <w:t> </w:t>
      </w:r>
      <w:r>
        <w:rPr>
          <w:spacing w:val="-4"/>
        </w:rPr>
        <w:t>要求的实验室检查的结果和生命体征总结请见 </w:t>
      </w:r>
      <w:r>
        <w:rPr>
          <w:rFonts w:ascii="Times New Roman" w:eastAsia="Times New Roman"/>
          <w:spacing w:val="-2"/>
        </w:rPr>
        <w:t>CSR</w:t>
      </w:r>
      <w:r>
        <w:rPr>
          <w:spacing w:val="-10"/>
        </w:rPr>
        <w:t>。</w:t>
      </w:r>
    </w:p>
    <w:p>
      <w:pPr>
        <w:pStyle w:val="BodyText"/>
        <w:spacing w:line="276" w:lineRule="auto" w:before="286"/>
        <w:ind w:right="353" w:firstLine="480"/>
        <w:jc w:val="both"/>
      </w:pPr>
      <w:r>
        <w:rPr/>
        <w:t>方案要求的实验室检测值、生命体征或肺功能测定值相对基线恶化，仅在如下</w:t>
      </w:r>
      <w:r>
        <w:rPr>
          <w:spacing w:val="-6"/>
        </w:rPr>
        <w:t>情况下报告为 </w:t>
      </w:r>
      <w:r>
        <w:rPr>
          <w:rFonts w:ascii="Times New Roman" w:eastAsia="Times New Roman"/>
          <w:spacing w:val="-2"/>
        </w:rPr>
        <w:t>AE</w:t>
      </w:r>
      <w:r>
        <w:rPr>
          <w:spacing w:val="-7"/>
        </w:rPr>
        <w:t>：符合任何 </w:t>
      </w:r>
      <w:r>
        <w:rPr>
          <w:rFonts w:ascii="Times New Roman" w:eastAsia="Times New Roman"/>
          <w:spacing w:val="-2"/>
        </w:rPr>
        <w:t>SAE</w:t>
      </w:r>
      <w:r>
        <w:rPr>
          <w:rFonts w:ascii="Times New Roman" w:eastAsia="Times New Roman"/>
          <w:spacing w:val="-13"/>
        </w:rPr>
        <w:t> </w:t>
      </w:r>
      <w:r>
        <w:rPr>
          <w:spacing w:val="-6"/>
        </w:rPr>
        <w:t>标准、导致终止 </w:t>
      </w:r>
      <w:r>
        <w:rPr>
          <w:rFonts w:ascii="Times New Roman" w:eastAsia="Times New Roman"/>
          <w:spacing w:val="-2"/>
        </w:rPr>
        <w:t>IP</w:t>
      </w:r>
      <w:r>
        <w:rPr>
          <w:rFonts w:ascii="Times New Roman" w:eastAsia="Times New Roman"/>
          <w:spacing w:val="2"/>
        </w:rPr>
        <w:t> </w:t>
      </w:r>
      <w:r>
        <w:rPr>
          <w:spacing w:val="-2"/>
        </w:rPr>
        <w:t>治疗，或经研究者判断认为具</w:t>
      </w:r>
      <w:r>
        <w:rPr/>
        <w:t>有临床意义（</w:t>
      </w:r>
      <w:r>
        <w:rPr>
          <w:spacing w:val="-2"/>
        </w:rPr>
        <w:t>包括但不限于考虑是否需要治疗或计划外访视，或是否针对 </w:t>
      </w:r>
      <w:r>
        <w:rPr>
          <w:rFonts w:ascii="Times New Roman" w:eastAsia="Times New Roman"/>
        </w:rPr>
        <w:t>IP</w:t>
      </w:r>
      <w:r>
        <w:rPr>
          <w:rFonts w:ascii="Times New Roman" w:eastAsia="Times New Roman"/>
          <w:spacing w:val="-15"/>
        </w:rPr>
        <w:t> </w:t>
      </w:r>
      <w:r>
        <w:rPr/>
        <w:t>采取其他措施</w:t>
      </w:r>
      <w:r>
        <w:rPr>
          <w:rFonts w:ascii="Times New Roman" w:eastAsia="Times New Roman"/>
        </w:rPr>
        <w:t>[</w:t>
      </w:r>
      <w:r>
        <w:rPr/>
        <w:t>例如，</w:t>
      </w:r>
      <w:r>
        <w:rPr>
          <w:rFonts w:ascii="Times New Roman" w:eastAsia="Times New Roman"/>
        </w:rPr>
        <w:t>IP</w:t>
      </w:r>
      <w:r>
        <w:rPr>
          <w:rFonts w:ascii="Times New Roman" w:eastAsia="Times New Roman"/>
          <w:spacing w:val="-7"/>
        </w:rPr>
        <w:t> </w:t>
      </w:r>
      <w:r>
        <w:rPr/>
        <w:t>给药中断</w:t>
      </w:r>
      <w:r>
        <w:rPr>
          <w:rFonts w:ascii="Times New Roman" w:eastAsia="Times New Roman"/>
        </w:rPr>
        <w:t>]</w:t>
      </w:r>
      <w:r>
        <w:rPr/>
        <w:t>）。</w:t>
      </w:r>
    </w:p>
    <w:p>
      <w:pPr>
        <w:pStyle w:val="BodyText"/>
        <w:spacing w:line="276" w:lineRule="auto" w:before="236"/>
        <w:ind w:right="353" w:firstLine="480"/>
        <w:jc w:val="both"/>
      </w:pPr>
      <w:r>
        <w:rPr>
          <w:spacing w:val="-2"/>
        </w:rPr>
        <w:t>如果实验室检测值</w:t>
      </w:r>
      <w:r>
        <w:rPr>
          <w:rFonts w:ascii="Times New Roman" w:hAnsi="Times New Roman" w:eastAsia="Times New Roman"/>
          <w:spacing w:val="-2"/>
        </w:rPr>
        <w:t>/</w:t>
      </w:r>
      <w:r>
        <w:rPr>
          <w:spacing w:val="-2"/>
        </w:rPr>
        <w:t>生命体征恶化与临床体征和症状有关，需将体征或症状记录</w:t>
      </w:r>
      <w:r>
        <w:rPr/>
        <w:t>为 </w:t>
      </w:r>
      <w:r>
        <w:rPr>
          <w:rFonts w:ascii="Times New Roman" w:hAnsi="Times New Roman" w:eastAsia="Times New Roman"/>
        </w:rPr>
        <w:t>AE</w:t>
      </w:r>
      <w:r>
        <w:rPr/>
        <w:t>，相关实验室结果</w:t>
      </w:r>
      <w:r>
        <w:rPr>
          <w:rFonts w:ascii="Times New Roman" w:hAnsi="Times New Roman" w:eastAsia="Times New Roman"/>
        </w:rPr>
        <w:t>/</w:t>
      </w:r>
      <w:r>
        <w:rPr/>
        <w:t>生命体征视为附加信息。研究者在报告时尽可能使用临床</w:t>
      </w:r>
      <w:r>
        <w:rPr>
          <w:spacing w:val="-2"/>
        </w:rPr>
        <w:t>术语，而非实验室术语（如采用“贫血”而非“低血红蛋白值”）。在无临床体征或症状的情况下，非方案规定的指标出现具有临床意义的恶化时，应报告为 </w:t>
      </w:r>
      <w:r>
        <w:rPr>
          <w:rFonts w:ascii="Times New Roman" w:hAnsi="Times New Roman" w:eastAsia="Times New Roman"/>
        </w:rPr>
        <w:t>AE</w:t>
      </w:r>
      <w:r>
        <w:rPr/>
        <w:t>。</w:t>
      </w:r>
    </w:p>
    <w:p>
      <w:pPr>
        <w:pStyle w:val="BodyText"/>
        <w:spacing w:before="237"/>
        <w:ind w:left="701"/>
      </w:pPr>
      <w:r>
        <w:rPr>
          <w:spacing w:val="-3"/>
        </w:rPr>
        <w:t>明确因疾病进展导致的实验室检测值恶化不应报告为 </w:t>
      </w:r>
      <w:r>
        <w:rPr>
          <w:rFonts w:ascii="Times New Roman" w:eastAsia="Times New Roman"/>
          <w:spacing w:val="-2"/>
        </w:rPr>
        <w:t>AE/SAE</w:t>
      </w:r>
      <w:r>
        <w:rPr>
          <w:spacing w:val="-10"/>
        </w:rPr>
        <w:t>。</w:t>
      </w:r>
    </w:p>
    <w:p>
      <w:pPr>
        <w:spacing w:after="0"/>
        <w:sectPr>
          <w:pgSz w:w="11910" w:h="16840"/>
          <w:pgMar w:header="590" w:footer="784" w:top="1340" w:bottom="980" w:left="1480" w:right="1080"/>
        </w:sectPr>
      </w:pPr>
    </w:p>
    <w:p>
      <w:pPr>
        <w:pStyle w:val="BodyText"/>
        <w:spacing w:line="276" w:lineRule="auto" w:before="88"/>
        <w:ind w:right="361" w:firstLine="480"/>
        <w:jc w:val="both"/>
      </w:pPr>
      <w:r>
        <w:rPr>
          <w:spacing w:val="-2"/>
        </w:rPr>
        <w:t>与基线评估结果相比，体格检查时发现的任何新的或加重的具有临床意义的异</w:t>
      </w:r>
      <w:r>
        <w:rPr>
          <w:spacing w:val="-6"/>
        </w:rPr>
        <w:t>常结果将报告为 </w:t>
      </w:r>
      <w:r>
        <w:rPr>
          <w:rFonts w:ascii="Times New Roman" w:eastAsia="Times New Roman"/>
        </w:rPr>
        <w:t>AE</w:t>
      </w:r>
      <w:r>
        <w:rPr/>
        <w:t>，除非明确认为其与研究疾病相关。</w:t>
      </w:r>
    </w:p>
    <w:p>
      <w:pPr>
        <w:pStyle w:val="Heading2"/>
        <w:numPr>
          <w:ilvl w:val="2"/>
          <w:numId w:val="3"/>
        </w:numPr>
        <w:tabs>
          <w:tab w:pos="1371" w:val="left" w:leader="none"/>
        </w:tabs>
        <w:spacing w:line="240" w:lineRule="auto" w:before="238" w:after="0"/>
        <w:ind w:left="1371" w:right="0" w:hanging="1150"/>
        <w:jc w:val="both"/>
      </w:pPr>
      <w:bookmarkStart w:name="8.3.6 特别关注的不良事件" w:id="193"/>
      <w:bookmarkEnd w:id="193"/>
      <w:r>
        <w:rPr>
          <w:b w:val="0"/>
        </w:rPr>
      </w:r>
      <w:bookmarkStart w:name="_bookmark99" w:id="194"/>
      <w:bookmarkEnd w:id="194"/>
      <w:r>
        <w:rPr>
          <w:b w:val="0"/>
        </w:rPr>
      </w:r>
      <w:r>
        <w:rPr>
          <w:spacing w:val="-5"/>
        </w:rPr>
        <w:t>特别关注的不良事件</w:t>
      </w:r>
    </w:p>
    <w:p>
      <w:pPr>
        <w:pStyle w:val="BodyText"/>
        <w:spacing w:line="276" w:lineRule="auto" w:before="120"/>
        <w:ind w:right="357" w:firstLine="480"/>
        <w:jc w:val="both"/>
      </w:pPr>
      <w:r>
        <w:rPr>
          <w:spacing w:val="-3"/>
        </w:rPr>
        <w:t>特别关注的不良事件是指需要科学和医学关注以便了解 </w:t>
      </w:r>
      <w:r>
        <w:rPr>
          <w:rFonts w:ascii="Times New Roman" w:eastAsia="Times New Roman"/>
          <w:spacing w:val="-2"/>
        </w:rPr>
        <w:t>tozorakimab</w:t>
      </w:r>
      <w:r>
        <w:rPr>
          <w:rFonts w:ascii="Times New Roman" w:eastAsia="Times New Roman"/>
          <w:spacing w:val="15"/>
        </w:rPr>
        <w:t> </w:t>
      </w:r>
      <w:r>
        <w:rPr>
          <w:spacing w:val="-2"/>
        </w:rPr>
        <w:t>的事件，可</w:t>
      </w:r>
      <w:r>
        <w:rPr/>
        <w:t>能需要研究者密切监测并且快速报告给申办者。</w:t>
      </w:r>
      <w:r>
        <w:rPr>
          <w:rFonts w:ascii="Times New Roman" w:eastAsia="Times New Roman"/>
        </w:rPr>
        <w:t>AESI</w:t>
      </w:r>
      <w:r>
        <w:rPr>
          <w:rFonts w:ascii="Times New Roman" w:eastAsia="Times New Roman"/>
          <w:spacing w:val="-15"/>
        </w:rPr>
        <w:t> </w:t>
      </w:r>
      <w:r>
        <w:rPr/>
        <w:t>可能是严重事件，也可能是非</w:t>
      </w:r>
      <w:r>
        <w:rPr>
          <w:spacing w:val="-2"/>
        </w:rPr>
        <w:t>严重事件。</w:t>
      </w:r>
    </w:p>
    <w:p>
      <w:pPr>
        <w:pStyle w:val="BodyText"/>
        <w:spacing w:before="236"/>
        <w:ind w:left="701"/>
      </w:pPr>
      <w:r>
        <w:rPr>
          <w:spacing w:val="-6"/>
        </w:rPr>
        <w:t>本研究将特别监测以下 </w:t>
      </w:r>
      <w:r>
        <w:rPr>
          <w:rFonts w:ascii="Times New Roman" w:eastAsia="Times New Roman"/>
          <w:spacing w:val="-4"/>
        </w:rPr>
        <w:t>AESI</w:t>
      </w:r>
      <w:r>
        <w:rPr>
          <w:spacing w:val="-4"/>
        </w:rPr>
        <w:t>：</w:t>
      </w:r>
    </w:p>
    <w:p>
      <w:pPr>
        <w:pStyle w:val="ListParagraph"/>
        <w:numPr>
          <w:ilvl w:val="0"/>
          <w:numId w:val="42"/>
        </w:numPr>
        <w:tabs>
          <w:tab w:pos="646" w:val="left" w:leader="none"/>
        </w:tabs>
        <w:spacing w:line="240" w:lineRule="auto" w:before="287" w:after="0"/>
        <w:ind w:left="646" w:right="0" w:hanging="425"/>
        <w:jc w:val="left"/>
        <w:rPr>
          <w:sz w:val="24"/>
        </w:rPr>
      </w:pPr>
      <w:r>
        <w:rPr>
          <w:sz w:val="24"/>
        </w:rPr>
        <w:t>严重超敏反应（</w:t>
      </w:r>
      <w:r>
        <w:rPr>
          <w:spacing w:val="-20"/>
          <w:sz w:val="24"/>
        </w:rPr>
        <w:t>包括 </w:t>
      </w:r>
      <w:r>
        <w:rPr>
          <w:rFonts w:ascii="Times New Roman" w:hAnsi="Times New Roman" w:eastAsia="Times New Roman"/>
          <w:sz w:val="24"/>
        </w:rPr>
        <w:t>1~4</w:t>
      </w:r>
      <w:r>
        <w:rPr>
          <w:rFonts w:ascii="Times New Roman" w:hAnsi="Times New Roman" w:eastAsia="Times New Roman"/>
          <w:spacing w:val="-13"/>
          <w:sz w:val="24"/>
        </w:rPr>
        <w:t> </w:t>
      </w:r>
      <w:r>
        <w:rPr>
          <w:sz w:val="24"/>
        </w:rPr>
        <w:t>型超敏反应</w:t>
      </w:r>
      <w:r>
        <w:rPr>
          <w:spacing w:val="-10"/>
          <w:sz w:val="24"/>
        </w:rPr>
        <w:t>）</w:t>
      </w:r>
    </w:p>
    <w:p>
      <w:pPr>
        <w:pStyle w:val="ListParagraph"/>
        <w:numPr>
          <w:ilvl w:val="0"/>
          <w:numId w:val="42"/>
        </w:numPr>
        <w:tabs>
          <w:tab w:pos="646" w:val="left" w:leader="none"/>
        </w:tabs>
        <w:spacing w:line="240" w:lineRule="auto" w:before="59" w:after="0"/>
        <w:ind w:left="646" w:right="0" w:hanging="425"/>
        <w:jc w:val="left"/>
        <w:rPr>
          <w:sz w:val="24"/>
        </w:rPr>
      </w:pPr>
      <w:r>
        <w:rPr>
          <w:spacing w:val="-2"/>
          <w:sz w:val="24"/>
        </w:rPr>
        <w:t>注射部位反应。</w:t>
      </w:r>
    </w:p>
    <w:p>
      <w:pPr>
        <w:pStyle w:val="ListParagraph"/>
        <w:numPr>
          <w:ilvl w:val="0"/>
          <w:numId w:val="42"/>
        </w:numPr>
        <w:tabs>
          <w:tab w:pos="646" w:val="left" w:leader="none"/>
        </w:tabs>
        <w:spacing w:line="240" w:lineRule="auto" w:before="59" w:after="0"/>
        <w:ind w:left="646" w:right="0" w:hanging="425"/>
        <w:jc w:val="left"/>
        <w:rPr>
          <w:sz w:val="24"/>
        </w:rPr>
      </w:pPr>
      <w:r>
        <w:rPr>
          <w:spacing w:val="-1"/>
          <w:sz w:val="24"/>
        </w:rPr>
        <w:t>新发心力衰竭或心力衰竭进展。</w:t>
      </w:r>
    </w:p>
    <w:p>
      <w:pPr>
        <w:pStyle w:val="ListParagraph"/>
        <w:numPr>
          <w:ilvl w:val="0"/>
          <w:numId w:val="42"/>
        </w:numPr>
        <w:tabs>
          <w:tab w:pos="646" w:val="left" w:leader="none"/>
        </w:tabs>
        <w:spacing w:line="240" w:lineRule="auto" w:before="59" w:after="0"/>
        <w:ind w:left="646" w:right="363" w:hanging="425"/>
        <w:jc w:val="both"/>
        <w:rPr>
          <w:sz w:val="24"/>
        </w:rPr>
      </w:pPr>
      <w:r>
        <w:rPr>
          <w:spacing w:val="3"/>
          <w:sz w:val="24"/>
        </w:rPr>
        <w:t>严重感染：任何由严重性标准定义并属于感染及侵染类疾病系统器官分类的事件。</w:t>
      </w:r>
    </w:p>
    <w:p>
      <w:pPr>
        <w:pStyle w:val="ListParagraph"/>
        <w:numPr>
          <w:ilvl w:val="0"/>
          <w:numId w:val="42"/>
        </w:numPr>
        <w:tabs>
          <w:tab w:pos="646" w:val="left" w:leader="none"/>
        </w:tabs>
        <w:spacing w:line="240" w:lineRule="auto" w:before="58" w:after="0"/>
        <w:ind w:left="646" w:right="363" w:hanging="425"/>
        <w:jc w:val="both"/>
        <w:rPr>
          <w:sz w:val="24"/>
        </w:rPr>
      </w:pPr>
      <w:r>
        <w:rPr>
          <w:spacing w:val="3"/>
          <w:sz w:val="24"/>
        </w:rPr>
        <w:t>机会性感染：指在正常免疫功能个体中通常非致病或很少致病的微生物所致的或引起正常宿主中无法观察到的某种类型或严重程度的感染的任何严重或非严重事件。常见机会性感染的示例包括但不限于：隐球菌病、巨细胞病毒感染、耶氏肺孢子虫肺炎和结核病。</w:t>
      </w:r>
    </w:p>
    <w:p>
      <w:pPr>
        <w:pStyle w:val="ListParagraph"/>
        <w:numPr>
          <w:ilvl w:val="0"/>
          <w:numId w:val="42"/>
        </w:numPr>
        <w:tabs>
          <w:tab w:pos="645" w:val="left" w:leader="none"/>
        </w:tabs>
        <w:spacing w:line="240" w:lineRule="auto" w:before="58" w:after="0"/>
        <w:ind w:left="645" w:right="0" w:hanging="424"/>
        <w:jc w:val="both"/>
        <w:rPr>
          <w:sz w:val="24"/>
        </w:rPr>
      </w:pPr>
      <w:r>
        <w:rPr>
          <w:spacing w:val="-15"/>
          <w:sz w:val="24"/>
        </w:rPr>
        <w:t>胃肠道 </w:t>
      </w:r>
      <w:r>
        <w:rPr>
          <w:rFonts w:ascii="Times New Roman" w:hAnsi="Times New Roman" w:eastAsia="Times New Roman"/>
          <w:spacing w:val="-2"/>
          <w:sz w:val="24"/>
        </w:rPr>
        <w:t>AE</w:t>
      </w:r>
      <w:r>
        <w:rPr>
          <w:spacing w:val="-10"/>
          <w:sz w:val="24"/>
        </w:rPr>
        <w:t>。</w:t>
      </w:r>
    </w:p>
    <w:p>
      <w:pPr>
        <w:pStyle w:val="BodyText"/>
        <w:spacing w:before="142"/>
        <w:ind w:left="0"/>
      </w:pPr>
    </w:p>
    <w:p>
      <w:pPr>
        <w:pStyle w:val="Heading2"/>
        <w:numPr>
          <w:ilvl w:val="2"/>
          <w:numId w:val="3"/>
        </w:numPr>
        <w:tabs>
          <w:tab w:pos="1373" w:val="left" w:leader="none"/>
        </w:tabs>
        <w:spacing w:line="240" w:lineRule="auto" w:before="0" w:after="0"/>
        <w:ind w:left="1373" w:right="0" w:hanging="1152"/>
        <w:jc w:val="left"/>
      </w:pPr>
      <w:bookmarkStart w:name="8.3.7 海氏法则" w:id="195"/>
      <w:bookmarkEnd w:id="195"/>
      <w:r>
        <w:rPr>
          <w:b w:val="0"/>
        </w:rPr>
      </w:r>
      <w:bookmarkStart w:name="_bookmark100" w:id="196"/>
      <w:bookmarkEnd w:id="196"/>
      <w:r>
        <w:rPr>
          <w:b w:val="0"/>
        </w:rPr>
      </w:r>
      <w:r>
        <w:rPr>
          <w:spacing w:val="-4"/>
        </w:rPr>
        <w:t>海氏法则</w:t>
      </w:r>
    </w:p>
    <w:p>
      <w:pPr>
        <w:pStyle w:val="BodyText"/>
        <w:spacing w:line="276" w:lineRule="auto" w:before="120"/>
        <w:ind w:right="357" w:firstLine="480"/>
        <w:jc w:val="both"/>
      </w:pPr>
      <w:r>
        <w:rPr>
          <w:spacing w:val="32"/>
        </w:rPr>
        <w:t>受试者显示肝生化指标升高时可能需要进一步评价， 并且当 </w:t>
      </w:r>
      <w:r>
        <w:rPr>
          <w:rFonts w:ascii="Times New Roman" w:hAnsi="Times New Roman" w:eastAsia="Times New Roman"/>
        </w:rPr>
        <w:t>AST</w:t>
      </w:r>
      <w:r>
        <w:rPr>
          <w:rFonts w:ascii="Times New Roman" w:hAnsi="Times New Roman" w:eastAsia="Times New Roman"/>
          <w:spacing w:val="40"/>
        </w:rPr>
        <w:t> </w:t>
      </w:r>
      <w:r>
        <w:rPr/>
        <w:t>或 </w:t>
      </w:r>
      <w:r>
        <w:rPr>
          <w:rFonts w:ascii="Times New Roman" w:hAnsi="Times New Roman" w:eastAsia="Times New Roman"/>
        </w:rPr>
        <w:t>ALT≥3×ULN </w:t>
      </w:r>
      <w:r>
        <w:rPr>
          <w:spacing w:val="-15"/>
        </w:rPr>
        <w:t>且 </w:t>
      </w:r>
      <w:r>
        <w:rPr>
          <w:rFonts w:ascii="Times New Roman" w:hAnsi="Times New Roman" w:eastAsia="Times New Roman"/>
        </w:rPr>
        <w:t>TBL≥2×ULN </w:t>
      </w:r>
      <w:r>
        <w:rPr>
          <w:spacing w:val="-4"/>
        </w:rPr>
        <w:t>时可能需要报告为 </w:t>
      </w:r>
      <w:r>
        <w:rPr>
          <w:rFonts w:ascii="Times New Roman" w:hAnsi="Times New Roman" w:eastAsia="Times New Roman"/>
        </w:rPr>
        <w:t>SAE</w:t>
      </w:r>
      <w:r>
        <w:rPr/>
        <w:t>。有关肝生化指标升高病例和 </w:t>
      </w:r>
      <w:r>
        <w:rPr>
          <w:rFonts w:ascii="Times New Roman" w:hAnsi="Times New Roman" w:eastAsia="Times New Roman"/>
        </w:rPr>
        <w:t>HL </w:t>
      </w:r>
      <w:r>
        <w:rPr/>
        <w:t>评价的更多详细说明请见</w:t>
      </w:r>
      <w:hyperlink w:history="true" w:anchor="_bookmark155">
        <w:r>
          <w:rPr>
            <w:color w:val="0000FF"/>
            <w:spacing w:val="-8"/>
          </w:rPr>
          <w:t>附录 </w:t>
        </w:r>
        <w:r>
          <w:rPr>
            <w:rFonts w:ascii="Times New Roman" w:hAnsi="Times New Roman" w:eastAsia="Times New Roman"/>
            <w:color w:val="0000FF"/>
          </w:rPr>
          <w:t>D</w:t>
        </w:r>
      </w:hyperlink>
      <w:r>
        <w:rPr/>
        <w:t>。</w:t>
      </w:r>
    </w:p>
    <w:p>
      <w:pPr>
        <w:pStyle w:val="Heading2"/>
        <w:numPr>
          <w:ilvl w:val="2"/>
          <w:numId w:val="3"/>
        </w:numPr>
        <w:tabs>
          <w:tab w:pos="1373" w:val="left" w:leader="none"/>
        </w:tabs>
        <w:spacing w:line="240" w:lineRule="auto" w:before="237" w:after="0"/>
        <w:ind w:left="1373" w:right="0" w:hanging="1152"/>
        <w:jc w:val="left"/>
      </w:pPr>
      <w:bookmarkStart w:name="8.3.8 研究疾病" w:id="197"/>
      <w:bookmarkEnd w:id="197"/>
      <w:r>
        <w:rPr>
          <w:b w:val="0"/>
        </w:rPr>
      </w:r>
      <w:bookmarkStart w:name="_bookmark101" w:id="198"/>
      <w:bookmarkEnd w:id="198"/>
      <w:r>
        <w:rPr>
          <w:b w:val="0"/>
        </w:rPr>
      </w:r>
      <w:r>
        <w:rPr>
          <w:spacing w:val="-4"/>
        </w:rPr>
        <w:t>研究疾病</w:t>
      </w:r>
    </w:p>
    <w:p>
      <w:pPr>
        <w:pStyle w:val="BodyText"/>
        <w:spacing w:line="276" w:lineRule="auto" w:before="120"/>
        <w:ind w:right="357" w:firstLine="480"/>
        <w:jc w:val="both"/>
      </w:pPr>
      <w:r>
        <w:rPr>
          <w:spacing w:val="-3"/>
        </w:rPr>
        <w:t>疾病进展可以被认为是针对 </w:t>
      </w:r>
      <w:r>
        <w:rPr>
          <w:rFonts w:ascii="Times New Roman" w:eastAsia="Times New Roman"/>
        </w:rPr>
        <w:t>IP</w:t>
      </w:r>
      <w:r>
        <w:rPr>
          <w:rFonts w:ascii="Times New Roman" w:eastAsia="Times New Roman"/>
          <w:spacing w:val="-13"/>
        </w:rPr>
        <w:t> </w:t>
      </w:r>
      <w:r>
        <w:rPr/>
        <w:t>研究疾病导致的受试者状况加重（</w:t>
      </w:r>
      <w:r>
        <w:rPr>
          <w:rFonts w:ascii="Times New Roman" w:eastAsia="Times New Roman"/>
        </w:rPr>
        <w:t>COPD </w:t>
      </w:r>
      <w:r>
        <w:rPr/>
        <w:t>症状增加和</w:t>
      </w:r>
      <w:r>
        <w:rPr>
          <w:rFonts w:ascii="Times New Roman" w:eastAsia="Times New Roman"/>
        </w:rPr>
        <w:t>/</w:t>
      </w:r>
      <w:r>
        <w:rPr/>
        <w:t>或疾病严重程度增加）</w:t>
      </w:r>
      <w:r>
        <w:rPr>
          <w:spacing w:val="-4"/>
        </w:rPr>
        <w:t>。研究疾病症状即 </w:t>
      </w:r>
      <w:r>
        <w:rPr>
          <w:rFonts w:ascii="Times New Roman" w:eastAsia="Times New Roman"/>
        </w:rPr>
        <w:t>COPD</w:t>
      </w:r>
      <w:r>
        <w:rPr>
          <w:rFonts w:ascii="Times New Roman" w:eastAsia="Times New Roman"/>
          <w:spacing w:val="-15"/>
        </w:rPr>
        <w:t> </w:t>
      </w:r>
      <w:r>
        <w:rPr/>
        <w:t>直接导致的预期症状（如呼吸</w:t>
      </w:r>
      <w:r>
        <w:rPr>
          <w:spacing w:val="-2"/>
        </w:rPr>
        <w:t>困难、咳痰、咳嗽等）。研究期间，明确因研究疾病和</w:t>
      </w:r>
      <w:r>
        <w:rPr>
          <w:rFonts w:ascii="Times New Roman" w:eastAsia="Times New Roman"/>
          <w:spacing w:val="-2"/>
        </w:rPr>
        <w:t>/</w:t>
      </w:r>
      <w:r>
        <w:rPr>
          <w:spacing w:val="-2"/>
        </w:rPr>
        <w:t>或其进展所致的事件不应报</w:t>
      </w:r>
      <w:r>
        <w:rPr>
          <w:spacing w:val="-9"/>
        </w:rPr>
        <w:t>告为 </w:t>
      </w:r>
      <w:r>
        <w:rPr>
          <w:rFonts w:ascii="Times New Roman" w:eastAsia="Times New Roman"/>
        </w:rPr>
        <w:t>AE</w:t>
      </w:r>
      <w:r>
        <w:rPr>
          <w:spacing w:val="-4"/>
        </w:rPr>
        <w:t>，除非其符合 </w:t>
      </w:r>
      <w:r>
        <w:rPr>
          <w:rFonts w:ascii="Times New Roman" w:eastAsia="Times New Roman"/>
        </w:rPr>
        <w:t>SAE </w:t>
      </w:r>
      <w:r>
        <w:rPr>
          <w:spacing w:val="-4"/>
        </w:rPr>
        <w:t>标准或导致终止 </w:t>
      </w:r>
      <w:r>
        <w:rPr>
          <w:rFonts w:ascii="Times New Roman" w:eastAsia="Times New Roman"/>
        </w:rPr>
        <w:t>IP </w:t>
      </w:r>
      <w:r>
        <w:rPr/>
        <w:t>治疗。</w:t>
      </w:r>
    </w:p>
    <w:p>
      <w:pPr>
        <w:pStyle w:val="BodyText"/>
        <w:spacing w:before="237"/>
        <w:ind w:left="0" w:right="348"/>
        <w:jc w:val="right"/>
      </w:pPr>
      <w:r>
        <w:rPr>
          <w:spacing w:val="4"/>
        </w:rPr>
        <w:t>将在源记录以及特定 </w:t>
      </w:r>
      <w:r>
        <w:rPr>
          <w:rFonts w:ascii="Times New Roman" w:eastAsia="Times New Roman"/>
        </w:rPr>
        <w:t>eCRF</w:t>
      </w:r>
      <w:r>
        <w:rPr>
          <w:rFonts w:ascii="Times New Roman" w:eastAsia="Times New Roman"/>
          <w:spacing w:val="71"/>
        </w:rPr>
        <w:t> </w:t>
      </w:r>
      <w:r>
        <w:rPr>
          <w:spacing w:val="3"/>
        </w:rPr>
        <w:t>模块中记录符合方案定义的 </w:t>
      </w:r>
      <w:r>
        <w:rPr>
          <w:rFonts w:ascii="Times New Roman" w:eastAsia="Times New Roman"/>
        </w:rPr>
        <w:t>COPD</w:t>
      </w:r>
      <w:r>
        <w:rPr>
          <w:rFonts w:ascii="Times New Roman" w:eastAsia="Times New Roman"/>
          <w:spacing w:val="69"/>
        </w:rPr>
        <w:t> </w:t>
      </w:r>
      <w:r>
        <w:rPr/>
        <w:t>急性加重（</w:t>
      </w:r>
      <w:r>
        <w:rPr>
          <w:spacing w:val="-10"/>
        </w:rPr>
        <w:t>第</w:t>
      </w:r>
    </w:p>
    <w:p>
      <w:pPr>
        <w:pStyle w:val="BodyText"/>
        <w:spacing w:before="46"/>
        <w:ind w:left="0" w:right="356"/>
        <w:jc w:val="right"/>
      </w:pPr>
      <w:hyperlink w:history="true" w:anchor="_bookmark81">
        <w:r>
          <w:rPr>
            <w:rFonts w:ascii="Times New Roman" w:eastAsia="Times New Roman"/>
            <w:color w:val="0000FF"/>
          </w:rPr>
          <w:t>8.1.1</w:t>
        </w:r>
        <w:r>
          <w:rPr>
            <w:rFonts w:ascii="Times New Roman" w:eastAsia="Times New Roman"/>
            <w:color w:val="0000FF"/>
            <w:spacing w:val="-33"/>
          </w:rPr>
          <w:t> </w:t>
        </w:r>
      </w:hyperlink>
      <w:r>
        <w:rPr/>
        <w:t>节）。</w:t>
      </w:r>
      <w:r>
        <w:rPr>
          <w:rFonts w:ascii="Times New Roman" w:eastAsia="Times New Roman"/>
        </w:rPr>
        <w:t>COPD</w:t>
      </w:r>
      <w:r>
        <w:rPr>
          <w:rFonts w:ascii="Times New Roman" w:eastAsia="Times New Roman"/>
          <w:spacing w:val="-33"/>
        </w:rPr>
        <w:t> </w:t>
      </w:r>
      <w:r>
        <w:rPr>
          <w:spacing w:val="3"/>
        </w:rPr>
        <w:t>急性加重不应报告为</w:t>
      </w:r>
      <w:r>
        <w:rPr>
          <w:rFonts w:ascii="Times New Roman" w:eastAsia="Times New Roman"/>
        </w:rPr>
        <w:t>AE</w:t>
      </w:r>
      <w:r>
        <w:rPr>
          <w:spacing w:val="5"/>
        </w:rPr>
        <w:t>，除非其符合</w:t>
      </w:r>
      <w:r>
        <w:rPr>
          <w:rFonts w:ascii="Times New Roman" w:eastAsia="Times New Roman"/>
        </w:rPr>
        <w:t>SAE</w:t>
      </w:r>
      <w:r>
        <w:rPr>
          <w:rFonts w:ascii="Times New Roman" w:eastAsia="Times New Roman"/>
          <w:spacing w:val="-32"/>
        </w:rPr>
        <w:t> </w:t>
      </w:r>
      <w:r>
        <w:rPr>
          <w:spacing w:val="3"/>
        </w:rPr>
        <w:t>的定义或导致终止</w:t>
      </w:r>
      <w:r>
        <w:rPr>
          <w:rFonts w:ascii="Times New Roman" w:eastAsia="Times New Roman"/>
        </w:rPr>
        <w:t>IP</w:t>
      </w:r>
      <w:r>
        <w:rPr>
          <w:spacing w:val="-10"/>
        </w:rPr>
        <w:t>。</w:t>
      </w:r>
    </w:p>
    <w:p>
      <w:pPr>
        <w:pStyle w:val="Heading2"/>
        <w:numPr>
          <w:ilvl w:val="2"/>
          <w:numId w:val="3"/>
        </w:numPr>
        <w:tabs>
          <w:tab w:pos="1373" w:val="left" w:leader="none"/>
        </w:tabs>
        <w:spacing w:line="240" w:lineRule="auto" w:before="285" w:after="0"/>
        <w:ind w:left="1373" w:right="0" w:hanging="1152"/>
        <w:jc w:val="left"/>
      </w:pPr>
      <w:bookmarkStart w:name="8.3.9 严重不良事件报告" w:id="199"/>
      <w:bookmarkEnd w:id="199"/>
      <w:r>
        <w:rPr>
          <w:b w:val="0"/>
        </w:rPr>
      </w:r>
      <w:bookmarkStart w:name="_bookmark102" w:id="200"/>
      <w:bookmarkEnd w:id="200"/>
      <w:r>
        <w:rPr>
          <w:b w:val="0"/>
        </w:rPr>
      </w:r>
      <w:r>
        <w:rPr>
          <w:spacing w:val="-5"/>
        </w:rPr>
        <w:t>严重不良事件报告</w:t>
      </w:r>
    </w:p>
    <w:p>
      <w:pPr>
        <w:pStyle w:val="BodyText"/>
        <w:spacing w:line="276" w:lineRule="auto" w:before="121"/>
        <w:ind w:right="358" w:firstLine="480"/>
        <w:jc w:val="both"/>
      </w:pPr>
      <w:r>
        <w:rPr>
          <w:spacing w:val="-8"/>
        </w:rPr>
        <w:t>无论与 </w:t>
      </w:r>
      <w:r>
        <w:rPr>
          <w:rFonts w:ascii="Times New Roman" w:eastAsia="Times New Roman"/>
        </w:rPr>
        <w:t>IP</w:t>
      </w:r>
      <w:r>
        <w:rPr>
          <w:rFonts w:ascii="Times New Roman" w:eastAsia="Times New Roman"/>
          <w:spacing w:val="9"/>
        </w:rPr>
        <w:t> </w:t>
      </w:r>
      <w:r>
        <w:rPr>
          <w:spacing w:val="-2"/>
        </w:rPr>
        <w:t>或研究步骤是否存在因果关系，都必须报告所有 </w:t>
      </w:r>
      <w:r>
        <w:rPr>
          <w:rFonts w:ascii="Times New Roman" w:eastAsia="Times New Roman"/>
        </w:rPr>
        <w:t>SAE</w:t>
      </w:r>
      <w:r>
        <w:rPr>
          <w:spacing w:val="-8"/>
        </w:rPr>
        <w:t>。所有 </w:t>
      </w:r>
      <w:r>
        <w:rPr>
          <w:rFonts w:ascii="Times New Roman" w:eastAsia="Times New Roman"/>
        </w:rPr>
        <w:t>SAE</w:t>
      </w:r>
      <w:r>
        <w:rPr>
          <w:rFonts w:ascii="Times New Roman" w:eastAsia="Times New Roman"/>
          <w:spacing w:val="11"/>
        </w:rPr>
        <w:t> </w:t>
      </w:r>
      <w:r>
        <w:rPr/>
        <w:t>将</w:t>
      </w:r>
      <w:r>
        <w:rPr>
          <w:spacing w:val="-3"/>
        </w:rPr>
        <w:t>记录在源文件以及 </w:t>
      </w:r>
      <w:r>
        <w:rPr>
          <w:rFonts w:ascii="Times New Roman" w:eastAsia="Times New Roman"/>
        </w:rPr>
        <w:t>eCRF </w:t>
      </w:r>
      <w:r>
        <w:rPr/>
        <w:t>中。</w:t>
      </w:r>
    </w:p>
    <w:p>
      <w:pPr>
        <w:spacing w:after="0" w:line="276" w:lineRule="auto"/>
        <w:jc w:val="both"/>
        <w:sectPr>
          <w:pgSz w:w="11910" w:h="16840"/>
          <w:pgMar w:header="590" w:footer="784" w:top="1340" w:bottom="980" w:left="1480" w:right="1080"/>
        </w:sectPr>
      </w:pPr>
    </w:p>
    <w:p>
      <w:pPr>
        <w:pStyle w:val="BodyText"/>
        <w:spacing w:line="276" w:lineRule="auto" w:before="88"/>
        <w:ind w:right="357" w:firstLine="480"/>
        <w:jc w:val="both"/>
      </w:pPr>
      <w:r>
        <w:rPr>
          <w:spacing w:val="-3"/>
        </w:rPr>
        <w:t>如果在研究期间发生任何 </w:t>
      </w:r>
      <w:r>
        <w:rPr>
          <w:rFonts w:ascii="Times New Roman" w:eastAsia="Times New Roman"/>
        </w:rPr>
        <w:t>SAE</w:t>
      </w:r>
      <w:r>
        <w:rPr>
          <w:spacing w:val="-2"/>
        </w:rPr>
        <w:t>，研究者或研究中心其他人员将在 </w:t>
      </w:r>
      <w:r>
        <w:rPr>
          <w:rFonts w:ascii="Times New Roman" w:eastAsia="Times New Roman"/>
        </w:rPr>
        <w:t>1</w:t>
      </w:r>
      <w:r>
        <w:rPr>
          <w:rFonts w:ascii="Times New Roman" w:eastAsia="Times New Roman"/>
          <w:spacing w:val="-2"/>
        </w:rPr>
        <w:t> </w:t>
      </w:r>
      <w:r>
        <w:rPr/>
        <w:t>天内（即在其知晓后立即通知，但</w:t>
      </w:r>
      <w:r>
        <w:rPr>
          <w:b/>
          <w:spacing w:val="-5"/>
        </w:rPr>
        <w:t>不得晚于 </w:t>
      </w:r>
      <w:r>
        <w:rPr>
          <w:rFonts w:ascii="Times New Roman" w:eastAsia="Times New Roman"/>
          <w:b/>
        </w:rPr>
        <w:t>24 </w:t>
      </w:r>
      <w:r>
        <w:rPr>
          <w:b/>
        </w:rPr>
        <w:t>小时</w:t>
      </w:r>
      <w:r>
        <w:rPr/>
        <w:t>）通知申办者指定代表。</w:t>
      </w:r>
    </w:p>
    <w:p>
      <w:pPr>
        <w:pStyle w:val="BodyText"/>
        <w:spacing w:line="276" w:lineRule="auto" w:before="239"/>
        <w:ind w:right="356" w:firstLine="480"/>
        <w:jc w:val="both"/>
      </w:pPr>
      <w:r>
        <w:rPr>
          <w:spacing w:val="-2"/>
        </w:rPr>
        <w:t>申办者指定代表将与研究者合作确保所有必要信息必须在开始收到致死性和危</w:t>
      </w:r>
      <w:r>
        <w:rPr>
          <w:spacing w:val="-6"/>
        </w:rPr>
        <w:t>及生命事件后 </w:t>
      </w:r>
      <w:r>
        <w:rPr>
          <w:rFonts w:ascii="Times New Roman" w:eastAsia="Times New Roman"/>
          <w:b/>
          <w:spacing w:val="-2"/>
        </w:rPr>
        <w:t>1</w:t>
      </w:r>
      <w:r>
        <w:rPr>
          <w:rFonts w:ascii="Times New Roman" w:eastAsia="Times New Roman"/>
          <w:b/>
          <w:spacing w:val="-13"/>
        </w:rPr>
        <w:t> </w:t>
      </w:r>
      <w:r>
        <w:rPr>
          <w:b/>
          <w:spacing w:val="-2"/>
        </w:rPr>
        <w:t>个日历日内</w:t>
      </w:r>
      <w:r>
        <w:rPr>
          <w:spacing w:val="-5"/>
        </w:rPr>
        <w:t>和开始收到其他所有 </w:t>
      </w:r>
      <w:r>
        <w:rPr>
          <w:rFonts w:ascii="Times New Roman" w:eastAsia="Times New Roman"/>
          <w:spacing w:val="-2"/>
        </w:rPr>
        <w:t>SAE</w:t>
      </w:r>
      <w:r>
        <w:rPr>
          <w:rFonts w:ascii="Times New Roman" w:eastAsia="Times New Roman"/>
          <w:spacing w:val="-13"/>
        </w:rPr>
        <w:t> </w:t>
      </w:r>
      <w:r>
        <w:rPr>
          <w:spacing w:val="-15"/>
        </w:rPr>
        <w:t>后 </w:t>
      </w:r>
      <w:r>
        <w:rPr>
          <w:rFonts w:ascii="Times New Roman" w:eastAsia="Times New Roman"/>
          <w:b/>
          <w:spacing w:val="-2"/>
        </w:rPr>
        <w:t>5</w:t>
      </w:r>
      <w:r>
        <w:rPr>
          <w:rFonts w:ascii="Times New Roman" w:eastAsia="Times New Roman"/>
          <w:b/>
          <w:spacing w:val="-6"/>
        </w:rPr>
        <w:t> </w:t>
      </w:r>
      <w:r>
        <w:rPr>
          <w:b/>
          <w:spacing w:val="-2"/>
        </w:rPr>
        <w:t>个日历日内</w:t>
      </w:r>
      <w:r>
        <w:rPr>
          <w:spacing w:val="-2"/>
        </w:rPr>
        <w:t>报告给申办者患者安全数据录入中心。</w:t>
      </w:r>
    </w:p>
    <w:p>
      <w:pPr>
        <w:pStyle w:val="BodyText"/>
        <w:spacing w:line="276" w:lineRule="auto" w:before="236"/>
        <w:ind w:right="117" w:firstLine="480"/>
      </w:pPr>
      <w:r>
        <w:rPr>
          <w:spacing w:val="-6"/>
        </w:rPr>
        <w:t>对于致死性和危及生命的 </w:t>
      </w:r>
      <w:r>
        <w:rPr>
          <w:rFonts w:ascii="Times New Roman" w:eastAsia="Times New Roman"/>
        </w:rPr>
        <w:t>AE</w:t>
      </w:r>
      <w:r>
        <w:rPr/>
        <w:t>，若出现重要或相关信息缺失情况，将立即进行主</w:t>
      </w:r>
      <w:r>
        <w:rPr/>
        <w:t> </w:t>
      </w:r>
      <w:r>
        <w:rPr>
          <w:spacing w:val="-2"/>
        </w:rPr>
        <w:t>动随访。研究者或研究中心其他工作人员在收到既往报告的 </w:t>
      </w:r>
      <w:r>
        <w:rPr>
          <w:rFonts w:ascii="Times New Roman" w:eastAsia="Times New Roman"/>
        </w:rPr>
        <w:t>SAE</w:t>
      </w:r>
      <w:r>
        <w:rPr>
          <w:rFonts w:ascii="Times New Roman" w:eastAsia="Times New Roman"/>
          <w:spacing w:val="-15"/>
        </w:rPr>
        <w:t> </w:t>
      </w:r>
      <w:r>
        <w:rPr/>
        <w:t>的任何随访信息时，</w:t>
      </w:r>
      <w:r>
        <w:rPr>
          <w:spacing w:val="-6"/>
        </w:rPr>
        <w:t>将在 </w:t>
      </w:r>
      <w:r>
        <w:rPr>
          <w:rFonts w:ascii="Times New Roman" w:eastAsia="Times New Roman"/>
        </w:rPr>
        <w:t>1 </w:t>
      </w:r>
      <w:r>
        <w:rPr/>
        <w:t>个日历日内通知申办者代表（即获悉后立即通知，但</w:t>
      </w:r>
      <w:r>
        <w:rPr>
          <w:b/>
          <w:spacing w:val="-4"/>
        </w:rPr>
        <w:t>不超过 </w:t>
      </w:r>
      <w:r>
        <w:rPr>
          <w:rFonts w:ascii="Times New Roman" w:eastAsia="Times New Roman"/>
          <w:b/>
        </w:rPr>
        <w:t>24 </w:t>
      </w:r>
      <w:r>
        <w:rPr>
          <w:b/>
        </w:rPr>
        <w:t>小时</w:t>
      </w:r>
      <w:r>
        <w:rPr/>
        <w:t>）。</w:t>
      </w:r>
    </w:p>
    <w:p>
      <w:pPr>
        <w:pStyle w:val="BodyText"/>
        <w:spacing w:line="276" w:lineRule="auto" w:before="238"/>
        <w:ind w:right="357" w:firstLine="480"/>
      </w:pPr>
      <w:r>
        <w:rPr>
          <w:spacing w:val="-3"/>
        </w:rPr>
        <w:t>如果研究者或其他研究中心工作人员在 </w:t>
      </w:r>
      <w:r>
        <w:rPr>
          <w:rFonts w:ascii="Times New Roman" w:eastAsia="Times New Roman"/>
        </w:rPr>
        <w:t>EDC</w:t>
      </w:r>
      <w:r>
        <w:rPr>
          <w:rFonts w:ascii="Times New Roman" w:eastAsia="Times New Roman"/>
          <w:spacing w:val="-15"/>
        </w:rPr>
        <w:t> </w:t>
      </w:r>
      <w:r>
        <w:rPr>
          <w:spacing w:val="-6"/>
        </w:rPr>
        <w:t>系统中指出该 </w:t>
      </w:r>
      <w:r>
        <w:rPr>
          <w:rFonts w:ascii="Times New Roman" w:eastAsia="Times New Roman"/>
        </w:rPr>
        <w:t>AE</w:t>
      </w:r>
      <w:r>
        <w:rPr>
          <w:rFonts w:ascii="Times New Roman" w:eastAsia="Times New Roman"/>
          <w:spacing w:val="-12"/>
        </w:rPr>
        <w:t> </w:t>
      </w:r>
      <w:r>
        <w:rPr/>
        <w:t>为严重事件，将</w:t>
      </w:r>
      <w:r>
        <w:rPr>
          <w:spacing w:val="-2"/>
        </w:rPr>
        <w:t>自动向申办者指定代表发送一封提醒邮件。</w:t>
      </w:r>
    </w:p>
    <w:p>
      <w:pPr>
        <w:pStyle w:val="BodyText"/>
        <w:spacing w:line="276" w:lineRule="auto" w:before="239"/>
        <w:ind w:right="357" w:firstLine="480"/>
      </w:pPr>
      <w:r>
        <w:rPr>
          <w:spacing w:val="-17"/>
        </w:rPr>
        <w:t>如果 </w:t>
      </w:r>
      <w:r>
        <w:rPr>
          <w:rFonts w:ascii="Times New Roman" w:eastAsia="Times New Roman"/>
        </w:rPr>
        <w:t>EDC</w:t>
      </w:r>
      <w:r>
        <w:rPr>
          <w:rFonts w:ascii="Times New Roman" w:eastAsia="Times New Roman"/>
          <w:spacing w:val="-15"/>
        </w:rPr>
        <w:t> </w:t>
      </w:r>
      <w:r>
        <w:rPr/>
        <w:t>系统不可用，则研究者或其他研究中心工作人员须通过电话向申办者</w:t>
      </w:r>
      <w:r>
        <w:rPr>
          <w:spacing w:val="-6"/>
        </w:rPr>
        <w:t>相应代表报告 </w:t>
      </w:r>
      <w:r>
        <w:rPr>
          <w:rFonts w:ascii="Times New Roman" w:eastAsia="Times New Roman"/>
        </w:rPr>
        <w:t>SAE</w:t>
      </w:r>
      <w:r>
        <w:rPr/>
        <w:t>。</w:t>
      </w:r>
    </w:p>
    <w:p>
      <w:pPr>
        <w:pStyle w:val="BodyText"/>
        <w:spacing w:line="460" w:lineRule="auto" w:before="237"/>
        <w:ind w:left="701" w:right="2516"/>
      </w:pPr>
      <w:r>
        <w:rPr>
          <w:spacing w:val="-2"/>
        </w:rPr>
        <w:t>申办者代表将向研究者</w:t>
      </w:r>
      <w:r>
        <w:rPr>
          <w:rFonts w:ascii="Times New Roman" w:eastAsia="Times New Roman"/>
          <w:spacing w:val="-2"/>
        </w:rPr>
        <w:t>/</w:t>
      </w:r>
      <w:r>
        <w:rPr>
          <w:spacing w:val="-2"/>
        </w:rPr>
        <w:t>研究中心工作人员告知处理方法。有关预期</w:t>
      </w:r>
      <w:r>
        <w:rPr>
          <w:rFonts w:ascii="Times New Roman" w:eastAsia="Times New Roman"/>
          <w:spacing w:val="-2"/>
        </w:rPr>
        <w:t>/</w:t>
      </w:r>
      <w:r>
        <w:rPr>
          <w:spacing w:val="-3"/>
        </w:rPr>
        <w:t>已列出事件定义的参考文件请见申办者药物 </w:t>
      </w:r>
      <w:r>
        <w:rPr>
          <w:rFonts w:ascii="Times New Roman" w:eastAsia="Times New Roman"/>
          <w:spacing w:val="-2"/>
        </w:rPr>
        <w:t>IB</w:t>
      </w:r>
      <w:r>
        <w:rPr>
          <w:spacing w:val="-10"/>
        </w:rPr>
        <w:t>。</w:t>
      </w:r>
    </w:p>
    <w:p>
      <w:pPr>
        <w:pStyle w:val="Heading2"/>
        <w:numPr>
          <w:ilvl w:val="2"/>
          <w:numId w:val="3"/>
        </w:numPr>
        <w:tabs>
          <w:tab w:pos="1373" w:val="left" w:leader="none"/>
        </w:tabs>
        <w:spacing w:line="336" w:lineRule="exact" w:before="0" w:after="0"/>
        <w:ind w:left="1373" w:right="0" w:hanging="1152"/>
        <w:jc w:val="left"/>
      </w:pPr>
      <w:bookmarkStart w:name="8.3.10 妊娠" w:id="201"/>
      <w:bookmarkEnd w:id="201"/>
      <w:r>
        <w:rPr>
          <w:b w:val="0"/>
        </w:rPr>
      </w:r>
      <w:bookmarkStart w:name="_bookmark103" w:id="202"/>
      <w:bookmarkEnd w:id="202"/>
      <w:r>
        <w:rPr>
          <w:b w:val="0"/>
        </w:rPr>
      </w:r>
      <w:r>
        <w:rPr>
          <w:spacing w:val="-6"/>
        </w:rPr>
        <w:t>妊娠</w:t>
      </w:r>
    </w:p>
    <w:p>
      <w:pPr>
        <w:pStyle w:val="BodyText"/>
        <w:spacing w:line="276" w:lineRule="auto" w:before="121"/>
        <w:ind w:right="357" w:firstLine="480"/>
      </w:pPr>
      <w:r>
        <w:rPr>
          <w:spacing w:val="-2"/>
        </w:rPr>
        <w:t>应向申办者报告所有妊娠和妊娠结局，研究受试者在接受任何 </w:t>
      </w:r>
      <w:r>
        <w:rPr>
          <w:rFonts w:ascii="Times New Roman" w:eastAsia="Times New Roman"/>
        </w:rPr>
        <w:t>IP</w:t>
      </w:r>
      <w:r>
        <w:rPr>
          <w:rFonts w:ascii="Times New Roman" w:eastAsia="Times New Roman"/>
          <w:spacing w:val="-15"/>
        </w:rPr>
        <w:t> </w:t>
      </w:r>
      <w:r>
        <w:rPr/>
        <w:t>前发现的妊娠</w:t>
      </w:r>
      <w:r>
        <w:rPr>
          <w:spacing w:val="-4"/>
        </w:rPr>
        <w:t>除外。</w:t>
      </w:r>
    </w:p>
    <w:p>
      <w:pPr>
        <w:pStyle w:val="Heading3"/>
        <w:numPr>
          <w:ilvl w:val="3"/>
          <w:numId w:val="3"/>
        </w:numPr>
        <w:tabs>
          <w:tab w:pos="1355" w:val="left" w:leader="none"/>
        </w:tabs>
        <w:spacing w:line="240" w:lineRule="auto" w:before="238" w:after="0"/>
        <w:ind w:left="1355" w:right="0" w:hanging="1134"/>
        <w:jc w:val="left"/>
      </w:pPr>
      <w:bookmarkStart w:name="8.3.10.1 母亲暴露" w:id="203"/>
      <w:bookmarkEnd w:id="203"/>
      <w:r>
        <w:rPr>
          <w:b w:val="0"/>
        </w:rPr>
      </w:r>
      <w:bookmarkStart w:name="_bookmark104" w:id="204"/>
      <w:bookmarkEnd w:id="204"/>
      <w:r>
        <w:rPr>
          <w:b w:val="0"/>
        </w:rPr>
      </w:r>
      <w:r>
        <w:rPr>
          <w:spacing w:val="-4"/>
        </w:rPr>
        <w:t>母亲暴露</w:t>
      </w:r>
    </w:p>
    <w:p>
      <w:pPr>
        <w:pStyle w:val="BodyText"/>
        <w:spacing w:before="59"/>
        <w:ind w:left="701"/>
      </w:pPr>
      <w:r>
        <w:rPr>
          <w:spacing w:val="-4"/>
        </w:rPr>
        <w:t>如果受试者在研究期间怀孕，应立即终止 </w:t>
      </w:r>
      <w:r>
        <w:rPr>
          <w:rFonts w:ascii="Times New Roman" w:eastAsia="Times New Roman"/>
        </w:rPr>
        <w:t>IP</w:t>
      </w:r>
      <w:r>
        <w:rPr>
          <w:rFonts w:ascii="Times New Roman" w:eastAsia="Times New Roman"/>
          <w:spacing w:val="-13"/>
        </w:rPr>
        <w:t> </w:t>
      </w:r>
      <w:r>
        <w:rPr>
          <w:spacing w:val="-4"/>
        </w:rPr>
        <w:t>治疗。</w:t>
      </w:r>
    </w:p>
    <w:p>
      <w:pPr>
        <w:pStyle w:val="BodyText"/>
        <w:spacing w:line="276" w:lineRule="auto" w:before="286"/>
        <w:ind w:right="357" w:firstLine="480"/>
        <w:jc w:val="both"/>
      </w:pPr>
      <w:r>
        <w:rPr>
          <w:spacing w:val="-3"/>
        </w:rPr>
        <w:t>除非怀疑研究的 </w:t>
      </w:r>
      <w:r>
        <w:rPr>
          <w:rFonts w:ascii="Times New Roman" w:eastAsia="Times New Roman"/>
        </w:rPr>
        <w:t>IP</w:t>
      </w:r>
      <w:r>
        <w:rPr>
          <w:rFonts w:ascii="Times New Roman" w:eastAsia="Times New Roman"/>
          <w:spacing w:val="19"/>
        </w:rPr>
        <w:t> </w:t>
      </w:r>
      <w:r>
        <w:rPr>
          <w:spacing w:val="-1"/>
        </w:rPr>
        <w:t>可能干扰避孕药的有效性，否则妊娠本身不作为 </w:t>
      </w:r>
      <w:r>
        <w:rPr>
          <w:rFonts w:ascii="Times New Roman" w:eastAsia="Times New Roman"/>
        </w:rPr>
        <w:t>AE</w:t>
      </w:r>
      <w:r>
        <w:rPr/>
        <w:t>。先天</w:t>
      </w:r>
      <w:r>
        <w:rPr>
          <w:spacing w:val="-2"/>
        </w:rPr>
        <w:t>畸形</w:t>
      </w:r>
      <w:r>
        <w:rPr>
          <w:rFonts w:ascii="Times New Roman" w:eastAsia="Times New Roman"/>
          <w:spacing w:val="-2"/>
        </w:rPr>
        <w:t>/</w:t>
      </w:r>
      <w:r>
        <w:rPr>
          <w:spacing w:val="-4"/>
        </w:rPr>
        <w:t>出生缺陷和自发性流产应作为 </w:t>
      </w:r>
      <w:r>
        <w:rPr>
          <w:rFonts w:ascii="Times New Roman" w:eastAsia="Times New Roman"/>
          <w:spacing w:val="-2"/>
        </w:rPr>
        <w:t>SAE</w:t>
      </w:r>
      <w:r>
        <w:rPr>
          <w:rFonts w:ascii="Times New Roman" w:eastAsia="Times New Roman"/>
          <w:spacing w:val="-13"/>
        </w:rPr>
        <w:t> </w:t>
      </w:r>
      <w:r>
        <w:rPr>
          <w:spacing w:val="-2"/>
        </w:rPr>
        <w:t>进行报告并处理。无并发症的选择性流产不</w:t>
      </w:r>
      <w:r>
        <w:rPr/>
        <w:t>作为 </w:t>
      </w:r>
      <w:r>
        <w:rPr>
          <w:rFonts w:ascii="Times New Roman" w:eastAsia="Times New Roman"/>
        </w:rPr>
        <w:t>AE</w:t>
      </w:r>
      <w:r>
        <w:rPr>
          <w:rFonts w:ascii="Times New Roman" w:eastAsia="Times New Roman"/>
          <w:spacing w:val="40"/>
        </w:rPr>
        <w:t> </w:t>
      </w:r>
      <w:r>
        <w:rPr/>
        <w:t>处理。即使受试者已终止研究治疗，仍需对所有妊娠结局（自发性流产、</w:t>
      </w:r>
      <w:r>
        <w:rPr>
          <w:spacing w:val="-2"/>
        </w:rPr>
        <w:t>选择性终止妊娠、异位妊娠、正常出生或先天性异常</w:t>
      </w:r>
      <w:r>
        <w:rPr>
          <w:rFonts w:ascii="Times New Roman" w:eastAsia="Times New Roman"/>
          <w:spacing w:val="-2"/>
        </w:rPr>
        <w:t>/</w:t>
      </w:r>
      <w:r>
        <w:rPr>
          <w:spacing w:val="-2"/>
        </w:rPr>
        <w:t>出生缺陷）进行随访和记录。</w:t>
      </w:r>
    </w:p>
    <w:p>
      <w:pPr>
        <w:pStyle w:val="BodyText"/>
        <w:spacing w:line="276" w:lineRule="auto" w:before="236"/>
        <w:ind w:right="356" w:firstLine="480"/>
        <w:jc w:val="both"/>
      </w:pPr>
      <w:r>
        <w:rPr>
          <w:spacing w:val="-3"/>
        </w:rPr>
        <w:t>若研究期间或 </w:t>
      </w:r>
      <w:r>
        <w:rPr>
          <w:rFonts w:ascii="Times New Roman" w:eastAsia="Times New Roman"/>
        </w:rPr>
        <w:t>IP </w:t>
      </w:r>
      <w:r>
        <w:rPr>
          <w:spacing w:val="-4"/>
        </w:rPr>
        <w:t>末次给药后 </w:t>
      </w:r>
      <w:r>
        <w:rPr>
          <w:rFonts w:ascii="Times New Roman" w:eastAsia="Times New Roman"/>
        </w:rPr>
        <w:t>14 </w:t>
      </w:r>
      <w:r>
        <w:rPr/>
        <w:t>周随访期内发生妊娠，则研究者或研究中心其</w:t>
      </w:r>
      <w:r>
        <w:rPr>
          <w:spacing w:val="-5"/>
        </w:rPr>
        <w:t>他工作人员必须在 </w:t>
      </w:r>
      <w:r>
        <w:rPr>
          <w:rFonts w:ascii="Times New Roman" w:eastAsia="Times New Roman"/>
          <w:b/>
          <w:spacing w:val="-2"/>
        </w:rPr>
        <w:t>1</w:t>
      </w:r>
      <w:r>
        <w:rPr>
          <w:rFonts w:ascii="Times New Roman" w:eastAsia="Times New Roman"/>
          <w:b/>
          <w:spacing w:val="-13"/>
        </w:rPr>
        <w:t> </w:t>
      </w:r>
      <w:r>
        <w:rPr>
          <w:b/>
          <w:spacing w:val="-2"/>
        </w:rPr>
        <w:t>天</w:t>
      </w:r>
      <w:r>
        <w:rPr>
          <w:spacing w:val="-2"/>
        </w:rPr>
        <w:t>内（即在其知悉后立即，且</w:t>
      </w:r>
      <w:r>
        <w:rPr>
          <w:b/>
          <w:spacing w:val="-9"/>
        </w:rPr>
        <w:t>不晚于 </w:t>
      </w:r>
      <w:r>
        <w:rPr>
          <w:rFonts w:ascii="Times New Roman" w:eastAsia="Times New Roman"/>
          <w:b/>
          <w:spacing w:val="-2"/>
        </w:rPr>
        <w:t>24</w:t>
      </w:r>
      <w:r>
        <w:rPr>
          <w:rFonts w:ascii="Times New Roman" w:eastAsia="Times New Roman"/>
          <w:b/>
          <w:spacing w:val="-10"/>
        </w:rPr>
        <w:t> </w:t>
      </w:r>
      <w:r>
        <w:rPr>
          <w:b/>
          <w:spacing w:val="-2"/>
        </w:rPr>
        <w:t>小时</w:t>
      </w:r>
      <w:r>
        <w:rPr>
          <w:spacing w:val="-2"/>
        </w:rPr>
        <w:t>）通知申办者相应</w:t>
      </w:r>
      <w:r>
        <w:rPr>
          <w:spacing w:val="-4"/>
        </w:rPr>
        <w:t>代表。</w:t>
      </w:r>
    </w:p>
    <w:p>
      <w:pPr>
        <w:spacing w:before="238"/>
        <w:ind w:left="0" w:right="357" w:firstLine="0"/>
        <w:jc w:val="right"/>
        <w:rPr>
          <w:sz w:val="24"/>
        </w:rPr>
      </w:pPr>
      <w:r>
        <w:rPr>
          <w:spacing w:val="-13"/>
          <w:sz w:val="24"/>
        </w:rPr>
        <w:t>对于 </w:t>
      </w:r>
      <w:r>
        <w:rPr>
          <w:rFonts w:ascii="Times New Roman" w:eastAsia="Times New Roman"/>
          <w:sz w:val="24"/>
        </w:rPr>
        <w:t>SAE</w:t>
      </w:r>
      <w:r>
        <w:rPr>
          <w:sz w:val="24"/>
        </w:rPr>
        <w:t>，申办者指定代表与研究者共同确保</w:t>
      </w:r>
      <w:r>
        <w:rPr>
          <w:b/>
          <w:spacing w:val="-19"/>
          <w:sz w:val="24"/>
        </w:rPr>
        <w:t>在 </w:t>
      </w:r>
      <w:r>
        <w:rPr>
          <w:rFonts w:ascii="Times New Roman" w:eastAsia="Times New Roman"/>
          <w:b/>
          <w:sz w:val="24"/>
        </w:rPr>
        <w:t>1</w:t>
      </w:r>
      <w:r>
        <w:rPr>
          <w:rFonts w:ascii="Times New Roman" w:eastAsia="Times New Roman"/>
          <w:b/>
          <w:spacing w:val="-5"/>
          <w:sz w:val="24"/>
        </w:rPr>
        <w:t> </w:t>
      </w:r>
      <w:r>
        <w:rPr>
          <w:b/>
          <w:spacing w:val="-19"/>
          <w:sz w:val="24"/>
        </w:rPr>
        <w:t>或 </w:t>
      </w:r>
      <w:r>
        <w:rPr>
          <w:rFonts w:ascii="Times New Roman" w:eastAsia="Times New Roman"/>
          <w:b/>
          <w:sz w:val="24"/>
        </w:rPr>
        <w:t>5</w:t>
      </w:r>
      <w:r>
        <w:rPr>
          <w:rFonts w:ascii="Times New Roman" w:eastAsia="Times New Roman"/>
          <w:b/>
          <w:spacing w:val="6"/>
          <w:sz w:val="24"/>
        </w:rPr>
        <w:t> </w:t>
      </w:r>
      <w:r>
        <w:rPr>
          <w:b/>
          <w:sz w:val="24"/>
        </w:rPr>
        <w:t>个日历日内</w:t>
      </w:r>
      <w:r>
        <w:rPr>
          <w:spacing w:val="-2"/>
          <w:sz w:val="24"/>
        </w:rPr>
        <w:t>向申办者患</w:t>
      </w:r>
    </w:p>
    <w:p>
      <w:pPr>
        <w:pStyle w:val="BodyText"/>
        <w:spacing w:before="46"/>
        <w:ind w:left="0" w:right="357"/>
        <w:jc w:val="right"/>
      </w:pPr>
      <w:r>
        <w:rPr/>
        <w:t>者安全数据录入中心提供所有相关信息（</w:t>
      </w:r>
      <w:r>
        <w:rPr>
          <w:spacing w:val="-25"/>
        </w:rPr>
        <w:t>第 </w:t>
      </w:r>
      <w:hyperlink w:history="true" w:anchor="_bookmark102">
        <w:r>
          <w:rPr>
            <w:rFonts w:ascii="Times New Roman" w:eastAsia="Times New Roman"/>
            <w:color w:val="0000FF"/>
          </w:rPr>
          <w:t>8.3.9</w:t>
        </w:r>
      </w:hyperlink>
      <w:r>
        <w:rPr>
          <w:rFonts w:ascii="Times New Roman" w:eastAsia="Times New Roman"/>
          <w:color w:val="0000FF"/>
          <w:spacing w:val="-4"/>
        </w:rPr>
        <w:t> </w:t>
      </w:r>
      <w:r>
        <w:rPr/>
        <w:t>节）；</w:t>
      </w:r>
      <w:r>
        <w:rPr>
          <w:spacing w:val="-1"/>
        </w:rPr>
        <w:t>对于所有其他妊娠情况，应</w:t>
      </w:r>
    </w:p>
    <w:p>
      <w:pPr>
        <w:spacing w:before="47"/>
        <w:ind w:left="221" w:right="0" w:firstLine="0"/>
        <w:jc w:val="left"/>
        <w:rPr>
          <w:sz w:val="24"/>
        </w:rPr>
      </w:pPr>
      <w:r>
        <w:rPr>
          <w:b/>
          <w:spacing w:val="-29"/>
          <w:sz w:val="24"/>
        </w:rPr>
        <w:t>在 </w:t>
      </w:r>
      <w:r>
        <w:rPr>
          <w:rFonts w:ascii="Times New Roman" w:eastAsia="Times New Roman"/>
          <w:b/>
          <w:spacing w:val="-2"/>
          <w:sz w:val="24"/>
        </w:rPr>
        <w:t>30</w:t>
      </w:r>
      <w:r>
        <w:rPr>
          <w:rFonts w:ascii="Times New Roman" w:eastAsia="Times New Roman"/>
          <w:b/>
          <w:spacing w:val="-6"/>
          <w:sz w:val="24"/>
        </w:rPr>
        <w:t> </w:t>
      </w:r>
      <w:r>
        <w:rPr>
          <w:b/>
          <w:spacing w:val="-2"/>
          <w:sz w:val="24"/>
        </w:rPr>
        <w:t>天内</w:t>
      </w:r>
      <w:r>
        <w:rPr>
          <w:spacing w:val="-5"/>
          <w:sz w:val="24"/>
        </w:rPr>
        <w:t>提供。</w:t>
      </w:r>
    </w:p>
    <w:p>
      <w:pPr>
        <w:pStyle w:val="BodyText"/>
        <w:spacing w:before="285"/>
        <w:ind w:left="701"/>
      </w:pPr>
      <w:r>
        <w:rPr>
          <w:spacing w:val="-1"/>
        </w:rPr>
        <w:t>当获得妊娠结局信息时，应遵守相同时限。</w:t>
      </w:r>
    </w:p>
    <w:p>
      <w:pPr>
        <w:spacing w:after="0"/>
        <w:sectPr>
          <w:pgSz w:w="11910" w:h="16840"/>
          <w:pgMar w:header="590" w:footer="784" w:top="1340" w:bottom="980" w:left="1480" w:right="1080"/>
        </w:sectPr>
      </w:pPr>
    </w:p>
    <w:p>
      <w:pPr>
        <w:pStyle w:val="BodyText"/>
        <w:spacing w:before="88"/>
        <w:ind w:left="701"/>
        <w:rPr>
          <w:rFonts w:ascii="Times New Roman" w:eastAsia="Times New Roman"/>
        </w:rPr>
      </w:pPr>
      <w:r>
        <w:rPr>
          <w:spacing w:val="-8"/>
        </w:rPr>
        <w:t>采用 </w:t>
      </w:r>
      <w:r>
        <w:rPr>
          <w:rFonts w:ascii="Times New Roman" w:eastAsia="Times New Roman"/>
        </w:rPr>
        <w:t>eCRF</w:t>
      </w:r>
      <w:r>
        <w:rPr>
          <w:rFonts w:ascii="Times New Roman" w:eastAsia="Times New Roman"/>
          <w:spacing w:val="20"/>
        </w:rPr>
        <w:t> </w:t>
      </w:r>
      <w:r>
        <w:rPr/>
        <w:t>中的妊娠报告（</w:t>
      </w:r>
      <w:r>
        <w:rPr>
          <w:rFonts w:ascii="Times New Roman" w:eastAsia="Times New Roman"/>
        </w:rPr>
        <w:t>PREGREP</w:t>
      </w:r>
      <w:r>
        <w:rPr/>
        <w:t>）</w:t>
      </w:r>
      <w:r>
        <w:rPr>
          <w:spacing w:val="-2"/>
        </w:rPr>
        <w:t>模块报告妊娠，而采用纸质 </w:t>
      </w:r>
      <w:r>
        <w:rPr>
          <w:rFonts w:ascii="Times New Roman" w:eastAsia="Times New Roman"/>
          <w:spacing w:val="-2"/>
        </w:rPr>
        <w:t>PREGOUT</w:t>
      </w:r>
    </w:p>
    <w:p>
      <w:pPr>
        <w:pStyle w:val="BodyText"/>
        <w:spacing w:before="45"/>
      </w:pPr>
      <w:r>
        <w:rPr>
          <w:spacing w:val="-2"/>
        </w:rPr>
        <w:t>表报告妊娠结局。</w:t>
      </w:r>
    </w:p>
    <w:p>
      <w:pPr>
        <w:pStyle w:val="Heading3"/>
        <w:numPr>
          <w:ilvl w:val="3"/>
          <w:numId w:val="3"/>
        </w:numPr>
        <w:tabs>
          <w:tab w:pos="1355" w:val="left" w:leader="none"/>
        </w:tabs>
        <w:spacing w:line="240" w:lineRule="auto" w:before="287" w:after="0"/>
        <w:ind w:left="1355" w:right="0" w:hanging="1134"/>
        <w:jc w:val="left"/>
      </w:pPr>
      <w:bookmarkStart w:name="8.3.10.2 父亲暴露" w:id="205"/>
      <w:bookmarkEnd w:id="205"/>
      <w:r>
        <w:rPr>
          <w:b w:val="0"/>
        </w:rPr>
      </w:r>
      <w:bookmarkStart w:name="_bookmark105" w:id="206"/>
      <w:bookmarkEnd w:id="206"/>
      <w:r>
        <w:rPr>
          <w:b w:val="0"/>
        </w:rPr>
      </w:r>
      <w:r>
        <w:rPr>
          <w:spacing w:val="-4"/>
        </w:rPr>
        <w:t>父亲暴露</w:t>
      </w:r>
    </w:p>
    <w:p>
      <w:pPr>
        <w:pStyle w:val="BodyText"/>
        <w:spacing w:line="276" w:lineRule="auto" w:before="59"/>
        <w:ind w:right="354" w:firstLine="480"/>
        <w:jc w:val="both"/>
      </w:pPr>
      <w:r>
        <w:rPr>
          <w:spacing w:val="-4"/>
        </w:rPr>
        <w:t>从入选至 </w:t>
      </w:r>
      <w:r>
        <w:rPr>
          <w:rFonts w:ascii="Times New Roman" w:eastAsia="Times New Roman"/>
        </w:rPr>
        <w:t>IP </w:t>
      </w:r>
      <w:r>
        <w:rPr>
          <w:spacing w:val="-4"/>
        </w:rPr>
        <w:t>末次给药后 </w:t>
      </w:r>
      <w:r>
        <w:rPr>
          <w:rFonts w:ascii="Times New Roman" w:eastAsia="Times New Roman"/>
        </w:rPr>
        <w:t>14 </w:t>
      </w:r>
      <w:r>
        <w:rPr/>
        <w:t>周，未绝育的男性受试者必须使用男性避孕套。强</w:t>
      </w:r>
      <w:r>
        <w:rPr>
          <w:spacing w:val="-2"/>
        </w:rPr>
        <w:t>烈建议男性受试者的女性伴侣在此期间也采用一种高效避孕方法。未绝育的男性受</w:t>
      </w:r>
      <w:r>
        <w:rPr>
          <w:spacing w:val="-3"/>
        </w:rPr>
        <w:t>试者也应避免在同一时期生物学上授精或捐献精子。受试者伴侣妊娠不视为 </w:t>
      </w:r>
      <w:r>
        <w:rPr>
          <w:rFonts w:ascii="Times New Roman" w:eastAsia="Times New Roman"/>
          <w:spacing w:val="-2"/>
        </w:rPr>
        <w:t>AE</w:t>
      </w:r>
      <w:r>
        <w:rPr>
          <w:spacing w:val="-2"/>
        </w:rPr>
        <w:t>。但是，（如可能）应对首次给药日至末次给药后规定的时间段，根据既往研究（临床前和临床研究），发生的所有妊娠结局（自然流产、非必需流产、异位妊娠、正常出生或先天性异常）进行随访并记录在妊娠报告表中。在填写妊娠报告表之前，必须获得伴侣的知情同意。</w:t>
      </w:r>
    </w:p>
    <w:p>
      <w:pPr>
        <w:pStyle w:val="Heading2"/>
        <w:numPr>
          <w:ilvl w:val="2"/>
          <w:numId w:val="3"/>
        </w:numPr>
        <w:tabs>
          <w:tab w:pos="1373" w:val="left" w:leader="none"/>
        </w:tabs>
        <w:spacing w:line="240" w:lineRule="auto" w:before="233" w:after="0"/>
        <w:ind w:left="1373" w:right="0" w:hanging="1152"/>
        <w:jc w:val="left"/>
      </w:pPr>
      <w:bookmarkStart w:name="8.3.11 用药错误、药物滥用和药物误用" w:id="207"/>
      <w:bookmarkEnd w:id="207"/>
      <w:r>
        <w:rPr>
          <w:b w:val="0"/>
        </w:rPr>
      </w:r>
      <w:bookmarkStart w:name="_bookmark106" w:id="208"/>
      <w:bookmarkEnd w:id="208"/>
      <w:r>
        <w:rPr>
          <w:b w:val="0"/>
        </w:rPr>
      </w:r>
      <w:r>
        <w:rPr>
          <w:spacing w:val="-5"/>
        </w:rPr>
        <w:t>用药错误、药物滥用和药物误用</w:t>
      </w:r>
    </w:p>
    <w:p>
      <w:pPr>
        <w:pStyle w:val="Heading3"/>
        <w:numPr>
          <w:ilvl w:val="3"/>
          <w:numId w:val="3"/>
        </w:numPr>
        <w:tabs>
          <w:tab w:pos="1355" w:val="left" w:leader="none"/>
        </w:tabs>
        <w:spacing w:line="240" w:lineRule="auto" w:before="120" w:after="0"/>
        <w:ind w:left="1355" w:right="0" w:hanging="1134"/>
        <w:jc w:val="left"/>
      </w:pPr>
      <w:bookmarkStart w:name="8.3.11.1 时间线" w:id="209"/>
      <w:bookmarkEnd w:id="209"/>
      <w:r>
        <w:rPr>
          <w:b w:val="0"/>
        </w:rPr>
      </w:r>
      <w:bookmarkStart w:name="_bookmark107" w:id="210"/>
      <w:bookmarkEnd w:id="210"/>
      <w:r>
        <w:rPr>
          <w:b w:val="0"/>
        </w:rPr>
      </w:r>
      <w:r>
        <w:rPr>
          <w:spacing w:val="-5"/>
        </w:rPr>
        <w:t>时间线</w:t>
      </w:r>
    </w:p>
    <w:p>
      <w:pPr>
        <w:pStyle w:val="BodyText"/>
        <w:spacing w:line="276" w:lineRule="auto" w:before="59"/>
        <w:ind w:right="357" w:firstLine="480"/>
        <w:jc w:val="both"/>
      </w:pPr>
      <w:r>
        <w:rPr>
          <w:spacing w:val="-2"/>
        </w:rPr>
        <w:t>如果在研究期间发生用药错误、药物滥用或药物误用事件，则研究者或其他研究中心工作人员在</w:t>
      </w:r>
      <w:r>
        <w:rPr>
          <w:b/>
          <w:spacing w:val="-2"/>
        </w:rPr>
        <w:t>一个日历日</w:t>
      </w:r>
      <w:r>
        <w:rPr>
          <w:spacing w:val="-2"/>
        </w:rPr>
        <w:t>内（即在获悉后立即告知，但</w:t>
      </w:r>
      <w:r>
        <w:rPr>
          <w:b/>
          <w:spacing w:val="-8"/>
        </w:rPr>
        <w:t>不得晚于 </w:t>
      </w:r>
      <w:r>
        <w:rPr>
          <w:rFonts w:ascii="Times New Roman" w:eastAsia="Times New Roman"/>
          <w:b/>
          <w:spacing w:val="-2"/>
        </w:rPr>
        <w:t>24</w:t>
      </w:r>
      <w:r>
        <w:rPr>
          <w:rFonts w:ascii="Times New Roman" w:eastAsia="Times New Roman"/>
          <w:b/>
          <w:spacing w:val="3"/>
        </w:rPr>
        <w:t> </w:t>
      </w:r>
      <w:r>
        <w:rPr>
          <w:b/>
          <w:spacing w:val="-2"/>
        </w:rPr>
        <w:t>小时</w:t>
      </w:r>
      <w:r>
        <w:rPr>
          <w:spacing w:val="-2"/>
        </w:rPr>
        <w:t>）通知申办者相应代表。</w:t>
      </w:r>
    </w:p>
    <w:p>
      <w:pPr>
        <w:pStyle w:val="BodyText"/>
        <w:spacing w:line="276" w:lineRule="auto" w:before="238"/>
        <w:ind w:right="356" w:firstLine="480"/>
      </w:pPr>
      <w:r>
        <w:rPr>
          <w:spacing w:val="-1"/>
        </w:rPr>
        <w:t>如果发生与用药错误、药物滥用或药物误用相关的 </w:t>
      </w:r>
      <w:r>
        <w:rPr>
          <w:rFonts w:ascii="Times New Roman" w:eastAsia="Times New Roman"/>
        </w:rPr>
        <w:t>SAE</w:t>
      </w:r>
      <w:r>
        <w:rPr/>
        <w:t>，申办者指定代表与研</w:t>
      </w:r>
      <w:r>
        <w:rPr>
          <w:spacing w:val="-5"/>
        </w:rPr>
        <w:t>究者共同确保在 </w:t>
      </w:r>
      <w:r>
        <w:rPr>
          <w:rFonts w:ascii="Times New Roman" w:eastAsia="Times New Roman"/>
          <w:b/>
        </w:rPr>
        <w:t>1</w:t>
      </w:r>
      <w:r>
        <w:rPr>
          <w:rFonts w:ascii="Times New Roman" w:eastAsia="Times New Roman"/>
          <w:b/>
          <w:spacing w:val="5"/>
        </w:rPr>
        <w:t> </w:t>
      </w:r>
      <w:r>
        <w:rPr>
          <w:b/>
        </w:rPr>
        <w:t>个</w:t>
      </w:r>
      <w:r>
        <w:rPr/>
        <w:t>（首次发生或随访的致死性</w:t>
      </w:r>
      <w:r>
        <w:rPr>
          <w:rFonts w:ascii="Times New Roman" w:eastAsia="Times New Roman"/>
        </w:rPr>
        <w:t>/</w:t>
      </w:r>
      <w:r>
        <w:rPr/>
        <w:t>危及生命事件）</w:t>
      </w:r>
      <w:r>
        <w:rPr>
          <w:spacing w:val="-20"/>
        </w:rPr>
        <w:t>或 </w:t>
      </w:r>
      <w:r>
        <w:rPr>
          <w:rFonts w:ascii="Times New Roman" w:eastAsia="Times New Roman"/>
          <w:b/>
        </w:rPr>
        <w:t>5</w:t>
      </w:r>
      <w:r>
        <w:rPr>
          <w:rFonts w:ascii="Times New Roman" w:eastAsia="Times New Roman"/>
          <w:b/>
          <w:spacing w:val="8"/>
        </w:rPr>
        <w:t> </w:t>
      </w:r>
      <w:r>
        <w:rPr>
          <w:b/>
        </w:rPr>
        <w:t>个</w:t>
      </w:r>
      <w:r>
        <w:rPr/>
        <w:t>（</w:t>
      </w:r>
      <w:r>
        <w:rPr>
          <w:spacing w:val="-3"/>
        </w:rPr>
        <w:t>首次发生</w:t>
      </w:r>
    </w:p>
    <w:p>
      <w:pPr>
        <w:pStyle w:val="BodyText"/>
        <w:spacing w:line="311" w:lineRule="exact"/>
      </w:pPr>
      <w:r>
        <w:rPr/>
        <w:t>或随访的其他严重事件）</w:t>
      </w:r>
      <w:r>
        <w:rPr>
          <w:b/>
        </w:rPr>
        <w:t>日历日</w:t>
      </w:r>
      <w:r>
        <w:rPr/>
        <w:t>内报告所有相关信息（</w:t>
      </w:r>
      <w:r>
        <w:rPr>
          <w:spacing w:val="-13"/>
        </w:rPr>
        <w:t>请见第 </w:t>
      </w:r>
      <w:hyperlink w:history="true" w:anchor="_bookmark102">
        <w:r>
          <w:rPr>
            <w:rFonts w:ascii="Times New Roman" w:eastAsia="Times New Roman"/>
            <w:color w:val="0000FF"/>
          </w:rPr>
          <w:t>8.3.9</w:t>
        </w:r>
      </w:hyperlink>
      <w:r>
        <w:rPr>
          <w:rFonts w:ascii="Times New Roman" w:eastAsia="Times New Roman"/>
          <w:color w:val="0000FF"/>
          <w:spacing w:val="-12"/>
        </w:rPr>
        <w:t> </w:t>
      </w:r>
      <w:r>
        <w:rPr/>
        <w:t>节），</w:t>
      </w:r>
      <w:r>
        <w:rPr>
          <w:spacing w:val="-3"/>
        </w:rPr>
        <w:t>所有其他</w:t>
      </w:r>
    </w:p>
    <w:p>
      <w:pPr>
        <w:spacing w:before="45"/>
        <w:ind w:left="221" w:right="0" w:firstLine="0"/>
        <w:jc w:val="left"/>
        <w:rPr>
          <w:sz w:val="24"/>
        </w:rPr>
      </w:pPr>
      <w:r>
        <w:rPr>
          <w:spacing w:val="-2"/>
          <w:sz w:val="24"/>
        </w:rPr>
        <w:t>事件应</w:t>
      </w:r>
      <w:r>
        <w:rPr>
          <w:b/>
          <w:spacing w:val="-29"/>
          <w:sz w:val="24"/>
        </w:rPr>
        <w:t>在 </w:t>
      </w:r>
      <w:r>
        <w:rPr>
          <w:rFonts w:ascii="Times New Roman" w:eastAsia="Times New Roman"/>
          <w:b/>
          <w:spacing w:val="-2"/>
          <w:sz w:val="24"/>
        </w:rPr>
        <w:t>30</w:t>
      </w:r>
      <w:r>
        <w:rPr>
          <w:rFonts w:ascii="Times New Roman" w:eastAsia="Times New Roman"/>
          <w:b/>
          <w:spacing w:val="-3"/>
          <w:sz w:val="24"/>
        </w:rPr>
        <w:t> </w:t>
      </w:r>
      <w:r>
        <w:rPr>
          <w:b/>
          <w:spacing w:val="-2"/>
          <w:sz w:val="24"/>
        </w:rPr>
        <w:t>天内</w:t>
      </w:r>
      <w:r>
        <w:rPr>
          <w:spacing w:val="-5"/>
          <w:sz w:val="24"/>
        </w:rPr>
        <w:t>报告。</w:t>
      </w:r>
    </w:p>
    <w:p>
      <w:pPr>
        <w:pStyle w:val="Heading3"/>
        <w:numPr>
          <w:ilvl w:val="3"/>
          <w:numId w:val="3"/>
        </w:numPr>
        <w:tabs>
          <w:tab w:pos="1355" w:val="left" w:leader="none"/>
        </w:tabs>
        <w:spacing w:line="240" w:lineRule="auto" w:before="286" w:after="0"/>
        <w:ind w:left="1355" w:right="0" w:hanging="1134"/>
        <w:jc w:val="left"/>
      </w:pPr>
      <w:bookmarkStart w:name="8.3.11.2 用药错误" w:id="211"/>
      <w:bookmarkEnd w:id="211"/>
      <w:r>
        <w:rPr>
          <w:b w:val="0"/>
        </w:rPr>
      </w:r>
      <w:bookmarkStart w:name="_bookmark108" w:id="212"/>
      <w:bookmarkEnd w:id="212"/>
      <w:r>
        <w:rPr>
          <w:b w:val="0"/>
        </w:rPr>
      </w:r>
      <w:r>
        <w:rPr>
          <w:spacing w:val="-4"/>
        </w:rPr>
        <w:t>用药错误</w:t>
      </w:r>
    </w:p>
    <w:p>
      <w:pPr>
        <w:pStyle w:val="BodyText"/>
        <w:spacing w:line="276" w:lineRule="auto" w:before="60"/>
        <w:ind w:right="357" w:firstLine="480"/>
      </w:pPr>
      <w:r>
        <w:rPr>
          <w:spacing w:val="-3"/>
        </w:rPr>
        <w:t>就本项临床研究而言，用药差错误指 </w:t>
      </w:r>
      <w:r>
        <w:rPr>
          <w:rFonts w:ascii="Times New Roman" w:eastAsia="Times New Roman"/>
        </w:rPr>
        <w:t>IMP</w:t>
      </w:r>
      <w:r>
        <w:rPr>
          <w:rFonts w:ascii="Times New Roman" w:eastAsia="Times New Roman"/>
          <w:spacing w:val="-15"/>
        </w:rPr>
        <w:t> </w:t>
      </w:r>
      <w:r>
        <w:rPr>
          <w:spacing w:val="-7"/>
        </w:rPr>
        <w:t>或阿斯利康 </w:t>
      </w:r>
      <w:r>
        <w:rPr>
          <w:rFonts w:ascii="Times New Roman" w:eastAsia="Times New Roman"/>
        </w:rPr>
        <w:t>NIMP</w:t>
      </w:r>
      <w:r>
        <w:rPr>
          <w:rFonts w:ascii="Times New Roman" w:eastAsia="Times New Roman"/>
          <w:spacing w:val="-6"/>
        </w:rPr>
        <w:t> </w:t>
      </w:r>
      <w:r>
        <w:rPr/>
        <w:t>治疗过程中出现的</w:t>
      </w:r>
      <w:r>
        <w:rPr>
          <w:spacing w:val="-2"/>
        </w:rPr>
        <w:t>对受试者造成伤害或有可能对受试者造成伤害的一种</w:t>
      </w:r>
      <w:r>
        <w:rPr>
          <w:b/>
          <w:spacing w:val="-2"/>
        </w:rPr>
        <w:t>非故意</w:t>
      </w:r>
      <w:r>
        <w:rPr>
          <w:spacing w:val="-2"/>
        </w:rPr>
        <w:t>用药失败或错误。</w:t>
      </w:r>
    </w:p>
    <w:p>
      <w:pPr>
        <w:pStyle w:val="BodyText"/>
        <w:spacing w:before="238"/>
        <w:ind w:left="701"/>
      </w:pPr>
      <w:r>
        <w:rPr>
          <w:spacing w:val="-4"/>
        </w:rPr>
        <w:t>用药差错的完整定义和示例见附录 </w:t>
      </w:r>
      <w:hyperlink w:history="true" w:anchor="_bookmark152">
        <w:r>
          <w:rPr>
            <w:rFonts w:ascii="Times New Roman" w:eastAsia="Times New Roman"/>
            <w:color w:val="0000FF"/>
          </w:rPr>
          <w:t>B</w:t>
        </w:r>
        <w:r>
          <w:rPr>
            <w:rFonts w:ascii="Times New Roman" w:eastAsia="Times New Roman"/>
            <w:color w:val="0000FF"/>
            <w:spacing w:val="-1"/>
          </w:rPr>
          <w:t> </w:t>
        </w:r>
        <w:r>
          <w:rPr>
            <w:rFonts w:ascii="Times New Roman" w:eastAsia="Times New Roman"/>
            <w:color w:val="0000FF"/>
          </w:rPr>
          <w:t>4</w:t>
        </w:r>
      </w:hyperlink>
      <w:r>
        <w:rPr>
          <w:spacing w:val="-10"/>
        </w:rPr>
        <w:t>。</w:t>
      </w:r>
    </w:p>
    <w:p>
      <w:pPr>
        <w:pStyle w:val="Heading3"/>
        <w:numPr>
          <w:ilvl w:val="3"/>
          <w:numId w:val="3"/>
        </w:numPr>
        <w:tabs>
          <w:tab w:pos="1355" w:val="left" w:leader="none"/>
        </w:tabs>
        <w:spacing w:line="240" w:lineRule="auto" w:before="285" w:after="0"/>
        <w:ind w:left="1355" w:right="0" w:hanging="1134"/>
        <w:jc w:val="left"/>
      </w:pPr>
      <w:bookmarkStart w:name="8.3.11.3 药物滥用" w:id="213"/>
      <w:bookmarkEnd w:id="213"/>
      <w:r>
        <w:rPr>
          <w:b w:val="0"/>
        </w:rPr>
      </w:r>
      <w:bookmarkStart w:name="_bookmark109" w:id="214"/>
      <w:bookmarkEnd w:id="214"/>
      <w:r>
        <w:rPr>
          <w:b w:val="0"/>
        </w:rPr>
      </w:r>
      <w:r>
        <w:rPr>
          <w:spacing w:val="-4"/>
        </w:rPr>
        <w:t>药物滥用</w:t>
      </w:r>
    </w:p>
    <w:p>
      <w:pPr>
        <w:pStyle w:val="BodyText"/>
        <w:spacing w:line="276" w:lineRule="auto" w:before="60"/>
        <w:ind w:right="357" w:firstLine="480"/>
      </w:pPr>
      <w:r>
        <w:rPr/>
        <w:t>药物滥用是指持续或偶尔</w:t>
      </w:r>
      <w:r>
        <w:rPr>
          <w:b/>
        </w:rPr>
        <w:t>故意</w:t>
      </w:r>
      <w:r>
        <w:rPr>
          <w:spacing w:val="-3"/>
        </w:rPr>
        <w:t>、非治疗性过度使用 </w:t>
      </w:r>
      <w:r>
        <w:rPr>
          <w:rFonts w:ascii="Times New Roman" w:eastAsia="Times New Roman"/>
        </w:rPr>
        <w:t>IMP</w:t>
      </w:r>
      <w:r>
        <w:rPr>
          <w:rFonts w:ascii="Times New Roman" w:eastAsia="Times New Roman"/>
          <w:spacing w:val="15"/>
        </w:rPr>
        <w:t> </w:t>
      </w:r>
      <w:r>
        <w:rPr>
          <w:spacing w:val="-5"/>
        </w:rPr>
        <w:t>或阿斯利康 </w:t>
      </w:r>
      <w:r>
        <w:rPr>
          <w:rFonts w:ascii="Times New Roman" w:eastAsia="Times New Roman"/>
        </w:rPr>
        <w:t>NIMP</w:t>
      </w:r>
      <w:r>
        <w:rPr/>
        <w:t>，以</w:t>
      </w:r>
      <w:r>
        <w:rPr>
          <w:spacing w:val="-2"/>
        </w:rPr>
        <w:t>获得欣快感或期望的非治疗效果。</w:t>
      </w:r>
    </w:p>
    <w:p>
      <w:pPr>
        <w:pStyle w:val="BodyText"/>
        <w:spacing w:before="238"/>
        <w:ind w:left="701"/>
      </w:pPr>
      <w:r>
        <w:rPr>
          <w:spacing w:val="-4"/>
        </w:rPr>
        <w:t>药物滥用的完整定义和示例见附录 </w:t>
      </w:r>
      <w:hyperlink w:history="true" w:anchor="_bookmark152">
        <w:r>
          <w:rPr>
            <w:rFonts w:ascii="Times New Roman" w:eastAsia="Times New Roman"/>
            <w:color w:val="0000FF"/>
          </w:rPr>
          <w:t>B</w:t>
        </w:r>
        <w:r>
          <w:rPr>
            <w:rFonts w:ascii="Times New Roman" w:eastAsia="Times New Roman"/>
            <w:color w:val="0000FF"/>
            <w:spacing w:val="-1"/>
          </w:rPr>
          <w:t> </w:t>
        </w:r>
        <w:r>
          <w:rPr>
            <w:rFonts w:ascii="Times New Roman" w:eastAsia="Times New Roman"/>
            <w:color w:val="0000FF"/>
          </w:rPr>
          <w:t>4</w:t>
        </w:r>
      </w:hyperlink>
      <w:r>
        <w:rPr>
          <w:spacing w:val="-10"/>
        </w:rPr>
        <w:t>。</w:t>
      </w:r>
    </w:p>
    <w:p>
      <w:pPr>
        <w:pStyle w:val="Heading3"/>
        <w:numPr>
          <w:ilvl w:val="3"/>
          <w:numId w:val="3"/>
        </w:numPr>
        <w:tabs>
          <w:tab w:pos="1355" w:val="left" w:leader="none"/>
        </w:tabs>
        <w:spacing w:line="240" w:lineRule="auto" w:before="287" w:after="0"/>
        <w:ind w:left="1355" w:right="0" w:hanging="1134"/>
        <w:jc w:val="left"/>
      </w:pPr>
      <w:bookmarkStart w:name="8.3.11.4 药物误用" w:id="215"/>
      <w:bookmarkEnd w:id="215"/>
      <w:r>
        <w:rPr>
          <w:b w:val="0"/>
        </w:rPr>
      </w:r>
      <w:bookmarkStart w:name="_bookmark110" w:id="216"/>
      <w:bookmarkEnd w:id="216"/>
      <w:r>
        <w:rPr>
          <w:b w:val="0"/>
        </w:rPr>
      </w:r>
      <w:r>
        <w:rPr>
          <w:spacing w:val="-4"/>
        </w:rPr>
        <w:t>药物误用</w:t>
      </w:r>
    </w:p>
    <w:p>
      <w:pPr>
        <w:pStyle w:val="BodyText"/>
        <w:spacing w:line="276" w:lineRule="auto" w:before="58"/>
        <w:ind w:right="357" w:firstLine="480"/>
        <w:jc w:val="both"/>
      </w:pPr>
      <w:r>
        <w:rPr/>
        <w:t>药物误用是指（研究受试者）</w:t>
      </w:r>
      <w:r>
        <w:rPr>
          <w:b/>
        </w:rPr>
        <w:t>故意</w:t>
      </w:r>
      <w:r>
        <w:rPr>
          <w:spacing w:val="-5"/>
        </w:rPr>
        <w:t>且不恰当地将 </w:t>
      </w:r>
      <w:r>
        <w:rPr>
          <w:rFonts w:ascii="Times New Roman" w:eastAsia="Times New Roman"/>
        </w:rPr>
        <w:t>IMP</w:t>
      </w:r>
      <w:r>
        <w:rPr>
          <w:rFonts w:ascii="Times New Roman" w:eastAsia="Times New Roman"/>
          <w:spacing w:val="-15"/>
        </w:rPr>
        <w:t> </w:t>
      </w:r>
      <w:r>
        <w:rPr>
          <w:spacing w:val="-5"/>
        </w:rPr>
        <w:t>或阿斯利康 </w:t>
      </w:r>
      <w:r>
        <w:rPr>
          <w:rFonts w:ascii="Times New Roman" w:eastAsia="Times New Roman"/>
        </w:rPr>
        <w:t>NIMP</w:t>
      </w:r>
      <w:r>
        <w:rPr>
          <w:rFonts w:ascii="Times New Roman" w:eastAsia="Times New Roman"/>
          <w:spacing w:val="-15"/>
        </w:rPr>
        <w:t> </w:t>
      </w:r>
      <w:r>
        <w:rPr/>
        <w:t>用于授</w:t>
      </w:r>
      <w:r>
        <w:rPr>
          <w:spacing w:val="-2"/>
        </w:rPr>
        <w:t>权产品信息以外的医学目的，或将未经授权的 </w:t>
      </w:r>
      <w:r>
        <w:rPr>
          <w:rFonts w:ascii="Times New Roman" w:eastAsia="Times New Roman"/>
        </w:rPr>
        <w:t>IMP</w:t>
      </w:r>
      <w:r>
        <w:rPr>
          <w:rFonts w:ascii="Times New Roman" w:eastAsia="Times New Roman"/>
          <w:spacing w:val="-15"/>
        </w:rPr>
        <w:t> </w:t>
      </w:r>
      <w:r>
        <w:rPr>
          <w:spacing w:val="-5"/>
        </w:rPr>
        <w:t>或阿斯利康 </w:t>
      </w:r>
      <w:r>
        <w:rPr>
          <w:rFonts w:ascii="Times New Roman" w:eastAsia="Times New Roman"/>
        </w:rPr>
        <w:t>NIMP</w:t>
      </w:r>
      <w:r>
        <w:rPr>
          <w:rFonts w:ascii="Times New Roman" w:eastAsia="Times New Roman"/>
          <w:spacing w:val="-15"/>
        </w:rPr>
        <w:t> </w:t>
      </w:r>
      <w:r>
        <w:rPr/>
        <w:t>用于方案规定</w:t>
      </w:r>
      <w:r>
        <w:rPr>
          <w:spacing w:val="-2"/>
        </w:rPr>
        <w:t>以外的预期用途，包括故意通过错误途径给药。</w:t>
      </w:r>
    </w:p>
    <w:p>
      <w:pPr>
        <w:pStyle w:val="BodyText"/>
        <w:spacing w:before="238"/>
        <w:ind w:left="701"/>
      </w:pPr>
      <w:r>
        <w:rPr>
          <w:spacing w:val="-4"/>
        </w:rPr>
        <w:t>药物误用的完整定义和示例见附录 </w:t>
      </w:r>
      <w:hyperlink w:history="true" w:anchor="_bookmark152">
        <w:r>
          <w:rPr>
            <w:rFonts w:ascii="Times New Roman" w:eastAsia="Times New Roman"/>
            <w:color w:val="0000FF"/>
          </w:rPr>
          <w:t>B</w:t>
        </w:r>
        <w:r>
          <w:rPr>
            <w:rFonts w:ascii="Times New Roman" w:eastAsia="Times New Roman"/>
            <w:color w:val="0000FF"/>
            <w:spacing w:val="-1"/>
          </w:rPr>
          <w:t> </w:t>
        </w:r>
        <w:r>
          <w:rPr>
            <w:rFonts w:ascii="Times New Roman" w:eastAsia="Times New Roman"/>
            <w:color w:val="0000FF"/>
          </w:rPr>
          <w:t>4</w:t>
        </w:r>
      </w:hyperlink>
      <w:r>
        <w:rPr>
          <w:spacing w:val="-10"/>
        </w:rPr>
        <w:t>。</w:t>
      </w:r>
    </w:p>
    <w:p>
      <w:pPr>
        <w:spacing w:after="0"/>
        <w:sectPr>
          <w:pgSz w:w="11910" w:h="16840"/>
          <w:pgMar w:header="590" w:footer="784" w:top="1340" w:bottom="980" w:left="1480" w:right="1080"/>
        </w:sectPr>
      </w:pPr>
    </w:p>
    <w:p>
      <w:pPr>
        <w:pStyle w:val="Heading2"/>
        <w:numPr>
          <w:ilvl w:val="2"/>
          <w:numId w:val="3"/>
        </w:numPr>
        <w:tabs>
          <w:tab w:pos="1373" w:val="left" w:leader="none"/>
        </w:tabs>
        <w:spacing w:line="240" w:lineRule="auto" w:before="87" w:after="0"/>
        <w:ind w:left="1373" w:right="0" w:hanging="1152"/>
        <w:jc w:val="left"/>
      </w:pPr>
      <w:bookmarkStart w:name="8.3.12 用药过量报告" w:id="217"/>
      <w:bookmarkEnd w:id="217"/>
      <w:r>
        <w:rPr>
          <w:b w:val="0"/>
        </w:rPr>
      </w:r>
      <w:bookmarkStart w:name="_bookmark111" w:id="218"/>
      <w:bookmarkEnd w:id="218"/>
      <w:r>
        <w:rPr>
          <w:b w:val="0"/>
        </w:rPr>
      </w:r>
      <w:r>
        <w:rPr>
          <w:spacing w:val="-5"/>
        </w:rPr>
        <w:t>用药过量报告</w:t>
      </w:r>
    </w:p>
    <w:p>
      <w:pPr>
        <w:pStyle w:val="BodyText"/>
        <w:spacing w:line="276" w:lineRule="auto" w:before="120"/>
        <w:ind w:right="357" w:firstLine="480"/>
      </w:pPr>
      <w:r>
        <w:rPr>
          <w:spacing w:val="-3"/>
        </w:rPr>
        <w:t>对于本研究，在研究期内，任何高于计划剂量的 </w:t>
      </w:r>
      <w:r>
        <w:rPr>
          <w:rFonts w:ascii="Times New Roman" w:eastAsia="Times New Roman"/>
        </w:rPr>
        <w:t>tozorakimab</w:t>
      </w:r>
      <w:r>
        <w:rPr>
          <w:rFonts w:ascii="Times New Roman" w:eastAsia="Times New Roman"/>
          <w:spacing w:val="-15"/>
        </w:rPr>
        <w:t> </w:t>
      </w:r>
      <w:r>
        <w:rPr/>
        <w:t>剂量将被视为用药</w:t>
      </w:r>
      <w:r>
        <w:rPr>
          <w:spacing w:val="-4"/>
        </w:rPr>
        <w:t>过量。</w:t>
      </w:r>
    </w:p>
    <w:p>
      <w:pPr>
        <w:pStyle w:val="ListParagraph"/>
        <w:numPr>
          <w:ilvl w:val="0"/>
          <w:numId w:val="43"/>
        </w:numPr>
        <w:tabs>
          <w:tab w:pos="646" w:val="left" w:leader="none"/>
        </w:tabs>
        <w:spacing w:line="240" w:lineRule="auto" w:before="238" w:after="0"/>
        <w:ind w:left="646" w:right="357" w:hanging="425"/>
        <w:jc w:val="left"/>
        <w:rPr>
          <w:sz w:val="24"/>
        </w:rPr>
      </w:pPr>
      <w:r>
        <w:rPr>
          <w:spacing w:val="-12"/>
          <w:sz w:val="24"/>
        </w:rPr>
        <w:t>用药过量伴 </w:t>
      </w:r>
      <w:r>
        <w:rPr>
          <w:rFonts w:ascii="Times New Roman" w:hAnsi="Times New Roman" w:eastAsia="Times New Roman"/>
          <w:sz w:val="24"/>
        </w:rPr>
        <w:t>AE</w:t>
      </w:r>
      <w:r>
        <w:rPr>
          <w:spacing w:val="-22"/>
          <w:sz w:val="24"/>
        </w:rPr>
        <w:t>，在 </w:t>
      </w:r>
      <w:r>
        <w:rPr>
          <w:rFonts w:ascii="Times New Roman" w:hAnsi="Times New Roman" w:eastAsia="Times New Roman"/>
          <w:sz w:val="24"/>
        </w:rPr>
        <w:t>eCRF</w:t>
      </w:r>
      <w:r>
        <w:rPr>
          <w:rFonts w:ascii="Times New Roman" w:hAnsi="Times New Roman" w:eastAsia="Times New Roman"/>
          <w:spacing w:val="-19"/>
          <w:sz w:val="24"/>
        </w:rPr>
        <w:t> </w:t>
      </w:r>
      <w:r>
        <w:rPr>
          <w:spacing w:val="-17"/>
          <w:sz w:val="24"/>
        </w:rPr>
        <w:t>的相关 </w:t>
      </w:r>
      <w:r>
        <w:rPr>
          <w:rFonts w:ascii="Times New Roman" w:hAnsi="Times New Roman" w:eastAsia="Times New Roman"/>
          <w:sz w:val="24"/>
        </w:rPr>
        <w:t>AE</w:t>
      </w:r>
      <w:r>
        <w:rPr>
          <w:rFonts w:ascii="Times New Roman" w:hAnsi="Times New Roman" w:eastAsia="Times New Roman"/>
          <w:spacing w:val="-19"/>
          <w:sz w:val="24"/>
        </w:rPr>
        <w:t> </w:t>
      </w:r>
      <w:r>
        <w:rPr>
          <w:spacing w:val="-14"/>
          <w:sz w:val="24"/>
        </w:rPr>
        <w:t>模块记录 </w:t>
      </w:r>
      <w:r>
        <w:rPr>
          <w:rFonts w:ascii="Times New Roman" w:hAnsi="Times New Roman" w:eastAsia="Times New Roman"/>
          <w:sz w:val="24"/>
        </w:rPr>
        <w:t>AE</w:t>
      </w:r>
      <w:r>
        <w:rPr>
          <w:rFonts w:ascii="Times New Roman" w:hAnsi="Times New Roman" w:eastAsia="Times New Roman"/>
          <w:spacing w:val="-18"/>
          <w:sz w:val="24"/>
        </w:rPr>
        <w:t> </w:t>
      </w:r>
      <w:r>
        <w:rPr>
          <w:sz w:val="24"/>
        </w:rPr>
        <w:t>诊断结果</w:t>
      </w:r>
      <w:r>
        <w:rPr>
          <w:rFonts w:ascii="Times New Roman" w:hAnsi="Times New Roman" w:eastAsia="Times New Roman"/>
          <w:sz w:val="24"/>
        </w:rPr>
        <w:t>/</w:t>
      </w:r>
      <w:r>
        <w:rPr>
          <w:spacing w:val="16"/>
          <w:sz w:val="24"/>
        </w:rPr>
        <w:t>症状和</w:t>
      </w:r>
      <w:r>
        <w:rPr>
          <w:rFonts w:ascii="Times New Roman" w:hAnsi="Times New Roman" w:eastAsia="Times New Roman"/>
          <w:sz w:val="24"/>
        </w:rPr>
        <w:t>eCRF</w:t>
      </w:r>
      <w:r>
        <w:rPr>
          <w:rFonts w:ascii="Times New Roman" w:hAnsi="Times New Roman" w:eastAsia="Times New Roman"/>
          <w:spacing w:val="-18"/>
          <w:sz w:val="24"/>
        </w:rPr>
        <w:t> </w:t>
      </w:r>
      <w:r>
        <w:rPr>
          <w:sz w:val="24"/>
        </w:rPr>
        <w:t>用药过</w:t>
      </w:r>
      <w:r>
        <w:rPr>
          <w:spacing w:val="-2"/>
          <w:sz w:val="24"/>
        </w:rPr>
        <w:t>量模块中记录。</w:t>
      </w:r>
    </w:p>
    <w:p>
      <w:pPr>
        <w:pStyle w:val="ListParagraph"/>
        <w:numPr>
          <w:ilvl w:val="0"/>
          <w:numId w:val="43"/>
        </w:numPr>
        <w:tabs>
          <w:tab w:pos="646" w:val="left" w:leader="none"/>
        </w:tabs>
        <w:spacing w:line="240" w:lineRule="auto" w:before="59" w:after="0"/>
        <w:ind w:left="646" w:right="0" w:hanging="425"/>
        <w:jc w:val="left"/>
        <w:rPr>
          <w:sz w:val="24"/>
        </w:rPr>
      </w:pPr>
      <w:r>
        <w:rPr>
          <w:spacing w:val="-5"/>
          <w:sz w:val="24"/>
        </w:rPr>
        <w:t>无伴发症状的用药过量仅在 </w:t>
      </w:r>
      <w:r>
        <w:rPr>
          <w:rFonts w:ascii="Times New Roman" w:hAnsi="Times New Roman" w:eastAsia="Times New Roman"/>
          <w:sz w:val="24"/>
        </w:rPr>
        <w:t>eCRF</w:t>
      </w:r>
      <w:r>
        <w:rPr>
          <w:rFonts w:ascii="Times New Roman" w:hAnsi="Times New Roman" w:eastAsia="Times New Roman"/>
          <w:spacing w:val="-13"/>
          <w:sz w:val="24"/>
        </w:rPr>
        <w:t> </w:t>
      </w:r>
      <w:r>
        <w:rPr>
          <w:spacing w:val="-1"/>
          <w:sz w:val="24"/>
        </w:rPr>
        <w:t>用药过量模块中报告。</w:t>
      </w:r>
    </w:p>
    <w:p>
      <w:pPr>
        <w:pStyle w:val="BodyText"/>
        <w:spacing w:before="23"/>
        <w:ind w:left="0"/>
      </w:pPr>
    </w:p>
    <w:p>
      <w:pPr>
        <w:pStyle w:val="BodyText"/>
        <w:spacing w:line="276" w:lineRule="auto" w:before="1"/>
        <w:ind w:right="357" w:firstLine="480"/>
      </w:pPr>
      <w:r>
        <w:rPr>
          <w:spacing w:val="-4"/>
        </w:rPr>
        <w:t>研究期间，若申办者 </w:t>
      </w:r>
      <w:r>
        <w:rPr>
          <w:rFonts w:ascii="Times New Roman" w:eastAsia="Times New Roman"/>
        </w:rPr>
        <w:t>IP</w:t>
      </w:r>
      <w:r>
        <w:rPr>
          <w:rFonts w:ascii="Times New Roman" w:eastAsia="Times New Roman"/>
          <w:spacing w:val="-15"/>
        </w:rPr>
        <w:t> </w:t>
      </w:r>
      <w:r>
        <w:rPr/>
        <w:t>治疗出现用药过量，则研究者或其他研究中心工作人员在其知悉后</w:t>
      </w:r>
      <w:r>
        <w:rPr>
          <w:b/>
          <w:spacing w:val="-6"/>
        </w:rPr>
        <w:t>不晚于 </w:t>
      </w:r>
      <w:r>
        <w:rPr>
          <w:rFonts w:ascii="Times New Roman" w:eastAsia="Times New Roman"/>
          <w:b/>
        </w:rPr>
        <w:t>24 </w:t>
      </w:r>
      <w:r>
        <w:rPr>
          <w:b/>
        </w:rPr>
        <w:t>小时，</w:t>
      </w:r>
      <w:r>
        <w:rPr/>
        <w:t>立即通知申办者相应代表。</w:t>
      </w:r>
    </w:p>
    <w:p>
      <w:pPr>
        <w:pStyle w:val="BodyText"/>
        <w:spacing w:before="237"/>
        <w:ind w:left="0" w:right="357"/>
        <w:jc w:val="right"/>
        <w:rPr>
          <w:rFonts w:ascii="Times New Roman" w:eastAsia="Times New Roman"/>
          <w:b/>
        </w:rPr>
      </w:pPr>
      <w:r>
        <w:rPr>
          <w:spacing w:val="-16"/>
        </w:rPr>
        <w:t>对于 </w:t>
      </w:r>
      <w:r>
        <w:rPr>
          <w:rFonts w:ascii="Times New Roman" w:eastAsia="Times New Roman"/>
        </w:rPr>
        <w:t>SAE</w:t>
      </w:r>
      <w:r>
        <w:rPr>
          <w:spacing w:val="-3"/>
        </w:rPr>
        <w:t>，申办者指定代表与研究者共同确保在导致 </w:t>
      </w:r>
      <w:r>
        <w:rPr>
          <w:rFonts w:ascii="Times New Roman" w:eastAsia="Times New Roman"/>
        </w:rPr>
        <w:t>SAE</w:t>
      </w:r>
      <w:r>
        <w:rPr>
          <w:rFonts w:ascii="Times New Roman" w:eastAsia="Times New Roman"/>
          <w:spacing w:val="-9"/>
        </w:rPr>
        <w:t> </w:t>
      </w:r>
      <w:r>
        <w:rPr>
          <w:spacing w:val="-7"/>
        </w:rPr>
        <w:t>的药物过量后 </w:t>
      </w:r>
      <w:r>
        <w:rPr>
          <w:rFonts w:ascii="Times New Roman" w:eastAsia="Times New Roman"/>
          <w:b/>
        </w:rPr>
        <w:t>1</w:t>
      </w:r>
      <w:r>
        <w:rPr>
          <w:rFonts w:ascii="Times New Roman" w:eastAsia="Times New Roman"/>
          <w:b/>
          <w:spacing w:val="1"/>
        </w:rPr>
        <w:t> </w:t>
      </w:r>
      <w:r>
        <w:rPr>
          <w:b/>
          <w:spacing w:val="-23"/>
        </w:rPr>
        <w:t>或 </w:t>
      </w:r>
      <w:r>
        <w:rPr>
          <w:rFonts w:ascii="Times New Roman" w:eastAsia="Times New Roman"/>
          <w:b/>
          <w:spacing w:val="-10"/>
        </w:rPr>
        <w:t>5</w:t>
      </w:r>
    </w:p>
    <w:p>
      <w:pPr>
        <w:pStyle w:val="BodyText"/>
        <w:spacing w:before="47"/>
        <w:ind w:left="0" w:right="357"/>
        <w:jc w:val="right"/>
      </w:pPr>
      <w:r>
        <w:rPr>
          <w:b/>
        </w:rPr>
        <w:t>个日历日内</w:t>
      </w:r>
      <w:r>
        <w:rPr/>
        <w:t>向申办者患者安全数据录入中心提供所有相关信息（</w:t>
      </w:r>
      <w:r>
        <w:rPr>
          <w:spacing w:val="-18"/>
        </w:rPr>
        <w:t>见第 </w:t>
      </w:r>
      <w:hyperlink w:history="true" w:anchor="_bookmark102">
        <w:r>
          <w:rPr>
            <w:rFonts w:ascii="Times New Roman" w:eastAsia="Times New Roman"/>
            <w:color w:val="0000FF"/>
          </w:rPr>
          <w:t>8.3.9</w:t>
        </w:r>
      </w:hyperlink>
      <w:r>
        <w:rPr>
          <w:rFonts w:ascii="Times New Roman" w:eastAsia="Times New Roman"/>
          <w:color w:val="0000FF"/>
          <w:spacing w:val="-15"/>
        </w:rPr>
        <w:t> </w:t>
      </w:r>
      <w:r>
        <w:rPr/>
        <w:t>节）；</w:t>
      </w:r>
      <w:r>
        <w:rPr>
          <w:spacing w:val="-10"/>
        </w:rPr>
        <w:t>对</w:t>
      </w:r>
    </w:p>
    <w:p>
      <w:pPr>
        <w:spacing w:before="46"/>
        <w:ind w:left="221" w:right="0" w:firstLine="0"/>
        <w:jc w:val="left"/>
        <w:rPr>
          <w:sz w:val="24"/>
        </w:rPr>
      </w:pPr>
      <w:r>
        <w:rPr>
          <w:spacing w:val="-5"/>
          <w:sz w:val="24"/>
        </w:rPr>
        <w:t>于其他用药过量情况，应在 </w:t>
      </w:r>
      <w:r>
        <w:rPr>
          <w:rFonts w:ascii="Times New Roman" w:eastAsia="Times New Roman"/>
          <w:b/>
          <w:sz w:val="24"/>
        </w:rPr>
        <w:t>30</w:t>
      </w:r>
      <w:r>
        <w:rPr>
          <w:rFonts w:ascii="Times New Roman" w:eastAsia="Times New Roman"/>
          <w:b/>
          <w:spacing w:val="-13"/>
          <w:sz w:val="24"/>
        </w:rPr>
        <w:t> </w:t>
      </w:r>
      <w:r>
        <w:rPr>
          <w:b/>
          <w:sz w:val="24"/>
        </w:rPr>
        <w:t>天内</w:t>
      </w:r>
      <w:r>
        <w:rPr>
          <w:spacing w:val="-4"/>
          <w:sz w:val="24"/>
        </w:rPr>
        <w:t>提供。</w:t>
      </w:r>
    </w:p>
    <w:p>
      <w:pPr>
        <w:pStyle w:val="Heading2"/>
        <w:numPr>
          <w:ilvl w:val="2"/>
          <w:numId w:val="3"/>
        </w:numPr>
        <w:tabs>
          <w:tab w:pos="1373" w:val="left" w:leader="none"/>
        </w:tabs>
        <w:spacing w:line="240" w:lineRule="auto" w:before="284" w:after="0"/>
        <w:ind w:left="1373" w:right="0" w:hanging="1152"/>
        <w:jc w:val="left"/>
      </w:pPr>
      <w:bookmarkStart w:name="8.3.13 器械组件和第三方医疗器械缺陷" w:id="219"/>
      <w:bookmarkEnd w:id="219"/>
      <w:r>
        <w:rPr>
          <w:b w:val="0"/>
        </w:rPr>
      </w:r>
      <w:bookmarkStart w:name="_bookmark112" w:id="220"/>
      <w:bookmarkEnd w:id="220"/>
      <w:r>
        <w:rPr>
          <w:b w:val="0"/>
        </w:rPr>
      </w:r>
      <w:r>
        <w:rPr>
          <w:spacing w:val="-3"/>
        </w:rPr>
        <w:t>器械组件和第三方医疗器械缺陷</w:t>
      </w:r>
    </w:p>
    <w:p>
      <w:pPr>
        <w:pStyle w:val="BodyText"/>
        <w:spacing w:line="276" w:lineRule="auto" w:before="120"/>
        <w:ind w:right="119" w:firstLine="480"/>
      </w:pPr>
      <w:r>
        <w:rPr>
          <w:spacing w:val="-2"/>
        </w:rPr>
        <w:t>在本研究中，提供的是具有器械组件的组合产品。为了履行全球监管报告义务，</w:t>
      </w:r>
      <w:r>
        <w:rPr>
          <w:spacing w:val="-1"/>
        </w:rPr>
        <w:t>研究者负责检测和记录研究期间 </w:t>
      </w:r>
      <w:r>
        <w:rPr>
          <w:rFonts w:ascii="Times New Roman" w:eastAsia="Times New Roman"/>
        </w:rPr>
        <w:t>tozorakimab </w:t>
      </w:r>
      <w:r>
        <w:rPr/>
        <w:t>组合产品的器械发生的符合缺陷定义的</w:t>
      </w:r>
      <w:r>
        <w:rPr/>
        <w:t> </w:t>
      </w:r>
      <w:r>
        <w:rPr>
          <w:spacing w:val="-4"/>
        </w:rPr>
        <w:t>事件。</w:t>
      </w:r>
    </w:p>
    <w:p>
      <w:pPr>
        <w:pStyle w:val="BodyText"/>
        <w:spacing w:line="276" w:lineRule="auto" w:before="238"/>
        <w:ind w:right="365" w:firstLine="480"/>
      </w:pPr>
      <w:r>
        <w:rPr>
          <w:spacing w:val="-2"/>
        </w:rPr>
        <w:t>组合产品器械缺陷的定义是指器械在标识、质量、耐用性、可靠性、安全性或性能方面的不足。器械缺陷包括故障、使用错误和生产商提供的信息。</w:t>
      </w:r>
    </w:p>
    <w:p>
      <w:pPr>
        <w:pStyle w:val="BodyText"/>
        <w:spacing w:line="276" w:lineRule="auto" w:before="238"/>
        <w:ind w:right="361" w:firstLine="480"/>
      </w:pPr>
      <w:r>
        <w:rPr>
          <w:spacing w:val="-2"/>
        </w:rPr>
        <w:t>将收集并监测本研究期间发生的器械缺陷，以确保受试者的安全，并提高器械的安全性和性能。</w:t>
      </w:r>
    </w:p>
    <w:p>
      <w:pPr>
        <w:pStyle w:val="BodyText"/>
        <w:spacing w:line="276" w:lineRule="auto" w:before="239"/>
        <w:ind w:right="361" w:firstLine="480"/>
      </w:pPr>
      <w:r>
        <w:rPr>
          <w:spacing w:val="-2"/>
        </w:rPr>
        <w:t>将不在临床研究报告中列出器械缺陷，但如果当地法规要求，将在相关周期报告中总结缺陷。</w:t>
      </w:r>
    </w:p>
    <w:p>
      <w:pPr>
        <w:pStyle w:val="BodyText"/>
        <w:spacing w:line="276" w:lineRule="auto" w:before="239"/>
        <w:ind w:right="358" w:firstLine="480"/>
      </w:pPr>
      <w:r>
        <w:rPr>
          <w:spacing w:val="-1"/>
        </w:rPr>
        <w:t>将使用产品投诉登记表收集缺陷。此外，如果除故障之外还发生了 </w:t>
      </w:r>
      <w:r>
        <w:rPr>
          <w:rFonts w:ascii="Times New Roman" w:eastAsia="Times New Roman"/>
        </w:rPr>
        <w:t>SAE</w:t>
      </w:r>
      <w:r>
        <w:rPr/>
        <w:t>，则将</w:t>
      </w:r>
      <w:r>
        <w:rPr>
          <w:spacing w:val="-2"/>
        </w:rPr>
        <w:t>使用申办者的临床研究医疗器械</w:t>
      </w:r>
      <w:r>
        <w:rPr>
          <w:rFonts w:ascii="Times New Roman" w:eastAsia="Times New Roman"/>
          <w:spacing w:val="-2"/>
        </w:rPr>
        <w:t>/</w:t>
      </w:r>
      <w:r>
        <w:rPr>
          <w:spacing w:val="-2"/>
        </w:rPr>
        <w:t>器械报告表进行收集。</w:t>
      </w:r>
    </w:p>
    <w:p>
      <w:pPr>
        <w:pStyle w:val="BodyText"/>
        <w:spacing w:line="276" w:lineRule="auto" w:before="237"/>
        <w:ind w:right="354" w:firstLine="480"/>
        <w:jc w:val="both"/>
      </w:pPr>
      <w:r>
        <w:rPr>
          <w:spacing w:val="-2"/>
        </w:rPr>
        <w:t>此外，第三方肺量计测定仪和中心供应商提供的心电图仪将用于本研究。医疗器械使用说明书参见器械专用使用说明书。与这些第三方医疗器械相关的所有缺陷都将报告给制造商，制造商将负责履行其监管义务。研究中心将采用使用说明书中生产商的详细联系方式直接报告缺陷。</w:t>
      </w:r>
    </w:p>
    <w:p>
      <w:pPr>
        <w:pStyle w:val="Heading3"/>
        <w:numPr>
          <w:ilvl w:val="3"/>
          <w:numId w:val="3"/>
        </w:numPr>
        <w:tabs>
          <w:tab w:pos="1355" w:val="left" w:leader="none"/>
        </w:tabs>
        <w:spacing w:line="240" w:lineRule="auto" w:before="237" w:after="0"/>
        <w:ind w:left="1355" w:right="0" w:hanging="1134"/>
        <w:jc w:val="left"/>
      </w:pPr>
      <w:bookmarkStart w:name="8.3.13.1 检测器械缺陷的时限" w:id="221"/>
      <w:bookmarkEnd w:id="221"/>
      <w:r>
        <w:rPr>
          <w:b w:val="0"/>
        </w:rPr>
      </w:r>
      <w:bookmarkStart w:name="_bookmark113" w:id="222"/>
      <w:bookmarkEnd w:id="222"/>
      <w:r>
        <w:rPr>
          <w:b w:val="0"/>
        </w:rPr>
      </w:r>
      <w:r>
        <w:rPr>
          <w:spacing w:val="-3"/>
        </w:rPr>
        <w:t>检测器械缺陷的时限</w:t>
      </w:r>
    </w:p>
    <w:p>
      <w:pPr>
        <w:pStyle w:val="ListParagraph"/>
        <w:numPr>
          <w:ilvl w:val="0"/>
          <w:numId w:val="44"/>
        </w:numPr>
        <w:tabs>
          <w:tab w:pos="646" w:val="left" w:leader="none"/>
        </w:tabs>
        <w:spacing w:line="240" w:lineRule="auto" w:before="59" w:after="0"/>
        <w:ind w:left="646" w:right="357" w:hanging="425"/>
        <w:jc w:val="left"/>
        <w:rPr>
          <w:sz w:val="24"/>
        </w:rPr>
      </w:pPr>
      <w:r>
        <w:rPr>
          <w:spacing w:val="-6"/>
          <w:sz w:val="24"/>
        </w:rPr>
        <w:t>在本研究中所有使用 </w:t>
      </w:r>
      <w:r>
        <w:rPr>
          <w:rFonts w:ascii="Times New Roman" w:hAnsi="Times New Roman" w:eastAsia="Times New Roman"/>
          <w:sz w:val="24"/>
        </w:rPr>
        <w:t>IP</w:t>
      </w:r>
      <w:r>
        <w:rPr>
          <w:rFonts w:ascii="Times New Roman" w:hAnsi="Times New Roman" w:eastAsia="Times New Roman"/>
          <w:spacing w:val="-15"/>
          <w:sz w:val="24"/>
        </w:rPr>
        <w:t> </w:t>
      </w:r>
      <w:r>
        <w:rPr>
          <w:spacing w:val="-4"/>
          <w:sz w:val="24"/>
        </w:rPr>
        <w:t>的时间段，检测、记录并报告与 </w:t>
      </w:r>
      <w:r>
        <w:rPr>
          <w:rFonts w:ascii="Times New Roman" w:hAnsi="Times New Roman" w:eastAsia="Times New Roman"/>
          <w:sz w:val="24"/>
        </w:rPr>
        <w:t>IP</w:t>
      </w:r>
      <w:r>
        <w:rPr>
          <w:rFonts w:ascii="Times New Roman" w:hAnsi="Times New Roman" w:eastAsia="Times New Roman"/>
          <w:spacing w:val="-15"/>
          <w:sz w:val="24"/>
        </w:rPr>
        <w:t> </w:t>
      </w:r>
      <w:r>
        <w:rPr>
          <w:sz w:val="24"/>
        </w:rPr>
        <w:t>相关的任何事件或功</w:t>
      </w:r>
      <w:r>
        <w:rPr>
          <w:spacing w:val="-4"/>
          <w:sz w:val="24"/>
        </w:rPr>
        <w:t>能故障。</w:t>
      </w:r>
    </w:p>
    <w:p>
      <w:pPr>
        <w:pStyle w:val="ListParagraph"/>
        <w:numPr>
          <w:ilvl w:val="0"/>
          <w:numId w:val="44"/>
        </w:numPr>
        <w:tabs>
          <w:tab w:pos="646" w:val="left" w:leader="none"/>
        </w:tabs>
        <w:spacing w:line="240" w:lineRule="auto" w:before="57" w:after="0"/>
        <w:ind w:left="646" w:right="363" w:hanging="425"/>
        <w:jc w:val="left"/>
        <w:rPr>
          <w:sz w:val="24"/>
        </w:rPr>
      </w:pPr>
      <w:r>
        <w:rPr>
          <w:spacing w:val="3"/>
          <w:sz w:val="24"/>
        </w:rPr>
        <w:t>如果研究者在受试者退出研究后的任何时间获悉任何缺陷，并且认为此类事件与为本研究提供的器械存在合理的相关性，研究者将立即通知申办者。</w:t>
      </w:r>
    </w:p>
    <w:p>
      <w:pPr>
        <w:spacing w:after="0" w:line="240" w:lineRule="auto"/>
        <w:jc w:val="left"/>
        <w:rPr>
          <w:sz w:val="24"/>
        </w:rPr>
        <w:sectPr>
          <w:pgSz w:w="11910" w:h="16840"/>
          <w:pgMar w:header="590" w:footer="784" w:top="1340" w:bottom="980" w:left="1480" w:right="1080"/>
        </w:sectPr>
      </w:pPr>
    </w:p>
    <w:p>
      <w:pPr>
        <w:pStyle w:val="ListParagraph"/>
        <w:numPr>
          <w:ilvl w:val="0"/>
          <w:numId w:val="44"/>
        </w:numPr>
        <w:tabs>
          <w:tab w:pos="646" w:val="left" w:leader="none"/>
        </w:tabs>
        <w:spacing w:line="240" w:lineRule="auto" w:before="86" w:after="0"/>
        <w:ind w:left="646" w:right="363" w:hanging="425"/>
        <w:jc w:val="left"/>
        <w:rPr>
          <w:sz w:val="24"/>
        </w:rPr>
      </w:pPr>
      <w:r>
        <w:rPr>
          <w:spacing w:val="3"/>
          <w:sz w:val="24"/>
        </w:rPr>
        <w:t>新信息或更新信息将记录在最初填写的表格中，所有变更均由研究者签名并注明日期。</w:t>
      </w:r>
    </w:p>
    <w:p>
      <w:pPr>
        <w:pStyle w:val="BodyText"/>
        <w:spacing w:before="85"/>
        <w:ind w:left="0"/>
      </w:pPr>
    </w:p>
    <w:p>
      <w:pPr>
        <w:pStyle w:val="Heading3"/>
        <w:numPr>
          <w:ilvl w:val="3"/>
          <w:numId w:val="3"/>
        </w:numPr>
        <w:tabs>
          <w:tab w:pos="1355" w:val="left" w:leader="none"/>
        </w:tabs>
        <w:spacing w:line="240" w:lineRule="auto" w:before="0" w:after="0"/>
        <w:ind w:left="1355" w:right="0" w:hanging="1134"/>
        <w:jc w:val="left"/>
      </w:pPr>
      <w:bookmarkStart w:name="8.3.13.2 器械缺陷随访" w:id="223"/>
      <w:bookmarkEnd w:id="223"/>
      <w:r>
        <w:rPr>
          <w:b w:val="0"/>
        </w:rPr>
      </w:r>
      <w:bookmarkStart w:name="_bookmark114" w:id="224"/>
      <w:bookmarkEnd w:id="224"/>
      <w:r>
        <w:rPr>
          <w:b w:val="0"/>
        </w:rPr>
      </w:r>
      <w:r>
        <w:rPr>
          <w:spacing w:val="-5"/>
        </w:rPr>
        <w:t>器械缺陷随访</w:t>
      </w:r>
    </w:p>
    <w:p>
      <w:pPr>
        <w:pStyle w:val="ListParagraph"/>
        <w:numPr>
          <w:ilvl w:val="0"/>
          <w:numId w:val="45"/>
        </w:numPr>
        <w:tabs>
          <w:tab w:pos="646" w:val="left" w:leader="none"/>
        </w:tabs>
        <w:spacing w:line="240" w:lineRule="auto" w:before="59" w:after="0"/>
        <w:ind w:left="646" w:right="0" w:hanging="425"/>
        <w:jc w:val="left"/>
        <w:rPr>
          <w:sz w:val="24"/>
        </w:rPr>
      </w:pPr>
      <w:r>
        <w:rPr>
          <w:spacing w:val="-1"/>
          <w:sz w:val="24"/>
        </w:rPr>
        <w:t>对所有受试者进行随访，包括终止研究干预的受试者。</w:t>
      </w:r>
    </w:p>
    <w:p>
      <w:pPr>
        <w:pStyle w:val="ListParagraph"/>
        <w:numPr>
          <w:ilvl w:val="0"/>
          <w:numId w:val="45"/>
        </w:numPr>
        <w:tabs>
          <w:tab w:pos="646" w:val="left" w:leader="none"/>
        </w:tabs>
        <w:spacing w:line="240" w:lineRule="auto" w:before="58" w:after="0"/>
        <w:ind w:left="646" w:right="0" w:hanging="425"/>
        <w:jc w:val="left"/>
        <w:rPr>
          <w:sz w:val="24"/>
        </w:rPr>
      </w:pPr>
      <w:r>
        <w:rPr>
          <w:sz w:val="24"/>
        </w:rPr>
        <w:t>研究者负责确保随访包括阐明缺陷的性质和</w:t>
      </w:r>
      <w:r>
        <w:rPr>
          <w:rFonts w:ascii="Times New Roman" w:hAnsi="Times New Roman" w:eastAsia="Times New Roman"/>
          <w:sz w:val="24"/>
        </w:rPr>
        <w:t>/</w:t>
      </w:r>
      <w:r>
        <w:rPr>
          <w:spacing w:val="-1"/>
          <w:sz w:val="24"/>
        </w:rPr>
        <w:t>或因果关系所需的任何补充检查。</w:t>
      </w:r>
    </w:p>
    <w:p>
      <w:pPr>
        <w:pStyle w:val="ListParagraph"/>
        <w:numPr>
          <w:ilvl w:val="0"/>
          <w:numId w:val="45"/>
        </w:numPr>
        <w:tabs>
          <w:tab w:pos="646" w:val="left" w:leader="none"/>
        </w:tabs>
        <w:spacing w:line="240" w:lineRule="auto" w:before="59" w:after="0"/>
        <w:ind w:left="646" w:right="363" w:hanging="425"/>
        <w:jc w:val="left"/>
        <w:rPr>
          <w:sz w:val="24"/>
        </w:rPr>
      </w:pPr>
      <w:r>
        <w:rPr>
          <w:spacing w:val="3"/>
          <w:sz w:val="24"/>
        </w:rPr>
        <w:t>新信息或更新信息将记录在最初填写的表格中，所有变更均由研究者签名并注明日期。</w:t>
      </w:r>
    </w:p>
    <w:p>
      <w:pPr>
        <w:pStyle w:val="BodyText"/>
        <w:spacing w:before="84"/>
        <w:ind w:left="0"/>
      </w:pPr>
    </w:p>
    <w:p>
      <w:pPr>
        <w:pStyle w:val="Heading3"/>
        <w:numPr>
          <w:ilvl w:val="3"/>
          <w:numId w:val="3"/>
        </w:numPr>
        <w:tabs>
          <w:tab w:pos="1355" w:val="left" w:leader="none"/>
        </w:tabs>
        <w:spacing w:line="240" w:lineRule="auto" w:before="0" w:after="0"/>
        <w:ind w:left="1355" w:right="0" w:hanging="1134"/>
        <w:jc w:val="left"/>
      </w:pPr>
      <w:bookmarkStart w:name="8.3.13.3 立即向申办者报告器械缺陷" w:id="225"/>
      <w:bookmarkEnd w:id="225"/>
      <w:r>
        <w:rPr>
          <w:b w:val="0"/>
        </w:rPr>
      </w:r>
      <w:bookmarkStart w:name="_bookmark115" w:id="226"/>
      <w:bookmarkEnd w:id="226"/>
      <w:r>
        <w:rPr>
          <w:b w:val="0"/>
        </w:rPr>
      </w:r>
      <w:r>
        <w:rPr>
          <w:spacing w:val="-5"/>
        </w:rPr>
        <w:t>立即向申办者报告器械缺陷</w:t>
      </w:r>
    </w:p>
    <w:p>
      <w:pPr>
        <w:pStyle w:val="ListParagraph"/>
        <w:numPr>
          <w:ilvl w:val="0"/>
          <w:numId w:val="46"/>
        </w:numPr>
        <w:tabs>
          <w:tab w:pos="646" w:val="left" w:leader="none"/>
        </w:tabs>
        <w:spacing w:line="240" w:lineRule="auto" w:before="58" w:after="0"/>
        <w:ind w:left="646" w:right="357" w:hanging="425"/>
        <w:jc w:val="left"/>
        <w:rPr>
          <w:sz w:val="24"/>
        </w:rPr>
      </w:pPr>
      <w:r>
        <w:rPr>
          <w:spacing w:val="-2"/>
          <w:sz w:val="24"/>
        </w:rPr>
        <w:t>在研究者确定事件符合方案中关于器械缺陷的定义后，在 </w:t>
      </w:r>
      <w:r>
        <w:rPr>
          <w:rFonts w:ascii="Times New Roman" w:hAnsi="Times New Roman" w:eastAsia="Times New Roman"/>
          <w:sz w:val="24"/>
        </w:rPr>
        <w:t>24</w:t>
      </w:r>
      <w:r>
        <w:rPr>
          <w:rFonts w:ascii="Times New Roman" w:hAnsi="Times New Roman" w:eastAsia="Times New Roman"/>
          <w:spacing w:val="-4"/>
          <w:sz w:val="24"/>
        </w:rPr>
        <w:t> </w:t>
      </w:r>
      <w:r>
        <w:rPr>
          <w:sz w:val="24"/>
        </w:rPr>
        <w:t>小时内将所有器械</w:t>
      </w:r>
      <w:r>
        <w:rPr>
          <w:spacing w:val="-2"/>
          <w:sz w:val="24"/>
        </w:rPr>
        <w:t>缺陷报告给申办者。</w:t>
      </w:r>
    </w:p>
    <w:p>
      <w:pPr>
        <w:pStyle w:val="ListParagraph"/>
        <w:numPr>
          <w:ilvl w:val="0"/>
          <w:numId w:val="46"/>
        </w:numPr>
        <w:tabs>
          <w:tab w:pos="646" w:val="left" w:leader="none"/>
        </w:tabs>
        <w:spacing w:line="240" w:lineRule="auto" w:before="59" w:after="0"/>
        <w:ind w:left="646" w:right="356" w:hanging="425"/>
        <w:jc w:val="left"/>
        <w:rPr>
          <w:sz w:val="24"/>
        </w:rPr>
      </w:pPr>
      <w:r>
        <w:rPr>
          <w:spacing w:val="-2"/>
          <w:sz w:val="24"/>
        </w:rPr>
        <w:t>通过电子邮件将申办者临床研究医疗器械</w:t>
      </w:r>
      <w:r>
        <w:rPr>
          <w:rFonts w:ascii="Times New Roman" w:hAnsi="Times New Roman" w:eastAsia="Times New Roman"/>
          <w:spacing w:val="-2"/>
          <w:sz w:val="24"/>
        </w:rPr>
        <w:t>/</w:t>
      </w:r>
      <w:r>
        <w:rPr>
          <w:spacing w:val="-2"/>
          <w:sz w:val="24"/>
        </w:rPr>
        <w:t>器械报告表和</w:t>
      </w:r>
      <w:r>
        <w:rPr>
          <w:rFonts w:ascii="Times New Roman" w:hAnsi="Times New Roman" w:eastAsia="Times New Roman"/>
          <w:spacing w:val="-2"/>
          <w:sz w:val="24"/>
        </w:rPr>
        <w:t>/</w:t>
      </w:r>
      <w:r>
        <w:rPr>
          <w:spacing w:val="-2"/>
          <w:sz w:val="24"/>
        </w:rPr>
        <w:t>或产品投诉登记表发送给申办者。</w:t>
      </w:r>
    </w:p>
    <w:p>
      <w:pPr>
        <w:pStyle w:val="ListParagraph"/>
        <w:numPr>
          <w:ilvl w:val="0"/>
          <w:numId w:val="46"/>
        </w:numPr>
        <w:tabs>
          <w:tab w:pos="646" w:val="left" w:leader="none"/>
          <w:tab w:pos="701" w:val="left" w:leader="none"/>
        </w:tabs>
        <w:spacing w:line="499" w:lineRule="auto" w:before="58" w:after="0"/>
        <w:ind w:left="701" w:right="366" w:hanging="480"/>
        <w:jc w:val="left"/>
        <w:rPr>
          <w:sz w:val="24"/>
        </w:rPr>
      </w:pPr>
      <w:r>
        <w:rPr>
          <w:spacing w:val="-5"/>
          <w:sz w:val="24"/>
        </w:rPr>
        <w:t>如果除功能故障外还发生了 </w:t>
      </w:r>
      <w:r>
        <w:rPr>
          <w:rFonts w:ascii="Times New Roman" w:hAnsi="Times New Roman" w:eastAsia="Times New Roman"/>
          <w:sz w:val="24"/>
        </w:rPr>
        <w:t>SAE</w:t>
      </w:r>
      <w:r>
        <w:rPr>
          <w:spacing w:val="-15"/>
          <w:sz w:val="24"/>
        </w:rPr>
        <w:t>，则将 </w:t>
      </w:r>
      <w:r>
        <w:rPr>
          <w:rFonts w:ascii="Times New Roman" w:hAnsi="Times New Roman" w:eastAsia="Times New Roman"/>
          <w:sz w:val="24"/>
        </w:rPr>
        <w:t>SAE</w:t>
      </w:r>
      <w:r>
        <w:rPr>
          <w:rFonts w:ascii="Times New Roman" w:hAnsi="Times New Roman" w:eastAsia="Times New Roman"/>
          <w:spacing w:val="-15"/>
          <w:sz w:val="24"/>
        </w:rPr>
        <w:t> </w:t>
      </w:r>
      <w:r>
        <w:rPr>
          <w:spacing w:val="-15"/>
          <w:sz w:val="24"/>
        </w:rPr>
        <w:t>记录在 </w:t>
      </w:r>
      <w:r>
        <w:rPr>
          <w:rFonts w:ascii="Times New Roman" w:hAnsi="Times New Roman" w:eastAsia="Times New Roman"/>
          <w:sz w:val="24"/>
        </w:rPr>
        <w:t>eCRF</w:t>
      </w:r>
      <w:r>
        <w:rPr>
          <w:rFonts w:ascii="Times New Roman" w:hAnsi="Times New Roman" w:eastAsia="Times New Roman"/>
          <w:spacing w:val="-15"/>
          <w:sz w:val="24"/>
        </w:rPr>
        <w:t> </w:t>
      </w:r>
      <w:r>
        <w:rPr>
          <w:spacing w:val="-10"/>
          <w:sz w:val="24"/>
        </w:rPr>
        <w:t>中，详见第 </w:t>
      </w:r>
      <w:hyperlink w:history="true" w:anchor="_bookmark102">
        <w:r>
          <w:rPr>
            <w:rFonts w:ascii="Times New Roman" w:hAnsi="Times New Roman" w:eastAsia="Times New Roman"/>
            <w:color w:val="0000FF"/>
            <w:sz w:val="24"/>
          </w:rPr>
          <w:t>8.3.9</w:t>
        </w:r>
      </w:hyperlink>
      <w:r>
        <w:rPr>
          <w:rFonts w:ascii="Times New Roman" w:hAnsi="Times New Roman" w:eastAsia="Times New Roman"/>
          <w:color w:val="0000FF"/>
          <w:spacing w:val="-15"/>
          <w:sz w:val="24"/>
        </w:rPr>
        <w:t> </w:t>
      </w:r>
      <w:r>
        <w:rPr>
          <w:sz w:val="24"/>
        </w:rPr>
        <w:t>节。</w:t>
      </w:r>
      <w:r>
        <w:rPr>
          <w:spacing w:val="-2"/>
          <w:sz w:val="24"/>
        </w:rPr>
        <w:t>申办者将是接收器械缺陷报告的联系人。</w:t>
      </w:r>
    </w:p>
    <w:p>
      <w:pPr>
        <w:pStyle w:val="Heading2"/>
        <w:numPr>
          <w:ilvl w:val="2"/>
          <w:numId w:val="3"/>
        </w:numPr>
        <w:tabs>
          <w:tab w:pos="1373" w:val="left" w:leader="none"/>
        </w:tabs>
        <w:spacing w:line="285" w:lineRule="exact" w:before="0" w:after="0"/>
        <w:ind w:left="1373" w:right="0" w:hanging="1152"/>
        <w:jc w:val="left"/>
      </w:pPr>
      <w:bookmarkStart w:name="8.3.14 独立数据监查委员会" w:id="227"/>
      <w:bookmarkEnd w:id="227"/>
      <w:r>
        <w:rPr>
          <w:b w:val="0"/>
        </w:rPr>
      </w:r>
      <w:bookmarkStart w:name="_bookmark116" w:id="228"/>
      <w:bookmarkEnd w:id="228"/>
      <w:r>
        <w:rPr>
          <w:b w:val="0"/>
        </w:rPr>
      </w:r>
      <w:r>
        <w:rPr>
          <w:spacing w:val="-5"/>
        </w:rPr>
        <w:t>独立数据监查委员会</w:t>
      </w:r>
    </w:p>
    <w:p>
      <w:pPr>
        <w:pStyle w:val="BodyText"/>
        <w:spacing w:line="276" w:lineRule="auto" w:before="121"/>
        <w:ind w:right="118" w:firstLine="480"/>
      </w:pPr>
      <w:r>
        <w:rPr/>
        <w:t>将建立 </w:t>
      </w:r>
      <w:r>
        <w:rPr>
          <w:rFonts w:ascii="Times New Roman" w:eastAsia="Times New Roman"/>
        </w:rPr>
        <w:t>IDMC</w:t>
      </w:r>
      <w:r>
        <w:rPr>
          <w:rFonts w:ascii="Times New Roman" w:eastAsia="Times New Roman"/>
          <w:spacing w:val="40"/>
        </w:rPr>
        <w:t> </w:t>
      </w:r>
      <w:r>
        <w:rPr/>
        <w:t>以监督研究受试者的安全性，确保研究以最高科学和道德标准进</w:t>
      </w:r>
      <w:r>
        <w:rPr/>
        <w:t> 行。</w:t>
      </w:r>
      <w:r>
        <w:rPr>
          <w:rFonts w:ascii="Times New Roman" w:eastAsia="Times New Roman"/>
        </w:rPr>
        <w:t>IDMC</w:t>
      </w:r>
      <w:r>
        <w:rPr>
          <w:rFonts w:ascii="Times New Roman" w:eastAsia="Times New Roman"/>
          <w:spacing w:val="80"/>
        </w:rPr>
        <w:t> </w:t>
      </w:r>
      <w:r>
        <w:rPr/>
        <w:t>将定期审查非盲的安全性汇总表和列表，以评价受试者的安全性并提出</w:t>
      </w:r>
      <w:r>
        <w:rPr>
          <w:spacing w:val="40"/>
        </w:rPr>
        <w:t> </w:t>
      </w:r>
      <w:r>
        <w:rPr/>
        <w:t>适当的建议，包括在期中分析时（</w:t>
      </w:r>
      <w:r>
        <w:rPr>
          <w:spacing w:val="-11"/>
        </w:rPr>
        <w:t>另见第 </w:t>
      </w:r>
      <w:hyperlink w:history="true" w:anchor="_bookmark146">
        <w:r>
          <w:rPr>
            <w:rFonts w:ascii="Times New Roman" w:eastAsia="Times New Roman"/>
            <w:color w:val="0000FF"/>
          </w:rPr>
          <w:t>9.5</w:t>
        </w:r>
      </w:hyperlink>
      <w:r>
        <w:rPr>
          <w:rFonts w:ascii="Times New Roman" w:eastAsia="Times New Roman"/>
          <w:color w:val="0000FF"/>
          <w:spacing w:val="-15"/>
        </w:rPr>
        <w:t> </w:t>
      </w:r>
      <w:r>
        <w:rPr>
          <w:spacing w:val="-11"/>
        </w:rPr>
        <w:t>节和第 </w:t>
      </w:r>
      <w:hyperlink w:history="true" w:anchor="_bookmark147">
        <w:r>
          <w:rPr>
            <w:rFonts w:ascii="Times New Roman" w:eastAsia="Times New Roman"/>
            <w:color w:val="0000FF"/>
          </w:rPr>
          <w:t>9.6</w:t>
        </w:r>
      </w:hyperlink>
      <w:r>
        <w:rPr>
          <w:rFonts w:ascii="Times New Roman" w:eastAsia="Times New Roman"/>
          <w:color w:val="0000FF"/>
          <w:spacing w:val="-9"/>
        </w:rPr>
        <w:t> </w:t>
      </w:r>
      <w:r>
        <w:rPr/>
        <w:t>节）。</w:t>
      </w:r>
      <w:r>
        <w:rPr>
          <w:rFonts w:ascii="Times New Roman" w:eastAsia="Times New Roman"/>
        </w:rPr>
        <w:t>IDMC</w:t>
      </w:r>
      <w:r>
        <w:rPr>
          <w:rFonts w:ascii="Times New Roman" w:eastAsia="Times New Roman"/>
          <w:spacing w:val="-6"/>
        </w:rPr>
        <w:t> </w:t>
      </w:r>
      <w:r>
        <w:rPr/>
        <w:t>的职能独立于与研究进行相关的所有其他个体，包括申办者。委员会将按照 </w:t>
      </w:r>
      <w:r>
        <w:rPr>
          <w:rFonts w:ascii="Times New Roman" w:eastAsia="Times New Roman"/>
        </w:rPr>
        <w:t>IDMC</w:t>
      </w:r>
      <w:r>
        <w:rPr>
          <w:rFonts w:ascii="Times New Roman" w:eastAsia="Times New Roman"/>
          <w:spacing w:val="40"/>
        </w:rPr>
        <w:t> </w:t>
      </w:r>
      <w:r>
        <w:rPr/>
        <w:t>章程开展工作。</w:t>
      </w:r>
    </w:p>
    <w:p>
      <w:pPr>
        <w:pStyle w:val="Heading2"/>
        <w:numPr>
          <w:ilvl w:val="2"/>
          <w:numId w:val="3"/>
        </w:numPr>
        <w:tabs>
          <w:tab w:pos="1373" w:val="left" w:leader="none"/>
        </w:tabs>
        <w:spacing w:line="240" w:lineRule="auto" w:before="235" w:after="0"/>
        <w:ind w:left="1373" w:right="0" w:hanging="1152"/>
        <w:jc w:val="left"/>
      </w:pPr>
      <w:bookmarkStart w:name="8.3.15 独立裁定委员会" w:id="229"/>
      <w:bookmarkEnd w:id="229"/>
      <w:r>
        <w:rPr>
          <w:b w:val="0"/>
        </w:rPr>
      </w:r>
      <w:bookmarkStart w:name="_bookmark117" w:id="230"/>
      <w:bookmarkEnd w:id="230"/>
      <w:r>
        <w:rPr>
          <w:b w:val="0"/>
        </w:rPr>
      </w:r>
      <w:r>
        <w:rPr>
          <w:spacing w:val="-4"/>
        </w:rPr>
        <w:t>独立裁定委员会</w:t>
      </w:r>
    </w:p>
    <w:p>
      <w:pPr>
        <w:pStyle w:val="BodyText"/>
        <w:spacing w:line="276" w:lineRule="auto" w:before="121"/>
        <w:ind w:right="355" w:firstLine="480"/>
      </w:pPr>
      <w:r>
        <w:rPr/>
        <w:t>将组建独立裁定委员会，对心力衰竭事件（恶化和新发）、</w:t>
      </w:r>
      <w:r>
        <w:rPr>
          <w:rFonts w:ascii="Times New Roman" w:eastAsia="Times New Roman"/>
        </w:rPr>
        <w:t>MACE</w:t>
      </w:r>
      <w:r>
        <w:rPr>
          <w:rFonts w:ascii="Times New Roman" w:eastAsia="Times New Roman"/>
          <w:spacing w:val="40"/>
        </w:rPr>
        <w:t> </w:t>
      </w:r>
      <w:r>
        <w:rPr/>
        <w:t>和所有具有</w:t>
      </w:r>
      <w:r>
        <w:rPr>
          <w:spacing w:val="-4"/>
        </w:rPr>
        <w:t>致命后果的 </w:t>
      </w:r>
      <w:r>
        <w:rPr>
          <w:rFonts w:ascii="Times New Roman" w:eastAsia="Times New Roman"/>
        </w:rPr>
        <w:t>AE </w:t>
      </w:r>
      <w:r>
        <w:rPr/>
        <w:t>进行独立外部系统性无偏倚评估。</w:t>
      </w:r>
    </w:p>
    <w:p>
      <w:pPr>
        <w:pStyle w:val="Heading1"/>
        <w:numPr>
          <w:ilvl w:val="1"/>
          <w:numId w:val="3"/>
        </w:numPr>
        <w:tabs>
          <w:tab w:pos="1355" w:val="left" w:leader="none"/>
        </w:tabs>
        <w:spacing w:line="240" w:lineRule="auto" w:before="239" w:after="0"/>
        <w:ind w:left="1355" w:right="0" w:hanging="1134"/>
        <w:jc w:val="left"/>
      </w:pPr>
      <w:bookmarkStart w:name="8.4 人体生物样本" w:id="231"/>
      <w:bookmarkEnd w:id="231"/>
      <w:r>
        <w:rPr>
          <w:b w:val="0"/>
        </w:rPr>
      </w:r>
      <w:bookmarkStart w:name="_bookmark118" w:id="232"/>
      <w:bookmarkEnd w:id="232"/>
      <w:r>
        <w:rPr>
          <w:b w:val="0"/>
        </w:rPr>
      </w:r>
      <w:r>
        <w:rPr>
          <w:spacing w:val="-5"/>
        </w:rPr>
        <w:t>人体生物样本</w:t>
      </w:r>
    </w:p>
    <w:p>
      <w:pPr>
        <w:pStyle w:val="BodyText"/>
        <w:spacing w:line="276" w:lineRule="auto" w:before="118"/>
        <w:ind w:right="353" w:firstLine="480"/>
        <w:jc w:val="both"/>
      </w:pPr>
      <w:r>
        <w:rPr>
          <w:spacing w:val="-2"/>
        </w:rPr>
        <w:t>生物样本采集和处理指南将在研究特定的实验室手册中提供。样本应贮藏在安全的存储空间，并采取充分的措施保护机密性。生物样本研究（包括任何可能的未来研究）受国家法规约束，仅在特定国家获得批准后方可进行。有关人体生物样本</w:t>
      </w:r>
      <w:r>
        <w:rPr/>
        <w:t>处理的更多详细信息请见</w:t>
      </w:r>
      <w:hyperlink w:history="true" w:anchor="_bookmark153">
        <w:r>
          <w:rPr>
            <w:color w:val="0000FF"/>
            <w:spacing w:val="-14"/>
          </w:rPr>
          <w:t>附录 </w:t>
        </w:r>
        <w:r>
          <w:rPr>
            <w:rFonts w:ascii="Times New Roman" w:eastAsia="Times New Roman"/>
            <w:color w:val="0000FF"/>
          </w:rPr>
          <w:t>C</w:t>
        </w:r>
      </w:hyperlink>
      <w:r>
        <w:rPr/>
        <w:t>。</w:t>
      </w:r>
    </w:p>
    <w:p>
      <w:pPr>
        <w:pStyle w:val="BodyText"/>
        <w:spacing w:line="276" w:lineRule="auto" w:before="238"/>
        <w:ind w:right="356" w:firstLine="480"/>
        <w:jc w:val="both"/>
      </w:pPr>
      <w:r>
        <w:rPr>
          <w:spacing w:val="-2"/>
        </w:rPr>
        <w:t>根据知情同意书和当地要求，自 </w:t>
      </w:r>
      <w:r>
        <w:rPr>
          <w:rFonts w:ascii="Times New Roman" w:eastAsia="Times New Roman"/>
        </w:rPr>
        <w:t>CSR </w:t>
      </w:r>
      <w:r>
        <w:rPr>
          <w:spacing w:val="-2"/>
        </w:rPr>
        <w:t>发布之日起样本最长保存 </w:t>
      </w:r>
      <w:r>
        <w:rPr>
          <w:rFonts w:ascii="Times New Roman" w:eastAsia="Times New Roman"/>
        </w:rPr>
        <w:t>15 </w:t>
      </w:r>
      <w:r>
        <w:rPr/>
        <w:t>年，期满后</w:t>
      </w:r>
      <w:r>
        <w:rPr>
          <w:spacing w:val="-2"/>
        </w:rPr>
        <w:t>销毁</w:t>
      </w:r>
      <w:r>
        <w:rPr>
          <w:rFonts w:ascii="Times New Roman" w:eastAsia="Times New Roman"/>
          <w:spacing w:val="-2"/>
        </w:rPr>
        <w:t>/</w:t>
      </w:r>
      <w:r>
        <w:rPr>
          <w:spacing w:val="-2"/>
        </w:rPr>
        <w:t>返还。</w:t>
      </w:r>
    </w:p>
    <w:p>
      <w:pPr>
        <w:pStyle w:val="ListParagraph"/>
        <w:numPr>
          <w:ilvl w:val="0"/>
          <w:numId w:val="47"/>
        </w:numPr>
        <w:tabs>
          <w:tab w:pos="646" w:val="left" w:leader="none"/>
        </w:tabs>
        <w:spacing w:line="240" w:lineRule="auto" w:before="236" w:after="0"/>
        <w:ind w:left="646" w:right="357" w:hanging="425"/>
        <w:jc w:val="left"/>
        <w:rPr>
          <w:sz w:val="24"/>
        </w:rPr>
      </w:pPr>
      <w:r>
        <w:rPr>
          <w:sz w:val="24"/>
        </w:rPr>
        <w:t>药代动力学样本将在生物分析报告定稿后或生物分析报告草稿发布</w:t>
      </w:r>
      <w:r>
        <w:rPr>
          <w:rFonts w:ascii="Times New Roman" w:hAnsi="Times New Roman" w:eastAsia="Times New Roman"/>
          <w:sz w:val="24"/>
        </w:rPr>
        <w:t>6</w:t>
      </w:r>
      <w:r>
        <w:rPr>
          <w:rFonts w:ascii="Times New Roman" w:hAnsi="Times New Roman" w:eastAsia="Times New Roman"/>
          <w:spacing w:val="-33"/>
          <w:sz w:val="24"/>
        </w:rPr>
        <w:t> </w:t>
      </w:r>
      <w:r>
        <w:rPr>
          <w:sz w:val="24"/>
        </w:rPr>
        <w:t>个月后（</w:t>
      </w:r>
      <w:r>
        <w:rPr>
          <w:sz w:val="24"/>
        </w:rPr>
        <w:t>以</w:t>
      </w:r>
      <w:r>
        <w:rPr>
          <w:spacing w:val="-2"/>
          <w:sz w:val="24"/>
        </w:rPr>
        <w:t>较早者为准）对样本进行处理。</w:t>
      </w:r>
    </w:p>
    <w:p>
      <w:pPr>
        <w:spacing w:after="0" w:line="240" w:lineRule="auto"/>
        <w:jc w:val="left"/>
        <w:rPr>
          <w:sz w:val="24"/>
        </w:rPr>
        <w:sectPr>
          <w:pgSz w:w="11910" w:h="16840"/>
          <w:pgMar w:header="590" w:footer="784" w:top="1340" w:bottom="980" w:left="1480" w:right="1080"/>
        </w:sectPr>
      </w:pPr>
    </w:p>
    <w:p>
      <w:pPr>
        <w:pStyle w:val="ListParagraph"/>
        <w:numPr>
          <w:ilvl w:val="1"/>
          <w:numId w:val="47"/>
        </w:numPr>
        <w:tabs>
          <w:tab w:pos="1069" w:val="left" w:leader="none"/>
          <w:tab w:pos="1071" w:val="left" w:leader="none"/>
        </w:tabs>
        <w:spacing w:line="276" w:lineRule="auto" w:before="88" w:after="0"/>
        <w:ind w:left="1071" w:right="358" w:hanging="426"/>
        <w:jc w:val="both"/>
        <w:rPr>
          <w:sz w:val="24"/>
        </w:rPr>
      </w:pPr>
      <w:r>
        <w:rPr>
          <w:spacing w:val="-1"/>
          <w:sz w:val="24"/>
        </w:rPr>
        <w:t>药代动力学样本可通过合并处理或匿名处理。可以对匿名的、合并的 </w:t>
      </w:r>
      <w:r>
        <w:rPr>
          <w:rFonts w:ascii="Times New Roman" w:hAnsi="Times New Roman" w:eastAsia="Times New Roman"/>
          <w:spacing w:val="-1"/>
          <w:sz w:val="24"/>
        </w:rPr>
        <w:t>P</w:t>
      </w:r>
      <w:r>
        <w:rPr>
          <w:rFonts w:ascii="Times New Roman" w:hAnsi="Times New Roman" w:eastAsia="Times New Roman"/>
          <w:sz w:val="24"/>
        </w:rPr>
        <w:t>K</w:t>
      </w:r>
      <w:r>
        <w:rPr>
          <w:rFonts w:ascii="Times New Roman" w:hAnsi="Times New Roman" w:eastAsia="Times New Roman"/>
          <w:spacing w:val="15"/>
          <w:sz w:val="24"/>
        </w:rPr>
        <w:t> </w:t>
      </w:r>
      <w:r>
        <w:rPr>
          <w:spacing w:val="-15"/>
          <w:sz w:val="24"/>
        </w:rPr>
        <w:t>样</w:t>
      </w:r>
      <w:r>
        <w:rPr>
          <w:spacing w:val="5"/>
          <w:sz w:val="24"/>
        </w:rPr>
        <w:t>本进行额外分析，以进一步评价和验证分析方法。可将上述分析的任何结</w:t>
      </w:r>
      <w:r>
        <w:rPr>
          <w:spacing w:val="-17"/>
          <w:sz w:val="24"/>
        </w:rPr>
        <w:t>果与 </w:t>
      </w:r>
      <w:r>
        <w:rPr>
          <w:rFonts w:ascii="Times New Roman" w:hAnsi="Times New Roman" w:eastAsia="Times New Roman"/>
          <w:spacing w:val="-1"/>
          <w:sz w:val="24"/>
        </w:rPr>
        <w:t>CS</w:t>
      </w:r>
      <w:r>
        <w:rPr>
          <w:rFonts w:ascii="Times New Roman" w:hAnsi="Times New Roman" w:eastAsia="Times New Roman"/>
          <w:sz w:val="24"/>
        </w:rPr>
        <w:t>R</w:t>
      </w:r>
      <w:r>
        <w:rPr>
          <w:rFonts w:ascii="Times New Roman" w:hAnsi="Times New Roman" w:eastAsia="Times New Roman"/>
          <w:spacing w:val="-12"/>
          <w:sz w:val="24"/>
        </w:rPr>
        <w:t> </w:t>
      </w:r>
      <w:r>
        <w:rPr>
          <w:sz w:val="24"/>
        </w:rPr>
        <w:t>分开报告。</w:t>
      </w:r>
    </w:p>
    <w:p>
      <w:pPr>
        <w:pStyle w:val="ListParagraph"/>
        <w:numPr>
          <w:ilvl w:val="0"/>
          <w:numId w:val="47"/>
        </w:numPr>
        <w:tabs>
          <w:tab w:pos="646" w:val="left" w:leader="none"/>
        </w:tabs>
        <w:spacing w:line="240" w:lineRule="auto" w:before="56" w:after="0"/>
        <w:ind w:left="646" w:right="357" w:hanging="425"/>
        <w:jc w:val="both"/>
        <w:rPr>
          <w:sz w:val="24"/>
        </w:rPr>
      </w:pPr>
      <w:r>
        <w:rPr>
          <w:spacing w:val="-11"/>
          <w:sz w:val="24"/>
        </w:rPr>
        <w:t>发布 </w:t>
      </w:r>
      <w:r>
        <w:rPr>
          <w:rFonts w:ascii="Times New Roman" w:hAnsi="Times New Roman" w:eastAsia="Times New Roman"/>
          <w:spacing w:val="-2"/>
          <w:sz w:val="24"/>
        </w:rPr>
        <w:t>CSR</w:t>
      </w:r>
      <w:r>
        <w:rPr>
          <w:rFonts w:ascii="Times New Roman" w:hAnsi="Times New Roman" w:eastAsia="Times New Roman"/>
          <w:spacing w:val="-13"/>
          <w:sz w:val="24"/>
        </w:rPr>
        <w:t> </w:t>
      </w:r>
      <w:r>
        <w:rPr>
          <w:spacing w:val="-8"/>
          <w:sz w:val="24"/>
        </w:rPr>
        <w:t>后，剩余 </w:t>
      </w:r>
      <w:r>
        <w:rPr>
          <w:rFonts w:ascii="Times New Roman" w:hAnsi="Times New Roman" w:eastAsia="Times New Roman"/>
          <w:spacing w:val="-2"/>
          <w:sz w:val="24"/>
        </w:rPr>
        <w:t>ADA</w:t>
      </w:r>
      <w:r>
        <w:rPr>
          <w:rFonts w:ascii="Times New Roman" w:hAnsi="Times New Roman" w:eastAsia="Times New Roman"/>
          <w:spacing w:val="-4"/>
          <w:sz w:val="24"/>
        </w:rPr>
        <w:t> </w:t>
      </w:r>
      <w:r>
        <w:rPr>
          <w:spacing w:val="-4"/>
          <w:sz w:val="24"/>
        </w:rPr>
        <w:t>等分样本将由申办者或其指定人员保存最长 </w:t>
      </w:r>
      <w:r>
        <w:rPr>
          <w:rFonts w:ascii="Times New Roman" w:hAnsi="Times New Roman" w:eastAsia="Times New Roman"/>
          <w:spacing w:val="-2"/>
          <w:sz w:val="24"/>
        </w:rPr>
        <w:t>15</w:t>
      </w:r>
      <w:r>
        <w:rPr>
          <w:rFonts w:ascii="Times New Roman" w:hAnsi="Times New Roman" w:eastAsia="Times New Roman"/>
          <w:spacing w:val="6"/>
          <w:sz w:val="24"/>
        </w:rPr>
        <w:t> </w:t>
      </w:r>
      <w:r>
        <w:rPr>
          <w:spacing w:val="-2"/>
          <w:sz w:val="24"/>
        </w:rPr>
        <w:t>年。其</w:t>
      </w:r>
      <w:r>
        <w:rPr>
          <w:spacing w:val="-3"/>
          <w:sz w:val="24"/>
        </w:rPr>
        <w:t>他用途包括但不限于进一步鉴定任何 </w:t>
      </w:r>
      <w:r>
        <w:rPr>
          <w:rFonts w:ascii="Times New Roman" w:hAnsi="Times New Roman" w:eastAsia="Times New Roman"/>
          <w:spacing w:val="-2"/>
          <w:sz w:val="24"/>
        </w:rPr>
        <w:t>ADA</w:t>
      </w:r>
      <w:r>
        <w:rPr>
          <w:spacing w:val="-2"/>
          <w:sz w:val="24"/>
        </w:rPr>
        <w:t>、检测方法的确认和</w:t>
      </w:r>
      <w:r>
        <w:rPr>
          <w:rFonts w:ascii="Times New Roman" w:hAnsi="Times New Roman" w:eastAsia="Times New Roman"/>
          <w:spacing w:val="-2"/>
          <w:sz w:val="24"/>
        </w:rPr>
        <w:t>/</w:t>
      </w:r>
      <w:r>
        <w:rPr>
          <w:spacing w:val="-2"/>
          <w:sz w:val="24"/>
        </w:rPr>
        <w:t>或重新鉴定以及其他检测方法的开发。未来分析结果将不在 </w:t>
      </w:r>
      <w:r>
        <w:rPr>
          <w:rFonts w:ascii="Times New Roman" w:hAnsi="Times New Roman" w:eastAsia="Times New Roman"/>
          <w:sz w:val="24"/>
        </w:rPr>
        <w:t>CSR </w:t>
      </w:r>
      <w:r>
        <w:rPr>
          <w:sz w:val="24"/>
        </w:rPr>
        <w:t>中报告。</w:t>
      </w:r>
    </w:p>
    <w:p>
      <w:pPr>
        <w:pStyle w:val="BodyText"/>
        <w:spacing w:before="142"/>
        <w:ind w:left="0"/>
      </w:pPr>
    </w:p>
    <w:p>
      <w:pPr>
        <w:pStyle w:val="Heading2"/>
        <w:numPr>
          <w:ilvl w:val="2"/>
          <w:numId w:val="3"/>
        </w:numPr>
        <w:tabs>
          <w:tab w:pos="1371" w:val="left" w:leader="none"/>
        </w:tabs>
        <w:spacing w:line="240" w:lineRule="auto" w:before="0" w:after="0"/>
        <w:ind w:left="1371" w:right="0" w:hanging="1150"/>
        <w:jc w:val="both"/>
      </w:pPr>
      <w:bookmarkStart w:name="8.4.1 药代动力学" w:id="233"/>
      <w:bookmarkEnd w:id="233"/>
      <w:r>
        <w:rPr>
          <w:b w:val="0"/>
        </w:rPr>
      </w:r>
      <w:bookmarkStart w:name="_bookmark119" w:id="234"/>
      <w:bookmarkEnd w:id="234"/>
      <w:r>
        <w:rPr>
          <w:b w:val="0"/>
        </w:rPr>
      </w:r>
      <w:r>
        <w:rPr>
          <w:spacing w:val="-6"/>
        </w:rPr>
        <w:t>药代动力学</w:t>
      </w:r>
    </w:p>
    <w:p>
      <w:pPr>
        <w:pStyle w:val="BodyText"/>
        <w:spacing w:before="120"/>
        <w:ind w:left="701"/>
      </w:pPr>
      <w:r>
        <w:rPr>
          <w:spacing w:val="-20"/>
        </w:rPr>
        <w:t>按照 </w:t>
      </w:r>
      <w:r>
        <w:rPr>
          <w:rFonts w:ascii="Times New Roman" w:eastAsia="Times New Roman"/>
        </w:rPr>
        <w:t>SoA</w:t>
      </w:r>
      <w:r>
        <w:rPr/>
        <w:t>（</w:t>
      </w:r>
      <w:r>
        <w:rPr>
          <w:spacing w:val="-30"/>
        </w:rPr>
        <w:t>第 </w:t>
      </w:r>
      <w:hyperlink w:history="true" w:anchor="_bookmark7">
        <w:r>
          <w:rPr>
            <w:rFonts w:ascii="Times New Roman" w:eastAsia="Times New Roman"/>
            <w:color w:val="0000FF"/>
          </w:rPr>
          <w:t>1.3</w:t>
        </w:r>
      </w:hyperlink>
      <w:r>
        <w:rPr>
          <w:rFonts w:ascii="Times New Roman" w:eastAsia="Times New Roman"/>
          <w:color w:val="0000FF"/>
          <w:spacing w:val="-14"/>
        </w:rPr>
        <w:t> </w:t>
      </w:r>
      <w:r>
        <w:rPr/>
        <w:t>节）</w:t>
      </w:r>
      <w:r>
        <w:rPr>
          <w:spacing w:val="-4"/>
        </w:rPr>
        <w:t>中的规定，采集血清样本，用于测定 </w:t>
      </w:r>
      <w:r>
        <w:rPr>
          <w:rFonts w:ascii="Times New Roman" w:eastAsia="Times New Roman"/>
        </w:rPr>
        <w:t>IP</w:t>
      </w:r>
      <w:r>
        <w:rPr>
          <w:rFonts w:ascii="Times New Roman" w:eastAsia="Times New Roman"/>
          <w:spacing w:val="-13"/>
        </w:rPr>
        <w:t> </w:t>
      </w:r>
      <w:r>
        <w:rPr>
          <w:spacing w:val="-2"/>
        </w:rPr>
        <w:t>的血清浓度。</w:t>
      </w:r>
    </w:p>
    <w:p>
      <w:pPr>
        <w:pStyle w:val="BodyText"/>
        <w:spacing w:line="276" w:lineRule="auto" w:before="286"/>
        <w:ind w:right="354" w:firstLine="480"/>
        <w:jc w:val="both"/>
      </w:pPr>
      <w:r>
        <w:rPr>
          <w:spacing w:val="-2"/>
        </w:rPr>
        <w:t>如果研究者和申办者一致认为有必要（例如出于安全性原因），可在研究期间的其他时间点采集样本。在研究过程中，为了确保适当的监测，可根据新获得的数据（例如，为了获得基质浓度接近峰值或谷值时间的数据）改变采样时间。</w:t>
      </w:r>
    </w:p>
    <w:p>
      <w:pPr>
        <w:pStyle w:val="BodyText"/>
        <w:spacing w:line="276" w:lineRule="auto" w:before="238"/>
        <w:ind w:right="357" w:firstLine="480"/>
        <w:jc w:val="both"/>
      </w:pPr>
      <w:r>
        <w:rPr>
          <w:spacing w:val="-6"/>
        </w:rPr>
        <w:t>采集的血清样本将用于分析 </w:t>
      </w:r>
      <w:r>
        <w:rPr>
          <w:rFonts w:ascii="Times New Roman" w:eastAsia="Times New Roman"/>
          <w:spacing w:val="-4"/>
        </w:rPr>
        <w:t>tozorakimab</w:t>
      </w:r>
      <w:r>
        <w:rPr>
          <w:rFonts w:ascii="Times New Roman" w:eastAsia="Times New Roman"/>
          <w:spacing w:val="-11"/>
        </w:rPr>
        <w:t> </w:t>
      </w:r>
      <w:r>
        <w:rPr>
          <w:spacing w:val="-15"/>
        </w:rPr>
        <w:t>的 </w:t>
      </w:r>
      <w:r>
        <w:rPr>
          <w:rFonts w:ascii="Times New Roman" w:eastAsia="Times New Roman"/>
          <w:spacing w:val="-4"/>
        </w:rPr>
        <w:t>PK</w:t>
      </w:r>
      <w:r>
        <w:rPr>
          <w:spacing w:val="-8"/>
        </w:rPr>
        <w:t>。用于分析 </w:t>
      </w:r>
      <w:r>
        <w:rPr>
          <w:rFonts w:ascii="Times New Roman" w:eastAsia="Times New Roman"/>
          <w:spacing w:val="-4"/>
        </w:rPr>
        <w:t>Tozorakimab</w:t>
      </w:r>
      <w:r>
        <w:rPr>
          <w:rFonts w:ascii="Times New Roman" w:eastAsia="Times New Roman"/>
          <w:spacing w:val="-11"/>
        </w:rPr>
        <w:t> </w:t>
      </w:r>
      <w:r>
        <w:rPr>
          <w:spacing w:val="-4"/>
        </w:rPr>
        <w:t>血清浓度</w:t>
      </w:r>
      <w:r>
        <w:rPr>
          <w:spacing w:val="-2"/>
        </w:rPr>
        <w:t>的样本也可用于评价研究期间或研究后出现的安全性或有效性方面相关问题。</w:t>
      </w:r>
    </w:p>
    <w:p>
      <w:pPr>
        <w:pStyle w:val="BodyText"/>
        <w:spacing w:before="238"/>
        <w:ind w:left="701"/>
      </w:pPr>
      <w:r>
        <w:rPr>
          <w:spacing w:val="-1"/>
        </w:rPr>
        <w:t>根据实验室手册中的规定，采集、标记、贮藏并运输样本。</w:t>
      </w:r>
    </w:p>
    <w:p>
      <w:pPr>
        <w:pStyle w:val="Heading3"/>
        <w:numPr>
          <w:ilvl w:val="3"/>
          <w:numId w:val="3"/>
        </w:numPr>
        <w:tabs>
          <w:tab w:pos="1355" w:val="left" w:leader="none"/>
        </w:tabs>
        <w:spacing w:line="240" w:lineRule="auto" w:before="286" w:after="0"/>
        <w:ind w:left="1355" w:right="0" w:hanging="1134"/>
        <w:jc w:val="both"/>
      </w:pPr>
      <w:bookmarkStart w:name="8.4.1.1 药物浓度测定" w:id="235"/>
      <w:bookmarkEnd w:id="235"/>
      <w:r>
        <w:rPr>
          <w:b w:val="0"/>
        </w:rPr>
      </w:r>
      <w:bookmarkStart w:name="_bookmark120" w:id="236"/>
      <w:bookmarkEnd w:id="236"/>
      <w:r>
        <w:rPr>
          <w:b w:val="0"/>
        </w:rPr>
      </w:r>
      <w:r>
        <w:rPr>
          <w:spacing w:val="-5"/>
        </w:rPr>
        <w:t>药物浓度测定</w:t>
      </w:r>
    </w:p>
    <w:p>
      <w:pPr>
        <w:pStyle w:val="BodyText"/>
        <w:spacing w:line="276" w:lineRule="auto" w:before="59"/>
        <w:ind w:right="354" w:firstLine="480"/>
        <w:jc w:val="both"/>
      </w:pPr>
      <w:r>
        <w:rPr>
          <w:spacing w:val="-4"/>
        </w:rPr>
        <w:t>用于测定血清中 </w:t>
      </w:r>
      <w:r>
        <w:rPr>
          <w:rFonts w:ascii="Times New Roman" w:eastAsia="Times New Roman"/>
        </w:rPr>
        <w:t>IP</w:t>
      </w:r>
      <w:r>
        <w:rPr>
          <w:rFonts w:ascii="Times New Roman" w:eastAsia="Times New Roman"/>
          <w:spacing w:val="-15"/>
        </w:rPr>
        <w:t> </w:t>
      </w:r>
      <w:r>
        <w:rPr/>
        <w:t>浓度的样本将由申办者或代表申办者运营的生物分析测试中</w:t>
      </w:r>
      <w:r>
        <w:rPr>
          <w:spacing w:val="-2"/>
        </w:rPr>
        <w:t>心使用相应的已验证生物分析方法进行测定。所采用的分析方法的全部详细内容请见单独的生物分析报告。</w:t>
      </w:r>
    </w:p>
    <w:p>
      <w:pPr>
        <w:pStyle w:val="BodyText"/>
        <w:spacing w:line="276" w:lineRule="auto" w:before="238"/>
        <w:ind w:right="365" w:firstLine="480"/>
      </w:pPr>
      <w:r>
        <w:rPr>
          <w:spacing w:val="-2"/>
        </w:rPr>
        <w:t>尽量以最少的选定时间点对接受安慰剂的受试者的样本进行分析，以确认未给</w:t>
      </w:r>
      <w:r>
        <w:rPr>
          <w:spacing w:val="-21"/>
        </w:rPr>
        <w:t>予 </w:t>
      </w:r>
      <w:r>
        <w:rPr>
          <w:rFonts w:ascii="Times New Roman" w:eastAsia="Times New Roman"/>
        </w:rPr>
        <w:t>tozorakimab</w:t>
      </w:r>
      <w:r>
        <w:rPr/>
        <w:t>。</w:t>
      </w:r>
    </w:p>
    <w:p>
      <w:pPr>
        <w:pStyle w:val="BodyText"/>
        <w:spacing w:line="598" w:lineRule="exact" w:before="5"/>
        <w:ind w:left="701" w:right="117"/>
      </w:pPr>
      <w:r>
        <w:rPr>
          <w:spacing w:val="-2"/>
        </w:rPr>
        <w:t>研究揭盲前，不得向研究中心或盲态工作人员报告可能导致揭盲的 </w:t>
      </w:r>
      <w:r>
        <w:rPr>
          <w:rFonts w:ascii="Times New Roman" w:eastAsia="Times New Roman"/>
        </w:rPr>
        <w:t>IP</w:t>
      </w:r>
      <w:r>
        <w:rPr>
          <w:rFonts w:ascii="Times New Roman" w:eastAsia="Times New Roman"/>
          <w:spacing w:val="-15"/>
        </w:rPr>
        <w:t> </w:t>
      </w:r>
      <w:r>
        <w:rPr/>
        <w:t>浓度信息。</w:t>
      </w:r>
      <w:r>
        <w:rPr>
          <w:spacing w:val="-2"/>
        </w:rPr>
        <w:t>如果进行样本重现性分析（如果有），则应与试验样本的生物分析同时进行。</w:t>
      </w:r>
    </w:p>
    <w:p>
      <w:pPr>
        <w:pStyle w:val="BodyText"/>
        <w:spacing w:line="305" w:lineRule="exact"/>
      </w:pPr>
      <w:r>
        <w:rPr>
          <w:spacing w:val="-1"/>
        </w:rPr>
        <w:t>如果进行评价，则评价结果将呈现在单独的生物分析报告中。</w:t>
      </w:r>
    </w:p>
    <w:p>
      <w:pPr>
        <w:pStyle w:val="Heading2"/>
        <w:numPr>
          <w:ilvl w:val="2"/>
          <w:numId w:val="3"/>
        </w:numPr>
        <w:tabs>
          <w:tab w:pos="1371" w:val="left" w:leader="none"/>
        </w:tabs>
        <w:spacing w:line="240" w:lineRule="auto" w:before="285" w:after="0"/>
        <w:ind w:left="1371" w:right="0" w:hanging="1150"/>
        <w:jc w:val="both"/>
      </w:pPr>
      <w:bookmarkStart w:name="8.4.2 免疫原性评估" w:id="237"/>
      <w:bookmarkEnd w:id="237"/>
      <w:r>
        <w:rPr>
          <w:b w:val="0"/>
        </w:rPr>
      </w:r>
      <w:bookmarkStart w:name="_bookmark121" w:id="238"/>
      <w:bookmarkEnd w:id="238"/>
      <w:r>
        <w:rPr>
          <w:b w:val="0"/>
        </w:rPr>
      </w:r>
      <w:r>
        <w:rPr>
          <w:spacing w:val="-5"/>
        </w:rPr>
        <w:t>免疫原性评估</w:t>
      </w:r>
    </w:p>
    <w:p>
      <w:pPr>
        <w:pStyle w:val="BodyText"/>
        <w:spacing w:line="276" w:lineRule="auto" w:before="121"/>
        <w:ind w:right="357" w:firstLine="480"/>
        <w:jc w:val="both"/>
      </w:pPr>
      <w:r>
        <w:rPr>
          <w:spacing w:val="-2"/>
        </w:rPr>
        <w:t>由申办者或代表申办者运营的生物分析试验中心采用相应的已验证生物分析方</w:t>
      </w:r>
      <w:r>
        <w:rPr>
          <w:spacing w:val="-6"/>
        </w:rPr>
        <w:t>法对用于血清中 </w:t>
      </w:r>
      <w:r>
        <w:rPr>
          <w:rFonts w:ascii="Times New Roman" w:eastAsia="Times New Roman"/>
          <w:spacing w:val="-2"/>
        </w:rPr>
        <w:t>ADA</w:t>
      </w:r>
      <w:r>
        <w:rPr>
          <w:rFonts w:ascii="Times New Roman" w:eastAsia="Times New Roman"/>
          <w:spacing w:val="-13"/>
        </w:rPr>
        <w:t> </w:t>
      </w:r>
      <w:r>
        <w:rPr>
          <w:spacing w:val="-2"/>
        </w:rPr>
        <w:t>的血液样本进行测定。进行分层分析，包括筛选、确证和滴度</w:t>
      </w:r>
      <w:r>
        <w:rPr>
          <w:spacing w:val="-5"/>
        </w:rPr>
        <w:t>测定成分。将采用经验证的生物分析方法，对本研究的所有 </w:t>
      </w:r>
      <w:r>
        <w:rPr>
          <w:rFonts w:ascii="Times New Roman" w:eastAsia="Times New Roman"/>
          <w:spacing w:val="-4"/>
        </w:rPr>
        <w:t>ADA</w:t>
      </w:r>
      <w:r>
        <w:rPr>
          <w:rFonts w:ascii="Times New Roman" w:eastAsia="Times New Roman"/>
          <w:spacing w:val="15"/>
        </w:rPr>
        <w:t> </w:t>
      </w:r>
      <w:r>
        <w:rPr>
          <w:spacing w:val="-7"/>
        </w:rPr>
        <w:t>阳性样本进行 </w:t>
      </w:r>
      <w:r>
        <w:rPr>
          <w:rFonts w:ascii="Times New Roman" w:eastAsia="Times New Roman"/>
          <w:spacing w:val="-4"/>
        </w:rPr>
        <w:t>nA</w:t>
      </w:r>
      <w:r>
        <w:rPr>
          <w:rFonts w:ascii="Times New Roman" w:eastAsia="Times New Roman"/>
          <w:spacing w:val="-4"/>
        </w:rPr>
        <w:t>b</w:t>
      </w:r>
      <w:r>
        <w:rPr>
          <w:spacing w:val="-2"/>
        </w:rPr>
        <w:t>检测。有关所用分析方法的全部详细内容请见单独的报告。</w:t>
      </w:r>
    </w:p>
    <w:p>
      <w:pPr>
        <w:pStyle w:val="BodyText"/>
        <w:spacing w:line="276" w:lineRule="auto" w:before="237"/>
        <w:ind w:right="357" w:firstLine="480"/>
      </w:pPr>
      <w:r>
        <w:rPr>
          <w:spacing w:val="-9"/>
        </w:rPr>
        <w:t>还可以对 </w:t>
      </w:r>
      <w:r>
        <w:rPr>
          <w:rFonts w:ascii="Times New Roman" w:eastAsia="Times New Roman"/>
        </w:rPr>
        <w:t>ADA</w:t>
      </w:r>
      <w:r>
        <w:rPr>
          <w:rFonts w:ascii="Times New Roman" w:eastAsia="Times New Roman"/>
          <w:spacing w:val="-15"/>
        </w:rPr>
        <w:t> </w:t>
      </w:r>
      <w:r>
        <w:rPr>
          <w:spacing w:val="-3"/>
        </w:rPr>
        <w:t>样本进行进一步检测，以确定 </w:t>
      </w:r>
      <w:r>
        <w:rPr>
          <w:rFonts w:ascii="Times New Roman" w:eastAsia="Times New Roman"/>
        </w:rPr>
        <w:t>ADA</w:t>
      </w:r>
      <w:r>
        <w:rPr>
          <w:rFonts w:ascii="Times New Roman" w:eastAsia="Times New Roman"/>
          <w:spacing w:val="-12"/>
        </w:rPr>
        <w:t> </w:t>
      </w:r>
      <w:r>
        <w:rPr/>
        <w:t>反应的特征，包括进行可能</w:t>
      </w:r>
      <w:r>
        <w:rPr>
          <w:spacing w:val="-2"/>
        </w:rPr>
        <w:t>的中和抗体评估。</w:t>
      </w:r>
    </w:p>
    <w:p>
      <w:pPr>
        <w:spacing w:after="0" w:line="276" w:lineRule="auto"/>
        <w:sectPr>
          <w:pgSz w:w="11910" w:h="16840"/>
          <w:pgMar w:header="590" w:footer="784" w:top="1340" w:bottom="980" w:left="1480" w:right="1080"/>
        </w:sectPr>
      </w:pPr>
    </w:p>
    <w:p>
      <w:pPr>
        <w:pStyle w:val="BodyText"/>
        <w:spacing w:before="88"/>
        <w:ind w:left="701"/>
      </w:pPr>
      <w:r>
        <w:rPr>
          <w:spacing w:val="-1"/>
        </w:rPr>
        <w:t>根据实验室手册中的规定，采集、标记、贮藏并运输样本。</w:t>
      </w:r>
    </w:p>
    <w:p>
      <w:pPr>
        <w:pStyle w:val="Heading2"/>
        <w:numPr>
          <w:ilvl w:val="2"/>
          <w:numId w:val="3"/>
        </w:numPr>
        <w:tabs>
          <w:tab w:pos="1373" w:val="left" w:leader="none"/>
        </w:tabs>
        <w:spacing w:line="240" w:lineRule="auto" w:before="284" w:after="0"/>
        <w:ind w:left="1373" w:right="0" w:hanging="1152"/>
        <w:jc w:val="left"/>
      </w:pPr>
      <w:bookmarkStart w:name="8.4.3 药效学" w:id="239"/>
      <w:bookmarkEnd w:id="239"/>
      <w:r>
        <w:rPr>
          <w:b w:val="0"/>
        </w:rPr>
      </w:r>
      <w:bookmarkStart w:name="_bookmark122" w:id="240"/>
      <w:bookmarkEnd w:id="240"/>
      <w:r>
        <w:rPr>
          <w:b w:val="0"/>
        </w:rPr>
      </w:r>
      <w:r>
        <w:rPr>
          <w:spacing w:val="-5"/>
        </w:rPr>
        <w:t>药效学</w:t>
      </w:r>
    </w:p>
    <w:p>
      <w:pPr>
        <w:pStyle w:val="BodyText"/>
        <w:spacing w:before="121"/>
        <w:ind w:left="701"/>
      </w:pPr>
      <w:r>
        <w:rPr>
          <w:spacing w:val="-12"/>
        </w:rPr>
        <w:t>尚未确定 </w:t>
      </w:r>
      <w:r>
        <w:rPr>
          <w:rFonts w:ascii="Times New Roman" w:eastAsia="Times New Roman"/>
        </w:rPr>
        <w:t>tozorakimab</w:t>
      </w:r>
      <w:r>
        <w:rPr>
          <w:rFonts w:ascii="Times New Roman" w:eastAsia="Times New Roman"/>
          <w:spacing w:val="-14"/>
        </w:rPr>
        <w:t> </w:t>
      </w:r>
      <w:r>
        <w:rPr>
          <w:spacing w:val="-30"/>
        </w:rPr>
        <w:t>的 </w:t>
      </w:r>
      <w:r>
        <w:rPr>
          <w:rFonts w:ascii="Times New Roman" w:eastAsia="Times New Roman"/>
        </w:rPr>
        <w:t>PD</w:t>
      </w:r>
      <w:r>
        <w:rPr>
          <w:rFonts w:ascii="Times New Roman" w:eastAsia="Times New Roman"/>
          <w:spacing w:val="-13"/>
        </w:rPr>
        <w:t> </w:t>
      </w:r>
      <w:r>
        <w:rPr>
          <w:spacing w:val="-5"/>
        </w:rPr>
        <w:t>测定参数，本研究不计划进行 </w:t>
      </w:r>
      <w:r>
        <w:rPr>
          <w:rFonts w:ascii="Times New Roman" w:eastAsia="Times New Roman"/>
        </w:rPr>
        <w:t>PD</w:t>
      </w:r>
      <w:r>
        <w:rPr>
          <w:rFonts w:ascii="Times New Roman" w:eastAsia="Times New Roman"/>
          <w:spacing w:val="-13"/>
        </w:rPr>
        <w:t> </w:t>
      </w:r>
      <w:r>
        <w:rPr>
          <w:spacing w:val="-4"/>
        </w:rPr>
        <w:t>分析。</w:t>
      </w:r>
    </w:p>
    <w:p>
      <w:pPr>
        <w:pStyle w:val="Heading1"/>
        <w:numPr>
          <w:ilvl w:val="1"/>
          <w:numId w:val="3"/>
        </w:numPr>
        <w:tabs>
          <w:tab w:pos="1355" w:val="left" w:leader="none"/>
        </w:tabs>
        <w:spacing w:line="240" w:lineRule="auto" w:before="287" w:after="0"/>
        <w:ind w:left="1355" w:right="0" w:hanging="1134"/>
        <w:jc w:val="left"/>
      </w:pPr>
      <w:bookmarkStart w:name="8.5 人体生物样本生物标志物–不适用" w:id="241"/>
      <w:bookmarkEnd w:id="241"/>
      <w:r>
        <w:rPr>
          <w:b w:val="0"/>
        </w:rPr>
      </w:r>
      <w:bookmarkStart w:name="_bookmark123" w:id="242"/>
      <w:bookmarkEnd w:id="242"/>
      <w:r>
        <w:rPr>
          <w:b w:val="0"/>
        </w:rPr>
      </w:r>
      <w:r>
        <w:rPr>
          <w:spacing w:val="-2"/>
        </w:rPr>
        <w:t>人体生物样本生物标志物</w:t>
      </w:r>
      <w:r>
        <w:rPr>
          <w:rFonts w:ascii="Times New Roman" w:hAnsi="Times New Roman" w:eastAsia="Times New Roman"/>
          <w:spacing w:val="-2"/>
        </w:rPr>
        <w:t>–</w:t>
      </w:r>
      <w:r>
        <w:rPr>
          <w:spacing w:val="-5"/>
        </w:rPr>
        <w:t>不适用</w:t>
      </w:r>
    </w:p>
    <w:p>
      <w:pPr>
        <w:pStyle w:val="Heading1"/>
        <w:numPr>
          <w:ilvl w:val="1"/>
          <w:numId w:val="3"/>
        </w:numPr>
        <w:tabs>
          <w:tab w:pos="1355" w:val="left" w:leader="none"/>
        </w:tabs>
        <w:spacing w:line="240" w:lineRule="auto" w:before="118" w:after="0"/>
        <w:ind w:left="1355" w:right="0" w:hanging="1134"/>
        <w:jc w:val="left"/>
      </w:pPr>
      <w:bookmarkStart w:name="8.6 可选基因组学整合计划样本–不适用" w:id="243"/>
      <w:bookmarkEnd w:id="243"/>
      <w:r>
        <w:rPr>
          <w:b w:val="0"/>
        </w:rPr>
      </w:r>
      <w:bookmarkStart w:name="_bookmark124" w:id="244"/>
      <w:bookmarkEnd w:id="244"/>
      <w:r>
        <w:rPr>
          <w:b w:val="0"/>
        </w:rPr>
      </w:r>
      <w:r>
        <w:rPr>
          <w:spacing w:val="-2"/>
        </w:rPr>
        <w:t>可选基因组学整合计划样本</w:t>
      </w:r>
      <w:r>
        <w:rPr>
          <w:rFonts w:ascii="Times New Roman" w:hAnsi="Times New Roman" w:eastAsia="Times New Roman"/>
          <w:spacing w:val="-2"/>
        </w:rPr>
        <w:t>–</w:t>
      </w:r>
      <w:r>
        <w:rPr>
          <w:spacing w:val="-5"/>
        </w:rPr>
        <w:t>不适用</w:t>
      </w:r>
    </w:p>
    <w:p>
      <w:pPr>
        <w:pStyle w:val="Heading1"/>
        <w:numPr>
          <w:ilvl w:val="1"/>
          <w:numId w:val="3"/>
        </w:numPr>
        <w:tabs>
          <w:tab w:pos="1355" w:val="left" w:leader="none"/>
        </w:tabs>
        <w:spacing w:line="240" w:lineRule="auto" w:before="120" w:after="0"/>
        <w:ind w:left="1355" w:right="0" w:hanging="1134"/>
        <w:jc w:val="left"/>
      </w:pPr>
      <w:bookmarkStart w:name="8.7 医疗保健资源使用" w:id="245"/>
      <w:bookmarkEnd w:id="245"/>
      <w:r>
        <w:rPr>
          <w:b w:val="0"/>
        </w:rPr>
      </w:r>
      <w:bookmarkStart w:name="_bookmark125" w:id="246"/>
      <w:bookmarkEnd w:id="246"/>
      <w:r>
        <w:rPr>
          <w:b w:val="0"/>
        </w:rPr>
      </w:r>
      <w:r>
        <w:rPr>
          <w:spacing w:val="-5"/>
        </w:rPr>
        <w:t>医疗保健资源使用</w:t>
      </w:r>
    </w:p>
    <w:p>
      <w:pPr>
        <w:pStyle w:val="BodyText"/>
        <w:spacing w:line="276" w:lineRule="auto" w:before="118"/>
        <w:ind w:right="117" w:firstLine="480"/>
      </w:pPr>
      <w:r>
        <w:rPr/>
        <w:t>将由研究者</w:t>
      </w:r>
      <w:r>
        <w:rPr>
          <w:rFonts w:ascii="Times New Roman" w:eastAsia="Times New Roman"/>
        </w:rPr>
        <w:t>/</w:t>
      </w:r>
      <w:r>
        <w:rPr/>
        <w:t>授权代表根据 </w:t>
      </w:r>
      <w:r>
        <w:rPr>
          <w:rFonts w:ascii="Times New Roman" w:eastAsia="Times New Roman"/>
        </w:rPr>
        <w:t>SoA</w:t>
      </w:r>
      <w:r>
        <w:rPr/>
        <w:t>（第 </w:t>
      </w:r>
      <w:hyperlink w:history="true" w:anchor="_bookmark7">
        <w:r>
          <w:rPr>
            <w:rFonts w:ascii="Times New Roman" w:eastAsia="Times New Roman"/>
            <w:color w:val="0000FF"/>
          </w:rPr>
          <w:t>1.3</w:t>
        </w:r>
      </w:hyperlink>
      <w:r>
        <w:rPr>
          <w:rFonts w:ascii="Times New Roman" w:eastAsia="Times New Roman"/>
          <w:color w:val="0000FF"/>
          <w:spacing w:val="40"/>
        </w:rPr>
        <w:t> </w:t>
      </w:r>
      <w:r>
        <w:rPr/>
        <w:t>节）中提供的时间计划表收集医疗资源</w:t>
      </w:r>
      <w:r>
        <w:rPr/>
        <w:t> </w:t>
      </w:r>
      <w:r>
        <w:rPr>
          <w:spacing w:val="-3"/>
        </w:rPr>
        <w:t>使用数据，并记录在源记录以及适当的 </w:t>
      </w:r>
      <w:r>
        <w:rPr>
          <w:rFonts w:ascii="Times New Roman" w:eastAsia="Times New Roman"/>
        </w:rPr>
        <w:t>eCRF</w:t>
      </w:r>
      <w:r>
        <w:rPr>
          <w:rFonts w:ascii="Times New Roman" w:eastAsia="Times New Roman"/>
          <w:spacing w:val="-15"/>
        </w:rPr>
        <w:t> </w:t>
      </w:r>
      <w:r>
        <w:rPr>
          <w:spacing w:val="-4"/>
        </w:rPr>
        <w:t>模块中。所有访视均将收集 </w:t>
      </w:r>
      <w:r>
        <w:rPr>
          <w:rFonts w:ascii="Times New Roman" w:eastAsia="Times New Roman"/>
        </w:rPr>
        <w:t>HRU</w:t>
      </w:r>
      <w:r>
        <w:rPr>
          <w:rFonts w:ascii="Times New Roman" w:eastAsia="Times New Roman"/>
          <w:spacing w:val="-15"/>
        </w:rPr>
        <w:t> </w:t>
      </w:r>
      <w:r>
        <w:rPr/>
        <w:t>信息，</w:t>
      </w:r>
      <w:r>
        <w:rPr>
          <w:spacing w:val="-5"/>
        </w:rPr>
        <w:t>回忆期为 </w:t>
      </w:r>
      <w:r>
        <w:rPr>
          <w:rFonts w:ascii="Times New Roman" w:eastAsia="Times New Roman"/>
        </w:rPr>
        <w:t>4 </w:t>
      </w:r>
      <w:r>
        <w:rPr/>
        <w:t>周。</w:t>
      </w:r>
    </w:p>
    <w:p>
      <w:pPr>
        <w:pStyle w:val="BodyText"/>
        <w:spacing w:before="238"/>
        <w:ind w:left="701"/>
      </w:pPr>
      <w:r>
        <w:rPr>
          <w:spacing w:val="-9"/>
        </w:rPr>
        <w:t>将收集总体和 </w:t>
      </w:r>
      <w:r>
        <w:rPr>
          <w:rFonts w:ascii="Times New Roman" w:eastAsia="Times New Roman"/>
        </w:rPr>
        <w:t>COPD</w:t>
      </w:r>
      <w:r>
        <w:rPr>
          <w:rFonts w:ascii="Times New Roman" w:eastAsia="Times New Roman"/>
          <w:spacing w:val="-15"/>
        </w:rPr>
        <w:t> </w:t>
      </w:r>
      <w:r>
        <w:rPr>
          <w:spacing w:val="-20"/>
        </w:rPr>
        <w:t>相关 </w:t>
      </w:r>
      <w:r>
        <w:rPr>
          <w:rFonts w:ascii="Times New Roman" w:eastAsia="Times New Roman"/>
        </w:rPr>
        <w:t>HRU</w:t>
      </w:r>
      <w:r>
        <w:rPr>
          <w:rFonts w:ascii="Times New Roman" w:eastAsia="Times New Roman"/>
          <w:spacing w:val="-13"/>
        </w:rPr>
        <w:t> </w:t>
      </w:r>
      <w:r>
        <w:rPr>
          <w:spacing w:val="-4"/>
        </w:rPr>
        <w:t>数据：</w:t>
      </w:r>
    </w:p>
    <w:p>
      <w:pPr>
        <w:pStyle w:val="ListParagraph"/>
        <w:numPr>
          <w:ilvl w:val="0"/>
          <w:numId w:val="48"/>
        </w:numPr>
        <w:tabs>
          <w:tab w:pos="646" w:val="left" w:leader="none"/>
        </w:tabs>
        <w:spacing w:line="240" w:lineRule="auto" w:before="285" w:after="0"/>
        <w:ind w:left="646" w:right="0" w:hanging="425"/>
        <w:jc w:val="left"/>
        <w:rPr>
          <w:sz w:val="24"/>
        </w:rPr>
      </w:pPr>
      <w:r>
        <w:rPr>
          <w:spacing w:val="-2"/>
          <w:sz w:val="24"/>
        </w:rPr>
        <w:t>年住院率。</w:t>
      </w:r>
    </w:p>
    <w:p>
      <w:pPr>
        <w:pStyle w:val="ListParagraph"/>
        <w:numPr>
          <w:ilvl w:val="0"/>
          <w:numId w:val="48"/>
        </w:numPr>
        <w:tabs>
          <w:tab w:pos="646" w:val="left" w:leader="none"/>
        </w:tabs>
        <w:spacing w:line="240" w:lineRule="auto" w:before="60" w:after="0"/>
        <w:ind w:left="646" w:right="0" w:hanging="425"/>
        <w:jc w:val="left"/>
        <w:rPr>
          <w:sz w:val="24"/>
        </w:rPr>
      </w:pPr>
      <w:r>
        <w:rPr>
          <w:spacing w:val="-29"/>
          <w:sz w:val="24"/>
        </w:rPr>
        <w:t>年 </w:t>
      </w:r>
      <w:r>
        <w:rPr>
          <w:rFonts w:ascii="Times New Roman" w:hAnsi="Times New Roman" w:eastAsia="Times New Roman"/>
          <w:spacing w:val="-2"/>
          <w:sz w:val="24"/>
        </w:rPr>
        <w:t>ER/ED</w:t>
      </w:r>
      <w:r>
        <w:rPr>
          <w:rFonts w:ascii="Times New Roman" w:hAnsi="Times New Roman" w:eastAsia="Times New Roman"/>
          <w:spacing w:val="-5"/>
          <w:sz w:val="24"/>
        </w:rPr>
        <w:t> </w:t>
      </w:r>
      <w:r>
        <w:rPr>
          <w:spacing w:val="-4"/>
          <w:sz w:val="24"/>
        </w:rPr>
        <w:t>访视率。</w:t>
      </w:r>
    </w:p>
    <w:p>
      <w:pPr>
        <w:pStyle w:val="ListParagraph"/>
        <w:numPr>
          <w:ilvl w:val="0"/>
          <w:numId w:val="48"/>
        </w:numPr>
        <w:tabs>
          <w:tab w:pos="646" w:val="left" w:leader="none"/>
        </w:tabs>
        <w:spacing w:line="240" w:lineRule="auto" w:before="59" w:after="0"/>
        <w:ind w:left="646" w:right="0" w:hanging="425"/>
        <w:jc w:val="left"/>
        <w:rPr>
          <w:sz w:val="24"/>
        </w:rPr>
      </w:pPr>
      <w:r>
        <w:rPr>
          <w:spacing w:val="-8"/>
          <w:sz w:val="24"/>
        </w:rPr>
        <w:t>合并年住院率和年 </w:t>
      </w:r>
      <w:r>
        <w:rPr>
          <w:rFonts w:ascii="Times New Roman" w:hAnsi="Times New Roman" w:eastAsia="Times New Roman"/>
          <w:spacing w:val="-2"/>
          <w:sz w:val="24"/>
        </w:rPr>
        <w:t>ER/ED</w:t>
      </w:r>
      <w:r>
        <w:rPr>
          <w:rFonts w:ascii="Times New Roman" w:hAnsi="Times New Roman" w:eastAsia="Times New Roman"/>
          <w:sz w:val="24"/>
        </w:rPr>
        <w:t> </w:t>
      </w:r>
      <w:r>
        <w:rPr>
          <w:spacing w:val="-4"/>
          <w:sz w:val="24"/>
        </w:rPr>
        <w:t>访视率。</w:t>
      </w:r>
    </w:p>
    <w:p>
      <w:pPr>
        <w:pStyle w:val="ListParagraph"/>
        <w:numPr>
          <w:ilvl w:val="0"/>
          <w:numId w:val="48"/>
        </w:numPr>
        <w:tabs>
          <w:tab w:pos="646" w:val="left" w:leader="none"/>
        </w:tabs>
        <w:spacing w:line="240" w:lineRule="auto" w:before="60" w:after="0"/>
        <w:ind w:left="646" w:right="0" w:hanging="425"/>
        <w:jc w:val="left"/>
        <w:rPr>
          <w:sz w:val="24"/>
        </w:rPr>
      </w:pPr>
      <w:r>
        <w:rPr>
          <w:spacing w:val="-1"/>
          <w:sz w:val="24"/>
        </w:rPr>
        <w:t>住院天数：医院、普通病房、重症监护病房和危症监护病房的总天数。</w:t>
      </w:r>
    </w:p>
    <w:p>
      <w:pPr>
        <w:pStyle w:val="ListParagraph"/>
        <w:numPr>
          <w:ilvl w:val="0"/>
          <w:numId w:val="48"/>
        </w:numPr>
        <w:tabs>
          <w:tab w:pos="646" w:val="left" w:leader="none"/>
        </w:tabs>
        <w:spacing w:line="240" w:lineRule="auto" w:before="59" w:after="0"/>
        <w:ind w:left="646" w:right="0" w:hanging="425"/>
        <w:jc w:val="left"/>
        <w:rPr>
          <w:sz w:val="24"/>
        </w:rPr>
      </w:pPr>
      <w:r>
        <w:rPr>
          <w:spacing w:val="-2"/>
          <w:sz w:val="24"/>
        </w:rPr>
        <w:t>再次入院率。</w:t>
      </w:r>
    </w:p>
    <w:p>
      <w:pPr>
        <w:pStyle w:val="BodyText"/>
        <w:spacing w:before="23"/>
        <w:ind w:left="0"/>
      </w:pPr>
    </w:p>
    <w:p>
      <w:pPr>
        <w:pStyle w:val="BodyText"/>
        <w:ind w:left="701"/>
      </w:pPr>
      <w:r>
        <w:rPr>
          <w:spacing w:val="-4"/>
        </w:rPr>
        <w:t>请注意，住院治疗病例也必须报告为 </w:t>
      </w:r>
      <w:r>
        <w:rPr>
          <w:rFonts w:ascii="Times New Roman" w:eastAsia="Times New Roman"/>
        </w:rPr>
        <w:t>SAE</w:t>
      </w:r>
      <w:r>
        <w:rPr/>
        <w:t>（</w:t>
      </w:r>
      <w:r>
        <w:rPr>
          <w:spacing w:val="-30"/>
        </w:rPr>
        <w:t>第 </w:t>
      </w:r>
      <w:hyperlink w:history="true" w:anchor="_bookmark102">
        <w:r>
          <w:rPr>
            <w:rFonts w:ascii="Times New Roman" w:eastAsia="Times New Roman"/>
            <w:color w:val="0000FF"/>
          </w:rPr>
          <w:t>8.3.9</w:t>
        </w:r>
      </w:hyperlink>
      <w:r>
        <w:rPr>
          <w:rFonts w:ascii="Times New Roman" w:eastAsia="Times New Roman"/>
          <w:color w:val="0000FF"/>
          <w:spacing w:val="-14"/>
        </w:rPr>
        <w:t> </w:t>
      </w:r>
      <w:r>
        <w:rPr/>
        <w:t>节）</w:t>
      </w:r>
      <w:r>
        <w:rPr>
          <w:spacing w:val="-10"/>
        </w:rPr>
        <w:t>。</w:t>
      </w:r>
    </w:p>
    <w:p>
      <w:pPr>
        <w:pStyle w:val="Heading1"/>
        <w:numPr>
          <w:ilvl w:val="0"/>
          <w:numId w:val="3"/>
        </w:numPr>
        <w:tabs>
          <w:tab w:pos="1355" w:val="left" w:leader="none"/>
        </w:tabs>
        <w:spacing w:line="240" w:lineRule="auto" w:before="287" w:after="0"/>
        <w:ind w:left="1355" w:right="0" w:hanging="1134"/>
        <w:jc w:val="left"/>
      </w:pPr>
      <w:bookmarkStart w:name="9 统计学考量" w:id="247"/>
      <w:bookmarkEnd w:id="247"/>
      <w:r>
        <w:rPr>
          <w:b w:val="0"/>
        </w:rPr>
      </w:r>
      <w:bookmarkStart w:name="_bookmark126" w:id="248"/>
      <w:bookmarkEnd w:id="248"/>
      <w:r>
        <w:rPr>
          <w:b w:val="0"/>
        </w:rPr>
      </w:r>
      <w:r>
        <w:rPr>
          <w:spacing w:val="-6"/>
        </w:rPr>
        <w:t>统计学考量</w:t>
      </w:r>
    </w:p>
    <w:p>
      <w:pPr>
        <w:pStyle w:val="Heading1"/>
        <w:numPr>
          <w:ilvl w:val="1"/>
          <w:numId w:val="3"/>
        </w:numPr>
        <w:tabs>
          <w:tab w:pos="1355" w:val="left" w:leader="none"/>
        </w:tabs>
        <w:spacing w:line="240" w:lineRule="auto" w:before="118" w:after="0"/>
        <w:ind w:left="1355" w:right="0" w:hanging="1134"/>
        <w:jc w:val="left"/>
      </w:pPr>
      <w:bookmarkStart w:name="9.1 统计假设" w:id="249"/>
      <w:bookmarkEnd w:id="249"/>
      <w:r>
        <w:rPr>
          <w:b w:val="0"/>
        </w:rPr>
      </w:r>
      <w:bookmarkStart w:name="_bookmark127" w:id="250"/>
      <w:bookmarkEnd w:id="250"/>
      <w:r>
        <w:rPr>
          <w:b w:val="0"/>
        </w:rPr>
      </w:r>
      <w:r>
        <w:rPr>
          <w:spacing w:val="-4"/>
        </w:rPr>
        <w:t>统计假设</w:t>
      </w:r>
    </w:p>
    <w:p>
      <w:pPr>
        <w:pStyle w:val="BodyText"/>
        <w:spacing w:line="276" w:lineRule="auto" w:before="120"/>
        <w:ind w:right="353" w:firstLine="480"/>
        <w:jc w:val="both"/>
      </w:pPr>
      <w:r>
        <w:rPr>
          <w:spacing w:val="8"/>
        </w:rPr>
        <w:t>本研究是</w:t>
      </w:r>
      <w:r>
        <w:rPr>
          <w:rFonts w:ascii="Times New Roman" w:eastAsia="Times New Roman"/>
        </w:rPr>
        <w:t>LTE</w:t>
      </w:r>
      <w:r>
        <w:rPr>
          <w:rFonts w:ascii="Times New Roman" w:eastAsia="Times New Roman"/>
          <w:spacing w:val="-15"/>
        </w:rPr>
        <w:t> </w:t>
      </w:r>
      <w:r>
        <w:rPr>
          <w:spacing w:val="3"/>
        </w:rPr>
        <w:t>研究，在完成前身研究</w:t>
      </w:r>
      <w:r>
        <w:rPr>
          <w:rFonts w:ascii="Times New Roman" w:eastAsia="Times New Roman"/>
        </w:rPr>
        <w:t>OBERON</w:t>
      </w:r>
      <w:r>
        <w:rPr>
          <w:rFonts w:ascii="Times New Roman" w:eastAsia="Times New Roman"/>
          <w:spacing w:val="-15"/>
        </w:rPr>
        <w:t> </w:t>
      </w:r>
      <w:r>
        <w:rPr>
          <w:spacing w:val="32"/>
        </w:rPr>
        <w:t>和</w:t>
      </w:r>
      <w:r>
        <w:rPr>
          <w:rFonts w:ascii="Times New Roman" w:eastAsia="Times New Roman"/>
        </w:rPr>
        <w:t>TITANIA</w:t>
      </w:r>
      <w:r>
        <w:rPr>
          <w:rFonts w:ascii="Times New Roman" w:eastAsia="Times New Roman"/>
          <w:spacing w:val="-15"/>
        </w:rPr>
        <w:t> </w:t>
      </w:r>
      <w:r>
        <w:rPr>
          <w:spacing w:val="-15"/>
        </w:rPr>
        <w:t>中 </w:t>
      </w:r>
      <w:r>
        <w:rPr>
          <w:rFonts w:ascii="Times New Roman" w:eastAsia="Times New Roman"/>
        </w:rPr>
        <w:t>52</w:t>
      </w:r>
      <w:r>
        <w:rPr>
          <w:rFonts w:ascii="Times New Roman" w:eastAsia="Times New Roman"/>
          <w:spacing w:val="-15"/>
        </w:rPr>
        <w:t> </w:t>
      </w:r>
      <w:r>
        <w:rPr/>
        <w:t>周治疗期后开</w:t>
      </w:r>
      <w:r>
        <w:rPr>
          <w:spacing w:val="-2"/>
        </w:rPr>
        <w:t>展。分析将包括受试者从前身研究收集的数据（如适用），目的是尽量减少脱落引起的偏倚，同时可以基于首次随机和给药时间进行推断。一旦两项前身研究均揭盲并报告结果，即可进行本研究的主要分析报告，无需等待所有受试者完成本研究的</w:t>
      </w:r>
      <w:r>
        <w:rPr>
          <w:spacing w:val="-1"/>
        </w:rPr>
        <w:t>治疗。在做出揭盲决定之前，将监测研究中截止该时间点观察到的重度 </w:t>
      </w:r>
      <w:r>
        <w:rPr>
          <w:rFonts w:ascii="Times New Roman" w:eastAsia="Times New Roman"/>
        </w:rPr>
        <w:t>COPD</w:t>
      </w:r>
      <w:r>
        <w:rPr>
          <w:rFonts w:ascii="Times New Roman" w:eastAsia="Times New Roman"/>
          <w:spacing w:val="18"/>
        </w:rPr>
        <w:t> </w:t>
      </w:r>
      <w:r>
        <w:rPr/>
        <w:t>急性</w:t>
      </w:r>
      <w:r>
        <w:rPr>
          <w:spacing w:val="-2"/>
        </w:rPr>
        <w:t>加重的数量，以评估统计学把握度。</w:t>
      </w:r>
    </w:p>
    <w:p>
      <w:pPr>
        <w:pStyle w:val="BodyText"/>
        <w:spacing w:line="276" w:lineRule="auto" w:before="235"/>
        <w:ind w:right="117" w:firstLine="480"/>
      </w:pPr>
      <w:r>
        <w:rPr>
          <w:spacing w:val="3"/>
        </w:rPr>
        <w:t>主要有效性终点是在前身研究和</w:t>
      </w:r>
      <w:r>
        <w:rPr>
          <w:rFonts w:ascii="Times New Roman" w:eastAsia="Times New Roman"/>
        </w:rPr>
        <w:t>PROSPERO </w:t>
      </w:r>
      <w:r>
        <w:rPr>
          <w:spacing w:val="-3"/>
        </w:rPr>
        <w:t>的整体治疗期间，重度 </w:t>
      </w:r>
      <w:r>
        <w:rPr>
          <w:rFonts w:ascii="Times New Roman" w:eastAsia="Times New Roman"/>
        </w:rPr>
        <w:t>COPD </w:t>
      </w:r>
      <w:r>
        <w:rPr/>
        <w:t>急性</w:t>
      </w:r>
      <w:r>
        <w:rPr/>
        <w:t> </w:t>
      </w:r>
      <w:r>
        <w:rPr>
          <w:spacing w:val="-2"/>
        </w:rPr>
        <w:t>加重的年发生率。研究中治疗期在受试者之间将有所不同（</w:t>
      </w:r>
      <w:r>
        <w:rPr>
          <w:rFonts w:ascii="Times New Roman" w:eastAsia="Times New Roman"/>
          <w:spacing w:val="-2"/>
        </w:rPr>
        <w:t>28</w:t>
      </w:r>
      <w:r>
        <w:rPr>
          <w:rFonts w:ascii="Times New Roman" w:eastAsia="Times New Roman"/>
          <w:spacing w:val="-8"/>
        </w:rPr>
        <w:t> </w:t>
      </w:r>
      <w:r>
        <w:rPr>
          <w:spacing w:val="-20"/>
        </w:rPr>
        <w:t>周或 </w:t>
      </w:r>
      <w:r>
        <w:rPr>
          <w:rFonts w:ascii="Times New Roman" w:eastAsia="Times New Roman"/>
          <w:spacing w:val="-2"/>
        </w:rPr>
        <w:t>52</w:t>
      </w:r>
      <w:r>
        <w:rPr>
          <w:rFonts w:ascii="Times New Roman" w:eastAsia="Times New Roman"/>
          <w:spacing w:val="-8"/>
        </w:rPr>
        <w:t> </w:t>
      </w:r>
      <w:r>
        <w:rPr>
          <w:spacing w:val="-2"/>
        </w:rPr>
        <w:t>周），具体取决</w:t>
      </w:r>
      <w:r>
        <w:rPr>
          <w:spacing w:val="-4"/>
        </w:rPr>
        <w:t>于受试者根据哪个 </w:t>
      </w:r>
      <w:r>
        <w:rPr>
          <w:rFonts w:ascii="Times New Roman" w:eastAsia="Times New Roman"/>
        </w:rPr>
        <w:t>CSP</w:t>
      </w:r>
      <w:r>
        <w:rPr>
          <w:rFonts w:ascii="Times New Roman" w:eastAsia="Times New Roman"/>
          <w:spacing w:val="-6"/>
        </w:rPr>
        <w:t> </w:t>
      </w:r>
      <w:r>
        <w:rPr/>
        <w:t>版本招募。首先在戒烟者组成的主要人群中评估主要终点，然</w:t>
      </w:r>
      <w:r>
        <w:rPr>
          <w:spacing w:val="-2"/>
        </w:rPr>
        <w:t>后在戒烟者或吸烟者组成的总体人群中评估主要终点。</w:t>
      </w:r>
    </w:p>
    <w:p>
      <w:pPr>
        <w:pStyle w:val="BodyText"/>
        <w:spacing w:line="276" w:lineRule="auto" w:before="237"/>
        <w:ind w:right="357" w:firstLine="480"/>
      </w:pPr>
      <w:r>
        <w:rPr/>
        <w:t>在前身研究中，</w:t>
      </w:r>
      <w:r>
        <w:rPr>
          <w:rFonts w:ascii="Times New Roman" w:eastAsia="Times New Roman"/>
        </w:rPr>
        <w:t>tozorakimab 300 mg Q8W</w:t>
      </w:r>
      <w:r>
        <w:rPr>
          <w:rFonts w:ascii="Times New Roman" w:eastAsia="Times New Roman"/>
          <w:spacing w:val="-15"/>
        </w:rPr>
        <w:t> </w:t>
      </w:r>
      <w:r>
        <w:rPr/>
        <w:t>组仅用于描述剂量</w:t>
      </w:r>
      <w:r>
        <w:rPr>
          <w:rFonts w:ascii="Times New Roman" w:eastAsia="Times New Roman"/>
        </w:rPr>
        <w:t>-</w:t>
      </w:r>
      <w:r>
        <w:rPr/>
        <w:t>效应曲线，而不会用于确证性假设检验。</w:t>
      </w:r>
      <w:r>
        <w:rPr>
          <w:rFonts w:ascii="Times New Roman" w:eastAsia="Times New Roman"/>
        </w:rPr>
        <w:t>CSP </w:t>
      </w:r>
      <w:r>
        <w:rPr>
          <w:spacing w:val="-21"/>
        </w:rPr>
        <w:t>第 </w:t>
      </w:r>
      <w:r>
        <w:rPr>
          <w:rFonts w:ascii="Times New Roman" w:eastAsia="Times New Roman"/>
        </w:rPr>
        <w:t>2.0</w:t>
      </w:r>
      <w:r>
        <w:rPr>
          <w:rFonts w:ascii="Times New Roman" w:eastAsia="Times New Roman"/>
          <w:spacing w:val="2"/>
        </w:rPr>
        <w:t> </w:t>
      </w:r>
      <w:r>
        <w:rPr>
          <w:spacing w:val="-6"/>
        </w:rPr>
        <w:t>版中，新进入 </w:t>
      </w:r>
      <w:r>
        <w:rPr>
          <w:rFonts w:ascii="Times New Roman" w:eastAsia="Times New Roman"/>
        </w:rPr>
        <w:t>PROSPERO</w:t>
      </w:r>
      <w:r>
        <w:rPr>
          <w:rFonts w:ascii="Times New Roman" w:eastAsia="Times New Roman"/>
          <w:spacing w:val="1"/>
        </w:rPr>
        <w:t> </w:t>
      </w:r>
      <w:r>
        <w:rPr>
          <w:spacing w:val="-1"/>
        </w:rPr>
        <w:t>的受试者不会接受该给</w:t>
      </w:r>
    </w:p>
    <w:p>
      <w:pPr>
        <w:spacing w:after="0" w:line="276" w:lineRule="auto"/>
        <w:sectPr>
          <w:pgSz w:w="11910" w:h="16840"/>
          <w:pgMar w:header="590" w:footer="784" w:top="1340" w:bottom="980" w:left="1480" w:right="1080"/>
        </w:sectPr>
      </w:pPr>
    </w:p>
    <w:p>
      <w:pPr>
        <w:pStyle w:val="BodyText"/>
        <w:spacing w:line="276" w:lineRule="auto" w:before="88"/>
        <w:ind w:right="357"/>
      </w:pPr>
      <w:r>
        <w:rPr>
          <w:spacing w:val="-6"/>
        </w:rPr>
        <w:t>药方案。因此，仅对 </w:t>
      </w:r>
      <w:r>
        <w:rPr>
          <w:rFonts w:ascii="Times New Roman" w:eastAsia="Times New Roman"/>
        </w:rPr>
        <w:t>tozorakimab</w:t>
      </w:r>
      <w:r>
        <w:rPr>
          <w:rFonts w:ascii="Times New Roman" w:eastAsia="Times New Roman"/>
          <w:spacing w:val="16"/>
        </w:rPr>
        <w:t> </w:t>
      </w:r>
      <w:r>
        <w:rPr>
          <w:rFonts w:ascii="Times New Roman" w:eastAsia="Times New Roman"/>
        </w:rPr>
        <w:t>300</w:t>
      </w:r>
      <w:r>
        <w:rPr>
          <w:rFonts w:ascii="Times New Roman" w:eastAsia="Times New Roman"/>
          <w:spacing w:val="21"/>
        </w:rPr>
        <w:t> </w:t>
      </w:r>
      <w:r>
        <w:rPr>
          <w:rFonts w:ascii="Times New Roman" w:eastAsia="Times New Roman"/>
        </w:rPr>
        <w:t>mg</w:t>
      </w:r>
      <w:r>
        <w:rPr>
          <w:rFonts w:ascii="Times New Roman" w:eastAsia="Times New Roman"/>
          <w:spacing w:val="22"/>
        </w:rPr>
        <w:t> </w:t>
      </w:r>
      <w:r>
        <w:rPr>
          <w:rFonts w:ascii="Times New Roman" w:eastAsia="Times New Roman"/>
        </w:rPr>
        <w:t>Q4W</w:t>
      </w:r>
      <w:r>
        <w:rPr>
          <w:rFonts w:ascii="Times New Roman" w:eastAsia="Times New Roman"/>
          <w:spacing w:val="-15"/>
        </w:rPr>
        <w:t> </w:t>
      </w:r>
      <w:r>
        <w:rPr/>
        <w:t>与安慰剂的比较进行了确证性假设检</w:t>
      </w:r>
      <w:r>
        <w:rPr>
          <w:spacing w:val="-6"/>
        </w:rPr>
        <w:t>验。</w:t>
      </w:r>
    </w:p>
    <w:p>
      <w:pPr>
        <w:pStyle w:val="BodyText"/>
        <w:spacing w:line="276" w:lineRule="auto" w:before="239"/>
        <w:ind w:right="357" w:firstLine="480"/>
        <w:jc w:val="both"/>
      </w:pPr>
      <w:r>
        <w:rPr>
          <w:spacing w:val="-5"/>
        </w:rPr>
        <w:t>无效假设是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5"/>
        </w:rPr>
        <w:t> </w:t>
      </w:r>
      <w:r>
        <w:rPr>
          <w:rFonts w:ascii="Times New Roman" w:eastAsia="Times New Roman"/>
        </w:rPr>
        <w:t>Q4W</w:t>
      </w:r>
      <w:r>
        <w:rPr>
          <w:rFonts w:ascii="Times New Roman" w:eastAsia="Times New Roman"/>
          <w:spacing w:val="-15"/>
        </w:rPr>
        <w:t> </w:t>
      </w:r>
      <w:r>
        <w:rPr>
          <w:spacing w:val="-3"/>
        </w:rPr>
        <w:t>组与安慰剂组的重度 </w:t>
      </w:r>
      <w:r>
        <w:rPr>
          <w:rFonts w:ascii="Times New Roman" w:eastAsia="Times New Roman"/>
        </w:rPr>
        <w:t>COPD</w:t>
      </w:r>
      <w:r>
        <w:rPr>
          <w:rFonts w:ascii="Times New Roman" w:eastAsia="Times New Roman"/>
          <w:spacing w:val="-15"/>
        </w:rPr>
        <w:t> </w:t>
      </w:r>
      <w:r>
        <w:rPr/>
        <w:t>急性加重年发</w:t>
      </w:r>
      <w:r>
        <w:rPr>
          <w:spacing w:val="-4"/>
        </w:rPr>
        <w:t>生率相等，或发生率比值等于 </w:t>
      </w:r>
      <w:r>
        <w:rPr>
          <w:rFonts w:ascii="Times New Roman" w:eastAsia="Times New Roman"/>
          <w:spacing w:val="-2"/>
        </w:rPr>
        <w:t>1</w:t>
      </w:r>
      <w:r>
        <w:rPr>
          <w:spacing w:val="-6"/>
        </w:rPr>
        <w:t>。备择假设是 </w:t>
      </w:r>
      <w:r>
        <w:rPr>
          <w:rFonts w:ascii="Times New Roman" w:eastAsia="Times New Roman"/>
          <w:spacing w:val="-2"/>
        </w:rPr>
        <w:t>tozorakimab</w:t>
      </w:r>
      <w:r>
        <w:rPr>
          <w:rFonts w:ascii="Times New Roman" w:eastAsia="Times New Roman"/>
          <w:spacing w:val="-13"/>
        </w:rPr>
        <w:t> </w:t>
      </w:r>
      <w:r>
        <w:rPr>
          <w:spacing w:val="-8"/>
        </w:rPr>
        <w:t>组的重度 </w:t>
      </w:r>
      <w:r>
        <w:rPr>
          <w:rFonts w:ascii="Times New Roman" w:eastAsia="Times New Roman"/>
          <w:spacing w:val="-2"/>
        </w:rPr>
        <w:t>COPD</w:t>
      </w:r>
      <w:r>
        <w:rPr>
          <w:rFonts w:ascii="Times New Roman" w:eastAsia="Times New Roman"/>
          <w:spacing w:val="-5"/>
        </w:rPr>
        <w:t> </w:t>
      </w:r>
      <w:r>
        <w:rPr>
          <w:spacing w:val="-2"/>
        </w:rPr>
        <w:t>急性加重发生率不等于安慰剂组的急性加重发生率：</w:t>
      </w:r>
    </w:p>
    <w:p>
      <w:pPr>
        <w:spacing w:line="441" w:lineRule="auto" w:before="226"/>
        <w:ind w:left="701" w:right="714" w:firstLine="0"/>
        <w:jc w:val="left"/>
        <w:rPr>
          <w:rFonts w:ascii="Times New Roman" w:hAnsi="Times New Roman" w:eastAsia="Times New Roman"/>
          <w:i/>
          <w:sz w:val="24"/>
        </w:rPr>
      </w:pPr>
      <w:r>
        <w:rPr>
          <w:rFonts w:ascii="Times New Roman" w:hAnsi="Times New Roman" w:eastAsia="Times New Roman"/>
          <w:i/>
          <w:spacing w:val="-4"/>
          <w:position w:val="1"/>
          <w:sz w:val="24"/>
        </w:rPr>
        <w:t>H</w:t>
      </w:r>
      <w:r>
        <w:rPr>
          <w:rFonts w:ascii="Times New Roman" w:hAnsi="Times New Roman" w:eastAsia="Times New Roman"/>
          <w:i/>
          <w:spacing w:val="-4"/>
          <w:sz w:val="16"/>
        </w:rPr>
        <w:t>0</w:t>
      </w:r>
      <w:r>
        <w:rPr>
          <w:i/>
          <w:spacing w:val="-4"/>
          <w:position w:val="1"/>
          <w:sz w:val="25"/>
        </w:rPr>
        <w:t>：</w:t>
      </w:r>
      <w:r>
        <w:rPr>
          <w:rFonts w:ascii="Times New Roman" w:hAnsi="Times New Roman" w:eastAsia="Times New Roman"/>
          <w:i/>
          <w:spacing w:val="-4"/>
          <w:position w:val="1"/>
          <w:sz w:val="24"/>
        </w:rPr>
        <w:t>tozorakimab 300 mg Q4W SC</w:t>
      </w:r>
      <w:r>
        <w:rPr>
          <w:rFonts w:ascii="Times New Roman" w:hAnsi="Times New Roman" w:eastAsia="Times New Roman"/>
          <w:i/>
          <w:spacing w:val="-12"/>
          <w:position w:val="1"/>
          <w:sz w:val="24"/>
        </w:rPr>
        <w:t> </w:t>
      </w:r>
      <w:r>
        <w:rPr>
          <w:i/>
          <w:spacing w:val="-4"/>
          <w:position w:val="1"/>
          <w:sz w:val="25"/>
        </w:rPr>
        <w:t>组与安慰剂组的发生率比值</w:t>
      </w:r>
      <w:r>
        <w:rPr>
          <w:rFonts w:ascii="Times New Roman" w:hAnsi="Times New Roman" w:eastAsia="Times New Roman"/>
          <w:i/>
          <w:spacing w:val="-4"/>
          <w:position w:val="1"/>
          <w:sz w:val="24"/>
        </w:rPr>
        <w:t>=1</w:t>
      </w:r>
      <w:r>
        <w:rPr>
          <w:rFonts w:ascii="Times New Roman" w:hAnsi="Times New Roman" w:eastAsia="Times New Roman"/>
          <w:i/>
          <w:spacing w:val="-4"/>
          <w:position w:val="1"/>
          <w:sz w:val="24"/>
        </w:rPr>
        <w:t> H</w:t>
      </w:r>
      <w:r>
        <w:rPr>
          <w:rFonts w:ascii="Times New Roman" w:hAnsi="Times New Roman" w:eastAsia="Times New Roman"/>
          <w:i/>
          <w:spacing w:val="-4"/>
          <w:sz w:val="16"/>
        </w:rPr>
        <w:t>1</w:t>
      </w:r>
      <w:r>
        <w:rPr>
          <w:i/>
          <w:spacing w:val="-4"/>
          <w:position w:val="1"/>
          <w:sz w:val="25"/>
        </w:rPr>
        <w:t>：</w:t>
      </w:r>
      <w:r>
        <w:rPr>
          <w:rFonts w:ascii="Times New Roman" w:hAnsi="Times New Roman" w:eastAsia="Times New Roman"/>
          <w:i/>
          <w:spacing w:val="-4"/>
          <w:position w:val="1"/>
          <w:sz w:val="24"/>
        </w:rPr>
        <w:t>tozorakimab</w:t>
      </w:r>
      <w:r>
        <w:rPr>
          <w:rFonts w:ascii="Times New Roman" w:hAnsi="Times New Roman" w:eastAsia="Times New Roman"/>
          <w:i/>
          <w:spacing w:val="1"/>
          <w:position w:val="1"/>
          <w:sz w:val="24"/>
        </w:rPr>
        <w:t> </w:t>
      </w:r>
      <w:r>
        <w:rPr>
          <w:rFonts w:ascii="Times New Roman" w:hAnsi="Times New Roman" w:eastAsia="Times New Roman"/>
          <w:i/>
          <w:spacing w:val="-4"/>
          <w:position w:val="1"/>
          <w:sz w:val="24"/>
        </w:rPr>
        <w:t>300</w:t>
      </w:r>
      <w:r>
        <w:rPr>
          <w:rFonts w:ascii="Times New Roman" w:hAnsi="Times New Roman" w:eastAsia="Times New Roman"/>
          <w:i/>
          <w:spacing w:val="1"/>
          <w:position w:val="1"/>
          <w:sz w:val="24"/>
        </w:rPr>
        <w:t> </w:t>
      </w:r>
      <w:r>
        <w:rPr>
          <w:rFonts w:ascii="Times New Roman" w:hAnsi="Times New Roman" w:eastAsia="Times New Roman"/>
          <w:i/>
          <w:spacing w:val="-4"/>
          <w:position w:val="1"/>
          <w:sz w:val="24"/>
        </w:rPr>
        <w:t>mg</w:t>
      </w:r>
      <w:r>
        <w:rPr>
          <w:rFonts w:ascii="Times New Roman" w:hAnsi="Times New Roman" w:eastAsia="Times New Roman"/>
          <w:i/>
          <w:position w:val="1"/>
          <w:sz w:val="24"/>
        </w:rPr>
        <w:t> </w:t>
      </w:r>
      <w:r>
        <w:rPr>
          <w:rFonts w:ascii="Times New Roman" w:hAnsi="Times New Roman" w:eastAsia="Times New Roman"/>
          <w:i/>
          <w:spacing w:val="-4"/>
          <w:position w:val="1"/>
          <w:sz w:val="24"/>
        </w:rPr>
        <w:t>Q4W</w:t>
      </w:r>
      <w:r>
        <w:rPr>
          <w:rFonts w:ascii="Times New Roman" w:hAnsi="Times New Roman" w:eastAsia="Times New Roman"/>
          <w:i/>
          <w:spacing w:val="1"/>
          <w:position w:val="1"/>
          <w:sz w:val="24"/>
        </w:rPr>
        <w:t> </w:t>
      </w:r>
      <w:r>
        <w:rPr>
          <w:rFonts w:ascii="Times New Roman" w:hAnsi="Times New Roman" w:eastAsia="Times New Roman"/>
          <w:i/>
          <w:spacing w:val="-4"/>
          <w:position w:val="1"/>
          <w:sz w:val="24"/>
        </w:rPr>
        <w:t>SC</w:t>
      </w:r>
      <w:r>
        <w:rPr>
          <w:rFonts w:ascii="Times New Roman" w:hAnsi="Times New Roman" w:eastAsia="Times New Roman"/>
          <w:i/>
          <w:spacing w:val="-11"/>
          <w:position w:val="1"/>
          <w:sz w:val="24"/>
        </w:rPr>
        <w:t> </w:t>
      </w:r>
      <w:r>
        <w:rPr>
          <w:i/>
          <w:spacing w:val="-4"/>
          <w:position w:val="1"/>
          <w:sz w:val="25"/>
        </w:rPr>
        <w:t>组与安慰剂组的发生率比值</w:t>
      </w:r>
      <w:r>
        <w:rPr>
          <w:rFonts w:ascii="Times New Roman" w:hAnsi="Times New Roman" w:eastAsia="Times New Roman"/>
          <w:i/>
          <w:spacing w:val="-5"/>
          <w:position w:val="1"/>
          <w:sz w:val="24"/>
        </w:rPr>
        <w:t>≠1</w:t>
      </w:r>
    </w:p>
    <w:p>
      <w:pPr>
        <w:pStyle w:val="BodyText"/>
        <w:spacing w:line="273" w:lineRule="auto" w:before="11"/>
        <w:ind w:right="357" w:firstLine="480"/>
        <w:jc w:val="both"/>
      </w:pPr>
      <w:r>
        <w:rPr>
          <w:spacing w:val="-4"/>
        </w:rPr>
        <w:t>主要分析（</w:t>
      </w:r>
      <w:r>
        <w:rPr>
          <w:spacing w:val="-10"/>
        </w:rPr>
        <w:t>即重度 </w:t>
      </w:r>
      <w:r>
        <w:rPr>
          <w:rFonts w:ascii="Times New Roman" w:eastAsia="Times New Roman"/>
          <w:spacing w:val="-4"/>
        </w:rPr>
        <w:t>COPD</w:t>
      </w:r>
      <w:r>
        <w:rPr>
          <w:rFonts w:ascii="Times New Roman" w:eastAsia="Times New Roman"/>
          <w:spacing w:val="-11"/>
        </w:rPr>
        <w:t> </w:t>
      </w:r>
      <w:r>
        <w:rPr>
          <w:spacing w:val="-4"/>
        </w:rPr>
        <w:t>急性加重的年发生率）</w:t>
      </w:r>
      <w:r>
        <w:rPr>
          <w:spacing w:val="-7"/>
        </w:rPr>
        <w:t>的假设检验将在双侧 </w:t>
      </w:r>
      <w:r>
        <w:rPr>
          <w:rFonts w:ascii="Times New Roman" w:eastAsia="Times New Roman"/>
          <w:spacing w:val="-4"/>
        </w:rPr>
        <w:t>5%</w:t>
      </w:r>
      <w:r>
        <w:rPr>
          <w:spacing w:val="-4"/>
        </w:rPr>
        <w:t>显著性</w:t>
      </w:r>
      <w:r>
        <w:rPr>
          <w:spacing w:val="-4"/>
          <w:position w:val="1"/>
        </w:rPr>
        <w:t>水平下进行。如果 </w:t>
      </w:r>
      <w:r>
        <w:rPr>
          <w:rFonts w:ascii="Times New Roman" w:eastAsia="Times New Roman"/>
          <w:position w:val="1"/>
        </w:rPr>
        <w:t>p </w:t>
      </w:r>
      <w:r>
        <w:rPr>
          <w:spacing w:val="-9"/>
          <w:position w:val="1"/>
        </w:rPr>
        <w:t>值小于 </w:t>
      </w:r>
      <w:r>
        <w:rPr>
          <w:rFonts w:ascii="Times New Roman" w:eastAsia="Times New Roman"/>
          <w:position w:val="1"/>
        </w:rPr>
        <w:t>0.05 </w:t>
      </w:r>
      <w:r>
        <w:rPr>
          <w:spacing w:val="-4"/>
          <w:position w:val="1"/>
        </w:rPr>
        <w:t>且治疗作用有利于 </w:t>
      </w:r>
      <w:r>
        <w:rPr>
          <w:rFonts w:ascii="Times New Roman" w:eastAsia="Times New Roman"/>
          <w:position w:val="1"/>
        </w:rPr>
        <w:t>tozorakimab</w:t>
      </w:r>
      <w:r>
        <w:rPr>
          <w:spacing w:val="-7"/>
          <w:position w:val="1"/>
        </w:rPr>
        <w:t>，则拒绝 </w:t>
      </w:r>
      <w:r>
        <w:rPr>
          <w:rFonts w:ascii="Times New Roman" w:eastAsia="Times New Roman"/>
          <w:position w:val="1"/>
        </w:rPr>
        <w:t>H</w:t>
      </w:r>
      <w:r>
        <w:rPr>
          <w:rFonts w:ascii="Times New Roman" w:eastAsia="Times New Roman"/>
          <w:sz w:val="16"/>
        </w:rPr>
        <w:t>0</w:t>
      </w:r>
      <w:r>
        <w:rPr>
          <w:position w:val="1"/>
        </w:rPr>
        <w:t>。</w:t>
      </w:r>
    </w:p>
    <w:p>
      <w:pPr>
        <w:pStyle w:val="BodyText"/>
        <w:spacing w:line="276" w:lineRule="auto" w:before="245"/>
        <w:ind w:right="357" w:firstLine="480"/>
        <w:jc w:val="both"/>
      </w:pPr>
      <w:r>
        <w:rPr>
          <w:spacing w:val="-4"/>
        </w:rPr>
        <w:t>针对主要终点和关键次要终点采用多重检验程序，在 </w:t>
      </w:r>
      <w:r>
        <w:rPr>
          <w:rFonts w:ascii="Times New Roman" w:eastAsia="Times New Roman"/>
          <w:spacing w:val="-2"/>
        </w:rPr>
        <w:t>5%</w:t>
      </w:r>
      <w:r>
        <w:rPr>
          <w:spacing w:val="-2"/>
        </w:rPr>
        <w:t>的双侧显著水平下控制 </w:t>
      </w:r>
      <w:r>
        <w:rPr>
          <w:rFonts w:ascii="Times New Roman" w:eastAsia="Times New Roman"/>
        </w:rPr>
        <w:t>I </w:t>
      </w:r>
      <w:r>
        <w:rPr>
          <w:spacing w:val="-2"/>
        </w:rPr>
        <w:t>类错误；详细内容请见第 </w:t>
      </w:r>
      <w:hyperlink w:history="true" w:anchor="_bookmark129">
        <w:r>
          <w:rPr>
            <w:rFonts w:ascii="Times New Roman" w:eastAsia="Times New Roman"/>
            <w:color w:val="0000FF"/>
          </w:rPr>
          <w:t>9.1.2</w:t>
        </w:r>
      </w:hyperlink>
      <w:r>
        <w:rPr>
          <w:rFonts w:ascii="Times New Roman" w:eastAsia="Times New Roman"/>
          <w:color w:val="0000FF"/>
        </w:rPr>
        <w:t> </w:t>
      </w:r>
      <w:r>
        <w:rPr/>
        <w:t>节。假设检验的显著性水平将根据多重检验程序定</w:t>
      </w:r>
      <w:r>
        <w:rPr>
          <w:spacing w:val="-2"/>
        </w:rPr>
        <w:t>义的显著性水平进行确定。</w:t>
      </w:r>
    </w:p>
    <w:p>
      <w:pPr>
        <w:pStyle w:val="Heading2"/>
        <w:numPr>
          <w:ilvl w:val="2"/>
          <w:numId w:val="3"/>
        </w:numPr>
        <w:tabs>
          <w:tab w:pos="1371" w:val="left" w:leader="none"/>
        </w:tabs>
        <w:spacing w:line="240" w:lineRule="auto" w:before="235" w:after="0"/>
        <w:ind w:left="1371" w:right="0" w:hanging="1150"/>
        <w:jc w:val="both"/>
      </w:pPr>
      <w:bookmarkStart w:name="9.1.1 估计目标中的分析方法" w:id="251"/>
      <w:bookmarkEnd w:id="251"/>
      <w:r>
        <w:rPr>
          <w:b w:val="0"/>
        </w:rPr>
      </w:r>
      <w:bookmarkStart w:name="_bookmark128" w:id="252"/>
      <w:bookmarkEnd w:id="252"/>
      <w:r>
        <w:rPr>
          <w:b w:val="0"/>
        </w:rPr>
      </w:r>
      <w:r>
        <w:rPr>
          <w:spacing w:val="-5"/>
        </w:rPr>
        <w:t>估计目标中的分析方法</w:t>
      </w:r>
    </w:p>
    <w:p>
      <w:pPr>
        <w:pStyle w:val="BodyText"/>
        <w:spacing w:line="276" w:lineRule="auto" w:before="120"/>
        <w:ind w:right="357" w:firstLine="480"/>
        <w:jc w:val="both"/>
      </w:pPr>
      <w:r>
        <w:rPr>
          <w:spacing w:val="-10"/>
        </w:rPr>
        <w:t>将在 </w:t>
      </w:r>
      <w:r>
        <w:rPr>
          <w:rFonts w:ascii="Times New Roman" w:eastAsia="Times New Roman"/>
        </w:rPr>
        <w:t>FAS</w:t>
      </w:r>
      <w:r>
        <w:rPr>
          <w:rFonts w:ascii="Times New Roman" w:eastAsia="Times New Roman"/>
          <w:spacing w:val="-15"/>
        </w:rPr>
        <w:t> </w:t>
      </w:r>
      <w:r>
        <w:rPr/>
        <w:t>分析集中使用疗法策略的估计目标，该分析集将纳入接受给药的受试者的所有观测数据（</w:t>
      </w:r>
      <w:r>
        <w:rPr>
          <w:spacing w:val="-4"/>
        </w:rPr>
        <w:t>按计划重新分配 </w:t>
      </w:r>
      <w:r>
        <w:rPr>
          <w:rFonts w:ascii="Times New Roman" w:eastAsia="Times New Roman"/>
        </w:rPr>
        <w:t>IP</w:t>
      </w:r>
      <w:r>
        <w:rPr>
          <w:rFonts w:ascii="Times New Roman" w:eastAsia="Times New Roman"/>
          <w:spacing w:val="-15"/>
        </w:rPr>
        <w:t> </w:t>
      </w:r>
      <w:r>
        <w:rPr/>
        <w:t>后的数据除外），无论受试者是否继续接受</w:t>
      </w:r>
      <w:r>
        <w:rPr>
          <w:spacing w:val="-2"/>
        </w:rPr>
        <w:t>随机治疗。这将是关注的主要估计目标。</w:t>
      </w:r>
    </w:p>
    <w:p>
      <w:pPr>
        <w:pStyle w:val="BodyText"/>
        <w:spacing w:line="276" w:lineRule="auto" w:before="238"/>
        <w:ind w:right="353" w:firstLine="480"/>
        <w:jc w:val="both"/>
      </w:pPr>
      <w:r>
        <w:rPr>
          <w:spacing w:val="-3"/>
        </w:rPr>
        <w:t>额外的估计目标将在 </w:t>
      </w:r>
      <w:r>
        <w:rPr>
          <w:rFonts w:ascii="Times New Roman" w:eastAsia="Times New Roman"/>
        </w:rPr>
        <w:t>FAS</w:t>
      </w:r>
      <w:r>
        <w:rPr>
          <w:rFonts w:ascii="Times New Roman" w:eastAsia="Times New Roman"/>
          <w:spacing w:val="-15"/>
        </w:rPr>
        <w:t> </w:t>
      </w:r>
      <w:r>
        <w:rPr/>
        <w:t>集中针对在治期间使用在治策略，该分析中将仅使用</w:t>
      </w:r>
      <w:r>
        <w:rPr>
          <w:spacing w:val="-2"/>
        </w:rPr>
        <w:t>受试者在发生伴发事件（即，终止随机治疗和</w:t>
      </w:r>
      <w:r>
        <w:rPr>
          <w:rFonts w:ascii="Times New Roman" w:eastAsia="Times New Roman"/>
          <w:spacing w:val="-2"/>
        </w:rPr>
        <w:t>/</w:t>
      </w:r>
      <w:r>
        <w:rPr>
          <w:spacing w:val="-2"/>
        </w:rPr>
        <w:t>或开始使用禁用的生物药物）之前收集的数据。对于终止随机治疗的患者，该分析方法假设治疗中观察到的疗效可反映受试者若未终止治疗情况下将发生的疗效。在治策略的估计目标可作为主要和关键</w:t>
      </w:r>
      <w:r>
        <w:rPr>
          <w:spacing w:val="-1"/>
        </w:rPr>
        <w:t>次要终点以及至死亡时间的支持性分析，对于 </w:t>
      </w:r>
      <w:r>
        <w:rPr>
          <w:rFonts w:ascii="Times New Roman" w:eastAsia="Times New Roman"/>
        </w:rPr>
        <w:t>E/D </w:t>
      </w:r>
      <w:r>
        <w:rPr/>
        <w:t>访视后不再评估的其他次要终点</w:t>
      </w:r>
      <w:r>
        <w:rPr>
          <w:spacing w:val="-2"/>
        </w:rPr>
        <w:t>和探索性终点，该估计目标为主要估计目标。</w:t>
      </w:r>
    </w:p>
    <w:p>
      <w:pPr>
        <w:pStyle w:val="Heading2"/>
        <w:numPr>
          <w:ilvl w:val="2"/>
          <w:numId w:val="3"/>
        </w:numPr>
        <w:tabs>
          <w:tab w:pos="1371" w:val="left" w:leader="none"/>
        </w:tabs>
        <w:spacing w:line="240" w:lineRule="auto" w:before="234" w:after="0"/>
        <w:ind w:left="1371" w:right="0" w:hanging="1150"/>
        <w:jc w:val="both"/>
      </w:pPr>
      <w:bookmarkStart w:name="9.1.2 I类错误控制" w:id="253"/>
      <w:bookmarkEnd w:id="253"/>
      <w:r>
        <w:rPr>
          <w:b w:val="0"/>
        </w:rPr>
      </w:r>
      <w:bookmarkStart w:name="_bookmark129" w:id="254"/>
      <w:bookmarkEnd w:id="254"/>
      <w:r>
        <w:rPr>
          <w:b w:val="0"/>
        </w:rPr>
      </w:r>
      <w:r>
        <w:rPr>
          <w:rFonts w:ascii="Times New Roman" w:eastAsia="Times New Roman"/>
          <w:spacing w:val="-2"/>
        </w:rPr>
        <w:t>I</w:t>
      </w:r>
      <w:r>
        <w:rPr>
          <w:rFonts w:ascii="Times New Roman" w:eastAsia="Times New Roman"/>
          <w:spacing w:val="-9"/>
        </w:rPr>
        <w:t> </w:t>
      </w:r>
      <w:r>
        <w:rPr>
          <w:spacing w:val="-4"/>
        </w:rPr>
        <w:t>类错误控制</w:t>
      </w:r>
    </w:p>
    <w:p>
      <w:pPr>
        <w:pStyle w:val="BodyText"/>
        <w:spacing w:line="276" w:lineRule="auto" w:before="121"/>
        <w:ind w:right="357" w:firstLine="480"/>
        <w:jc w:val="both"/>
      </w:pPr>
      <w:r>
        <w:rPr/>
        <w:t>针对主要终点（</w:t>
      </w:r>
      <w:r>
        <w:rPr>
          <w:spacing w:val="-9"/>
        </w:rPr>
        <w:t>重度 </w:t>
      </w:r>
      <w:r>
        <w:rPr>
          <w:rFonts w:ascii="Times New Roman" w:eastAsia="Times New Roman"/>
        </w:rPr>
        <w:t>COPD </w:t>
      </w:r>
      <w:r>
        <w:rPr/>
        <w:t>急性加重的年发生率）和关键次要终点（至首次重</w:t>
      </w:r>
      <w:r>
        <w:rPr>
          <w:spacing w:val="-13"/>
        </w:rPr>
        <w:t>度 </w:t>
      </w:r>
      <w:r>
        <w:rPr>
          <w:rFonts w:ascii="Times New Roman" w:eastAsia="Times New Roman"/>
        </w:rPr>
        <w:t>COPD</w:t>
      </w:r>
      <w:r>
        <w:rPr>
          <w:rFonts w:ascii="Times New Roman" w:eastAsia="Times New Roman"/>
          <w:spacing w:val="16"/>
        </w:rPr>
        <w:t> </w:t>
      </w:r>
      <w:r>
        <w:rPr/>
        <w:t>急性加重的时间），在戒烟者组成的主要人群以及戒烟者或吸烟者共同组</w:t>
      </w:r>
      <w:r>
        <w:rPr>
          <w:spacing w:val="-4"/>
        </w:rPr>
        <w:t>成的总体人群中，调整多重性检验，以在双侧 </w:t>
      </w:r>
      <w:r>
        <w:rPr>
          <w:rFonts w:ascii="Times New Roman" w:eastAsia="Times New Roman"/>
          <w:spacing w:val="-2"/>
        </w:rPr>
        <w:t>5%</w:t>
      </w:r>
      <w:r>
        <w:rPr>
          <w:spacing w:val="-5"/>
        </w:rPr>
        <w:t>水平下严格控制总体 </w:t>
      </w:r>
      <w:r>
        <w:rPr>
          <w:rFonts w:ascii="Times New Roman" w:eastAsia="Times New Roman"/>
          <w:spacing w:val="-2"/>
        </w:rPr>
        <w:t>I</w:t>
      </w:r>
      <w:r>
        <w:rPr>
          <w:rFonts w:ascii="Times New Roman" w:eastAsia="Times New Roman"/>
          <w:spacing w:val="1"/>
        </w:rPr>
        <w:t> </w:t>
      </w:r>
      <w:r>
        <w:rPr>
          <w:spacing w:val="-2"/>
        </w:rPr>
        <w:t>类错误率。</w:t>
      </w:r>
      <w:r>
        <w:rPr/>
        <w:t>检验策略如</w:t>
      </w:r>
      <w:hyperlink w:history="true" w:anchor="_bookmark130">
        <w:r>
          <w:rPr>
            <w:color w:val="0000FF"/>
            <w:spacing w:val="-12"/>
          </w:rPr>
          <w:t>图 </w:t>
        </w:r>
        <w:r>
          <w:rPr>
            <w:rFonts w:ascii="Times New Roman" w:eastAsia="Times New Roman"/>
            <w:color w:val="0000FF"/>
          </w:rPr>
          <w:t>3</w:t>
        </w:r>
      </w:hyperlink>
      <w:r>
        <w:rPr>
          <w:rFonts w:ascii="Times New Roman" w:eastAsia="Times New Roman"/>
          <w:color w:val="0000FF"/>
        </w:rPr>
        <w:t> </w:t>
      </w:r>
      <w:r>
        <w:rPr/>
        <w:t>所示。</w:t>
      </w:r>
    </w:p>
    <w:p>
      <w:pPr>
        <w:spacing w:after="0" w:line="276" w:lineRule="auto"/>
        <w:jc w:val="both"/>
        <w:sectPr>
          <w:pgSz w:w="11910" w:h="16840"/>
          <w:pgMar w:header="590" w:footer="784" w:top="1340" w:bottom="980" w:left="1480" w:right="1080"/>
        </w:sectPr>
      </w:pPr>
    </w:p>
    <w:p>
      <w:pPr>
        <w:pStyle w:val="Heading3"/>
        <w:tabs>
          <w:tab w:pos="1923" w:val="left" w:leader="none"/>
        </w:tabs>
        <w:spacing w:before="88"/>
      </w:pPr>
      <w:bookmarkStart w:name="_bookmark130" w:id="255"/>
      <w:bookmarkEnd w:id="255"/>
      <w:r>
        <w:rPr>
          <w:b w:val="0"/>
        </w:rPr>
      </w:r>
      <w:r>
        <w:rPr>
          <w:spacing w:val="-4"/>
        </w:rPr>
        <w:t>图</w:t>
      </w:r>
      <w:r>
        <w:rPr>
          <w:spacing w:val="-59"/>
        </w:rPr>
        <w:t> </w:t>
      </w:r>
      <w:r>
        <w:rPr>
          <w:rFonts w:ascii="Times New Roman" w:eastAsia="Times New Roman"/>
          <w:spacing w:val="-10"/>
        </w:rPr>
        <w:t>3</w:t>
      </w:r>
      <w:r>
        <w:rPr>
          <w:rFonts w:ascii="Times New Roman" w:eastAsia="Times New Roman"/>
        </w:rPr>
        <w:tab/>
      </w:r>
      <w:r>
        <w:rPr/>
        <w:t>比较</w:t>
      </w:r>
      <w:r>
        <w:rPr>
          <w:spacing w:val="-60"/>
        </w:rPr>
        <w:t> </w:t>
      </w:r>
      <w:r>
        <w:rPr>
          <w:rFonts w:ascii="Times New Roman" w:eastAsia="Times New Roman"/>
        </w:rPr>
        <w:t>300</w:t>
      </w:r>
      <w:r>
        <w:rPr>
          <w:rFonts w:ascii="Times New Roman" w:eastAsia="Times New Roman"/>
          <w:spacing w:val="-14"/>
        </w:rPr>
        <w:t> </w:t>
      </w:r>
      <w:r>
        <w:rPr>
          <w:rFonts w:ascii="Times New Roman" w:eastAsia="Times New Roman"/>
        </w:rPr>
        <w:t>mg</w:t>
      </w:r>
      <w:r>
        <w:rPr>
          <w:rFonts w:ascii="Times New Roman" w:eastAsia="Times New Roman"/>
          <w:spacing w:val="-4"/>
        </w:rPr>
        <w:t> </w:t>
      </w:r>
      <w:r>
        <w:rPr>
          <w:rFonts w:ascii="Times New Roman" w:eastAsia="Times New Roman"/>
        </w:rPr>
        <w:t>Q4W</w:t>
      </w:r>
      <w:r>
        <w:rPr>
          <w:rFonts w:ascii="Times New Roman" w:eastAsia="Times New Roman"/>
          <w:spacing w:val="-12"/>
        </w:rPr>
        <w:t> </w:t>
      </w:r>
      <w:r>
        <w:rPr/>
        <w:t>与安慰剂的</w:t>
      </w:r>
      <w:r>
        <w:rPr>
          <w:spacing w:val="-60"/>
        </w:rPr>
        <w:t> </w:t>
      </w:r>
      <w:r>
        <w:rPr>
          <w:rFonts w:ascii="Times New Roman" w:eastAsia="Times New Roman"/>
        </w:rPr>
        <w:t>I</w:t>
      </w:r>
      <w:r>
        <w:rPr>
          <w:rFonts w:ascii="Times New Roman" w:eastAsia="Times New Roman"/>
          <w:spacing w:val="-13"/>
        </w:rPr>
        <w:t> </w:t>
      </w:r>
      <w:r>
        <w:rPr/>
        <w:t>类错误率控</w:t>
      </w:r>
      <w:r>
        <w:rPr>
          <w:spacing w:val="-10"/>
        </w:rPr>
        <w:t>制</w:t>
      </w:r>
    </w:p>
    <w:p>
      <w:pPr>
        <w:pStyle w:val="BodyText"/>
        <w:spacing w:before="6"/>
        <w:ind w:left="0"/>
        <w:rPr>
          <w:b/>
          <w:sz w:val="7"/>
        </w:rPr>
      </w:pPr>
      <w:r>
        <w:rPr/>
        <mc:AlternateContent>
          <mc:Choice Requires="wps">
            <w:drawing>
              <wp:anchor distT="0" distB="0" distL="0" distR="0" allowOverlap="1" layoutInCell="1" locked="0" behindDoc="1" simplePos="0" relativeHeight="487592448">
                <wp:simplePos x="0" y="0"/>
                <wp:positionH relativeFrom="page">
                  <wp:posOffset>2364104</wp:posOffset>
                </wp:positionH>
                <wp:positionV relativeFrom="paragraph">
                  <wp:posOffset>77018</wp:posOffset>
                </wp:positionV>
                <wp:extent cx="2998470" cy="606806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2998470" cy="6068060"/>
                          <a:chExt cx="2998470" cy="6068060"/>
                        </a:xfrm>
                      </wpg:grpSpPr>
                      <pic:pic>
                        <pic:nvPicPr>
                          <pic:cNvPr id="75" name="Image 75"/>
                          <pic:cNvPicPr/>
                        </pic:nvPicPr>
                        <pic:blipFill>
                          <a:blip r:embed="rId19" cstate="print"/>
                          <a:stretch>
                            <a:fillRect/>
                          </a:stretch>
                        </pic:blipFill>
                        <pic:spPr>
                          <a:xfrm>
                            <a:off x="0" y="0"/>
                            <a:ext cx="2998470" cy="6068059"/>
                          </a:xfrm>
                          <a:prstGeom prst="rect">
                            <a:avLst/>
                          </a:prstGeom>
                        </pic:spPr>
                      </pic:pic>
                      <wps:wsp>
                        <wps:cNvPr id="76" name="Textbox 76"/>
                        <wps:cNvSpPr txBox="1"/>
                        <wps:spPr>
                          <a:xfrm>
                            <a:off x="180974" y="5314975"/>
                            <a:ext cx="2708275" cy="658495"/>
                          </a:xfrm>
                          <a:prstGeom prst="rect">
                            <a:avLst/>
                          </a:prstGeom>
                          <a:solidFill>
                            <a:srgbClr val="FFFFFF"/>
                          </a:solidFill>
                        </wps:spPr>
                        <wps:txbx>
                          <w:txbxContent>
                            <w:p>
                              <w:pPr>
                                <w:spacing w:line="245" w:lineRule="exact" w:before="60"/>
                                <w:ind w:left="3" w:right="0" w:firstLine="0"/>
                                <w:jc w:val="center"/>
                                <w:rPr>
                                  <w:color w:val="000000"/>
                                  <w:sz w:val="20"/>
                                </w:rPr>
                              </w:pPr>
                              <w:r>
                                <w:rPr>
                                  <w:color w:val="000000"/>
                                  <w:spacing w:val="-2"/>
                                  <w:sz w:val="20"/>
                                </w:rPr>
                                <w:t>需要住院治疗和</w:t>
                              </w:r>
                              <w:r>
                                <w:rPr>
                                  <w:rFonts w:ascii="Times New Roman" w:eastAsia="Times New Roman"/>
                                  <w:color w:val="000000"/>
                                  <w:spacing w:val="-2"/>
                                  <w:sz w:val="20"/>
                                </w:rPr>
                                <w:t>/</w:t>
                              </w:r>
                              <w:r>
                                <w:rPr>
                                  <w:color w:val="000000"/>
                                  <w:spacing w:val="-20"/>
                                  <w:sz w:val="20"/>
                                </w:rPr>
                                <w:t>或 </w:t>
                              </w:r>
                              <w:r>
                                <w:rPr>
                                  <w:rFonts w:ascii="Times New Roman" w:eastAsia="Times New Roman"/>
                                  <w:color w:val="000000"/>
                                  <w:spacing w:val="-2"/>
                                  <w:sz w:val="20"/>
                                </w:rPr>
                                <w:t>ER/ED</w:t>
                              </w:r>
                              <w:r>
                                <w:rPr>
                                  <w:rFonts w:ascii="Times New Roman" w:eastAsia="Times New Roman"/>
                                  <w:color w:val="000000"/>
                                  <w:spacing w:val="-1"/>
                                  <w:sz w:val="20"/>
                                </w:rPr>
                                <w:t> </w:t>
                              </w:r>
                              <w:r>
                                <w:rPr>
                                  <w:color w:val="000000"/>
                                  <w:spacing w:val="-5"/>
                                  <w:sz w:val="20"/>
                                </w:rPr>
                                <w:t>就诊的</w:t>
                              </w:r>
                            </w:p>
                            <w:p>
                              <w:pPr>
                                <w:spacing w:line="213" w:lineRule="auto" w:before="7"/>
                                <w:ind w:left="1153" w:right="1152" w:firstLine="1"/>
                                <w:jc w:val="center"/>
                                <w:rPr>
                                  <w:color w:val="000000"/>
                                  <w:sz w:val="20"/>
                                </w:rPr>
                              </w:pPr>
                              <w:r>
                                <w:rPr>
                                  <w:rFonts w:ascii="Times New Roman" w:eastAsia="Times New Roman"/>
                                  <w:color w:val="000000"/>
                                  <w:spacing w:val="-2"/>
                                  <w:sz w:val="20"/>
                                </w:rPr>
                                <w:t>COPD</w:t>
                              </w:r>
                              <w:r>
                                <w:rPr>
                                  <w:color w:val="000000"/>
                                  <w:spacing w:val="-2"/>
                                  <w:sz w:val="20"/>
                                </w:rPr>
                                <w:t>急性加重发生率 </w:t>
                              </w: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2"/>
                                  <w:sz w:val="20"/>
                                </w:rPr>
                                <w:t>所有受试者</w:t>
                              </w:r>
                            </w:p>
                          </w:txbxContent>
                        </wps:txbx>
                        <wps:bodyPr wrap="square" lIns="0" tIns="0" rIns="0" bIns="0" rtlCol="0">
                          <a:noAutofit/>
                        </wps:bodyPr>
                      </wps:wsp>
                      <wps:wsp>
                        <wps:cNvPr id="77" name="Textbox 77"/>
                        <wps:cNvSpPr txBox="1"/>
                        <wps:spPr>
                          <a:xfrm>
                            <a:off x="180974" y="4171924"/>
                            <a:ext cx="2708275" cy="685165"/>
                          </a:xfrm>
                          <a:prstGeom prst="rect">
                            <a:avLst/>
                          </a:prstGeom>
                          <a:solidFill>
                            <a:srgbClr val="FFFFFF"/>
                          </a:solidFill>
                        </wps:spPr>
                        <wps:txbx>
                          <w:txbxContent>
                            <w:p>
                              <w:pPr>
                                <w:spacing w:line="245" w:lineRule="exact" w:before="60"/>
                                <w:ind w:left="3" w:right="0" w:firstLine="0"/>
                                <w:jc w:val="center"/>
                                <w:rPr>
                                  <w:color w:val="000000"/>
                                  <w:sz w:val="20"/>
                                </w:rPr>
                              </w:pPr>
                              <w:r>
                                <w:rPr>
                                  <w:color w:val="000000"/>
                                  <w:spacing w:val="-2"/>
                                  <w:sz w:val="20"/>
                                </w:rPr>
                                <w:t>需要住院治疗和</w:t>
                              </w:r>
                              <w:r>
                                <w:rPr>
                                  <w:rFonts w:ascii="Times New Roman" w:eastAsia="Times New Roman"/>
                                  <w:color w:val="000000"/>
                                  <w:spacing w:val="-2"/>
                                  <w:sz w:val="20"/>
                                </w:rPr>
                                <w:t>/</w:t>
                              </w:r>
                              <w:r>
                                <w:rPr>
                                  <w:color w:val="000000"/>
                                  <w:spacing w:val="-20"/>
                                  <w:sz w:val="20"/>
                                </w:rPr>
                                <w:t>或 </w:t>
                              </w:r>
                              <w:r>
                                <w:rPr>
                                  <w:rFonts w:ascii="Times New Roman" w:eastAsia="Times New Roman"/>
                                  <w:color w:val="000000"/>
                                  <w:spacing w:val="-2"/>
                                  <w:sz w:val="20"/>
                                </w:rPr>
                                <w:t>ER/ED</w:t>
                              </w:r>
                              <w:r>
                                <w:rPr>
                                  <w:rFonts w:ascii="Times New Roman" w:eastAsia="Times New Roman"/>
                                  <w:color w:val="000000"/>
                                  <w:spacing w:val="-1"/>
                                  <w:sz w:val="20"/>
                                </w:rPr>
                                <w:t> </w:t>
                              </w:r>
                              <w:r>
                                <w:rPr>
                                  <w:color w:val="000000"/>
                                  <w:spacing w:val="-5"/>
                                  <w:sz w:val="20"/>
                                </w:rPr>
                                <w:t>就诊的</w:t>
                              </w:r>
                            </w:p>
                            <w:p>
                              <w:pPr>
                                <w:spacing w:line="213" w:lineRule="auto" w:before="7"/>
                                <w:ind w:left="1153" w:right="1152" w:firstLine="1"/>
                                <w:jc w:val="center"/>
                                <w:rPr>
                                  <w:color w:val="000000"/>
                                  <w:sz w:val="20"/>
                                </w:rPr>
                              </w:pPr>
                              <w:r>
                                <w:rPr>
                                  <w:rFonts w:ascii="Times New Roman" w:eastAsia="Times New Roman"/>
                                  <w:color w:val="000000"/>
                                  <w:spacing w:val="-2"/>
                                  <w:sz w:val="20"/>
                                </w:rPr>
                                <w:t>COPD</w:t>
                              </w:r>
                              <w:r>
                                <w:rPr>
                                  <w:color w:val="000000"/>
                                  <w:spacing w:val="-2"/>
                                  <w:sz w:val="20"/>
                                </w:rPr>
                                <w:t>急性加重发生率 </w:t>
                              </w: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4"/>
                                  <w:sz w:val="20"/>
                                </w:rPr>
                                <w:t>戒烟者</w:t>
                              </w:r>
                            </w:p>
                          </w:txbxContent>
                        </wps:txbx>
                        <wps:bodyPr wrap="square" lIns="0" tIns="0" rIns="0" bIns="0" rtlCol="0">
                          <a:noAutofit/>
                        </wps:bodyPr>
                      </wps:wsp>
                      <wps:wsp>
                        <wps:cNvPr id="78" name="Textbox 78"/>
                        <wps:cNvSpPr txBox="1"/>
                        <wps:spPr>
                          <a:xfrm>
                            <a:off x="419099" y="3057524"/>
                            <a:ext cx="2223770" cy="553720"/>
                          </a:xfrm>
                          <a:prstGeom prst="rect">
                            <a:avLst/>
                          </a:prstGeom>
                          <a:solidFill>
                            <a:srgbClr val="FFFFFF"/>
                          </a:solidFill>
                        </wps:spPr>
                        <wps:txbx>
                          <w:txbxContent>
                            <w:p>
                              <w:pPr>
                                <w:spacing w:line="245" w:lineRule="exact" w:before="59"/>
                                <w:ind w:left="2" w:right="1" w:firstLine="0"/>
                                <w:jc w:val="center"/>
                                <w:rPr>
                                  <w:color w:val="000000"/>
                                  <w:sz w:val="20"/>
                                </w:rPr>
                              </w:pPr>
                              <w:r>
                                <w:rPr>
                                  <w:color w:val="000000"/>
                                  <w:spacing w:val="-2"/>
                                  <w:sz w:val="20"/>
                                </w:rPr>
                                <w:t>至首次重度</w:t>
                              </w:r>
                              <w:r>
                                <w:rPr>
                                  <w:rFonts w:ascii="Times New Roman" w:eastAsia="Times New Roman"/>
                                  <w:color w:val="000000"/>
                                  <w:spacing w:val="-2"/>
                                  <w:sz w:val="20"/>
                                </w:rPr>
                                <w:t>COPD</w:t>
                              </w:r>
                              <w:r>
                                <w:rPr>
                                  <w:color w:val="000000"/>
                                  <w:spacing w:val="-4"/>
                                  <w:sz w:val="20"/>
                                </w:rPr>
                                <w:t>急性加重的时间</w:t>
                              </w:r>
                            </w:p>
                            <w:p>
                              <w:pPr>
                                <w:spacing w:line="213" w:lineRule="auto" w:before="8"/>
                                <w:ind w:left="772" w:right="770" w:firstLine="0"/>
                                <w:jc w:val="center"/>
                                <w:rPr>
                                  <w:color w:val="000000"/>
                                  <w:sz w:val="20"/>
                                </w:rPr>
                              </w:pP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2"/>
                                  <w:sz w:val="20"/>
                                </w:rPr>
                                <w:t>所有受试者</w:t>
                              </w:r>
                            </w:p>
                          </w:txbxContent>
                        </wps:txbx>
                        <wps:bodyPr wrap="square" lIns="0" tIns="0" rIns="0" bIns="0" rtlCol="0">
                          <a:noAutofit/>
                        </wps:bodyPr>
                      </wps:wsp>
                      <wps:wsp>
                        <wps:cNvPr id="79" name="Textbox 79"/>
                        <wps:cNvSpPr txBox="1"/>
                        <wps:spPr>
                          <a:xfrm>
                            <a:off x="428624" y="2076424"/>
                            <a:ext cx="2223770" cy="518795"/>
                          </a:xfrm>
                          <a:prstGeom prst="rect">
                            <a:avLst/>
                          </a:prstGeom>
                          <a:solidFill>
                            <a:srgbClr val="FFFFFF"/>
                          </a:solidFill>
                        </wps:spPr>
                        <wps:txbx>
                          <w:txbxContent>
                            <w:p>
                              <w:pPr>
                                <w:spacing w:line="245" w:lineRule="exact" w:before="60"/>
                                <w:ind w:left="2" w:right="0" w:firstLine="0"/>
                                <w:jc w:val="center"/>
                                <w:rPr>
                                  <w:color w:val="000000"/>
                                  <w:sz w:val="20"/>
                                </w:rPr>
                              </w:pPr>
                              <w:r>
                                <w:rPr>
                                  <w:color w:val="000000"/>
                                  <w:spacing w:val="-2"/>
                                  <w:sz w:val="20"/>
                                </w:rPr>
                                <w:t>至首次重度</w:t>
                              </w:r>
                              <w:r>
                                <w:rPr>
                                  <w:rFonts w:ascii="Times New Roman" w:eastAsia="Times New Roman"/>
                                  <w:color w:val="000000"/>
                                  <w:spacing w:val="-2"/>
                                  <w:sz w:val="20"/>
                                </w:rPr>
                                <w:t>COPD</w:t>
                              </w:r>
                              <w:r>
                                <w:rPr>
                                  <w:color w:val="000000"/>
                                  <w:spacing w:val="-4"/>
                                  <w:sz w:val="20"/>
                                </w:rPr>
                                <w:t>急性加重的时间</w:t>
                              </w:r>
                            </w:p>
                            <w:p>
                              <w:pPr>
                                <w:spacing w:line="213" w:lineRule="auto" w:before="7"/>
                                <w:ind w:left="773" w:right="768" w:firstLine="0"/>
                                <w:jc w:val="center"/>
                                <w:rPr>
                                  <w:color w:val="000000"/>
                                  <w:sz w:val="20"/>
                                </w:rPr>
                              </w:pP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9"/>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4"/>
                                  <w:sz w:val="20"/>
                                </w:rPr>
                                <w:t>戒烟者</w:t>
                              </w:r>
                            </w:p>
                          </w:txbxContent>
                        </wps:txbx>
                        <wps:bodyPr wrap="square" lIns="0" tIns="0" rIns="0" bIns="0" rtlCol="0">
                          <a:noAutofit/>
                        </wps:bodyPr>
                      </wps:wsp>
                      <wps:wsp>
                        <wps:cNvPr id="80" name="Textbox 80"/>
                        <wps:cNvSpPr txBox="1"/>
                        <wps:spPr>
                          <a:xfrm>
                            <a:off x="419099" y="1085849"/>
                            <a:ext cx="2223770" cy="553720"/>
                          </a:xfrm>
                          <a:prstGeom prst="rect">
                            <a:avLst/>
                          </a:prstGeom>
                          <a:solidFill>
                            <a:srgbClr val="FFFFFF"/>
                          </a:solidFill>
                        </wps:spPr>
                        <wps:txbx>
                          <w:txbxContent>
                            <w:p>
                              <w:pPr>
                                <w:spacing w:line="245" w:lineRule="exact" w:before="60"/>
                                <w:ind w:left="2" w:right="1" w:firstLine="0"/>
                                <w:jc w:val="center"/>
                                <w:rPr>
                                  <w:color w:val="000000"/>
                                  <w:sz w:val="20"/>
                                </w:rPr>
                              </w:pPr>
                              <w:r>
                                <w:rPr>
                                  <w:color w:val="000000"/>
                                  <w:spacing w:val="-2"/>
                                  <w:sz w:val="20"/>
                                </w:rPr>
                                <w:t>重度</w:t>
                              </w:r>
                              <w:r>
                                <w:rPr>
                                  <w:rFonts w:ascii="Times New Roman" w:eastAsia="Times New Roman"/>
                                  <w:color w:val="000000"/>
                                  <w:spacing w:val="-2"/>
                                  <w:sz w:val="20"/>
                                </w:rPr>
                                <w:t>COPD</w:t>
                              </w:r>
                              <w:r>
                                <w:rPr>
                                  <w:color w:val="000000"/>
                                  <w:spacing w:val="-4"/>
                                  <w:sz w:val="20"/>
                                </w:rPr>
                                <w:t>急性加重发生率</w:t>
                              </w:r>
                            </w:p>
                            <w:p>
                              <w:pPr>
                                <w:spacing w:line="213" w:lineRule="auto" w:before="7"/>
                                <w:ind w:left="772" w:right="770" w:firstLine="0"/>
                                <w:jc w:val="center"/>
                                <w:rPr>
                                  <w:color w:val="000000"/>
                                  <w:sz w:val="20"/>
                                </w:rPr>
                              </w:pP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2"/>
                                  <w:sz w:val="20"/>
                                </w:rPr>
                                <w:t>所有受试者</w:t>
                              </w:r>
                            </w:p>
                          </w:txbxContent>
                        </wps:txbx>
                        <wps:bodyPr wrap="square" lIns="0" tIns="0" rIns="0" bIns="0" rtlCol="0">
                          <a:noAutofit/>
                        </wps:bodyPr>
                      </wps:wsp>
                      <wps:wsp>
                        <wps:cNvPr id="81" name="Textbox 81"/>
                        <wps:cNvSpPr txBox="1"/>
                        <wps:spPr>
                          <a:xfrm>
                            <a:off x="419099" y="171449"/>
                            <a:ext cx="2223770" cy="553720"/>
                          </a:xfrm>
                          <a:prstGeom prst="rect">
                            <a:avLst/>
                          </a:prstGeom>
                          <a:solidFill>
                            <a:srgbClr val="FFFFFF"/>
                          </a:solidFill>
                        </wps:spPr>
                        <wps:txbx>
                          <w:txbxContent>
                            <w:p>
                              <w:pPr>
                                <w:spacing w:line="245" w:lineRule="exact" w:before="60"/>
                                <w:ind w:left="2" w:right="0" w:firstLine="0"/>
                                <w:jc w:val="center"/>
                                <w:rPr>
                                  <w:color w:val="000000"/>
                                  <w:sz w:val="20"/>
                                </w:rPr>
                              </w:pPr>
                              <w:r>
                                <w:rPr>
                                  <w:color w:val="000000"/>
                                  <w:spacing w:val="-2"/>
                                  <w:sz w:val="20"/>
                                </w:rPr>
                                <w:t>重度</w:t>
                              </w:r>
                              <w:r>
                                <w:rPr>
                                  <w:rFonts w:ascii="Times New Roman" w:eastAsia="Times New Roman"/>
                                  <w:color w:val="000000"/>
                                  <w:spacing w:val="-2"/>
                                  <w:sz w:val="20"/>
                                </w:rPr>
                                <w:t>COPD</w:t>
                              </w:r>
                              <w:r>
                                <w:rPr>
                                  <w:color w:val="000000"/>
                                  <w:spacing w:val="-4"/>
                                  <w:sz w:val="20"/>
                                </w:rPr>
                                <w:t>急性加重发生率</w:t>
                              </w:r>
                            </w:p>
                            <w:p>
                              <w:pPr>
                                <w:spacing w:line="213" w:lineRule="auto" w:before="7"/>
                                <w:ind w:left="772" w:right="770" w:firstLine="0"/>
                                <w:jc w:val="center"/>
                                <w:rPr>
                                  <w:color w:val="000000"/>
                                  <w:sz w:val="20"/>
                                </w:rPr>
                              </w:pP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4"/>
                                  <w:sz w:val="20"/>
                                </w:rPr>
                                <w:t>戒烟者</w:t>
                              </w:r>
                            </w:p>
                          </w:txbxContent>
                        </wps:txbx>
                        <wps:bodyPr wrap="square" lIns="0" tIns="0" rIns="0" bIns="0" rtlCol="0">
                          <a:noAutofit/>
                        </wps:bodyPr>
                      </wps:wsp>
                    </wpg:wgp>
                  </a:graphicData>
                </a:graphic>
              </wp:anchor>
            </w:drawing>
          </mc:Choice>
          <mc:Fallback>
            <w:pict>
              <v:group style="position:absolute;margin-left:186.149994pt;margin-top:6.064463pt;width:236.1pt;height:477.8pt;mso-position-horizontal-relative:page;mso-position-vertical-relative:paragraph;z-index:-15724032;mso-wrap-distance-left:0;mso-wrap-distance-right:0" id="docshapegroup74" coordorigin="3723,121" coordsize="4722,9556">
                <v:shape style="position:absolute;left:3723;top:121;width:4722;height:9556" type="#_x0000_t75" id="docshape75" stroked="false">
                  <v:imagedata r:id="rId19" o:title=""/>
                </v:shape>
                <v:shape style="position:absolute;left:4008;top:8491;width:4265;height:1037" type="#_x0000_t202" id="docshape76" filled="true" fillcolor="#ffffff" stroked="false">
                  <v:textbox inset="0,0,0,0">
                    <w:txbxContent>
                      <w:p>
                        <w:pPr>
                          <w:spacing w:line="245" w:lineRule="exact" w:before="60"/>
                          <w:ind w:left="3" w:right="0" w:firstLine="0"/>
                          <w:jc w:val="center"/>
                          <w:rPr>
                            <w:color w:val="000000"/>
                            <w:sz w:val="20"/>
                          </w:rPr>
                        </w:pPr>
                        <w:r>
                          <w:rPr>
                            <w:color w:val="000000"/>
                            <w:spacing w:val="-2"/>
                            <w:sz w:val="20"/>
                          </w:rPr>
                          <w:t>需要住院治疗和</w:t>
                        </w:r>
                        <w:r>
                          <w:rPr>
                            <w:rFonts w:ascii="Times New Roman" w:eastAsia="Times New Roman"/>
                            <w:color w:val="000000"/>
                            <w:spacing w:val="-2"/>
                            <w:sz w:val="20"/>
                          </w:rPr>
                          <w:t>/</w:t>
                        </w:r>
                        <w:r>
                          <w:rPr>
                            <w:color w:val="000000"/>
                            <w:spacing w:val="-20"/>
                            <w:sz w:val="20"/>
                          </w:rPr>
                          <w:t>或 </w:t>
                        </w:r>
                        <w:r>
                          <w:rPr>
                            <w:rFonts w:ascii="Times New Roman" w:eastAsia="Times New Roman"/>
                            <w:color w:val="000000"/>
                            <w:spacing w:val="-2"/>
                            <w:sz w:val="20"/>
                          </w:rPr>
                          <w:t>ER/ED</w:t>
                        </w:r>
                        <w:r>
                          <w:rPr>
                            <w:rFonts w:ascii="Times New Roman" w:eastAsia="Times New Roman"/>
                            <w:color w:val="000000"/>
                            <w:spacing w:val="-1"/>
                            <w:sz w:val="20"/>
                          </w:rPr>
                          <w:t> </w:t>
                        </w:r>
                        <w:r>
                          <w:rPr>
                            <w:color w:val="000000"/>
                            <w:spacing w:val="-5"/>
                            <w:sz w:val="20"/>
                          </w:rPr>
                          <w:t>就诊的</w:t>
                        </w:r>
                      </w:p>
                      <w:p>
                        <w:pPr>
                          <w:spacing w:line="213" w:lineRule="auto" w:before="7"/>
                          <w:ind w:left="1153" w:right="1152" w:firstLine="1"/>
                          <w:jc w:val="center"/>
                          <w:rPr>
                            <w:color w:val="000000"/>
                            <w:sz w:val="20"/>
                          </w:rPr>
                        </w:pPr>
                        <w:r>
                          <w:rPr>
                            <w:rFonts w:ascii="Times New Roman" w:eastAsia="Times New Roman"/>
                            <w:color w:val="000000"/>
                            <w:spacing w:val="-2"/>
                            <w:sz w:val="20"/>
                          </w:rPr>
                          <w:t>COPD</w:t>
                        </w:r>
                        <w:r>
                          <w:rPr>
                            <w:color w:val="000000"/>
                            <w:spacing w:val="-2"/>
                            <w:sz w:val="20"/>
                          </w:rPr>
                          <w:t>急性加重发生率 </w:t>
                        </w: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2"/>
                            <w:sz w:val="20"/>
                          </w:rPr>
                          <w:t>所有受试者</w:t>
                        </w:r>
                      </w:p>
                    </w:txbxContent>
                  </v:textbox>
                  <v:fill type="solid"/>
                  <w10:wrap type="none"/>
                </v:shape>
                <v:shape style="position:absolute;left:4008;top:6691;width:4265;height:1079" type="#_x0000_t202" id="docshape77" filled="true" fillcolor="#ffffff" stroked="false">
                  <v:textbox inset="0,0,0,0">
                    <w:txbxContent>
                      <w:p>
                        <w:pPr>
                          <w:spacing w:line="245" w:lineRule="exact" w:before="60"/>
                          <w:ind w:left="3" w:right="0" w:firstLine="0"/>
                          <w:jc w:val="center"/>
                          <w:rPr>
                            <w:color w:val="000000"/>
                            <w:sz w:val="20"/>
                          </w:rPr>
                        </w:pPr>
                        <w:r>
                          <w:rPr>
                            <w:color w:val="000000"/>
                            <w:spacing w:val="-2"/>
                            <w:sz w:val="20"/>
                          </w:rPr>
                          <w:t>需要住院治疗和</w:t>
                        </w:r>
                        <w:r>
                          <w:rPr>
                            <w:rFonts w:ascii="Times New Roman" w:eastAsia="Times New Roman"/>
                            <w:color w:val="000000"/>
                            <w:spacing w:val="-2"/>
                            <w:sz w:val="20"/>
                          </w:rPr>
                          <w:t>/</w:t>
                        </w:r>
                        <w:r>
                          <w:rPr>
                            <w:color w:val="000000"/>
                            <w:spacing w:val="-20"/>
                            <w:sz w:val="20"/>
                          </w:rPr>
                          <w:t>或 </w:t>
                        </w:r>
                        <w:r>
                          <w:rPr>
                            <w:rFonts w:ascii="Times New Roman" w:eastAsia="Times New Roman"/>
                            <w:color w:val="000000"/>
                            <w:spacing w:val="-2"/>
                            <w:sz w:val="20"/>
                          </w:rPr>
                          <w:t>ER/ED</w:t>
                        </w:r>
                        <w:r>
                          <w:rPr>
                            <w:rFonts w:ascii="Times New Roman" w:eastAsia="Times New Roman"/>
                            <w:color w:val="000000"/>
                            <w:spacing w:val="-1"/>
                            <w:sz w:val="20"/>
                          </w:rPr>
                          <w:t> </w:t>
                        </w:r>
                        <w:r>
                          <w:rPr>
                            <w:color w:val="000000"/>
                            <w:spacing w:val="-5"/>
                            <w:sz w:val="20"/>
                          </w:rPr>
                          <w:t>就诊的</w:t>
                        </w:r>
                      </w:p>
                      <w:p>
                        <w:pPr>
                          <w:spacing w:line="213" w:lineRule="auto" w:before="7"/>
                          <w:ind w:left="1153" w:right="1152" w:firstLine="1"/>
                          <w:jc w:val="center"/>
                          <w:rPr>
                            <w:color w:val="000000"/>
                            <w:sz w:val="20"/>
                          </w:rPr>
                        </w:pPr>
                        <w:r>
                          <w:rPr>
                            <w:rFonts w:ascii="Times New Roman" w:eastAsia="Times New Roman"/>
                            <w:color w:val="000000"/>
                            <w:spacing w:val="-2"/>
                            <w:sz w:val="20"/>
                          </w:rPr>
                          <w:t>COPD</w:t>
                        </w:r>
                        <w:r>
                          <w:rPr>
                            <w:color w:val="000000"/>
                            <w:spacing w:val="-2"/>
                            <w:sz w:val="20"/>
                          </w:rPr>
                          <w:t>急性加重发生率 </w:t>
                        </w: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4"/>
                            <w:sz w:val="20"/>
                          </w:rPr>
                          <w:t>戒烟者</w:t>
                        </w:r>
                      </w:p>
                    </w:txbxContent>
                  </v:textbox>
                  <v:fill type="solid"/>
                  <w10:wrap type="none"/>
                </v:shape>
                <v:shape style="position:absolute;left:4383;top:4936;width:3502;height:872" type="#_x0000_t202" id="docshape78" filled="true" fillcolor="#ffffff" stroked="false">
                  <v:textbox inset="0,0,0,0">
                    <w:txbxContent>
                      <w:p>
                        <w:pPr>
                          <w:spacing w:line="245" w:lineRule="exact" w:before="59"/>
                          <w:ind w:left="2" w:right="1" w:firstLine="0"/>
                          <w:jc w:val="center"/>
                          <w:rPr>
                            <w:color w:val="000000"/>
                            <w:sz w:val="20"/>
                          </w:rPr>
                        </w:pPr>
                        <w:r>
                          <w:rPr>
                            <w:color w:val="000000"/>
                            <w:spacing w:val="-2"/>
                            <w:sz w:val="20"/>
                          </w:rPr>
                          <w:t>至首次重度</w:t>
                        </w:r>
                        <w:r>
                          <w:rPr>
                            <w:rFonts w:ascii="Times New Roman" w:eastAsia="Times New Roman"/>
                            <w:color w:val="000000"/>
                            <w:spacing w:val="-2"/>
                            <w:sz w:val="20"/>
                          </w:rPr>
                          <w:t>COPD</w:t>
                        </w:r>
                        <w:r>
                          <w:rPr>
                            <w:color w:val="000000"/>
                            <w:spacing w:val="-4"/>
                            <w:sz w:val="20"/>
                          </w:rPr>
                          <w:t>急性加重的时间</w:t>
                        </w:r>
                      </w:p>
                      <w:p>
                        <w:pPr>
                          <w:spacing w:line="213" w:lineRule="auto" w:before="8"/>
                          <w:ind w:left="772" w:right="770" w:firstLine="0"/>
                          <w:jc w:val="center"/>
                          <w:rPr>
                            <w:color w:val="000000"/>
                            <w:sz w:val="20"/>
                          </w:rPr>
                        </w:pP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2"/>
                            <w:sz w:val="20"/>
                          </w:rPr>
                          <w:t>所有受试者</w:t>
                        </w:r>
                      </w:p>
                    </w:txbxContent>
                  </v:textbox>
                  <v:fill type="solid"/>
                  <w10:wrap type="none"/>
                </v:shape>
                <v:shape style="position:absolute;left:4398;top:3391;width:3502;height:817" type="#_x0000_t202" id="docshape79" filled="true" fillcolor="#ffffff" stroked="false">
                  <v:textbox inset="0,0,0,0">
                    <w:txbxContent>
                      <w:p>
                        <w:pPr>
                          <w:spacing w:line="245" w:lineRule="exact" w:before="60"/>
                          <w:ind w:left="2" w:right="0" w:firstLine="0"/>
                          <w:jc w:val="center"/>
                          <w:rPr>
                            <w:color w:val="000000"/>
                            <w:sz w:val="20"/>
                          </w:rPr>
                        </w:pPr>
                        <w:r>
                          <w:rPr>
                            <w:color w:val="000000"/>
                            <w:spacing w:val="-2"/>
                            <w:sz w:val="20"/>
                          </w:rPr>
                          <w:t>至首次重度</w:t>
                        </w:r>
                        <w:r>
                          <w:rPr>
                            <w:rFonts w:ascii="Times New Roman" w:eastAsia="Times New Roman"/>
                            <w:color w:val="000000"/>
                            <w:spacing w:val="-2"/>
                            <w:sz w:val="20"/>
                          </w:rPr>
                          <w:t>COPD</w:t>
                        </w:r>
                        <w:r>
                          <w:rPr>
                            <w:color w:val="000000"/>
                            <w:spacing w:val="-4"/>
                            <w:sz w:val="20"/>
                          </w:rPr>
                          <w:t>急性加重的时间</w:t>
                        </w:r>
                      </w:p>
                      <w:p>
                        <w:pPr>
                          <w:spacing w:line="213" w:lineRule="auto" w:before="7"/>
                          <w:ind w:left="773" w:right="768" w:firstLine="0"/>
                          <w:jc w:val="center"/>
                          <w:rPr>
                            <w:color w:val="000000"/>
                            <w:sz w:val="20"/>
                          </w:rPr>
                        </w:pP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9"/>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4"/>
                            <w:sz w:val="20"/>
                          </w:rPr>
                          <w:t>戒烟者</w:t>
                        </w:r>
                      </w:p>
                    </w:txbxContent>
                  </v:textbox>
                  <v:fill type="solid"/>
                  <w10:wrap type="none"/>
                </v:shape>
                <v:shape style="position:absolute;left:4383;top:1831;width:3502;height:872" type="#_x0000_t202" id="docshape80" filled="true" fillcolor="#ffffff" stroked="false">
                  <v:textbox inset="0,0,0,0">
                    <w:txbxContent>
                      <w:p>
                        <w:pPr>
                          <w:spacing w:line="245" w:lineRule="exact" w:before="60"/>
                          <w:ind w:left="2" w:right="1" w:firstLine="0"/>
                          <w:jc w:val="center"/>
                          <w:rPr>
                            <w:color w:val="000000"/>
                            <w:sz w:val="20"/>
                          </w:rPr>
                        </w:pPr>
                        <w:r>
                          <w:rPr>
                            <w:color w:val="000000"/>
                            <w:spacing w:val="-2"/>
                            <w:sz w:val="20"/>
                          </w:rPr>
                          <w:t>重度</w:t>
                        </w:r>
                        <w:r>
                          <w:rPr>
                            <w:rFonts w:ascii="Times New Roman" w:eastAsia="Times New Roman"/>
                            <w:color w:val="000000"/>
                            <w:spacing w:val="-2"/>
                            <w:sz w:val="20"/>
                          </w:rPr>
                          <w:t>COPD</w:t>
                        </w:r>
                        <w:r>
                          <w:rPr>
                            <w:color w:val="000000"/>
                            <w:spacing w:val="-4"/>
                            <w:sz w:val="20"/>
                          </w:rPr>
                          <w:t>急性加重发生率</w:t>
                        </w:r>
                      </w:p>
                      <w:p>
                        <w:pPr>
                          <w:spacing w:line="213" w:lineRule="auto" w:before="7"/>
                          <w:ind w:left="772" w:right="770" w:firstLine="0"/>
                          <w:jc w:val="center"/>
                          <w:rPr>
                            <w:color w:val="000000"/>
                            <w:sz w:val="20"/>
                          </w:rPr>
                        </w:pP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2"/>
                            <w:sz w:val="20"/>
                          </w:rPr>
                          <w:t>所有受试者</w:t>
                        </w:r>
                      </w:p>
                    </w:txbxContent>
                  </v:textbox>
                  <v:fill type="solid"/>
                  <w10:wrap type="none"/>
                </v:shape>
                <v:shape style="position:absolute;left:4383;top:391;width:3502;height:872" type="#_x0000_t202" id="docshape81" filled="true" fillcolor="#ffffff" stroked="false">
                  <v:textbox inset="0,0,0,0">
                    <w:txbxContent>
                      <w:p>
                        <w:pPr>
                          <w:spacing w:line="245" w:lineRule="exact" w:before="60"/>
                          <w:ind w:left="2" w:right="0" w:firstLine="0"/>
                          <w:jc w:val="center"/>
                          <w:rPr>
                            <w:color w:val="000000"/>
                            <w:sz w:val="20"/>
                          </w:rPr>
                        </w:pPr>
                        <w:r>
                          <w:rPr>
                            <w:color w:val="000000"/>
                            <w:spacing w:val="-2"/>
                            <w:sz w:val="20"/>
                          </w:rPr>
                          <w:t>重度</w:t>
                        </w:r>
                        <w:r>
                          <w:rPr>
                            <w:rFonts w:ascii="Times New Roman" w:eastAsia="Times New Roman"/>
                            <w:color w:val="000000"/>
                            <w:spacing w:val="-2"/>
                            <w:sz w:val="20"/>
                          </w:rPr>
                          <w:t>COPD</w:t>
                        </w:r>
                        <w:r>
                          <w:rPr>
                            <w:color w:val="000000"/>
                            <w:spacing w:val="-4"/>
                            <w:sz w:val="20"/>
                          </w:rPr>
                          <w:t>急性加重发生率</w:t>
                        </w:r>
                      </w:p>
                      <w:p>
                        <w:pPr>
                          <w:spacing w:line="213" w:lineRule="auto" w:before="7"/>
                          <w:ind w:left="772" w:right="770" w:firstLine="0"/>
                          <w:jc w:val="center"/>
                          <w:rPr>
                            <w:color w:val="000000"/>
                            <w:sz w:val="20"/>
                          </w:rPr>
                        </w:pPr>
                        <w:r>
                          <w:rPr>
                            <w:rFonts w:ascii="Times New Roman" w:eastAsia="Times New Roman"/>
                            <w:color w:val="000000"/>
                            <w:sz w:val="20"/>
                          </w:rPr>
                          <w:t>300</w:t>
                        </w:r>
                        <w:r>
                          <w:rPr>
                            <w:rFonts w:ascii="Times New Roman" w:eastAsia="Times New Roman"/>
                            <w:color w:val="000000"/>
                            <w:spacing w:val="-13"/>
                            <w:sz w:val="20"/>
                          </w:rPr>
                          <w:t> </w:t>
                        </w:r>
                        <w:r>
                          <w:rPr>
                            <w:rFonts w:ascii="Times New Roman" w:eastAsia="Times New Roman"/>
                            <w:color w:val="000000"/>
                            <w:sz w:val="20"/>
                          </w:rPr>
                          <w:t>mg</w:t>
                        </w:r>
                        <w:r>
                          <w:rPr>
                            <w:rFonts w:ascii="Times New Roman" w:eastAsia="Times New Roman"/>
                            <w:color w:val="000000"/>
                            <w:spacing w:val="-12"/>
                            <w:sz w:val="20"/>
                          </w:rPr>
                          <w:t> </w:t>
                        </w:r>
                        <w:r>
                          <w:rPr>
                            <w:rFonts w:ascii="Times New Roman" w:eastAsia="Times New Roman"/>
                            <w:color w:val="000000"/>
                            <w:sz w:val="20"/>
                          </w:rPr>
                          <w:t>Q4W</w:t>
                        </w:r>
                        <w:r>
                          <w:rPr>
                            <w:rFonts w:ascii="Times New Roman" w:eastAsia="Times New Roman"/>
                            <w:color w:val="000000"/>
                            <w:spacing w:val="-10"/>
                            <w:sz w:val="20"/>
                          </w:rPr>
                          <w:t> </w:t>
                        </w:r>
                        <w:r>
                          <w:rPr>
                            <w:rFonts w:ascii="Times New Roman" w:eastAsia="Times New Roman"/>
                            <w:color w:val="000000"/>
                            <w:sz w:val="20"/>
                          </w:rPr>
                          <w:t>vs</w:t>
                        </w:r>
                        <w:r>
                          <w:rPr>
                            <w:rFonts w:ascii="Times New Roman" w:eastAsia="Times New Roman"/>
                            <w:color w:val="000000"/>
                            <w:spacing w:val="-13"/>
                            <w:sz w:val="20"/>
                          </w:rPr>
                          <w:t> </w:t>
                        </w:r>
                        <w:r>
                          <w:rPr>
                            <w:color w:val="000000"/>
                            <w:sz w:val="20"/>
                          </w:rPr>
                          <w:t>安慰剂</w:t>
                        </w:r>
                        <w:r>
                          <w:rPr>
                            <w:color w:val="000000"/>
                            <w:spacing w:val="-4"/>
                            <w:sz w:val="20"/>
                          </w:rPr>
                          <w:t>戒烟者</w:t>
                        </w:r>
                      </w:p>
                    </w:txbxContent>
                  </v:textbox>
                  <v:fill type="solid"/>
                  <w10:wrap type="none"/>
                </v:shape>
                <w10:wrap type="topAndBottom"/>
              </v:group>
            </w:pict>
          </mc:Fallback>
        </mc:AlternateContent>
      </w:r>
    </w:p>
    <w:p>
      <w:pPr>
        <w:spacing w:before="251"/>
        <w:ind w:left="221" w:right="0" w:firstLine="0"/>
        <w:jc w:val="left"/>
        <w:rPr>
          <w:sz w:val="21"/>
        </w:rPr>
      </w:pPr>
      <w:r>
        <w:rPr>
          <w:rFonts w:ascii="Times New Roman" w:eastAsia="Times New Roman"/>
          <w:spacing w:val="-2"/>
          <w:sz w:val="21"/>
        </w:rPr>
        <w:t>COPD</w:t>
      </w:r>
      <w:r>
        <w:rPr>
          <w:spacing w:val="-2"/>
          <w:sz w:val="21"/>
        </w:rPr>
        <w:t>，慢性阻塞性肺疾病；</w:t>
      </w:r>
      <w:r>
        <w:rPr>
          <w:rFonts w:ascii="Times New Roman" w:eastAsia="Times New Roman"/>
          <w:spacing w:val="-2"/>
          <w:sz w:val="21"/>
        </w:rPr>
        <w:t>ED</w:t>
      </w:r>
      <w:r>
        <w:rPr>
          <w:spacing w:val="-2"/>
          <w:sz w:val="21"/>
        </w:rPr>
        <w:t>，急诊科；</w:t>
      </w:r>
      <w:r>
        <w:rPr>
          <w:rFonts w:ascii="Times New Roman" w:eastAsia="Times New Roman"/>
          <w:spacing w:val="-2"/>
          <w:sz w:val="21"/>
        </w:rPr>
        <w:t>ER</w:t>
      </w:r>
      <w:r>
        <w:rPr>
          <w:spacing w:val="-2"/>
          <w:sz w:val="21"/>
        </w:rPr>
        <w:t>，急诊室；</w:t>
      </w:r>
      <w:r>
        <w:rPr>
          <w:rFonts w:ascii="Times New Roman" w:eastAsia="Times New Roman"/>
          <w:spacing w:val="-2"/>
          <w:sz w:val="21"/>
        </w:rPr>
        <w:t>Q4W</w:t>
      </w:r>
      <w:r>
        <w:rPr>
          <w:spacing w:val="-7"/>
          <w:sz w:val="21"/>
        </w:rPr>
        <w:t>，每 </w:t>
      </w:r>
      <w:r>
        <w:rPr>
          <w:rFonts w:ascii="Times New Roman" w:eastAsia="Times New Roman"/>
          <w:spacing w:val="-2"/>
          <w:sz w:val="21"/>
        </w:rPr>
        <w:t>4</w:t>
      </w:r>
      <w:r>
        <w:rPr>
          <w:rFonts w:ascii="Times New Roman" w:eastAsia="Times New Roman"/>
          <w:spacing w:val="21"/>
          <w:sz w:val="21"/>
        </w:rPr>
        <w:t> </w:t>
      </w:r>
      <w:r>
        <w:rPr>
          <w:spacing w:val="-4"/>
          <w:sz w:val="21"/>
        </w:rPr>
        <w:t>周一次。</w:t>
      </w:r>
    </w:p>
    <w:p>
      <w:pPr>
        <w:pStyle w:val="BodyText"/>
        <w:spacing w:before="66"/>
        <w:ind w:left="0"/>
        <w:rPr>
          <w:sz w:val="21"/>
        </w:rPr>
      </w:pPr>
    </w:p>
    <w:p>
      <w:pPr>
        <w:pStyle w:val="BodyText"/>
        <w:spacing w:line="276" w:lineRule="auto"/>
        <w:ind w:right="361" w:firstLine="480"/>
        <w:jc w:val="both"/>
      </w:pPr>
      <w:r>
        <w:rPr/>
        <w:t>在双侧 </w:t>
      </w:r>
      <w:r>
        <w:rPr>
          <w:rFonts w:ascii="Times New Roman" w:eastAsia="Times New Roman"/>
        </w:rPr>
        <w:t>5%</w:t>
      </w:r>
      <w:r>
        <w:rPr/>
        <w:t>显著性水平下，首先在戒烟者组成的主要人群中，针对主要终点在 </w:t>
      </w:r>
      <w:r>
        <w:rPr>
          <w:rFonts w:ascii="Times New Roman" w:eastAsia="Times New Roman"/>
        </w:rPr>
        <w:t>tozorakimab 300 mg SC Q4W </w:t>
      </w:r>
      <w:r>
        <w:rPr/>
        <w:t>与安慰剂之间进行假设检验。</w:t>
      </w:r>
    </w:p>
    <w:p>
      <w:pPr>
        <w:pStyle w:val="BodyText"/>
        <w:spacing w:line="276" w:lineRule="auto" w:before="237"/>
        <w:ind w:right="357" w:firstLine="480"/>
        <w:jc w:val="both"/>
      </w:pPr>
      <w:r>
        <w:rPr>
          <w:spacing w:val="-2"/>
        </w:rPr>
        <w:t>如果该比较的无效假设被拒绝，且治疗效应支持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8"/>
        </w:rPr>
        <w:t> </w:t>
      </w:r>
      <w:r>
        <w:rPr>
          <w:rFonts w:ascii="Times New Roman" w:eastAsia="Times New Roman"/>
        </w:rPr>
        <w:t>SC </w:t>
      </w:r>
      <w:r>
        <w:rPr>
          <w:rFonts w:ascii="Times New Roman" w:eastAsia="Times New Roman"/>
        </w:rPr>
        <w:t>Q4W</w:t>
      </w:r>
      <w:r>
        <w:rPr/>
        <w:t>， </w:t>
      </w:r>
      <w:r>
        <w:rPr>
          <w:rFonts w:ascii="Times New Roman" w:eastAsia="Times New Roman"/>
        </w:rPr>
        <w:t>p </w:t>
      </w:r>
      <w:r>
        <w:rPr/>
        <w:t>值</w:t>
      </w:r>
      <w:r>
        <w:rPr>
          <w:rFonts w:ascii="Times New Roman" w:eastAsia="Times New Roman"/>
        </w:rPr>
        <w:t>&lt;0.05</w:t>
      </w:r>
      <w:r>
        <w:rPr>
          <w:spacing w:val="-6"/>
        </w:rPr>
        <w:t>，则将对 </w:t>
      </w:r>
      <w:r>
        <w:rPr>
          <w:rFonts w:ascii="Times New Roman" w:eastAsia="Times New Roman"/>
        </w:rPr>
        <w:t>tozorakimab 300 mg SC Q4W </w:t>
      </w:r>
      <w:r>
        <w:rPr/>
        <w:t>给药方案组的关键次要终点进行检</w:t>
      </w:r>
      <w:r>
        <w:rPr>
          <w:spacing w:val="-5"/>
        </w:rPr>
        <w:t>验，且每项检验均在 </w:t>
      </w:r>
      <w:r>
        <w:rPr>
          <w:rFonts w:ascii="Times New Roman" w:eastAsia="Times New Roman"/>
          <w:spacing w:val="-2"/>
        </w:rPr>
        <w:t>5%</w:t>
      </w:r>
      <w:r>
        <w:rPr>
          <w:spacing w:val="-2"/>
        </w:rPr>
        <w:t>双侧显著性水平下进行，具体如下所述。否则，在任一人群中不再拒绝任何其他终点的无效假设。</w:t>
      </w:r>
    </w:p>
    <w:p>
      <w:pPr>
        <w:spacing w:after="0" w:line="276" w:lineRule="auto"/>
        <w:jc w:val="both"/>
        <w:sectPr>
          <w:pgSz w:w="11910" w:h="16840"/>
          <w:pgMar w:header="590" w:footer="784" w:top="1340" w:bottom="980" w:left="1480" w:right="1080"/>
        </w:sectPr>
      </w:pPr>
    </w:p>
    <w:p>
      <w:pPr>
        <w:pStyle w:val="BodyText"/>
        <w:spacing w:line="276" w:lineRule="auto" w:before="88"/>
        <w:ind w:right="361" w:firstLine="480"/>
      </w:pPr>
      <w:r>
        <w:rPr>
          <w:spacing w:val="-2"/>
        </w:rPr>
        <w:t>将在指定的显著水平下继续进行层级检验，直至无法拒绝无效假设；此时，将停止进一步检验，并且将不会拒绝该剂量下检验层级中的后续无效假设。</w:t>
      </w:r>
    </w:p>
    <w:p>
      <w:pPr>
        <w:pStyle w:val="BodyText"/>
        <w:spacing w:before="239"/>
        <w:ind w:left="701"/>
      </w:pPr>
      <w:r>
        <w:rPr>
          <w:spacing w:val="-1"/>
        </w:rPr>
        <w:t>将在研究中依次对关键次要终点进行以下假设检验：</w:t>
      </w:r>
    </w:p>
    <w:p>
      <w:pPr>
        <w:pStyle w:val="ListParagraph"/>
        <w:numPr>
          <w:ilvl w:val="0"/>
          <w:numId w:val="49"/>
        </w:numPr>
        <w:tabs>
          <w:tab w:pos="646" w:val="left" w:leader="none"/>
        </w:tabs>
        <w:spacing w:line="276" w:lineRule="auto" w:before="285" w:after="0"/>
        <w:ind w:left="646" w:right="357" w:hanging="425"/>
        <w:jc w:val="left"/>
        <w:rPr>
          <w:sz w:val="24"/>
        </w:rPr>
      </w:pPr>
      <w:r>
        <w:rPr>
          <w:sz w:val="24"/>
        </w:rPr>
        <w:t>在所有受试者的总人群（戒烟者或吸烟者）</w:t>
      </w:r>
      <w:r>
        <w:rPr>
          <w:spacing w:val="-5"/>
          <w:sz w:val="24"/>
        </w:rPr>
        <w:t>中，在双侧 </w:t>
      </w:r>
      <w:r>
        <w:rPr>
          <w:rFonts w:ascii="Times New Roman" w:eastAsia="Times New Roman"/>
          <w:sz w:val="24"/>
        </w:rPr>
        <w:t>5%</w:t>
      </w:r>
      <w:r>
        <w:rPr>
          <w:sz w:val="24"/>
        </w:rPr>
        <w:t>显著性水平下检验主</w:t>
      </w:r>
      <w:r>
        <w:rPr>
          <w:spacing w:val="-4"/>
          <w:sz w:val="24"/>
        </w:rPr>
        <w:t>要终点重度 </w:t>
      </w:r>
      <w:r>
        <w:rPr>
          <w:rFonts w:ascii="Times New Roman" w:eastAsia="Times New Roman"/>
          <w:sz w:val="24"/>
        </w:rPr>
        <w:t>COPD </w:t>
      </w:r>
      <w:r>
        <w:rPr>
          <w:sz w:val="24"/>
        </w:rPr>
        <w:t>急性加重的年发生率。</w:t>
      </w:r>
    </w:p>
    <w:p>
      <w:pPr>
        <w:pStyle w:val="ListParagraph"/>
        <w:numPr>
          <w:ilvl w:val="0"/>
          <w:numId w:val="49"/>
        </w:numPr>
        <w:tabs>
          <w:tab w:pos="646" w:val="left" w:leader="none"/>
        </w:tabs>
        <w:spacing w:line="240" w:lineRule="auto" w:before="58" w:after="0"/>
        <w:ind w:left="646" w:right="0" w:hanging="425"/>
        <w:jc w:val="left"/>
        <w:rPr>
          <w:sz w:val="24"/>
        </w:rPr>
      </w:pPr>
      <w:r>
        <w:rPr>
          <w:spacing w:val="8"/>
          <w:sz w:val="24"/>
        </w:rPr>
        <w:t>如果该无效假设被拒绝， 则在戒烟者人群中检验关键次要终点至首次重度</w:t>
      </w:r>
    </w:p>
    <w:p>
      <w:pPr>
        <w:pStyle w:val="BodyText"/>
        <w:spacing w:before="47"/>
        <w:ind w:left="646"/>
      </w:pPr>
      <w:r>
        <w:rPr>
          <w:rFonts w:ascii="Times New Roman" w:eastAsia="Times New Roman"/>
        </w:rPr>
        <w:t>COPD</w:t>
      </w:r>
      <w:r>
        <w:rPr>
          <w:rFonts w:ascii="Times New Roman" w:eastAsia="Times New Roman"/>
          <w:spacing w:val="-13"/>
        </w:rPr>
        <w:t> </w:t>
      </w:r>
      <w:r>
        <w:rPr>
          <w:spacing w:val="-2"/>
        </w:rPr>
        <w:t>急性加重的时间。</w:t>
      </w:r>
    </w:p>
    <w:p>
      <w:pPr>
        <w:pStyle w:val="ListParagraph"/>
        <w:numPr>
          <w:ilvl w:val="0"/>
          <w:numId w:val="49"/>
        </w:numPr>
        <w:tabs>
          <w:tab w:pos="646" w:val="left" w:leader="none"/>
        </w:tabs>
        <w:spacing w:line="276" w:lineRule="auto" w:before="105" w:after="0"/>
        <w:ind w:left="646" w:right="359" w:hanging="425"/>
        <w:jc w:val="left"/>
        <w:rPr>
          <w:sz w:val="24"/>
        </w:rPr>
      </w:pPr>
      <w:r>
        <w:rPr>
          <w:spacing w:val="4"/>
          <w:sz w:val="24"/>
        </w:rPr>
        <w:t>如果该无效假设被拒绝，则在戒烟者或吸烟者</w:t>
      </w:r>
      <w:r>
        <w:rPr>
          <w:spacing w:val="5"/>
          <w:sz w:val="24"/>
        </w:rPr>
        <w:t>（</w:t>
      </w:r>
      <w:r>
        <w:rPr>
          <w:spacing w:val="4"/>
          <w:sz w:val="24"/>
        </w:rPr>
        <w:t>所有受试者</w:t>
      </w:r>
      <w:r>
        <w:rPr>
          <w:spacing w:val="5"/>
          <w:sz w:val="24"/>
        </w:rPr>
        <w:t>）</w:t>
      </w:r>
      <w:r>
        <w:rPr>
          <w:spacing w:val="3"/>
          <w:sz w:val="24"/>
        </w:rPr>
        <w:t>组成的总体人群</w:t>
      </w:r>
      <w:r>
        <w:rPr>
          <w:spacing w:val="-2"/>
          <w:sz w:val="24"/>
        </w:rPr>
        <w:t>中检验关键次要终点至首次重度 </w:t>
      </w:r>
      <w:r>
        <w:rPr>
          <w:rFonts w:ascii="Times New Roman" w:eastAsia="Times New Roman"/>
          <w:spacing w:val="-1"/>
          <w:sz w:val="24"/>
        </w:rPr>
        <w:t>COP</w:t>
      </w:r>
      <w:r>
        <w:rPr>
          <w:rFonts w:ascii="Times New Roman" w:eastAsia="Times New Roman"/>
          <w:sz w:val="24"/>
        </w:rPr>
        <w:t>D</w:t>
      </w:r>
      <w:r>
        <w:rPr>
          <w:rFonts w:ascii="Times New Roman" w:eastAsia="Times New Roman"/>
          <w:spacing w:val="-13"/>
          <w:sz w:val="24"/>
        </w:rPr>
        <w:t> </w:t>
      </w:r>
      <w:r>
        <w:rPr>
          <w:sz w:val="24"/>
        </w:rPr>
        <w:t>急性加重的时间。</w:t>
      </w:r>
    </w:p>
    <w:p>
      <w:pPr>
        <w:pStyle w:val="ListParagraph"/>
        <w:numPr>
          <w:ilvl w:val="0"/>
          <w:numId w:val="49"/>
        </w:numPr>
        <w:tabs>
          <w:tab w:pos="646" w:val="left" w:leader="none"/>
        </w:tabs>
        <w:spacing w:line="276" w:lineRule="auto" w:before="59" w:after="0"/>
        <w:ind w:left="646" w:right="356" w:hanging="425"/>
        <w:jc w:val="left"/>
        <w:rPr>
          <w:sz w:val="24"/>
        </w:rPr>
      </w:pPr>
      <w:r>
        <w:rPr>
          <w:sz w:val="24"/>
        </w:rPr>
        <w:t>如果该无效假设被拒绝，则在戒烟者人群中检验关键次要终点需要住院治疗和</w:t>
      </w:r>
      <w:r>
        <w:rPr>
          <w:rFonts w:ascii="Times New Roman" w:eastAsia="Times New Roman"/>
          <w:sz w:val="24"/>
        </w:rPr>
        <w:t>/</w:t>
      </w:r>
      <w:r>
        <w:rPr>
          <w:spacing w:val="-9"/>
          <w:sz w:val="24"/>
        </w:rPr>
        <w:t>或 </w:t>
      </w:r>
      <w:r>
        <w:rPr>
          <w:rFonts w:ascii="Times New Roman" w:eastAsia="Times New Roman"/>
          <w:sz w:val="24"/>
        </w:rPr>
        <w:t>ER/ED </w:t>
      </w:r>
      <w:r>
        <w:rPr>
          <w:spacing w:val="-5"/>
          <w:sz w:val="24"/>
        </w:rPr>
        <w:t>就诊的 </w:t>
      </w:r>
      <w:r>
        <w:rPr>
          <w:rFonts w:ascii="Times New Roman" w:eastAsia="Times New Roman"/>
          <w:sz w:val="24"/>
        </w:rPr>
        <w:t>COPD </w:t>
      </w:r>
      <w:r>
        <w:rPr>
          <w:sz w:val="24"/>
        </w:rPr>
        <w:t>急性加重年发生率。</w:t>
      </w:r>
    </w:p>
    <w:p>
      <w:pPr>
        <w:pStyle w:val="ListParagraph"/>
        <w:numPr>
          <w:ilvl w:val="0"/>
          <w:numId w:val="49"/>
        </w:numPr>
        <w:tabs>
          <w:tab w:pos="646" w:val="left" w:leader="none"/>
        </w:tabs>
        <w:spacing w:line="276" w:lineRule="auto" w:before="58" w:after="0"/>
        <w:ind w:left="646" w:right="117" w:hanging="425"/>
        <w:jc w:val="left"/>
        <w:rPr>
          <w:sz w:val="24"/>
        </w:rPr>
      </w:pPr>
      <w:r>
        <w:rPr>
          <w:spacing w:val="-2"/>
          <w:sz w:val="24"/>
        </w:rPr>
        <w:t>如果该无效假设被拒绝，则在戒烟者或吸烟者（所有受试者）组成的总体人群</w:t>
      </w:r>
      <w:r>
        <w:rPr>
          <w:spacing w:val="40"/>
          <w:sz w:val="24"/>
        </w:rPr>
        <w:t>  </w:t>
      </w:r>
      <w:r>
        <w:rPr>
          <w:sz w:val="24"/>
        </w:rPr>
        <w:t>中检验关键次要终点需要住院治疗和</w:t>
      </w:r>
      <w:r>
        <w:rPr>
          <w:rFonts w:ascii="Times New Roman" w:eastAsia="Times New Roman"/>
          <w:sz w:val="24"/>
        </w:rPr>
        <w:t>/</w:t>
      </w:r>
      <w:r>
        <w:rPr>
          <w:spacing w:val="-30"/>
          <w:sz w:val="24"/>
        </w:rPr>
        <w:t>或 </w:t>
      </w:r>
      <w:r>
        <w:rPr>
          <w:rFonts w:ascii="Times New Roman" w:eastAsia="Times New Roman"/>
          <w:sz w:val="24"/>
        </w:rPr>
        <w:t>ER/ED</w:t>
      </w:r>
      <w:r>
        <w:rPr>
          <w:rFonts w:ascii="Times New Roman" w:eastAsia="Times New Roman"/>
          <w:spacing w:val="-15"/>
          <w:sz w:val="24"/>
        </w:rPr>
        <w:t> </w:t>
      </w:r>
      <w:r>
        <w:rPr>
          <w:spacing w:val="-15"/>
          <w:sz w:val="24"/>
        </w:rPr>
        <w:t>就诊的 </w:t>
      </w:r>
      <w:r>
        <w:rPr>
          <w:rFonts w:ascii="Times New Roman" w:eastAsia="Times New Roman"/>
          <w:sz w:val="24"/>
        </w:rPr>
        <w:t>COPD</w:t>
      </w:r>
      <w:r>
        <w:rPr>
          <w:rFonts w:ascii="Times New Roman" w:eastAsia="Times New Roman"/>
          <w:spacing w:val="-15"/>
          <w:sz w:val="24"/>
        </w:rPr>
        <w:t> </w:t>
      </w:r>
      <w:r>
        <w:rPr>
          <w:sz w:val="24"/>
        </w:rPr>
        <w:t>急性加重年发生率。</w:t>
      </w:r>
    </w:p>
    <w:p>
      <w:pPr>
        <w:pStyle w:val="BodyText"/>
        <w:spacing w:before="143"/>
        <w:ind w:left="0"/>
      </w:pPr>
    </w:p>
    <w:p>
      <w:pPr>
        <w:pStyle w:val="Heading1"/>
        <w:numPr>
          <w:ilvl w:val="1"/>
          <w:numId w:val="3"/>
        </w:numPr>
        <w:tabs>
          <w:tab w:pos="1355" w:val="left" w:leader="none"/>
        </w:tabs>
        <w:spacing w:line="240" w:lineRule="auto" w:before="0" w:after="0"/>
        <w:ind w:left="1355" w:right="0" w:hanging="1134"/>
        <w:jc w:val="left"/>
      </w:pPr>
      <w:bookmarkStart w:name="9.2 样本量确定" w:id="256"/>
      <w:bookmarkEnd w:id="256"/>
      <w:r>
        <w:rPr>
          <w:b w:val="0"/>
        </w:rPr>
      </w:r>
      <w:bookmarkStart w:name="_bookmark131" w:id="257"/>
      <w:bookmarkEnd w:id="257"/>
      <w:r>
        <w:rPr>
          <w:b w:val="0"/>
        </w:rPr>
      </w:r>
      <w:r>
        <w:rPr>
          <w:spacing w:val="-6"/>
        </w:rPr>
        <w:t>样本量确定</w:t>
      </w:r>
    </w:p>
    <w:p>
      <w:pPr>
        <w:pStyle w:val="BodyText"/>
        <w:spacing w:line="276" w:lineRule="auto" w:before="118"/>
        <w:ind w:right="357" w:firstLine="480"/>
        <w:jc w:val="both"/>
      </w:pPr>
      <w:r>
        <w:rPr>
          <w:spacing w:val="-10"/>
        </w:rPr>
        <w:t>进入 </w:t>
      </w:r>
      <w:r>
        <w:rPr>
          <w:rFonts w:ascii="Times New Roman" w:eastAsia="Times New Roman"/>
        </w:rPr>
        <w:t>PROSPERO</w:t>
      </w:r>
      <w:r>
        <w:rPr>
          <w:rFonts w:ascii="Times New Roman" w:eastAsia="Times New Roman"/>
          <w:spacing w:val="-15"/>
        </w:rPr>
        <w:t> </w:t>
      </w:r>
      <w:r>
        <w:rPr/>
        <w:t>的受试者数量由在前身研究（</w:t>
      </w:r>
      <w:r>
        <w:rPr>
          <w:rFonts w:ascii="Times New Roman" w:eastAsia="Times New Roman"/>
        </w:rPr>
        <w:t>OBERON</w:t>
      </w:r>
      <w:r>
        <w:rPr>
          <w:rFonts w:ascii="Times New Roman" w:eastAsia="Times New Roman"/>
          <w:spacing w:val="-7"/>
        </w:rPr>
        <w:t> </w:t>
      </w:r>
      <w:r>
        <w:rPr>
          <w:spacing w:val="-15"/>
        </w:rPr>
        <w:t>和 </w:t>
      </w:r>
      <w:r>
        <w:rPr>
          <w:rFonts w:ascii="Times New Roman" w:eastAsia="Times New Roman"/>
        </w:rPr>
        <w:t>TITANIA</w:t>
      </w:r>
      <w:r>
        <w:rPr/>
        <w:t>）中完成</w:t>
      </w:r>
      <w:r>
        <w:rPr>
          <w:spacing w:val="-3"/>
        </w:rPr>
        <w:t>治疗期且未提前终止 </w:t>
      </w:r>
      <w:r>
        <w:rPr>
          <w:rFonts w:ascii="Times New Roman" w:eastAsia="Times New Roman"/>
        </w:rPr>
        <w:t>IP </w:t>
      </w:r>
      <w:r>
        <w:rPr>
          <w:spacing w:val="-2"/>
        </w:rPr>
        <w:t>的受试者数量决定。因此，预计进入 </w:t>
      </w:r>
      <w:r>
        <w:rPr>
          <w:rFonts w:ascii="Times New Roman" w:eastAsia="Times New Roman"/>
        </w:rPr>
        <w:t>PROSPERO </w:t>
      </w:r>
      <w:r>
        <w:rPr/>
        <w:t>的样本量</w:t>
      </w:r>
      <w:r>
        <w:rPr>
          <w:spacing w:val="-8"/>
        </w:rPr>
        <w:t>最多为 </w:t>
      </w:r>
      <w:r>
        <w:rPr>
          <w:rFonts w:ascii="Times New Roman" w:eastAsia="Times New Roman"/>
        </w:rPr>
        <w:t>2120</w:t>
      </w:r>
      <w:r>
        <w:rPr>
          <w:rFonts w:ascii="Times New Roman" w:eastAsia="Times New Roman"/>
          <w:spacing w:val="-15"/>
        </w:rPr>
        <w:t> </w:t>
      </w:r>
      <w:r>
        <w:rPr>
          <w:spacing w:val="-3"/>
        </w:rPr>
        <w:t>名受试者，但这取决于 </w:t>
      </w:r>
      <w:r>
        <w:rPr>
          <w:rFonts w:ascii="Times New Roman" w:eastAsia="Times New Roman"/>
        </w:rPr>
        <w:t>tozorakimab</w:t>
      </w:r>
      <w:r>
        <w:rPr>
          <w:rFonts w:ascii="Times New Roman" w:eastAsia="Times New Roman"/>
          <w:spacing w:val="-15"/>
        </w:rPr>
        <w:t> </w:t>
      </w:r>
      <w:r>
        <w:rPr>
          <w:rFonts w:ascii="Times New Roman" w:eastAsia="Times New Roman"/>
        </w:rPr>
        <w:t>Q8W</w:t>
      </w:r>
      <w:r>
        <w:rPr>
          <w:rFonts w:ascii="Times New Roman" w:eastAsia="Times New Roman"/>
          <w:spacing w:val="-15"/>
        </w:rPr>
        <w:t> </w:t>
      </w:r>
      <w:r>
        <w:rPr/>
        <w:t>组招募的受试者人数以及完成</w:t>
      </w:r>
      <w:r>
        <w:rPr>
          <w:spacing w:val="-2"/>
        </w:rPr>
        <w:t>前身研究并同意进入该扩展期的受试者比例，因此，实际人数可能更多或更少。</w:t>
      </w:r>
    </w:p>
    <w:p>
      <w:pPr>
        <w:pStyle w:val="BodyText"/>
        <w:spacing w:line="276" w:lineRule="auto" w:before="237"/>
        <w:ind w:right="353" w:firstLine="480"/>
        <w:jc w:val="both"/>
      </w:pPr>
      <w:r>
        <w:rPr>
          <w:spacing w:val="-1"/>
        </w:rPr>
        <w:t>然而，由于将使用合并前身研究的综合分析的方式进行分析，将使用 </w:t>
      </w:r>
      <w:r>
        <w:rPr>
          <w:rFonts w:ascii="Times New Roman" w:eastAsia="Times New Roman"/>
        </w:rPr>
        <w:t>OBERON</w:t>
      </w:r>
      <w:r>
        <w:rPr>
          <w:spacing w:val="-15"/>
        </w:rPr>
        <w:t>和 </w:t>
      </w:r>
      <w:r>
        <w:rPr>
          <w:rFonts w:ascii="Times New Roman" w:eastAsia="Times New Roman"/>
        </w:rPr>
        <w:t>TITANIA</w:t>
      </w:r>
      <w:r>
        <w:rPr>
          <w:rFonts w:ascii="Times New Roman" w:eastAsia="Times New Roman"/>
          <w:spacing w:val="-15"/>
        </w:rPr>
        <w:t> </w:t>
      </w:r>
      <w:r>
        <w:rPr>
          <w:spacing w:val="-2"/>
        </w:rPr>
        <w:t>中随机化的所有受试者，因此，在戒烟者中对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rFonts w:ascii="Times New Roman" w:eastAsia="Times New Roman"/>
        </w:rPr>
        <w:t>Q4W</w:t>
      </w:r>
      <w:r>
        <w:rPr/>
        <w:t>组与安慰剂组进行主要比较时，使用的受试者总数约为 </w:t>
      </w:r>
      <w:r>
        <w:rPr>
          <w:rFonts w:ascii="Times New Roman" w:eastAsia="Times New Roman"/>
        </w:rPr>
        <w:t>1272 </w:t>
      </w:r>
      <w:r>
        <w:rPr/>
        <w:t>例（每组 </w:t>
      </w:r>
      <w:r>
        <w:rPr>
          <w:rFonts w:ascii="Times New Roman" w:eastAsia="Times New Roman"/>
        </w:rPr>
        <w:t>636 </w:t>
      </w:r>
      <w:r>
        <w:rPr/>
        <w:t>例受试</w:t>
      </w:r>
      <w:r>
        <w:rPr>
          <w:spacing w:val="-2"/>
        </w:rPr>
        <w:t>者），或在戒烟者或当前吸烟者组成的总体人群中进行主要比较时，使用的受试者</w:t>
      </w:r>
      <w:r>
        <w:rPr>
          <w:spacing w:val="-4"/>
        </w:rPr>
        <w:t>总数约为 </w:t>
      </w:r>
      <w:r>
        <w:rPr>
          <w:rFonts w:ascii="Times New Roman" w:eastAsia="Times New Roman"/>
        </w:rPr>
        <w:t>1696 </w:t>
      </w:r>
      <w:r>
        <w:rPr/>
        <w:t>例（</w:t>
      </w:r>
      <w:r>
        <w:rPr>
          <w:spacing w:val="-6"/>
        </w:rPr>
        <w:t>每组 </w:t>
      </w:r>
      <w:r>
        <w:rPr>
          <w:rFonts w:ascii="Times New Roman" w:eastAsia="Times New Roman"/>
        </w:rPr>
        <w:t>848 </w:t>
      </w:r>
      <w:r>
        <w:rPr/>
        <w:t>例受试者）。</w:t>
      </w:r>
    </w:p>
    <w:p>
      <w:pPr>
        <w:pStyle w:val="BodyText"/>
        <w:spacing w:line="276" w:lineRule="auto" w:before="236"/>
        <w:ind w:right="356" w:firstLine="480"/>
        <w:jc w:val="both"/>
      </w:pPr>
      <w:r>
        <w:rPr>
          <w:spacing w:val="-2"/>
        </w:rPr>
        <w:t>在戒烟者主要人群中，假设平均随访时间为 </w:t>
      </w:r>
      <w:r>
        <w:rPr>
          <w:rFonts w:ascii="Times New Roman" w:eastAsia="Times New Roman"/>
        </w:rPr>
        <w:t>1.7</w:t>
      </w:r>
      <w:r>
        <w:rPr>
          <w:rFonts w:ascii="Times New Roman" w:eastAsia="Times New Roman"/>
          <w:spacing w:val="18"/>
        </w:rPr>
        <w:t> </w:t>
      </w:r>
      <w:r>
        <w:rPr>
          <w:spacing w:val="-5"/>
        </w:rPr>
        <w:t>年，重度 </w:t>
      </w:r>
      <w:r>
        <w:rPr>
          <w:rFonts w:ascii="Times New Roman" w:eastAsia="Times New Roman"/>
        </w:rPr>
        <w:t>COPD</w:t>
      </w:r>
      <w:r>
        <w:rPr>
          <w:rFonts w:ascii="Times New Roman" w:eastAsia="Times New Roman"/>
          <w:spacing w:val="18"/>
        </w:rPr>
        <w:t> </w:t>
      </w:r>
      <w:r>
        <w:rPr/>
        <w:t>急性加重的年</w:t>
      </w:r>
      <w:r>
        <w:rPr>
          <w:spacing w:val="-6"/>
        </w:rPr>
        <w:t>发生率为 </w:t>
      </w:r>
      <w:r>
        <w:rPr>
          <w:rFonts w:ascii="Times New Roman" w:eastAsia="Times New Roman"/>
        </w:rPr>
        <w:t>0.25</w:t>
      </w:r>
      <w:r>
        <w:rPr>
          <w:rFonts w:ascii="Times New Roman" w:eastAsia="Times New Roman"/>
          <w:spacing w:val="-4"/>
        </w:rPr>
        <w:t> </w:t>
      </w:r>
      <w:r>
        <w:rPr/>
        <w:t>例次事件</w:t>
      </w:r>
      <w:r>
        <w:rPr>
          <w:rFonts w:ascii="Times New Roman" w:eastAsia="Times New Roman"/>
        </w:rPr>
        <w:t>/</w:t>
      </w:r>
      <w:r>
        <w:rPr>
          <w:spacing w:val="-3"/>
        </w:rPr>
        <w:t>受试者，负二项式分布为 </w:t>
      </w:r>
      <w:r>
        <w:rPr>
          <w:rFonts w:ascii="Times New Roman" w:eastAsia="Times New Roman"/>
        </w:rPr>
        <w:t>2.75</w:t>
      </w:r>
      <w:r>
        <w:rPr>
          <w:spacing w:val="-4"/>
        </w:rPr>
        <w:t>，发生率比值为 </w:t>
      </w:r>
      <w:r>
        <w:rPr>
          <w:rFonts w:ascii="Times New Roman" w:eastAsia="Times New Roman"/>
        </w:rPr>
        <w:t>0.7</w:t>
      </w:r>
      <w:r>
        <w:rPr/>
        <w:t>（发生率</w:t>
      </w:r>
      <w:r>
        <w:rPr>
          <w:spacing w:val="-7"/>
        </w:rPr>
        <w:t>相对降低 </w:t>
      </w:r>
      <w:r>
        <w:rPr>
          <w:rFonts w:ascii="Times New Roman" w:eastAsia="Times New Roman"/>
          <w:spacing w:val="-4"/>
        </w:rPr>
        <w:t>30%</w:t>
      </w:r>
      <w:r>
        <w:rPr>
          <w:spacing w:val="-4"/>
        </w:rPr>
        <w:t>），</w:t>
      </w:r>
      <w:r>
        <w:rPr>
          <w:spacing w:val="-6"/>
        </w:rPr>
        <w:t>该样本量预计在双侧 </w:t>
      </w:r>
      <w:r>
        <w:rPr>
          <w:rFonts w:ascii="Times New Roman" w:eastAsia="Times New Roman"/>
          <w:spacing w:val="-4"/>
        </w:rPr>
        <w:t>5%</w:t>
      </w:r>
      <w:r>
        <w:rPr>
          <w:spacing w:val="-4"/>
        </w:rPr>
        <w:t>显著性水平下证明统计学显著差异的把握</w:t>
      </w:r>
      <w:r>
        <w:rPr>
          <w:spacing w:val="-8"/>
        </w:rPr>
        <w:t>度约为 </w:t>
      </w:r>
      <w:r>
        <w:rPr>
          <w:rFonts w:ascii="Times New Roman" w:eastAsia="Times New Roman"/>
        </w:rPr>
        <w:t>77%</w:t>
      </w:r>
      <w:r>
        <w:rPr/>
        <w:t>。在相同假设下证明发生率出现统计学显著下降（</w:t>
      </w:r>
      <w:r>
        <w:rPr>
          <w:spacing w:val="-8"/>
        </w:rPr>
        <w:t>假设为 </w:t>
      </w:r>
      <w:r>
        <w:rPr>
          <w:rFonts w:ascii="Times New Roman" w:eastAsia="Times New Roman"/>
        </w:rPr>
        <w:t>35%</w:t>
      </w:r>
      <w:r>
        <w:rPr/>
        <w:t>）的把握</w:t>
      </w:r>
      <w:r>
        <w:rPr>
          <w:spacing w:val="-6"/>
        </w:rPr>
        <w:t>度约为 </w:t>
      </w:r>
      <w:r>
        <w:rPr>
          <w:rFonts w:ascii="Times New Roman" w:eastAsia="Times New Roman"/>
        </w:rPr>
        <w:t>90%</w:t>
      </w:r>
      <w:r>
        <w:rPr>
          <w:spacing w:val="-1"/>
        </w:rPr>
        <w:t>。能证明统计学显著性的临界值将至少为相对下降约 </w:t>
      </w:r>
      <w:r>
        <w:rPr>
          <w:rFonts w:ascii="Times New Roman" w:eastAsia="Times New Roman"/>
        </w:rPr>
        <w:t>22.5%</w:t>
      </w:r>
      <w:r>
        <w:rPr/>
        <w:t>。</w:t>
      </w:r>
    </w:p>
    <w:p>
      <w:pPr>
        <w:pStyle w:val="Heading1"/>
        <w:numPr>
          <w:ilvl w:val="1"/>
          <w:numId w:val="3"/>
        </w:numPr>
        <w:tabs>
          <w:tab w:pos="1355" w:val="left" w:leader="none"/>
        </w:tabs>
        <w:spacing w:line="240" w:lineRule="auto" w:before="236" w:after="0"/>
        <w:ind w:left="1355" w:right="0" w:hanging="1134"/>
        <w:jc w:val="left"/>
      </w:pPr>
      <w:bookmarkStart w:name="9.3 分析人群" w:id="258"/>
      <w:bookmarkEnd w:id="258"/>
      <w:r>
        <w:rPr>
          <w:b w:val="0"/>
        </w:rPr>
      </w:r>
      <w:bookmarkStart w:name="_bookmark132" w:id="259"/>
      <w:bookmarkEnd w:id="259"/>
      <w:r>
        <w:rPr>
          <w:b w:val="0"/>
        </w:rPr>
      </w:r>
      <w:r>
        <w:rPr>
          <w:spacing w:val="-4"/>
        </w:rPr>
        <w:t>分析人群</w:t>
      </w:r>
    </w:p>
    <w:p>
      <w:pPr>
        <w:pStyle w:val="BodyText"/>
        <w:spacing w:line="276" w:lineRule="auto" w:before="119"/>
        <w:ind w:right="357" w:firstLine="480"/>
        <w:jc w:val="both"/>
      </w:pPr>
      <w:r>
        <w:rPr>
          <w:spacing w:val="-5"/>
        </w:rPr>
        <w:t>对于前身研究 </w:t>
      </w:r>
      <w:r>
        <w:rPr>
          <w:rFonts w:ascii="Times New Roman" w:eastAsia="Times New Roman"/>
        </w:rPr>
        <w:t>OBERON</w:t>
      </w:r>
      <w:r>
        <w:rPr>
          <w:rFonts w:ascii="Times New Roman" w:eastAsia="Times New Roman"/>
          <w:spacing w:val="-13"/>
        </w:rPr>
        <w:t> </w:t>
      </w:r>
      <w:r>
        <w:rPr>
          <w:spacing w:val="-15"/>
        </w:rPr>
        <w:t>和 </w:t>
      </w:r>
      <w:r>
        <w:rPr>
          <w:rFonts w:ascii="Times New Roman" w:eastAsia="Times New Roman"/>
        </w:rPr>
        <w:t>TITANIA</w:t>
      </w:r>
      <w:r>
        <w:rPr>
          <w:rFonts w:ascii="Times New Roman" w:eastAsia="Times New Roman"/>
          <w:spacing w:val="5"/>
        </w:rPr>
        <w:t> </w:t>
      </w:r>
      <w:r>
        <w:rPr/>
        <w:t>中接受随机化和给药的所有受试者，即使</w:t>
      </w:r>
      <w:r>
        <w:rPr>
          <w:spacing w:val="-2"/>
        </w:rPr>
        <w:t>未进入</w:t>
      </w:r>
      <w:r>
        <w:rPr>
          <w:rFonts w:ascii="Times New Roman" w:eastAsia="Times New Roman"/>
          <w:spacing w:val="-2"/>
        </w:rPr>
        <w:t>PROSPERO</w:t>
      </w:r>
      <w:r>
        <w:rPr>
          <w:rFonts w:ascii="Times New Roman" w:eastAsia="Times New Roman"/>
          <w:spacing w:val="20"/>
        </w:rPr>
        <w:t> </w:t>
      </w:r>
      <w:r>
        <w:rPr>
          <w:spacing w:val="-3"/>
        </w:rPr>
        <w:t>研究，也将被纳入分析以支持本研究的 </w:t>
      </w:r>
      <w:r>
        <w:rPr>
          <w:rFonts w:ascii="Times New Roman" w:eastAsia="Times New Roman"/>
          <w:spacing w:val="-2"/>
        </w:rPr>
        <w:t>CSR</w:t>
      </w:r>
      <w:r>
        <w:rPr>
          <w:spacing w:val="-2"/>
        </w:rPr>
        <w:t>，这样可以保证从首</w:t>
      </w:r>
      <w:r>
        <w:rPr/>
        <w:t>次随机给药后进行随机比较的可靠性。人群定义如</w:t>
      </w:r>
      <w:hyperlink w:history="true" w:anchor="_bookmark133">
        <w:r>
          <w:rPr>
            <w:color w:val="0000FF"/>
            <w:spacing w:val="1"/>
          </w:rPr>
          <w:t>表 </w:t>
        </w:r>
        <w:r>
          <w:rPr>
            <w:rFonts w:ascii="Times New Roman" w:eastAsia="Times New Roman"/>
            <w:color w:val="0000FF"/>
          </w:rPr>
          <w:t>7</w:t>
        </w:r>
      </w:hyperlink>
      <w:r>
        <w:rPr>
          <w:rFonts w:ascii="Times New Roman" w:eastAsia="Times New Roman"/>
          <w:color w:val="0000FF"/>
          <w:spacing w:val="39"/>
        </w:rPr>
        <w:t> </w:t>
      </w:r>
      <w:r>
        <w:rPr>
          <w:spacing w:val="-1"/>
        </w:rPr>
        <w:t>所示，在这些人群中比较的</w:t>
      </w:r>
    </w:p>
    <w:p>
      <w:pPr>
        <w:pStyle w:val="BodyText"/>
        <w:spacing w:line="310" w:lineRule="exact"/>
        <w:jc w:val="both"/>
      </w:pPr>
      <w:r>
        <w:rPr/>
        <w:t>治疗组如</w:t>
      </w:r>
      <w:hyperlink w:history="true" w:anchor="_bookmark136">
        <w:r>
          <w:rPr>
            <w:color w:val="0000FF"/>
            <w:spacing w:val="-30"/>
          </w:rPr>
          <w:t>表 </w:t>
        </w:r>
        <w:r>
          <w:rPr>
            <w:rFonts w:ascii="Times New Roman" w:eastAsia="Times New Roman"/>
            <w:color w:val="0000FF"/>
          </w:rPr>
          <w:t>8</w:t>
        </w:r>
      </w:hyperlink>
      <w:r>
        <w:rPr>
          <w:rFonts w:ascii="Times New Roman" w:eastAsia="Times New Roman"/>
          <w:color w:val="0000FF"/>
          <w:spacing w:val="-12"/>
        </w:rPr>
        <w:t> </w:t>
      </w:r>
      <w:r>
        <w:rPr>
          <w:spacing w:val="-4"/>
        </w:rPr>
        <w:t>所示。</w:t>
      </w:r>
    </w:p>
    <w:p>
      <w:pPr>
        <w:spacing w:after="0" w:line="310" w:lineRule="exact"/>
        <w:jc w:val="both"/>
        <w:sectPr>
          <w:pgSz w:w="11910" w:h="16840"/>
          <w:pgMar w:header="590" w:footer="784" w:top="1340" w:bottom="980" w:left="1480" w:right="1080"/>
        </w:sectPr>
      </w:pPr>
    </w:p>
    <w:p>
      <w:pPr>
        <w:pStyle w:val="Heading3"/>
        <w:tabs>
          <w:tab w:pos="1923" w:val="left" w:leader="none"/>
        </w:tabs>
        <w:spacing w:before="88"/>
      </w:pPr>
      <w:bookmarkStart w:name="_bookmark133" w:id="260"/>
      <w:bookmarkEnd w:id="260"/>
      <w:r>
        <w:rPr>
          <w:b w:val="0"/>
        </w:rPr>
      </w:r>
      <w:r>
        <w:rPr>
          <w:spacing w:val="-4"/>
        </w:rPr>
        <w:t>表</w:t>
      </w:r>
      <w:r>
        <w:rPr>
          <w:spacing w:val="-59"/>
        </w:rPr>
        <w:t> </w:t>
      </w:r>
      <w:r>
        <w:rPr>
          <w:rFonts w:ascii="Times New Roman" w:eastAsia="Times New Roman"/>
          <w:spacing w:val="-10"/>
        </w:rPr>
        <w:t>7</w:t>
      </w:r>
      <w:r>
        <w:rPr>
          <w:rFonts w:ascii="Times New Roman" w:eastAsia="Times New Roman"/>
        </w:rPr>
        <w:tab/>
      </w:r>
      <w:r>
        <w:rPr>
          <w:spacing w:val="-2"/>
        </w:rPr>
        <w:t>分析人</w:t>
      </w:r>
      <w:r>
        <w:rPr>
          <w:spacing w:val="-10"/>
        </w:rPr>
        <w:t>群</w:t>
      </w:r>
    </w:p>
    <w:p>
      <w:pPr>
        <w:pStyle w:val="BodyText"/>
        <w:spacing w:before="3"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9"/>
        <w:gridCol w:w="7198"/>
      </w:tblGrid>
      <w:tr>
        <w:trPr>
          <w:trHeight w:val="624" w:hRule="atLeast"/>
        </w:trPr>
        <w:tc>
          <w:tcPr>
            <w:tcW w:w="1559" w:type="dxa"/>
          </w:tcPr>
          <w:p>
            <w:pPr>
              <w:pStyle w:val="TableParagraph"/>
              <w:spacing w:before="38"/>
              <w:ind w:left="107" w:right="805"/>
              <w:rPr>
                <w:b/>
                <w:sz w:val="21"/>
              </w:rPr>
            </w:pPr>
            <w:r>
              <w:rPr>
                <w:b/>
                <w:spacing w:val="-4"/>
                <w:sz w:val="21"/>
              </w:rPr>
              <w:t>人群</w:t>
            </w:r>
            <w:r>
              <w:rPr>
                <w:rFonts w:ascii="Times New Roman" w:eastAsia="Times New Roman"/>
                <w:b/>
                <w:spacing w:val="-4"/>
                <w:sz w:val="21"/>
              </w:rPr>
              <w:t>/</w:t>
            </w:r>
            <w:r>
              <w:rPr>
                <w:b/>
                <w:spacing w:val="-4"/>
                <w:sz w:val="21"/>
              </w:rPr>
              <w:t>分析集</w:t>
            </w:r>
          </w:p>
        </w:tc>
        <w:tc>
          <w:tcPr>
            <w:tcW w:w="7198" w:type="dxa"/>
          </w:tcPr>
          <w:p>
            <w:pPr>
              <w:pStyle w:val="TableParagraph"/>
              <w:spacing w:before="38"/>
              <w:rPr>
                <w:b/>
                <w:sz w:val="21"/>
              </w:rPr>
            </w:pPr>
          </w:p>
          <w:p>
            <w:pPr>
              <w:pStyle w:val="TableParagraph"/>
              <w:ind w:left="108"/>
              <w:rPr>
                <w:b/>
                <w:sz w:val="21"/>
              </w:rPr>
            </w:pPr>
            <w:r>
              <w:rPr>
                <w:b/>
                <w:spacing w:val="-6"/>
                <w:sz w:val="21"/>
              </w:rPr>
              <w:t>描述</w:t>
            </w:r>
          </w:p>
        </w:tc>
      </w:tr>
      <w:tr>
        <w:trPr>
          <w:trHeight w:val="1959" w:hRule="atLeast"/>
        </w:trPr>
        <w:tc>
          <w:tcPr>
            <w:tcW w:w="1559" w:type="dxa"/>
          </w:tcPr>
          <w:p>
            <w:pPr>
              <w:pStyle w:val="TableParagraph"/>
              <w:rPr>
                <w:b/>
                <w:sz w:val="21"/>
              </w:rPr>
            </w:pPr>
          </w:p>
          <w:p>
            <w:pPr>
              <w:pStyle w:val="TableParagraph"/>
              <w:spacing w:before="99"/>
              <w:rPr>
                <w:b/>
                <w:sz w:val="21"/>
              </w:rPr>
            </w:pPr>
          </w:p>
          <w:p>
            <w:pPr>
              <w:pStyle w:val="TableParagraph"/>
              <w:ind w:left="107"/>
              <w:rPr>
                <w:sz w:val="21"/>
              </w:rPr>
            </w:pPr>
            <w:r>
              <w:rPr>
                <w:spacing w:val="-3"/>
                <w:sz w:val="21"/>
              </w:rPr>
              <w:t>全分析集</w:t>
            </w:r>
          </w:p>
          <w:p>
            <w:pPr>
              <w:pStyle w:val="TableParagraph"/>
              <w:spacing w:before="80"/>
              <w:ind w:left="3"/>
              <w:rPr>
                <w:sz w:val="21"/>
              </w:rPr>
            </w:pPr>
            <w:r>
              <w:rPr>
                <w:spacing w:val="-2"/>
                <w:sz w:val="21"/>
              </w:rPr>
              <w:t>（</w:t>
            </w:r>
            <w:r>
              <w:rPr>
                <w:rFonts w:ascii="Times New Roman" w:eastAsia="Times New Roman"/>
                <w:spacing w:val="-2"/>
                <w:sz w:val="21"/>
              </w:rPr>
              <w:t>FAS</w:t>
            </w:r>
            <w:r>
              <w:rPr>
                <w:spacing w:val="-2"/>
                <w:sz w:val="21"/>
              </w:rPr>
              <w:t>）</w:t>
            </w:r>
          </w:p>
        </w:tc>
        <w:tc>
          <w:tcPr>
            <w:tcW w:w="7198" w:type="dxa"/>
          </w:tcPr>
          <w:p>
            <w:pPr>
              <w:pStyle w:val="TableParagraph"/>
              <w:spacing w:line="276" w:lineRule="auto" w:before="38"/>
              <w:ind w:left="108" w:right="97"/>
              <w:jc w:val="both"/>
              <w:rPr>
                <w:sz w:val="21"/>
              </w:rPr>
            </w:pPr>
            <w:r>
              <w:rPr>
                <w:spacing w:val="-14"/>
                <w:sz w:val="21"/>
              </w:rPr>
              <w:t>在 </w:t>
            </w:r>
            <w:r>
              <w:rPr>
                <w:rFonts w:ascii="Times New Roman" w:eastAsia="Times New Roman"/>
                <w:spacing w:val="-2"/>
                <w:sz w:val="21"/>
              </w:rPr>
              <w:t>OBERON</w:t>
            </w:r>
            <w:r>
              <w:rPr>
                <w:rFonts w:ascii="Times New Roman" w:eastAsia="Times New Roman"/>
                <w:spacing w:val="-11"/>
                <w:sz w:val="21"/>
              </w:rPr>
              <w:t> </w:t>
            </w:r>
            <w:r>
              <w:rPr>
                <w:spacing w:val="-13"/>
                <w:sz w:val="21"/>
              </w:rPr>
              <w:t>或 </w:t>
            </w:r>
            <w:r>
              <w:rPr>
                <w:rFonts w:ascii="Times New Roman" w:eastAsia="Times New Roman"/>
                <w:spacing w:val="-2"/>
                <w:sz w:val="21"/>
              </w:rPr>
              <w:t>TITANIA</w:t>
            </w:r>
            <w:r>
              <w:rPr>
                <w:rFonts w:ascii="Times New Roman" w:eastAsia="Times New Roman"/>
                <w:spacing w:val="-11"/>
                <w:sz w:val="21"/>
              </w:rPr>
              <w:t> </w:t>
            </w:r>
            <w:r>
              <w:rPr>
                <w:spacing w:val="-2"/>
                <w:sz w:val="21"/>
              </w:rPr>
              <w:t>研究中接受随机化并接受至少一次</w:t>
            </w:r>
            <w:r>
              <w:rPr>
                <w:rFonts w:ascii="Times New Roman" w:eastAsia="Times New Roman"/>
                <w:spacing w:val="-2"/>
                <w:sz w:val="21"/>
              </w:rPr>
              <w:t>IP</w:t>
            </w:r>
            <w:r>
              <w:rPr>
                <w:rFonts w:ascii="Times New Roman" w:eastAsia="Times New Roman"/>
                <w:spacing w:val="-10"/>
                <w:sz w:val="21"/>
              </w:rPr>
              <w:t> </w:t>
            </w:r>
            <w:r>
              <w:rPr>
                <w:spacing w:val="-2"/>
                <w:sz w:val="21"/>
              </w:rPr>
              <w:t>给药的所有受试者，无论是否继续参与 </w:t>
            </w:r>
            <w:r>
              <w:rPr>
                <w:rFonts w:ascii="Times New Roman" w:eastAsia="Times New Roman"/>
                <w:sz w:val="21"/>
              </w:rPr>
              <w:t>PROSPERO </w:t>
            </w:r>
            <w:r>
              <w:rPr>
                <w:spacing w:val="-4"/>
                <w:sz w:val="21"/>
              </w:rPr>
              <w:t>研究。根据 </w:t>
            </w:r>
            <w:r>
              <w:rPr>
                <w:rFonts w:ascii="Times New Roman" w:eastAsia="Times New Roman"/>
                <w:sz w:val="21"/>
              </w:rPr>
              <w:t>ITT </w:t>
            </w:r>
            <w:r>
              <w:rPr>
                <w:sz w:val="21"/>
              </w:rPr>
              <w:t>原则，按照随机分配</w:t>
            </w:r>
            <w:r>
              <w:rPr>
                <w:spacing w:val="-2"/>
                <w:sz w:val="21"/>
              </w:rPr>
              <w:t>的治疗组分析受试者，无论受试者是否提前终止研究。撤回参加研究的知情</w:t>
            </w:r>
            <w:r>
              <w:rPr>
                <w:spacing w:val="-6"/>
                <w:sz w:val="21"/>
              </w:rPr>
              <w:t>同意、未进入 </w:t>
            </w:r>
            <w:r>
              <w:rPr>
                <w:rFonts w:ascii="Times New Roman" w:eastAsia="Times New Roman"/>
                <w:spacing w:val="-2"/>
                <w:sz w:val="21"/>
              </w:rPr>
              <w:t>PROSPERO</w:t>
            </w:r>
            <w:r>
              <w:rPr>
                <w:rFonts w:ascii="Times New Roman" w:eastAsia="Times New Roman"/>
                <w:sz w:val="21"/>
              </w:rPr>
              <w:t> </w:t>
            </w:r>
            <w:r>
              <w:rPr>
                <w:spacing w:val="-7"/>
                <w:sz w:val="21"/>
              </w:rPr>
              <w:t>研究或在 </w:t>
            </w:r>
            <w:r>
              <w:rPr>
                <w:rFonts w:ascii="Times New Roman" w:eastAsia="Times New Roman"/>
                <w:spacing w:val="-2"/>
                <w:sz w:val="21"/>
              </w:rPr>
              <w:t>PROSPERO</w:t>
            </w:r>
            <w:r>
              <w:rPr>
                <w:rFonts w:ascii="Times New Roman" w:eastAsia="Times New Roman"/>
                <w:spacing w:val="8"/>
                <w:sz w:val="21"/>
              </w:rPr>
              <w:t> </w:t>
            </w:r>
            <w:r>
              <w:rPr>
                <w:spacing w:val="-2"/>
                <w:sz w:val="21"/>
              </w:rPr>
              <w:t>研究中从安慰剂组重新随机</w:t>
            </w:r>
            <w:r>
              <w:rPr>
                <w:spacing w:val="1"/>
                <w:sz w:val="21"/>
              </w:rPr>
              <w:t>分配至</w:t>
            </w:r>
            <w:r>
              <w:rPr>
                <w:rFonts w:ascii="Times New Roman" w:eastAsia="Times New Roman"/>
                <w:sz w:val="21"/>
              </w:rPr>
              <w:t>tozorakimab</w:t>
            </w:r>
            <w:r>
              <w:rPr>
                <w:rFonts w:ascii="Times New Roman" w:eastAsia="Times New Roman"/>
                <w:spacing w:val="-14"/>
                <w:sz w:val="21"/>
              </w:rPr>
              <w:t> </w:t>
            </w:r>
            <w:r>
              <w:rPr>
                <w:sz w:val="21"/>
              </w:rPr>
              <w:t>治疗组的受试者将纳入该分析集，直至研究终止或重新随</w:t>
            </w:r>
            <w:r>
              <w:rPr>
                <w:spacing w:val="-2"/>
                <w:sz w:val="21"/>
              </w:rPr>
              <w:t>机化日期。</w:t>
            </w:r>
          </w:p>
        </w:tc>
      </w:tr>
      <w:tr>
        <w:trPr>
          <w:trHeight w:val="1332" w:hRule="atLeast"/>
        </w:trPr>
        <w:tc>
          <w:tcPr>
            <w:tcW w:w="1559" w:type="dxa"/>
          </w:tcPr>
          <w:p>
            <w:pPr>
              <w:pStyle w:val="TableParagraph"/>
              <w:spacing w:before="78"/>
              <w:rPr>
                <w:b/>
                <w:sz w:val="21"/>
              </w:rPr>
            </w:pPr>
          </w:p>
          <w:p>
            <w:pPr>
              <w:pStyle w:val="TableParagraph"/>
              <w:ind w:left="107"/>
              <w:rPr>
                <w:sz w:val="21"/>
              </w:rPr>
            </w:pPr>
            <w:r>
              <w:rPr>
                <w:spacing w:val="-2"/>
                <w:sz w:val="21"/>
              </w:rPr>
              <w:t>安全性分析集</w:t>
            </w:r>
          </w:p>
          <w:p>
            <w:pPr>
              <w:pStyle w:val="TableParagraph"/>
              <w:spacing w:before="40"/>
              <w:ind w:left="3"/>
              <w:rPr>
                <w:sz w:val="21"/>
              </w:rPr>
            </w:pPr>
            <w:r>
              <w:rPr>
                <w:spacing w:val="-2"/>
                <w:sz w:val="21"/>
              </w:rPr>
              <w:t>（</w:t>
            </w:r>
            <w:r>
              <w:rPr>
                <w:rFonts w:ascii="Times New Roman" w:eastAsia="Times New Roman"/>
                <w:spacing w:val="-2"/>
                <w:sz w:val="21"/>
              </w:rPr>
              <w:t>SAF</w:t>
            </w:r>
            <w:r>
              <w:rPr>
                <w:spacing w:val="-2"/>
                <w:sz w:val="21"/>
              </w:rPr>
              <w:t>）</w:t>
            </w:r>
          </w:p>
        </w:tc>
        <w:tc>
          <w:tcPr>
            <w:tcW w:w="7198" w:type="dxa"/>
          </w:tcPr>
          <w:p>
            <w:pPr>
              <w:pStyle w:val="TableParagraph"/>
              <w:spacing w:line="276" w:lineRule="auto" w:before="38"/>
              <w:ind w:left="108" w:right="95"/>
              <w:jc w:val="both"/>
              <w:rPr>
                <w:sz w:val="21"/>
              </w:rPr>
            </w:pPr>
            <w:r>
              <w:rPr>
                <w:spacing w:val="-14"/>
                <w:sz w:val="21"/>
              </w:rPr>
              <w:t>在 </w:t>
            </w:r>
            <w:r>
              <w:rPr>
                <w:rFonts w:ascii="Times New Roman" w:eastAsia="Times New Roman"/>
                <w:spacing w:val="-4"/>
                <w:sz w:val="21"/>
              </w:rPr>
              <w:t>OBERON</w:t>
            </w:r>
            <w:r>
              <w:rPr>
                <w:rFonts w:ascii="Times New Roman" w:eastAsia="Times New Roman"/>
                <w:spacing w:val="-9"/>
                <w:sz w:val="21"/>
              </w:rPr>
              <w:t> </w:t>
            </w:r>
            <w:r>
              <w:rPr>
                <w:spacing w:val="-13"/>
                <w:sz w:val="21"/>
              </w:rPr>
              <w:t>或 </w:t>
            </w:r>
            <w:r>
              <w:rPr>
                <w:rFonts w:ascii="Times New Roman" w:eastAsia="Times New Roman"/>
                <w:spacing w:val="-4"/>
                <w:sz w:val="21"/>
              </w:rPr>
              <w:t>TITANIA</w:t>
            </w:r>
            <w:r>
              <w:rPr>
                <w:rFonts w:ascii="Times New Roman" w:eastAsia="Times New Roman"/>
                <w:spacing w:val="-9"/>
                <w:sz w:val="21"/>
              </w:rPr>
              <w:t> </w:t>
            </w:r>
            <w:r>
              <w:rPr>
                <w:spacing w:val="-6"/>
                <w:sz w:val="21"/>
              </w:rPr>
              <w:t>研究中接受至少一次 </w:t>
            </w:r>
            <w:r>
              <w:rPr>
                <w:rFonts w:ascii="Times New Roman" w:eastAsia="Times New Roman"/>
                <w:spacing w:val="-4"/>
                <w:sz w:val="21"/>
              </w:rPr>
              <w:t>IP</w:t>
            </w:r>
            <w:r>
              <w:rPr>
                <w:rFonts w:ascii="Times New Roman" w:eastAsia="Times New Roman"/>
                <w:spacing w:val="-10"/>
                <w:sz w:val="21"/>
              </w:rPr>
              <w:t> </w:t>
            </w:r>
            <w:r>
              <w:rPr>
                <w:spacing w:val="-4"/>
                <w:sz w:val="21"/>
              </w:rPr>
              <w:t>给药的所有受试者，无论是</w:t>
            </w:r>
            <w:r>
              <w:rPr>
                <w:sz w:val="21"/>
              </w:rPr>
              <w:t>否继续参与 </w:t>
            </w:r>
            <w:r>
              <w:rPr>
                <w:rFonts w:ascii="Times New Roman" w:eastAsia="Times New Roman"/>
                <w:sz w:val="21"/>
              </w:rPr>
              <w:t>PROSPERO</w:t>
            </w:r>
            <w:r>
              <w:rPr>
                <w:rFonts w:ascii="Times New Roman" w:eastAsia="Times New Roman"/>
                <w:spacing w:val="40"/>
                <w:sz w:val="21"/>
              </w:rPr>
              <w:t> </w:t>
            </w:r>
            <w:r>
              <w:rPr>
                <w:sz w:val="21"/>
              </w:rPr>
              <w:t>研究。对于接受错误治疗的受试者（例如，随机分</w:t>
            </w:r>
            <w:r>
              <w:rPr>
                <w:spacing w:val="11"/>
                <w:sz w:val="21"/>
              </w:rPr>
              <w:t>配至治疗</w:t>
            </w:r>
            <w:r>
              <w:rPr>
                <w:rFonts w:ascii="Times New Roman" w:eastAsia="Times New Roman"/>
                <w:sz w:val="21"/>
              </w:rPr>
              <w:t>A</w:t>
            </w:r>
            <w:r>
              <w:rPr>
                <w:rFonts w:ascii="Times New Roman" w:eastAsia="Times New Roman"/>
                <w:spacing w:val="-14"/>
                <w:sz w:val="21"/>
              </w:rPr>
              <w:t> </w:t>
            </w:r>
            <w:r>
              <w:rPr>
                <w:spacing w:val="6"/>
                <w:sz w:val="21"/>
              </w:rPr>
              <w:t>但实际接受治疗</w:t>
            </w:r>
            <w:r>
              <w:rPr>
                <w:rFonts w:ascii="Times New Roman" w:eastAsia="Times New Roman"/>
                <w:sz w:val="21"/>
              </w:rPr>
              <w:t>B</w:t>
            </w:r>
            <w:r>
              <w:rPr>
                <w:rFonts w:ascii="Times New Roman" w:eastAsia="Times New Roman"/>
                <w:spacing w:val="-13"/>
                <w:sz w:val="21"/>
              </w:rPr>
              <w:t> </w:t>
            </w:r>
            <w:r>
              <w:rPr>
                <w:sz w:val="21"/>
              </w:rPr>
              <w:t>的受试者），按照实际接受的治疗组分析受试</w:t>
            </w:r>
            <w:r>
              <w:rPr>
                <w:spacing w:val="-1"/>
                <w:sz w:val="21"/>
              </w:rPr>
              <w:t>者。接受过一次或若干次活性 </w:t>
            </w:r>
            <w:r>
              <w:rPr>
                <w:rFonts w:ascii="Times New Roman" w:eastAsia="Times New Roman"/>
                <w:sz w:val="21"/>
              </w:rPr>
              <w:t>IP </w:t>
            </w:r>
            <w:r>
              <w:rPr>
                <w:spacing w:val="-1"/>
                <w:sz w:val="21"/>
              </w:rPr>
              <w:t>治疗的受试者将分类至活性 </w:t>
            </w:r>
            <w:r>
              <w:rPr>
                <w:rFonts w:ascii="Times New Roman" w:eastAsia="Times New Roman"/>
                <w:sz w:val="21"/>
              </w:rPr>
              <w:t>IP </w:t>
            </w:r>
            <w:r>
              <w:rPr>
                <w:sz w:val="21"/>
              </w:rPr>
              <w:t>组。</w:t>
            </w:r>
          </w:p>
        </w:tc>
      </w:tr>
      <w:tr>
        <w:trPr>
          <w:trHeight w:val="707" w:hRule="atLeast"/>
        </w:trPr>
        <w:tc>
          <w:tcPr>
            <w:tcW w:w="1559" w:type="dxa"/>
          </w:tcPr>
          <w:p>
            <w:pPr>
              <w:pStyle w:val="TableParagraph"/>
              <w:spacing w:before="195"/>
              <w:ind w:left="107"/>
              <w:rPr>
                <w:sz w:val="21"/>
              </w:rPr>
            </w:pPr>
            <w:r>
              <w:rPr>
                <w:rFonts w:ascii="Times New Roman" w:eastAsia="Times New Roman"/>
                <w:sz w:val="21"/>
              </w:rPr>
              <w:t>PK</w:t>
            </w:r>
            <w:r>
              <w:rPr>
                <w:rFonts w:ascii="Times New Roman" w:eastAsia="Times New Roman"/>
                <w:spacing w:val="-12"/>
                <w:sz w:val="21"/>
              </w:rPr>
              <w:t> </w:t>
            </w:r>
            <w:r>
              <w:rPr>
                <w:spacing w:val="-4"/>
                <w:sz w:val="21"/>
              </w:rPr>
              <w:t>分析集</w:t>
            </w:r>
          </w:p>
        </w:tc>
        <w:tc>
          <w:tcPr>
            <w:tcW w:w="7198" w:type="dxa"/>
          </w:tcPr>
          <w:p>
            <w:pPr>
              <w:pStyle w:val="TableParagraph"/>
              <w:spacing w:line="276" w:lineRule="auto" w:before="38"/>
              <w:ind w:left="108" w:right="169"/>
              <w:rPr>
                <w:sz w:val="21"/>
              </w:rPr>
            </w:pPr>
            <w:r>
              <w:rPr>
                <w:spacing w:val="-8"/>
                <w:sz w:val="21"/>
              </w:rPr>
              <w:t>接受至少一次 </w:t>
            </w:r>
            <w:r>
              <w:rPr>
                <w:rFonts w:ascii="Times New Roman" w:eastAsia="Times New Roman"/>
                <w:spacing w:val="-2"/>
                <w:sz w:val="21"/>
              </w:rPr>
              <w:t>tozorakimab </w:t>
            </w:r>
            <w:r>
              <w:rPr>
                <w:spacing w:val="-8"/>
                <w:sz w:val="21"/>
              </w:rPr>
              <w:t>给药且在首次 </w:t>
            </w:r>
            <w:r>
              <w:rPr>
                <w:rFonts w:ascii="Times New Roman" w:eastAsia="Times New Roman"/>
                <w:spacing w:val="-2"/>
                <w:sz w:val="21"/>
              </w:rPr>
              <w:t>tozorakimab </w:t>
            </w:r>
            <w:r>
              <w:rPr>
                <w:spacing w:val="-2"/>
                <w:sz w:val="21"/>
              </w:rPr>
              <w:t>给药后至少有一个可检测的血清浓度测量值的受试者。</w:t>
            </w:r>
          </w:p>
        </w:tc>
      </w:tr>
    </w:tbl>
    <w:p>
      <w:pPr>
        <w:spacing w:before="40"/>
        <w:ind w:left="221" w:right="0" w:firstLine="0"/>
        <w:jc w:val="left"/>
        <w:rPr>
          <w:sz w:val="21"/>
        </w:rPr>
      </w:pPr>
      <w:r>
        <w:rPr>
          <w:rFonts w:ascii="Times New Roman" w:eastAsia="Times New Roman"/>
          <w:spacing w:val="-2"/>
          <w:sz w:val="21"/>
        </w:rPr>
        <w:t>IP</w:t>
      </w:r>
      <w:r>
        <w:rPr>
          <w:spacing w:val="-2"/>
          <w:sz w:val="21"/>
        </w:rPr>
        <w:t>，研究药物；</w:t>
      </w:r>
      <w:r>
        <w:rPr>
          <w:rFonts w:ascii="Times New Roman" w:eastAsia="Times New Roman"/>
          <w:spacing w:val="-2"/>
          <w:sz w:val="21"/>
        </w:rPr>
        <w:t>ITT</w:t>
      </w:r>
      <w:r>
        <w:rPr>
          <w:spacing w:val="-2"/>
          <w:sz w:val="21"/>
        </w:rPr>
        <w:t>，意向治疗；</w:t>
      </w:r>
      <w:r>
        <w:rPr>
          <w:rFonts w:ascii="Times New Roman" w:eastAsia="Times New Roman"/>
          <w:spacing w:val="-2"/>
          <w:sz w:val="21"/>
        </w:rPr>
        <w:t>PK</w:t>
      </w:r>
      <w:r>
        <w:rPr>
          <w:spacing w:val="-4"/>
          <w:sz w:val="21"/>
        </w:rPr>
        <w:t>，药代动力学。</w:t>
      </w:r>
    </w:p>
    <w:p>
      <w:pPr>
        <w:pStyle w:val="BodyText"/>
        <w:spacing w:before="63"/>
        <w:ind w:left="0"/>
        <w:rPr>
          <w:sz w:val="21"/>
        </w:rPr>
      </w:pPr>
    </w:p>
    <w:p>
      <w:pPr>
        <w:pStyle w:val="BodyText"/>
        <w:spacing w:line="276" w:lineRule="auto"/>
        <w:ind w:right="353" w:firstLine="480"/>
        <w:jc w:val="both"/>
      </w:pPr>
      <w:r>
        <w:rPr>
          <w:spacing w:val="-2"/>
        </w:rPr>
        <w:t>除上述定义的人群外，还将定义每个人群的子集（</w:t>
      </w:r>
      <w:r>
        <w:rPr>
          <w:rFonts w:ascii="Times New Roman" w:eastAsia="Times New Roman"/>
          <w:spacing w:val="-2"/>
        </w:rPr>
        <w:t>SAF-LTE</w:t>
      </w:r>
      <w:r>
        <w:rPr>
          <w:rFonts w:ascii="Times New Roman" w:eastAsia="Times New Roman"/>
          <w:spacing w:val="18"/>
        </w:rPr>
        <w:t> </w:t>
      </w:r>
      <w:r>
        <w:rPr>
          <w:spacing w:val="-13"/>
        </w:rPr>
        <w:t>或 </w:t>
      </w:r>
      <w:r>
        <w:rPr>
          <w:rFonts w:ascii="Times New Roman" w:eastAsia="Times New Roman"/>
          <w:spacing w:val="-2"/>
        </w:rPr>
        <w:t>FAS-LTE</w:t>
      </w:r>
      <w:r>
        <w:rPr>
          <w:spacing w:val="-2"/>
        </w:rPr>
        <w:t>），其</w:t>
      </w:r>
      <w:r>
        <w:rPr>
          <w:spacing w:val="-5"/>
        </w:rPr>
        <w:t>中仅包括参与 </w:t>
      </w:r>
      <w:r>
        <w:rPr>
          <w:rFonts w:ascii="Times New Roman" w:eastAsia="Times New Roman"/>
        </w:rPr>
        <w:t>PROSPERO</w:t>
      </w:r>
      <w:r>
        <w:rPr>
          <w:rFonts w:ascii="Times New Roman" w:eastAsia="Times New Roman"/>
          <w:spacing w:val="-10"/>
        </w:rPr>
        <w:t> </w:t>
      </w:r>
      <w:r>
        <w:rPr>
          <w:rFonts w:ascii="Times New Roman" w:eastAsia="Times New Roman"/>
        </w:rPr>
        <w:t>LTE </w:t>
      </w:r>
      <w:r>
        <w:rPr>
          <w:spacing w:val="-4"/>
        </w:rPr>
        <w:t>研究并接受至少 </w:t>
      </w:r>
      <w:r>
        <w:rPr>
          <w:rFonts w:ascii="Times New Roman" w:eastAsia="Times New Roman"/>
        </w:rPr>
        <w:t>1 </w:t>
      </w:r>
      <w:r>
        <w:rPr>
          <w:spacing w:val="-15"/>
        </w:rPr>
        <w:t>次 </w:t>
      </w:r>
      <w:r>
        <w:rPr>
          <w:rFonts w:ascii="Times New Roman" w:eastAsia="Times New Roman"/>
        </w:rPr>
        <w:t>IP </w:t>
      </w:r>
      <w:r>
        <w:rPr/>
        <w:t>给药的受试者。由于这些子</w:t>
      </w:r>
      <w:r>
        <w:rPr>
          <w:spacing w:val="-2"/>
        </w:rPr>
        <w:t>集基于前身研究的完成者，因此可能会受到选择偏倚的影响，即不太严重的受试者</w:t>
      </w:r>
      <w:r>
        <w:rPr>
          <w:spacing w:val="-3"/>
        </w:rPr>
        <w:t>更有可能完成前身研究并参与 </w:t>
      </w:r>
      <w:r>
        <w:rPr>
          <w:rFonts w:ascii="Times New Roman" w:eastAsia="Times New Roman"/>
        </w:rPr>
        <w:t>LTE</w:t>
      </w:r>
      <w:r>
        <w:rPr>
          <w:rFonts w:ascii="Times New Roman" w:eastAsia="Times New Roman"/>
          <w:spacing w:val="-14"/>
        </w:rPr>
        <w:t> </w:t>
      </w:r>
      <w:r>
        <w:rPr/>
        <w:t>研究。这些人群将仅用于支持性分析，以在相似</w:t>
      </w:r>
      <w:r>
        <w:rPr>
          <w:spacing w:val="-4"/>
        </w:rPr>
        <w:t>的受试者集中比较前身研究中的第一年数据与 </w:t>
      </w:r>
      <w:r>
        <w:rPr>
          <w:rFonts w:ascii="Times New Roman" w:eastAsia="Times New Roman"/>
          <w:spacing w:val="-2"/>
        </w:rPr>
        <w:t>PROSPERO</w:t>
      </w:r>
      <w:r>
        <w:rPr>
          <w:rFonts w:ascii="Times New Roman" w:eastAsia="Times New Roman"/>
          <w:spacing w:val="7"/>
        </w:rPr>
        <w:t> </w:t>
      </w:r>
      <w:r>
        <w:rPr>
          <w:spacing w:val="-2"/>
        </w:rPr>
        <w:t>研究中的第二年数据。在</w:t>
      </w:r>
      <w:r>
        <w:rPr>
          <w:spacing w:val="-3"/>
        </w:rPr>
        <w:t>解读数据时，将同时考虑终止 </w:t>
      </w:r>
      <w:r>
        <w:rPr>
          <w:rFonts w:ascii="Times New Roman" w:eastAsia="Times New Roman"/>
        </w:rPr>
        <w:t>IP</w:t>
      </w:r>
      <w:r>
        <w:rPr>
          <w:rFonts w:ascii="Times New Roman" w:eastAsia="Times New Roman"/>
          <w:spacing w:val="-15"/>
        </w:rPr>
        <w:t> </w:t>
      </w:r>
      <w:r>
        <w:rPr/>
        <w:t>治疗的受试者数量和终止治疗的模式。将按指定的</w:t>
      </w:r>
      <w:r>
        <w:rPr>
          <w:spacing w:val="-2"/>
        </w:rPr>
        <w:t>随访阶段进行报告，包括研究随访期或在治期（根据对给定受试者计划的治疗时间</w:t>
      </w:r>
      <w:r>
        <w:rPr>
          <w:spacing w:val="-15"/>
        </w:rPr>
        <w:t>为 </w:t>
      </w:r>
      <w:r>
        <w:rPr>
          <w:rFonts w:ascii="Times New Roman" w:eastAsia="Times New Roman"/>
        </w:rPr>
        <w:t>28</w:t>
      </w:r>
      <w:r>
        <w:rPr>
          <w:rFonts w:ascii="Times New Roman" w:eastAsia="Times New Roman"/>
          <w:spacing w:val="-15"/>
        </w:rPr>
        <w:t> </w:t>
      </w:r>
      <w:r>
        <w:rPr>
          <w:spacing w:val="-10"/>
        </w:rPr>
        <w:t>周或 </w:t>
      </w:r>
      <w:r>
        <w:rPr>
          <w:rFonts w:ascii="Times New Roman" w:eastAsia="Times New Roman"/>
        </w:rPr>
        <w:t>52</w:t>
      </w:r>
      <w:r>
        <w:rPr>
          <w:rFonts w:ascii="Times New Roman" w:eastAsia="Times New Roman"/>
          <w:spacing w:val="-10"/>
        </w:rPr>
        <w:t> </w:t>
      </w:r>
      <w:r>
        <w:rPr>
          <w:spacing w:val="-2"/>
        </w:rPr>
        <w:t>周，以及纳入随访期的洗脱阶段，直至 </w:t>
      </w:r>
      <w:r>
        <w:rPr>
          <w:rFonts w:ascii="Times New Roman" w:eastAsia="Times New Roman"/>
        </w:rPr>
        <w:t>E/D</w:t>
      </w:r>
      <w:r>
        <w:rPr>
          <w:rFonts w:ascii="Times New Roman" w:eastAsia="Times New Roman"/>
          <w:spacing w:val="4"/>
        </w:rPr>
        <w:t> </w:t>
      </w:r>
      <w:r>
        <w:rPr/>
        <w:t>访视）。这些阶段的详细</w:t>
      </w:r>
      <w:r>
        <w:rPr>
          <w:spacing w:val="-8"/>
        </w:rPr>
        <w:t>定义请见 </w:t>
      </w:r>
      <w:r>
        <w:rPr>
          <w:rFonts w:ascii="Times New Roman" w:eastAsia="Times New Roman"/>
          <w:spacing w:val="-2"/>
        </w:rPr>
        <w:t>SAP</w:t>
      </w:r>
      <w:r>
        <w:rPr>
          <w:spacing w:val="-9"/>
        </w:rPr>
        <w:t>。如第 </w:t>
      </w:r>
      <w:hyperlink w:history="true" w:anchor="_bookmark75">
        <w:r>
          <w:rPr>
            <w:rFonts w:ascii="Times New Roman" w:eastAsia="Times New Roman"/>
            <w:color w:val="0000FF"/>
            <w:spacing w:val="-2"/>
          </w:rPr>
          <w:t>7.1.1</w:t>
        </w:r>
      </w:hyperlink>
      <w:r>
        <w:rPr>
          <w:rFonts w:ascii="Times New Roman" w:eastAsia="Times New Roman"/>
          <w:color w:val="0000FF"/>
          <w:spacing w:val="-13"/>
        </w:rPr>
        <w:t> </w:t>
      </w:r>
      <w:r>
        <w:rPr>
          <w:spacing w:val="-2"/>
        </w:rPr>
        <w:t>节所述，将使用整个研究随访期分析治疗终止后通过电话联系收集的重度急性加重、住院和死亡数据。</w:t>
      </w:r>
    </w:p>
    <w:p>
      <w:pPr>
        <w:pStyle w:val="Heading2"/>
        <w:numPr>
          <w:ilvl w:val="2"/>
          <w:numId w:val="3"/>
        </w:numPr>
        <w:tabs>
          <w:tab w:pos="1373" w:val="left" w:leader="none"/>
        </w:tabs>
        <w:spacing w:line="240" w:lineRule="auto" w:before="231" w:after="0"/>
        <w:ind w:left="1373" w:right="0" w:hanging="1152"/>
        <w:jc w:val="left"/>
      </w:pPr>
      <w:bookmarkStart w:name="9.3.1 用于分析的治疗组" w:id="261"/>
      <w:bookmarkEnd w:id="261"/>
      <w:r>
        <w:rPr>
          <w:b w:val="0"/>
        </w:rPr>
      </w:r>
      <w:bookmarkStart w:name="_bookmark134" w:id="262"/>
      <w:bookmarkEnd w:id="262"/>
      <w:r>
        <w:rPr>
          <w:b w:val="0"/>
        </w:rPr>
      </w:r>
      <w:r>
        <w:rPr>
          <w:spacing w:val="-5"/>
        </w:rPr>
        <w:t>用于分析的治疗组</w:t>
      </w:r>
    </w:p>
    <w:p>
      <w:pPr>
        <w:pStyle w:val="BodyText"/>
        <w:spacing w:line="276" w:lineRule="auto" w:before="120"/>
        <w:ind w:right="357" w:firstLine="480"/>
        <w:jc w:val="both"/>
      </w:pPr>
      <w:r>
        <w:rPr>
          <w:spacing w:val="-2"/>
        </w:rPr>
        <w:t>如</w:t>
      </w:r>
      <w:hyperlink w:history="true" w:anchor="_bookmark135">
        <w:r>
          <w:rPr>
            <w:color w:val="0000FF"/>
            <w:spacing w:val="-16"/>
          </w:rPr>
          <w:t>图 </w:t>
        </w:r>
        <w:r>
          <w:rPr>
            <w:rFonts w:ascii="Times New Roman" w:eastAsia="Times New Roman"/>
            <w:color w:val="0000FF"/>
            <w:spacing w:val="-2"/>
          </w:rPr>
          <w:t>4</w:t>
        </w:r>
      </w:hyperlink>
      <w:r>
        <w:rPr>
          <w:rFonts w:ascii="Times New Roman" w:eastAsia="Times New Roman"/>
          <w:color w:val="0000FF"/>
          <w:spacing w:val="-13"/>
        </w:rPr>
        <w:t> </w:t>
      </w:r>
      <w:r>
        <w:rPr>
          <w:spacing w:val="-5"/>
        </w:rPr>
        <w:t>所示，在前身研究和 </w:t>
      </w:r>
      <w:r>
        <w:rPr>
          <w:rFonts w:ascii="Times New Roman" w:eastAsia="Times New Roman"/>
          <w:spacing w:val="-2"/>
        </w:rPr>
        <w:t>LTE</w:t>
      </w:r>
      <w:r>
        <w:rPr>
          <w:rFonts w:ascii="Times New Roman" w:eastAsia="Times New Roman"/>
          <w:spacing w:val="-7"/>
        </w:rPr>
        <w:t> </w:t>
      </w:r>
      <w:r>
        <w:rPr>
          <w:spacing w:val="-4"/>
        </w:rPr>
        <w:t>研究中，受试者可能接受的治疗组合有 </w:t>
      </w:r>
      <w:r>
        <w:rPr>
          <w:rFonts w:ascii="Times New Roman" w:eastAsia="Times New Roman"/>
          <w:spacing w:val="-2"/>
        </w:rPr>
        <w:t>9</w:t>
      </w:r>
      <w:r>
        <w:rPr>
          <w:rFonts w:ascii="Times New Roman" w:eastAsia="Times New Roman"/>
          <w:spacing w:val="6"/>
        </w:rPr>
        <w:t> </w:t>
      </w:r>
      <w:r>
        <w:rPr>
          <w:spacing w:val="-2"/>
        </w:rPr>
        <w:t>种，</w:t>
      </w:r>
      <w:r>
        <w:rPr>
          <w:spacing w:val="-11"/>
        </w:rPr>
        <w:t>其中 </w:t>
      </w:r>
      <w:r>
        <w:rPr>
          <w:rFonts w:ascii="Times New Roman" w:eastAsia="Times New Roman"/>
        </w:rPr>
        <w:t>C</w:t>
      </w:r>
      <w:r>
        <w:rPr/>
        <w:t>、</w:t>
      </w:r>
      <w:r>
        <w:rPr>
          <w:rFonts w:ascii="Times New Roman" w:eastAsia="Times New Roman"/>
        </w:rPr>
        <w:t>H </w:t>
      </w:r>
      <w:r>
        <w:rPr>
          <w:spacing w:val="-16"/>
        </w:rPr>
        <w:t>和 </w:t>
      </w:r>
      <w:r>
        <w:rPr>
          <w:rFonts w:ascii="Times New Roman" w:eastAsia="Times New Roman"/>
        </w:rPr>
        <w:t>O </w:t>
      </w:r>
      <w:r>
        <w:rPr>
          <w:spacing w:val="-7"/>
        </w:rPr>
        <w:t>表示未在 </w:t>
      </w:r>
      <w:r>
        <w:rPr>
          <w:rFonts w:ascii="Times New Roman" w:eastAsia="Times New Roman"/>
        </w:rPr>
        <w:t>PROSPERO </w:t>
      </w:r>
      <w:r>
        <w:rPr/>
        <w:t>研究中接受给药的受试者。</w:t>
      </w:r>
    </w:p>
    <w:p>
      <w:pPr>
        <w:spacing w:after="0" w:line="276" w:lineRule="auto"/>
        <w:jc w:val="both"/>
        <w:sectPr>
          <w:pgSz w:w="11910" w:h="16840"/>
          <w:pgMar w:header="590" w:footer="784" w:top="1340" w:bottom="980" w:left="1480" w:right="1080"/>
        </w:sectPr>
      </w:pPr>
    </w:p>
    <w:p>
      <w:pPr>
        <w:pStyle w:val="Heading3"/>
        <w:tabs>
          <w:tab w:pos="1923" w:val="left" w:leader="none"/>
        </w:tabs>
        <w:spacing w:before="88"/>
      </w:pPr>
      <w:bookmarkStart w:name="_bookmark135" w:id="263"/>
      <w:bookmarkEnd w:id="263"/>
      <w:r>
        <w:rPr>
          <w:b w:val="0"/>
        </w:rPr>
      </w:r>
      <w:r>
        <w:rPr>
          <w:spacing w:val="-4"/>
        </w:rPr>
        <w:t>图</w:t>
      </w:r>
      <w:r>
        <w:rPr>
          <w:spacing w:val="-59"/>
        </w:rPr>
        <w:t> </w:t>
      </w:r>
      <w:r>
        <w:rPr>
          <w:rFonts w:ascii="Times New Roman" w:eastAsia="Times New Roman"/>
          <w:spacing w:val="-10"/>
        </w:rPr>
        <w:t>4</w:t>
      </w:r>
      <w:r>
        <w:rPr>
          <w:rFonts w:ascii="Times New Roman" w:eastAsia="Times New Roman"/>
        </w:rPr>
        <w:tab/>
      </w:r>
      <w:r>
        <w:rPr>
          <w:spacing w:val="-4"/>
        </w:rPr>
        <w:t>用于分析的治疗</w:t>
      </w:r>
      <w:r>
        <w:rPr>
          <w:spacing w:val="-10"/>
        </w:rPr>
        <w:t>组</w:t>
      </w:r>
    </w:p>
    <w:p>
      <w:pPr>
        <w:pStyle w:val="BodyText"/>
        <w:spacing w:before="6"/>
        <w:ind w:left="0"/>
        <w:rPr>
          <w:b/>
          <w:sz w:val="7"/>
        </w:rPr>
      </w:pPr>
      <w:r>
        <w:rPr/>
        <mc:AlternateContent>
          <mc:Choice Requires="wps">
            <w:drawing>
              <wp:anchor distT="0" distB="0" distL="0" distR="0" allowOverlap="1" layoutInCell="1" locked="0" behindDoc="1" simplePos="0" relativeHeight="487592960">
                <wp:simplePos x="0" y="0"/>
                <wp:positionH relativeFrom="page">
                  <wp:posOffset>1098867</wp:posOffset>
                </wp:positionH>
                <wp:positionV relativeFrom="paragraph">
                  <wp:posOffset>77031</wp:posOffset>
                </wp:positionV>
                <wp:extent cx="5528945" cy="3166110"/>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528945" cy="3166110"/>
                          <a:chExt cx="5528945" cy="3166110"/>
                        </a:xfrm>
                      </wpg:grpSpPr>
                      <pic:pic>
                        <pic:nvPicPr>
                          <pic:cNvPr id="83" name="Image 83"/>
                          <pic:cNvPicPr/>
                        </pic:nvPicPr>
                        <pic:blipFill>
                          <a:blip r:embed="rId20" cstate="print"/>
                          <a:stretch>
                            <a:fillRect/>
                          </a:stretch>
                        </pic:blipFill>
                        <pic:spPr>
                          <a:xfrm>
                            <a:off x="0" y="8503"/>
                            <a:ext cx="5528945" cy="3117072"/>
                          </a:xfrm>
                          <a:prstGeom prst="rect">
                            <a:avLst/>
                          </a:prstGeom>
                        </pic:spPr>
                      </pic:pic>
                      <wps:wsp>
                        <wps:cNvPr id="84" name="Graphic 84"/>
                        <wps:cNvSpPr/>
                        <wps:spPr>
                          <a:xfrm>
                            <a:off x="784923" y="0"/>
                            <a:ext cx="4380230" cy="3166110"/>
                          </a:xfrm>
                          <a:custGeom>
                            <a:avLst/>
                            <a:gdLst/>
                            <a:ahLst/>
                            <a:cxnLst/>
                            <a:rect l="l" t="t" r="r" b="b"/>
                            <a:pathLst>
                              <a:path w="4380230" h="3166110">
                                <a:moveTo>
                                  <a:pt x="1417828" y="0"/>
                                </a:moveTo>
                                <a:lnTo>
                                  <a:pt x="0" y="0"/>
                                </a:lnTo>
                                <a:lnTo>
                                  <a:pt x="0" y="295643"/>
                                </a:lnTo>
                                <a:lnTo>
                                  <a:pt x="1417828" y="295643"/>
                                </a:lnTo>
                                <a:lnTo>
                                  <a:pt x="1417828" y="0"/>
                                </a:lnTo>
                                <a:close/>
                              </a:path>
                              <a:path w="4380230" h="3166110">
                                <a:moveTo>
                                  <a:pt x="2648166" y="3011208"/>
                                </a:moveTo>
                                <a:lnTo>
                                  <a:pt x="1575689" y="3011208"/>
                                </a:lnTo>
                                <a:lnTo>
                                  <a:pt x="1575689" y="3166097"/>
                                </a:lnTo>
                                <a:lnTo>
                                  <a:pt x="2648166" y="3166097"/>
                                </a:lnTo>
                                <a:lnTo>
                                  <a:pt x="2648166" y="3011208"/>
                                </a:lnTo>
                                <a:close/>
                              </a:path>
                              <a:path w="4380230" h="3166110">
                                <a:moveTo>
                                  <a:pt x="4379976" y="6096"/>
                                </a:moveTo>
                                <a:lnTo>
                                  <a:pt x="2859659" y="6096"/>
                                </a:lnTo>
                                <a:lnTo>
                                  <a:pt x="2859659" y="337934"/>
                                </a:lnTo>
                                <a:lnTo>
                                  <a:pt x="4379976" y="337934"/>
                                </a:lnTo>
                                <a:lnTo>
                                  <a:pt x="4379976" y="6096"/>
                                </a:lnTo>
                                <a:close/>
                              </a:path>
                            </a:pathLst>
                          </a:custGeom>
                          <a:solidFill>
                            <a:srgbClr val="FFFFFF"/>
                          </a:solidFill>
                        </wps:spPr>
                        <wps:bodyPr wrap="square" lIns="0" tIns="0" rIns="0" bIns="0" rtlCol="0">
                          <a:prstTxWarp prst="textNoShape">
                            <a:avLst/>
                          </a:prstTxWarp>
                          <a:noAutofit/>
                        </wps:bodyPr>
                      </wps:wsp>
                      <wps:wsp>
                        <wps:cNvPr id="85" name="Textbox 85"/>
                        <wps:cNvSpPr txBox="1"/>
                        <wps:spPr>
                          <a:xfrm>
                            <a:off x="933640" y="18063"/>
                            <a:ext cx="1133475" cy="288290"/>
                          </a:xfrm>
                          <a:prstGeom prst="rect">
                            <a:avLst/>
                          </a:prstGeom>
                        </wps:spPr>
                        <wps:txbx>
                          <w:txbxContent>
                            <w:p>
                              <w:pPr>
                                <w:spacing w:line="246" w:lineRule="exact" w:before="0"/>
                                <w:ind w:left="-1" w:right="18" w:firstLine="0"/>
                                <w:jc w:val="center"/>
                                <w:rPr>
                                  <w:b/>
                                  <w:sz w:val="21"/>
                                </w:rPr>
                              </w:pPr>
                              <w:r>
                                <w:rPr>
                                  <w:rFonts w:ascii="Times New Roman" w:eastAsia="Times New Roman"/>
                                  <w:b/>
                                  <w:spacing w:val="-2"/>
                                  <w:sz w:val="21"/>
                                </w:rPr>
                                <w:t>III</w:t>
                              </w:r>
                              <w:r>
                                <w:rPr>
                                  <w:rFonts w:ascii="Times New Roman" w:eastAsia="Times New Roman"/>
                                  <w:b/>
                                  <w:spacing w:val="-1"/>
                                  <w:sz w:val="21"/>
                                </w:rPr>
                                <w:t> </w:t>
                              </w:r>
                              <w:r>
                                <w:rPr>
                                  <w:b/>
                                  <w:spacing w:val="-2"/>
                                  <w:sz w:val="21"/>
                                </w:rPr>
                                <w:t>期（前身研究</w:t>
                              </w:r>
                              <w:r>
                                <w:rPr>
                                  <w:b/>
                                  <w:spacing w:val="-10"/>
                                  <w:sz w:val="21"/>
                                </w:rPr>
                                <w:t>）</w:t>
                              </w:r>
                            </w:p>
                            <w:p>
                              <w:pPr>
                                <w:spacing w:before="23"/>
                                <w:ind w:left="1" w:right="18" w:firstLine="0"/>
                                <w:jc w:val="center"/>
                                <w:rPr>
                                  <w:rFonts w:ascii="Times New Roman"/>
                                  <w:sz w:val="16"/>
                                </w:rPr>
                              </w:pPr>
                              <w:r>
                                <w:rPr>
                                  <w:rFonts w:ascii="Times New Roman"/>
                                  <w:spacing w:val="-2"/>
                                  <w:sz w:val="16"/>
                                </w:rPr>
                                <w:t>OBERON/TITANIA</w:t>
                              </w:r>
                            </w:p>
                          </w:txbxContent>
                        </wps:txbx>
                        <wps:bodyPr wrap="square" lIns="0" tIns="0" rIns="0" bIns="0" rtlCol="0">
                          <a:noAutofit/>
                        </wps:bodyPr>
                      </wps:wsp>
                      <wps:wsp>
                        <wps:cNvPr id="86" name="Textbox 86"/>
                        <wps:cNvSpPr txBox="1"/>
                        <wps:spPr>
                          <a:xfrm>
                            <a:off x="3803586" y="24921"/>
                            <a:ext cx="1216660" cy="288925"/>
                          </a:xfrm>
                          <a:prstGeom prst="rect">
                            <a:avLst/>
                          </a:prstGeom>
                        </wps:spPr>
                        <wps:txbx>
                          <w:txbxContent>
                            <w:p>
                              <w:pPr>
                                <w:spacing w:line="246" w:lineRule="exact" w:before="0"/>
                                <w:ind w:left="-1" w:right="18" w:firstLine="0"/>
                                <w:jc w:val="center"/>
                                <w:rPr>
                                  <w:b/>
                                  <w:sz w:val="21"/>
                                </w:rPr>
                              </w:pPr>
                              <w:r>
                                <w:rPr>
                                  <w:b/>
                                  <w:spacing w:val="-2"/>
                                  <w:sz w:val="21"/>
                                </w:rPr>
                                <w:t>长期有效性</w:t>
                              </w:r>
                              <w:r>
                                <w:rPr>
                                  <w:b/>
                                  <w:spacing w:val="-2"/>
                                  <w:sz w:val="21"/>
                                </w:rPr>
                                <w:t>（</w:t>
                              </w:r>
                              <w:r>
                                <w:rPr>
                                  <w:rFonts w:ascii="Times New Roman" w:eastAsia="Times New Roman"/>
                                  <w:b/>
                                  <w:spacing w:val="-2"/>
                                  <w:sz w:val="21"/>
                                </w:rPr>
                                <w:t>LTE</w:t>
                              </w:r>
                              <w:r>
                                <w:rPr>
                                  <w:b/>
                                  <w:spacing w:val="-2"/>
                                  <w:sz w:val="21"/>
                                </w:rPr>
                                <w:t>）</w:t>
                              </w:r>
                            </w:p>
                            <w:p>
                              <w:pPr>
                                <w:spacing w:before="24"/>
                                <w:ind w:left="0" w:right="19" w:firstLine="0"/>
                                <w:jc w:val="center"/>
                                <w:rPr>
                                  <w:rFonts w:ascii="Times New Roman"/>
                                  <w:sz w:val="16"/>
                                </w:rPr>
                              </w:pPr>
                              <w:r>
                                <w:rPr>
                                  <w:rFonts w:ascii="Times New Roman"/>
                                  <w:spacing w:val="-2"/>
                                  <w:sz w:val="16"/>
                                </w:rPr>
                                <w:t>PROSPERO</w:t>
                              </w:r>
                            </w:p>
                          </w:txbxContent>
                        </wps:txbx>
                        <wps:bodyPr wrap="square" lIns="0" tIns="0" rIns="0" bIns="0" rtlCol="0">
                          <a:noAutofit/>
                        </wps:bodyPr>
                      </wps:wsp>
                      <wps:wsp>
                        <wps:cNvPr id="87" name="Textbox 87"/>
                        <wps:cNvSpPr txBox="1"/>
                        <wps:spPr>
                          <a:xfrm>
                            <a:off x="3998658" y="2466355"/>
                            <a:ext cx="682625" cy="101600"/>
                          </a:xfrm>
                          <a:prstGeom prst="rect">
                            <a:avLst/>
                          </a:prstGeom>
                        </wps:spPr>
                        <wps:txbx>
                          <w:txbxContent>
                            <w:p>
                              <w:pPr>
                                <w:tabs>
                                  <w:tab w:pos="1054" w:val="left" w:leader="none"/>
                                </w:tabs>
                                <w:spacing w:line="160" w:lineRule="exact" w:before="0"/>
                                <w:ind w:left="0" w:right="0" w:firstLine="0"/>
                                <w:jc w:val="left"/>
                                <w:rPr>
                                  <w:b/>
                                  <w:sz w:val="16"/>
                                </w:rPr>
                              </w:pPr>
                              <w:r>
                                <w:rPr>
                                  <w:b/>
                                  <w:color w:val="000000"/>
                                  <w:spacing w:val="-2"/>
                                  <w:sz w:val="16"/>
                                  <w:shd w:fill="FFC000" w:color="auto" w:val="clear"/>
                                </w:rPr>
                                <w:t>安慰</w:t>
                              </w:r>
                              <w:r>
                                <w:rPr>
                                  <w:b/>
                                  <w:color w:val="000000"/>
                                  <w:spacing w:val="-10"/>
                                  <w:sz w:val="16"/>
                                  <w:shd w:fill="FFC000" w:color="auto" w:val="clear"/>
                                </w:rPr>
                                <w:t>剂</w:t>
                              </w:r>
                              <w:r>
                                <w:rPr>
                                  <w:b/>
                                  <w:color w:val="000000"/>
                                  <w:sz w:val="16"/>
                                  <w:shd w:fill="FFC000" w:color="auto" w:val="clear"/>
                                </w:rPr>
                                <w:tab/>
                              </w:r>
                            </w:p>
                          </w:txbxContent>
                        </wps:txbx>
                        <wps:bodyPr wrap="square" lIns="0" tIns="0" rIns="0" bIns="0" rtlCol="0">
                          <a:noAutofit/>
                        </wps:bodyPr>
                      </wps:wsp>
                      <wps:wsp>
                        <wps:cNvPr id="88" name="Textbox 88"/>
                        <wps:cNvSpPr txBox="1"/>
                        <wps:spPr>
                          <a:xfrm>
                            <a:off x="1289494" y="2673619"/>
                            <a:ext cx="683260" cy="101600"/>
                          </a:xfrm>
                          <a:prstGeom prst="rect">
                            <a:avLst/>
                          </a:prstGeom>
                        </wps:spPr>
                        <wps:txbx>
                          <w:txbxContent>
                            <w:p>
                              <w:pPr>
                                <w:tabs>
                                  <w:tab w:pos="1055" w:val="left" w:leader="none"/>
                                </w:tabs>
                                <w:spacing w:line="160" w:lineRule="exact" w:before="0"/>
                                <w:ind w:left="0" w:right="0" w:firstLine="0"/>
                                <w:jc w:val="left"/>
                                <w:rPr>
                                  <w:b/>
                                  <w:sz w:val="16"/>
                                </w:rPr>
                              </w:pPr>
                              <w:r>
                                <w:rPr>
                                  <w:b/>
                                  <w:color w:val="000000"/>
                                  <w:spacing w:val="-2"/>
                                  <w:sz w:val="16"/>
                                  <w:shd w:fill="FFC000" w:color="auto" w:val="clear"/>
                                </w:rPr>
                                <w:t>安慰</w:t>
                              </w:r>
                              <w:r>
                                <w:rPr>
                                  <w:b/>
                                  <w:color w:val="000000"/>
                                  <w:spacing w:val="-10"/>
                                  <w:sz w:val="16"/>
                                  <w:shd w:fill="FFC000" w:color="auto" w:val="clear"/>
                                </w:rPr>
                                <w:t>剂</w:t>
                              </w:r>
                              <w:r>
                                <w:rPr>
                                  <w:b/>
                                  <w:color w:val="000000"/>
                                  <w:sz w:val="16"/>
                                  <w:shd w:fill="FFC000" w:color="auto" w:val="clear"/>
                                </w:rPr>
                                <w:tab/>
                              </w:r>
                            </w:p>
                          </w:txbxContent>
                        </wps:txbx>
                        <wps:bodyPr wrap="square" lIns="0" tIns="0" rIns="0" bIns="0" rtlCol="0">
                          <a:noAutofit/>
                        </wps:bodyPr>
                      </wps:wsp>
                      <wps:wsp>
                        <wps:cNvPr id="89" name="Textbox 89"/>
                        <wps:cNvSpPr txBox="1"/>
                        <wps:spPr>
                          <a:xfrm>
                            <a:off x="2642044" y="3029473"/>
                            <a:ext cx="523240" cy="101600"/>
                          </a:xfrm>
                          <a:prstGeom prst="rect">
                            <a:avLst/>
                          </a:prstGeom>
                        </wps:spPr>
                        <wps:txbx>
                          <w:txbxContent>
                            <w:p>
                              <w:pPr>
                                <w:spacing w:line="160" w:lineRule="exact" w:before="0"/>
                                <w:ind w:left="0" w:right="0" w:firstLine="0"/>
                                <w:jc w:val="left"/>
                                <w:rPr>
                                  <w:b/>
                                  <w:sz w:val="16"/>
                                </w:rPr>
                              </w:pPr>
                              <w:r>
                                <w:rPr>
                                  <w:b/>
                                  <w:spacing w:val="-4"/>
                                  <w:sz w:val="16"/>
                                </w:rPr>
                                <w:t>重新随机化</w:t>
                              </w:r>
                            </w:p>
                          </w:txbxContent>
                        </wps:txbx>
                        <wps:bodyPr wrap="square" lIns="0" tIns="0" rIns="0" bIns="0" rtlCol="0">
                          <a:noAutofit/>
                        </wps:bodyPr>
                      </wps:wsp>
                      <wps:wsp>
                        <wps:cNvPr id="90" name="Textbox 90"/>
                        <wps:cNvSpPr txBox="1"/>
                        <wps:spPr>
                          <a:xfrm>
                            <a:off x="1285684" y="2425476"/>
                            <a:ext cx="674370" cy="127000"/>
                          </a:xfrm>
                          <a:prstGeom prst="rect">
                            <a:avLst/>
                          </a:prstGeom>
                          <a:solidFill>
                            <a:srgbClr val="FFC000"/>
                          </a:solidFill>
                        </wps:spPr>
                        <wps:txbx>
                          <w:txbxContent>
                            <w:p>
                              <w:pPr>
                                <w:spacing w:line="196" w:lineRule="exact" w:before="3"/>
                                <w:ind w:left="6" w:right="0" w:firstLine="0"/>
                                <w:jc w:val="left"/>
                                <w:rPr>
                                  <w:b/>
                                  <w:color w:val="000000"/>
                                  <w:sz w:val="16"/>
                                </w:rPr>
                              </w:pPr>
                              <w:r>
                                <w:rPr>
                                  <w:b/>
                                  <w:color w:val="000000"/>
                                  <w:spacing w:val="-5"/>
                                  <w:sz w:val="16"/>
                                </w:rPr>
                                <w:t>安慰剂</w:t>
                              </w:r>
                            </w:p>
                          </w:txbxContent>
                        </wps:txbx>
                        <wps:bodyPr wrap="square" lIns="0" tIns="0" rIns="0" bIns="0" rtlCol="0">
                          <a:noAutofit/>
                        </wps:bodyPr>
                      </wps:wsp>
                      <wps:wsp>
                        <wps:cNvPr id="91" name="Textbox 91"/>
                        <wps:cNvSpPr txBox="1"/>
                        <wps:spPr>
                          <a:xfrm>
                            <a:off x="1285684" y="2226340"/>
                            <a:ext cx="674370" cy="127000"/>
                          </a:xfrm>
                          <a:prstGeom prst="rect">
                            <a:avLst/>
                          </a:prstGeom>
                          <a:solidFill>
                            <a:srgbClr val="FFC000"/>
                          </a:solidFill>
                        </wps:spPr>
                        <wps:txbx>
                          <w:txbxContent>
                            <w:p>
                              <w:pPr>
                                <w:spacing w:line="197" w:lineRule="exact" w:before="3"/>
                                <w:ind w:left="6" w:right="0" w:firstLine="0"/>
                                <w:jc w:val="left"/>
                                <w:rPr>
                                  <w:b/>
                                  <w:color w:val="000000"/>
                                  <w:sz w:val="16"/>
                                </w:rPr>
                              </w:pPr>
                              <w:r>
                                <w:rPr>
                                  <w:b/>
                                  <w:color w:val="000000"/>
                                  <w:spacing w:val="-5"/>
                                  <w:sz w:val="16"/>
                                </w:rPr>
                                <w:t>安慰剂</w:t>
                              </w:r>
                            </w:p>
                          </w:txbxContent>
                        </wps:txbx>
                        <wps:bodyPr wrap="square" lIns="0" tIns="0" rIns="0" bIns="0" rtlCol="0">
                          <a:noAutofit/>
                        </wps:bodyPr>
                      </wps:wsp>
                      <wps:wsp>
                        <wps:cNvPr id="92" name="Textbox 92"/>
                        <wps:cNvSpPr txBox="1"/>
                        <wps:spPr>
                          <a:xfrm>
                            <a:off x="1285684" y="2039396"/>
                            <a:ext cx="674370" cy="127000"/>
                          </a:xfrm>
                          <a:prstGeom prst="rect">
                            <a:avLst/>
                          </a:prstGeom>
                          <a:solidFill>
                            <a:srgbClr val="FFC000"/>
                          </a:solidFill>
                        </wps:spPr>
                        <wps:txbx>
                          <w:txbxContent>
                            <w:p>
                              <w:pPr>
                                <w:spacing w:line="196" w:lineRule="exact" w:before="3"/>
                                <w:ind w:left="6" w:right="0" w:firstLine="0"/>
                                <w:jc w:val="left"/>
                                <w:rPr>
                                  <w:b/>
                                  <w:color w:val="000000"/>
                                  <w:sz w:val="16"/>
                                </w:rPr>
                              </w:pPr>
                              <w:r>
                                <w:rPr>
                                  <w:b/>
                                  <w:color w:val="000000"/>
                                  <w:spacing w:val="-5"/>
                                  <w:sz w:val="16"/>
                                </w:rPr>
                                <w:t>安慰剂</w:t>
                              </w:r>
                            </w:p>
                          </w:txbxContent>
                        </wps:txbx>
                        <wps:bodyPr wrap="square" lIns="0" tIns="0" rIns="0" bIns="0" rtlCol="0">
                          <a:noAutofit/>
                        </wps:bodyPr>
                      </wps:wsp>
                      <wps:wsp>
                        <wps:cNvPr id="93" name="Textbox 93"/>
                        <wps:cNvSpPr txBox="1"/>
                        <wps:spPr>
                          <a:xfrm>
                            <a:off x="110870" y="200012"/>
                            <a:ext cx="674370" cy="222885"/>
                          </a:xfrm>
                          <a:prstGeom prst="rect">
                            <a:avLst/>
                          </a:prstGeom>
                          <a:solidFill>
                            <a:srgbClr val="FFFFFF"/>
                          </a:solidFill>
                        </wps:spPr>
                        <wps:txbx>
                          <w:txbxContent>
                            <w:p>
                              <w:pPr>
                                <w:spacing w:before="2"/>
                                <w:ind w:left="311" w:right="0" w:firstLine="0"/>
                                <w:jc w:val="left"/>
                                <w:rPr>
                                  <w:rFonts w:ascii="Times New Roman" w:eastAsia="Times New Roman"/>
                                  <w:b/>
                                  <w:color w:val="000000"/>
                                  <w:sz w:val="16"/>
                                </w:rPr>
                              </w:pPr>
                              <w:r>
                                <w:rPr>
                                  <w:b/>
                                  <w:color w:val="000000"/>
                                  <w:spacing w:val="-15"/>
                                  <w:sz w:val="16"/>
                                </w:rPr>
                                <w:t>基线 </w:t>
                              </w:r>
                              <w:r>
                                <w:rPr>
                                  <w:rFonts w:ascii="Times New Roman" w:eastAsia="Times New Roman"/>
                                  <w:b/>
                                  <w:color w:val="000000"/>
                                  <w:spacing w:val="-10"/>
                                  <w:sz w:val="16"/>
                                </w:rPr>
                                <w:t>1</w:t>
                              </w:r>
                            </w:p>
                          </w:txbxContent>
                        </wps:txbx>
                        <wps:bodyPr wrap="square" lIns="0" tIns="0" rIns="0" bIns="0" rtlCol="0">
                          <a:noAutofit/>
                        </wps:bodyPr>
                      </wps:wsp>
                      <wps:wsp>
                        <wps:cNvPr id="94" name="Textbox 94"/>
                        <wps:cNvSpPr txBox="1"/>
                        <wps:spPr>
                          <a:xfrm>
                            <a:off x="2970593" y="1635061"/>
                            <a:ext cx="674370" cy="221615"/>
                          </a:xfrm>
                          <a:prstGeom prst="rect">
                            <a:avLst/>
                          </a:prstGeom>
                          <a:solidFill>
                            <a:srgbClr val="FFFFFF"/>
                          </a:solidFill>
                        </wps:spPr>
                        <wps:txbx>
                          <w:txbxContent>
                            <w:p>
                              <w:pPr>
                                <w:spacing w:before="3"/>
                                <w:ind w:left="5" w:right="0" w:firstLine="0"/>
                                <w:jc w:val="left"/>
                                <w:rPr>
                                  <w:rFonts w:ascii="Times New Roman" w:eastAsia="Times New Roman"/>
                                  <w:b/>
                                  <w:color w:val="000000"/>
                                  <w:sz w:val="16"/>
                                </w:rPr>
                              </w:pPr>
                              <w:r>
                                <w:rPr>
                                  <w:b/>
                                  <w:color w:val="000000"/>
                                  <w:spacing w:val="-15"/>
                                  <w:sz w:val="16"/>
                                </w:rPr>
                                <w:t>基线 </w:t>
                              </w:r>
                              <w:r>
                                <w:rPr>
                                  <w:rFonts w:ascii="Times New Roman" w:eastAsia="Times New Roman"/>
                                  <w:b/>
                                  <w:color w:val="000000"/>
                                  <w:spacing w:val="-10"/>
                                  <w:sz w:val="16"/>
                                </w:rPr>
                                <w:t>2</w:t>
                              </w:r>
                            </w:p>
                          </w:txbxContent>
                        </wps:txbx>
                        <wps:bodyPr wrap="square" lIns="0" tIns="0" rIns="0" bIns="0" rtlCol="0">
                          <a:noAutofit/>
                        </wps:bodyPr>
                      </wps:wsp>
                    </wpg:wgp>
                  </a:graphicData>
                </a:graphic>
              </wp:anchor>
            </w:drawing>
          </mc:Choice>
          <mc:Fallback>
            <w:pict>
              <v:group style="position:absolute;margin-left:86.525002pt;margin-top:6.065453pt;width:435.35pt;height:249.3pt;mso-position-horizontal-relative:page;mso-position-vertical-relative:paragraph;z-index:-15723520;mso-wrap-distance-left:0;mso-wrap-distance-right:0" id="docshapegroup82" coordorigin="1731,121" coordsize="8707,4986">
                <v:shape style="position:absolute;left:1730;top:134;width:8707;height:4909" type="#_x0000_t75" id="docshape83" stroked="false">
                  <v:imagedata r:id="rId20" o:title=""/>
                </v:shape>
                <v:shape style="position:absolute;left:2966;top:121;width:6898;height:4986" id="docshape84" coordorigin="2967,121" coordsize="6898,4986" path="m5199,121l2967,121,2967,587,5199,587,5199,121xm7137,4863l5448,4863,5448,5107,7137,5107,7137,4863xm9864,131l7470,131,7470,653,9864,653,9864,131xe" filled="true" fillcolor="#ffffff" stroked="false">
                  <v:path arrowok="t"/>
                  <v:fill type="solid"/>
                </v:shape>
                <v:shape style="position:absolute;left:3200;top:149;width:1785;height:454" type="#_x0000_t202" id="docshape85" filled="false" stroked="false">
                  <v:textbox inset="0,0,0,0">
                    <w:txbxContent>
                      <w:p>
                        <w:pPr>
                          <w:spacing w:line="246" w:lineRule="exact" w:before="0"/>
                          <w:ind w:left="-1" w:right="18" w:firstLine="0"/>
                          <w:jc w:val="center"/>
                          <w:rPr>
                            <w:b/>
                            <w:sz w:val="21"/>
                          </w:rPr>
                        </w:pPr>
                        <w:r>
                          <w:rPr>
                            <w:rFonts w:ascii="Times New Roman" w:eastAsia="Times New Roman"/>
                            <w:b/>
                            <w:spacing w:val="-2"/>
                            <w:sz w:val="21"/>
                          </w:rPr>
                          <w:t>III</w:t>
                        </w:r>
                        <w:r>
                          <w:rPr>
                            <w:rFonts w:ascii="Times New Roman" w:eastAsia="Times New Roman"/>
                            <w:b/>
                            <w:spacing w:val="-1"/>
                            <w:sz w:val="21"/>
                          </w:rPr>
                          <w:t> </w:t>
                        </w:r>
                        <w:r>
                          <w:rPr>
                            <w:b/>
                            <w:spacing w:val="-2"/>
                            <w:sz w:val="21"/>
                          </w:rPr>
                          <w:t>期（前身研究</w:t>
                        </w:r>
                        <w:r>
                          <w:rPr>
                            <w:b/>
                            <w:spacing w:val="-10"/>
                            <w:sz w:val="21"/>
                          </w:rPr>
                          <w:t>）</w:t>
                        </w:r>
                      </w:p>
                      <w:p>
                        <w:pPr>
                          <w:spacing w:before="23"/>
                          <w:ind w:left="1" w:right="18" w:firstLine="0"/>
                          <w:jc w:val="center"/>
                          <w:rPr>
                            <w:rFonts w:ascii="Times New Roman"/>
                            <w:sz w:val="16"/>
                          </w:rPr>
                        </w:pPr>
                        <w:r>
                          <w:rPr>
                            <w:rFonts w:ascii="Times New Roman"/>
                            <w:spacing w:val="-2"/>
                            <w:sz w:val="16"/>
                          </w:rPr>
                          <w:t>OBERON/TITANIA</w:t>
                        </w:r>
                      </w:p>
                    </w:txbxContent>
                  </v:textbox>
                  <w10:wrap type="none"/>
                </v:shape>
                <v:shape style="position:absolute;left:7720;top:160;width:1916;height:455" type="#_x0000_t202" id="docshape86" filled="false" stroked="false">
                  <v:textbox inset="0,0,0,0">
                    <w:txbxContent>
                      <w:p>
                        <w:pPr>
                          <w:spacing w:line="246" w:lineRule="exact" w:before="0"/>
                          <w:ind w:left="-1" w:right="18" w:firstLine="0"/>
                          <w:jc w:val="center"/>
                          <w:rPr>
                            <w:b/>
                            <w:sz w:val="21"/>
                          </w:rPr>
                        </w:pPr>
                        <w:r>
                          <w:rPr>
                            <w:b/>
                            <w:spacing w:val="-2"/>
                            <w:sz w:val="21"/>
                          </w:rPr>
                          <w:t>长期有效性</w:t>
                        </w:r>
                        <w:r>
                          <w:rPr>
                            <w:b/>
                            <w:spacing w:val="-2"/>
                            <w:sz w:val="21"/>
                          </w:rPr>
                          <w:t>（</w:t>
                        </w:r>
                        <w:r>
                          <w:rPr>
                            <w:rFonts w:ascii="Times New Roman" w:eastAsia="Times New Roman"/>
                            <w:b/>
                            <w:spacing w:val="-2"/>
                            <w:sz w:val="21"/>
                          </w:rPr>
                          <w:t>LTE</w:t>
                        </w:r>
                        <w:r>
                          <w:rPr>
                            <w:b/>
                            <w:spacing w:val="-2"/>
                            <w:sz w:val="21"/>
                          </w:rPr>
                          <w:t>）</w:t>
                        </w:r>
                      </w:p>
                      <w:p>
                        <w:pPr>
                          <w:spacing w:before="24"/>
                          <w:ind w:left="0" w:right="19" w:firstLine="0"/>
                          <w:jc w:val="center"/>
                          <w:rPr>
                            <w:rFonts w:ascii="Times New Roman"/>
                            <w:sz w:val="16"/>
                          </w:rPr>
                        </w:pPr>
                        <w:r>
                          <w:rPr>
                            <w:rFonts w:ascii="Times New Roman"/>
                            <w:spacing w:val="-2"/>
                            <w:sz w:val="16"/>
                          </w:rPr>
                          <w:t>PROSPERO</w:t>
                        </w:r>
                      </w:p>
                    </w:txbxContent>
                  </v:textbox>
                  <w10:wrap type="none"/>
                </v:shape>
                <v:shape style="position:absolute;left:8027;top:4005;width:1075;height:160" type="#_x0000_t202" id="docshape87" filled="false" stroked="false">
                  <v:textbox inset="0,0,0,0">
                    <w:txbxContent>
                      <w:p>
                        <w:pPr>
                          <w:tabs>
                            <w:tab w:pos="1054" w:val="left" w:leader="none"/>
                          </w:tabs>
                          <w:spacing w:line="160" w:lineRule="exact" w:before="0"/>
                          <w:ind w:left="0" w:right="0" w:firstLine="0"/>
                          <w:jc w:val="left"/>
                          <w:rPr>
                            <w:b/>
                            <w:sz w:val="16"/>
                          </w:rPr>
                        </w:pPr>
                        <w:r>
                          <w:rPr>
                            <w:b/>
                            <w:color w:val="000000"/>
                            <w:spacing w:val="-2"/>
                            <w:sz w:val="16"/>
                            <w:shd w:fill="FFC000" w:color="auto" w:val="clear"/>
                          </w:rPr>
                          <w:t>安慰</w:t>
                        </w:r>
                        <w:r>
                          <w:rPr>
                            <w:b/>
                            <w:color w:val="000000"/>
                            <w:spacing w:val="-10"/>
                            <w:sz w:val="16"/>
                            <w:shd w:fill="FFC000" w:color="auto" w:val="clear"/>
                          </w:rPr>
                          <w:t>剂</w:t>
                        </w:r>
                        <w:r>
                          <w:rPr>
                            <w:b/>
                            <w:color w:val="000000"/>
                            <w:sz w:val="16"/>
                            <w:shd w:fill="FFC000" w:color="auto" w:val="clear"/>
                          </w:rPr>
                          <w:tab/>
                        </w:r>
                      </w:p>
                    </w:txbxContent>
                  </v:textbox>
                  <w10:wrap type="none"/>
                </v:shape>
                <v:shape style="position:absolute;left:3761;top:4331;width:1076;height:160" type="#_x0000_t202" id="docshape88" filled="false" stroked="false">
                  <v:textbox inset="0,0,0,0">
                    <w:txbxContent>
                      <w:p>
                        <w:pPr>
                          <w:tabs>
                            <w:tab w:pos="1055" w:val="left" w:leader="none"/>
                          </w:tabs>
                          <w:spacing w:line="160" w:lineRule="exact" w:before="0"/>
                          <w:ind w:left="0" w:right="0" w:firstLine="0"/>
                          <w:jc w:val="left"/>
                          <w:rPr>
                            <w:b/>
                            <w:sz w:val="16"/>
                          </w:rPr>
                        </w:pPr>
                        <w:r>
                          <w:rPr>
                            <w:b/>
                            <w:color w:val="000000"/>
                            <w:spacing w:val="-2"/>
                            <w:sz w:val="16"/>
                            <w:shd w:fill="FFC000" w:color="auto" w:val="clear"/>
                          </w:rPr>
                          <w:t>安慰</w:t>
                        </w:r>
                        <w:r>
                          <w:rPr>
                            <w:b/>
                            <w:color w:val="000000"/>
                            <w:spacing w:val="-10"/>
                            <w:sz w:val="16"/>
                            <w:shd w:fill="FFC000" w:color="auto" w:val="clear"/>
                          </w:rPr>
                          <w:t>剂</w:t>
                        </w:r>
                        <w:r>
                          <w:rPr>
                            <w:b/>
                            <w:color w:val="000000"/>
                            <w:sz w:val="16"/>
                            <w:shd w:fill="FFC000" w:color="auto" w:val="clear"/>
                          </w:rPr>
                          <w:tab/>
                        </w:r>
                      </w:p>
                    </w:txbxContent>
                  </v:textbox>
                  <w10:wrap type="none"/>
                </v:shape>
                <v:shape style="position:absolute;left:5891;top:4892;width:824;height:160" type="#_x0000_t202" id="docshape89" filled="false" stroked="false">
                  <v:textbox inset="0,0,0,0">
                    <w:txbxContent>
                      <w:p>
                        <w:pPr>
                          <w:spacing w:line="160" w:lineRule="exact" w:before="0"/>
                          <w:ind w:left="0" w:right="0" w:firstLine="0"/>
                          <w:jc w:val="left"/>
                          <w:rPr>
                            <w:b/>
                            <w:sz w:val="16"/>
                          </w:rPr>
                        </w:pPr>
                        <w:r>
                          <w:rPr>
                            <w:b/>
                            <w:spacing w:val="-4"/>
                            <w:sz w:val="16"/>
                          </w:rPr>
                          <w:t>重新随机化</w:t>
                        </w:r>
                      </w:p>
                    </w:txbxContent>
                  </v:textbox>
                  <w10:wrap type="none"/>
                </v:shape>
                <v:shape style="position:absolute;left:3755;top:3940;width:1062;height:200" type="#_x0000_t202" id="docshape90" filled="true" fillcolor="#ffc000" stroked="false">
                  <v:textbox inset="0,0,0,0">
                    <w:txbxContent>
                      <w:p>
                        <w:pPr>
                          <w:spacing w:line="196" w:lineRule="exact" w:before="3"/>
                          <w:ind w:left="6" w:right="0" w:firstLine="0"/>
                          <w:jc w:val="left"/>
                          <w:rPr>
                            <w:b/>
                            <w:color w:val="000000"/>
                            <w:sz w:val="16"/>
                          </w:rPr>
                        </w:pPr>
                        <w:r>
                          <w:rPr>
                            <w:b/>
                            <w:color w:val="000000"/>
                            <w:spacing w:val="-5"/>
                            <w:sz w:val="16"/>
                          </w:rPr>
                          <w:t>安慰剂</w:t>
                        </w:r>
                      </w:p>
                    </w:txbxContent>
                  </v:textbox>
                  <v:fill type="solid"/>
                  <w10:wrap type="none"/>
                </v:shape>
                <v:shape style="position:absolute;left:3755;top:3627;width:1062;height:200" type="#_x0000_t202" id="docshape91" filled="true" fillcolor="#ffc000" stroked="false">
                  <v:textbox inset="0,0,0,0">
                    <w:txbxContent>
                      <w:p>
                        <w:pPr>
                          <w:spacing w:line="197" w:lineRule="exact" w:before="3"/>
                          <w:ind w:left="6" w:right="0" w:firstLine="0"/>
                          <w:jc w:val="left"/>
                          <w:rPr>
                            <w:b/>
                            <w:color w:val="000000"/>
                            <w:sz w:val="16"/>
                          </w:rPr>
                        </w:pPr>
                        <w:r>
                          <w:rPr>
                            <w:b/>
                            <w:color w:val="000000"/>
                            <w:spacing w:val="-5"/>
                            <w:sz w:val="16"/>
                          </w:rPr>
                          <w:t>安慰剂</w:t>
                        </w:r>
                      </w:p>
                    </w:txbxContent>
                  </v:textbox>
                  <v:fill type="solid"/>
                  <w10:wrap type="none"/>
                </v:shape>
                <v:shape style="position:absolute;left:3755;top:3332;width:1062;height:200" type="#_x0000_t202" id="docshape92" filled="true" fillcolor="#ffc000" stroked="false">
                  <v:textbox inset="0,0,0,0">
                    <w:txbxContent>
                      <w:p>
                        <w:pPr>
                          <w:spacing w:line="196" w:lineRule="exact" w:before="3"/>
                          <w:ind w:left="6" w:right="0" w:firstLine="0"/>
                          <w:jc w:val="left"/>
                          <w:rPr>
                            <w:b/>
                            <w:color w:val="000000"/>
                            <w:sz w:val="16"/>
                          </w:rPr>
                        </w:pPr>
                        <w:r>
                          <w:rPr>
                            <w:b/>
                            <w:color w:val="000000"/>
                            <w:spacing w:val="-5"/>
                            <w:sz w:val="16"/>
                          </w:rPr>
                          <w:t>安慰剂</w:t>
                        </w:r>
                      </w:p>
                    </w:txbxContent>
                  </v:textbox>
                  <v:fill type="solid"/>
                  <w10:wrap type="none"/>
                </v:shape>
                <v:shape style="position:absolute;left:1905;top:436;width:1062;height:351" type="#_x0000_t202" id="docshape93" filled="true" fillcolor="#ffffff" stroked="false">
                  <v:textbox inset="0,0,0,0">
                    <w:txbxContent>
                      <w:p>
                        <w:pPr>
                          <w:spacing w:before="2"/>
                          <w:ind w:left="311" w:right="0" w:firstLine="0"/>
                          <w:jc w:val="left"/>
                          <w:rPr>
                            <w:rFonts w:ascii="Times New Roman" w:eastAsia="Times New Roman"/>
                            <w:b/>
                            <w:color w:val="000000"/>
                            <w:sz w:val="16"/>
                          </w:rPr>
                        </w:pPr>
                        <w:r>
                          <w:rPr>
                            <w:b/>
                            <w:color w:val="000000"/>
                            <w:spacing w:val="-15"/>
                            <w:sz w:val="16"/>
                          </w:rPr>
                          <w:t>基线 </w:t>
                        </w:r>
                        <w:r>
                          <w:rPr>
                            <w:rFonts w:ascii="Times New Roman" w:eastAsia="Times New Roman"/>
                            <w:b/>
                            <w:color w:val="000000"/>
                            <w:spacing w:val="-10"/>
                            <w:sz w:val="16"/>
                          </w:rPr>
                          <w:t>1</w:t>
                        </w:r>
                      </w:p>
                    </w:txbxContent>
                  </v:textbox>
                  <v:fill type="solid"/>
                  <w10:wrap type="none"/>
                </v:shape>
                <v:shape style="position:absolute;left:6408;top:2696;width:1062;height:349" type="#_x0000_t202" id="docshape94" filled="true" fillcolor="#ffffff" stroked="false">
                  <v:textbox inset="0,0,0,0">
                    <w:txbxContent>
                      <w:p>
                        <w:pPr>
                          <w:spacing w:before="3"/>
                          <w:ind w:left="5" w:right="0" w:firstLine="0"/>
                          <w:jc w:val="left"/>
                          <w:rPr>
                            <w:rFonts w:ascii="Times New Roman" w:eastAsia="Times New Roman"/>
                            <w:b/>
                            <w:color w:val="000000"/>
                            <w:sz w:val="16"/>
                          </w:rPr>
                        </w:pPr>
                        <w:r>
                          <w:rPr>
                            <w:b/>
                            <w:color w:val="000000"/>
                            <w:spacing w:val="-15"/>
                            <w:sz w:val="16"/>
                          </w:rPr>
                          <w:t>基线 </w:t>
                        </w:r>
                        <w:r>
                          <w:rPr>
                            <w:rFonts w:ascii="Times New Roman" w:eastAsia="Times New Roman"/>
                            <w:b/>
                            <w:color w:val="000000"/>
                            <w:spacing w:val="-10"/>
                            <w:sz w:val="16"/>
                          </w:rPr>
                          <w:t>2</w:t>
                        </w:r>
                      </w:p>
                    </w:txbxContent>
                  </v:textbox>
                  <v:fill type="solid"/>
                  <w10:wrap type="none"/>
                </v:shape>
                <w10:wrap type="topAndBottom"/>
              </v:group>
            </w:pict>
          </mc:Fallback>
        </mc:AlternateContent>
      </w:r>
    </w:p>
    <w:p>
      <w:pPr>
        <w:spacing w:before="237"/>
        <w:ind w:left="221" w:right="0" w:firstLine="0"/>
        <w:jc w:val="left"/>
        <w:rPr>
          <w:sz w:val="21"/>
        </w:rPr>
      </w:pPr>
      <w:r>
        <w:rPr>
          <w:rFonts w:ascii="Times New Roman" w:eastAsia="Times New Roman"/>
          <w:spacing w:val="-2"/>
          <w:sz w:val="21"/>
        </w:rPr>
        <w:t>Tozo</w:t>
      </w:r>
      <w:r>
        <w:rPr>
          <w:spacing w:val="-2"/>
          <w:sz w:val="21"/>
        </w:rPr>
        <w:t>，</w:t>
      </w:r>
      <w:r>
        <w:rPr>
          <w:rFonts w:ascii="Times New Roman" w:eastAsia="Times New Roman"/>
          <w:spacing w:val="-2"/>
          <w:sz w:val="21"/>
        </w:rPr>
        <w:t>tozorakimab</w:t>
      </w:r>
      <w:r>
        <w:rPr>
          <w:spacing w:val="-2"/>
          <w:sz w:val="21"/>
        </w:rPr>
        <w:t>；</w:t>
      </w:r>
      <w:r>
        <w:rPr>
          <w:rFonts w:ascii="Times New Roman" w:eastAsia="Times New Roman"/>
          <w:spacing w:val="-2"/>
          <w:sz w:val="21"/>
        </w:rPr>
        <w:t>Q4W</w:t>
      </w:r>
      <w:r>
        <w:rPr>
          <w:spacing w:val="-13"/>
          <w:sz w:val="21"/>
        </w:rPr>
        <w:t>，每 </w:t>
      </w:r>
      <w:r>
        <w:rPr>
          <w:rFonts w:ascii="Times New Roman" w:eastAsia="Times New Roman"/>
          <w:spacing w:val="-2"/>
          <w:sz w:val="21"/>
        </w:rPr>
        <w:t>4</w:t>
      </w:r>
      <w:r>
        <w:rPr>
          <w:rFonts w:ascii="Times New Roman" w:eastAsia="Times New Roman"/>
          <w:spacing w:val="7"/>
          <w:sz w:val="21"/>
        </w:rPr>
        <w:t> </w:t>
      </w:r>
      <w:r>
        <w:rPr>
          <w:spacing w:val="-2"/>
          <w:sz w:val="21"/>
        </w:rPr>
        <w:t>周一次；</w:t>
      </w:r>
      <w:r>
        <w:rPr>
          <w:rFonts w:ascii="Times New Roman" w:eastAsia="Times New Roman"/>
          <w:spacing w:val="-2"/>
          <w:sz w:val="21"/>
        </w:rPr>
        <w:t>Q8W</w:t>
      </w:r>
      <w:r>
        <w:rPr>
          <w:spacing w:val="-12"/>
          <w:sz w:val="21"/>
        </w:rPr>
        <w:t>，每 </w:t>
      </w:r>
      <w:r>
        <w:rPr>
          <w:rFonts w:ascii="Times New Roman" w:eastAsia="Times New Roman"/>
          <w:spacing w:val="-2"/>
          <w:sz w:val="21"/>
        </w:rPr>
        <w:t>8</w:t>
      </w:r>
      <w:r>
        <w:rPr>
          <w:rFonts w:ascii="Times New Roman" w:eastAsia="Times New Roman"/>
          <w:spacing w:val="8"/>
          <w:sz w:val="21"/>
        </w:rPr>
        <w:t> </w:t>
      </w:r>
      <w:r>
        <w:rPr>
          <w:spacing w:val="-2"/>
          <w:sz w:val="21"/>
        </w:rPr>
        <w:t>周一次；</w:t>
      </w:r>
      <w:r>
        <w:rPr>
          <w:rFonts w:ascii="Times New Roman" w:eastAsia="Times New Roman"/>
          <w:spacing w:val="-2"/>
          <w:sz w:val="21"/>
        </w:rPr>
        <w:t>SC</w:t>
      </w:r>
      <w:r>
        <w:rPr>
          <w:spacing w:val="-4"/>
          <w:sz w:val="21"/>
        </w:rPr>
        <w:t>，皮下给药。</w:t>
      </w:r>
    </w:p>
    <w:p>
      <w:pPr>
        <w:pStyle w:val="BodyText"/>
        <w:spacing w:before="65"/>
        <w:ind w:left="0"/>
        <w:rPr>
          <w:sz w:val="21"/>
        </w:rPr>
      </w:pPr>
    </w:p>
    <w:p>
      <w:pPr>
        <w:pStyle w:val="BodyText"/>
        <w:spacing w:line="276" w:lineRule="auto"/>
        <w:ind w:right="354" w:firstLine="480"/>
      </w:pPr>
      <w:r>
        <w:rPr/>
        <w:t>如</w:t>
      </w:r>
      <w:hyperlink w:history="true" w:anchor="_bookmark136">
        <w:r>
          <w:rPr>
            <w:color w:val="0000FF"/>
            <w:spacing w:val="-1"/>
          </w:rPr>
          <w:t>表 </w:t>
        </w:r>
        <w:r>
          <w:rPr>
            <w:rFonts w:ascii="Times New Roman" w:eastAsia="Times New Roman"/>
            <w:color w:val="0000FF"/>
          </w:rPr>
          <w:t>8</w:t>
        </w:r>
      </w:hyperlink>
      <w:r>
        <w:rPr>
          <w:rFonts w:ascii="Times New Roman" w:eastAsia="Times New Roman"/>
          <w:color w:val="0000FF"/>
          <w:spacing w:val="35"/>
        </w:rPr>
        <w:t> </w:t>
      </w:r>
      <w:r>
        <w:rPr/>
        <w:t>所述，这些治疗分配可以形成用于组间比较的多种可能。当使用安全性</w:t>
      </w:r>
      <w:r>
        <w:rPr>
          <w:spacing w:val="-2"/>
        </w:rPr>
        <w:t>分析集时，将根据实际接受的治疗进行报告。</w:t>
      </w:r>
    </w:p>
    <w:p>
      <w:pPr>
        <w:pStyle w:val="Heading3"/>
        <w:tabs>
          <w:tab w:pos="1923" w:val="left" w:leader="none"/>
        </w:tabs>
        <w:spacing w:before="238"/>
      </w:pPr>
      <w:bookmarkStart w:name="_bookmark136" w:id="264"/>
      <w:bookmarkEnd w:id="264"/>
      <w:r>
        <w:rPr>
          <w:b w:val="0"/>
        </w:rPr>
      </w:r>
      <w:r>
        <w:rPr>
          <w:spacing w:val="-4"/>
        </w:rPr>
        <w:t>表</w:t>
      </w:r>
      <w:r>
        <w:rPr>
          <w:spacing w:val="-59"/>
        </w:rPr>
        <w:t> </w:t>
      </w:r>
      <w:r>
        <w:rPr>
          <w:rFonts w:ascii="Times New Roman" w:eastAsia="Times New Roman"/>
          <w:spacing w:val="-10"/>
        </w:rPr>
        <w:t>8</w:t>
      </w:r>
      <w:r>
        <w:rPr>
          <w:rFonts w:ascii="Times New Roman" w:eastAsia="Times New Roman"/>
        </w:rPr>
        <w:tab/>
      </w:r>
      <w:r>
        <w:rPr>
          <w:spacing w:val="-4"/>
        </w:rPr>
        <w:t>用于分析的治疗</w:t>
      </w:r>
      <w:r>
        <w:rPr>
          <w:spacing w:val="-10"/>
        </w:rPr>
        <w:t>组</w:t>
      </w:r>
    </w:p>
    <w:p>
      <w:pPr>
        <w:pStyle w:val="BodyText"/>
        <w:spacing w:before="5"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6211"/>
      </w:tblGrid>
      <w:tr>
        <w:trPr>
          <w:trHeight w:val="352" w:hRule="atLeast"/>
        </w:trPr>
        <w:tc>
          <w:tcPr>
            <w:tcW w:w="2547" w:type="dxa"/>
          </w:tcPr>
          <w:p>
            <w:pPr>
              <w:pStyle w:val="TableParagraph"/>
              <w:spacing w:before="38"/>
              <w:ind w:left="107"/>
              <w:rPr>
                <w:b/>
                <w:sz w:val="21"/>
              </w:rPr>
            </w:pPr>
            <w:r>
              <w:rPr>
                <w:b/>
                <w:spacing w:val="-5"/>
                <w:sz w:val="21"/>
              </w:rPr>
              <w:t>治疗组</w:t>
            </w:r>
          </w:p>
        </w:tc>
        <w:tc>
          <w:tcPr>
            <w:tcW w:w="6211" w:type="dxa"/>
          </w:tcPr>
          <w:p>
            <w:pPr>
              <w:pStyle w:val="TableParagraph"/>
              <w:spacing w:before="38"/>
              <w:ind w:left="106"/>
              <w:rPr>
                <w:b/>
                <w:sz w:val="21"/>
              </w:rPr>
            </w:pPr>
            <w:r>
              <w:rPr>
                <w:b/>
                <w:spacing w:val="-6"/>
                <w:sz w:val="21"/>
              </w:rPr>
              <w:t>描述</w:t>
            </w:r>
          </w:p>
        </w:tc>
      </w:tr>
      <w:tr>
        <w:trPr>
          <w:trHeight w:val="392" w:hRule="atLeast"/>
        </w:trPr>
        <w:tc>
          <w:tcPr>
            <w:tcW w:w="8758" w:type="dxa"/>
            <w:gridSpan w:val="2"/>
            <w:shd w:val="clear" w:color="auto" w:fill="D9D9D9"/>
          </w:tcPr>
          <w:p>
            <w:pPr>
              <w:pStyle w:val="TableParagraph"/>
              <w:spacing w:before="38"/>
              <w:ind w:left="107"/>
              <w:rPr>
                <w:b/>
                <w:sz w:val="21"/>
              </w:rPr>
            </w:pPr>
            <w:r>
              <w:rPr>
                <w:b/>
                <w:spacing w:val="-3"/>
                <w:sz w:val="21"/>
              </w:rPr>
              <w:t>随机治疗组，基于前身研究首次给药后的数据进行主要数据解读：</w:t>
            </w:r>
          </w:p>
        </w:tc>
      </w:tr>
      <w:tr>
        <w:trPr>
          <w:trHeight w:val="1060" w:hRule="atLeast"/>
        </w:trPr>
        <w:tc>
          <w:tcPr>
            <w:tcW w:w="2547" w:type="dxa"/>
          </w:tcPr>
          <w:p>
            <w:pPr>
              <w:pStyle w:val="TableParagraph"/>
              <w:spacing w:line="276" w:lineRule="auto" w:before="214"/>
              <w:ind w:left="107" w:right="274"/>
              <w:rPr>
                <w:sz w:val="21"/>
              </w:rPr>
            </w:pPr>
            <w:r>
              <w:rPr>
                <w:spacing w:val="-11"/>
                <w:sz w:val="21"/>
              </w:rPr>
              <w:t>随机分配的 </w:t>
            </w:r>
            <w:r>
              <w:rPr>
                <w:rFonts w:ascii="Times New Roman" w:eastAsia="Times New Roman"/>
                <w:spacing w:val="-2"/>
                <w:sz w:val="21"/>
              </w:rPr>
              <w:t>tozorakimab </w:t>
            </w:r>
            <w:r>
              <w:rPr>
                <w:rFonts w:ascii="Times New Roman" w:eastAsia="Times New Roman"/>
                <w:sz w:val="21"/>
              </w:rPr>
              <w:t>300 mg SC Q4W </w:t>
            </w:r>
            <w:r>
              <w:rPr>
                <w:sz w:val="21"/>
              </w:rPr>
              <w:t>组</w:t>
            </w:r>
          </w:p>
        </w:tc>
        <w:tc>
          <w:tcPr>
            <w:tcW w:w="6211" w:type="dxa"/>
          </w:tcPr>
          <w:p>
            <w:pPr>
              <w:pStyle w:val="TableParagraph"/>
              <w:spacing w:line="276" w:lineRule="auto" w:before="38"/>
              <w:ind w:left="106" w:right="98"/>
              <w:rPr>
                <w:sz w:val="21"/>
              </w:rPr>
            </w:pPr>
            <w:r>
              <w:rPr>
                <w:spacing w:val="-5"/>
                <w:sz w:val="21"/>
              </w:rPr>
              <w:t>在前身研究中随机分配至 </w:t>
            </w:r>
            <w:r>
              <w:rPr>
                <w:rFonts w:ascii="Times New Roman" w:eastAsia="Times New Roman"/>
                <w:sz w:val="21"/>
              </w:rPr>
              <w:t>tozorakimab</w:t>
            </w:r>
            <w:r>
              <w:rPr>
                <w:rFonts w:ascii="Times New Roman" w:eastAsia="Times New Roman"/>
                <w:spacing w:val="-14"/>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2"/>
                <w:sz w:val="21"/>
              </w:rPr>
              <w:t> </w:t>
            </w:r>
            <w:r>
              <w:rPr>
                <w:rFonts w:ascii="Times New Roman" w:eastAsia="Times New Roman"/>
                <w:sz w:val="21"/>
              </w:rPr>
              <w:t>SC</w:t>
            </w:r>
            <w:r>
              <w:rPr>
                <w:rFonts w:ascii="Times New Roman" w:eastAsia="Times New Roman"/>
                <w:spacing w:val="-11"/>
                <w:sz w:val="21"/>
              </w:rPr>
              <w:t> </w:t>
            </w:r>
            <w:r>
              <w:rPr>
                <w:rFonts w:ascii="Times New Roman" w:eastAsia="Times New Roman"/>
                <w:sz w:val="21"/>
              </w:rPr>
              <w:t>Q4W</w:t>
            </w:r>
            <w:r>
              <w:rPr>
                <w:rFonts w:ascii="Times New Roman" w:eastAsia="Times New Roman"/>
                <w:spacing w:val="-13"/>
                <w:sz w:val="21"/>
              </w:rPr>
              <w:t> </w:t>
            </w:r>
            <w:r>
              <w:rPr>
                <w:sz w:val="21"/>
              </w:rPr>
              <w:t>组的研究受</w:t>
            </w:r>
            <w:r>
              <w:rPr>
                <w:spacing w:val="-2"/>
                <w:sz w:val="21"/>
              </w:rPr>
              <w:t>试者，使用从前身研究开始至 </w:t>
            </w:r>
            <w:r>
              <w:rPr>
                <w:rFonts w:ascii="Times New Roman" w:eastAsia="Times New Roman"/>
                <w:sz w:val="21"/>
              </w:rPr>
              <w:t>PROSPERO </w:t>
            </w:r>
            <w:r>
              <w:rPr>
                <w:sz w:val="21"/>
              </w:rPr>
              <w:t>研究结束的数据。</w:t>
            </w:r>
          </w:p>
          <w:p>
            <w:pPr>
              <w:pStyle w:val="TableParagraph"/>
              <w:spacing w:before="38"/>
              <w:ind w:left="106"/>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2"/>
                <w:sz w:val="21"/>
              </w:rPr>
              <w:t> </w:t>
            </w:r>
            <w:r>
              <w:rPr>
                <w:spacing w:val="-18"/>
                <w:sz w:val="21"/>
              </w:rPr>
              <w:t>中的 </w:t>
            </w:r>
            <w:r>
              <w:rPr>
                <w:rFonts w:ascii="Times New Roman" w:eastAsia="Times New Roman"/>
                <w:sz w:val="21"/>
              </w:rPr>
              <w:t>A</w:t>
            </w:r>
            <w:r>
              <w:rPr>
                <w:sz w:val="21"/>
              </w:rPr>
              <w:t>、</w:t>
            </w:r>
            <w:r>
              <w:rPr>
                <w:rFonts w:ascii="Times New Roman" w:eastAsia="Times New Roman"/>
                <w:sz w:val="21"/>
              </w:rPr>
              <w:t>B</w:t>
            </w:r>
            <w:r>
              <w:rPr>
                <w:rFonts w:ascii="Times New Roman" w:eastAsia="Times New Roman"/>
                <w:spacing w:val="-11"/>
                <w:sz w:val="21"/>
              </w:rPr>
              <w:t> </w:t>
            </w:r>
            <w:r>
              <w:rPr>
                <w:spacing w:val="-27"/>
                <w:sz w:val="21"/>
              </w:rPr>
              <w:t>和 </w:t>
            </w:r>
            <w:r>
              <w:rPr>
                <w:rFonts w:ascii="Times New Roman" w:eastAsia="Times New Roman"/>
                <w:spacing w:val="-10"/>
                <w:sz w:val="21"/>
              </w:rPr>
              <w:t>C</w:t>
            </w:r>
          </w:p>
        </w:tc>
      </w:tr>
      <w:tr>
        <w:trPr>
          <w:trHeight w:val="1372" w:hRule="atLeast"/>
        </w:trPr>
        <w:tc>
          <w:tcPr>
            <w:tcW w:w="2547" w:type="dxa"/>
          </w:tcPr>
          <w:p>
            <w:pPr>
              <w:pStyle w:val="TableParagraph"/>
              <w:spacing w:before="97"/>
              <w:rPr>
                <w:b/>
                <w:sz w:val="21"/>
              </w:rPr>
            </w:pPr>
          </w:p>
          <w:p>
            <w:pPr>
              <w:pStyle w:val="TableParagraph"/>
              <w:spacing w:line="276" w:lineRule="auto"/>
              <w:ind w:left="107" w:right="274"/>
              <w:rPr>
                <w:sz w:val="21"/>
              </w:rPr>
            </w:pPr>
            <w:r>
              <w:rPr>
                <w:spacing w:val="-11"/>
                <w:sz w:val="21"/>
              </w:rPr>
              <w:t>随机分配的 </w:t>
            </w:r>
            <w:r>
              <w:rPr>
                <w:rFonts w:ascii="Times New Roman" w:eastAsia="Times New Roman"/>
                <w:spacing w:val="-2"/>
                <w:sz w:val="21"/>
              </w:rPr>
              <w:t>tozorakimab </w:t>
            </w:r>
            <w:r>
              <w:rPr>
                <w:rFonts w:ascii="Times New Roman" w:eastAsia="Times New Roman"/>
                <w:sz w:val="21"/>
              </w:rPr>
              <w:t>300 mg SC Q8W </w:t>
            </w:r>
            <w:r>
              <w:rPr>
                <w:sz w:val="21"/>
              </w:rPr>
              <w:t>组</w:t>
            </w:r>
          </w:p>
        </w:tc>
        <w:tc>
          <w:tcPr>
            <w:tcW w:w="6211" w:type="dxa"/>
          </w:tcPr>
          <w:p>
            <w:pPr>
              <w:pStyle w:val="TableParagraph"/>
              <w:spacing w:line="276" w:lineRule="auto" w:before="36"/>
              <w:ind w:left="106" w:right="98"/>
              <w:jc w:val="both"/>
              <w:rPr>
                <w:sz w:val="21"/>
              </w:rPr>
            </w:pPr>
            <w:r>
              <w:rPr>
                <w:spacing w:val="-3"/>
                <w:sz w:val="21"/>
              </w:rPr>
              <w:t>在前身研究中随机分配至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SC</w:t>
            </w:r>
            <w:r>
              <w:rPr>
                <w:rFonts w:ascii="Times New Roman" w:eastAsia="Times New Roman"/>
                <w:spacing w:val="-13"/>
                <w:sz w:val="21"/>
              </w:rPr>
              <w:t> </w:t>
            </w:r>
            <w:r>
              <w:rPr>
                <w:rFonts w:ascii="Times New Roman" w:eastAsia="Times New Roman"/>
                <w:sz w:val="21"/>
              </w:rPr>
              <w:t>Q8W</w:t>
            </w:r>
            <w:r>
              <w:rPr>
                <w:rFonts w:ascii="Times New Roman" w:eastAsia="Times New Roman"/>
                <w:spacing w:val="-13"/>
                <w:sz w:val="21"/>
              </w:rPr>
              <w:t> </w:t>
            </w:r>
            <w:r>
              <w:rPr>
                <w:sz w:val="21"/>
              </w:rPr>
              <w:t>组的研究受</w:t>
            </w:r>
            <w:r>
              <w:rPr>
                <w:spacing w:val="-4"/>
                <w:sz w:val="21"/>
              </w:rPr>
              <w:t>试者，使用从前身研究开始至 </w:t>
            </w:r>
            <w:r>
              <w:rPr>
                <w:rFonts w:ascii="Times New Roman" w:eastAsia="Times New Roman"/>
                <w:spacing w:val="-2"/>
                <w:sz w:val="21"/>
              </w:rPr>
              <w:t>PROSPERO</w:t>
            </w:r>
            <w:r>
              <w:rPr>
                <w:rFonts w:ascii="Times New Roman" w:eastAsia="Times New Roman"/>
                <w:spacing w:val="-6"/>
                <w:sz w:val="21"/>
              </w:rPr>
              <w:t> </w:t>
            </w:r>
            <w:r>
              <w:rPr>
                <w:spacing w:val="-2"/>
                <w:sz w:val="21"/>
              </w:rPr>
              <w:t>研究结束或直至重新分</w:t>
            </w:r>
            <w:r>
              <w:rPr>
                <w:spacing w:val="-8"/>
                <w:sz w:val="21"/>
              </w:rPr>
              <w:t>配至 </w:t>
            </w:r>
            <w:r>
              <w:rPr>
                <w:rFonts w:ascii="Times New Roman" w:eastAsia="Times New Roman"/>
                <w:sz w:val="21"/>
              </w:rPr>
              <w:t>tozorakimab 300 mg Q4W </w:t>
            </w:r>
            <w:r>
              <w:rPr>
                <w:sz w:val="21"/>
              </w:rPr>
              <w:t>组的数据。</w:t>
            </w:r>
          </w:p>
          <w:p>
            <w:pPr>
              <w:pStyle w:val="TableParagraph"/>
              <w:spacing w:before="39"/>
              <w:ind w:left="106"/>
              <w:jc w:val="both"/>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2"/>
                <w:sz w:val="21"/>
              </w:rPr>
              <w:t> </w:t>
            </w:r>
            <w:r>
              <w:rPr>
                <w:spacing w:val="-18"/>
                <w:sz w:val="21"/>
              </w:rPr>
              <w:t>中的 </w:t>
            </w:r>
            <w:r>
              <w:rPr>
                <w:rFonts w:ascii="Times New Roman" w:eastAsia="Times New Roman"/>
                <w:sz w:val="21"/>
              </w:rPr>
              <w:t>D</w:t>
            </w:r>
            <w:r>
              <w:rPr>
                <w:sz w:val="21"/>
              </w:rPr>
              <w:t>、</w:t>
            </w:r>
            <w:r>
              <w:rPr>
                <w:rFonts w:ascii="Times New Roman" w:eastAsia="Times New Roman"/>
                <w:sz w:val="21"/>
              </w:rPr>
              <w:t>E</w:t>
            </w:r>
            <w:r>
              <w:rPr>
                <w:sz w:val="21"/>
              </w:rPr>
              <w:t>、</w:t>
            </w:r>
            <w:r>
              <w:rPr>
                <w:rFonts w:ascii="Times New Roman" w:eastAsia="Times New Roman"/>
                <w:sz w:val="21"/>
              </w:rPr>
              <w:t>F</w:t>
            </w:r>
            <w:r>
              <w:rPr>
                <w:rFonts w:ascii="Times New Roman" w:eastAsia="Times New Roman"/>
                <w:spacing w:val="-11"/>
                <w:sz w:val="21"/>
              </w:rPr>
              <w:t> </w:t>
            </w:r>
            <w:r>
              <w:rPr>
                <w:spacing w:val="-27"/>
                <w:sz w:val="21"/>
              </w:rPr>
              <w:t>和 </w:t>
            </w:r>
            <w:r>
              <w:rPr>
                <w:rFonts w:ascii="Times New Roman" w:eastAsia="Times New Roman"/>
                <w:spacing w:val="-10"/>
                <w:sz w:val="21"/>
              </w:rPr>
              <w:t>H</w:t>
            </w:r>
          </w:p>
        </w:tc>
      </w:tr>
      <w:tr>
        <w:trPr>
          <w:trHeight w:val="2000" w:hRule="atLeast"/>
        </w:trPr>
        <w:tc>
          <w:tcPr>
            <w:tcW w:w="2547" w:type="dxa"/>
          </w:tcPr>
          <w:p>
            <w:pPr>
              <w:pStyle w:val="TableParagraph"/>
              <w:rPr>
                <w:b/>
                <w:sz w:val="21"/>
              </w:rPr>
            </w:pPr>
          </w:p>
          <w:p>
            <w:pPr>
              <w:pStyle w:val="TableParagraph"/>
              <w:rPr>
                <w:b/>
                <w:sz w:val="21"/>
              </w:rPr>
            </w:pPr>
          </w:p>
          <w:p>
            <w:pPr>
              <w:pStyle w:val="TableParagraph"/>
              <w:spacing w:before="22"/>
              <w:rPr>
                <w:b/>
                <w:sz w:val="21"/>
              </w:rPr>
            </w:pPr>
          </w:p>
          <w:p>
            <w:pPr>
              <w:pStyle w:val="TableParagraph"/>
              <w:spacing w:before="1"/>
              <w:ind w:left="107"/>
              <w:rPr>
                <w:sz w:val="21"/>
              </w:rPr>
            </w:pPr>
            <w:r>
              <w:rPr>
                <w:spacing w:val="-2"/>
                <w:sz w:val="21"/>
              </w:rPr>
              <w:t>随机分配的安慰剂组</w:t>
            </w:r>
          </w:p>
        </w:tc>
        <w:tc>
          <w:tcPr>
            <w:tcW w:w="6211" w:type="dxa"/>
          </w:tcPr>
          <w:p>
            <w:pPr>
              <w:pStyle w:val="TableParagraph"/>
              <w:spacing w:line="276" w:lineRule="auto" w:before="36"/>
              <w:ind w:left="106" w:right="98"/>
              <w:jc w:val="both"/>
              <w:rPr>
                <w:sz w:val="21"/>
              </w:rPr>
            </w:pPr>
            <w:r>
              <w:rPr>
                <w:spacing w:val="13"/>
                <w:sz w:val="21"/>
              </w:rPr>
              <w:t>针对在前身研究中随机分配至安慰剂组的研究受试者， 若在</w:t>
            </w:r>
            <w:r>
              <w:rPr>
                <w:sz w:val="21"/>
              </w:rPr>
              <w:t> </w:t>
            </w:r>
            <w:r>
              <w:rPr>
                <w:rFonts w:ascii="Times New Roman" w:eastAsia="Times New Roman"/>
                <w:sz w:val="21"/>
              </w:rPr>
              <w:t>PROSPERO</w:t>
            </w:r>
            <w:r>
              <w:rPr>
                <w:rFonts w:ascii="Times New Roman" w:eastAsia="Times New Roman"/>
                <w:spacing w:val="-14"/>
                <w:sz w:val="21"/>
              </w:rPr>
              <w:t> </w:t>
            </w:r>
            <w:r>
              <w:rPr>
                <w:spacing w:val="1"/>
                <w:sz w:val="21"/>
              </w:rPr>
              <w:t>研究中重新随机分配至</w:t>
            </w:r>
            <w:r>
              <w:rPr>
                <w:rFonts w:ascii="Times New Roman" w:eastAsia="Times New Roman"/>
                <w:sz w:val="21"/>
              </w:rPr>
              <w:t>tozorakimab</w:t>
            </w:r>
            <w:r>
              <w:rPr>
                <w:rFonts w:ascii="Times New Roman" w:eastAsia="Times New Roman"/>
                <w:spacing w:val="-13"/>
                <w:sz w:val="21"/>
              </w:rPr>
              <w:t> </w:t>
            </w:r>
            <w:r>
              <w:rPr>
                <w:sz w:val="21"/>
              </w:rPr>
              <w:t>组，则使用从前身</w:t>
            </w:r>
            <w:r>
              <w:rPr>
                <w:spacing w:val="-4"/>
                <w:sz w:val="21"/>
              </w:rPr>
              <w:t>研究开始至转换为 </w:t>
            </w:r>
            <w:r>
              <w:rPr>
                <w:rFonts w:ascii="Times New Roman" w:eastAsia="Times New Roman"/>
                <w:sz w:val="21"/>
              </w:rPr>
              <w:t>tozorakimab</w:t>
            </w:r>
            <w:r>
              <w:rPr>
                <w:rFonts w:ascii="Times New Roman" w:eastAsia="Times New Roman"/>
                <w:spacing w:val="5"/>
                <w:sz w:val="21"/>
              </w:rPr>
              <w:t> </w:t>
            </w:r>
            <w:r>
              <w:rPr>
                <w:spacing w:val="-4"/>
                <w:sz w:val="21"/>
              </w:rPr>
              <w:t>的数据，若在 </w:t>
            </w:r>
            <w:r>
              <w:rPr>
                <w:rFonts w:ascii="Times New Roman" w:eastAsia="Times New Roman"/>
                <w:sz w:val="21"/>
              </w:rPr>
              <w:t>PROSPERO</w:t>
            </w:r>
            <w:r>
              <w:rPr>
                <w:rFonts w:ascii="Times New Roman" w:eastAsia="Times New Roman"/>
                <w:spacing w:val="8"/>
                <w:sz w:val="21"/>
              </w:rPr>
              <w:t> </w:t>
            </w:r>
            <w:r>
              <w:rPr>
                <w:sz w:val="21"/>
              </w:rPr>
              <w:t>研究中</w:t>
            </w:r>
            <w:r>
              <w:rPr>
                <w:spacing w:val="-2"/>
                <w:sz w:val="21"/>
              </w:rPr>
              <w:t>重新随机分配至安慰剂组，则使用从前身研究开始至 </w:t>
            </w:r>
            <w:r>
              <w:rPr>
                <w:rFonts w:ascii="Times New Roman" w:eastAsia="Times New Roman"/>
                <w:sz w:val="21"/>
              </w:rPr>
              <w:t>PROSPERO</w:t>
            </w:r>
            <w:r>
              <w:rPr>
                <w:spacing w:val="-2"/>
                <w:sz w:val="21"/>
              </w:rPr>
              <w:t>研究结束的数据。</w:t>
            </w:r>
          </w:p>
          <w:p>
            <w:pPr>
              <w:pStyle w:val="TableParagraph"/>
              <w:spacing w:before="38"/>
              <w:ind w:left="106"/>
              <w:jc w:val="both"/>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4"/>
                <w:sz w:val="21"/>
              </w:rPr>
              <w:t> </w:t>
            </w:r>
            <w:r>
              <w:rPr>
                <w:spacing w:val="-18"/>
                <w:sz w:val="21"/>
              </w:rPr>
              <w:t>中的 </w:t>
            </w:r>
            <w:r>
              <w:rPr>
                <w:rFonts w:ascii="Times New Roman" w:eastAsia="Times New Roman"/>
                <w:sz w:val="21"/>
              </w:rPr>
              <w:t>I</w:t>
            </w:r>
            <w:r>
              <w:rPr>
                <w:sz w:val="21"/>
              </w:rPr>
              <w:t>、</w:t>
            </w:r>
            <w:r>
              <w:rPr>
                <w:rFonts w:ascii="Times New Roman" w:eastAsia="Times New Roman"/>
                <w:sz w:val="21"/>
              </w:rPr>
              <w:t>K</w:t>
            </w:r>
            <w:r>
              <w:rPr>
                <w:sz w:val="21"/>
              </w:rPr>
              <w:t>、</w:t>
            </w:r>
            <w:r>
              <w:rPr>
                <w:rFonts w:ascii="Times New Roman" w:eastAsia="Times New Roman"/>
                <w:sz w:val="21"/>
              </w:rPr>
              <w:t>M</w:t>
            </w:r>
            <w:r>
              <w:rPr>
                <w:sz w:val="21"/>
              </w:rPr>
              <w:t>、</w:t>
            </w:r>
            <w:r>
              <w:rPr>
                <w:rFonts w:ascii="Times New Roman" w:eastAsia="Times New Roman"/>
                <w:sz w:val="21"/>
              </w:rPr>
              <w:t>N</w:t>
            </w:r>
            <w:r>
              <w:rPr>
                <w:rFonts w:ascii="Times New Roman" w:eastAsia="Times New Roman"/>
                <w:spacing w:val="-11"/>
                <w:sz w:val="21"/>
              </w:rPr>
              <w:t> </w:t>
            </w:r>
            <w:r>
              <w:rPr>
                <w:spacing w:val="-27"/>
                <w:sz w:val="21"/>
              </w:rPr>
              <w:t>和 </w:t>
            </w:r>
            <w:r>
              <w:rPr>
                <w:rFonts w:ascii="Times New Roman" w:eastAsia="Times New Roman"/>
                <w:spacing w:val="-10"/>
                <w:sz w:val="21"/>
              </w:rPr>
              <w:t>O</w:t>
            </w:r>
          </w:p>
        </w:tc>
      </w:tr>
    </w:tbl>
    <w:p>
      <w:pPr>
        <w:spacing w:after="0"/>
        <w:jc w:val="both"/>
        <w:rPr>
          <w:rFonts w:ascii="Times New Roman" w:eastAsia="Times New Roman"/>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6211"/>
      </w:tblGrid>
      <w:tr>
        <w:trPr>
          <w:trHeight w:val="352" w:hRule="atLeast"/>
        </w:trPr>
        <w:tc>
          <w:tcPr>
            <w:tcW w:w="2547" w:type="dxa"/>
          </w:tcPr>
          <w:p>
            <w:pPr>
              <w:pStyle w:val="TableParagraph"/>
              <w:spacing w:before="38"/>
              <w:ind w:left="107"/>
              <w:rPr>
                <w:b/>
                <w:sz w:val="21"/>
              </w:rPr>
            </w:pPr>
            <w:r>
              <w:rPr>
                <w:b/>
                <w:spacing w:val="-5"/>
                <w:sz w:val="21"/>
              </w:rPr>
              <w:t>治疗组</w:t>
            </w:r>
          </w:p>
        </w:tc>
        <w:tc>
          <w:tcPr>
            <w:tcW w:w="6211" w:type="dxa"/>
          </w:tcPr>
          <w:p>
            <w:pPr>
              <w:pStyle w:val="TableParagraph"/>
              <w:spacing w:before="38"/>
              <w:ind w:left="106"/>
              <w:rPr>
                <w:b/>
                <w:sz w:val="21"/>
              </w:rPr>
            </w:pPr>
            <w:r>
              <w:rPr>
                <w:b/>
                <w:spacing w:val="-6"/>
                <w:sz w:val="21"/>
              </w:rPr>
              <w:t>描述</w:t>
            </w:r>
          </w:p>
        </w:tc>
      </w:tr>
      <w:tr>
        <w:trPr>
          <w:trHeight w:val="393" w:hRule="atLeast"/>
        </w:trPr>
        <w:tc>
          <w:tcPr>
            <w:tcW w:w="8758" w:type="dxa"/>
            <w:gridSpan w:val="2"/>
            <w:shd w:val="clear" w:color="auto" w:fill="D9D9D9"/>
          </w:tcPr>
          <w:p>
            <w:pPr>
              <w:pStyle w:val="TableParagraph"/>
              <w:spacing w:before="38"/>
              <w:ind w:left="107"/>
              <w:rPr>
                <w:b/>
                <w:sz w:val="21"/>
              </w:rPr>
            </w:pPr>
            <w:r>
              <w:rPr>
                <w:b/>
                <w:spacing w:val="-4"/>
                <w:sz w:val="21"/>
              </w:rPr>
              <w:t>延续治疗组，比较相同的受试者在前身研究与 </w:t>
            </w:r>
            <w:r>
              <w:rPr>
                <w:rFonts w:ascii="Times New Roman" w:eastAsia="Times New Roman"/>
                <w:b/>
                <w:spacing w:val="-2"/>
                <w:sz w:val="21"/>
              </w:rPr>
              <w:t>LTE</w:t>
            </w:r>
            <w:r>
              <w:rPr>
                <w:rFonts w:ascii="Times New Roman" w:eastAsia="Times New Roman"/>
                <w:b/>
                <w:spacing w:val="2"/>
                <w:sz w:val="21"/>
              </w:rPr>
              <w:t> </w:t>
            </w:r>
            <w:r>
              <w:rPr>
                <w:b/>
                <w:spacing w:val="-4"/>
                <w:sz w:val="21"/>
              </w:rPr>
              <w:t>研究的观察结果</w:t>
            </w:r>
          </w:p>
        </w:tc>
      </w:tr>
      <w:tr>
        <w:trPr>
          <w:trHeight w:val="1372" w:hRule="atLeast"/>
        </w:trPr>
        <w:tc>
          <w:tcPr>
            <w:tcW w:w="2547" w:type="dxa"/>
          </w:tcPr>
          <w:p>
            <w:pPr>
              <w:pStyle w:val="TableParagraph"/>
              <w:spacing w:line="278" w:lineRule="auto" w:before="110"/>
              <w:ind w:left="107" w:right="274"/>
              <w:rPr>
                <w:rFonts w:ascii="Times New Roman" w:eastAsia="Times New Roman"/>
                <w:sz w:val="21"/>
              </w:rPr>
            </w:pPr>
            <w:r>
              <w:rPr>
                <w:spacing w:val="-8"/>
                <w:sz w:val="21"/>
              </w:rPr>
              <w:t>前身研究 </w:t>
            </w:r>
            <w:r>
              <w:rPr>
                <w:rFonts w:ascii="Times New Roman" w:eastAsia="Times New Roman"/>
                <w:sz w:val="21"/>
              </w:rPr>
              <w:t>Tozorakimab 300</w:t>
            </w:r>
            <w:r>
              <w:rPr>
                <w:rFonts w:ascii="Times New Roman" w:eastAsia="Times New Roman"/>
                <w:spacing w:val="-1"/>
                <w:sz w:val="21"/>
              </w:rPr>
              <w:t> </w:t>
            </w:r>
            <w:r>
              <w:rPr>
                <w:rFonts w:ascii="Times New Roman" w:eastAsia="Times New Roman"/>
                <w:sz w:val="21"/>
              </w:rPr>
              <w:t>mg</w:t>
            </w:r>
            <w:r>
              <w:rPr>
                <w:rFonts w:ascii="Times New Roman" w:eastAsia="Times New Roman"/>
                <w:spacing w:val="1"/>
                <w:sz w:val="21"/>
              </w:rPr>
              <w:t> </w:t>
            </w:r>
            <w:r>
              <w:rPr>
                <w:rFonts w:ascii="Times New Roman" w:eastAsia="Times New Roman"/>
                <w:sz w:val="21"/>
              </w:rPr>
              <w:t>SC</w:t>
            </w:r>
            <w:r>
              <w:rPr>
                <w:rFonts w:ascii="Times New Roman" w:eastAsia="Times New Roman"/>
                <w:spacing w:val="-2"/>
                <w:sz w:val="21"/>
              </w:rPr>
              <w:t> </w:t>
            </w:r>
            <w:r>
              <w:rPr>
                <w:rFonts w:ascii="Times New Roman" w:eastAsia="Times New Roman"/>
                <w:sz w:val="21"/>
              </w:rPr>
              <w:t>Q4W + </w:t>
            </w:r>
            <w:r>
              <w:rPr>
                <w:rFonts w:ascii="Times New Roman" w:eastAsia="Times New Roman"/>
                <w:spacing w:val="-5"/>
                <w:sz w:val="21"/>
              </w:rPr>
              <w:t>LTE</w:t>
            </w:r>
          </w:p>
          <w:p>
            <w:pPr>
              <w:pStyle w:val="TableParagraph"/>
              <w:spacing w:line="276" w:lineRule="auto"/>
              <w:ind w:left="107"/>
              <w:rPr>
                <w:rFonts w:ascii="Times New Roman"/>
                <w:sz w:val="21"/>
              </w:rPr>
            </w:pPr>
            <w:r>
              <w:rPr>
                <w:rFonts w:ascii="Times New Roman"/>
                <w:sz w:val="21"/>
              </w:rPr>
              <w:t>Tozorakimab</w:t>
            </w:r>
            <w:r>
              <w:rPr>
                <w:rFonts w:ascii="Times New Roman"/>
                <w:spacing w:val="-12"/>
                <w:sz w:val="21"/>
              </w:rPr>
              <w:t> </w:t>
            </w:r>
            <w:r>
              <w:rPr>
                <w:rFonts w:ascii="Times New Roman"/>
                <w:sz w:val="21"/>
              </w:rPr>
              <w:t>300</w:t>
            </w:r>
            <w:r>
              <w:rPr>
                <w:rFonts w:ascii="Times New Roman"/>
                <w:spacing w:val="-13"/>
                <w:sz w:val="21"/>
              </w:rPr>
              <w:t> </w:t>
            </w:r>
            <w:r>
              <w:rPr>
                <w:rFonts w:ascii="Times New Roman"/>
                <w:sz w:val="21"/>
              </w:rPr>
              <w:t>mg</w:t>
            </w:r>
            <w:r>
              <w:rPr>
                <w:rFonts w:ascii="Times New Roman"/>
                <w:spacing w:val="-13"/>
                <w:sz w:val="21"/>
              </w:rPr>
              <w:t> </w:t>
            </w:r>
            <w:r>
              <w:rPr>
                <w:rFonts w:ascii="Times New Roman"/>
                <w:sz w:val="21"/>
              </w:rPr>
              <w:t>SC </w:t>
            </w:r>
            <w:r>
              <w:rPr>
                <w:rFonts w:ascii="Times New Roman"/>
                <w:spacing w:val="-4"/>
                <w:sz w:val="21"/>
              </w:rPr>
              <w:t>Q4W</w:t>
            </w:r>
          </w:p>
        </w:tc>
        <w:tc>
          <w:tcPr>
            <w:tcW w:w="6211" w:type="dxa"/>
          </w:tcPr>
          <w:p>
            <w:pPr>
              <w:pStyle w:val="TableParagraph"/>
              <w:spacing w:line="276" w:lineRule="auto" w:before="36"/>
              <w:ind w:left="106" w:right="98"/>
              <w:jc w:val="both"/>
              <w:rPr>
                <w:sz w:val="21"/>
              </w:rPr>
            </w:pPr>
            <w:r>
              <w:rPr>
                <w:spacing w:val="-3"/>
                <w:sz w:val="21"/>
              </w:rPr>
              <w:t>在前身研究中随机分配至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SC</w:t>
            </w:r>
            <w:r>
              <w:rPr>
                <w:rFonts w:ascii="Times New Roman" w:eastAsia="Times New Roman"/>
                <w:spacing w:val="-13"/>
                <w:sz w:val="21"/>
              </w:rPr>
              <w:t> </w:t>
            </w:r>
            <w:r>
              <w:rPr>
                <w:rFonts w:ascii="Times New Roman" w:eastAsia="Times New Roman"/>
                <w:sz w:val="21"/>
              </w:rPr>
              <w:t>Q4W</w:t>
            </w:r>
            <w:r>
              <w:rPr>
                <w:rFonts w:ascii="Times New Roman" w:eastAsia="Times New Roman"/>
                <w:spacing w:val="-13"/>
                <w:sz w:val="21"/>
              </w:rPr>
              <w:t> </w:t>
            </w:r>
            <w:r>
              <w:rPr>
                <w:sz w:val="21"/>
              </w:rPr>
              <w:t>组并接受给</w:t>
            </w:r>
            <w:r>
              <w:rPr>
                <w:spacing w:val="-6"/>
                <w:sz w:val="21"/>
              </w:rPr>
              <w:t>药，且在 </w:t>
            </w:r>
            <w:r>
              <w:rPr>
                <w:rFonts w:ascii="Times New Roman" w:eastAsia="Times New Roman"/>
                <w:sz w:val="21"/>
              </w:rPr>
              <w:t>PROSPERO</w:t>
            </w:r>
            <w:r>
              <w:rPr>
                <w:rFonts w:ascii="Times New Roman" w:eastAsia="Times New Roman"/>
                <w:spacing w:val="-13"/>
                <w:sz w:val="21"/>
              </w:rPr>
              <w:t> </w:t>
            </w:r>
            <w:r>
              <w:rPr>
                <w:spacing w:val="-4"/>
                <w:sz w:val="21"/>
              </w:rPr>
              <w:t>研究中也接受 </w:t>
            </w:r>
            <w:r>
              <w:rPr>
                <w:rFonts w:ascii="Times New Roman" w:eastAsia="Times New Roman"/>
                <w:sz w:val="21"/>
              </w:rPr>
              <w:t>Q4W</w:t>
            </w:r>
            <w:r>
              <w:rPr>
                <w:rFonts w:ascii="Times New Roman" w:eastAsia="Times New Roman"/>
                <w:spacing w:val="-10"/>
                <w:sz w:val="21"/>
              </w:rPr>
              <w:t> </w:t>
            </w:r>
            <w:r>
              <w:rPr>
                <w:sz w:val="21"/>
              </w:rPr>
              <w:t>给药的研究受试者，使</w:t>
            </w:r>
            <w:r>
              <w:rPr>
                <w:spacing w:val="-3"/>
                <w:sz w:val="21"/>
              </w:rPr>
              <w:t>用从前身研究开始至 </w:t>
            </w:r>
            <w:r>
              <w:rPr>
                <w:rFonts w:ascii="Times New Roman" w:eastAsia="Times New Roman"/>
                <w:sz w:val="21"/>
              </w:rPr>
              <w:t>PROSPERO </w:t>
            </w:r>
            <w:r>
              <w:rPr>
                <w:sz w:val="21"/>
              </w:rPr>
              <w:t>研究结束的数据。</w:t>
            </w:r>
          </w:p>
          <w:p>
            <w:pPr>
              <w:pStyle w:val="TableParagraph"/>
              <w:spacing w:before="39"/>
              <w:ind w:left="106"/>
              <w:jc w:val="both"/>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0"/>
                <w:sz w:val="21"/>
              </w:rPr>
              <w:t> </w:t>
            </w:r>
            <w:r>
              <w:rPr>
                <w:spacing w:val="-18"/>
                <w:sz w:val="21"/>
              </w:rPr>
              <w:t>中的 </w:t>
            </w:r>
            <w:r>
              <w:rPr>
                <w:rFonts w:ascii="Times New Roman" w:eastAsia="Times New Roman"/>
                <w:sz w:val="21"/>
              </w:rPr>
              <w:t>A</w:t>
            </w:r>
            <w:r>
              <w:rPr>
                <w:rFonts w:ascii="Times New Roman" w:eastAsia="Times New Roman"/>
                <w:spacing w:val="-13"/>
                <w:sz w:val="21"/>
              </w:rPr>
              <w:t> </w:t>
            </w:r>
            <w:r>
              <w:rPr>
                <w:spacing w:val="-27"/>
                <w:sz w:val="21"/>
              </w:rPr>
              <w:t>和 </w:t>
            </w:r>
            <w:r>
              <w:rPr>
                <w:rFonts w:ascii="Times New Roman" w:eastAsia="Times New Roman"/>
                <w:spacing w:val="-10"/>
                <w:sz w:val="21"/>
              </w:rPr>
              <w:t>B</w:t>
            </w:r>
          </w:p>
        </w:tc>
      </w:tr>
      <w:tr>
        <w:trPr>
          <w:trHeight w:val="1373" w:hRule="atLeast"/>
        </w:trPr>
        <w:tc>
          <w:tcPr>
            <w:tcW w:w="2547" w:type="dxa"/>
          </w:tcPr>
          <w:p>
            <w:pPr>
              <w:pStyle w:val="TableParagraph"/>
              <w:spacing w:line="278" w:lineRule="auto" w:before="111"/>
              <w:ind w:left="107" w:right="274"/>
              <w:rPr>
                <w:rFonts w:ascii="Times New Roman" w:eastAsia="Times New Roman"/>
                <w:sz w:val="21"/>
              </w:rPr>
            </w:pPr>
            <w:r>
              <w:rPr>
                <w:spacing w:val="-8"/>
                <w:sz w:val="21"/>
              </w:rPr>
              <w:t>前身研究 </w:t>
            </w:r>
            <w:r>
              <w:rPr>
                <w:rFonts w:ascii="Times New Roman" w:eastAsia="Times New Roman"/>
                <w:sz w:val="21"/>
              </w:rPr>
              <w:t>Tozorakimab 300</w:t>
            </w:r>
            <w:r>
              <w:rPr>
                <w:rFonts w:ascii="Times New Roman" w:eastAsia="Times New Roman"/>
                <w:spacing w:val="-1"/>
                <w:sz w:val="21"/>
              </w:rPr>
              <w:t> </w:t>
            </w:r>
            <w:r>
              <w:rPr>
                <w:rFonts w:ascii="Times New Roman" w:eastAsia="Times New Roman"/>
                <w:sz w:val="21"/>
              </w:rPr>
              <w:t>mg</w:t>
            </w:r>
            <w:r>
              <w:rPr>
                <w:rFonts w:ascii="Times New Roman" w:eastAsia="Times New Roman"/>
                <w:spacing w:val="1"/>
                <w:sz w:val="21"/>
              </w:rPr>
              <w:t> </w:t>
            </w:r>
            <w:r>
              <w:rPr>
                <w:rFonts w:ascii="Times New Roman" w:eastAsia="Times New Roman"/>
                <w:sz w:val="21"/>
              </w:rPr>
              <w:t>SC</w:t>
            </w:r>
            <w:r>
              <w:rPr>
                <w:rFonts w:ascii="Times New Roman" w:eastAsia="Times New Roman"/>
                <w:spacing w:val="-2"/>
                <w:sz w:val="21"/>
              </w:rPr>
              <w:t> </w:t>
            </w:r>
            <w:r>
              <w:rPr>
                <w:rFonts w:ascii="Times New Roman" w:eastAsia="Times New Roman"/>
                <w:sz w:val="21"/>
              </w:rPr>
              <w:t>Q8W + </w:t>
            </w:r>
            <w:r>
              <w:rPr>
                <w:rFonts w:ascii="Times New Roman" w:eastAsia="Times New Roman"/>
                <w:spacing w:val="-5"/>
                <w:sz w:val="21"/>
              </w:rPr>
              <w:t>LTE</w:t>
            </w:r>
          </w:p>
          <w:p>
            <w:pPr>
              <w:pStyle w:val="TableParagraph"/>
              <w:spacing w:line="276" w:lineRule="auto"/>
              <w:ind w:left="107"/>
              <w:rPr>
                <w:rFonts w:ascii="Times New Roman"/>
                <w:sz w:val="21"/>
              </w:rPr>
            </w:pPr>
            <w:r>
              <w:rPr>
                <w:rFonts w:ascii="Times New Roman"/>
                <w:sz w:val="21"/>
              </w:rPr>
              <w:t>Tozorakimab</w:t>
            </w:r>
            <w:r>
              <w:rPr>
                <w:rFonts w:ascii="Times New Roman"/>
                <w:spacing w:val="-12"/>
                <w:sz w:val="21"/>
              </w:rPr>
              <w:t> </w:t>
            </w:r>
            <w:r>
              <w:rPr>
                <w:rFonts w:ascii="Times New Roman"/>
                <w:sz w:val="21"/>
              </w:rPr>
              <w:t>300</w:t>
            </w:r>
            <w:r>
              <w:rPr>
                <w:rFonts w:ascii="Times New Roman"/>
                <w:spacing w:val="-13"/>
                <w:sz w:val="21"/>
              </w:rPr>
              <w:t> </w:t>
            </w:r>
            <w:r>
              <w:rPr>
                <w:rFonts w:ascii="Times New Roman"/>
                <w:sz w:val="21"/>
              </w:rPr>
              <w:t>mg</w:t>
            </w:r>
            <w:r>
              <w:rPr>
                <w:rFonts w:ascii="Times New Roman"/>
                <w:spacing w:val="-13"/>
                <w:sz w:val="21"/>
              </w:rPr>
              <w:t> </w:t>
            </w:r>
            <w:r>
              <w:rPr>
                <w:rFonts w:ascii="Times New Roman"/>
                <w:sz w:val="21"/>
              </w:rPr>
              <w:t>SC </w:t>
            </w:r>
            <w:r>
              <w:rPr>
                <w:rFonts w:ascii="Times New Roman"/>
                <w:spacing w:val="-4"/>
                <w:sz w:val="21"/>
              </w:rPr>
              <w:t>Q8W</w:t>
            </w:r>
          </w:p>
        </w:tc>
        <w:tc>
          <w:tcPr>
            <w:tcW w:w="6211" w:type="dxa"/>
          </w:tcPr>
          <w:p>
            <w:pPr>
              <w:pStyle w:val="TableParagraph"/>
              <w:spacing w:line="276" w:lineRule="auto" w:before="38"/>
              <w:ind w:left="106" w:right="98"/>
              <w:jc w:val="both"/>
              <w:rPr>
                <w:sz w:val="21"/>
              </w:rPr>
            </w:pPr>
            <w:r>
              <w:rPr>
                <w:spacing w:val="-3"/>
                <w:sz w:val="21"/>
              </w:rPr>
              <w:t>在前身研究中随机分配至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SC</w:t>
            </w:r>
            <w:r>
              <w:rPr>
                <w:rFonts w:ascii="Times New Roman" w:eastAsia="Times New Roman"/>
                <w:spacing w:val="-13"/>
                <w:sz w:val="21"/>
              </w:rPr>
              <w:t> </w:t>
            </w:r>
            <w:r>
              <w:rPr>
                <w:rFonts w:ascii="Times New Roman" w:eastAsia="Times New Roman"/>
                <w:sz w:val="21"/>
              </w:rPr>
              <w:t>Q8W</w:t>
            </w:r>
            <w:r>
              <w:rPr>
                <w:rFonts w:ascii="Times New Roman" w:eastAsia="Times New Roman"/>
                <w:spacing w:val="-13"/>
                <w:sz w:val="21"/>
              </w:rPr>
              <w:t> </w:t>
            </w:r>
            <w:r>
              <w:rPr>
                <w:sz w:val="21"/>
              </w:rPr>
              <w:t>组并接受给</w:t>
            </w:r>
            <w:r>
              <w:rPr>
                <w:spacing w:val="-6"/>
                <w:sz w:val="21"/>
              </w:rPr>
              <w:t>药，且在 </w:t>
            </w:r>
            <w:r>
              <w:rPr>
                <w:rFonts w:ascii="Times New Roman" w:eastAsia="Times New Roman"/>
                <w:sz w:val="21"/>
              </w:rPr>
              <w:t>PROSPERO</w:t>
            </w:r>
            <w:r>
              <w:rPr>
                <w:rFonts w:ascii="Times New Roman" w:eastAsia="Times New Roman"/>
                <w:spacing w:val="-13"/>
                <w:sz w:val="21"/>
              </w:rPr>
              <w:t> </w:t>
            </w:r>
            <w:r>
              <w:rPr>
                <w:spacing w:val="-4"/>
                <w:sz w:val="21"/>
              </w:rPr>
              <w:t>研究中也接受 </w:t>
            </w:r>
            <w:r>
              <w:rPr>
                <w:rFonts w:ascii="Times New Roman" w:eastAsia="Times New Roman"/>
                <w:sz w:val="21"/>
              </w:rPr>
              <w:t>Q8W</w:t>
            </w:r>
            <w:r>
              <w:rPr>
                <w:rFonts w:ascii="Times New Roman" w:eastAsia="Times New Roman"/>
                <w:spacing w:val="-10"/>
                <w:sz w:val="21"/>
              </w:rPr>
              <w:t> </w:t>
            </w:r>
            <w:r>
              <w:rPr>
                <w:sz w:val="21"/>
              </w:rPr>
              <w:t>给药的研究受试者，使</w:t>
            </w:r>
            <w:r>
              <w:rPr>
                <w:spacing w:val="-3"/>
                <w:sz w:val="21"/>
              </w:rPr>
              <w:t>用从前身研究开始至 </w:t>
            </w:r>
            <w:r>
              <w:rPr>
                <w:rFonts w:ascii="Times New Roman" w:eastAsia="Times New Roman"/>
                <w:sz w:val="21"/>
              </w:rPr>
              <w:t>PROSPERO </w:t>
            </w:r>
            <w:r>
              <w:rPr>
                <w:sz w:val="21"/>
              </w:rPr>
              <w:t>研究结束的数据。</w:t>
            </w:r>
          </w:p>
          <w:p>
            <w:pPr>
              <w:pStyle w:val="TableParagraph"/>
              <w:spacing w:before="37"/>
              <w:ind w:left="106"/>
              <w:jc w:val="both"/>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0"/>
                <w:sz w:val="21"/>
              </w:rPr>
              <w:t> </w:t>
            </w:r>
            <w:r>
              <w:rPr>
                <w:spacing w:val="-18"/>
                <w:sz w:val="21"/>
              </w:rPr>
              <w:t>中的 </w:t>
            </w:r>
            <w:r>
              <w:rPr>
                <w:rFonts w:ascii="Times New Roman" w:eastAsia="Times New Roman"/>
                <w:sz w:val="21"/>
              </w:rPr>
              <w:t>D</w:t>
            </w:r>
            <w:r>
              <w:rPr>
                <w:rFonts w:ascii="Times New Roman" w:eastAsia="Times New Roman"/>
                <w:spacing w:val="-13"/>
                <w:sz w:val="21"/>
              </w:rPr>
              <w:t> </w:t>
            </w:r>
            <w:r>
              <w:rPr>
                <w:spacing w:val="-27"/>
                <w:sz w:val="21"/>
              </w:rPr>
              <w:t>和 </w:t>
            </w:r>
            <w:r>
              <w:rPr>
                <w:rFonts w:ascii="Times New Roman" w:eastAsia="Times New Roman"/>
                <w:spacing w:val="-10"/>
                <w:sz w:val="21"/>
              </w:rPr>
              <w:t>E</w:t>
            </w:r>
          </w:p>
        </w:tc>
      </w:tr>
      <w:tr>
        <w:trPr>
          <w:trHeight w:val="1372" w:hRule="atLeast"/>
        </w:trPr>
        <w:tc>
          <w:tcPr>
            <w:tcW w:w="2547" w:type="dxa"/>
          </w:tcPr>
          <w:p>
            <w:pPr>
              <w:pStyle w:val="TableParagraph"/>
              <w:spacing w:line="273" w:lineRule="auto" w:before="95"/>
              <w:ind w:left="107"/>
              <w:rPr>
                <w:sz w:val="21"/>
              </w:rPr>
            </w:pP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SC </w:t>
            </w:r>
            <w:r>
              <w:rPr>
                <w:rFonts w:ascii="Times New Roman" w:eastAsia="Times New Roman"/>
                <w:spacing w:val="-2"/>
                <w:sz w:val="21"/>
              </w:rPr>
              <w:t>Q8W</w:t>
            </w:r>
            <w:r>
              <w:rPr>
                <w:spacing w:val="-2"/>
                <w:sz w:val="21"/>
              </w:rPr>
              <w:t>（前身研究）</w:t>
            </w:r>
          </w:p>
          <w:p>
            <w:pPr>
              <w:pStyle w:val="TableParagraph"/>
              <w:spacing w:line="273" w:lineRule="auto" w:before="4"/>
              <w:ind w:left="107"/>
              <w:rPr>
                <w:sz w:val="21"/>
              </w:rPr>
            </w:pPr>
            <w:r>
              <w:rPr>
                <w:rFonts w:ascii="Times New Roman" w:eastAsia="Times New Roman"/>
                <w:sz w:val="21"/>
              </w:rPr>
              <w:t>+tozorakimab</w:t>
            </w:r>
            <w:r>
              <w:rPr>
                <w:rFonts w:ascii="Times New Roman" w:eastAsia="Times New Roman"/>
                <w:spacing w:val="-12"/>
                <w:sz w:val="21"/>
              </w:rPr>
              <w:t> </w:t>
            </w:r>
            <w:r>
              <w:rPr>
                <w:rFonts w:ascii="Times New Roman" w:eastAsia="Times New Roman"/>
                <w:sz w:val="21"/>
              </w:rPr>
              <w:t>300</w:t>
            </w:r>
            <w:r>
              <w:rPr>
                <w:rFonts w:ascii="Times New Roman" w:eastAsia="Times New Roman"/>
                <w:spacing w:val="-12"/>
                <w:sz w:val="21"/>
              </w:rPr>
              <w:t> </w:t>
            </w:r>
            <w:r>
              <w:rPr>
                <w:rFonts w:ascii="Times New Roman" w:eastAsia="Times New Roman"/>
                <w:sz w:val="21"/>
              </w:rPr>
              <w:t>mg</w:t>
            </w:r>
            <w:r>
              <w:rPr>
                <w:rFonts w:ascii="Times New Roman" w:eastAsia="Times New Roman"/>
                <w:spacing w:val="-12"/>
                <w:sz w:val="21"/>
              </w:rPr>
              <w:t> </w:t>
            </w:r>
            <w:r>
              <w:rPr>
                <w:rFonts w:ascii="Times New Roman" w:eastAsia="Times New Roman"/>
                <w:sz w:val="21"/>
              </w:rPr>
              <w:t>SC </w:t>
            </w:r>
            <w:r>
              <w:rPr>
                <w:rFonts w:ascii="Times New Roman" w:eastAsia="Times New Roman"/>
                <w:spacing w:val="-2"/>
                <w:sz w:val="21"/>
              </w:rPr>
              <w:t>Q4W</w:t>
            </w:r>
            <w:r>
              <w:rPr>
                <w:spacing w:val="-2"/>
                <w:sz w:val="21"/>
              </w:rPr>
              <w:t>（</w:t>
            </w:r>
            <w:r>
              <w:rPr>
                <w:rFonts w:ascii="Times New Roman" w:eastAsia="Times New Roman"/>
                <w:spacing w:val="-2"/>
                <w:sz w:val="21"/>
              </w:rPr>
              <w:t>LTE</w:t>
            </w:r>
            <w:r>
              <w:rPr>
                <w:spacing w:val="-2"/>
                <w:sz w:val="21"/>
              </w:rPr>
              <w:t>）</w:t>
            </w:r>
          </w:p>
        </w:tc>
        <w:tc>
          <w:tcPr>
            <w:tcW w:w="6211" w:type="dxa"/>
          </w:tcPr>
          <w:p>
            <w:pPr>
              <w:pStyle w:val="TableParagraph"/>
              <w:spacing w:line="276" w:lineRule="auto" w:before="36"/>
              <w:ind w:left="106" w:right="97"/>
              <w:jc w:val="both"/>
              <w:rPr>
                <w:sz w:val="21"/>
              </w:rPr>
            </w:pPr>
            <w:r>
              <w:rPr>
                <w:spacing w:val="-2"/>
                <w:sz w:val="21"/>
              </w:rPr>
              <w:t>在前身研究中，研究受试者被随机分配至 </w:t>
            </w:r>
            <w:r>
              <w:rPr>
                <w:rFonts w:ascii="Times New Roman" w:eastAsia="Times New Roman"/>
                <w:sz w:val="21"/>
              </w:rPr>
              <w:t>tozorakimab 300 mg </w:t>
            </w:r>
            <w:r>
              <w:rPr>
                <w:rFonts w:ascii="Times New Roman" w:eastAsia="Times New Roman"/>
                <w:sz w:val="21"/>
              </w:rPr>
              <w:t>SC Q8W </w:t>
            </w:r>
            <w:r>
              <w:rPr>
                <w:spacing w:val="-2"/>
                <w:sz w:val="21"/>
              </w:rPr>
              <w:t>组并接受给药，在 </w:t>
            </w:r>
            <w:r>
              <w:rPr>
                <w:rFonts w:ascii="Times New Roman" w:eastAsia="Times New Roman"/>
                <w:sz w:val="21"/>
              </w:rPr>
              <w:t>PROSPERO </w:t>
            </w:r>
            <w:r>
              <w:rPr>
                <w:sz w:val="21"/>
              </w:rPr>
              <w:t>研究中，研究受试者被重新</w:t>
            </w:r>
            <w:r>
              <w:rPr>
                <w:spacing w:val="-3"/>
                <w:sz w:val="21"/>
              </w:rPr>
              <w:t>分配至 </w:t>
            </w:r>
            <w:r>
              <w:rPr>
                <w:rFonts w:ascii="Times New Roman" w:eastAsia="Times New Roman"/>
                <w:sz w:val="21"/>
              </w:rPr>
              <w:t>tozorakimab SC Q4W </w:t>
            </w:r>
            <w:r>
              <w:rPr>
                <w:sz w:val="21"/>
              </w:rPr>
              <w:t>组并接受给药。</w:t>
            </w:r>
          </w:p>
          <w:p>
            <w:pPr>
              <w:pStyle w:val="TableParagraph"/>
              <w:spacing w:before="39"/>
              <w:ind w:left="106"/>
              <w:jc w:val="both"/>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0"/>
                <w:sz w:val="21"/>
              </w:rPr>
              <w:t> </w:t>
            </w:r>
            <w:r>
              <w:rPr>
                <w:spacing w:val="-18"/>
                <w:sz w:val="21"/>
              </w:rPr>
              <w:t>中的 </w:t>
            </w:r>
            <w:r>
              <w:rPr>
                <w:rFonts w:ascii="Times New Roman" w:eastAsia="Times New Roman"/>
                <w:sz w:val="21"/>
              </w:rPr>
              <w:t>F</w:t>
            </w:r>
            <w:r>
              <w:rPr>
                <w:rFonts w:ascii="Times New Roman" w:eastAsia="Times New Roman"/>
                <w:spacing w:val="-13"/>
                <w:sz w:val="21"/>
              </w:rPr>
              <w:t> </w:t>
            </w:r>
            <w:r>
              <w:rPr>
                <w:spacing w:val="-27"/>
                <w:sz w:val="21"/>
              </w:rPr>
              <w:t>和 </w:t>
            </w:r>
            <w:r>
              <w:rPr>
                <w:rFonts w:ascii="Times New Roman" w:eastAsia="Times New Roman"/>
                <w:spacing w:val="-10"/>
                <w:sz w:val="21"/>
              </w:rPr>
              <w:t>G</w:t>
            </w:r>
          </w:p>
        </w:tc>
      </w:tr>
      <w:tr>
        <w:trPr>
          <w:trHeight w:val="1372" w:hRule="atLeast"/>
        </w:trPr>
        <w:tc>
          <w:tcPr>
            <w:tcW w:w="2547" w:type="dxa"/>
          </w:tcPr>
          <w:p>
            <w:pPr>
              <w:pStyle w:val="TableParagraph"/>
              <w:spacing w:before="97"/>
              <w:rPr>
                <w:b/>
                <w:sz w:val="21"/>
              </w:rPr>
            </w:pPr>
          </w:p>
          <w:p>
            <w:pPr>
              <w:pStyle w:val="TableParagraph"/>
              <w:ind w:left="107"/>
              <w:rPr>
                <w:rFonts w:ascii="Times New Roman" w:eastAsia="Times New Roman"/>
                <w:sz w:val="21"/>
              </w:rPr>
            </w:pPr>
            <w:r>
              <w:rPr>
                <w:spacing w:val="-7"/>
                <w:sz w:val="21"/>
              </w:rPr>
              <w:t>前身研究安慰剂 </w:t>
            </w:r>
            <w:r>
              <w:rPr>
                <w:rFonts w:ascii="Times New Roman" w:eastAsia="Times New Roman"/>
                <w:sz w:val="21"/>
              </w:rPr>
              <w:t>+ </w:t>
            </w:r>
            <w:r>
              <w:rPr>
                <w:rFonts w:ascii="Times New Roman" w:eastAsia="Times New Roman"/>
                <w:spacing w:val="-5"/>
                <w:sz w:val="21"/>
              </w:rPr>
              <w:t>LTE</w:t>
            </w:r>
          </w:p>
          <w:p>
            <w:pPr>
              <w:pStyle w:val="TableParagraph"/>
              <w:spacing w:before="40"/>
              <w:ind w:left="107"/>
              <w:rPr>
                <w:sz w:val="21"/>
              </w:rPr>
            </w:pPr>
            <w:r>
              <w:rPr>
                <w:spacing w:val="-4"/>
                <w:sz w:val="21"/>
              </w:rPr>
              <w:t>安慰剂</w:t>
            </w:r>
          </w:p>
        </w:tc>
        <w:tc>
          <w:tcPr>
            <w:tcW w:w="6211" w:type="dxa"/>
          </w:tcPr>
          <w:p>
            <w:pPr>
              <w:pStyle w:val="TableParagraph"/>
              <w:spacing w:line="276" w:lineRule="auto" w:before="36"/>
              <w:ind w:left="106" w:right="98"/>
              <w:jc w:val="both"/>
              <w:rPr>
                <w:sz w:val="21"/>
              </w:rPr>
            </w:pPr>
            <w:r>
              <w:rPr>
                <w:spacing w:val="-4"/>
                <w:sz w:val="21"/>
              </w:rPr>
              <w:t>在前身研究中随机分配至安慰剂组，且在 </w:t>
            </w:r>
            <w:r>
              <w:rPr>
                <w:rFonts w:ascii="Times New Roman" w:eastAsia="Times New Roman"/>
                <w:spacing w:val="-2"/>
                <w:sz w:val="21"/>
              </w:rPr>
              <w:t>PROSPERO</w:t>
            </w:r>
            <w:r>
              <w:rPr>
                <w:rFonts w:ascii="Times New Roman" w:eastAsia="Times New Roman"/>
                <w:spacing w:val="-6"/>
                <w:sz w:val="21"/>
              </w:rPr>
              <w:t> </w:t>
            </w:r>
            <w:r>
              <w:rPr>
                <w:spacing w:val="-2"/>
                <w:sz w:val="21"/>
              </w:rPr>
              <w:t>研究中重新随机分配至安慰剂组并接受安慰剂给药的所有受试者。将包括从</w:t>
            </w:r>
            <w:r>
              <w:rPr>
                <w:spacing w:val="-3"/>
                <w:sz w:val="21"/>
              </w:rPr>
              <w:t>前身研究中首次给药至 </w:t>
            </w:r>
            <w:r>
              <w:rPr>
                <w:rFonts w:ascii="Times New Roman" w:eastAsia="Times New Roman"/>
                <w:sz w:val="21"/>
              </w:rPr>
              <w:t>PROSPERO </w:t>
            </w:r>
            <w:r>
              <w:rPr>
                <w:sz w:val="21"/>
              </w:rPr>
              <w:t>研究结束的所有数据。</w:t>
            </w:r>
          </w:p>
          <w:p>
            <w:pPr>
              <w:pStyle w:val="TableParagraph"/>
              <w:spacing w:before="39"/>
              <w:ind w:left="106"/>
              <w:jc w:val="both"/>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0"/>
                <w:sz w:val="21"/>
              </w:rPr>
              <w:t> </w:t>
            </w:r>
            <w:r>
              <w:rPr>
                <w:spacing w:val="-18"/>
                <w:sz w:val="21"/>
              </w:rPr>
              <w:t>中的 </w:t>
            </w:r>
            <w:r>
              <w:rPr>
                <w:rFonts w:ascii="Times New Roman" w:eastAsia="Times New Roman"/>
                <w:sz w:val="21"/>
              </w:rPr>
              <w:t>M</w:t>
            </w:r>
            <w:r>
              <w:rPr>
                <w:rFonts w:ascii="Times New Roman" w:eastAsia="Times New Roman"/>
                <w:spacing w:val="-12"/>
                <w:sz w:val="21"/>
              </w:rPr>
              <w:t> </w:t>
            </w:r>
            <w:r>
              <w:rPr>
                <w:spacing w:val="-27"/>
                <w:sz w:val="21"/>
              </w:rPr>
              <w:t>和 </w:t>
            </w:r>
            <w:r>
              <w:rPr>
                <w:rFonts w:ascii="Times New Roman" w:eastAsia="Times New Roman"/>
                <w:spacing w:val="-10"/>
                <w:sz w:val="21"/>
              </w:rPr>
              <w:t>N</w:t>
            </w:r>
          </w:p>
        </w:tc>
      </w:tr>
      <w:tr>
        <w:trPr>
          <w:trHeight w:val="3019" w:hRule="atLeast"/>
        </w:trPr>
        <w:tc>
          <w:tcPr>
            <w:tcW w:w="2547" w:type="dxa"/>
          </w:tcPr>
          <w:p>
            <w:pPr>
              <w:pStyle w:val="TableParagraph"/>
              <w:rPr>
                <w:b/>
                <w:sz w:val="21"/>
              </w:rPr>
            </w:pPr>
          </w:p>
          <w:p>
            <w:pPr>
              <w:pStyle w:val="TableParagraph"/>
              <w:rPr>
                <w:b/>
                <w:sz w:val="21"/>
              </w:rPr>
            </w:pPr>
          </w:p>
          <w:p>
            <w:pPr>
              <w:pStyle w:val="TableParagraph"/>
              <w:spacing w:before="253"/>
              <w:rPr>
                <w:b/>
                <w:sz w:val="21"/>
              </w:rPr>
            </w:pPr>
          </w:p>
          <w:p>
            <w:pPr>
              <w:pStyle w:val="TableParagraph"/>
              <w:spacing w:line="276" w:lineRule="auto"/>
              <w:ind w:left="107" w:right="308"/>
              <w:jc w:val="both"/>
              <w:rPr>
                <w:rFonts w:ascii="Times New Roman" w:eastAsia="Times New Roman"/>
                <w:sz w:val="21"/>
              </w:rPr>
            </w:pPr>
            <w:r>
              <w:rPr>
                <w:spacing w:val="-4"/>
                <w:sz w:val="21"/>
              </w:rPr>
              <w:t>前身研究安慰剂 </w:t>
            </w:r>
            <w:r>
              <w:rPr>
                <w:rFonts w:ascii="Times New Roman" w:eastAsia="Times New Roman"/>
                <w:spacing w:val="-7"/>
                <w:sz w:val="21"/>
              </w:rPr>
              <w:t>+ </w:t>
            </w:r>
            <w:r>
              <w:rPr>
                <w:rFonts w:ascii="Times New Roman" w:eastAsia="Times New Roman"/>
                <w:sz w:val="21"/>
              </w:rPr>
              <w:t>LTE Tozorakimab</w:t>
            </w:r>
            <w:r>
              <w:rPr>
                <w:rFonts w:ascii="Times New Roman" w:eastAsia="Times New Roman"/>
                <w:spacing w:val="-12"/>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SC </w:t>
            </w:r>
            <w:r>
              <w:rPr>
                <w:rFonts w:ascii="Times New Roman" w:eastAsia="Times New Roman"/>
                <w:spacing w:val="-4"/>
                <w:sz w:val="21"/>
              </w:rPr>
              <w:t>Q4W</w:t>
            </w:r>
          </w:p>
        </w:tc>
        <w:tc>
          <w:tcPr>
            <w:tcW w:w="6211" w:type="dxa"/>
          </w:tcPr>
          <w:p>
            <w:pPr>
              <w:pStyle w:val="TableParagraph"/>
              <w:spacing w:line="276" w:lineRule="auto" w:before="38"/>
              <w:ind w:left="106" w:right="98"/>
              <w:jc w:val="both"/>
              <w:rPr>
                <w:sz w:val="21"/>
              </w:rPr>
            </w:pPr>
            <w:r>
              <w:rPr>
                <w:spacing w:val="-4"/>
                <w:sz w:val="21"/>
              </w:rPr>
              <w:t>在前身研究中最初随机分配至安慰剂组且在 </w:t>
            </w:r>
            <w:r>
              <w:rPr>
                <w:rFonts w:ascii="Times New Roman" w:eastAsia="Times New Roman"/>
                <w:spacing w:val="-2"/>
                <w:sz w:val="21"/>
              </w:rPr>
              <w:t>PROSPERO</w:t>
            </w:r>
            <w:r>
              <w:rPr>
                <w:rFonts w:ascii="Times New Roman" w:eastAsia="Times New Roman"/>
                <w:spacing w:val="-6"/>
                <w:sz w:val="21"/>
              </w:rPr>
              <w:t> </w:t>
            </w:r>
            <w:r>
              <w:rPr>
                <w:spacing w:val="-2"/>
                <w:sz w:val="21"/>
              </w:rPr>
              <w:t>研究中重</w:t>
            </w:r>
            <w:r>
              <w:rPr>
                <w:spacing w:val="-4"/>
                <w:sz w:val="21"/>
              </w:rPr>
              <w:t>新随机分配至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SC</w:t>
            </w:r>
            <w:r>
              <w:rPr>
                <w:rFonts w:ascii="Times New Roman" w:eastAsia="Times New Roman"/>
                <w:spacing w:val="-13"/>
                <w:sz w:val="21"/>
              </w:rPr>
              <w:t> </w:t>
            </w:r>
            <w:r>
              <w:rPr>
                <w:rFonts w:ascii="Times New Roman" w:eastAsia="Times New Roman"/>
                <w:sz w:val="21"/>
              </w:rPr>
              <w:t>Q4W</w:t>
            </w:r>
            <w:r>
              <w:rPr>
                <w:rFonts w:ascii="Times New Roman" w:eastAsia="Times New Roman"/>
                <w:spacing w:val="-13"/>
                <w:sz w:val="21"/>
              </w:rPr>
              <w:t> </w:t>
            </w:r>
            <w:r>
              <w:rPr>
                <w:sz w:val="21"/>
              </w:rPr>
              <w:t>组并接受给药的所有受</w:t>
            </w:r>
            <w:r>
              <w:rPr>
                <w:spacing w:val="-2"/>
                <w:sz w:val="21"/>
              </w:rPr>
              <w:t>试者。当按照访视或研究期（</w:t>
            </w:r>
            <w:r>
              <w:rPr>
                <w:spacing w:val="-6"/>
                <w:sz w:val="21"/>
              </w:rPr>
              <w:t>前身研究或 </w:t>
            </w:r>
            <w:r>
              <w:rPr>
                <w:rFonts w:ascii="Times New Roman" w:eastAsia="Times New Roman"/>
                <w:spacing w:val="-2"/>
                <w:sz w:val="21"/>
              </w:rPr>
              <w:t>PROSPERO</w:t>
            </w:r>
            <w:r>
              <w:rPr>
                <w:rFonts w:ascii="Times New Roman" w:eastAsia="Times New Roman"/>
                <w:spacing w:val="-6"/>
                <w:sz w:val="21"/>
              </w:rPr>
              <w:t> </w:t>
            </w:r>
            <w:r>
              <w:rPr>
                <w:spacing w:val="-2"/>
                <w:sz w:val="21"/>
              </w:rPr>
              <w:t>研究）总结</w:t>
            </w:r>
            <w:r>
              <w:rPr>
                <w:sz w:val="21"/>
              </w:rPr>
              <w:t>数据时，将包括从前身研究中首次给药</w:t>
            </w:r>
            <w:r>
              <w:rPr>
                <w:rFonts w:ascii="Times New Roman" w:eastAsia="Times New Roman"/>
                <w:sz w:val="21"/>
              </w:rPr>
              <w:t>/</w:t>
            </w:r>
            <w:r>
              <w:rPr>
                <w:sz w:val="21"/>
              </w:rPr>
              <w:t>随机化至 </w:t>
            </w:r>
            <w:r>
              <w:rPr>
                <w:rFonts w:ascii="Times New Roman" w:eastAsia="Times New Roman"/>
                <w:sz w:val="21"/>
              </w:rPr>
              <w:t>PROSPERO </w:t>
            </w:r>
            <w:r>
              <w:rPr>
                <w:sz w:val="21"/>
              </w:rPr>
              <w:t>研</w:t>
            </w:r>
            <w:r>
              <w:rPr>
                <w:spacing w:val="-2"/>
                <w:sz w:val="21"/>
              </w:rPr>
              <w:t>究结束的所有数据。</w:t>
            </w:r>
          </w:p>
          <w:p>
            <w:pPr>
              <w:pStyle w:val="TableParagraph"/>
              <w:spacing w:before="36"/>
              <w:ind w:left="106"/>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0"/>
                <w:sz w:val="21"/>
              </w:rPr>
              <w:t> </w:t>
            </w:r>
            <w:r>
              <w:rPr>
                <w:spacing w:val="-18"/>
                <w:sz w:val="21"/>
              </w:rPr>
              <w:t>中的 </w:t>
            </w:r>
            <w:r>
              <w:rPr>
                <w:rFonts w:ascii="Times New Roman" w:eastAsia="Times New Roman"/>
                <w:sz w:val="21"/>
              </w:rPr>
              <w:t>I</w:t>
            </w:r>
            <w:r>
              <w:rPr>
                <w:rFonts w:ascii="Times New Roman" w:eastAsia="Times New Roman"/>
                <w:spacing w:val="-13"/>
                <w:sz w:val="21"/>
              </w:rPr>
              <w:t> </w:t>
            </w:r>
            <w:r>
              <w:rPr>
                <w:spacing w:val="-27"/>
                <w:sz w:val="21"/>
              </w:rPr>
              <w:t>和 </w:t>
            </w:r>
            <w:r>
              <w:rPr>
                <w:rFonts w:ascii="Times New Roman" w:eastAsia="Times New Roman"/>
                <w:spacing w:val="-10"/>
                <w:sz w:val="21"/>
              </w:rPr>
              <w:t>J</w:t>
            </w:r>
          </w:p>
          <w:p>
            <w:pPr>
              <w:pStyle w:val="TableParagraph"/>
              <w:spacing w:before="80"/>
              <w:ind w:left="106"/>
              <w:rPr>
                <w:sz w:val="21"/>
              </w:rPr>
            </w:pPr>
            <w:r>
              <w:rPr>
                <w:spacing w:val="-3"/>
                <w:sz w:val="21"/>
              </w:rPr>
              <w:t>否则，如果未按时间总结，则仅包括自 </w:t>
            </w:r>
            <w:r>
              <w:rPr>
                <w:rFonts w:ascii="Times New Roman" w:eastAsia="Times New Roman"/>
                <w:sz w:val="21"/>
              </w:rPr>
              <w:t>PROSPERO</w:t>
            </w:r>
            <w:r>
              <w:rPr>
                <w:rFonts w:ascii="Times New Roman" w:eastAsia="Times New Roman"/>
                <w:spacing w:val="-13"/>
                <w:sz w:val="21"/>
              </w:rPr>
              <w:t> </w:t>
            </w:r>
            <w:r>
              <w:rPr>
                <w:spacing w:val="-2"/>
                <w:sz w:val="21"/>
              </w:rPr>
              <w:t>中重新随机化</w:t>
            </w:r>
          </w:p>
          <w:p>
            <w:pPr>
              <w:pStyle w:val="TableParagraph"/>
              <w:spacing w:before="40"/>
              <w:ind w:left="106"/>
              <w:rPr>
                <w:sz w:val="21"/>
              </w:rPr>
            </w:pPr>
            <w:r>
              <w:rPr>
                <w:rFonts w:ascii="Times New Roman" w:eastAsia="Times New Roman"/>
                <w:sz w:val="21"/>
              </w:rPr>
              <w:t>/</w:t>
            </w:r>
            <w:r>
              <w:rPr>
                <w:spacing w:val="-1"/>
                <w:sz w:val="21"/>
              </w:rPr>
              <w:t>首次给药以后的数据。</w:t>
            </w:r>
          </w:p>
          <w:p>
            <w:pPr>
              <w:pStyle w:val="TableParagraph"/>
              <w:spacing w:before="81"/>
              <w:ind w:left="106"/>
              <w:rPr>
                <w:rFonts w:ascii="Times New Roman" w:eastAsia="Times New Roman"/>
                <w:sz w:val="21"/>
              </w:rPr>
            </w:pPr>
            <w:r>
              <w:rPr>
                <w:sz w:val="21"/>
              </w:rPr>
              <w:t>仅</w:t>
            </w: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0"/>
                <w:sz w:val="21"/>
              </w:rPr>
              <w:t> </w:t>
            </w:r>
            <w:r>
              <w:rPr>
                <w:spacing w:val="-18"/>
                <w:sz w:val="21"/>
              </w:rPr>
              <w:t>中的 </w:t>
            </w:r>
            <w:r>
              <w:rPr>
                <w:rFonts w:ascii="Times New Roman" w:eastAsia="Times New Roman"/>
                <w:spacing w:val="-10"/>
                <w:sz w:val="21"/>
              </w:rPr>
              <w:t>J</w:t>
            </w:r>
          </w:p>
        </w:tc>
      </w:tr>
      <w:tr>
        <w:trPr>
          <w:trHeight w:val="3018" w:hRule="atLeast"/>
        </w:trPr>
        <w:tc>
          <w:tcPr>
            <w:tcW w:w="2547" w:type="dxa"/>
          </w:tcPr>
          <w:p>
            <w:pPr>
              <w:pStyle w:val="TableParagraph"/>
              <w:rPr>
                <w:b/>
                <w:sz w:val="21"/>
              </w:rPr>
            </w:pPr>
          </w:p>
          <w:p>
            <w:pPr>
              <w:pStyle w:val="TableParagraph"/>
              <w:rPr>
                <w:b/>
                <w:sz w:val="21"/>
              </w:rPr>
            </w:pPr>
          </w:p>
          <w:p>
            <w:pPr>
              <w:pStyle w:val="TableParagraph"/>
              <w:spacing w:before="253"/>
              <w:rPr>
                <w:b/>
                <w:sz w:val="21"/>
              </w:rPr>
            </w:pPr>
          </w:p>
          <w:p>
            <w:pPr>
              <w:pStyle w:val="TableParagraph"/>
              <w:spacing w:line="276" w:lineRule="auto"/>
              <w:ind w:left="107" w:right="308"/>
              <w:jc w:val="both"/>
              <w:rPr>
                <w:rFonts w:ascii="Times New Roman" w:eastAsia="Times New Roman"/>
                <w:sz w:val="21"/>
              </w:rPr>
            </w:pPr>
            <w:r>
              <w:rPr>
                <w:spacing w:val="-4"/>
                <w:sz w:val="21"/>
              </w:rPr>
              <w:t>前身研究安慰剂 </w:t>
            </w:r>
            <w:r>
              <w:rPr>
                <w:rFonts w:ascii="Times New Roman" w:eastAsia="Times New Roman"/>
                <w:spacing w:val="-7"/>
                <w:sz w:val="21"/>
              </w:rPr>
              <w:t>+ </w:t>
            </w:r>
            <w:r>
              <w:rPr>
                <w:rFonts w:ascii="Times New Roman" w:eastAsia="Times New Roman"/>
                <w:sz w:val="21"/>
              </w:rPr>
              <w:t>LTE Tozorakimab</w:t>
            </w:r>
            <w:r>
              <w:rPr>
                <w:rFonts w:ascii="Times New Roman" w:eastAsia="Times New Roman"/>
                <w:spacing w:val="-12"/>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SC </w:t>
            </w:r>
            <w:r>
              <w:rPr>
                <w:rFonts w:ascii="Times New Roman" w:eastAsia="Times New Roman"/>
                <w:spacing w:val="-4"/>
                <w:sz w:val="21"/>
              </w:rPr>
              <w:t>Q8W</w:t>
            </w:r>
          </w:p>
        </w:tc>
        <w:tc>
          <w:tcPr>
            <w:tcW w:w="6211" w:type="dxa"/>
          </w:tcPr>
          <w:p>
            <w:pPr>
              <w:pStyle w:val="TableParagraph"/>
              <w:spacing w:line="276" w:lineRule="auto" w:before="36"/>
              <w:ind w:left="106" w:right="98"/>
              <w:jc w:val="both"/>
              <w:rPr>
                <w:sz w:val="21"/>
              </w:rPr>
            </w:pPr>
            <w:r>
              <w:rPr>
                <w:spacing w:val="-4"/>
                <w:sz w:val="21"/>
              </w:rPr>
              <w:t>在前身研究中最初随机分配至安慰剂组且在 </w:t>
            </w:r>
            <w:r>
              <w:rPr>
                <w:rFonts w:ascii="Times New Roman" w:eastAsia="Times New Roman"/>
                <w:spacing w:val="-2"/>
                <w:sz w:val="21"/>
              </w:rPr>
              <w:t>PROSPERO</w:t>
            </w:r>
            <w:r>
              <w:rPr>
                <w:rFonts w:ascii="Times New Roman" w:eastAsia="Times New Roman"/>
                <w:spacing w:val="-6"/>
                <w:sz w:val="21"/>
              </w:rPr>
              <w:t> </w:t>
            </w:r>
            <w:r>
              <w:rPr>
                <w:spacing w:val="-2"/>
                <w:sz w:val="21"/>
              </w:rPr>
              <w:t>研究中重</w:t>
            </w:r>
            <w:r>
              <w:rPr>
                <w:spacing w:val="-4"/>
                <w:sz w:val="21"/>
              </w:rPr>
              <w:t>新随机分配至 </w:t>
            </w:r>
            <w:r>
              <w:rPr>
                <w:rFonts w:ascii="Times New Roman" w:eastAsia="Times New Roman"/>
                <w:sz w:val="21"/>
              </w:rPr>
              <w:t>tozorakimab</w:t>
            </w:r>
            <w:r>
              <w:rPr>
                <w:rFonts w:ascii="Times New Roman" w:eastAsia="Times New Roman"/>
                <w:spacing w:val="-13"/>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3"/>
                <w:sz w:val="21"/>
              </w:rPr>
              <w:t> </w:t>
            </w:r>
            <w:r>
              <w:rPr>
                <w:rFonts w:ascii="Times New Roman" w:eastAsia="Times New Roman"/>
                <w:sz w:val="21"/>
              </w:rPr>
              <w:t>SC</w:t>
            </w:r>
            <w:r>
              <w:rPr>
                <w:rFonts w:ascii="Times New Roman" w:eastAsia="Times New Roman"/>
                <w:spacing w:val="-13"/>
                <w:sz w:val="21"/>
              </w:rPr>
              <w:t> </w:t>
            </w:r>
            <w:r>
              <w:rPr>
                <w:rFonts w:ascii="Times New Roman" w:eastAsia="Times New Roman"/>
                <w:sz w:val="21"/>
              </w:rPr>
              <w:t>Q8W</w:t>
            </w:r>
            <w:r>
              <w:rPr>
                <w:rFonts w:ascii="Times New Roman" w:eastAsia="Times New Roman"/>
                <w:spacing w:val="-13"/>
                <w:sz w:val="21"/>
              </w:rPr>
              <w:t> </w:t>
            </w:r>
            <w:r>
              <w:rPr>
                <w:sz w:val="21"/>
              </w:rPr>
              <w:t>组并接受给药的所有受</w:t>
            </w:r>
            <w:r>
              <w:rPr>
                <w:spacing w:val="-2"/>
                <w:sz w:val="21"/>
              </w:rPr>
              <w:t>试者。当按照访视或研究期（</w:t>
            </w:r>
            <w:r>
              <w:rPr>
                <w:spacing w:val="-6"/>
                <w:sz w:val="21"/>
              </w:rPr>
              <w:t>前身研究或 </w:t>
            </w:r>
            <w:r>
              <w:rPr>
                <w:rFonts w:ascii="Times New Roman" w:eastAsia="Times New Roman"/>
                <w:spacing w:val="-2"/>
                <w:sz w:val="21"/>
              </w:rPr>
              <w:t>PROSPERO</w:t>
            </w:r>
            <w:r>
              <w:rPr>
                <w:rFonts w:ascii="Times New Roman" w:eastAsia="Times New Roman"/>
                <w:spacing w:val="-6"/>
                <w:sz w:val="21"/>
              </w:rPr>
              <w:t> </w:t>
            </w:r>
            <w:r>
              <w:rPr>
                <w:spacing w:val="-2"/>
                <w:sz w:val="21"/>
              </w:rPr>
              <w:t>研究）总结</w:t>
            </w:r>
            <w:r>
              <w:rPr>
                <w:sz w:val="21"/>
              </w:rPr>
              <w:t>数据时，将包括从前身研究中首次给药</w:t>
            </w:r>
            <w:r>
              <w:rPr>
                <w:rFonts w:ascii="Times New Roman" w:eastAsia="Times New Roman"/>
                <w:sz w:val="21"/>
              </w:rPr>
              <w:t>/</w:t>
            </w:r>
            <w:r>
              <w:rPr>
                <w:sz w:val="21"/>
              </w:rPr>
              <w:t>随机化至 </w:t>
            </w:r>
            <w:r>
              <w:rPr>
                <w:rFonts w:ascii="Times New Roman" w:eastAsia="Times New Roman"/>
                <w:sz w:val="21"/>
              </w:rPr>
              <w:t>PROSPERO </w:t>
            </w:r>
            <w:r>
              <w:rPr>
                <w:sz w:val="21"/>
              </w:rPr>
              <w:t>研</w:t>
            </w:r>
            <w:r>
              <w:rPr>
                <w:spacing w:val="-2"/>
                <w:sz w:val="21"/>
              </w:rPr>
              <w:t>究结束的所有数据。</w:t>
            </w:r>
          </w:p>
          <w:p>
            <w:pPr>
              <w:pStyle w:val="TableParagraph"/>
              <w:spacing w:before="37"/>
              <w:ind w:left="106"/>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0"/>
                <w:sz w:val="21"/>
              </w:rPr>
              <w:t> </w:t>
            </w:r>
            <w:r>
              <w:rPr>
                <w:spacing w:val="-18"/>
                <w:sz w:val="21"/>
              </w:rPr>
              <w:t>中的 </w:t>
            </w:r>
            <w:r>
              <w:rPr>
                <w:rFonts w:ascii="Times New Roman" w:eastAsia="Times New Roman"/>
                <w:sz w:val="21"/>
              </w:rPr>
              <w:t>K</w:t>
            </w:r>
            <w:r>
              <w:rPr>
                <w:rFonts w:ascii="Times New Roman" w:eastAsia="Times New Roman"/>
                <w:spacing w:val="-13"/>
                <w:sz w:val="21"/>
              </w:rPr>
              <w:t> </w:t>
            </w:r>
            <w:r>
              <w:rPr>
                <w:spacing w:val="-27"/>
                <w:sz w:val="21"/>
              </w:rPr>
              <w:t>和 </w:t>
            </w:r>
            <w:r>
              <w:rPr>
                <w:rFonts w:ascii="Times New Roman" w:eastAsia="Times New Roman"/>
                <w:spacing w:val="-10"/>
                <w:sz w:val="21"/>
              </w:rPr>
              <w:t>L</w:t>
            </w:r>
          </w:p>
          <w:p>
            <w:pPr>
              <w:pStyle w:val="TableParagraph"/>
              <w:spacing w:before="80"/>
              <w:ind w:left="106"/>
              <w:rPr>
                <w:sz w:val="21"/>
              </w:rPr>
            </w:pPr>
            <w:r>
              <w:rPr>
                <w:spacing w:val="-3"/>
                <w:sz w:val="21"/>
              </w:rPr>
              <w:t>否则，如果未按时间总结，则仅包括自 </w:t>
            </w:r>
            <w:r>
              <w:rPr>
                <w:rFonts w:ascii="Times New Roman" w:eastAsia="Times New Roman"/>
                <w:sz w:val="21"/>
              </w:rPr>
              <w:t>PROSPERO</w:t>
            </w:r>
            <w:r>
              <w:rPr>
                <w:rFonts w:ascii="Times New Roman" w:eastAsia="Times New Roman"/>
                <w:spacing w:val="-13"/>
                <w:sz w:val="21"/>
              </w:rPr>
              <w:t> </w:t>
            </w:r>
            <w:r>
              <w:rPr>
                <w:spacing w:val="-2"/>
                <w:sz w:val="21"/>
              </w:rPr>
              <w:t>中重新随机化</w:t>
            </w:r>
          </w:p>
          <w:p>
            <w:pPr>
              <w:pStyle w:val="TableParagraph"/>
              <w:spacing w:before="40"/>
              <w:ind w:left="106"/>
              <w:rPr>
                <w:sz w:val="21"/>
              </w:rPr>
            </w:pPr>
            <w:r>
              <w:rPr>
                <w:rFonts w:ascii="Times New Roman" w:eastAsia="Times New Roman"/>
                <w:sz w:val="21"/>
              </w:rPr>
              <w:t>/</w:t>
            </w:r>
            <w:r>
              <w:rPr>
                <w:spacing w:val="-1"/>
                <w:sz w:val="21"/>
              </w:rPr>
              <w:t>首次给药以后的数据。</w:t>
            </w:r>
          </w:p>
          <w:p>
            <w:pPr>
              <w:pStyle w:val="TableParagraph"/>
              <w:spacing w:before="81"/>
              <w:ind w:left="106"/>
              <w:rPr>
                <w:rFonts w:ascii="Times New Roman" w:eastAsia="Times New Roman"/>
                <w:sz w:val="21"/>
              </w:rPr>
            </w:pPr>
            <w:r>
              <w:rPr>
                <w:sz w:val="21"/>
              </w:rPr>
              <w:t>仅</w:t>
            </w: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0"/>
                <w:sz w:val="21"/>
              </w:rPr>
              <w:t> </w:t>
            </w:r>
            <w:r>
              <w:rPr>
                <w:spacing w:val="-18"/>
                <w:sz w:val="21"/>
              </w:rPr>
              <w:t>中的 </w:t>
            </w:r>
            <w:r>
              <w:rPr>
                <w:rFonts w:ascii="Times New Roman" w:eastAsia="Times New Roman"/>
                <w:spacing w:val="-10"/>
                <w:sz w:val="21"/>
              </w:rPr>
              <w:t>L</w:t>
            </w:r>
          </w:p>
        </w:tc>
      </w:tr>
      <w:tr>
        <w:trPr>
          <w:trHeight w:val="393" w:hRule="atLeast"/>
        </w:trPr>
        <w:tc>
          <w:tcPr>
            <w:tcW w:w="8758" w:type="dxa"/>
            <w:gridSpan w:val="2"/>
            <w:shd w:val="clear" w:color="auto" w:fill="D9D9D9"/>
          </w:tcPr>
          <w:p>
            <w:pPr>
              <w:pStyle w:val="TableParagraph"/>
              <w:spacing w:before="38"/>
              <w:ind w:left="107"/>
              <w:rPr>
                <w:b/>
                <w:sz w:val="21"/>
              </w:rPr>
            </w:pPr>
            <w:r>
              <w:rPr>
                <w:b/>
                <w:spacing w:val="-3"/>
                <w:sz w:val="21"/>
              </w:rPr>
              <w:t>所有暴露后治疗组，考虑所有接受活性药物治疗的受试者</w:t>
            </w:r>
          </w:p>
        </w:tc>
      </w:tr>
      <w:tr>
        <w:trPr>
          <w:trHeight w:val="706" w:hRule="atLeast"/>
        </w:trPr>
        <w:tc>
          <w:tcPr>
            <w:tcW w:w="2547" w:type="dxa"/>
          </w:tcPr>
          <w:p>
            <w:pPr>
              <w:pStyle w:val="TableParagraph"/>
              <w:spacing w:line="276" w:lineRule="auto" w:before="36"/>
              <w:ind w:left="107" w:right="216"/>
              <w:rPr>
                <w:sz w:val="21"/>
              </w:rPr>
            </w:pPr>
            <w:r>
              <w:rPr>
                <w:spacing w:val="-18"/>
                <w:sz w:val="21"/>
              </w:rPr>
              <w:t>所有 </w:t>
            </w:r>
            <w:r>
              <w:rPr>
                <w:rFonts w:ascii="Times New Roman" w:eastAsia="Times New Roman"/>
                <w:sz w:val="21"/>
              </w:rPr>
              <w:t>tozorakimab</w:t>
            </w:r>
            <w:r>
              <w:rPr>
                <w:rFonts w:ascii="Times New Roman" w:eastAsia="Times New Roman"/>
                <w:spacing w:val="-14"/>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 SC Q4W </w:t>
            </w:r>
            <w:r>
              <w:rPr>
                <w:sz w:val="21"/>
              </w:rPr>
              <w:t>组</w:t>
            </w:r>
          </w:p>
        </w:tc>
        <w:tc>
          <w:tcPr>
            <w:tcW w:w="6211" w:type="dxa"/>
          </w:tcPr>
          <w:p>
            <w:pPr>
              <w:pStyle w:val="TableParagraph"/>
              <w:spacing w:line="276" w:lineRule="auto" w:before="36"/>
              <w:ind w:left="106" w:right="98"/>
              <w:rPr>
                <w:sz w:val="21"/>
              </w:rPr>
            </w:pPr>
            <w:r>
              <w:rPr>
                <w:spacing w:val="-5"/>
                <w:sz w:val="21"/>
              </w:rPr>
              <w:t>在前身研究中随机接受 </w:t>
            </w:r>
            <w:r>
              <w:rPr>
                <w:rFonts w:ascii="Times New Roman" w:eastAsia="Times New Roman"/>
                <w:sz w:val="21"/>
              </w:rPr>
              <w:t>tozorakimab</w:t>
            </w:r>
            <w:r>
              <w:rPr>
                <w:rFonts w:ascii="Times New Roman" w:eastAsia="Times New Roman"/>
                <w:spacing w:val="-14"/>
                <w:sz w:val="21"/>
              </w:rPr>
              <w:t>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12"/>
                <w:sz w:val="21"/>
              </w:rPr>
              <w:t> </w:t>
            </w:r>
            <w:r>
              <w:rPr>
                <w:rFonts w:ascii="Times New Roman" w:eastAsia="Times New Roman"/>
                <w:sz w:val="21"/>
              </w:rPr>
              <w:t>SC</w:t>
            </w:r>
            <w:r>
              <w:rPr>
                <w:rFonts w:ascii="Times New Roman" w:eastAsia="Times New Roman"/>
                <w:spacing w:val="-11"/>
                <w:sz w:val="21"/>
              </w:rPr>
              <w:t> </w:t>
            </w:r>
            <w:r>
              <w:rPr>
                <w:rFonts w:ascii="Times New Roman" w:eastAsia="Times New Roman"/>
                <w:sz w:val="21"/>
              </w:rPr>
              <w:t>Q4W</w:t>
            </w:r>
            <w:r>
              <w:rPr>
                <w:rFonts w:ascii="Times New Roman" w:eastAsia="Times New Roman"/>
                <w:spacing w:val="-13"/>
                <w:sz w:val="21"/>
              </w:rPr>
              <w:t> </w:t>
            </w:r>
            <w:r>
              <w:rPr>
                <w:sz w:val="21"/>
              </w:rPr>
              <w:t>组的所有受试</w:t>
            </w:r>
            <w:r>
              <w:rPr>
                <w:spacing w:val="-8"/>
                <w:sz w:val="21"/>
              </w:rPr>
              <w:t>者，以及在 </w:t>
            </w:r>
            <w:r>
              <w:rPr>
                <w:rFonts w:ascii="Times New Roman" w:eastAsia="Times New Roman"/>
                <w:sz w:val="21"/>
              </w:rPr>
              <w:t>LTE</w:t>
            </w:r>
            <w:r>
              <w:rPr>
                <w:rFonts w:ascii="Times New Roman" w:eastAsia="Times New Roman"/>
                <w:spacing w:val="-7"/>
                <w:sz w:val="21"/>
              </w:rPr>
              <w:t> </w:t>
            </w:r>
            <w:r>
              <w:rPr>
                <w:spacing w:val="-6"/>
                <w:sz w:val="21"/>
              </w:rPr>
              <w:t>研究中随机接受 </w:t>
            </w:r>
            <w:r>
              <w:rPr>
                <w:rFonts w:ascii="Times New Roman" w:eastAsia="Times New Roman"/>
                <w:sz w:val="21"/>
              </w:rPr>
              <w:t>tozorakimab</w:t>
            </w:r>
            <w:r>
              <w:rPr>
                <w:rFonts w:ascii="Times New Roman" w:eastAsia="Times New Roman"/>
                <w:spacing w:val="24"/>
                <w:sz w:val="21"/>
              </w:rPr>
              <w:t> </w:t>
            </w:r>
            <w:r>
              <w:rPr>
                <w:rFonts w:ascii="Times New Roman" w:eastAsia="Times New Roman"/>
                <w:sz w:val="21"/>
              </w:rPr>
              <w:t>300</w:t>
            </w:r>
            <w:r>
              <w:rPr>
                <w:rFonts w:ascii="Times New Roman" w:eastAsia="Times New Roman"/>
                <w:spacing w:val="25"/>
                <w:sz w:val="21"/>
              </w:rPr>
              <w:t> </w:t>
            </w:r>
            <w:r>
              <w:rPr>
                <w:rFonts w:ascii="Times New Roman" w:eastAsia="Times New Roman"/>
                <w:sz w:val="21"/>
              </w:rPr>
              <w:t>mg</w:t>
            </w:r>
            <w:r>
              <w:rPr>
                <w:rFonts w:ascii="Times New Roman" w:eastAsia="Times New Roman"/>
                <w:spacing w:val="25"/>
                <w:sz w:val="21"/>
              </w:rPr>
              <w:t> </w:t>
            </w:r>
            <w:r>
              <w:rPr>
                <w:rFonts w:ascii="Times New Roman" w:eastAsia="Times New Roman"/>
                <w:sz w:val="21"/>
              </w:rPr>
              <w:t>SC</w:t>
            </w:r>
            <w:r>
              <w:rPr>
                <w:rFonts w:ascii="Times New Roman" w:eastAsia="Times New Roman"/>
                <w:spacing w:val="24"/>
                <w:sz w:val="21"/>
              </w:rPr>
              <w:t> </w:t>
            </w:r>
            <w:r>
              <w:rPr>
                <w:rFonts w:ascii="Times New Roman" w:eastAsia="Times New Roman"/>
                <w:sz w:val="21"/>
              </w:rPr>
              <w:t>Q4W</w:t>
            </w:r>
            <w:r>
              <w:rPr>
                <w:rFonts w:ascii="Times New Roman" w:eastAsia="Times New Roman"/>
                <w:spacing w:val="-5"/>
                <w:sz w:val="21"/>
              </w:rPr>
              <w:t> </w:t>
            </w:r>
            <w:r>
              <w:rPr>
                <w:spacing w:val="-10"/>
                <w:sz w:val="21"/>
              </w:rPr>
              <w:t>且</w:t>
            </w:r>
          </w:p>
        </w:tc>
      </w:tr>
    </w:tbl>
    <w:p>
      <w:pPr>
        <w:spacing w:after="0" w:line="276" w:lineRule="auto"/>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6211"/>
      </w:tblGrid>
      <w:tr>
        <w:trPr>
          <w:trHeight w:val="352" w:hRule="atLeast"/>
        </w:trPr>
        <w:tc>
          <w:tcPr>
            <w:tcW w:w="2547" w:type="dxa"/>
          </w:tcPr>
          <w:p>
            <w:pPr>
              <w:pStyle w:val="TableParagraph"/>
              <w:spacing w:before="38"/>
              <w:ind w:left="107"/>
              <w:rPr>
                <w:b/>
                <w:sz w:val="21"/>
              </w:rPr>
            </w:pPr>
            <w:r>
              <w:rPr>
                <w:b/>
                <w:spacing w:val="-5"/>
                <w:sz w:val="21"/>
              </w:rPr>
              <w:t>治疗组</w:t>
            </w:r>
          </w:p>
        </w:tc>
        <w:tc>
          <w:tcPr>
            <w:tcW w:w="6211" w:type="dxa"/>
          </w:tcPr>
          <w:p>
            <w:pPr>
              <w:pStyle w:val="TableParagraph"/>
              <w:spacing w:before="38"/>
              <w:ind w:left="106"/>
              <w:rPr>
                <w:b/>
                <w:sz w:val="21"/>
              </w:rPr>
            </w:pPr>
            <w:r>
              <w:rPr>
                <w:b/>
                <w:spacing w:val="-6"/>
                <w:sz w:val="21"/>
              </w:rPr>
              <w:t>描述</w:t>
            </w:r>
          </w:p>
        </w:tc>
      </w:tr>
      <w:tr>
        <w:trPr>
          <w:trHeight w:val="1020" w:hRule="atLeast"/>
        </w:trPr>
        <w:tc>
          <w:tcPr>
            <w:tcW w:w="2547" w:type="dxa"/>
          </w:tcPr>
          <w:p>
            <w:pPr>
              <w:pStyle w:val="TableParagraph"/>
              <w:rPr>
                <w:rFonts w:ascii="Times New Roman"/>
                <w:sz w:val="22"/>
              </w:rPr>
            </w:pPr>
          </w:p>
        </w:tc>
        <w:tc>
          <w:tcPr>
            <w:tcW w:w="6211" w:type="dxa"/>
          </w:tcPr>
          <w:p>
            <w:pPr>
              <w:pStyle w:val="TableParagraph"/>
              <w:spacing w:line="276" w:lineRule="auto"/>
              <w:ind w:left="106" w:right="98"/>
              <w:rPr>
                <w:sz w:val="21"/>
              </w:rPr>
            </w:pPr>
            <w:r>
              <w:rPr>
                <w:spacing w:val="-6"/>
                <w:sz w:val="21"/>
              </w:rPr>
              <w:t>是第一次接受的 </w:t>
            </w:r>
            <w:r>
              <w:rPr>
                <w:rFonts w:ascii="Times New Roman" w:eastAsia="Times New Roman"/>
                <w:sz w:val="21"/>
              </w:rPr>
              <w:t>tozorakimab</w:t>
            </w:r>
            <w:r>
              <w:rPr>
                <w:rFonts w:ascii="Times New Roman" w:eastAsia="Times New Roman"/>
                <w:spacing w:val="-14"/>
                <w:sz w:val="21"/>
              </w:rPr>
              <w:t> </w:t>
            </w:r>
            <w:r>
              <w:rPr>
                <w:sz w:val="21"/>
              </w:rPr>
              <w:t>给药方案的受试者。将包括自首次给药</w:t>
            </w:r>
            <w:r>
              <w:rPr>
                <w:rFonts w:ascii="Times New Roman" w:eastAsia="Times New Roman"/>
                <w:sz w:val="21"/>
              </w:rPr>
              <w:t>/</w:t>
            </w:r>
            <w:r>
              <w:rPr>
                <w:spacing w:val="-5"/>
                <w:sz w:val="21"/>
              </w:rPr>
              <w:t>随机分配至 </w:t>
            </w:r>
            <w:r>
              <w:rPr>
                <w:rFonts w:ascii="Times New Roman" w:eastAsia="Times New Roman"/>
                <w:sz w:val="21"/>
              </w:rPr>
              <w:t>tozorakimab 300 mg SC Q4W </w:t>
            </w:r>
            <w:r>
              <w:rPr>
                <w:sz w:val="21"/>
              </w:rPr>
              <w:t>组起的所有数据。</w:t>
            </w:r>
          </w:p>
          <w:p>
            <w:pPr>
              <w:pStyle w:val="TableParagraph"/>
              <w:spacing w:before="36"/>
              <w:ind w:left="106"/>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2"/>
                <w:sz w:val="21"/>
              </w:rPr>
              <w:t> </w:t>
            </w:r>
            <w:r>
              <w:rPr>
                <w:spacing w:val="-18"/>
                <w:sz w:val="21"/>
              </w:rPr>
              <w:t>中的 </w:t>
            </w:r>
            <w:r>
              <w:rPr>
                <w:rFonts w:ascii="Times New Roman" w:eastAsia="Times New Roman"/>
                <w:sz w:val="21"/>
              </w:rPr>
              <w:t>A</w:t>
            </w:r>
            <w:r>
              <w:rPr>
                <w:sz w:val="21"/>
              </w:rPr>
              <w:t>、</w:t>
            </w:r>
            <w:r>
              <w:rPr>
                <w:rFonts w:ascii="Times New Roman" w:eastAsia="Times New Roman"/>
                <w:sz w:val="21"/>
              </w:rPr>
              <w:t>B</w:t>
            </w:r>
            <w:r>
              <w:rPr>
                <w:sz w:val="21"/>
              </w:rPr>
              <w:t>、</w:t>
            </w:r>
            <w:r>
              <w:rPr>
                <w:rFonts w:ascii="Times New Roman" w:eastAsia="Times New Roman"/>
                <w:sz w:val="21"/>
              </w:rPr>
              <w:t>C</w:t>
            </w:r>
            <w:r>
              <w:rPr>
                <w:rFonts w:ascii="Times New Roman" w:eastAsia="Times New Roman"/>
                <w:spacing w:val="-11"/>
                <w:sz w:val="21"/>
              </w:rPr>
              <w:t> </w:t>
            </w:r>
            <w:r>
              <w:rPr>
                <w:spacing w:val="-27"/>
                <w:sz w:val="21"/>
              </w:rPr>
              <w:t>和 </w:t>
            </w:r>
            <w:r>
              <w:rPr>
                <w:rFonts w:ascii="Times New Roman" w:eastAsia="Times New Roman"/>
                <w:spacing w:val="-10"/>
                <w:sz w:val="21"/>
              </w:rPr>
              <w:t>J</w:t>
            </w:r>
          </w:p>
        </w:tc>
      </w:tr>
      <w:tr>
        <w:trPr>
          <w:trHeight w:val="1372" w:hRule="atLeast"/>
        </w:trPr>
        <w:tc>
          <w:tcPr>
            <w:tcW w:w="2547" w:type="dxa"/>
          </w:tcPr>
          <w:p>
            <w:pPr>
              <w:pStyle w:val="TableParagraph"/>
              <w:spacing w:before="254"/>
              <w:rPr>
                <w:b/>
                <w:sz w:val="21"/>
              </w:rPr>
            </w:pPr>
          </w:p>
          <w:p>
            <w:pPr>
              <w:pStyle w:val="TableParagraph"/>
              <w:ind w:left="107"/>
              <w:rPr>
                <w:sz w:val="21"/>
              </w:rPr>
            </w:pPr>
            <w:r>
              <w:rPr>
                <w:spacing w:val="-18"/>
                <w:sz w:val="21"/>
              </w:rPr>
              <w:t>所有 </w:t>
            </w:r>
            <w:r>
              <w:rPr>
                <w:rFonts w:ascii="Times New Roman" w:eastAsia="Times New Roman"/>
                <w:sz w:val="21"/>
              </w:rPr>
              <w:t>tozorakimab</w:t>
            </w:r>
            <w:r>
              <w:rPr>
                <w:rFonts w:ascii="Times New Roman" w:eastAsia="Times New Roman"/>
                <w:spacing w:val="-12"/>
                <w:sz w:val="21"/>
              </w:rPr>
              <w:t> </w:t>
            </w:r>
            <w:r>
              <w:rPr>
                <w:spacing w:val="-10"/>
                <w:sz w:val="21"/>
              </w:rPr>
              <w:t>组</w:t>
            </w:r>
          </w:p>
        </w:tc>
        <w:tc>
          <w:tcPr>
            <w:tcW w:w="6211" w:type="dxa"/>
          </w:tcPr>
          <w:p>
            <w:pPr>
              <w:pStyle w:val="TableParagraph"/>
              <w:spacing w:line="276" w:lineRule="auto" w:before="36"/>
              <w:ind w:left="106" w:right="98"/>
              <w:jc w:val="both"/>
              <w:rPr>
                <w:sz w:val="21"/>
              </w:rPr>
            </w:pPr>
            <w:r>
              <w:rPr>
                <w:spacing w:val="-2"/>
                <w:sz w:val="21"/>
              </w:rPr>
              <w:t>在前身研究或</w:t>
            </w:r>
            <w:r>
              <w:rPr>
                <w:rFonts w:ascii="Times New Roman" w:eastAsia="Times New Roman"/>
                <w:spacing w:val="-2"/>
                <w:sz w:val="21"/>
              </w:rPr>
              <w:t>LTE</w:t>
            </w:r>
            <w:r>
              <w:rPr>
                <w:rFonts w:ascii="Times New Roman" w:eastAsia="Times New Roman"/>
                <w:spacing w:val="-9"/>
                <w:sz w:val="21"/>
              </w:rPr>
              <w:t> </w:t>
            </w:r>
            <w:r>
              <w:rPr>
                <w:spacing w:val="-5"/>
                <w:sz w:val="21"/>
              </w:rPr>
              <w:t>研究中随机接受任何 </w:t>
            </w:r>
            <w:r>
              <w:rPr>
                <w:rFonts w:ascii="Times New Roman" w:eastAsia="Times New Roman"/>
                <w:spacing w:val="-2"/>
                <w:sz w:val="21"/>
              </w:rPr>
              <w:t>tozorakimab</w:t>
            </w:r>
            <w:r>
              <w:rPr>
                <w:rFonts w:ascii="Times New Roman" w:eastAsia="Times New Roman"/>
                <w:sz w:val="21"/>
              </w:rPr>
              <w:t> </w:t>
            </w:r>
            <w:r>
              <w:rPr>
                <w:spacing w:val="-2"/>
                <w:sz w:val="21"/>
              </w:rPr>
              <w:t>给药方案的所</w:t>
            </w:r>
            <w:r>
              <w:rPr>
                <w:sz w:val="21"/>
              </w:rPr>
              <w:t>有受试者。将包括自首次给药</w:t>
            </w:r>
            <w:r>
              <w:rPr>
                <w:rFonts w:ascii="Times New Roman" w:eastAsia="Times New Roman"/>
                <w:sz w:val="21"/>
              </w:rPr>
              <w:t>/</w:t>
            </w:r>
            <w:r>
              <w:rPr>
                <w:spacing w:val="1"/>
                <w:sz w:val="21"/>
              </w:rPr>
              <w:t>随机分配至</w:t>
            </w:r>
            <w:r>
              <w:rPr>
                <w:rFonts w:ascii="Times New Roman" w:eastAsia="Times New Roman"/>
                <w:sz w:val="21"/>
              </w:rPr>
              <w:t>tozorakimab</w:t>
            </w:r>
            <w:r>
              <w:rPr>
                <w:rFonts w:ascii="Times New Roman" w:eastAsia="Times New Roman"/>
                <w:spacing w:val="-14"/>
                <w:sz w:val="21"/>
              </w:rPr>
              <w:t> </w:t>
            </w:r>
            <w:r>
              <w:rPr>
                <w:sz w:val="21"/>
              </w:rPr>
              <w:t>组起的所有</w:t>
            </w:r>
            <w:r>
              <w:rPr>
                <w:spacing w:val="-4"/>
                <w:sz w:val="21"/>
              </w:rPr>
              <w:t>数据。</w:t>
            </w:r>
          </w:p>
          <w:p>
            <w:pPr>
              <w:pStyle w:val="TableParagraph"/>
              <w:spacing w:before="39"/>
              <w:ind w:left="106"/>
              <w:jc w:val="both"/>
              <w:rPr>
                <w:rFonts w:ascii="Times New Roman" w:eastAsia="Times New Roman"/>
                <w:sz w:val="21"/>
              </w:rPr>
            </w:pPr>
            <w:hyperlink w:history="true" w:anchor="_bookmark135">
              <w:r>
                <w:rPr>
                  <w:color w:val="0000FF"/>
                  <w:spacing w:val="-28"/>
                  <w:sz w:val="21"/>
                </w:rPr>
                <w:t>图 </w:t>
              </w:r>
              <w:r>
                <w:rPr>
                  <w:rFonts w:ascii="Times New Roman" w:eastAsia="Times New Roman"/>
                  <w:color w:val="0000FF"/>
                  <w:sz w:val="21"/>
                </w:rPr>
                <w:t>4</w:t>
              </w:r>
            </w:hyperlink>
            <w:r>
              <w:rPr>
                <w:rFonts w:ascii="Times New Roman" w:eastAsia="Times New Roman"/>
                <w:color w:val="0000FF"/>
                <w:spacing w:val="-14"/>
                <w:sz w:val="21"/>
              </w:rPr>
              <w:t> </w:t>
            </w:r>
            <w:r>
              <w:rPr>
                <w:spacing w:val="-18"/>
                <w:sz w:val="21"/>
              </w:rPr>
              <w:t>中的 </w:t>
            </w:r>
            <w:r>
              <w:rPr>
                <w:rFonts w:ascii="Times New Roman" w:eastAsia="Times New Roman"/>
                <w:sz w:val="21"/>
              </w:rPr>
              <w:t>A</w:t>
            </w:r>
            <w:r>
              <w:rPr>
                <w:sz w:val="21"/>
              </w:rPr>
              <w:t>、</w:t>
            </w:r>
            <w:r>
              <w:rPr>
                <w:rFonts w:ascii="Times New Roman" w:eastAsia="Times New Roman"/>
                <w:sz w:val="21"/>
              </w:rPr>
              <w:t>B</w:t>
            </w:r>
            <w:r>
              <w:rPr>
                <w:sz w:val="21"/>
              </w:rPr>
              <w:t>、</w:t>
            </w:r>
            <w:r>
              <w:rPr>
                <w:rFonts w:ascii="Times New Roman" w:eastAsia="Times New Roman"/>
                <w:sz w:val="21"/>
              </w:rPr>
              <w:t>C</w:t>
            </w:r>
            <w:r>
              <w:rPr>
                <w:sz w:val="21"/>
              </w:rPr>
              <w:t>、</w:t>
            </w:r>
            <w:r>
              <w:rPr>
                <w:rFonts w:ascii="Times New Roman" w:eastAsia="Times New Roman"/>
                <w:sz w:val="21"/>
              </w:rPr>
              <w:t>D</w:t>
            </w:r>
            <w:r>
              <w:rPr>
                <w:sz w:val="21"/>
              </w:rPr>
              <w:t>、</w:t>
            </w:r>
            <w:r>
              <w:rPr>
                <w:rFonts w:ascii="Times New Roman" w:eastAsia="Times New Roman"/>
                <w:sz w:val="21"/>
              </w:rPr>
              <w:t>E</w:t>
            </w:r>
            <w:r>
              <w:rPr>
                <w:sz w:val="21"/>
              </w:rPr>
              <w:t>、</w:t>
            </w:r>
            <w:r>
              <w:rPr>
                <w:rFonts w:ascii="Times New Roman" w:eastAsia="Times New Roman"/>
                <w:sz w:val="21"/>
              </w:rPr>
              <w:t>F</w:t>
            </w:r>
            <w:r>
              <w:rPr>
                <w:sz w:val="21"/>
              </w:rPr>
              <w:t>、</w:t>
            </w:r>
            <w:r>
              <w:rPr>
                <w:rFonts w:ascii="Times New Roman" w:eastAsia="Times New Roman"/>
                <w:sz w:val="21"/>
              </w:rPr>
              <w:t>G</w:t>
            </w:r>
            <w:r>
              <w:rPr>
                <w:sz w:val="21"/>
              </w:rPr>
              <w:t>、</w:t>
            </w:r>
            <w:r>
              <w:rPr>
                <w:rFonts w:ascii="Times New Roman" w:eastAsia="Times New Roman"/>
                <w:sz w:val="21"/>
              </w:rPr>
              <w:t>H</w:t>
            </w:r>
            <w:r>
              <w:rPr>
                <w:sz w:val="21"/>
              </w:rPr>
              <w:t>、</w:t>
            </w:r>
            <w:r>
              <w:rPr>
                <w:rFonts w:ascii="Times New Roman" w:eastAsia="Times New Roman"/>
                <w:sz w:val="21"/>
              </w:rPr>
              <w:t>J</w:t>
            </w:r>
            <w:r>
              <w:rPr>
                <w:rFonts w:ascii="Times New Roman" w:eastAsia="Times New Roman"/>
                <w:spacing w:val="-12"/>
                <w:sz w:val="21"/>
              </w:rPr>
              <w:t> </w:t>
            </w:r>
            <w:r>
              <w:rPr>
                <w:spacing w:val="-27"/>
                <w:sz w:val="21"/>
              </w:rPr>
              <w:t>和 </w:t>
            </w:r>
            <w:r>
              <w:rPr>
                <w:rFonts w:ascii="Times New Roman" w:eastAsia="Times New Roman"/>
                <w:spacing w:val="-10"/>
                <w:sz w:val="21"/>
              </w:rPr>
              <w:t>L</w:t>
            </w:r>
          </w:p>
        </w:tc>
      </w:tr>
      <w:tr>
        <w:trPr>
          <w:trHeight w:val="1373" w:hRule="atLeast"/>
        </w:trPr>
        <w:tc>
          <w:tcPr>
            <w:tcW w:w="2547" w:type="dxa"/>
          </w:tcPr>
          <w:p>
            <w:pPr>
              <w:pStyle w:val="TableParagraph"/>
              <w:spacing w:before="79"/>
              <w:rPr>
                <w:b/>
                <w:sz w:val="21"/>
              </w:rPr>
            </w:pPr>
          </w:p>
          <w:p>
            <w:pPr>
              <w:pStyle w:val="TableParagraph"/>
              <w:ind w:left="107"/>
              <w:rPr>
                <w:sz w:val="21"/>
              </w:rPr>
            </w:pPr>
            <w:r>
              <w:rPr>
                <w:spacing w:val="-2"/>
                <w:sz w:val="21"/>
              </w:rPr>
              <w:t>所有安慰剂组</w:t>
            </w:r>
          </w:p>
          <w:p>
            <w:pPr>
              <w:pStyle w:val="TableParagraph"/>
              <w:spacing w:before="79"/>
              <w:ind w:left="3"/>
              <w:rPr>
                <w:sz w:val="21"/>
              </w:rPr>
            </w:pPr>
            <w:r>
              <w:rPr>
                <w:sz w:val="21"/>
              </w:rPr>
              <w:t>（仅安慰剂</w:t>
            </w:r>
            <w:r>
              <w:rPr>
                <w:spacing w:val="-10"/>
                <w:sz w:val="21"/>
              </w:rPr>
              <w:t>）</w:t>
            </w:r>
          </w:p>
        </w:tc>
        <w:tc>
          <w:tcPr>
            <w:tcW w:w="6211" w:type="dxa"/>
          </w:tcPr>
          <w:p>
            <w:pPr>
              <w:pStyle w:val="TableParagraph"/>
              <w:spacing w:line="276" w:lineRule="auto" w:before="38"/>
              <w:ind w:left="106" w:right="98"/>
              <w:jc w:val="both"/>
              <w:rPr>
                <w:sz w:val="21"/>
              </w:rPr>
            </w:pPr>
            <w:r>
              <w:rPr>
                <w:spacing w:val="-2"/>
                <w:sz w:val="21"/>
              </w:rPr>
              <w:t>在前身研究中随机分配至安慰剂组且在 </w:t>
            </w:r>
            <w:r>
              <w:rPr>
                <w:rFonts w:ascii="Times New Roman" w:eastAsia="Times New Roman"/>
                <w:sz w:val="21"/>
              </w:rPr>
              <w:t>LTE</w:t>
            </w:r>
            <w:r>
              <w:rPr>
                <w:rFonts w:ascii="Times New Roman" w:eastAsia="Times New Roman"/>
                <w:spacing w:val="-13"/>
                <w:sz w:val="21"/>
              </w:rPr>
              <w:t> </w:t>
            </w:r>
            <w:r>
              <w:rPr>
                <w:sz w:val="21"/>
              </w:rPr>
              <w:t>研究中重新随机分配</w:t>
            </w:r>
            <w:r>
              <w:rPr>
                <w:spacing w:val="-2"/>
                <w:sz w:val="21"/>
              </w:rPr>
              <w:t>至安慰剂组的所有受试者。将包括自首次给药</w:t>
            </w:r>
            <w:r>
              <w:rPr>
                <w:rFonts w:ascii="Times New Roman" w:eastAsia="Times New Roman"/>
                <w:spacing w:val="-2"/>
                <w:sz w:val="21"/>
              </w:rPr>
              <w:t>/</w:t>
            </w:r>
            <w:r>
              <w:rPr>
                <w:spacing w:val="-2"/>
                <w:sz w:val="21"/>
              </w:rPr>
              <w:t>随机分配至安慰剂组起的所有数据。</w:t>
            </w:r>
          </w:p>
          <w:p>
            <w:pPr>
              <w:pStyle w:val="TableParagraph"/>
              <w:spacing w:before="37"/>
              <w:ind w:left="106"/>
              <w:jc w:val="both"/>
              <w:rPr>
                <w:rFonts w:ascii="Times New Roman" w:eastAsia="Times New Roman"/>
                <w:sz w:val="21"/>
              </w:rPr>
            </w:pPr>
            <w:hyperlink w:history="true" w:anchor="_bookmark135">
              <w:r>
                <w:rPr>
                  <w:color w:val="0000FF"/>
                  <w:spacing w:val="-27"/>
                  <w:sz w:val="21"/>
                </w:rPr>
                <w:t>图 </w:t>
              </w:r>
              <w:r>
                <w:rPr>
                  <w:rFonts w:ascii="Times New Roman" w:eastAsia="Times New Roman"/>
                  <w:color w:val="0000FF"/>
                  <w:sz w:val="21"/>
                </w:rPr>
                <w:t>4</w:t>
              </w:r>
            </w:hyperlink>
            <w:r>
              <w:rPr>
                <w:rFonts w:ascii="Times New Roman" w:eastAsia="Times New Roman"/>
                <w:color w:val="0000FF"/>
                <w:spacing w:val="-11"/>
                <w:sz w:val="21"/>
              </w:rPr>
              <w:t> </w:t>
            </w:r>
            <w:r>
              <w:rPr>
                <w:spacing w:val="-18"/>
                <w:sz w:val="21"/>
              </w:rPr>
              <w:t>中的 </w:t>
            </w:r>
            <w:r>
              <w:rPr>
                <w:rFonts w:ascii="Times New Roman" w:eastAsia="Times New Roman"/>
                <w:sz w:val="21"/>
              </w:rPr>
              <w:t>M</w:t>
            </w:r>
            <w:r>
              <w:rPr>
                <w:sz w:val="21"/>
              </w:rPr>
              <w:t>、</w:t>
            </w:r>
            <w:r>
              <w:rPr>
                <w:rFonts w:ascii="Times New Roman" w:eastAsia="Times New Roman"/>
                <w:sz w:val="21"/>
              </w:rPr>
              <w:t>N</w:t>
            </w:r>
            <w:r>
              <w:rPr>
                <w:rFonts w:ascii="Times New Roman" w:eastAsia="Times New Roman"/>
                <w:spacing w:val="-11"/>
                <w:sz w:val="21"/>
              </w:rPr>
              <w:t> </w:t>
            </w:r>
            <w:r>
              <w:rPr>
                <w:spacing w:val="-27"/>
                <w:sz w:val="21"/>
              </w:rPr>
              <w:t>和 </w:t>
            </w:r>
            <w:r>
              <w:rPr>
                <w:rFonts w:ascii="Times New Roman" w:eastAsia="Times New Roman"/>
                <w:spacing w:val="-10"/>
                <w:sz w:val="21"/>
              </w:rPr>
              <w:t>O</w:t>
            </w:r>
          </w:p>
        </w:tc>
      </w:tr>
    </w:tbl>
    <w:p>
      <w:pPr>
        <w:spacing w:before="39"/>
        <w:ind w:left="221" w:right="0" w:firstLine="0"/>
        <w:jc w:val="left"/>
        <w:rPr>
          <w:sz w:val="21"/>
        </w:rPr>
      </w:pPr>
      <w:r>
        <w:rPr>
          <w:rFonts w:ascii="Times New Roman" w:eastAsia="Times New Roman"/>
          <w:sz w:val="21"/>
        </w:rPr>
        <w:t>LTE</w:t>
      </w:r>
      <w:r>
        <w:rPr>
          <w:sz w:val="21"/>
        </w:rPr>
        <w:t>，长期扩展；</w:t>
      </w:r>
      <w:r>
        <w:rPr>
          <w:rFonts w:ascii="Times New Roman" w:eastAsia="Times New Roman"/>
          <w:sz w:val="21"/>
        </w:rPr>
        <w:t>Q4W</w:t>
      </w:r>
      <w:r>
        <w:rPr>
          <w:spacing w:val="-18"/>
          <w:sz w:val="21"/>
        </w:rPr>
        <w:t>，每 </w:t>
      </w:r>
      <w:r>
        <w:rPr>
          <w:rFonts w:ascii="Times New Roman" w:eastAsia="Times New Roman"/>
          <w:sz w:val="21"/>
        </w:rPr>
        <w:t>4</w:t>
      </w:r>
      <w:r>
        <w:rPr>
          <w:rFonts w:ascii="Times New Roman" w:eastAsia="Times New Roman"/>
          <w:spacing w:val="-14"/>
          <w:sz w:val="21"/>
        </w:rPr>
        <w:t> </w:t>
      </w:r>
      <w:r>
        <w:rPr>
          <w:sz w:val="21"/>
        </w:rPr>
        <w:t>周一次；</w:t>
      </w:r>
      <w:r>
        <w:rPr>
          <w:rFonts w:ascii="Times New Roman" w:eastAsia="Times New Roman"/>
          <w:sz w:val="21"/>
        </w:rPr>
        <w:t>Q8W</w:t>
      </w:r>
      <w:r>
        <w:rPr>
          <w:spacing w:val="-18"/>
          <w:sz w:val="21"/>
        </w:rPr>
        <w:t>，每 </w:t>
      </w:r>
      <w:r>
        <w:rPr>
          <w:rFonts w:ascii="Times New Roman" w:eastAsia="Times New Roman"/>
          <w:sz w:val="21"/>
        </w:rPr>
        <w:t>8</w:t>
      </w:r>
      <w:r>
        <w:rPr>
          <w:rFonts w:ascii="Times New Roman" w:eastAsia="Times New Roman"/>
          <w:spacing w:val="-11"/>
          <w:sz w:val="21"/>
        </w:rPr>
        <w:t> </w:t>
      </w:r>
      <w:r>
        <w:rPr>
          <w:sz w:val="21"/>
        </w:rPr>
        <w:t>周一次；</w:t>
      </w:r>
      <w:r>
        <w:rPr>
          <w:rFonts w:ascii="Times New Roman" w:eastAsia="Times New Roman"/>
          <w:sz w:val="21"/>
        </w:rPr>
        <w:t>SC</w:t>
      </w:r>
      <w:r>
        <w:rPr>
          <w:spacing w:val="-3"/>
          <w:sz w:val="21"/>
        </w:rPr>
        <w:t>，皮下。</w:t>
      </w:r>
    </w:p>
    <w:p>
      <w:pPr>
        <w:pStyle w:val="BodyText"/>
        <w:spacing w:before="63"/>
        <w:ind w:left="0"/>
        <w:rPr>
          <w:sz w:val="21"/>
        </w:rPr>
      </w:pPr>
    </w:p>
    <w:p>
      <w:pPr>
        <w:pStyle w:val="BodyText"/>
        <w:spacing w:line="276" w:lineRule="auto"/>
        <w:ind w:right="117" w:firstLine="480"/>
      </w:pPr>
      <w:r>
        <w:rPr/>
        <w:t>对于至发生事件的时间或经暴露量校正的发生率，将基于 </w:t>
      </w:r>
      <w:r>
        <w:rPr>
          <w:rFonts w:ascii="Times New Roman" w:eastAsia="Times New Roman"/>
        </w:rPr>
        <w:t>FAS</w:t>
      </w:r>
      <w:r>
        <w:rPr>
          <w:rFonts w:ascii="Times New Roman" w:eastAsia="Times New Roman"/>
          <w:spacing w:val="40"/>
        </w:rPr>
        <w:t> </w:t>
      </w:r>
      <w:r>
        <w:rPr/>
        <w:t>使用随机治疗组</w:t>
      </w:r>
      <w:r>
        <w:rPr/>
        <w:t> </w:t>
      </w:r>
      <w:r>
        <w:rPr>
          <w:spacing w:val="-2"/>
        </w:rPr>
        <w:t>作为疗效终点的主要分析方法，纳入自前身研究开始后的数据。因此，组间比较可</w:t>
      </w:r>
      <w:r>
        <w:rPr>
          <w:spacing w:val="80"/>
          <w:w w:val="150"/>
        </w:rPr>
        <w:t> </w:t>
      </w:r>
      <w:r>
        <w:rPr>
          <w:spacing w:val="-2"/>
        </w:rPr>
        <w:t>以基于随机治疗组，并纳入所有用药受试者自前身研究中首次 </w:t>
      </w:r>
      <w:r>
        <w:rPr>
          <w:rFonts w:ascii="Times New Roman" w:eastAsia="Times New Roman"/>
        </w:rPr>
        <w:t>IP</w:t>
      </w:r>
      <w:r>
        <w:rPr>
          <w:rFonts w:ascii="Times New Roman" w:eastAsia="Times New Roman"/>
          <w:spacing w:val="-15"/>
        </w:rPr>
        <w:t> </w:t>
      </w:r>
      <w:r>
        <w:rPr/>
        <w:t>给药后的所有数据，</w:t>
      </w:r>
      <w:r>
        <w:rPr>
          <w:spacing w:val="-2"/>
        </w:rPr>
        <w:t>只要受试者接受相同的治疗，以在估计目标中使用疗法策略。</w:t>
      </w:r>
    </w:p>
    <w:p>
      <w:pPr>
        <w:pStyle w:val="BodyText"/>
        <w:spacing w:line="276" w:lineRule="auto" w:before="237"/>
        <w:ind w:right="358" w:firstLine="480"/>
      </w:pPr>
      <w:r>
        <w:rPr>
          <w:spacing w:val="-20"/>
        </w:rPr>
        <w:t>对于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4"/>
        </w:rPr>
        <w:t> </w:t>
      </w:r>
      <w:r>
        <w:rPr>
          <w:rFonts w:ascii="Times New Roman" w:eastAsia="Times New Roman"/>
        </w:rPr>
        <w:t>Q8W</w:t>
      </w:r>
      <w:r>
        <w:rPr>
          <w:rFonts w:ascii="Times New Roman" w:eastAsia="Times New Roman"/>
          <w:spacing w:val="-15"/>
        </w:rPr>
        <w:t> </w:t>
      </w:r>
      <w:r>
        <w:rPr>
          <w:spacing w:val="-9"/>
        </w:rPr>
        <w:t>治疗组在进入 </w:t>
      </w:r>
      <w:r>
        <w:rPr>
          <w:rFonts w:ascii="Times New Roman" w:eastAsia="Times New Roman"/>
        </w:rPr>
        <w:t>PROSPERO</w:t>
      </w:r>
      <w:r>
        <w:rPr>
          <w:rFonts w:ascii="Times New Roman" w:eastAsia="Times New Roman"/>
          <w:spacing w:val="-15"/>
        </w:rPr>
        <w:t> </w:t>
      </w:r>
      <w:r>
        <w:rPr>
          <w:spacing w:val="-15"/>
        </w:rPr>
        <w:t>后换用 </w:t>
      </w:r>
      <w:r>
        <w:rPr>
          <w:rFonts w:ascii="Times New Roman" w:eastAsia="Times New Roman"/>
        </w:rPr>
        <w:t>tozorakimab</w:t>
      </w:r>
      <w:r>
        <w:rPr>
          <w:rFonts w:ascii="Times New Roman" w:eastAsia="Times New Roman"/>
          <w:spacing w:val="-5"/>
        </w:rPr>
        <w:t> </w:t>
      </w:r>
      <w:r>
        <w:rPr>
          <w:rFonts w:ascii="Times New Roman" w:eastAsia="Times New Roman"/>
        </w:rPr>
        <w:t>300</w:t>
      </w:r>
      <w:r>
        <w:rPr>
          <w:rFonts w:ascii="Times New Roman" w:eastAsia="Times New Roman"/>
          <w:spacing w:val="-6"/>
        </w:rPr>
        <w:t> </w:t>
      </w:r>
      <w:r>
        <w:rPr>
          <w:rFonts w:ascii="Times New Roman" w:eastAsia="Times New Roman"/>
        </w:rPr>
        <w:t>mg</w:t>
      </w:r>
      <w:r>
        <w:rPr>
          <w:rFonts w:ascii="Times New Roman" w:eastAsia="Times New Roman"/>
          <w:spacing w:val="-4"/>
        </w:rPr>
        <w:t> </w:t>
      </w:r>
      <w:r>
        <w:rPr>
          <w:rFonts w:ascii="Times New Roman" w:eastAsia="Times New Roman"/>
        </w:rPr>
        <w:t>Q4W</w:t>
      </w:r>
      <w:r>
        <w:rPr>
          <w:rFonts w:ascii="Times New Roman" w:eastAsia="Times New Roman"/>
          <w:spacing w:val="-14"/>
        </w:rPr>
        <w:t> </w:t>
      </w:r>
      <w:r>
        <w:rPr/>
        <w:t>的</w:t>
      </w:r>
      <w:r>
        <w:rPr>
          <w:spacing w:val="-2"/>
        </w:rPr>
        <w:t>受试者，仅截至换用给药方案的时间点之前的数据将用于随机治疗组的比较。</w:t>
      </w:r>
    </w:p>
    <w:p>
      <w:pPr>
        <w:pStyle w:val="BodyText"/>
        <w:spacing w:line="276" w:lineRule="auto" w:before="238"/>
        <w:ind w:right="357" w:firstLine="480"/>
      </w:pPr>
      <w:r>
        <w:rPr/>
        <w:t>对于所有暴露后治疗组，将生成一个所有 </w:t>
      </w:r>
      <w:r>
        <w:rPr>
          <w:rFonts w:ascii="Times New Roman" w:eastAsia="Times New Roman"/>
        </w:rPr>
        <w:t>tozorakimab</w:t>
      </w:r>
      <w:r>
        <w:rPr>
          <w:rFonts w:ascii="Times New Roman" w:eastAsia="Times New Roman"/>
          <w:spacing w:val="33"/>
        </w:rPr>
        <w:t> </w:t>
      </w:r>
      <w:r>
        <w:rPr>
          <w:spacing w:val="-1"/>
        </w:rPr>
        <w:t>组以及一个 </w:t>
      </w:r>
      <w:r>
        <w:rPr>
          <w:rFonts w:ascii="Times New Roman" w:eastAsia="Times New Roman"/>
        </w:rPr>
        <w:t>tozorakimab 300 mg Q4W </w:t>
      </w:r>
      <w:r>
        <w:rPr/>
        <w:t>治疗组。</w:t>
      </w:r>
    </w:p>
    <w:p>
      <w:pPr>
        <w:pStyle w:val="BodyText"/>
        <w:spacing w:before="239"/>
        <w:ind w:left="701"/>
      </w:pPr>
      <w:r>
        <w:rPr>
          <w:spacing w:val="-1"/>
        </w:rPr>
        <w:t>将使用在治期进行支持性分析，以在估计目标中使用在治策略。</w:t>
      </w:r>
    </w:p>
    <w:p>
      <w:pPr>
        <w:pStyle w:val="BodyText"/>
        <w:spacing w:before="286"/>
        <w:ind w:left="701"/>
      </w:pPr>
      <w:r>
        <w:rPr>
          <w:rFonts w:ascii="Times New Roman" w:eastAsia="Times New Roman"/>
        </w:rPr>
        <w:t>FAS</w:t>
      </w:r>
      <w:r>
        <w:rPr>
          <w:rFonts w:ascii="Times New Roman" w:eastAsia="Times New Roman"/>
          <w:spacing w:val="-14"/>
        </w:rPr>
        <w:t> </w:t>
      </w:r>
      <w:r>
        <w:rPr/>
        <w:t>的说明请见</w:t>
      </w:r>
      <w:hyperlink w:history="true" w:anchor="_bookmark137">
        <w:r>
          <w:rPr>
            <w:color w:val="0000FF"/>
            <w:spacing w:val="-30"/>
          </w:rPr>
          <w:t>图 </w:t>
        </w:r>
        <w:r>
          <w:rPr>
            <w:rFonts w:ascii="Times New Roman" w:eastAsia="Times New Roman"/>
            <w:color w:val="0000FF"/>
          </w:rPr>
          <w:t>5</w:t>
        </w:r>
      </w:hyperlink>
      <w:r>
        <w:rPr>
          <w:spacing w:val="-10"/>
        </w:rPr>
        <w:t>。</w:t>
      </w:r>
    </w:p>
    <w:p>
      <w:pPr>
        <w:spacing w:after="0"/>
        <w:sectPr>
          <w:pgSz w:w="11910" w:h="16840"/>
          <w:pgMar w:header="590" w:footer="784" w:top="1340" w:bottom="980" w:left="1480" w:right="1080"/>
        </w:sectPr>
      </w:pPr>
    </w:p>
    <w:p>
      <w:pPr>
        <w:pStyle w:val="Heading3"/>
        <w:tabs>
          <w:tab w:pos="1923" w:val="left" w:leader="none"/>
        </w:tabs>
        <w:spacing w:before="86"/>
        <w:ind w:left="1923" w:right="534" w:hanging="1702"/>
        <w:jc w:val="both"/>
      </w:pPr>
      <w:bookmarkStart w:name="_bookmark137" w:id="265"/>
      <w:bookmarkEnd w:id="265"/>
      <w:r>
        <w:rPr>
          <w:b w:val="0"/>
        </w:rPr>
      </w:r>
      <w:r>
        <w:rPr/>
        <w:t>图</w:t>
      </w:r>
      <w:r>
        <w:rPr>
          <w:spacing w:val="-40"/>
        </w:rPr>
        <w:t> </w:t>
      </w:r>
      <w:r>
        <w:rPr>
          <w:rFonts w:ascii="Times New Roman" w:eastAsia="Times New Roman"/>
        </w:rPr>
        <w:t>5</w:t>
        <w:tab/>
      </w:r>
      <w:r>
        <w:rPr/>
        <w:t>全分析集：随机分配的</w:t>
      </w:r>
      <w:r>
        <w:rPr>
          <w:spacing w:val="-31"/>
        </w:rPr>
        <w:t>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rFonts w:ascii="Times New Roman" w:eastAsia="Times New Roman"/>
        </w:rPr>
        <w:t>SC</w:t>
      </w:r>
      <w:r>
        <w:rPr>
          <w:rFonts w:ascii="Times New Roman" w:eastAsia="Times New Roman"/>
          <w:spacing w:val="-14"/>
        </w:rPr>
        <w:t> </w:t>
      </w:r>
      <w:r>
        <w:rPr>
          <w:rFonts w:ascii="Times New Roman" w:eastAsia="Times New Roman"/>
        </w:rPr>
        <w:t>Q4W</w:t>
      </w:r>
      <w:r>
        <w:rPr>
          <w:rFonts w:ascii="Times New Roman" w:eastAsia="Times New Roman"/>
          <w:spacing w:val="-13"/>
        </w:rPr>
        <w:t> </w:t>
      </w:r>
      <w:r>
        <w:rPr/>
        <w:t>组、随机分配的</w:t>
      </w:r>
      <w:r>
        <w:rPr>
          <w:spacing w:val="-31"/>
        </w:rPr>
        <w:t>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5"/>
        </w:rPr>
        <w:t> </w:t>
      </w:r>
      <w:r>
        <w:rPr>
          <w:rFonts w:ascii="Times New Roman" w:eastAsia="Times New Roman"/>
        </w:rPr>
        <w:t>SC</w:t>
      </w:r>
      <w:r>
        <w:rPr>
          <w:rFonts w:ascii="Times New Roman" w:eastAsia="Times New Roman"/>
          <w:spacing w:val="-14"/>
        </w:rPr>
        <w:t> </w:t>
      </w:r>
      <w:r>
        <w:rPr>
          <w:rFonts w:ascii="Times New Roman" w:eastAsia="Times New Roman"/>
        </w:rPr>
        <w:t>Q8W</w:t>
      </w:r>
      <w:r>
        <w:rPr>
          <w:rFonts w:ascii="Times New Roman" w:eastAsia="Times New Roman"/>
          <w:spacing w:val="-13"/>
        </w:rPr>
        <w:t> </w:t>
      </w:r>
      <w:r>
        <w:rPr/>
        <w:t>组和随机分配的安慰剂组（主</w:t>
      </w:r>
      <w:r>
        <w:rPr>
          <w:spacing w:val="-4"/>
        </w:rPr>
        <w:t>要比较）</w:t>
      </w:r>
    </w:p>
    <w:p>
      <w:pPr>
        <w:pStyle w:val="BodyText"/>
        <w:spacing w:before="6"/>
        <w:ind w:left="0"/>
        <w:rPr>
          <w:b/>
          <w:sz w:val="7"/>
        </w:rPr>
      </w:pPr>
      <w:r>
        <w:rPr/>
        <mc:AlternateContent>
          <mc:Choice Requires="wps">
            <w:drawing>
              <wp:anchor distT="0" distB="0" distL="0" distR="0" allowOverlap="1" layoutInCell="1" locked="0" behindDoc="1" simplePos="0" relativeHeight="487593472">
                <wp:simplePos x="0" y="0"/>
                <wp:positionH relativeFrom="page">
                  <wp:posOffset>1089977</wp:posOffset>
                </wp:positionH>
                <wp:positionV relativeFrom="paragraph">
                  <wp:posOffset>77424</wp:posOffset>
                </wp:positionV>
                <wp:extent cx="5524500" cy="290957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5524500" cy="2909570"/>
                          <a:chExt cx="5524500" cy="2909570"/>
                        </a:xfrm>
                      </wpg:grpSpPr>
                      <pic:pic>
                        <pic:nvPicPr>
                          <pic:cNvPr id="96" name="Image 96" descr="A picture containing text, screenshot, font, colorfulness  Description automatically generated"/>
                          <pic:cNvPicPr/>
                        </pic:nvPicPr>
                        <pic:blipFill>
                          <a:blip r:embed="rId21" cstate="print"/>
                          <a:stretch>
                            <a:fillRect/>
                          </a:stretch>
                        </pic:blipFill>
                        <pic:spPr>
                          <a:xfrm>
                            <a:off x="73736" y="169694"/>
                            <a:ext cx="5450660" cy="2739558"/>
                          </a:xfrm>
                          <a:prstGeom prst="rect">
                            <a:avLst/>
                          </a:prstGeom>
                        </pic:spPr>
                      </pic:pic>
                      <wps:wsp>
                        <wps:cNvPr id="97" name="Graphic 97"/>
                        <wps:cNvSpPr/>
                        <wps:spPr>
                          <a:xfrm>
                            <a:off x="0" y="0"/>
                            <a:ext cx="468630" cy="266700"/>
                          </a:xfrm>
                          <a:custGeom>
                            <a:avLst/>
                            <a:gdLst/>
                            <a:ahLst/>
                            <a:cxnLst/>
                            <a:rect l="l" t="t" r="r" b="b"/>
                            <a:pathLst>
                              <a:path w="468630" h="266700">
                                <a:moveTo>
                                  <a:pt x="468198" y="0"/>
                                </a:moveTo>
                                <a:lnTo>
                                  <a:pt x="0" y="0"/>
                                </a:lnTo>
                                <a:lnTo>
                                  <a:pt x="0" y="266293"/>
                                </a:lnTo>
                                <a:lnTo>
                                  <a:pt x="468198" y="266293"/>
                                </a:lnTo>
                                <a:lnTo>
                                  <a:pt x="468198" y="0"/>
                                </a:lnTo>
                                <a:close/>
                              </a:path>
                            </a:pathLst>
                          </a:custGeom>
                          <a:solidFill>
                            <a:srgbClr val="FFFFFF"/>
                          </a:solidFill>
                        </wps:spPr>
                        <wps:bodyPr wrap="square" lIns="0" tIns="0" rIns="0" bIns="0" rtlCol="0">
                          <a:prstTxWarp prst="textNoShape">
                            <a:avLst/>
                          </a:prstTxWarp>
                          <a:noAutofit/>
                        </wps:bodyPr>
                      </wps:wsp>
                      <wps:wsp>
                        <wps:cNvPr id="98" name="Textbox 98"/>
                        <wps:cNvSpPr txBox="1"/>
                        <wps:spPr>
                          <a:xfrm>
                            <a:off x="99504" y="95815"/>
                            <a:ext cx="281305" cy="133350"/>
                          </a:xfrm>
                          <a:prstGeom prst="rect">
                            <a:avLst/>
                          </a:prstGeom>
                        </wps:spPr>
                        <wps:txbx>
                          <w:txbxContent>
                            <w:p>
                              <w:pPr>
                                <w:spacing w:line="210" w:lineRule="exact" w:before="0"/>
                                <w:ind w:left="0" w:right="0" w:firstLine="0"/>
                                <w:jc w:val="left"/>
                                <w:rPr>
                                  <w:b/>
                                  <w:sz w:val="21"/>
                                </w:rPr>
                              </w:pPr>
                              <w:r>
                                <w:rPr>
                                  <w:b/>
                                  <w:spacing w:val="-6"/>
                                  <w:sz w:val="21"/>
                                </w:rPr>
                                <w:t>基线</w:t>
                              </w:r>
                            </w:p>
                          </w:txbxContent>
                        </wps:txbx>
                        <wps:bodyPr wrap="square" lIns="0" tIns="0" rIns="0" bIns="0" rtlCol="0">
                          <a:noAutofit/>
                        </wps:bodyPr>
                      </wps:wsp>
                      <wps:wsp>
                        <wps:cNvPr id="99" name="Textbox 99"/>
                        <wps:cNvSpPr txBox="1"/>
                        <wps:spPr>
                          <a:xfrm>
                            <a:off x="1112075" y="285131"/>
                            <a:ext cx="769620" cy="147955"/>
                          </a:xfrm>
                          <a:prstGeom prst="rect">
                            <a:avLst/>
                          </a:prstGeom>
                        </wps:spPr>
                        <wps:txbx>
                          <w:txbxContent>
                            <w:p>
                              <w:pPr>
                                <w:tabs>
                                  <w:tab w:pos="344" w:val="left" w:leader="none"/>
                                  <w:tab w:pos="1191" w:val="left" w:leader="none"/>
                                </w:tabs>
                                <w:spacing w:line="233" w:lineRule="exact" w:before="0"/>
                                <w:ind w:left="0" w:right="0" w:firstLine="0"/>
                                <w:jc w:val="left"/>
                                <w:rPr>
                                  <w:b/>
                                  <w:sz w:val="21"/>
                                </w:rPr>
                              </w:pPr>
                              <w:r>
                                <w:rPr>
                                  <w:rFonts w:ascii="Times New Roman" w:eastAsia="Times New Roman"/>
                                  <w:b/>
                                  <w:color w:val="000000"/>
                                  <w:sz w:val="21"/>
                                  <w:shd w:fill="FFFFFF" w:color="auto" w:val="clear"/>
                                </w:rPr>
                                <w:tab/>
                                <w:t>III</w:t>
                              </w:r>
                              <w:r>
                                <w:rPr>
                                  <w:rFonts w:ascii="Times New Roman" w:eastAsia="Times New Roman"/>
                                  <w:b/>
                                  <w:color w:val="000000"/>
                                  <w:spacing w:val="-11"/>
                                  <w:sz w:val="21"/>
                                  <w:shd w:fill="FFFFFF" w:color="auto" w:val="clear"/>
                                </w:rPr>
                                <w:t> </w:t>
                              </w:r>
                              <w:r>
                                <w:rPr>
                                  <w:b/>
                                  <w:color w:val="000000"/>
                                  <w:spacing w:val="-10"/>
                                  <w:sz w:val="21"/>
                                  <w:shd w:fill="FFFFFF" w:color="auto" w:val="clear"/>
                                </w:rPr>
                                <w:t>期</w:t>
                              </w:r>
                              <w:r>
                                <w:rPr>
                                  <w:b/>
                                  <w:color w:val="000000"/>
                                  <w:sz w:val="21"/>
                                  <w:shd w:fill="FFFFFF" w:color="auto" w:val="clear"/>
                                </w:rPr>
                                <w:tab/>
                              </w:r>
                            </w:p>
                          </w:txbxContent>
                        </wps:txbx>
                        <wps:bodyPr wrap="square" lIns="0" tIns="0" rIns="0" bIns="0" rtlCol="0">
                          <a:noAutofit/>
                        </wps:bodyPr>
                      </wps:wsp>
                      <wps:wsp>
                        <wps:cNvPr id="100" name="Textbox 100"/>
                        <wps:cNvSpPr txBox="1"/>
                        <wps:spPr>
                          <a:xfrm>
                            <a:off x="3776027" y="314849"/>
                            <a:ext cx="723900" cy="147955"/>
                          </a:xfrm>
                          <a:prstGeom prst="rect">
                            <a:avLst/>
                          </a:prstGeom>
                        </wps:spPr>
                        <wps:txbx>
                          <w:txbxContent>
                            <w:p>
                              <w:pPr>
                                <w:tabs>
                                  <w:tab w:pos="348" w:val="left" w:leader="none"/>
                                  <w:tab w:pos="1118" w:val="left" w:leader="none"/>
                                </w:tabs>
                                <w:spacing w:line="233" w:lineRule="exact" w:before="0"/>
                                <w:ind w:left="0" w:right="0" w:firstLine="0"/>
                                <w:jc w:val="left"/>
                                <w:rPr>
                                  <w:rFonts w:ascii="Times New Roman"/>
                                  <w:b/>
                                  <w:sz w:val="21"/>
                                </w:rPr>
                              </w:pPr>
                              <w:r>
                                <w:rPr>
                                  <w:rFonts w:ascii="Times New Roman"/>
                                  <w:b/>
                                  <w:color w:val="000000"/>
                                  <w:sz w:val="21"/>
                                  <w:shd w:fill="FFFFFF" w:color="auto" w:val="clear"/>
                                </w:rPr>
                                <w:tab/>
                              </w:r>
                              <w:r>
                                <w:rPr>
                                  <w:rFonts w:ascii="Times New Roman"/>
                                  <w:b/>
                                  <w:color w:val="000000"/>
                                  <w:spacing w:val="-5"/>
                                  <w:sz w:val="21"/>
                                  <w:shd w:fill="FFFFFF" w:color="auto" w:val="clear"/>
                                </w:rPr>
                                <w:t>LTE</w:t>
                              </w:r>
                              <w:r>
                                <w:rPr>
                                  <w:rFonts w:ascii="Times New Roman"/>
                                  <w:b/>
                                  <w:color w:val="000000"/>
                                  <w:sz w:val="21"/>
                                  <w:shd w:fill="FFFFFF" w:color="auto" w:val="clear"/>
                                </w:rPr>
                                <w:tab/>
                              </w:r>
                            </w:p>
                          </w:txbxContent>
                        </wps:txbx>
                        <wps:bodyPr wrap="square" lIns="0" tIns="0" rIns="0" bIns="0" rtlCol="0">
                          <a:noAutofit/>
                        </wps:bodyPr>
                      </wps:wsp>
                      <wps:wsp>
                        <wps:cNvPr id="101" name="Textbox 101"/>
                        <wps:cNvSpPr txBox="1"/>
                        <wps:spPr>
                          <a:xfrm>
                            <a:off x="571817" y="2779694"/>
                            <a:ext cx="594360" cy="91440"/>
                          </a:xfrm>
                          <a:prstGeom prst="rect">
                            <a:avLst/>
                          </a:prstGeom>
                        </wps:spPr>
                        <wps:txbx>
                          <w:txbxContent>
                            <w:p>
                              <w:pPr>
                                <w:spacing w:line="144" w:lineRule="exact" w:before="0"/>
                                <w:ind w:left="0" w:right="0" w:firstLine="0"/>
                                <w:jc w:val="left"/>
                                <w:rPr>
                                  <w:sz w:val="13"/>
                                </w:rPr>
                              </w:pPr>
                              <w:r>
                                <w:rPr>
                                  <w:rFonts w:ascii="Times New Roman" w:eastAsia="Times New Roman"/>
                                  <w:color w:val="000000"/>
                                  <w:spacing w:val="34"/>
                                  <w:sz w:val="13"/>
                                  <w:shd w:fill="FFFFFF" w:color="auto" w:val="clear"/>
                                </w:rPr>
                                <w:t>  </w:t>
                              </w:r>
                              <w:r>
                                <w:rPr>
                                  <w:color w:val="000000"/>
                                  <w:spacing w:val="-4"/>
                                  <w:sz w:val="13"/>
                                  <w:shd w:fill="FFFFFF" w:color="auto" w:val="clear"/>
                                </w:rPr>
                                <w:t>随机分配至</w:t>
                              </w:r>
                              <w:r>
                                <w:rPr>
                                  <w:color w:val="000000"/>
                                  <w:spacing w:val="80"/>
                                  <w:sz w:val="13"/>
                                  <w:shd w:fill="FFFFFF" w:color="auto" w:val="clear"/>
                                </w:rPr>
                                <w:t> </w:t>
                              </w:r>
                            </w:p>
                          </w:txbxContent>
                        </wps:txbx>
                        <wps:bodyPr wrap="square" lIns="0" tIns="0" rIns="0" bIns="0" rtlCol="0">
                          <a:noAutofit/>
                        </wps:bodyPr>
                      </wps:wsp>
                      <wps:wsp>
                        <wps:cNvPr id="102" name="Textbox 102"/>
                        <wps:cNvSpPr txBox="1"/>
                        <wps:spPr>
                          <a:xfrm>
                            <a:off x="2181542" y="2621635"/>
                            <a:ext cx="1270000" cy="249554"/>
                          </a:xfrm>
                          <a:prstGeom prst="rect">
                            <a:avLst/>
                          </a:prstGeom>
                        </wps:spPr>
                        <wps:txbx>
                          <w:txbxContent>
                            <w:p>
                              <w:pPr>
                                <w:tabs>
                                  <w:tab w:pos="698" w:val="left" w:leader="none"/>
                                  <w:tab w:pos="1979" w:val="left" w:leader="none"/>
                                </w:tabs>
                                <w:spacing w:line="211" w:lineRule="exact" w:before="0"/>
                                <w:ind w:left="321" w:right="0" w:firstLine="0"/>
                                <w:jc w:val="left"/>
                                <w:rPr>
                                  <w:b/>
                                  <w:sz w:val="18"/>
                                </w:rPr>
                              </w:pPr>
                              <w:r>
                                <w:rPr>
                                  <w:rFonts w:ascii="Times New Roman" w:eastAsia="Times New Roman"/>
                                  <w:b/>
                                  <w:color w:val="000000"/>
                                  <w:sz w:val="18"/>
                                  <w:shd w:fill="FFFFFF" w:color="auto" w:val="clear"/>
                                </w:rPr>
                                <w:tab/>
                              </w:r>
                              <w:r>
                                <w:rPr>
                                  <w:b/>
                                  <w:color w:val="000000"/>
                                  <w:spacing w:val="-2"/>
                                  <w:sz w:val="18"/>
                                  <w:shd w:fill="FFFFFF" w:color="auto" w:val="clear"/>
                                </w:rPr>
                                <w:t>重新随机</w:t>
                              </w:r>
                              <w:r>
                                <w:rPr>
                                  <w:b/>
                                  <w:color w:val="000000"/>
                                  <w:spacing w:val="-10"/>
                                  <w:sz w:val="18"/>
                                  <w:shd w:fill="FFFFFF" w:color="auto" w:val="clear"/>
                                </w:rPr>
                                <w:t>化</w:t>
                              </w:r>
                              <w:r>
                                <w:rPr>
                                  <w:b/>
                                  <w:color w:val="000000"/>
                                  <w:sz w:val="18"/>
                                  <w:shd w:fill="FFFFFF" w:color="auto" w:val="clear"/>
                                </w:rPr>
                                <w:tab/>
                              </w:r>
                            </w:p>
                            <w:p>
                              <w:pPr>
                                <w:spacing w:line="160" w:lineRule="exact" w:before="21"/>
                                <w:ind w:left="0" w:right="0" w:firstLine="0"/>
                                <w:jc w:val="left"/>
                                <w:rPr>
                                  <w:sz w:val="13"/>
                                </w:rPr>
                              </w:pPr>
                              <w:r>
                                <w:rPr>
                                  <w:rFonts w:ascii="Times New Roman" w:eastAsia="Times New Roman"/>
                                  <w:color w:val="000000"/>
                                  <w:spacing w:val="39"/>
                                  <w:sz w:val="13"/>
                                  <w:shd w:fill="FFFFFF" w:color="auto" w:val="clear"/>
                                </w:rPr>
                                <w:t>  </w:t>
                              </w:r>
                              <w:r>
                                <w:rPr>
                                  <w:color w:val="000000"/>
                                  <w:spacing w:val="-4"/>
                                  <w:sz w:val="13"/>
                                  <w:shd w:fill="FFFFFF" w:color="auto" w:val="clear"/>
                                </w:rPr>
                                <w:t>随机分配至</w:t>
                              </w:r>
                              <w:r>
                                <w:rPr>
                                  <w:color w:val="000000"/>
                                  <w:spacing w:val="80"/>
                                  <w:sz w:val="13"/>
                                  <w:shd w:fill="FFFFFF" w:color="auto" w:val="clear"/>
                                </w:rPr>
                                <w:t> </w:t>
                              </w:r>
                            </w:p>
                          </w:txbxContent>
                        </wps:txbx>
                        <wps:bodyPr wrap="square" lIns="0" tIns="0" rIns="0" bIns="0" rtlCol="0">
                          <a:noAutofit/>
                        </wps:bodyPr>
                      </wps:wsp>
                      <wps:wsp>
                        <wps:cNvPr id="103" name="Textbox 103"/>
                        <wps:cNvSpPr txBox="1"/>
                        <wps:spPr>
                          <a:xfrm>
                            <a:off x="3829875" y="2785790"/>
                            <a:ext cx="1388110" cy="91440"/>
                          </a:xfrm>
                          <a:prstGeom prst="rect">
                            <a:avLst/>
                          </a:prstGeom>
                        </wps:spPr>
                        <wps:txbx>
                          <w:txbxContent>
                            <w:p>
                              <w:pPr>
                                <w:tabs>
                                  <w:tab w:pos="498" w:val="left" w:leader="none"/>
                                  <w:tab w:pos="2165" w:val="left" w:leader="none"/>
                                </w:tabs>
                                <w:spacing w:line="144" w:lineRule="exact" w:before="0"/>
                                <w:ind w:left="0" w:right="0" w:firstLine="0"/>
                                <w:jc w:val="left"/>
                                <w:rPr>
                                  <w:sz w:val="13"/>
                                </w:rPr>
                              </w:pPr>
                              <w:r>
                                <w:rPr>
                                  <w:rFonts w:ascii="Times New Roman" w:eastAsia="Times New Roman"/>
                                  <w:color w:val="000000"/>
                                  <w:sz w:val="13"/>
                                  <w:shd w:fill="FFFFFF" w:color="auto" w:val="clear"/>
                                </w:rPr>
                                <w:tab/>
                              </w:r>
                              <w:r>
                                <w:rPr>
                                  <w:color w:val="000000"/>
                                  <w:spacing w:val="-2"/>
                                  <w:sz w:val="13"/>
                                  <w:shd w:fill="FFFFFF" w:color="auto" w:val="clear"/>
                                </w:rPr>
                                <w:t>随机分配至安慰剂</w:t>
                              </w:r>
                              <w:r>
                                <w:rPr>
                                  <w:color w:val="000000"/>
                                  <w:spacing w:val="-10"/>
                                  <w:sz w:val="13"/>
                                  <w:shd w:fill="FFFFFF" w:color="auto" w:val="clear"/>
                                </w:rPr>
                                <w:t>组</w:t>
                              </w:r>
                              <w:r>
                                <w:rPr>
                                  <w:color w:val="000000"/>
                                  <w:sz w:val="13"/>
                                  <w:shd w:fill="FFFFFF" w:color="auto" w:val="clear"/>
                                </w:rPr>
                                <w:tab/>
                              </w:r>
                            </w:p>
                          </w:txbxContent>
                        </wps:txbx>
                        <wps:bodyPr wrap="square" lIns="0" tIns="0" rIns="0" bIns="0" rtlCol="0">
                          <a:noAutofit/>
                        </wps:bodyPr>
                      </wps:wsp>
                      <wps:wsp>
                        <wps:cNvPr id="104" name="Textbox 104"/>
                        <wps:cNvSpPr txBox="1"/>
                        <wps:spPr>
                          <a:xfrm>
                            <a:off x="468185" y="2127656"/>
                            <a:ext cx="726440" cy="218440"/>
                          </a:xfrm>
                          <a:prstGeom prst="rect">
                            <a:avLst/>
                          </a:prstGeom>
                          <a:solidFill>
                            <a:srgbClr val="FFC000"/>
                          </a:solidFill>
                        </wps:spPr>
                        <wps:txbx>
                          <w:txbxContent>
                            <w:p>
                              <w:pPr>
                                <w:spacing w:before="3"/>
                                <w:ind w:left="658" w:right="0" w:firstLine="0"/>
                                <w:jc w:val="left"/>
                                <w:rPr>
                                  <w:color w:val="000000"/>
                                  <w:sz w:val="16"/>
                                </w:rPr>
                              </w:pPr>
                              <w:r>
                                <w:rPr>
                                  <w:color w:val="FFFFFF"/>
                                  <w:spacing w:val="-5"/>
                                  <w:sz w:val="16"/>
                                </w:rPr>
                                <w:t>安慰剂</w:t>
                              </w:r>
                            </w:p>
                          </w:txbxContent>
                        </wps:txbx>
                        <wps:bodyPr wrap="square" lIns="0" tIns="0" rIns="0" bIns="0" rtlCol="0">
                          <a:noAutofit/>
                        </wps:bodyPr>
                      </wps:wsp>
                    </wpg:wgp>
                  </a:graphicData>
                </a:graphic>
              </wp:anchor>
            </w:drawing>
          </mc:Choice>
          <mc:Fallback>
            <w:pict>
              <v:group style="position:absolute;margin-left:85.824997pt;margin-top:6.096453pt;width:435pt;height:229.1pt;mso-position-horizontal-relative:page;mso-position-vertical-relative:paragraph;z-index:-15723008;mso-wrap-distance-left:0;mso-wrap-distance-right:0" id="docshapegroup95" coordorigin="1716,122" coordsize="8700,4582">
                <v:shape style="position:absolute;left:1832;top:389;width:8584;height:4315" type="#_x0000_t75" id="docshape96" alt="A picture containing text, screenshot, font, colorfulness  Description automatically generated" stroked="false">
                  <v:imagedata r:id="rId21" o:title=""/>
                </v:shape>
                <v:rect style="position:absolute;left:1716;top:121;width:738;height:420" id="docshape97" filled="true" fillcolor="#ffffff" stroked="false">
                  <v:fill type="solid"/>
                </v:rect>
                <v:shape style="position:absolute;left:1873;top:272;width:443;height:210" type="#_x0000_t202" id="docshape98" filled="false" stroked="false">
                  <v:textbox inset="0,0,0,0">
                    <w:txbxContent>
                      <w:p>
                        <w:pPr>
                          <w:spacing w:line="210" w:lineRule="exact" w:before="0"/>
                          <w:ind w:left="0" w:right="0" w:firstLine="0"/>
                          <w:jc w:val="left"/>
                          <w:rPr>
                            <w:b/>
                            <w:sz w:val="21"/>
                          </w:rPr>
                        </w:pPr>
                        <w:r>
                          <w:rPr>
                            <w:b/>
                            <w:spacing w:val="-6"/>
                            <w:sz w:val="21"/>
                          </w:rPr>
                          <w:t>基线</w:t>
                        </w:r>
                      </w:p>
                    </w:txbxContent>
                  </v:textbox>
                  <w10:wrap type="none"/>
                </v:shape>
                <v:shape style="position:absolute;left:3467;top:570;width:1212;height:233" type="#_x0000_t202" id="docshape99" filled="false" stroked="false">
                  <v:textbox inset="0,0,0,0">
                    <w:txbxContent>
                      <w:p>
                        <w:pPr>
                          <w:tabs>
                            <w:tab w:pos="344" w:val="left" w:leader="none"/>
                            <w:tab w:pos="1191" w:val="left" w:leader="none"/>
                          </w:tabs>
                          <w:spacing w:line="233" w:lineRule="exact" w:before="0"/>
                          <w:ind w:left="0" w:right="0" w:firstLine="0"/>
                          <w:jc w:val="left"/>
                          <w:rPr>
                            <w:b/>
                            <w:sz w:val="21"/>
                          </w:rPr>
                        </w:pPr>
                        <w:r>
                          <w:rPr>
                            <w:rFonts w:ascii="Times New Roman" w:eastAsia="Times New Roman"/>
                            <w:b/>
                            <w:color w:val="000000"/>
                            <w:sz w:val="21"/>
                            <w:shd w:fill="FFFFFF" w:color="auto" w:val="clear"/>
                          </w:rPr>
                          <w:tab/>
                          <w:t>III</w:t>
                        </w:r>
                        <w:r>
                          <w:rPr>
                            <w:rFonts w:ascii="Times New Roman" w:eastAsia="Times New Roman"/>
                            <w:b/>
                            <w:color w:val="000000"/>
                            <w:spacing w:val="-11"/>
                            <w:sz w:val="21"/>
                            <w:shd w:fill="FFFFFF" w:color="auto" w:val="clear"/>
                          </w:rPr>
                          <w:t> </w:t>
                        </w:r>
                        <w:r>
                          <w:rPr>
                            <w:b/>
                            <w:color w:val="000000"/>
                            <w:spacing w:val="-10"/>
                            <w:sz w:val="21"/>
                            <w:shd w:fill="FFFFFF" w:color="auto" w:val="clear"/>
                          </w:rPr>
                          <w:t>期</w:t>
                        </w:r>
                        <w:r>
                          <w:rPr>
                            <w:b/>
                            <w:color w:val="000000"/>
                            <w:sz w:val="21"/>
                            <w:shd w:fill="FFFFFF" w:color="auto" w:val="clear"/>
                          </w:rPr>
                          <w:tab/>
                        </w:r>
                      </w:p>
                    </w:txbxContent>
                  </v:textbox>
                  <w10:wrap type="none"/>
                </v:shape>
                <v:shape style="position:absolute;left:7663;top:617;width:1140;height:233" type="#_x0000_t202" id="docshape100" filled="false" stroked="false">
                  <v:textbox inset="0,0,0,0">
                    <w:txbxContent>
                      <w:p>
                        <w:pPr>
                          <w:tabs>
                            <w:tab w:pos="348" w:val="left" w:leader="none"/>
                            <w:tab w:pos="1118" w:val="left" w:leader="none"/>
                          </w:tabs>
                          <w:spacing w:line="233" w:lineRule="exact" w:before="0"/>
                          <w:ind w:left="0" w:right="0" w:firstLine="0"/>
                          <w:jc w:val="left"/>
                          <w:rPr>
                            <w:rFonts w:ascii="Times New Roman"/>
                            <w:b/>
                            <w:sz w:val="21"/>
                          </w:rPr>
                        </w:pPr>
                        <w:r>
                          <w:rPr>
                            <w:rFonts w:ascii="Times New Roman"/>
                            <w:b/>
                            <w:color w:val="000000"/>
                            <w:sz w:val="21"/>
                            <w:shd w:fill="FFFFFF" w:color="auto" w:val="clear"/>
                          </w:rPr>
                          <w:tab/>
                        </w:r>
                        <w:r>
                          <w:rPr>
                            <w:rFonts w:ascii="Times New Roman"/>
                            <w:b/>
                            <w:color w:val="000000"/>
                            <w:spacing w:val="-5"/>
                            <w:sz w:val="21"/>
                            <w:shd w:fill="FFFFFF" w:color="auto" w:val="clear"/>
                          </w:rPr>
                          <w:t>LTE</w:t>
                        </w:r>
                        <w:r>
                          <w:rPr>
                            <w:rFonts w:ascii="Times New Roman"/>
                            <w:b/>
                            <w:color w:val="000000"/>
                            <w:sz w:val="21"/>
                            <w:shd w:fill="FFFFFF" w:color="auto" w:val="clear"/>
                          </w:rPr>
                          <w:tab/>
                        </w:r>
                      </w:p>
                    </w:txbxContent>
                  </v:textbox>
                  <w10:wrap type="none"/>
                </v:shape>
                <v:shape style="position:absolute;left:2617;top:4499;width:936;height:144" type="#_x0000_t202" id="docshape101" filled="false" stroked="false">
                  <v:textbox inset="0,0,0,0">
                    <w:txbxContent>
                      <w:p>
                        <w:pPr>
                          <w:spacing w:line="144" w:lineRule="exact" w:before="0"/>
                          <w:ind w:left="0" w:right="0" w:firstLine="0"/>
                          <w:jc w:val="left"/>
                          <w:rPr>
                            <w:sz w:val="13"/>
                          </w:rPr>
                        </w:pPr>
                        <w:r>
                          <w:rPr>
                            <w:rFonts w:ascii="Times New Roman" w:eastAsia="Times New Roman"/>
                            <w:color w:val="000000"/>
                            <w:spacing w:val="34"/>
                            <w:sz w:val="13"/>
                            <w:shd w:fill="FFFFFF" w:color="auto" w:val="clear"/>
                          </w:rPr>
                          <w:t>  </w:t>
                        </w:r>
                        <w:r>
                          <w:rPr>
                            <w:color w:val="000000"/>
                            <w:spacing w:val="-4"/>
                            <w:sz w:val="13"/>
                            <w:shd w:fill="FFFFFF" w:color="auto" w:val="clear"/>
                          </w:rPr>
                          <w:t>随机分配至</w:t>
                        </w:r>
                        <w:r>
                          <w:rPr>
                            <w:color w:val="000000"/>
                            <w:spacing w:val="80"/>
                            <w:sz w:val="13"/>
                            <w:shd w:fill="FFFFFF" w:color="auto" w:val="clear"/>
                          </w:rPr>
                          <w:t> </w:t>
                        </w:r>
                      </w:p>
                    </w:txbxContent>
                  </v:textbox>
                  <w10:wrap type="none"/>
                </v:shape>
                <v:shape style="position:absolute;left:5152;top:4250;width:2000;height:393" type="#_x0000_t202" id="docshape102" filled="false" stroked="false">
                  <v:textbox inset="0,0,0,0">
                    <w:txbxContent>
                      <w:p>
                        <w:pPr>
                          <w:tabs>
                            <w:tab w:pos="698" w:val="left" w:leader="none"/>
                            <w:tab w:pos="1979" w:val="left" w:leader="none"/>
                          </w:tabs>
                          <w:spacing w:line="211" w:lineRule="exact" w:before="0"/>
                          <w:ind w:left="321" w:right="0" w:firstLine="0"/>
                          <w:jc w:val="left"/>
                          <w:rPr>
                            <w:b/>
                            <w:sz w:val="18"/>
                          </w:rPr>
                        </w:pPr>
                        <w:r>
                          <w:rPr>
                            <w:rFonts w:ascii="Times New Roman" w:eastAsia="Times New Roman"/>
                            <w:b/>
                            <w:color w:val="000000"/>
                            <w:sz w:val="18"/>
                            <w:shd w:fill="FFFFFF" w:color="auto" w:val="clear"/>
                          </w:rPr>
                          <w:tab/>
                        </w:r>
                        <w:r>
                          <w:rPr>
                            <w:b/>
                            <w:color w:val="000000"/>
                            <w:spacing w:val="-2"/>
                            <w:sz w:val="18"/>
                            <w:shd w:fill="FFFFFF" w:color="auto" w:val="clear"/>
                          </w:rPr>
                          <w:t>重新随机</w:t>
                        </w:r>
                        <w:r>
                          <w:rPr>
                            <w:b/>
                            <w:color w:val="000000"/>
                            <w:spacing w:val="-10"/>
                            <w:sz w:val="18"/>
                            <w:shd w:fill="FFFFFF" w:color="auto" w:val="clear"/>
                          </w:rPr>
                          <w:t>化</w:t>
                        </w:r>
                        <w:r>
                          <w:rPr>
                            <w:b/>
                            <w:color w:val="000000"/>
                            <w:sz w:val="18"/>
                            <w:shd w:fill="FFFFFF" w:color="auto" w:val="clear"/>
                          </w:rPr>
                          <w:tab/>
                        </w:r>
                      </w:p>
                      <w:p>
                        <w:pPr>
                          <w:spacing w:line="160" w:lineRule="exact" w:before="21"/>
                          <w:ind w:left="0" w:right="0" w:firstLine="0"/>
                          <w:jc w:val="left"/>
                          <w:rPr>
                            <w:sz w:val="13"/>
                          </w:rPr>
                        </w:pPr>
                        <w:r>
                          <w:rPr>
                            <w:rFonts w:ascii="Times New Roman" w:eastAsia="Times New Roman"/>
                            <w:color w:val="000000"/>
                            <w:spacing w:val="39"/>
                            <w:sz w:val="13"/>
                            <w:shd w:fill="FFFFFF" w:color="auto" w:val="clear"/>
                          </w:rPr>
                          <w:t>  </w:t>
                        </w:r>
                        <w:r>
                          <w:rPr>
                            <w:color w:val="000000"/>
                            <w:spacing w:val="-4"/>
                            <w:sz w:val="13"/>
                            <w:shd w:fill="FFFFFF" w:color="auto" w:val="clear"/>
                          </w:rPr>
                          <w:t>随机分配至</w:t>
                        </w:r>
                        <w:r>
                          <w:rPr>
                            <w:color w:val="000000"/>
                            <w:spacing w:val="80"/>
                            <w:sz w:val="13"/>
                            <w:shd w:fill="FFFFFF" w:color="auto" w:val="clear"/>
                          </w:rPr>
                          <w:t> </w:t>
                        </w:r>
                      </w:p>
                    </w:txbxContent>
                  </v:textbox>
                  <w10:wrap type="none"/>
                </v:shape>
                <v:shape style="position:absolute;left:7747;top:4509;width:2186;height:144" type="#_x0000_t202" id="docshape103" filled="false" stroked="false">
                  <v:textbox inset="0,0,0,0">
                    <w:txbxContent>
                      <w:p>
                        <w:pPr>
                          <w:tabs>
                            <w:tab w:pos="498" w:val="left" w:leader="none"/>
                            <w:tab w:pos="2165" w:val="left" w:leader="none"/>
                          </w:tabs>
                          <w:spacing w:line="144" w:lineRule="exact" w:before="0"/>
                          <w:ind w:left="0" w:right="0" w:firstLine="0"/>
                          <w:jc w:val="left"/>
                          <w:rPr>
                            <w:sz w:val="13"/>
                          </w:rPr>
                        </w:pPr>
                        <w:r>
                          <w:rPr>
                            <w:rFonts w:ascii="Times New Roman" w:eastAsia="Times New Roman"/>
                            <w:color w:val="000000"/>
                            <w:sz w:val="13"/>
                            <w:shd w:fill="FFFFFF" w:color="auto" w:val="clear"/>
                          </w:rPr>
                          <w:tab/>
                        </w:r>
                        <w:r>
                          <w:rPr>
                            <w:color w:val="000000"/>
                            <w:spacing w:val="-2"/>
                            <w:sz w:val="13"/>
                            <w:shd w:fill="FFFFFF" w:color="auto" w:val="clear"/>
                          </w:rPr>
                          <w:t>随机分配至安慰剂</w:t>
                        </w:r>
                        <w:r>
                          <w:rPr>
                            <w:color w:val="000000"/>
                            <w:spacing w:val="-10"/>
                            <w:sz w:val="13"/>
                            <w:shd w:fill="FFFFFF" w:color="auto" w:val="clear"/>
                          </w:rPr>
                          <w:t>组</w:t>
                        </w:r>
                        <w:r>
                          <w:rPr>
                            <w:color w:val="000000"/>
                            <w:sz w:val="13"/>
                            <w:shd w:fill="FFFFFF" w:color="auto" w:val="clear"/>
                          </w:rPr>
                          <w:tab/>
                        </w:r>
                      </w:p>
                    </w:txbxContent>
                  </v:textbox>
                  <w10:wrap type="none"/>
                </v:shape>
                <v:shape style="position:absolute;left:2453;top:3472;width:1144;height:344" type="#_x0000_t202" id="docshape104" filled="true" fillcolor="#ffc000" stroked="false">
                  <v:textbox inset="0,0,0,0">
                    <w:txbxContent>
                      <w:p>
                        <w:pPr>
                          <w:spacing w:before="3"/>
                          <w:ind w:left="658" w:right="0" w:firstLine="0"/>
                          <w:jc w:val="left"/>
                          <w:rPr>
                            <w:color w:val="000000"/>
                            <w:sz w:val="16"/>
                          </w:rPr>
                        </w:pPr>
                        <w:r>
                          <w:rPr>
                            <w:color w:val="FFFFFF"/>
                            <w:spacing w:val="-5"/>
                            <w:sz w:val="16"/>
                          </w:rPr>
                          <w:t>安慰剂</w:t>
                        </w:r>
                      </w:p>
                    </w:txbxContent>
                  </v:textbox>
                  <v:fill type="solid"/>
                  <w10:wrap type="none"/>
                </v:shape>
                <w10:wrap type="topAndBottom"/>
              </v:group>
            </w:pict>
          </mc:Fallback>
        </mc:AlternateContent>
      </w:r>
    </w:p>
    <w:p>
      <w:pPr>
        <w:spacing w:before="306"/>
        <w:ind w:left="221" w:right="0" w:firstLine="0"/>
        <w:jc w:val="left"/>
        <w:rPr>
          <w:sz w:val="21"/>
        </w:rPr>
      </w:pPr>
      <w:r>
        <w:rPr>
          <w:rFonts w:ascii="Times New Roman" w:eastAsia="Times New Roman"/>
          <w:sz w:val="21"/>
        </w:rPr>
        <w:t>LTE</w:t>
      </w:r>
      <w:r>
        <w:rPr>
          <w:sz w:val="21"/>
        </w:rPr>
        <w:t>，长期扩展；</w:t>
      </w:r>
      <w:r>
        <w:rPr>
          <w:rFonts w:ascii="Times New Roman" w:eastAsia="Times New Roman"/>
          <w:sz w:val="21"/>
        </w:rPr>
        <w:t>Q4W</w:t>
      </w:r>
      <w:r>
        <w:rPr>
          <w:spacing w:val="-18"/>
          <w:sz w:val="21"/>
        </w:rPr>
        <w:t>，每 </w:t>
      </w:r>
      <w:r>
        <w:rPr>
          <w:rFonts w:ascii="Times New Roman" w:eastAsia="Times New Roman"/>
          <w:sz w:val="21"/>
        </w:rPr>
        <w:t>4</w:t>
      </w:r>
      <w:r>
        <w:rPr>
          <w:rFonts w:ascii="Times New Roman" w:eastAsia="Times New Roman"/>
          <w:spacing w:val="-14"/>
          <w:sz w:val="21"/>
        </w:rPr>
        <w:t> </w:t>
      </w:r>
      <w:r>
        <w:rPr>
          <w:sz w:val="21"/>
        </w:rPr>
        <w:t>周一次；</w:t>
      </w:r>
      <w:r>
        <w:rPr>
          <w:rFonts w:ascii="Times New Roman" w:eastAsia="Times New Roman"/>
          <w:sz w:val="21"/>
        </w:rPr>
        <w:t>Q8W</w:t>
      </w:r>
      <w:r>
        <w:rPr>
          <w:spacing w:val="-18"/>
          <w:sz w:val="21"/>
        </w:rPr>
        <w:t>，每 </w:t>
      </w:r>
      <w:r>
        <w:rPr>
          <w:rFonts w:ascii="Times New Roman" w:eastAsia="Times New Roman"/>
          <w:sz w:val="21"/>
        </w:rPr>
        <w:t>8</w:t>
      </w:r>
      <w:r>
        <w:rPr>
          <w:rFonts w:ascii="Times New Roman" w:eastAsia="Times New Roman"/>
          <w:spacing w:val="-12"/>
          <w:sz w:val="21"/>
        </w:rPr>
        <w:t> </w:t>
      </w:r>
      <w:r>
        <w:rPr>
          <w:sz w:val="21"/>
        </w:rPr>
        <w:t>周一次；</w:t>
      </w:r>
      <w:r>
        <w:rPr>
          <w:rFonts w:ascii="Times New Roman" w:eastAsia="Times New Roman"/>
          <w:sz w:val="21"/>
        </w:rPr>
        <w:t>SC</w:t>
      </w:r>
      <w:r>
        <w:rPr>
          <w:sz w:val="21"/>
        </w:rPr>
        <w:t>，皮下；</w:t>
      </w:r>
      <w:r>
        <w:rPr>
          <w:rFonts w:ascii="Times New Roman" w:eastAsia="Times New Roman"/>
          <w:sz w:val="21"/>
        </w:rPr>
        <w:t>Tozo</w:t>
      </w:r>
      <w:r>
        <w:rPr>
          <w:sz w:val="21"/>
        </w:rPr>
        <w:t>：</w:t>
      </w:r>
      <w:r>
        <w:rPr>
          <w:rFonts w:ascii="Times New Roman" w:eastAsia="Times New Roman"/>
          <w:sz w:val="21"/>
        </w:rPr>
        <w:t>tozorakimab</w:t>
      </w:r>
      <w:r>
        <w:rPr>
          <w:spacing w:val="-10"/>
          <w:sz w:val="21"/>
        </w:rPr>
        <w:t>。</w:t>
      </w:r>
    </w:p>
    <w:p>
      <w:pPr>
        <w:pStyle w:val="BodyText"/>
        <w:spacing w:before="64"/>
        <w:ind w:left="0"/>
        <w:rPr>
          <w:sz w:val="21"/>
        </w:rPr>
      </w:pPr>
    </w:p>
    <w:p>
      <w:pPr>
        <w:pStyle w:val="BodyText"/>
        <w:spacing w:line="276" w:lineRule="auto"/>
        <w:ind w:right="356" w:firstLine="480"/>
        <w:jc w:val="both"/>
      </w:pPr>
      <w:r>
        <w:rPr/>
        <w:t>对于经暴露量校正的 </w:t>
      </w:r>
      <w:r>
        <w:rPr>
          <w:rFonts w:ascii="Times New Roman" w:eastAsia="Times New Roman"/>
        </w:rPr>
        <w:t>AE </w:t>
      </w:r>
      <w:r>
        <w:rPr/>
        <w:t>发生率，将基于安全性分析集进行相似的分析，即使</w:t>
      </w:r>
      <w:r>
        <w:rPr>
          <w:spacing w:val="-2"/>
        </w:rPr>
        <w:t>用随机治疗组且纳入从前身研究中首次 </w:t>
      </w:r>
      <w:r>
        <w:rPr>
          <w:rFonts w:ascii="Times New Roman" w:eastAsia="Times New Roman"/>
        </w:rPr>
        <w:t>IP</w:t>
      </w:r>
      <w:r>
        <w:rPr>
          <w:rFonts w:ascii="Times New Roman" w:eastAsia="Times New Roman"/>
          <w:spacing w:val="-15"/>
        </w:rPr>
        <w:t> </w:t>
      </w:r>
      <w:r>
        <w:rPr/>
        <w:t>给药开始的数据。还将基于所有暴露后治</w:t>
      </w:r>
      <w:r>
        <w:rPr>
          <w:spacing w:val="-2"/>
        </w:rPr>
        <w:t>疗组生成安全性总结。</w:t>
      </w:r>
    </w:p>
    <w:p>
      <w:pPr>
        <w:pStyle w:val="Heading1"/>
        <w:numPr>
          <w:ilvl w:val="1"/>
          <w:numId w:val="3"/>
        </w:numPr>
        <w:tabs>
          <w:tab w:pos="1355" w:val="left" w:leader="none"/>
        </w:tabs>
        <w:spacing w:line="240" w:lineRule="auto" w:before="238" w:after="0"/>
        <w:ind w:left="1355" w:right="0" w:hanging="1134"/>
        <w:jc w:val="both"/>
      </w:pPr>
      <w:bookmarkStart w:name="9.4 统计分析" w:id="266"/>
      <w:bookmarkEnd w:id="266"/>
      <w:r>
        <w:rPr>
          <w:b w:val="0"/>
        </w:rPr>
      </w:r>
      <w:bookmarkStart w:name="_bookmark138" w:id="267"/>
      <w:bookmarkEnd w:id="267"/>
      <w:r>
        <w:rPr>
          <w:b w:val="0"/>
        </w:rPr>
      </w:r>
      <w:r>
        <w:rPr>
          <w:spacing w:val="-4"/>
        </w:rPr>
        <w:t>统计分析</w:t>
      </w:r>
    </w:p>
    <w:p>
      <w:pPr>
        <w:pStyle w:val="BodyText"/>
        <w:spacing w:line="276" w:lineRule="auto" w:before="119"/>
        <w:ind w:right="345" w:firstLine="480"/>
        <w:jc w:val="both"/>
      </w:pPr>
      <w:r>
        <w:rPr>
          <w:spacing w:val="-4"/>
        </w:rPr>
        <w:t>涉及本研究数据的 </w:t>
      </w:r>
      <w:r>
        <w:rPr>
          <w:rFonts w:ascii="Times New Roman" w:eastAsia="Times New Roman"/>
        </w:rPr>
        <w:t>SAP</w:t>
      </w:r>
      <w:r>
        <w:rPr>
          <w:rFonts w:ascii="Times New Roman" w:eastAsia="Times New Roman"/>
          <w:spacing w:val="-4"/>
        </w:rPr>
        <w:t> </w:t>
      </w:r>
      <w:r>
        <w:rPr>
          <w:spacing w:val="-5"/>
        </w:rPr>
        <w:t>将在第一次 </w:t>
      </w:r>
      <w:r>
        <w:rPr>
          <w:rFonts w:ascii="Times New Roman" w:eastAsia="Times New Roman"/>
        </w:rPr>
        <w:t>IDMC </w:t>
      </w:r>
      <w:r>
        <w:rPr/>
        <w:t>会议、</w:t>
      </w:r>
      <w:r>
        <w:rPr>
          <w:rFonts w:ascii="Times New Roman" w:eastAsia="Times New Roman"/>
        </w:rPr>
        <w:t>BSSR </w:t>
      </w:r>
      <w:r>
        <w:rPr/>
        <w:t>或期中分析（以先发生</w:t>
      </w:r>
      <w:r>
        <w:rPr>
          <w:spacing w:val="-2"/>
        </w:rPr>
        <w:t>者为准）之前完成，其中将描述各分析所采用的受试者人群，处理缺失、未使用和</w:t>
      </w:r>
      <w:r>
        <w:rPr>
          <w:spacing w:val="9"/>
        </w:rPr>
        <w:t>虚假数据的程序，以及对本节所述的统计分析进行更专业和更详细的阐述。将在 </w:t>
      </w:r>
      <w:r>
        <w:rPr>
          <w:rFonts w:ascii="Times New Roman" w:eastAsia="Times New Roman"/>
        </w:rPr>
        <w:t>CSR </w:t>
      </w:r>
      <w:r>
        <w:rPr/>
        <w:t>中报告所有偏离本计划的情况。本节总结了最重要的终点（包括主要和关键次</w:t>
      </w:r>
      <w:r>
        <w:rPr>
          <w:spacing w:val="-2"/>
        </w:rPr>
        <w:t>要终点）的计划统计分析。</w:t>
      </w:r>
    </w:p>
    <w:p>
      <w:pPr>
        <w:pStyle w:val="BodyText"/>
        <w:spacing w:before="236"/>
        <w:ind w:left="701"/>
      </w:pPr>
      <w:r>
        <w:rPr>
          <w:spacing w:val="-1"/>
        </w:rPr>
        <w:t>分析将由申办方或其代表执行。</w:t>
      </w:r>
    </w:p>
    <w:p>
      <w:pPr>
        <w:pStyle w:val="Heading2"/>
        <w:numPr>
          <w:ilvl w:val="2"/>
          <w:numId w:val="3"/>
        </w:numPr>
        <w:tabs>
          <w:tab w:pos="1371" w:val="left" w:leader="none"/>
        </w:tabs>
        <w:spacing w:line="240" w:lineRule="auto" w:before="285" w:after="0"/>
        <w:ind w:left="1371" w:right="0" w:hanging="1150"/>
        <w:jc w:val="both"/>
      </w:pPr>
      <w:bookmarkStart w:name="9.4.1 一般考察因素" w:id="268"/>
      <w:bookmarkEnd w:id="268"/>
      <w:r>
        <w:rPr>
          <w:b w:val="0"/>
        </w:rPr>
      </w:r>
      <w:bookmarkStart w:name="_bookmark139" w:id="269"/>
      <w:bookmarkEnd w:id="269"/>
      <w:r>
        <w:rPr>
          <w:b w:val="0"/>
        </w:rPr>
      </w:r>
      <w:r>
        <w:rPr>
          <w:spacing w:val="-5"/>
        </w:rPr>
        <w:t>一般考察因素</w:t>
      </w:r>
    </w:p>
    <w:p>
      <w:pPr>
        <w:pStyle w:val="BodyText"/>
        <w:spacing w:line="276" w:lineRule="auto" w:before="121"/>
        <w:ind w:right="353" w:firstLine="480"/>
        <w:jc w:val="both"/>
      </w:pPr>
      <w:r>
        <w:rPr>
          <w:spacing w:val="-6"/>
        </w:rPr>
        <w:t>主要终点是重度 </w:t>
      </w:r>
      <w:r>
        <w:rPr>
          <w:rFonts w:ascii="Times New Roman" w:eastAsia="Times New Roman"/>
          <w:spacing w:val="-2"/>
        </w:rPr>
        <w:t>COPD</w:t>
      </w:r>
      <w:r>
        <w:rPr>
          <w:rFonts w:ascii="Times New Roman" w:eastAsia="Times New Roman"/>
          <w:spacing w:val="-13"/>
        </w:rPr>
        <w:t> </w:t>
      </w:r>
      <w:r>
        <w:rPr>
          <w:spacing w:val="-4"/>
        </w:rPr>
        <w:t>急性加重的年发生率。主要分析将在 </w:t>
      </w:r>
      <w:r>
        <w:rPr>
          <w:rFonts w:ascii="Times New Roman" w:eastAsia="Times New Roman"/>
          <w:spacing w:val="-2"/>
        </w:rPr>
        <w:t>FAS</w:t>
      </w:r>
      <w:r>
        <w:rPr>
          <w:rFonts w:ascii="Times New Roman" w:eastAsia="Times New Roman"/>
          <w:spacing w:val="-4"/>
        </w:rPr>
        <w:t> </w:t>
      </w:r>
      <w:r>
        <w:rPr>
          <w:spacing w:val="-2"/>
        </w:rPr>
        <w:t>的戒烟人群中</w:t>
      </w:r>
      <w:r>
        <w:rPr>
          <w:spacing w:val="14"/>
        </w:rPr>
        <w:t>进行， 使用前身研究和 </w:t>
      </w:r>
      <w:r>
        <w:rPr>
          <w:rFonts w:ascii="Times New Roman" w:eastAsia="Times New Roman"/>
        </w:rPr>
        <w:t>PROSPERO</w:t>
      </w:r>
      <w:r>
        <w:rPr>
          <w:rFonts w:ascii="Times New Roman" w:eastAsia="Times New Roman"/>
          <w:spacing w:val="-14"/>
        </w:rPr>
        <w:t> </w:t>
      </w:r>
      <w:r>
        <w:rPr>
          <w:spacing w:val="20"/>
        </w:rPr>
        <w:t>研究的合并数据， 旨在比较随机分配的</w:t>
      </w:r>
      <w:r>
        <w:rPr/>
        <w:t> </w:t>
      </w:r>
      <w:r>
        <w:rPr>
          <w:rFonts w:ascii="Times New Roman" w:eastAsia="Times New Roman"/>
        </w:rPr>
        <w:t>tozorakimab</w:t>
      </w:r>
      <w:r>
        <w:rPr>
          <w:rFonts w:ascii="Times New Roman" w:eastAsia="Times New Roman"/>
          <w:spacing w:val="-12"/>
        </w:rPr>
        <w:t> </w:t>
      </w:r>
      <w:r>
        <w:rPr>
          <w:rFonts w:ascii="Times New Roman" w:eastAsia="Times New Roman"/>
        </w:rPr>
        <w:t>300</w:t>
      </w:r>
      <w:r>
        <w:rPr>
          <w:rFonts w:ascii="Times New Roman" w:eastAsia="Times New Roman"/>
          <w:spacing w:val="23"/>
        </w:rPr>
        <w:t> </w:t>
      </w:r>
      <w:r>
        <w:rPr>
          <w:rFonts w:ascii="Times New Roman" w:eastAsia="Times New Roman"/>
        </w:rPr>
        <w:t>mg</w:t>
      </w:r>
      <w:r>
        <w:rPr>
          <w:rFonts w:ascii="Times New Roman" w:eastAsia="Times New Roman"/>
          <w:spacing w:val="22"/>
        </w:rPr>
        <w:t> </w:t>
      </w:r>
      <w:r>
        <w:rPr>
          <w:rFonts w:ascii="Times New Roman" w:eastAsia="Times New Roman"/>
        </w:rPr>
        <w:t>SC</w:t>
      </w:r>
      <w:r>
        <w:rPr>
          <w:rFonts w:ascii="Times New Roman" w:eastAsia="Times New Roman"/>
          <w:spacing w:val="22"/>
        </w:rPr>
        <w:t> </w:t>
      </w:r>
      <w:r>
        <w:rPr>
          <w:rFonts w:ascii="Times New Roman" w:eastAsia="Times New Roman"/>
        </w:rPr>
        <w:t>Q4W</w:t>
      </w:r>
      <w:r>
        <w:rPr>
          <w:rFonts w:ascii="Times New Roman" w:eastAsia="Times New Roman"/>
          <w:spacing w:val="-15"/>
        </w:rPr>
        <w:t> </w:t>
      </w:r>
      <w:r>
        <w:rPr/>
        <w:t>组和随机分配的安慰剂治疗组（</w:t>
      </w:r>
      <w:r>
        <w:rPr>
          <w:spacing w:val="-10"/>
        </w:rPr>
        <w:t>如第 </w:t>
      </w:r>
      <w:hyperlink w:history="true" w:anchor="_bookmark132">
        <w:r>
          <w:rPr>
            <w:rFonts w:ascii="Times New Roman" w:eastAsia="Times New Roman"/>
            <w:color w:val="0000FF"/>
          </w:rPr>
          <w:t>9.3</w:t>
        </w:r>
      </w:hyperlink>
      <w:r>
        <w:rPr>
          <w:rFonts w:ascii="Times New Roman" w:eastAsia="Times New Roman"/>
          <w:color w:val="0000FF"/>
          <w:spacing w:val="-15"/>
        </w:rPr>
        <w:t> </w:t>
      </w:r>
      <w:r>
        <w:rPr/>
        <w:t>节所述）。对</w:t>
      </w:r>
      <w:r>
        <w:rPr>
          <w:spacing w:val="18"/>
        </w:rPr>
        <w:t>于在前身研究中随机分配至安慰剂组但在 </w:t>
      </w:r>
      <w:r>
        <w:rPr>
          <w:rFonts w:ascii="Times New Roman" w:eastAsia="Times New Roman"/>
        </w:rPr>
        <w:t>PROSPERO</w:t>
      </w:r>
      <w:r>
        <w:rPr>
          <w:rFonts w:ascii="Times New Roman" w:eastAsia="Times New Roman"/>
          <w:spacing w:val="23"/>
        </w:rPr>
        <w:t> </w:t>
      </w:r>
      <w:r>
        <w:rPr>
          <w:spacing w:val="18"/>
        </w:rPr>
        <w:t>研究中重新随机分配至</w:t>
      </w:r>
      <w:r>
        <w:rPr/>
        <w:t> </w:t>
      </w:r>
      <w:r>
        <w:rPr>
          <w:rFonts w:ascii="Times New Roman" w:eastAsia="Times New Roman"/>
        </w:rPr>
        <w:t>tozorakimab </w:t>
      </w:r>
      <w:r>
        <w:rPr/>
        <w:t>组的受试者，主要分析将仅使用前身研究的数据，且基于受试者继续使</w:t>
      </w:r>
      <w:r>
        <w:rPr>
          <w:spacing w:val="-1"/>
        </w:rPr>
        <w:t>用安慰剂的假设对后续阶段的数据进行填补，因为缺失数据是由研究设计产生且由</w:t>
      </w:r>
    </w:p>
    <w:p>
      <w:pPr>
        <w:spacing w:after="0" w:line="276" w:lineRule="auto"/>
        <w:jc w:val="both"/>
        <w:sectPr>
          <w:pgSz w:w="11910" w:h="16840"/>
          <w:pgMar w:header="590" w:footer="784" w:top="1340" w:bottom="980" w:left="1480" w:right="1080"/>
        </w:sectPr>
      </w:pPr>
    </w:p>
    <w:p>
      <w:pPr>
        <w:pStyle w:val="BodyText"/>
        <w:spacing w:line="276" w:lineRule="auto" w:before="88"/>
        <w:ind w:right="353"/>
      </w:pPr>
      <w:r>
        <w:rPr>
          <w:spacing w:val="-2"/>
        </w:rPr>
        <w:t>随机化决定的。这样可评价在研究期间，若所有受试者均接受初始随机治疗的情况下，在估计目标中使用疗法策略的疗效预估值。</w:t>
      </w:r>
    </w:p>
    <w:p>
      <w:pPr>
        <w:pStyle w:val="BodyText"/>
        <w:spacing w:before="239"/>
        <w:ind w:left="701"/>
      </w:pPr>
      <w:r>
        <w:rPr>
          <w:spacing w:val="-1"/>
        </w:rPr>
        <w:t>此外，还将对重度急性加重终点进行支持性在治策略的分析。</w:t>
      </w:r>
    </w:p>
    <w:p>
      <w:pPr>
        <w:pStyle w:val="Heading2"/>
        <w:numPr>
          <w:ilvl w:val="2"/>
          <w:numId w:val="3"/>
        </w:numPr>
        <w:tabs>
          <w:tab w:pos="1373" w:val="left" w:leader="none"/>
        </w:tabs>
        <w:spacing w:line="240" w:lineRule="auto" w:before="284" w:after="0"/>
        <w:ind w:left="1373" w:right="0" w:hanging="1152"/>
        <w:jc w:val="left"/>
      </w:pPr>
      <w:bookmarkStart w:name="9.4.2 有效性" w:id="270"/>
      <w:bookmarkEnd w:id="270"/>
      <w:r>
        <w:rPr>
          <w:b w:val="0"/>
        </w:rPr>
      </w:r>
      <w:bookmarkStart w:name="_bookmark140" w:id="271"/>
      <w:bookmarkEnd w:id="271"/>
      <w:r>
        <w:rPr>
          <w:b w:val="0"/>
        </w:rPr>
      </w:r>
      <w:r>
        <w:rPr>
          <w:spacing w:val="-5"/>
        </w:rPr>
        <w:t>有效性</w:t>
      </w:r>
    </w:p>
    <w:p>
      <w:pPr>
        <w:pStyle w:val="Heading3"/>
        <w:numPr>
          <w:ilvl w:val="3"/>
          <w:numId w:val="3"/>
        </w:numPr>
        <w:tabs>
          <w:tab w:pos="1355" w:val="left" w:leader="none"/>
        </w:tabs>
        <w:spacing w:line="240" w:lineRule="auto" w:before="121" w:after="0"/>
        <w:ind w:left="1355" w:right="0" w:hanging="1134"/>
        <w:jc w:val="left"/>
      </w:pPr>
      <w:bookmarkStart w:name="9.4.2.1 主要终点" w:id="272"/>
      <w:bookmarkEnd w:id="272"/>
      <w:r>
        <w:rPr>
          <w:b w:val="0"/>
        </w:rPr>
      </w:r>
      <w:bookmarkStart w:name="_bookmark141" w:id="273"/>
      <w:bookmarkEnd w:id="273"/>
      <w:r>
        <w:rPr>
          <w:b w:val="0"/>
        </w:rPr>
      </w:r>
      <w:r>
        <w:rPr>
          <w:spacing w:val="-4"/>
        </w:rPr>
        <w:t>主要终点</w:t>
      </w:r>
    </w:p>
    <w:p>
      <w:pPr>
        <w:pStyle w:val="BodyText"/>
        <w:spacing w:line="276" w:lineRule="auto" w:before="58"/>
        <w:ind w:right="321" w:firstLine="480"/>
        <w:jc w:val="both"/>
      </w:pPr>
      <w:r>
        <w:rPr>
          <w:spacing w:val="25"/>
        </w:rPr>
        <w:t>主要终点是重度 </w:t>
      </w:r>
      <w:r>
        <w:rPr>
          <w:rFonts w:ascii="Times New Roman" w:eastAsia="Times New Roman"/>
        </w:rPr>
        <w:t>COPD</w:t>
      </w:r>
      <w:r>
        <w:rPr>
          <w:rFonts w:ascii="Times New Roman" w:eastAsia="Times New Roman"/>
          <w:spacing w:val="36"/>
        </w:rPr>
        <w:t> </w:t>
      </w:r>
      <w:r>
        <w:rPr>
          <w:spacing w:val="34"/>
        </w:rPr>
        <w:t>急性加重的年发生率。主要在戒烟人群中比较</w:t>
      </w:r>
      <w:r>
        <w:rPr>
          <w:spacing w:val="36"/>
        </w:rPr>
        <w:t> </w:t>
      </w:r>
      <w:r>
        <w:rPr>
          <w:rFonts w:ascii="Times New Roman" w:eastAsia="Times New Roman"/>
        </w:rPr>
        <w:t>tozorakimab</w:t>
      </w:r>
      <w:r>
        <w:rPr>
          <w:rFonts w:ascii="Times New Roman" w:eastAsia="Times New Roman"/>
          <w:spacing w:val="-15"/>
        </w:rPr>
        <w:t> </w:t>
      </w:r>
      <w:r>
        <w:rPr>
          <w:spacing w:val="-2"/>
        </w:rPr>
        <w:t>与安慰剂。将使用所有可用数据在 </w:t>
      </w:r>
      <w:r>
        <w:rPr>
          <w:rFonts w:ascii="Times New Roman" w:eastAsia="Times New Roman"/>
        </w:rPr>
        <w:t>FAS</w:t>
      </w:r>
      <w:r>
        <w:rPr>
          <w:rFonts w:ascii="Times New Roman" w:eastAsia="Times New Roman"/>
          <w:spacing w:val="-15"/>
        </w:rPr>
        <w:t> </w:t>
      </w:r>
      <w:r>
        <w:rPr/>
        <w:t>中进行分析，将使用所有观察到的数据（</w:t>
      </w:r>
      <w:r>
        <w:rPr>
          <w:spacing w:val="-4"/>
        </w:rPr>
        <w:t>按计划重新分配 </w:t>
      </w:r>
      <w:r>
        <w:rPr>
          <w:rFonts w:ascii="Times New Roman" w:eastAsia="Times New Roman"/>
        </w:rPr>
        <w:t>IP </w:t>
      </w:r>
      <w:r>
        <w:rPr/>
        <w:t>后的数据除外），无论是否终止治疗或研究、改变背景</w:t>
      </w:r>
      <w:r>
        <w:rPr>
          <w:spacing w:val="-2"/>
        </w:rPr>
        <w:t>治疗或改变吸烟状况。该人群将使用疗法策略为估计目标提供疗效的预估。</w:t>
      </w:r>
    </w:p>
    <w:p>
      <w:pPr>
        <w:pStyle w:val="BodyText"/>
        <w:spacing w:line="276" w:lineRule="auto" w:before="237"/>
        <w:ind w:right="117" w:firstLine="480"/>
      </w:pPr>
      <w:r>
        <w:rPr/>
        <w:t>针对重度 </w:t>
      </w:r>
      <w:r>
        <w:rPr>
          <w:rFonts w:ascii="Times New Roman" w:eastAsia="Times New Roman"/>
        </w:rPr>
        <w:t>COPD</w:t>
      </w:r>
      <w:r>
        <w:rPr>
          <w:rFonts w:ascii="Times New Roman" w:eastAsia="Times New Roman"/>
          <w:spacing w:val="40"/>
        </w:rPr>
        <w:t> </w:t>
      </w:r>
      <w:r>
        <w:rPr/>
        <w:t>急性加重，将使用负二项式分布模型比较 </w:t>
      </w:r>
      <w:r>
        <w:rPr>
          <w:rFonts w:ascii="Times New Roman" w:eastAsia="Times New Roman"/>
        </w:rPr>
        <w:t>tozorakimab</w:t>
      </w:r>
      <w:r>
        <w:rPr>
          <w:rFonts w:ascii="Times New Roman" w:eastAsia="Times New Roman"/>
          <w:spacing w:val="40"/>
        </w:rPr>
        <w:t> </w:t>
      </w:r>
      <w:r>
        <w:rPr>
          <w:rFonts w:ascii="Times New Roman" w:eastAsia="Times New Roman"/>
        </w:rPr>
        <w:t>300</w:t>
      </w:r>
      <w:r>
        <w:rPr>
          <w:rFonts w:ascii="Times New Roman" w:eastAsia="Times New Roman"/>
          <w:spacing w:val="40"/>
        </w:rPr>
        <w:t> </w:t>
      </w:r>
      <w:r>
        <w:rPr>
          <w:rFonts w:ascii="Times New Roman" w:eastAsia="Times New Roman"/>
        </w:rPr>
        <w:t>mg Q4W </w:t>
      </w:r>
      <w:r>
        <w:rPr/>
        <w:t>组与安慰剂组的急性加重发生率。模型中的反应变量为基于多重填补法对退组</w:t>
      </w:r>
      <w:r>
        <w:rPr/>
        <w:t> </w:t>
      </w:r>
      <w:r>
        <w:rPr>
          <w:spacing w:val="-2"/>
        </w:rPr>
        <w:t>数据进行校正后治疗期间的重度 </w:t>
      </w:r>
      <w:r>
        <w:rPr>
          <w:rFonts w:ascii="Times New Roman" w:eastAsia="Times New Roman"/>
        </w:rPr>
        <w:t>COPD</w:t>
      </w:r>
      <w:r>
        <w:rPr>
          <w:rFonts w:ascii="Times New Roman" w:eastAsia="Times New Roman"/>
          <w:spacing w:val="15"/>
        </w:rPr>
        <w:t> </w:t>
      </w:r>
      <w:r>
        <w:rPr/>
        <w:t>急性加重的次数。该模型将治疗、前身研究、地区、吸入性维持治疗和基线 </w:t>
      </w:r>
      <w:r>
        <w:rPr>
          <w:rFonts w:ascii="Times New Roman" w:eastAsia="Times New Roman"/>
        </w:rPr>
        <w:t>COPD</w:t>
      </w:r>
      <w:r>
        <w:rPr>
          <w:rFonts w:ascii="Times New Roman" w:eastAsia="Times New Roman"/>
          <w:spacing w:val="40"/>
        </w:rPr>
        <w:t> </w:t>
      </w:r>
      <w:r>
        <w:rPr/>
        <w:t>急性加重史作为分类协变量，基线 </w:t>
      </w:r>
      <w:r>
        <w:rPr>
          <w:rFonts w:ascii="Times New Roman" w:eastAsia="Times New Roman"/>
        </w:rPr>
        <w:t>BD</w:t>
      </w:r>
      <w:r>
        <w:rPr>
          <w:rFonts w:ascii="Times New Roman" w:eastAsia="Times New Roman"/>
          <w:spacing w:val="40"/>
        </w:rPr>
        <w:t> </w:t>
      </w:r>
      <w:r>
        <w:rPr/>
        <w:t>给药后 </w:t>
      </w:r>
      <w:r>
        <w:rPr>
          <w:rFonts w:ascii="Times New Roman" w:eastAsia="Times New Roman"/>
          <w:position w:val="1"/>
        </w:rPr>
        <w:t>FEV</w:t>
      </w:r>
      <w:r>
        <w:rPr>
          <w:rFonts w:ascii="Times New Roman" w:eastAsia="Times New Roman"/>
          <w:sz w:val="16"/>
        </w:rPr>
        <w:t>1</w:t>
      </w:r>
      <w:r>
        <w:rPr>
          <w:rFonts w:ascii="Times New Roman" w:eastAsia="Times New Roman"/>
          <w:spacing w:val="40"/>
          <w:sz w:val="16"/>
        </w:rPr>
        <w:t> </w:t>
      </w:r>
      <w:r>
        <w:rPr>
          <w:position w:val="1"/>
        </w:rPr>
        <w:t>百分比预测值和血液中嗜酸性粒细胞计数的对数值作为连续协变量。随访时间 </w:t>
      </w:r>
      <w:r>
        <w:rPr>
          <w:spacing w:val="-2"/>
        </w:rPr>
        <w:t>的对数将作为模型的位移变量，在计划治疗期结束前纳入或填补。</w:t>
      </w:r>
    </w:p>
    <w:p>
      <w:pPr>
        <w:pStyle w:val="BodyText"/>
        <w:spacing w:line="276" w:lineRule="auto" w:before="235"/>
        <w:ind w:right="357" w:firstLine="480"/>
      </w:pPr>
      <w:r>
        <w:rPr/>
        <w:t>将汇报估计治疗效应（</w:t>
      </w:r>
      <w:r>
        <w:rPr>
          <w:spacing w:val="-25"/>
        </w:rPr>
        <w:t>即 </w:t>
      </w:r>
      <w:r>
        <w:rPr>
          <w:rFonts w:ascii="Times New Roman" w:eastAsia="Times New Roman"/>
        </w:rPr>
        <w:t>tozorakimab</w:t>
      </w:r>
      <w:r>
        <w:rPr>
          <w:rFonts w:ascii="Times New Roman" w:eastAsia="Times New Roman"/>
          <w:spacing w:val="-15"/>
        </w:rPr>
        <w:t> </w:t>
      </w:r>
      <w:r>
        <w:rPr/>
        <w:t>组相对于安慰剂组的发生率比值）及发生</w:t>
      </w:r>
      <w:r>
        <w:rPr>
          <w:spacing w:val="-9"/>
        </w:rPr>
        <w:t>率比值的相应 </w:t>
      </w:r>
      <w:r>
        <w:rPr>
          <w:rFonts w:ascii="Times New Roman" w:eastAsia="Times New Roman"/>
        </w:rPr>
        <w:t>95% CI</w:t>
      </w:r>
      <w:r>
        <w:rPr>
          <w:rFonts w:ascii="Times New Roman" w:eastAsia="Times New Roman"/>
          <w:spacing w:val="-12"/>
        </w:rPr>
        <w:t> </w:t>
      </w:r>
      <w:r>
        <w:rPr>
          <w:spacing w:val="-15"/>
        </w:rPr>
        <w:t>和双侧 </w:t>
      </w:r>
      <w:r>
        <w:rPr>
          <w:rFonts w:ascii="Times New Roman" w:eastAsia="Times New Roman"/>
        </w:rPr>
        <w:t>p</w:t>
      </w:r>
      <w:r>
        <w:rPr>
          <w:rFonts w:ascii="Times New Roman" w:eastAsia="Times New Roman"/>
          <w:spacing w:val="-12"/>
        </w:rPr>
        <w:t> </w:t>
      </w:r>
      <w:r>
        <w:rPr>
          <w:spacing w:val="-1"/>
        </w:rPr>
        <w:t>值。此外，还将汇报每个治疗组的急性加重发生率。</w:t>
      </w:r>
    </w:p>
    <w:p>
      <w:pPr>
        <w:pStyle w:val="BodyText"/>
        <w:spacing w:line="276" w:lineRule="auto" w:before="239"/>
        <w:ind w:right="354" w:firstLine="480"/>
        <w:jc w:val="both"/>
      </w:pPr>
      <w:r>
        <w:rPr>
          <w:spacing w:val="-12"/>
        </w:rPr>
        <w:t>若 </w:t>
      </w:r>
      <w:r>
        <w:rPr>
          <w:rFonts w:ascii="Times New Roman" w:eastAsia="Times New Roman"/>
        </w:rPr>
        <w:t>COPD</w:t>
      </w:r>
      <w:r>
        <w:rPr>
          <w:rFonts w:ascii="Times New Roman" w:eastAsia="Times New Roman"/>
          <w:spacing w:val="17"/>
        </w:rPr>
        <w:t> </w:t>
      </w:r>
      <w:r>
        <w:rPr/>
        <w:t>急性加重发生在前一次急性加重末次使用全身性皮质类固醇或抗生素</w:t>
      </w:r>
      <w:r>
        <w:rPr>
          <w:spacing w:val="-14"/>
        </w:rPr>
        <w:t>的 </w:t>
      </w:r>
      <w:r>
        <w:rPr>
          <w:rFonts w:ascii="Times New Roman" w:eastAsia="Times New Roman"/>
        </w:rPr>
        <w:t>7 </w:t>
      </w:r>
      <w:r>
        <w:rPr>
          <w:spacing w:val="-3"/>
        </w:rPr>
        <w:t>天内，或住院结束的 </w:t>
      </w:r>
      <w:r>
        <w:rPr>
          <w:rFonts w:ascii="Times New Roman" w:eastAsia="Times New Roman"/>
        </w:rPr>
        <w:t>7 </w:t>
      </w:r>
      <w:r>
        <w:rPr/>
        <w:t>天内，则将该次急性加重与前一次急性加重合并计为一</w:t>
      </w:r>
      <w:r>
        <w:rPr>
          <w:spacing w:val="-2"/>
        </w:rPr>
        <w:t>次急性加重事件，并记录各次事件之间的最大严重程度。关于整合急性加重事件的</w:t>
      </w:r>
      <w:r>
        <w:rPr>
          <w:spacing w:val="-5"/>
        </w:rPr>
        <w:t>更多详细内容请见 </w:t>
      </w:r>
      <w:r>
        <w:rPr>
          <w:rFonts w:ascii="Times New Roman" w:eastAsia="Times New Roman"/>
        </w:rPr>
        <w:t>SAP</w:t>
      </w:r>
      <w:r>
        <w:rPr/>
        <w:t>。将对所有急性加重终点应用类似的标准。</w:t>
      </w:r>
    </w:p>
    <w:p>
      <w:pPr>
        <w:pStyle w:val="BodyText"/>
        <w:spacing w:line="276" w:lineRule="auto" w:before="237"/>
        <w:ind w:right="353" w:firstLine="480"/>
        <w:jc w:val="both"/>
      </w:pPr>
      <w:r>
        <w:rPr>
          <w:spacing w:val="-5"/>
        </w:rPr>
        <w:t>在数据截止日期时，仍在 </w:t>
      </w:r>
      <w:r>
        <w:rPr>
          <w:rFonts w:ascii="Times New Roman" w:eastAsia="Times New Roman"/>
          <w:spacing w:val="-2"/>
        </w:rPr>
        <w:t>PROSPERO</w:t>
      </w:r>
      <w:r>
        <w:rPr>
          <w:rFonts w:ascii="Times New Roman" w:eastAsia="Times New Roman"/>
          <w:spacing w:val="3"/>
        </w:rPr>
        <w:t> </w:t>
      </w:r>
      <w:r>
        <w:rPr>
          <w:spacing w:val="-2"/>
        </w:rPr>
        <w:t>研究中的受试者将仅使用此时间点之前的数据。对于失访或提前退出研究的受试者，将对自末次联系日期至数据截止日期或计划治疗期结束（</w:t>
      </w:r>
      <w:r>
        <w:rPr>
          <w:rFonts w:ascii="Times New Roman" w:eastAsia="Times New Roman"/>
          <w:spacing w:val="-2"/>
        </w:rPr>
        <w:t>28</w:t>
      </w:r>
      <w:r>
        <w:rPr>
          <w:rFonts w:ascii="Times New Roman" w:eastAsia="Times New Roman"/>
          <w:spacing w:val="-13"/>
        </w:rPr>
        <w:t> </w:t>
      </w:r>
      <w:r>
        <w:rPr>
          <w:spacing w:val="-11"/>
        </w:rPr>
        <w:t>周或 </w:t>
      </w:r>
      <w:r>
        <w:rPr>
          <w:rFonts w:ascii="Times New Roman" w:eastAsia="Times New Roman"/>
          <w:spacing w:val="-2"/>
        </w:rPr>
        <w:t>52</w:t>
      </w:r>
      <w:r>
        <w:rPr>
          <w:rFonts w:ascii="Times New Roman" w:eastAsia="Times New Roman"/>
          <w:spacing w:val="-13"/>
        </w:rPr>
        <w:t> </w:t>
      </w:r>
      <w:r>
        <w:rPr>
          <w:spacing w:val="-2"/>
        </w:rPr>
        <w:t>周）之间的数据进行填补。同样，对于从安慰剂组重新</w:t>
      </w:r>
      <w:r>
        <w:rPr>
          <w:spacing w:val="-2"/>
        </w:rPr>
        <w:t>随机分配至活性药物治疗组的受试者，将填补从前身研究结束至数据截止日期或计划治疗期结束日期的数据。对于从 </w:t>
      </w:r>
      <w:r>
        <w:rPr>
          <w:rFonts w:ascii="Times New Roman" w:eastAsia="Times New Roman"/>
        </w:rPr>
        <w:t>300 mg Q8W </w:t>
      </w:r>
      <w:r>
        <w:rPr/>
        <w:t>治疗组更换给药方案的受试者，将</w:t>
      </w:r>
      <w:r>
        <w:rPr>
          <w:spacing w:val="-2"/>
        </w:rPr>
        <w:t>仅使用更换方案之前的数据。</w:t>
      </w:r>
    </w:p>
    <w:p>
      <w:pPr>
        <w:pStyle w:val="Heading3"/>
        <w:spacing w:before="234"/>
      </w:pPr>
      <w:r>
        <w:rPr>
          <w:spacing w:val="-5"/>
          <w:u w:val="single"/>
        </w:rPr>
        <w:t>缺失数据的处理</w:t>
      </w:r>
    </w:p>
    <w:p>
      <w:pPr>
        <w:pStyle w:val="BodyText"/>
        <w:spacing w:line="276" w:lineRule="auto" w:before="120"/>
        <w:ind w:right="355" w:firstLine="480"/>
        <w:jc w:val="both"/>
      </w:pPr>
      <w:r>
        <w:rPr>
          <w:spacing w:val="2"/>
        </w:rPr>
        <w:t>在主要分析中，将进行多重插补，退出研究后的事件计数将根据退出之前观察到的事件数进行有条件填补（</w:t>
      </w:r>
      <w:hyperlink w:history="true" w:anchor="_bookmark180">
        <w:r>
          <w:rPr>
            <w:rFonts w:ascii="Times New Roman" w:eastAsia="Times New Roman"/>
            <w:color w:val="0000FF"/>
            <w:spacing w:val="-1"/>
          </w:rPr>
          <w:t>Gottlo</w:t>
        </w:r>
        <w:r>
          <w:rPr>
            <w:rFonts w:ascii="Times New Roman" w:eastAsia="Times New Roman"/>
            <w:color w:val="0000FF"/>
          </w:rPr>
          <w:t>w</w:t>
        </w:r>
        <w:r>
          <w:rPr>
            <w:rFonts w:ascii="Times New Roman" w:eastAsia="Times New Roman"/>
            <w:color w:val="0000FF"/>
            <w:spacing w:val="15"/>
          </w:rPr>
          <w:t> </w:t>
        </w:r>
        <w:r>
          <w:rPr>
            <w:rFonts w:ascii="Times New Roman" w:eastAsia="Times New Roman"/>
            <w:color w:val="0000FF"/>
          </w:rPr>
          <w:t>et</w:t>
        </w:r>
        <w:r>
          <w:rPr>
            <w:rFonts w:ascii="Times New Roman" w:eastAsia="Times New Roman"/>
            <w:color w:val="0000FF"/>
            <w:spacing w:val="17"/>
          </w:rPr>
          <w:t> </w:t>
        </w:r>
        <w:r>
          <w:rPr>
            <w:rFonts w:ascii="Times New Roman" w:eastAsia="Times New Roman"/>
            <w:color w:val="0000FF"/>
            <w:spacing w:val="-1"/>
          </w:rPr>
          <w:t>a</w:t>
        </w:r>
        <w:r>
          <w:rPr>
            <w:rFonts w:ascii="Times New Roman" w:eastAsia="Times New Roman"/>
            <w:color w:val="0000FF"/>
          </w:rPr>
          <w:t>l</w:t>
        </w:r>
        <w:r>
          <w:rPr>
            <w:rFonts w:ascii="Times New Roman" w:eastAsia="Times New Roman"/>
            <w:color w:val="0000FF"/>
            <w:spacing w:val="17"/>
          </w:rPr>
          <w:t> </w:t>
        </w:r>
        <w:r>
          <w:rPr>
            <w:rFonts w:ascii="Times New Roman" w:eastAsia="Times New Roman"/>
            <w:color w:val="0000FF"/>
          </w:rPr>
          <w:t>2</w:t>
        </w:r>
        <w:r>
          <w:rPr>
            <w:rFonts w:ascii="Times New Roman" w:eastAsia="Times New Roman"/>
            <w:color w:val="0000FF"/>
            <w:spacing w:val="-2"/>
          </w:rPr>
          <w:t>0</w:t>
        </w:r>
        <w:r>
          <w:rPr>
            <w:rFonts w:ascii="Times New Roman" w:eastAsia="Times New Roman"/>
            <w:color w:val="0000FF"/>
          </w:rPr>
          <w:t>1</w:t>
        </w:r>
        <w:r>
          <w:rPr>
            <w:rFonts w:ascii="Times New Roman" w:eastAsia="Times New Roman"/>
            <w:color w:val="0000FF"/>
            <w:spacing w:val="1"/>
          </w:rPr>
          <w:t>5</w:t>
        </w:r>
      </w:hyperlink>
      <w:r>
        <w:rPr>
          <w:rFonts w:ascii="Times New Roman" w:eastAsia="Times New Roman"/>
          <w:spacing w:val="8"/>
        </w:rPr>
        <w:t>, </w:t>
      </w:r>
      <w:hyperlink w:history="true" w:anchor="_bookmark215">
        <w:r>
          <w:rPr>
            <w:rFonts w:ascii="Times New Roman" w:eastAsia="Times New Roman"/>
            <w:color w:val="0000FF"/>
          </w:rPr>
          <w:t>Wan</w:t>
        </w:r>
        <w:r>
          <w:rPr>
            <w:rFonts w:ascii="Times New Roman" w:eastAsia="Times New Roman"/>
            <w:color w:val="0000FF"/>
            <w:spacing w:val="15"/>
          </w:rPr>
          <w:t> </w:t>
        </w:r>
        <w:r>
          <w:rPr>
            <w:rFonts w:ascii="Times New Roman" w:eastAsia="Times New Roman"/>
            <w:color w:val="0000FF"/>
          </w:rPr>
          <w:t>et</w:t>
        </w:r>
        <w:r>
          <w:rPr>
            <w:rFonts w:ascii="Times New Roman" w:eastAsia="Times New Roman"/>
            <w:color w:val="0000FF"/>
            <w:spacing w:val="14"/>
          </w:rPr>
          <w:t> </w:t>
        </w:r>
        <w:r>
          <w:rPr>
            <w:rFonts w:ascii="Times New Roman" w:eastAsia="Times New Roman"/>
            <w:color w:val="0000FF"/>
          </w:rPr>
          <w:t>al</w:t>
        </w:r>
        <w:r>
          <w:rPr>
            <w:rFonts w:ascii="Times New Roman" w:eastAsia="Times New Roman"/>
            <w:color w:val="0000FF"/>
            <w:spacing w:val="17"/>
          </w:rPr>
          <w:t> </w:t>
        </w:r>
        <w:r>
          <w:rPr>
            <w:rFonts w:ascii="Times New Roman" w:eastAsia="Times New Roman"/>
            <w:color w:val="0000FF"/>
          </w:rPr>
          <w:t>201</w:t>
        </w:r>
        <w:r>
          <w:rPr>
            <w:rFonts w:ascii="Times New Roman" w:eastAsia="Times New Roman"/>
            <w:color w:val="0000FF"/>
            <w:spacing w:val="1"/>
          </w:rPr>
          <w:t>5</w:t>
        </w:r>
      </w:hyperlink>
      <w:r>
        <w:rPr/>
        <w:t>）</w:t>
      </w:r>
      <w:r>
        <w:rPr>
          <w:spacing w:val="-1"/>
        </w:rPr>
        <w:t>。对于提前退出研</w:t>
      </w:r>
      <w:r>
        <w:rPr>
          <w:spacing w:val="5"/>
        </w:rPr>
        <w:t>究的受试者的缺失数据，将基于脱落原因</w:t>
      </w:r>
      <w:r>
        <w:rPr>
          <w:spacing w:val="11"/>
        </w:rPr>
        <w:t>（</w:t>
      </w:r>
      <w:r>
        <w:rPr>
          <w:rFonts w:ascii="Times New Roman" w:eastAsia="Times New Roman"/>
        </w:rPr>
        <w:t>D</w:t>
      </w:r>
      <w:r>
        <w:rPr>
          <w:rFonts w:ascii="Times New Roman" w:eastAsia="Times New Roman"/>
          <w:spacing w:val="-3"/>
        </w:rPr>
        <w:t>R</w:t>
      </w:r>
      <w:r>
        <w:rPr>
          <w:rFonts w:ascii="Times New Roman" w:eastAsia="Times New Roman"/>
        </w:rPr>
        <w:t>M</w:t>
      </w:r>
      <w:r>
        <w:rPr>
          <w:rFonts w:ascii="Times New Roman" w:eastAsia="Times New Roman"/>
          <w:spacing w:val="6"/>
        </w:rPr>
        <w:t>I</w:t>
      </w:r>
      <w:r>
        <w:rPr>
          <w:spacing w:val="5"/>
        </w:rPr>
        <w:t>）</w:t>
      </w:r>
      <w:r>
        <w:rPr>
          <w:spacing w:val="4"/>
        </w:rPr>
        <w:t>进行多重插补，其中对于因与</w:t>
      </w:r>
      <w:r>
        <w:rPr>
          <w:spacing w:val="3"/>
        </w:rPr>
        <w:t>治疗无关原因退出后的事件计数，将根据随机缺失假设进行插补，对于因与治疗相</w:t>
      </w:r>
      <w:r>
        <w:rPr>
          <w:spacing w:val="-2"/>
        </w:rPr>
        <w:t>关原因退出后的事件计数，将根据非随机缺失假设进行插补。对于 </w:t>
      </w:r>
      <w:r>
        <w:rPr>
          <w:rFonts w:ascii="Times New Roman" w:eastAsia="Times New Roman"/>
        </w:rPr>
        <w:t>tozorakimab</w:t>
      </w:r>
      <w:r>
        <w:rPr>
          <w:rFonts w:ascii="Times New Roman" w:eastAsia="Times New Roman"/>
          <w:spacing w:val="-5"/>
        </w:rPr>
        <w:t> </w:t>
      </w:r>
      <w:r>
        <w:rPr>
          <w:spacing w:val="-6"/>
        </w:rPr>
        <w:t>治疗</w:t>
      </w:r>
    </w:p>
    <w:p>
      <w:pPr>
        <w:spacing w:after="0" w:line="276" w:lineRule="auto"/>
        <w:jc w:val="both"/>
        <w:sectPr>
          <w:pgSz w:w="11910" w:h="16840"/>
          <w:pgMar w:header="590" w:footer="784" w:top="1340" w:bottom="980" w:left="1480" w:right="1080"/>
        </w:sectPr>
      </w:pPr>
    </w:p>
    <w:p>
      <w:pPr>
        <w:pStyle w:val="BodyText"/>
        <w:spacing w:line="276" w:lineRule="auto" w:before="88"/>
        <w:ind w:right="353"/>
        <w:jc w:val="both"/>
      </w:pPr>
      <w:r>
        <w:rPr>
          <w:spacing w:val="-2"/>
        </w:rPr>
        <w:t>组因治疗相关原因脱落的受试者，将基于基线协变量，使用安慰剂组的负二项式分布发生率参数对退出后的事件计数进行有条件插补。对于所有其他受试者，将使用其随机治疗组的条件发生率。将根据盲态数据对脱落原因进行分类。在运行主要分</w:t>
      </w:r>
      <w:r>
        <w:rPr/>
        <w:t>析模型之前，将对自举法生成的多个数据集进行插补，然后使用 </w:t>
      </w:r>
      <w:r>
        <w:rPr>
          <w:rFonts w:ascii="Times New Roman" w:eastAsia="Times New Roman"/>
        </w:rPr>
        <w:t>Rubin </w:t>
      </w:r>
      <w:r>
        <w:rPr/>
        <w:t>规则合并基于每个数据集的估计值（</w:t>
      </w:r>
      <w:hyperlink w:history="true" w:anchor="_bookmark178">
        <w:r>
          <w:rPr>
            <w:rFonts w:ascii="Times New Roman" w:eastAsia="Times New Roman"/>
            <w:color w:val="0000FF"/>
          </w:rPr>
          <w:t>Fleming 2011</w:t>
        </w:r>
      </w:hyperlink>
      <w:r>
        <w:rPr>
          <w:rFonts w:ascii="Times New Roman" w:eastAsia="Times New Roman"/>
          <w:color w:val="0000FF"/>
        </w:rPr>
        <w:t>, </w:t>
      </w:r>
      <w:hyperlink w:history="true" w:anchor="_bookmark199">
        <w:r>
          <w:rPr>
            <w:rFonts w:ascii="Times New Roman" w:eastAsia="Times New Roman"/>
            <w:color w:val="0000FF"/>
          </w:rPr>
          <w:t>Ratitch et al 2013</w:t>
        </w:r>
      </w:hyperlink>
      <w:r>
        <w:rPr/>
        <w:t>）。</w:t>
      </w:r>
    </w:p>
    <w:p>
      <w:pPr>
        <w:pStyle w:val="Heading3"/>
        <w:numPr>
          <w:ilvl w:val="3"/>
          <w:numId w:val="3"/>
        </w:numPr>
        <w:tabs>
          <w:tab w:pos="1355" w:val="left" w:leader="none"/>
        </w:tabs>
        <w:spacing w:line="240" w:lineRule="auto" w:before="235" w:after="0"/>
        <w:ind w:left="1355" w:right="0" w:hanging="1134"/>
        <w:jc w:val="left"/>
      </w:pPr>
      <w:bookmarkStart w:name="9.4.2.2 次要终点" w:id="274"/>
      <w:bookmarkEnd w:id="274"/>
      <w:r>
        <w:rPr>
          <w:b w:val="0"/>
        </w:rPr>
      </w:r>
      <w:bookmarkStart w:name="_bookmark142" w:id="275"/>
      <w:bookmarkEnd w:id="275"/>
      <w:r>
        <w:rPr>
          <w:b w:val="0"/>
        </w:rPr>
      </w:r>
      <w:r>
        <w:rPr>
          <w:spacing w:val="-4"/>
        </w:rPr>
        <w:t>次要终点</w:t>
      </w:r>
    </w:p>
    <w:p>
      <w:pPr>
        <w:pStyle w:val="BodyText"/>
        <w:spacing w:line="276" w:lineRule="auto" w:before="60"/>
        <w:ind w:right="357" w:firstLine="480"/>
        <w:jc w:val="both"/>
      </w:pPr>
      <w:r>
        <w:rPr>
          <w:spacing w:val="-15"/>
        </w:rPr>
        <w:t>在 </w:t>
      </w:r>
      <w:r>
        <w:rPr>
          <w:rFonts w:ascii="Times New Roman" w:eastAsia="Times New Roman"/>
        </w:rPr>
        <w:t>FAS</w:t>
      </w:r>
      <w:r>
        <w:rPr>
          <w:rFonts w:ascii="Times New Roman" w:eastAsia="Times New Roman"/>
          <w:spacing w:val="-15"/>
        </w:rPr>
        <w:t> </w:t>
      </w:r>
      <w:r>
        <w:rPr/>
        <w:t>的主要人群（戒烟者）和总体人群（戒烟者或吸烟者）中进行所有次要</w:t>
      </w:r>
      <w:r>
        <w:rPr>
          <w:spacing w:val="-2"/>
        </w:rPr>
        <w:t>终点分析。</w:t>
      </w:r>
    </w:p>
    <w:p>
      <w:pPr>
        <w:pStyle w:val="Heading3"/>
        <w:spacing w:before="238"/>
      </w:pPr>
      <w:r>
        <w:rPr>
          <w:spacing w:val="-20"/>
          <w:u w:val="single"/>
        </w:rPr>
        <w:t>重度 </w:t>
      </w:r>
      <w:r>
        <w:rPr>
          <w:rFonts w:ascii="Times New Roman" w:eastAsia="Times New Roman"/>
          <w:spacing w:val="-2"/>
          <w:u w:val="single"/>
        </w:rPr>
        <w:t>COPD</w:t>
      </w:r>
      <w:r>
        <w:rPr>
          <w:rFonts w:ascii="Times New Roman" w:eastAsia="Times New Roman"/>
          <w:spacing w:val="-5"/>
          <w:u w:val="single"/>
        </w:rPr>
        <w:t> </w:t>
      </w:r>
      <w:r>
        <w:rPr>
          <w:spacing w:val="-3"/>
          <w:u w:val="single"/>
        </w:rPr>
        <w:t>急性加重的年发生率</w:t>
      </w:r>
    </w:p>
    <w:p>
      <w:pPr>
        <w:pStyle w:val="BodyText"/>
        <w:spacing w:before="120"/>
        <w:ind w:left="701"/>
      </w:pPr>
      <w:r>
        <w:rPr>
          <w:spacing w:val="-1"/>
        </w:rPr>
        <w:t>针对关键次要终点，即重度 </w:t>
      </w:r>
      <w:r>
        <w:rPr>
          <w:rFonts w:ascii="Times New Roman" w:eastAsia="Times New Roman"/>
        </w:rPr>
        <w:t>COPD</w:t>
      </w:r>
      <w:r>
        <w:rPr>
          <w:rFonts w:ascii="Times New Roman" w:eastAsia="Times New Roman"/>
          <w:spacing w:val="30"/>
        </w:rPr>
        <w:t> </w:t>
      </w:r>
      <w:r>
        <w:rPr/>
        <w:t>急性加重的年发生率，使用与主要分析（</w:t>
      </w:r>
      <w:r>
        <w:rPr>
          <w:spacing w:val="-10"/>
        </w:rPr>
        <w:t>第</w:t>
      </w:r>
    </w:p>
    <w:p>
      <w:pPr>
        <w:pStyle w:val="BodyText"/>
        <w:spacing w:line="276" w:lineRule="auto" w:before="45"/>
        <w:ind w:right="357"/>
      </w:pPr>
      <w:hyperlink w:history="true" w:anchor="_bookmark141">
        <w:r>
          <w:rPr>
            <w:rFonts w:ascii="Times New Roman" w:eastAsia="Times New Roman"/>
            <w:color w:val="0000FF"/>
          </w:rPr>
          <w:t>9.4.2.1</w:t>
        </w:r>
      </w:hyperlink>
      <w:r>
        <w:rPr>
          <w:rFonts w:ascii="Times New Roman" w:eastAsia="Times New Roman"/>
          <w:color w:val="0000FF"/>
          <w:spacing w:val="40"/>
        </w:rPr>
        <w:t> </w:t>
      </w:r>
      <w:r>
        <w:rPr/>
        <w:t>节）相似的方法，增加吸烟状况为协变量，在戒烟者或吸烟者组成的所有受</w:t>
      </w:r>
      <w:r>
        <w:rPr>
          <w:spacing w:val="-2"/>
        </w:rPr>
        <w:t>试者人群中进行分析。</w:t>
      </w:r>
    </w:p>
    <w:p>
      <w:pPr>
        <w:pStyle w:val="Heading3"/>
        <w:spacing w:before="239"/>
      </w:pPr>
      <w:r>
        <w:rPr>
          <w:spacing w:val="-11"/>
          <w:u w:val="single"/>
        </w:rPr>
        <w:t>至首次重度 </w:t>
      </w:r>
      <w:r>
        <w:rPr>
          <w:rFonts w:ascii="Times New Roman" w:eastAsia="Times New Roman"/>
          <w:spacing w:val="-2"/>
          <w:u w:val="single"/>
        </w:rPr>
        <w:t>COPD</w:t>
      </w:r>
      <w:r>
        <w:rPr>
          <w:rFonts w:ascii="Times New Roman" w:eastAsia="Times New Roman"/>
          <w:spacing w:val="-5"/>
          <w:u w:val="single"/>
        </w:rPr>
        <w:t> </w:t>
      </w:r>
      <w:r>
        <w:rPr>
          <w:spacing w:val="-4"/>
          <w:u w:val="single"/>
        </w:rPr>
        <w:t>急性加重的时间</w:t>
      </w:r>
    </w:p>
    <w:p>
      <w:pPr>
        <w:pStyle w:val="BodyText"/>
        <w:spacing w:line="276" w:lineRule="auto" w:before="119"/>
        <w:ind w:right="357" w:firstLine="480"/>
        <w:jc w:val="both"/>
      </w:pPr>
      <w:r>
        <w:rPr>
          <w:spacing w:val="-2"/>
        </w:rPr>
        <w:t>针对关键次要终点，即治疗期间至首次重度 </w:t>
      </w:r>
      <w:r>
        <w:rPr>
          <w:rFonts w:ascii="Times New Roman" w:eastAsia="Times New Roman"/>
        </w:rPr>
        <w:t>COPD </w:t>
      </w:r>
      <w:r>
        <w:rPr/>
        <w:t>急性加重的时间，将首先在</w:t>
      </w:r>
      <w:r>
        <w:rPr>
          <w:spacing w:val="-2"/>
        </w:rPr>
        <w:t>戒烟人群中进行分析，然后在戒烟者或吸烟者组成的总体人群中进行分析。</w:t>
      </w:r>
    </w:p>
    <w:p>
      <w:pPr>
        <w:pStyle w:val="BodyText"/>
        <w:spacing w:before="239"/>
        <w:ind w:left="701"/>
      </w:pPr>
      <w:r>
        <w:rPr>
          <w:spacing w:val="-10"/>
        </w:rPr>
        <w:t>至首次重度 </w:t>
      </w:r>
      <w:r>
        <w:rPr>
          <w:rFonts w:ascii="Times New Roman" w:eastAsia="Times New Roman"/>
        </w:rPr>
        <w:t>COPD</w:t>
      </w:r>
      <w:r>
        <w:rPr>
          <w:rFonts w:ascii="Times New Roman" w:eastAsia="Times New Roman"/>
          <w:spacing w:val="-14"/>
        </w:rPr>
        <w:t> </w:t>
      </w:r>
      <w:r>
        <w:rPr>
          <w:spacing w:val="-1"/>
        </w:rPr>
        <w:t>急性加重的时间定义为：</w:t>
      </w:r>
    </w:p>
    <w:p>
      <w:pPr>
        <w:spacing w:before="276"/>
        <w:ind w:left="117" w:right="253" w:firstLine="0"/>
        <w:jc w:val="center"/>
        <w:rPr>
          <w:rFonts w:ascii="Times New Roman" w:eastAsia="Times New Roman"/>
          <w:i/>
          <w:sz w:val="24"/>
        </w:rPr>
      </w:pPr>
      <w:r>
        <w:rPr>
          <w:i/>
          <w:spacing w:val="-20"/>
          <w:sz w:val="25"/>
        </w:rPr>
        <w:t>首次重度 </w:t>
      </w:r>
      <w:r>
        <w:rPr>
          <w:rFonts w:ascii="Times New Roman" w:eastAsia="Times New Roman"/>
          <w:i/>
          <w:spacing w:val="-8"/>
          <w:sz w:val="24"/>
        </w:rPr>
        <w:t>COPD</w:t>
      </w:r>
      <w:r>
        <w:rPr>
          <w:rFonts w:ascii="Times New Roman" w:eastAsia="Times New Roman"/>
          <w:i/>
          <w:spacing w:val="-13"/>
          <w:sz w:val="24"/>
        </w:rPr>
        <w:t> </w:t>
      </w:r>
      <w:r>
        <w:rPr>
          <w:i/>
          <w:spacing w:val="-8"/>
          <w:sz w:val="25"/>
        </w:rPr>
        <w:t>急性加重的开始日期</w:t>
      </w:r>
      <w:r>
        <w:rPr>
          <w:rFonts w:ascii="Times New Roman" w:eastAsia="Times New Roman"/>
          <w:i/>
          <w:spacing w:val="-8"/>
          <w:sz w:val="24"/>
        </w:rPr>
        <w:t>-</w:t>
      </w:r>
      <w:r>
        <w:rPr>
          <w:i/>
          <w:spacing w:val="-18"/>
          <w:sz w:val="25"/>
        </w:rPr>
        <w:t>随机化日期 </w:t>
      </w:r>
      <w:r>
        <w:rPr>
          <w:rFonts w:ascii="Times New Roman" w:eastAsia="Times New Roman"/>
          <w:i/>
          <w:spacing w:val="-8"/>
          <w:sz w:val="24"/>
        </w:rPr>
        <w:t>+1</w:t>
      </w:r>
    </w:p>
    <w:p>
      <w:pPr>
        <w:pStyle w:val="BodyText"/>
        <w:spacing w:line="276" w:lineRule="auto" w:before="282"/>
        <w:ind w:right="353" w:firstLine="480"/>
        <w:jc w:val="both"/>
      </w:pPr>
      <w:r>
        <w:rPr>
          <w:spacing w:val="-9"/>
        </w:rPr>
        <w:t>针对重度 </w:t>
      </w:r>
      <w:r>
        <w:rPr>
          <w:rFonts w:ascii="Times New Roman" w:eastAsia="Times New Roman"/>
          <w:spacing w:val="-4"/>
        </w:rPr>
        <w:t>COPD</w:t>
      </w:r>
      <w:r>
        <w:rPr>
          <w:rFonts w:ascii="Times New Roman" w:eastAsia="Times New Roman"/>
          <w:spacing w:val="-11"/>
        </w:rPr>
        <w:t> </w:t>
      </w:r>
      <w:r>
        <w:rPr>
          <w:spacing w:val="-7"/>
        </w:rPr>
        <w:t>急性加重，将使用 </w:t>
      </w:r>
      <w:r>
        <w:rPr>
          <w:rFonts w:ascii="Times New Roman" w:eastAsia="Times New Roman"/>
          <w:spacing w:val="-4"/>
        </w:rPr>
        <w:t>Cox</w:t>
      </w:r>
      <w:r>
        <w:rPr>
          <w:rFonts w:ascii="Times New Roman" w:eastAsia="Times New Roman"/>
          <w:spacing w:val="-11"/>
        </w:rPr>
        <w:t> </w:t>
      </w:r>
      <w:r>
        <w:rPr>
          <w:spacing w:val="-7"/>
        </w:rPr>
        <w:t>比例风险模型推导 </w:t>
      </w:r>
      <w:r>
        <w:rPr>
          <w:rFonts w:ascii="Times New Roman" w:eastAsia="Times New Roman"/>
          <w:spacing w:val="-4"/>
        </w:rPr>
        <w:t>tozorakimab</w:t>
      </w:r>
      <w:r>
        <w:rPr>
          <w:rFonts w:ascii="Times New Roman" w:eastAsia="Times New Roman"/>
          <w:spacing w:val="-11"/>
        </w:rPr>
        <w:t> </w:t>
      </w:r>
      <w:r>
        <w:rPr>
          <w:spacing w:val="-4"/>
        </w:rPr>
        <w:t>治疗组相</w:t>
      </w:r>
      <w:r>
        <w:rPr>
          <w:spacing w:val="-2"/>
        </w:rPr>
        <w:t>对于安慰剂组的风险比。至首次重度 </w:t>
      </w:r>
      <w:r>
        <w:rPr>
          <w:rFonts w:ascii="Times New Roman" w:eastAsia="Times New Roman"/>
        </w:rPr>
        <w:t>COPD</w:t>
      </w:r>
      <w:r>
        <w:rPr>
          <w:rFonts w:ascii="Times New Roman" w:eastAsia="Times New Roman"/>
          <w:spacing w:val="18"/>
        </w:rPr>
        <w:t> </w:t>
      </w:r>
      <w:r>
        <w:rPr/>
        <w:t>急性加重的时间将作为模型中的反应变</w:t>
      </w:r>
      <w:r>
        <w:rPr>
          <w:spacing w:val="-2"/>
        </w:rPr>
        <w:t>量。模型将包括以下协变量：以治疗组、前身研究、地区、吸入性维持治疗和基线 </w:t>
      </w:r>
      <w:r>
        <w:rPr>
          <w:rFonts w:ascii="Times New Roman" w:eastAsia="Times New Roman"/>
          <w:spacing w:val="-2"/>
          <w:position w:val="1"/>
        </w:rPr>
        <w:t>COPD</w:t>
      </w:r>
      <w:r>
        <w:rPr>
          <w:rFonts w:ascii="Times New Roman" w:eastAsia="Times New Roman"/>
          <w:spacing w:val="-10"/>
          <w:position w:val="1"/>
        </w:rPr>
        <w:t> </w:t>
      </w:r>
      <w:r>
        <w:rPr>
          <w:spacing w:val="-4"/>
          <w:position w:val="1"/>
        </w:rPr>
        <w:t>急性加重史将作为分类协变量，以基线 </w:t>
      </w:r>
      <w:r>
        <w:rPr>
          <w:rFonts w:ascii="Times New Roman" w:eastAsia="Times New Roman"/>
          <w:spacing w:val="-2"/>
          <w:position w:val="1"/>
        </w:rPr>
        <w:t>BD</w:t>
      </w:r>
      <w:r>
        <w:rPr>
          <w:rFonts w:ascii="Times New Roman" w:eastAsia="Times New Roman"/>
          <w:spacing w:val="7"/>
          <w:position w:val="1"/>
        </w:rPr>
        <w:t> </w:t>
      </w:r>
      <w:r>
        <w:rPr>
          <w:spacing w:val="-9"/>
          <w:position w:val="1"/>
        </w:rPr>
        <w:t>给药后 </w:t>
      </w:r>
      <w:r>
        <w:rPr>
          <w:rFonts w:ascii="Times New Roman" w:eastAsia="Times New Roman"/>
          <w:spacing w:val="-2"/>
          <w:position w:val="1"/>
        </w:rPr>
        <w:t>FEV</w:t>
      </w:r>
      <w:r>
        <w:rPr>
          <w:rFonts w:ascii="Times New Roman" w:eastAsia="Times New Roman"/>
          <w:spacing w:val="-2"/>
          <w:sz w:val="16"/>
        </w:rPr>
        <w:t>1</w:t>
      </w:r>
      <w:r>
        <w:rPr>
          <w:rFonts w:ascii="Times New Roman" w:eastAsia="Times New Roman"/>
          <w:spacing w:val="5"/>
          <w:sz w:val="16"/>
        </w:rPr>
        <w:t> </w:t>
      </w:r>
      <w:r>
        <w:rPr>
          <w:spacing w:val="-2"/>
          <w:position w:val="1"/>
        </w:rPr>
        <w:t>百分比预测值和血液</w:t>
      </w:r>
      <w:r>
        <w:rPr>
          <w:spacing w:val="-2"/>
        </w:rPr>
        <w:t>中嗜酸粒细胞计数的对数值将作为连续协变量。将随访时间的对数用作模型的位移变量，随访时间可为实际采集或使用与主要分析相似的删失原则在受试者的计划治疗期结束前进行插补。在戒烟者或吸烟者组成的总体人群中进行分析时，将纳入吸烟状况作为协变量。</w:t>
      </w:r>
    </w:p>
    <w:p>
      <w:pPr>
        <w:pStyle w:val="BodyText"/>
        <w:spacing w:before="233"/>
        <w:ind w:left="701"/>
      </w:pPr>
      <w:r>
        <w:rPr>
          <w:spacing w:val="-3"/>
        </w:rPr>
        <w:t>相对于安慰剂组对照药物的估计校正风险比将与向双侧 </w:t>
      </w:r>
      <w:r>
        <w:rPr>
          <w:rFonts w:ascii="Times New Roman" w:eastAsia="Times New Roman"/>
        </w:rPr>
        <w:t>95%</w:t>
      </w:r>
      <w:r>
        <w:rPr>
          <w:rFonts w:ascii="Times New Roman" w:eastAsia="Times New Roman"/>
          <w:spacing w:val="9"/>
        </w:rPr>
        <w:t> </w:t>
      </w:r>
      <w:r>
        <w:rPr>
          <w:rFonts w:ascii="Times New Roman" w:eastAsia="Times New Roman"/>
        </w:rPr>
        <w:t>CI</w:t>
      </w:r>
      <w:r>
        <w:rPr>
          <w:rFonts w:ascii="Times New Roman" w:eastAsia="Times New Roman"/>
          <w:spacing w:val="-12"/>
        </w:rPr>
        <w:t> </w:t>
      </w:r>
      <w:r>
        <w:rPr>
          <w:spacing w:val="-30"/>
        </w:rPr>
        <w:t>和 </w:t>
      </w:r>
      <w:r>
        <w:rPr>
          <w:rFonts w:ascii="Times New Roman" w:eastAsia="Times New Roman"/>
        </w:rPr>
        <w:t>p</w:t>
      </w:r>
      <w:r>
        <w:rPr>
          <w:rFonts w:ascii="Times New Roman" w:eastAsia="Times New Roman"/>
          <w:spacing w:val="-12"/>
        </w:rPr>
        <w:t> </w:t>
      </w:r>
      <w:r>
        <w:rPr>
          <w:spacing w:val="-2"/>
        </w:rPr>
        <w:t>值一起汇报。</w:t>
      </w:r>
    </w:p>
    <w:p>
      <w:pPr>
        <w:pStyle w:val="BodyText"/>
        <w:spacing w:line="276" w:lineRule="auto" w:before="287"/>
        <w:ind w:right="347" w:firstLine="480"/>
        <w:jc w:val="both"/>
      </w:pPr>
      <w:r>
        <w:rPr>
          <w:spacing w:val="1"/>
        </w:rPr>
        <w:t>在数据截止日期时，仍在</w:t>
      </w:r>
      <w:r>
        <w:rPr>
          <w:rFonts w:ascii="Times New Roman" w:eastAsia="Times New Roman"/>
        </w:rPr>
        <w:t>PROSPERO</w:t>
      </w:r>
      <w:r>
        <w:rPr>
          <w:rFonts w:ascii="Times New Roman" w:eastAsia="Times New Roman"/>
          <w:spacing w:val="-15"/>
        </w:rPr>
        <w:t> </w:t>
      </w:r>
      <w:r>
        <w:rPr>
          <w:spacing w:val="-3"/>
        </w:rPr>
        <w:t>研究中且未发生重度 </w:t>
      </w:r>
      <w:r>
        <w:rPr>
          <w:rFonts w:ascii="Times New Roman" w:eastAsia="Times New Roman"/>
        </w:rPr>
        <w:t>COPD</w:t>
      </w:r>
      <w:r>
        <w:rPr>
          <w:rFonts w:ascii="Times New Roman" w:eastAsia="Times New Roman"/>
          <w:spacing w:val="-15"/>
        </w:rPr>
        <w:t> </w:t>
      </w:r>
      <w:r>
        <w:rPr/>
        <w:t>急性加重的受</w:t>
      </w:r>
      <w:r>
        <w:rPr>
          <w:spacing w:val="8"/>
        </w:rPr>
        <w:t>试者将被删失在数据截止日期。在删失之前，对于失访或提前退出研究且未发生 </w:t>
      </w:r>
      <w:r>
        <w:rPr>
          <w:rFonts w:ascii="Times New Roman" w:eastAsia="Times New Roman"/>
        </w:rPr>
        <w:t>COPD</w:t>
      </w:r>
      <w:r>
        <w:rPr>
          <w:rFonts w:ascii="Times New Roman" w:eastAsia="Times New Roman"/>
          <w:spacing w:val="35"/>
        </w:rPr>
        <w:t>  </w:t>
      </w:r>
      <w:r>
        <w:rPr>
          <w:spacing w:val="-1"/>
        </w:rPr>
        <w:t>急性加重的受试者，将对自末次联系日期至数据截止日期或计划治疗期结束</w:t>
      </w:r>
    </w:p>
    <w:p>
      <w:pPr>
        <w:pStyle w:val="BodyText"/>
        <w:spacing w:line="276" w:lineRule="auto"/>
        <w:ind w:right="353" w:hanging="120"/>
        <w:jc w:val="both"/>
      </w:pPr>
      <w:r>
        <w:rPr/>
        <w:t>（</w:t>
      </w:r>
      <w:r>
        <w:rPr>
          <w:rFonts w:ascii="Times New Roman" w:eastAsia="Times New Roman"/>
        </w:rPr>
        <w:t>28</w:t>
      </w:r>
      <w:r>
        <w:rPr>
          <w:rFonts w:ascii="Times New Roman" w:eastAsia="Times New Roman"/>
          <w:spacing w:val="-1"/>
        </w:rPr>
        <w:t> </w:t>
      </w:r>
      <w:r>
        <w:rPr>
          <w:spacing w:val="-10"/>
        </w:rPr>
        <w:t>周或 </w:t>
      </w:r>
      <w:r>
        <w:rPr>
          <w:rFonts w:ascii="Times New Roman" w:eastAsia="Times New Roman"/>
        </w:rPr>
        <w:t>52 </w:t>
      </w:r>
      <w:r>
        <w:rPr/>
        <w:t>周）之间的数据进行填补。同样，对于从安慰剂组重新随机分配至活性</w:t>
      </w:r>
      <w:r>
        <w:rPr>
          <w:spacing w:val="-2"/>
        </w:rPr>
        <w:t>药物治疗组的受试者，将填补从前身研究结束至数据截止日期或计划治疗期结束日</w:t>
      </w:r>
      <w:r>
        <w:rPr>
          <w:spacing w:val="-1"/>
        </w:rPr>
        <w:t>期的数据。在主要有效性分析中，对于从 </w:t>
      </w:r>
      <w:r>
        <w:rPr>
          <w:rFonts w:ascii="Times New Roman" w:eastAsia="Times New Roman"/>
        </w:rPr>
        <w:t>300 mg Q8W </w:t>
      </w:r>
      <w:r>
        <w:rPr/>
        <w:t>治疗组更换给药方案的受试</w:t>
      </w:r>
      <w:r>
        <w:rPr>
          <w:spacing w:val="-2"/>
        </w:rPr>
        <w:t>者，将在更换给药方案的时间点进行删失。</w:t>
      </w:r>
    </w:p>
    <w:p>
      <w:pPr>
        <w:spacing w:after="0" w:line="276" w:lineRule="auto"/>
        <w:jc w:val="both"/>
        <w:sectPr>
          <w:pgSz w:w="11910" w:h="16840"/>
          <w:pgMar w:header="590" w:footer="784" w:top="1340" w:bottom="980" w:left="1480" w:right="1080"/>
        </w:sectPr>
      </w:pPr>
    </w:p>
    <w:p>
      <w:pPr>
        <w:pStyle w:val="Heading3"/>
        <w:spacing w:before="88"/>
        <w:jc w:val="both"/>
      </w:pPr>
      <w:r>
        <w:rPr>
          <w:spacing w:val="-2"/>
          <w:u w:val="single"/>
        </w:rPr>
        <w:t>需要住院治疗和</w:t>
      </w:r>
      <w:r>
        <w:rPr>
          <w:rFonts w:ascii="Times New Roman" w:eastAsia="Times New Roman"/>
          <w:spacing w:val="-2"/>
          <w:u w:val="single"/>
        </w:rPr>
        <w:t>/</w:t>
      </w:r>
      <w:r>
        <w:rPr>
          <w:spacing w:val="-29"/>
          <w:u w:val="single"/>
        </w:rPr>
        <w:t>或 </w:t>
      </w:r>
      <w:r>
        <w:rPr>
          <w:rFonts w:ascii="Times New Roman" w:eastAsia="Times New Roman"/>
          <w:spacing w:val="-2"/>
          <w:u w:val="single"/>
        </w:rPr>
        <w:t>ER/ED</w:t>
      </w:r>
      <w:r>
        <w:rPr>
          <w:rFonts w:ascii="Times New Roman" w:eastAsia="Times New Roman"/>
          <w:spacing w:val="-5"/>
          <w:u w:val="single"/>
        </w:rPr>
        <w:t> </w:t>
      </w:r>
      <w:r>
        <w:rPr>
          <w:spacing w:val="-16"/>
          <w:u w:val="single"/>
        </w:rPr>
        <w:t>就诊的 </w:t>
      </w:r>
      <w:r>
        <w:rPr>
          <w:rFonts w:ascii="Times New Roman" w:eastAsia="Times New Roman"/>
          <w:spacing w:val="-2"/>
          <w:u w:val="single"/>
        </w:rPr>
        <w:t>COPD</w:t>
      </w:r>
      <w:r>
        <w:rPr>
          <w:rFonts w:ascii="Times New Roman" w:eastAsia="Times New Roman"/>
          <w:spacing w:val="-5"/>
          <w:u w:val="single"/>
        </w:rPr>
        <w:t> </w:t>
      </w:r>
      <w:r>
        <w:rPr>
          <w:spacing w:val="-3"/>
          <w:u w:val="single"/>
        </w:rPr>
        <w:t>急性加重年发生率</w:t>
      </w:r>
    </w:p>
    <w:p>
      <w:pPr>
        <w:pStyle w:val="BodyText"/>
        <w:spacing w:line="276" w:lineRule="auto" w:before="118"/>
        <w:ind w:right="355" w:firstLine="480"/>
        <w:jc w:val="both"/>
      </w:pPr>
      <w:r>
        <w:rPr>
          <w:spacing w:val="-4"/>
        </w:rPr>
        <w:t>针对关键次要终点，即需要住院治疗和</w:t>
      </w:r>
      <w:r>
        <w:rPr>
          <w:rFonts w:ascii="Times New Roman" w:eastAsia="Times New Roman"/>
          <w:spacing w:val="-4"/>
        </w:rPr>
        <w:t>/</w:t>
      </w:r>
      <w:r>
        <w:rPr>
          <w:spacing w:val="-15"/>
        </w:rPr>
        <w:t>或 </w:t>
      </w:r>
      <w:r>
        <w:rPr>
          <w:rFonts w:ascii="Times New Roman" w:eastAsia="Times New Roman"/>
          <w:spacing w:val="-4"/>
        </w:rPr>
        <w:t>ER/ED</w:t>
      </w:r>
      <w:r>
        <w:rPr>
          <w:rFonts w:ascii="Times New Roman" w:eastAsia="Times New Roman"/>
          <w:spacing w:val="-11"/>
        </w:rPr>
        <w:t> </w:t>
      </w:r>
      <w:r>
        <w:rPr>
          <w:spacing w:val="-10"/>
        </w:rPr>
        <w:t>就诊的 </w:t>
      </w:r>
      <w:r>
        <w:rPr>
          <w:rFonts w:ascii="Times New Roman" w:eastAsia="Times New Roman"/>
          <w:spacing w:val="-4"/>
        </w:rPr>
        <w:t>COPD</w:t>
      </w:r>
      <w:r>
        <w:rPr>
          <w:rFonts w:ascii="Times New Roman" w:eastAsia="Times New Roman"/>
          <w:spacing w:val="-11"/>
        </w:rPr>
        <w:t> </w:t>
      </w:r>
      <w:r>
        <w:rPr>
          <w:spacing w:val="-4"/>
        </w:rPr>
        <w:t>急性加重年发生</w:t>
      </w:r>
      <w:r>
        <w:rPr>
          <w:spacing w:val="-2"/>
        </w:rPr>
        <w:t>率，将使用与主要分析中类似的方法，首先在戒烟人群中进行分析，然后在戒烟者或吸烟者组成的总体人群中进行分析。</w:t>
      </w:r>
    </w:p>
    <w:p>
      <w:pPr>
        <w:pStyle w:val="Heading3"/>
        <w:spacing w:before="238"/>
        <w:jc w:val="both"/>
      </w:pPr>
      <w:r>
        <w:rPr>
          <w:spacing w:val="-8"/>
          <w:u w:val="single"/>
        </w:rPr>
        <w:t>至首次中度至重度 </w:t>
      </w:r>
      <w:r>
        <w:rPr>
          <w:rFonts w:ascii="Times New Roman" w:eastAsia="Times New Roman"/>
          <w:spacing w:val="-2"/>
          <w:u w:val="single"/>
        </w:rPr>
        <w:t>COPD</w:t>
      </w:r>
      <w:r>
        <w:rPr>
          <w:rFonts w:ascii="Times New Roman" w:eastAsia="Times New Roman"/>
          <w:spacing w:val="-6"/>
          <w:u w:val="single"/>
        </w:rPr>
        <w:t> </w:t>
      </w:r>
      <w:r>
        <w:rPr>
          <w:spacing w:val="-4"/>
          <w:u w:val="single"/>
        </w:rPr>
        <w:t>急性加重的时间</w:t>
      </w:r>
    </w:p>
    <w:p>
      <w:pPr>
        <w:pStyle w:val="BodyText"/>
        <w:spacing w:line="276" w:lineRule="auto" w:before="120"/>
        <w:ind w:right="354" w:firstLine="480"/>
        <w:jc w:val="both"/>
      </w:pPr>
      <w:r>
        <w:rPr>
          <w:spacing w:val="-3"/>
        </w:rPr>
        <w:t>至首次中度至重度 </w:t>
      </w:r>
      <w:r>
        <w:rPr>
          <w:rFonts w:ascii="Times New Roman" w:eastAsia="Times New Roman"/>
        </w:rPr>
        <w:t>COPD </w:t>
      </w:r>
      <w:r>
        <w:rPr/>
        <w:t>急性加重的时间将作为次要有效性终点，在戒烟者中</w:t>
      </w:r>
      <w:r>
        <w:rPr>
          <w:spacing w:val="-2"/>
        </w:rPr>
        <w:t>进行分析。在本研究中，不要求受试者填写每日症状日志，因此一旦受试者终止随</w:t>
      </w:r>
      <w:r>
        <w:rPr>
          <w:spacing w:val="-1"/>
        </w:rPr>
        <w:t>机分配的治疗，可能无法系统性地识别或收集中度 </w:t>
      </w:r>
      <w:r>
        <w:rPr>
          <w:rFonts w:ascii="Times New Roman" w:eastAsia="Times New Roman"/>
        </w:rPr>
        <w:t>COPD </w:t>
      </w:r>
      <w:r>
        <w:rPr/>
        <w:t>急性加重。因此，对于与</w:t>
      </w:r>
      <w:r>
        <w:rPr>
          <w:spacing w:val="-4"/>
        </w:rPr>
        <w:t>中度和重度 </w:t>
      </w:r>
      <w:r>
        <w:rPr>
          <w:rFonts w:ascii="Times New Roman" w:eastAsia="Times New Roman"/>
        </w:rPr>
        <w:t>COPD </w:t>
      </w:r>
      <w:r>
        <w:rPr/>
        <w:t>急性加重相关的终点，估计目标仅使用在治策略。</w:t>
      </w:r>
    </w:p>
    <w:p>
      <w:pPr>
        <w:pStyle w:val="BodyText"/>
        <w:spacing w:line="276" w:lineRule="auto" w:before="237"/>
        <w:ind w:right="357" w:firstLine="480"/>
        <w:jc w:val="both"/>
      </w:pPr>
      <w:r>
        <w:rPr>
          <w:spacing w:val="-9"/>
        </w:rPr>
        <w:t>将拟合 </w:t>
      </w:r>
      <w:r>
        <w:rPr>
          <w:rFonts w:ascii="Times New Roman" w:eastAsia="Times New Roman"/>
          <w:spacing w:val="-2"/>
        </w:rPr>
        <w:t>Cox</w:t>
      </w:r>
      <w:r>
        <w:rPr>
          <w:rFonts w:ascii="Times New Roman" w:eastAsia="Times New Roman"/>
          <w:spacing w:val="-5"/>
        </w:rPr>
        <w:t> </w:t>
      </w:r>
      <w:r>
        <w:rPr>
          <w:spacing w:val="-4"/>
        </w:rPr>
        <w:t>比例风险模型，协变量和方法与第 </w:t>
      </w:r>
      <w:hyperlink w:history="true" w:anchor="_bookmark141">
        <w:r>
          <w:rPr>
            <w:rFonts w:ascii="Times New Roman" w:eastAsia="Times New Roman"/>
            <w:color w:val="0000FF"/>
            <w:spacing w:val="-2"/>
          </w:rPr>
          <w:t>9.4.2.1</w:t>
        </w:r>
      </w:hyperlink>
      <w:r>
        <w:rPr>
          <w:rFonts w:ascii="Times New Roman" w:eastAsia="Times New Roman"/>
          <w:color w:val="0000FF"/>
          <w:spacing w:val="10"/>
        </w:rPr>
        <w:t> </w:t>
      </w:r>
      <w:r>
        <w:rPr>
          <w:spacing w:val="-2"/>
        </w:rPr>
        <w:t>节所述的主要终点的在治</w:t>
      </w:r>
      <w:r>
        <w:rPr/>
        <w:t>期支持性分析相似。将报告风险比、</w:t>
      </w:r>
      <w:r>
        <w:rPr>
          <w:rFonts w:ascii="Times New Roman" w:eastAsia="Times New Roman"/>
        </w:rPr>
        <w:t>95%</w:t>
      </w:r>
      <w:r>
        <w:rPr>
          <w:rFonts w:ascii="Times New Roman" w:eastAsia="Times New Roman"/>
          <w:spacing w:val="-5"/>
        </w:rPr>
        <w:t> </w:t>
      </w:r>
      <w:r>
        <w:rPr>
          <w:rFonts w:ascii="Times New Roman" w:eastAsia="Times New Roman"/>
        </w:rPr>
        <w:t>CI</w:t>
      </w:r>
      <w:r>
        <w:rPr>
          <w:rFonts w:ascii="Times New Roman" w:eastAsia="Times New Roman"/>
          <w:spacing w:val="-7"/>
        </w:rPr>
        <w:t> </w:t>
      </w:r>
      <w:r>
        <w:rPr>
          <w:spacing w:val="-15"/>
        </w:rPr>
        <w:t>和 </w:t>
      </w:r>
      <w:r>
        <w:rPr>
          <w:rFonts w:ascii="Times New Roman" w:eastAsia="Times New Roman"/>
        </w:rPr>
        <w:t>p</w:t>
      </w:r>
      <w:r>
        <w:rPr>
          <w:rFonts w:ascii="Times New Roman" w:eastAsia="Times New Roman"/>
          <w:spacing w:val="-7"/>
        </w:rPr>
        <w:t> </w:t>
      </w:r>
      <w:r>
        <w:rPr/>
        <w:t>值以及发生事件的受试者比例。将</w:t>
      </w:r>
      <w:r>
        <w:rPr>
          <w:spacing w:val="-1"/>
        </w:rPr>
        <w:t>采用相似的方式分析戒烟者或吸烟者至首次中度或重度 </w:t>
      </w:r>
      <w:r>
        <w:rPr>
          <w:rFonts w:ascii="Times New Roman" w:eastAsia="Times New Roman"/>
        </w:rPr>
        <w:t>COPD </w:t>
      </w:r>
      <w:r>
        <w:rPr/>
        <w:t>急性加重的时间。</w:t>
      </w:r>
    </w:p>
    <w:p>
      <w:pPr>
        <w:pStyle w:val="Heading3"/>
        <w:spacing w:before="237"/>
        <w:jc w:val="both"/>
      </w:pPr>
      <w:r>
        <w:rPr>
          <w:spacing w:val="-12"/>
          <w:u w:val="single"/>
        </w:rPr>
        <w:t>中度至重度 </w:t>
      </w:r>
      <w:r>
        <w:rPr>
          <w:rFonts w:ascii="Times New Roman" w:eastAsia="Times New Roman"/>
          <w:spacing w:val="-2"/>
          <w:u w:val="single"/>
        </w:rPr>
        <w:t>COPD</w:t>
      </w:r>
      <w:r>
        <w:rPr>
          <w:rFonts w:ascii="Times New Roman" w:eastAsia="Times New Roman"/>
          <w:spacing w:val="-8"/>
          <w:u w:val="single"/>
        </w:rPr>
        <w:t> </w:t>
      </w:r>
      <w:r>
        <w:rPr>
          <w:spacing w:val="-3"/>
          <w:u w:val="single"/>
        </w:rPr>
        <w:t>急性加重的年发生率</w:t>
      </w:r>
    </w:p>
    <w:p>
      <w:pPr>
        <w:pStyle w:val="BodyText"/>
        <w:spacing w:line="276" w:lineRule="auto" w:before="119"/>
        <w:ind w:right="353" w:firstLine="480"/>
        <w:jc w:val="both"/>
      </w:pPr>
      <w:r>
        <w:rPr>
          <w:spacing w:val="-3"/>
        </w:rPr>
        <w:t>治疗期间中度至重度 </w:t>
      </w:r>
      <w:r>
        <w:rPr>
          <w:rFonts w:ascii="Times New Roman" w:eastAsia="Times New Roman"/>
        </w:rPr>
        <w:t>COPD </w:t>
      </w:r>
      <w:r>
        <w:rPr/>
        <w:t>急性加重年发生率将作为次要终点，在戒烟者中评</w:t>
      </w:r>
      <w:r>
        <w:rPr>
          <w:spacing w:val="-9"/>
        </w:rPr>
        <w:t>估每种 </w:t>
      </w:r>
      <w:r>
        <w:rPr>
          <w:rFonts w:ascii="Times New Roman" w:eastAsia="Times New Roman"/>
          <w:spacing w:val="-2"/>
        </w:rPr>
        <w:t>tozorakimab</w:t>
      </w:r>
      <w:r>
        <w:rPr>
          <w:rFonts w:ascii="Times New Roman" w:eastAsia="Times New Roman"/>
          <w:spacing w:val="-13"/>
        </w:rPr>
        <w:t> </w:t>
      </w:r>
      <w:r>
        <w:rPr>
          <w:spacing w:val="-4"/>
        </w:rPr>
        <w:t>给药方案相较于安慰剂的疗效，分析方法与上述重度 </w:t>
      </w:r>
      <w:r>
        <w:rPr>
          <w:rFonts w:ascii="Times New Roman" w:eastAsia="Times New Roman"/>
          <w:spacing w:val="-2"/>
        </w:rPr>
        <w:t>COPD</w:t>
      </w:r>
      <w:r>
        <w:rPr>
          <w:rFonts w:ascii="Times New Roman" w:eastAsia="Times New Roman"/>
          <w:spacing w:val="-13"/>
        </w:rPr>
        <w:t> </w:t>
      </w:r>
      <w:r>
        <w:rPr>
          <w:spacing w:val="-2"/>
        </w:rPr>
        <w:t>急性加重年发生率的在治期支持性分析相似。将在戒烟者或吸烟者组成的所有受试者人群中进行类似分析。在所有受试者人群（即戒烟者或吸烟者）中，吸烟状态将作为协变量纳入分析。</w:t>
      </w:r>
    </w:p>
    <w:p>
      <w:pPr>
        <w:pStyle w:val="Heading3"/>
        <w:spacing w:before="236"/>
      </w:pPr>
      <w:r>
        <w:rPr>
          <w:spacing w:val="-4"/>
          <w:u w:val="single"/>
        </w:rPr>
        <w:t>死亡时间（全因死亡和呼吸相关死亡</w:t>
      </w:r>
      <w:r>
        <w:rPr>
          <w:spacing w:val="-10"/>
          <w:u w:val="single"/>
        </w:rPr>
        <w:t>）</w:t>
      </w:r>
    </w:p>
    <w:p>
      <w:pPr>
        <w:pStyle w:val="BodyText"/>
        <w:spacing w:line="276" w:lineRule="auto" w:before="120"/>
        <w:ind w:right="357" w:firstLine="480"/>
        <w:jc w:val="both"/>
      </w:pPr>
      <w:r>
        <w:rPr>
          <w:spacing w:val="-10"/>
        </w:rPr>
        <w:t>将在 </w:t>
      </w:r>
      <w:r>
        <w:rPr>
          <w:rFonts w:ascii="Times New Roman" w:eastAsia="Times New Roman"/>
        </w:rPr>
        <w:t>FAS</w:t>
      </w:r>
      <w:r>
        <w:rPr>
          <w:rFonts w:ascii="Times New Roman" w:eastAsia="Times New Roman"/>
          <w:spacing w:val="-15"/>
        </w:rPr>
        <w:t> </w:t>
      </w:r>
      <w:r>
        <w:rPr/>
        <w:t>中总结死亡发生率，包括全因性死亡和呼吸相关死亡。如果事件数量</w:t>
      </w:r>
      <w:r>
        <w:rPr>
          <w:spacing w:val="-4"/>
        </w:rPr>
        <w:t>充足，则可采用 </w:t>
      </w:r>
      <w:r>
        <w:rPr>
          <w:rFonts w:ascii="Times New Roman" w:eastAsia="Times New Roman"/>
        </w:rPr>
        <w:t>Cox </w:t>
      </w:r>
      <w:r>
        <w:rPr/>
        <w:t>比例风险模型比较治疗组间至上述死亡终点的时间。按治疗组</w:t>
      </w:r>
      <w:r>
        <w:rPr>
          <w:spacing w:val="-2"/>
        </w:rPr>
        <w:t>报告因任何原因死亡的受试者数量和百分比。</w:t>
      </w:r>
    </w:p>
    <w:p>
      <w:pPr>
        <w:pStyle w:val="Heading3"/>
        <w:spacing w:before="237"/>
      </w:pPr>
      <w:r>
        <w:rPr>
          <w:spacing w:val="-4"/>
          <w:u w:val="single"/>
        </w:rPr>
        <w:t>药代动力学</w:t>
      </w:r>
    </w:p>
    <w:p>
      <w:pPr>
        <w:pStyle w:val="BodyText"/>
        <w:spacing w:line="276" w:lineRule="auto" w:before="119"/>
        <w:ind w:right="356" w:firstLine="480"/>
        <w:jc w:val="both"/>
      </w:pPr>
      <w:r>
        <w:rPr>
          <w:spacing w:val="13"/>
        </w:rPr>
        <w:t>将使用描述性统计量， 基于 </w:t>
      </w:r>
      <w:r>
        <w:rPr>
          <w:rFonts w:ascii="Times New Roman" w:eastAsia="Times New Roman"/>
        </w:rPr>
        <w:t>PK</w:t>
      </w:r>
      <w:r>
        <w:rPr>
          <w:rFonts w:ascii="Times New Roman" w:eastAsia="Times New Roman"/>
          <w:spacing w:val="35"/>
        </w:rPr>
        <w:t> </w:t>
      </w:r>
      <w:r>
        <w:rPr>
          <w:spacing w:val="25"/>
        </w:rPr>
        <w:t>分析集按照延续治疗组总结每次访视时</w:t>
      </w:r>
      <w:r>
        <w:rPr/>
        <w:t> </w:t>
      </w:r>
      <w:r>
        <w:rPr>
          <w:rFonts w:ascii="Times New Roman" w:eastAsia="Times New Roman"/>
          <w:spacing w:val="-2"/>
        </w:rPr>
        <w:t>tozorakimab</w:t>
      </w:r>
      <w:r>
        <w:rPr>
          <w:rFonts w:ascii="Times New Roman" w:eastAsia="Times New Roman"/>
          <w:spacing w:val="-13"/>
        </w:rPr>
        <w:t> </w:t>
      </w:r>
      <w:r>
        <w:rPr>
          <w:spacing w:val="-4"/>
        </w:rPr>
        <w:t>的血清浓度，以分别比较在前身研究中接受 </w:t>
      </w:r>
      <w:r>
        <w:rPr>
          <w:rFonts w:ascii="Times New Roman" w:eastAsia="Times New Roman"/>
          <w:spacing w:val="-2"/>
        </w:rPr>
        <w:t>tozorakimab</w:t>
      </w:r>
      <w:r>
        <w:rPr>
          <w:rFonts w:ascii="Times New Roman" w:eastAsia="Times New Roman"/>
          <w:spacing w:val="-10"/>
        </w:rPr>
        <w:t> </w:t>
      </w:r>
      <w:r>
        <w:rPr>
          <w:spacing w:val="-2"/>
        </w:rPr>
        <w:t>首次给药的受试</w:t>
      </w:r>
      <w:r>
        <w:rPr>
          <w:spacing w:val="-8"/>
        </w:rPr>
        <w:t>者与在 </w:t>
      </w:r>
      <w:r>
        <w:rPr>
          <w:rFonts w:ascii="Times New Roman" w:eastAsia="Times New Roman"/>
        </w:rPr>
        <w:t>PROSPERO</w:t>
      </w:r>
      <w:r>
        <w:rPr>
          <w:rFonts w:ascii="Times New Roman" w:eastAsia="Times New Roman"/>
          <w:spacing w:val="-15"/>
        </w:rPr>
        <w:t> </w:t>
      </w:r>
      <w:r>
        <w:rPr>
          <w:spacing w:val="-2"/>
        </w:rPr>
        <w:t>研究中新接受活性药物治疗的受试者。关于 </w:t>
      </w:r>
      <w:r>
        <w:rPr>
          <w:rFonts w:ascii="Times New Roman" w:eastAsia="Times New Roman"/>
        </w:rPr>
        <w:t>PK</w:t>
      </w:r>
      <w:r>
        <w:rPr>
          <w:rFonts w:ascii="Times New Roman" w:eastAsia="Times New Roman"/>
          <w:spacing w:val="-15"/>
        </w:rPr>
        <w:t> </w:t>
      </w:r>
      <w:r>
        <w:rPr/>
        <w:t>评估或任何其他 </w:t>
      </w:r>
      <w:r>
        <w:rPr>
          <w:rFonts w:ascii="Times New Roman" w:eastAsia="Times New Roman"/>
        </w:rPr>
        <w:t>PK </w:t>
      </w:r>
      <w:r>
        <w:rPr>
          <w:spacing w:val="-9"/>
        </w:rPr>
        <w:t>或 </w:t>
      </w:r>
      <w:r>
        <w:rPr>
          <w:rFonts w:ascii="Times New Roman" w:eastAsia="Times New Roman"/>
        </w:rPr>
        <w:t>PK/PD </w:t>
      </w:r>
      <w:r>
        <w:rPr>
          <w:spacing w:val="-2"/>
        </w:rPr>
        <w:t>分析的详细阐述请见 </w:t>
      </w:r>
      <w:r>
        <w:rPr>
          <w:rFonts w:ascii="Times New Roman" w:eastAsia="Times New Roman"/>
        </w:rPr>
        <w:t>SAP</w:t>
      </w:r>
      <w:r>
        <w:rPr/>
        <w:t>。</w:t>
      </w:r>
    </w:p>
    <w:p>
      <w:pPr>
        <w:pStyle w:val="Heading3"/>
        <w:spacing w:before="237"/>
      </w:pPr>
      <w:r>
        <w:rPr>
          <w:spacing w:val="-4"/>
          <w:u w:val="single"/>
        </w:rPr>
        <w:t>免疫原性</w:t>
      </w:r>
    </w:p>
    <w:p>
      <w:pPr>
        <w:pStyle w:val="BodyText"/>
        <w:spacing w:line="276" w:lineRule="auto" w:before="118"/>
        <w:ind w:right="358" w:firstLine="480"/>
      </w:pPr>
      <w:r>
        <w:rPr>
          <w:spacing w:val="-4"/>
        </w:rPr>
        <w:t>将使用前身研究和 </w:t>
      </w:r>
      <w:r>
        <w:rPr>
          <w:rFonts w:ascii="Times New Roman" w:eastAsia="Times New Roman"/>
        </w:rPr>
        <w:t>PROSPERO</w:t>
      </w:r>
      <w:r>
        <w:rPr>
          <w:rFonts w:ascii="Times New Roman" w:eastAsia="Times New Roman"/>
          <w:spacing w:val="7"/>
        </w:rPr>
        <w:t> </w:t>
      </w:r>
      <w:r>
        <w:rPr>
          <w:spacing w:val="-4"/>
        </w:rPr>
        <w:t>研究的信息评估 </w:t>
      </w:r>
      <w:r>
        <w:rPr>
          <w:rFonts w:ascii="Times New Roman" w:eastAsia="Times New Roman"/>
        </w:rPr>
        <w:t>tozorakimab</w:t>
      </w:r>
      <w:r>
        <w:rPr>
          <w:rFonts w:ascii="Times New Roman" w:eastAsia="Times New Roman"/>
          <w:spacing w:val="10"/>
        </w:rPr>
        <w:t> </w:t>
      </w:r>
      <w:r>
        <w:rPr/>
        <w:t>和安慰剂的免疫原</w:t>
      </w:r>
      <w:r>
        <w:rPr>
          <w:spacing w:val="-6"/>
        </w:rPr>
        <w:t>性。</w:t>
      </w:r>
    </w:p>
    <w:p>
      <w:pPr>
        <w:pStyle w:val="BodyText"/>
        <w:spacing w:line="276" w:lineRule="auto" w:before="240"/>
        <w:ind w:right="357" w:firstLine="480"/>
        <w:jc w:val="both"/>
      </w:pPr>
      <w:r>
        <w:rPr>
          <w:spacing w:val="-4"/>
        </w:rPr>
        <w:t>按治疗组总结每次访视时的 </w:t>
      </w:r>
      <w:r>
        <w:rPr>
          <w:rFonts w:ascii="Times New Roman" w:eastAsia="Times New Roman"/>
          <w:spacing w:val="-2"/>
        </w:rPr>
        <w:t>ADA</w:t>
      </w:r>
      <w:r>
        <w:rPr>
          <w:rFonts w:ascii="Times New Roman" w:eastAsia="Times New Roman"/>
          <w:spacing w:val="-13"/>
        </w:rPr>
        <w:t> </w:t>
      </w:r>
      <w:r>
        <w:rPr>
          <w:spacing w:val="-2"/>
        </w:rPr>
        <w:t>状态和相应滴度。此外，还将使用延续治疗组</w:t>
      </w:r>
      <w:r>
        <w:rPr>
          <w:spacing w:val="-7"/>
        </w:rPr>
        <w:t>总结在前身研究和 </w:t>
      </w:r>
      <w:r>
        <w:rPr>
          <w:rFonts w:ascii="Times New Roman" w:eastAsia="Times New Roman"/>
          <w:spacing w:val="-4"/>
        </w:rPr>
        <w:t>PROSPERO</w:t>
      </w:r>
      <w:r>
        <w:rPr>
          <w:rFonts w:ascii="Times New Roman" w:eastAsia="Times New Roman"/>
          <w:spacing w:val="-11"/>
        </w:rPr>
        <w:t> </w:t>
      </w:r>
      <w:r>
        <w:rPr>
          <w:spacing w:val="-9"/>
        </w:rPr>
        <w:t>研究之间 </w:t>
      </w:r>
      <w:r>
        <w:rPr>
          <w:rFonts w:ascii="Times New Roman" w:eastAsia="Times New Roman"/>
          <w:spacing w:val="-4"/>
        </w:rPr>
        <w:t>ADA</w:t>
      </w:r>
      <w:r>
        <w:rPr>
          <w:rFonts w:ascii="Times New Roman" w:eastAsia="Times New Roman"/>
          <w:spacing w:val="-11"/>
        </w:rPr>
        <w:t> </w:t>
      </w:r>
      <w:r>
        <w:rPr>
          <w:spacing w:val="-10"/>
        </w:rPr>
        <w:t>类别和 </w:t>
      </w:r>
      <w:r>
        <w:rPr>
          <w:rFonts w:ascii="Times New Roman" w:eastAsia="Times New Roman"/>
          <w:spacing w:val="-4"/>
        </w:rPr>
        <w:t>ADA</w:t>
      </w:r>
      <w:r>
        <w:rPr>
          <w:rFonts w:ascii="Times New Roman" w:eastAsia="Times New Roman"/>
          <w:spacing w:val="-2"/>
        </w:rPr>
        <w:t> </w:t>
      </w:r>
      <w:r>
        <w:rPr>
          <w:spacing w:val="-8"/>
        </w:rPr>
        <w:t>状态。将评价 </w:t>
      </w:r>
      <w:r>
        <w:rPr>
          <w:rFonts w:ascii="Times New Roman" w:eastAsia="Times New Roman"/>
          <w:spacing w:val="-4"/>
        </w:rPr>
        <w:t>ADA</w:t>
      </w:r>
      <w:r>
        <w:rPr>
          <w:rFonts w:ascii="Times New Roman" w:eastAsia="Times New Roman"/>
          <w:spacing w:val="6"/>
        </w:rPr>
        <w:t> </w:t>
      </w:r>
      <w:r>
        <w:rPr>
          <w:spacing w:val="-4"/>
        </w:rPr>
        <w:t>状态</w:t>
      </w:r>
      <w:r>
        <w:rPr>
          <w:spacing w:val="-7"/>
        </w:rPr>
        <w:t>及其滴度对 </w:t>
      </w:r>
      <w:r>
        <w:rPr>
          <w:rFonts w:ascii="Times New Roman" w:eastAsia="Times New Roman"/>
        </w:rPr>
        <w:t>PK</w:t>
      </w:r>
      <w:r>
        <w:rPr/>
        <w:t>、有效性和安全性的潜在影响。</w:t>
      </w:r>
    </w:p>
    <w:p>
      <w:pPr>
        <w:spacing w:after="0" w:line="276" w:lineRule="auto"/>
        <w:jc w:val="both"/>
        <w:sectPr>
          <w:pgSz w:w="11910" w:h="16840"/>
          <w:pgMar w:header="590" w:footer="784" w:top="1340" w:bottom="980" w:left="1480" w:right="1080"/>
        </w:sectPr>
      </w:pPr>
    </w:p>
    <w:p>
      <w:pPr>
        <w:pStyle w:val="Heading3"/>
        <w:numPr>
          <w:ilvl w:val="3"/>
          <w:numId w:val="3"/>
        </w:numPr>
        <w:tabs>
          <w:tab w:pos="1355" w:val="left" w:leader="none"/>
        </w:tabs>
        <w:spacing w:line="240" w:lineRule="auto" w:before="88" w:after="0"/>
        <w:ind w:left="1355" w:right="0" w:hanging="1134"/>
        <w:jc w:val="left"/>
      </w:pPr>
      <w:bookmarkStart w:name="9.4.2.3 探索性终点" w:id="276"/>
      <w:bookmarkEnd w:id="276"/>
      <w:r>
        <w:rPr>
          <w:b w:val="0"/>
        </w:rPr>
      </w:r>
      <w:bookmarkStart w:name="_bookmark143" w:id="277"/>
      <w:bookmarkEnd w:id="277"/>
      <w:r>
        <w:rPr>
          <w:b w:val="0"/>
        </w:rPr>
      </w:r>
      <w:r>
        <w:rPr>
          <w:spacing w:val="-4"/>
        </w:rPr>
        <w:t>探索性终点</w:t>
      </w:r>
    </w:p>
    <w:p>
      <w:pPr>
        <w:pStyle w:val="BodyText"/>
        <w:spacing w:before="58"/>
        <w:ind w:left="701"/>
      </w:pPr>
      <w:r>
        <w:rPr>
          <w:spacing w:val="-4"/>
        </w:rPr>
        <w:t>有关探索性终点分析的详细信息，请见 </w:t>
      </w:r>
      <w:r>
        <w:rPr>
          <w:rFonts w:ascii="Times New Roman" w:eastAsia="Times New Roman"/>
          <w:spacing w:val="-2"/>
        </w:rPr>
        <w:t>SAP</w:t>
      </w:r>
      <w:r>
        <w:rPr>
          <w:spacing w:val="-10"/>
        </w:rPr>
        <w:t>。</w:t>
      </w:r>
    </w:p>
    <w:p>
      <w:pPr>
        <w:pStyle w:val="Heading3"/>
        <w:spacing w:before="288"/>
      </w:pPr>
      <w:r>
        <w:rPr>
          <w:spacing w:val="-2"/>
          <w:u w:val="single"/>
        </w:rPr>
        <w:t>给药前</w:t>
      </w:r>
      <w:r>
        <w:rPr>
          <w:rFonts w:ascii="Times New Roman" w:eastAsia="Times New Roman"/>
          <w:spacing w:val="-2"/>
          <w:u w:val="single"/>
        </w:rPr>
        <w:t>/BD</w:t>
      </w:r>
      <w:r>
        <w:rPr>
          <w:rFonts w:ascii="Times New Roman" w:eastAsia="Times New Roman"/>
          <w:spacing w:val="-6"/>
          <w:u w:val="single"/>
        </w:rPr>
        <w:t> </w:t>
      </w:r>
      <w:r>
        <w:rPr>
          <w:spacing w:val="-29"/>
          <w:u w:val="single"/>
        </w:rPr>
        <w:t>前 </w:t>
      </w:r>
      <w:r>
        <w:rPr>
          <w:rFonts w:ascii="Times New Roman" w:eastAsia="Times New Roman"/>
          <w:spacing w:val="-2"/>
          <w:u w:val="single"/>
        </w:rPr>
        <w:t>FEV</w:t>
      </w:r>
      <w:r>
        <w:rPr>
          <w:rFonts w:ascii="Times New Roman" w:eastAsia="Times New Roman"/>
          <w:spacing w:val="-2"/>
          <w:u w:val="single"/>
          <w:vertAlign w:val="subscript"/>
        </w:rPr>
        <w:t>1</w:t>
      </w:r>
      <w:r>
        <w:rPr>
          <w:rFonts w:ascii="Times New Roman" w:eastAsia="Times New Roman"/>
          <w:spacing w:val="-23"/>
          <w:u w:val="single"/>
          <w:vertAlign w:val="baseline"/>
        </w:rPr>
        <w:t> </w:t>
      </w:r>
      <w:r>
        <w:rPr>
          <w:spacing w:val="-4"/>
          <w:u w:val="single"/>
          <w:vertAlign w:val="baseline"/>
        </w:rPr>
        <w:t>相对基线变化</w:t>
      </w:r>
    </w:p>
    <w:p>
      <w:pPr>
        <w:pStyle w:val="BodyText"/>
        <w:spacing w:line="276" w:lineRule="auto" w:before="118"/>
        <w:ind w:right="118" w:firstLine="480"/>
      </w:pPr>
      <w:r>
        <w:rPr>
          <w:spacing w:val="-14"/>
        </w:rPr>
        <w:t>基于 </w:t>
      </w:r>
      <w:r>
        <w:rPr>
          <w:rFonts w:ascii="Times New Roman" w:eastAsia="Times New Roman"/>
        </w:rPr>
        <w:t>FAS </w:t>
      </w:r>
      <w:r>
        <w:rPr>
          <w:spacing w:val="-3"/>
        </w:rPr>
        <w:t>的在治期间，采用重复测量线性模型分析 </w:t>
      </w:r>
      <w:r>
        <w:rPr>
          <w:rFonts w:ascii="Times New Roman" w:eastAsia="Times New Roman"/>
        </w:rPr>
        <w:t>tozorakimab </w:t>
      </w:r>
      <w:r>
        <w:rPr/>
        <w:t>组和安慰剂组之</w:t>
      </w:r>
      <w:r>
        <w:rPr/>
        <w:t> </w:t>
      </w:r>
      <w:r>
        <w:rPr>
          <w:position w:val="1"/>
        </w:rPr>
        <w:t>间给药前</w:t>
      </w:r>
      <w:r>
        <w:rPr>
          <w:rFonts w:ascii="Times New Roman" w:eastAsia="Times New Roman"/>
          <w:position w:val="1"/>
        </w:rPr>
        <w:t>/BD </w:t>
      </w:r>
      <w:r>
        <w:rPr>
          <w:position w:val="1"/>
        </w:rPr>
        <w:t>前 </w:t>
      </w:r>
      <w:r>
        <w:rPr>
          <w:rFonts w:ascii="Times New Roman" w:eastAsia="Times New Roman"/>
          <w:position w:val="1"/>
        </w:rPr>
        <w:t>FEV</w:t>
      </w:r>
      <w:r>
        <w:rPr>
          <w:rFonts w:ascii="Times New Roman" w:eastAsia="Times New Roman"/>
          <w:sz w:val="16"/>
        </w:rPr>
        <w:t>1 </w:t>
      </w:r>
      <w:r>
        <w:rPr>
          <w:position w:val="1"/>
        </w:rPr>
        <w:t>相对基线的变化。因变量为给药前</w:t>
      </w:r>
      <w:r>
        <w:rPr>
          <w:rFonts w:ascii="Times New Roman" w:eastAsia="Times New Roman"/>
          <w:position w:val="1"/>
        </w:rPr>
        <w:t>/BD </w:t>
      </w:r>
      <w:r>
        <w:rPr>
          <w:position w:val="1"/>
        </w:rPr>
        <w:t>前 </w:t>
      </w:r>
      <w:r>
        <w:rPr>
          <w:rFonts w:ascii="Times New Roman" w:eastAsia="Times New Roman"/>
          <w:position w:val="1"/>
        </w:rPr>
        <w:t>FEV</w:t>
      </w:r>
      <w:r>
        <w:rPr>
          <w:rFonts w:ascii="Times New Roman" w:eastAsia="Times New Roman"/>
          <w:sz w:val="16"/>
        </w:rPr>
        <w:t>1 </w:t>
      </w:r>
      <w:r>
        <w:rPr>
          <w:position w:val="1"/>
        </w:rPr>
        <w:t>总评分在基线 </w:t>
      </w:r>
      <w:r>
        <w:rPr>
          <w:spacing w:val="-2"/>
        </w:rPr>
        <w:t>后各个访视（直至随访访视）相对基线的变化。将治疗、访视、治疗</w:t>
      </w:r>
      <w:r>
        <w:rPr>
          <w:rFonts w:ascii="Times New Roman" w:eastAsia="Times New Roman"/>
          <w:spacing w:val="-2"/>
        </w:rPr>
        <w:t>-</w:t>
      </w:r>
      <w:r>
        <w:rPr>
          <w:spacing w:val="-2"/>
        </w:rPr>
        <w:t>访视交互作用、前身研究、地区、吸入性维持治疗和前一年的急性加重次数作为分类协变量，将基</w:t>
      </w:r>
      <w:r>
        <w:rPr>
          <w:spacing w:val="-2"/>
          <w:position w:val="1"/>
        </w:rPr>
        <w:t>线 </w:t>
      </w:r>
      <w:r>
        <w:rPr>
          <w:rFonts w:ascii="Times New Roman" w:eastAsia="Times New Roman"/>
          <w:position w:val="1"/>
        </w:rPr>
        <w:t>FEV</w:t>
      </w:r>
      <w:r>
        <w:rPr>
          <w:rFonts w:ascii="Times New Roman" w:eastAsia="Times New Roman"/>
          <w:sz w:val="16"/>
        </w:rPr>
        <w:t>1</w:t>
      </w:r>
      <w:r>
        <w:rPr>
          <w:spacing w:val="-3"/>
          <w:position w:val="1"/>
        </w:rPr>
        <w:t>、基线 </w:t>
      </w:r>
      <w:r>
        <w:rPr>
          <w:rFonts w:ascii="Times New Roman" w:eastAsia="Times New Roman"/>
          <w:position w:val="1"/>
        </w:rPr>
        <w:t>BD</w:t>
      </w:r>
      <w:r>
        <w:rPr>
          <w:rFonts w:ascii="Times New Roman" w:eastAsia="Times New Roman"/>
          <w:spacing w:val="29"/>
          <w:position w:val="1"/>
        </w:rPr>
        <w:t> </w:t>
      </w:r>
      <w:r>
        <w:rPr>
          <w:spacing w:val="-3"/>
          <w:position w:val="1"/>
        </w:rPr>
        <w:t>给药后 </w:t>
      </w:r>
      <w:r>
        <w:rPr>
          <w:rFonts w:ascii="Times New Roman" w:eastAsia="Times New Roman"/>
          <w:position w:val="1"/>
        </w:rPr>
        <w:t>FEV</w:t>
      </w:r>
      <w:r>
        <w:rPr>
          <w:rFonts w:ascii="Times New Roman" w:eastAsia="Times New Roman"/>
          <w:sz w:val="16"/>
        </w:rPr>
        <w:t>1</w:t>
      </w:r>
      <w:r>
        <w:rPr>
          <w:rFonts w:ascii="Times New Roman" w:eastAsia="Times New Roman"/>
          <w:spacing w:val="20"/>
          <w:sz w:val="16"/>
        </w:rPr>
        <w:t> </w:t>
      </w:r>
      <w:r>
        <w:rPr>
          <w:position w:val="1"/>
        </w:rPr>
        <w:t>百分比预测值和基线血液嗜酸粒细胞计数的对数值</w:t>
      </w:r>
      <w:r>
        <w:rPr/>
        <w:t>作为</w:t>
      </w:r>
      <w:r>
        <w:rPr>
          <w:spacing w:val="-2"/>
        </w:rPr>
        <w:t>连续协变量。采用非结构型方差</w:t>
      </w:r>
      <w:r>
        <w:rPr>
          <w:rFonts w:ascii="Times New Roman" w:eastAsia="Times New Roman"/>
          <w:spacing w:val="-2"/>
        </w:rPr>
        <w:t>-</w:t>
      </w:r>
      <w:r>
        <w:rPr>
          <w:spacing w:val="-2"/>
        </w:rPr>
        <w:t>协方差矩阵拟合受试者的相关性。如果该模型未收敛</w:t>
      </w:r>
      <w:r>
        <w:rPr/>
        <w:t>，方差</w:t>
      </w:r>
      <w:r>
        <w:rPr>
          <w:rFonts w:ascii="Times New Roman" w:eastAsia="Times New Roman"/>
        </w:rPr>
        <w:t>-</w:t>
      </w:r>
      <w:r>
        <w:rPr>
          <w:spacing w:val="-3"/>
        </w:rPr>
        <w:t>协方差矩阵则采用 </w:t>
      </w:r>
      <w:r>
        <w:rPr>
          <w:rFonts w:ascii="Times New Roman" w:eastAsia="Times New Roman"/>
        </w:rPr>
        <w:t>SAP </w:t>
      </w:r>
      <w:r>
        <w:rPr/>
        <w:t>中预先规定的其他结构。</w:t>
      </w:r>
    </w:p>
    <w:p>
      <w:pPr>
        <w:pStyle w:val="BodyText"/>
        <w:spacing w:before="234"/>
        <w:ind w:left="701"/>
      </w:pPr>
      <w:r>
        <w:rPr/>
        <w:t>采用对比（</w:t>
      </w:r>
      <w:r>
        <w:rPr>
          <w:rFonts w:ascii="Times New Roman" w:eastAsia="Times New Roman"/>
        </w:rPr>
        <w:t>contrast</w:t>
      </w:r>
      <w:r>
        <w:rPr/>
        <w:t>）</w:t>
      </w:r>
      <w:r>
        <w:rPr>
          <w:spacing w:val="-1"/>
        </w:rPr>
        <w:t>预估在各访视时的治疗作用。将汇报疗效预估值及其双侧</w:t>
      </w:r>
    </w:p>
    <w:p>
      <w:pPr>
        <w:pStyle w:val="BodyText"/>
        <w:spacing w:before="46"/>
      </w:pPr>
      <w:r>
        <w:rPr>
          <w:rFonts w:ascii="Times New Roman" w:eastAsia="Times New Roman"/>
        </w:rPr>
        <w:t>95%</w:t>
      </w:r>
      <w:r>
        <w:rPr>
          <w:rFonts w:ascii="Times New Roman" w:eastAsia="Times New Roman"/>
          <w:spacing w:val="-1"/>
        </w:rPr>
        <w:t> </w:t>
      </w:r>
      <w:r>
        <w:rPr>
          <w:rFonts w:ascii="Times New Roman" w:eastAsia="Times New Roman"/>
        </w:rPr>
        <w:t>CI</w:t>
      </w:r>
      <w:r>
        <w:rPr>
          <w:rFonts w:ascii="Times New Roman" w:eastAsia="Times New Roman"/>
          <w:spacing w:val="-12"/>
        </w:rPr>
        <w:t> </w:t>
      </w:r>
      <w:r>
        <w:rPr>
          <w:spacing w:val="-30"/>
        </w:rPr>
        <w:t>和 </w:t>
      </w:r>
      <w:r>
        <w:rPr>
          <w:rFonts w:ascii="Times New Roman" w:eastAsia="Times New Roman"/>
        </w:rPr>
        <w:t>p</w:t>
      </w:r>
      <w:r>
        <w:rPr>
          <w:rFonts w:ascii="Times New Roman" w:eastAsia="Times New Roman"/>
          <w:spacing w:val="-12"/>
        </w:rPr>
        <w:t> </w:t>
      </w:r>
      <w:r>
        <w:rPr>
          <w:spacing w:val="-5"/>
        </w:rPr>
        <w:t>值。</w:t>
      </w:r>
    </w:p>
    <w:p>
      <w:pPr>
        <w:pStyle w:val="Heading3"/>
        <w:spacing w:before="287"/>
      </w:pPr>
      <w:r>
        <w:rPr>
          <w:rFonts w:ascii="Times New Roman" w:eastAsia="Times New Roman"/>
          <w:spacing w:val="-2"/>
          <w:u w:val="single"/>
        </w:rPr>
        <w:t>FEV</w:t>
      </w:r>
      <w:r>
        <w:rPr>
          <w:rFonts w:ascii="Times New Roman" w:eastAsia="Times New Roman"/>
          <w:spacing w:val="-2"/>
          <w:u w:val="single"/>
          <w:vertAlign w:val="subscript"/>
        </w:rPr>
        <w:t>1</w:t>
      </w:r>
      <w:r>
        <w:rPr>
          <w:rFonts w:ascii="Times New Roman" w:eastAsia="Times New Roman"/>
          <w:spacing w:val="-24"/>
          <w:u w:val="single"/>
          <w:vertAlign w:val="baseline"/>
        </w:rPr>
        <w:t> </w:t>
      </w:r>
      <w:r>
        <w:rPr>
          <w:spacing w:val="-16"/>
          <w:u w:val="single"/>
          <w:vertAlign w:val="baseline"/>
        </w:rPr>
        <w:t>谷值和 </w:t>
      </w:r>
      <w:r>
        <w:rPr>
          <w:rFonts w:ascii="Times New Roman" w:eastAsia="Times New Roman"/>
          <w:spacing w:val="-2"/>
          <w:u w:val="single"/>
          <w:vertAlign w:val="baseline"/>
        </w:rPr>
        <w:t>BD</w:t>
      </w:r>
      <w:r>
        <w:rPr>
          <w:rFonts w:ascii="Times New Roman" w:eastAsia="Times New Roman"/>
          <w:spacing w:val="-5"/>
          <w:u w:val="single"/>
          <w:vertAlign w:val="baseline"/>
        </w:rPr>
        <w:t> </w:t>
      </w:r>
      <w:r>
        <w:rPr>
          <w:spacing w:val="-16"/>
          <w:u w:val="single"/>
          <w:vertAlign w:val="baseline"/>
        </w:rPr>
        <w:t>给药后 </w:t>
      </w:r>
      <w:r>
        <w:rPr>
          <w:rFonts w:ascii="Times New Roman" w:eastAsia="Times New Roman"/>
          <w:spacing w:val="-2"/>
          <w:u w:val="single"/>
          <w:vertAlign w:val="baseline"/>
        </w:rPr>
        <w:t>FEV</w:t>
      </w:r>
      <w:r>
        <w:rPr>
          <w:rFonts w:ascii="Times New Roman" w:eastAsia="Times New Roman"/>
          <w:spacing w:val="-2"/>
          <w:u w:val="single"/>
          <w:vertAlign w:val="subscript"/>
        </w:rPr>
        <w:t>1</w:t>
      </w:r>
      <w:r>
        <w:rPr>
          <w:rFonts w:ascii="Times New Roman" w:eastAsia="Times New Roman"/>
          <w:spacing w:val="-23"/>
          <w:u w:val="single"/>
          <w:vertAlign w:val="baseline"/>
        </w:rPr>
        <w:t> </w:t>
      </w:r>
      <w:r>
        <w:rPr>
          <w:spacing w:val="-4"/>
          <w:u w:val="single"/>
          <w:vertAlign w:val="baseline"/>
        </w:rPr>
        <w:t>的下降速率</w:t>
      </w:r>
    </w:p>
    <w:p>
      <w:pPr>
        <w:pStyle w:val="BodyText"/>
        <w:spacing w:line="276" w:lineRule="auto" w:before="118"/>
        <w:ind w:right="358" w:firstLine="480"/>
        <w:jc w:val="both"/>
      </w:pPr>
      <w:r>
        <w:rPr>
          <w:spacing w:val="-11"/>
          <w:position w:val="1"/>
        </w:rPr>
        <w:t>基于 </w:t>
      </w:r>
      <w:r>
        <w:rPr>
          <w:rFonts w:ascii="Times New Roman" w:eastAsia="Times New Roman"/>
          <w:spacing w:val="-2"/>
          <w:position w:val="1"/>
        </w:rPr>
        <w:t>FAS</w:t>
      </w:r>
      <w:r>
        <w:rPr>
          <w:rFonts w:ascii="Times New Roman" w:eastAsia="Times New Roman"/>
          <w:spacing w:val="-13"/>
          <w:position w:val="1"/>
        </w:rPr>
        <w:t> </w:t>
      </w:r>
      <w:r>
        <w:rPr>
          <w:spacing w:val="-5"/>
          <w:position w:val="1"/>
        </w:rPr>
        <w:t>的在治期间，分析 </w:t>
      </w:r>
      <w:r>
        <w:rPr>
          <w:rFonts w:ascii="Times New Roman" w:eastAsia="Times New Roman"/>
          <w:spacing w:val="-2"/>
          <w:position w:val="1"/>
        </w:rPr>
        <w:t>tozorakimab</w:t>
      </w:r>
      <w:r>
        <w:rPr>
          <w:rFonts w:ascii="Times New Roman" w:eastAsia="Times New Roman"/>
          <w:spacing w:val="-13"/>
          <w:position w:val="1"/>
        </w:rPr>
        <w:t> </w:t>
      </w:r>
      <w:r>
        <w:rPr>
          <w:spacing w:val="-5"/>
          <w:position w:val="1"/>
        </w:rPr>
        <w:t>组和安慰剂组之间 </w:t>
      </w:r>
      <w:r>
        <w:rPr>
          <w:rFonts w:ascii="Times New Roman" w:eastAsia="Times New Roman"/>
          <w:spacing w:val="-2"/>
          <w:position w:val="1"/>
        </w:rPr>
        <w:t>FEV</w:t>
      </w:r>
      <w:r>
        <w:rPr>
          <w:rFonts w:ascii="Times New Roman" w:eastAsia="Times New Roman"/>
          <w:spacing w:val="-2"/>
          <w:sz w:val="16"/>
        </w:rPr>
        <w:t>1</w:t>
      </w:r>
      <w:r>
        <w:rPr>
          <w:rFonts w:ascii="Times New Roman" w:eastAsia="Times New Roman"/>
          <w:spacing w:val="-8"/>
          <w:sz w:val="16"/>
        </w:rPr>
        <w:t> </w:t>
      </w:r>
      <w:r>
        <w:rPr>
          <w:spacing w:val="-9"/>
          <w:position w:val="1"/>
        </w:rPr>
        <w:t>谷值和 </w:t>
      </w:r>
      <w:r>
        <w:rPr>
          <w:rFonts w:ascii="Times New Roman" w:eastAsia="Times New Roman"/>
          <w:spacing w:val="-2"/>
          <w:position w:val="1"/>
        </w:rPr>
        <w:t>BD</w:t>
      </w:r>
      <w:r>
        <w:rPr>
          <w:rFonts w:ascii="Times New Roman" w:eastAsia="Times New Roman"/>
          <w:spacing w:val="-6"/>
          <w:position w:val="1"/>
        </w:rPr>
        <w:t> </w:t>
      </w:r>
      <w:r>
        <w:rPr>
          <w:spacing w:val="-2"/>
          <w:position w:val="1"/>
        </w:rPr>
        <w:t>给</w:t>
      </w:r>
      <w:r>
        <w:rPr>
          <w:spacing w:val="-10"/>
          <w:position w:val="1"/>
        </w:rPr>
        <w:t>药后 </w:t>
      </w:r>
      <w:r>
        <w:rPr>
          <w:rFonts w:ascii="Times New Roman" w:eastAsia="Times New Roman"/>
          <w:position w:val="1"/>
        </w:rPr>
        <w:t>FEV</w:t>
      </w:r>
      <w:r>
        <w:rPr>
          <w:rFonts w:ascii="Times New Roman" w:eastAsia="Times New Roman"/>
          <w:sz w:val="16"/>
        </w:rPr>
        <w:t>1</w:t>
      </w:r>
      <w:r>
        <w:rPr>
          <w:rFonts w:ascii="Times New Roman" w:eastAsia="Times New Roman"/>
          <w:spacing w:val="-10"/>
          <w:sz w:val="16"/>
        </w:rPr>
        <w:t> </w:t>
      </w:r>
      <w:r>
        <w:rPr>
          <w:spacing w:val="-2"/>
          <w:position w:val="1"/>
        </w:rPr>
        <w:t>的下降速率。将采用线性混合模型分析给药前 </w:t>
      </w:r>
      <w:r>
        <w:rPr>
          <w:rFonts w:ascii="Times New Roman" w:eastAsia="Times New Roman"/>
          <w:position w:val="1"/>
        </w:rPr>
        <w:t>FEV</w:t>
      </w:r>
      <w:r>
        <w:rPr>
          <w:rFonts w:ascii="Times New Roman" w:eastAsia="Times New Roman"/>
          <w:sz w:val="16"/>
        </w:rPr>
        <w:t>1</w:t>
      </w:r>
      <w:r>
        <w:rPr>
          <w:rFonts w:ascii="Times New Roman" w:eastAsia="Times New Roman"/>
          <w:spacing w:val="-10"/>
          <w:sz w:val="16"/>
        </w:rPr>
        <w:t> </w:t>
      </w:r>
      <w:r>
        <w:rPr>
          <w:position w:val="1"/>
        </w:rPr>
        <w:t>谷值，模型将受试者 </w:t>
      </w:r>
      <w:r>
        <w:rPr>
          <w:rFonts w:ascii="Times New Roman" w:eastAsia="Times New Roman"/>
          <w:position w:val="1"/>
        </w:rPr>
        <w:t>FEV</w:t>
      </w:r>
      <w:r>
        <w:rPr>
          <w:rFonts w:ascii="Times New Roman" w:eastAsia="Times New Roman"/>
          <w:sz w:val="16"/>
        </w:rPr>
        <w:t>1</w:t>
      </w:r>
      <w:r>
        <w:rPr>
          <w:rFonts w:ascii="Times New Roman" w:eastAsia="Times New Roman"/>
          <w:spacing w:val="-3"/>
          <w:sz w:val="16"/>
        </w:rPr>
        <w:t> </w:t>
      </w:r>
      <w:r>
        <w:rPr>
          <w:position w:val="1"/>
        </w:rPr>
        <w:t>相对于时间的斜率和受试者的截距作为随机效应。时间计算为研究治疗首次给</w:t>
      </w:r>
      <w:r>
        <w:rPr>
          <w:spacing w:val="-2"/>
        </w:rPr>
        <w:t>药日期和访视日期之间的周数：</w:t>
      </w:r>
    </w:p>
    <w:p>
      <w:pPr>
        <w:spacing w:before="227"/>
        <w:ind w:left="0" w:right="253" w:firstLine="0"/>
        <w:jc w:val="center"/>
        <w:rPr>
          <w:rFonts w:ascii="Times New Roman" w:eastAsia="Times New Roman"/>
          <w:i/>
          <w:sz w:val="24"/>
        </w:rPr>
      </w:pPr>
      <w:r>
        <w:rPr>
          <w:i/>
          <w:spacing w:val="-8"/>
          <w:sz w:val="25"/>
        </w:rPr>
        <w:t>（访视日期</w:t>
      </w:r>
      <w:r>
        <w:rPr>
          <w:rFonts w:ascii="Times New Roman" w:eastAsia="Times New Roman"/>
          <w:i/>
          <w:spacing w:val="-8"/>
          <w:sz w:val="24"/>
        </w:rPr>
        <w:t>-</w:t>
      </w:r>
      <w:r>
        <w:rPr>
          <w:i/>
          <w:spacing w:val="-17"/>
          <w:sz w:val="25"/>
        </w:rPr>
        <w:t>首次给药日期 </w:t>
      </w:r>
      <w:r>
        <w:rPr>
          <w:rFonts w:ascii="Times New Roman" w:eastAsia="Times New Roman"/>
          <w:i/>
          <w:spacing w:val="-7"/>
          <w:sz w:val="24"/>
        </w:rPr>
        <w:t>+ </w:t>
      </w:r>
      <w:r>
        <w:rPr>
          <w:rFonts w:ascii="Times New Roman" w:eastAsia="Times New Roman"/>
          <w:i/>
          <w:spacing w:val="-8"/>
          <w:sz w:val="24"/>
        </w:rPr>
        <w:t>1</w:t>
      </w:r>
      <w:r>
        <w:rPr>
          <w:i/>
          <w:spacing w:val="-8"/>
          <w:sz w:val="25"/>
        </w:rPr>
        <w:t>）</w:t>
      </w:r>
      <w:r>
        <w:rPr>
          <w:rFonts w:ascii="Times New Roman" w:eastAsia="Times New Roman"/>
          <w:i/>
          <w:spacing w:val="-8"/>
          <w:sz w:val="24"/>
        </w:rPr>
        <w:t>/7</w:t>
      </w:r>
    </w:p>
    <w:p>
      <w:pPr>
        <w:pStyle w:val="BodyText"/>
        <w:spacing w:before="283"/>
        <w:ind w:left="701"/>
        <w:jc w:val="both"/>
      </w:pPr>
      <w:r>
        <w:rPr/>
        <w:t>分析将纳入前身研究自第 </w:t>
      </w:r>
      <w:r>
        <w:rPr>
          <w:rFonts w:ascii="Times New Roman" w:eastAsia="Times New Roman"/>
        </w:rPr>
        <w:t>4</w:t>
      </w:r>
      <w:r>
        <w:rPr>
          <w:rFonts w:ascii="Times New Roman" w:eastAsia="Times New Roman"/>
          <w:spacing w:val="42"/>
        </w:rPr>
        <w:t> </w:t>
      </w:r>
      <w:r>
        <w:rPr>
          <w:spacing w:val="-1"/>
        </w:rPr>
        <w:t>周开始后的斜率。使用非结构型相关性矩阵拟合上</w:t>
      </w:r>
    </w:p>
    <w:p>
      <w:pPr>
        <w:pStyle w:val="BodyText"/>
        <w:spacing w:line="276" w:lineRule="auto" w:before="46"/>
        <w:ind w:right="353"/>
        <w:jc w:val="both"/>
      </w:pPr>
      <w:r>
        <w:rPr>
          <w:spacing w:val="-15"/>
          <w:position w:val="1"/>
        </w:rPr>
        <w:t>述 </w:t>
      </w:r>
      <w:r>
        <w:rPr>
          <w:rFonts w:ascii="Times New Roman" w:eastAsia="Times New Roman"/>
          <w:spacing w:val="-2"/>
          <w:position w:val="1"/>
        </w:rPr>
        <w:t>2</w:t>
      </w:r>
      <w:r>
        <w:rPr>
          <w:rFonts w:ascii="Times New Roman" w:eastAsia="Times New Roman"/>
          <w:spacing w:val="8"/>
          <w:position w:val="1"/>
        </w:rPr>
        <w:t> </w:t>
      </w:r>
      <w:r>
        <w:rPr>
          <w:spacing w:val="-2"/>
          <w:position w:val="1"/>
        </w:rPr>
        <w:t>个随机效应。该模型将为各个治疗组拟合固定平均值和固定斜率（</w:t>
      </w:r>
      <w:r>
        <w:rPr>
          <w:rFonts w:ascii="Times New Roman" w:eastAsia="Times New Roman"/>
          <w:spacing w:val="-2"/>
          <w:position w:val="1"/>
        </w:rPr>
        <w:t>FEV</w:t>
      </w:r>
      <w:r>
        <w:rPr>
          <w:rFonts w:ascii="Times New Roman" w:eastAsia="Times New Roman"/>
          <w:spacing w:val="-2"/>
          <w:sz w:val="16"/>
        </w:rPr>
        <w:t>1</w:t>
      </w:r>
      <w:r>
        <w:rPr>
          <w:rFonts w:ascii="Times New Roman" w:eastAsia="Times New Roman"/>
          <w:spacing w:val="-2"/>
          <w:position w:val="1"/>
        </w:rPr>
        <w:t>-</w:t>
      </w:r>
      <w:r>
        <w:rPr>
          <w:spacing w:val="-2"/>
          <w:position w:val="1"/>
        </w:rPr>
        <w:t>时间曲</w:t>
      </w:r>
      <w:r>
        <w:rPr>
          <w:spacing w:val="-2"/>
        </w:rPr>
        <w:t>线）。该模型将包括治疗（作为分类协变量）和时间（作为连续协变量）的交互作</w:t>
      </w:r>
      <w:r>
        <w:rPr>
          <w:spacing w:val="-4"/>
          <w:position w:val="1"/>
        </w:rPr>
        <w:t>用。模型中的其他协变量包括基线 </w:t>
      </w:r>
      <w:r>
        <w:rPr>
          <w:rFonts w:ascii="Times New Roman" w:eastAsia="Times New Roman"/>
          <w:spacing w:val="-2"/>
          <w:position w:val="1"/>
        </w:rPr>
        <w:t>FEV</w:t>
      </w:r>
      <w:r>
        <w:rPr>
          <w:rFonts w:ascii="Times New Roman" w:eastAsia="Times New Roman"/>
          <w:spacing w:val="-2"/>
          <w:sz w:val="16"/>
        </w:rPr>
        <w:t>1</w:t>
      </w:r>
      <w:r>
        <w:rPr>
          <w:rFonts w:ascii="Times New Roman" w:eastAsia="Times New Roman"/>
          <w:spacing w:val="-8"/>
          <w:sz w:val="16"/>
        </w:rPr>
        <w:t> </w:t>
      </w:r>
      <w:r>
        <w:rPr>
          <w:spacing w:val="-2"/>
          <w:position w:val="1"/>
        </w:rPr>
        <w:t>百分比和基线血液嗜酸粒细胞计数作为连续</w:t>
      </w:r>
      <w:r>
        <w:rPr>
          <w:spacing w:val="-2"/>
        </w:rPr>
        <w:t>协变量，治疗、前身研究、地区、吸入性维持治疗和前一年的急性加重次数作为分类协变量。将预估下降速率（斜率的负数），并比较治疗组间在估计目标使用疗法策略时的疗效。对戒烟者主要人群和由戒烟者或吸烟者组成的总体人群分别拟合相似的模型，不过在总体人群的模型中纳入吸烟状况作为固定协变量，以及吸烟状况和时间的交互作用。</w:t>
      </w:r>
    </w:p>
    <w:p>
      <w:pPr>
        <w:spacing w:line="331" w:lineRule="auto" w:before="234"/>
        <w:ind w:left="701" w:right="4307" w:hanging="480"/>
        <w:jc w:val="left"/>
        <w:rPr>
          <w:sz w:val="24"/>
        </w:rPr>
      </w:pPr>
      <w:r>
        <w:rPr>
          <w:rFonts w:ascii="Times New Roman" w:eastAsia="Times New Roman"/>
          <w:b/>
          <w:sz w:val="24"/>
          <w:u w:val="single"/>
        </w:rPr>
        <w:t>CT </w:t>
      </w:r>
      <w:r>
        <w:rPr>
          <w:b/>
          <w:sz w:val="24"/>
          <w:u w:val="single"/>
        </w:rPr>
        <w:t>粘液评分和成像参数相对于基线的变化</w:t>
      </w:r>
      <w:r>
        <w:rPr>
          <w:b/>
          <w:spacing w:val="40"/>
          <w:sz w:val="24"/>
        </w:rPr>
        <w:t> </w:t>
      </w:r>
      <w:r>
        <w:rPr>
          <w:spacing w:val="-20"/>
          <w:sz w:val="24"/>
        </w:rPr>
        <w:t>所有 </w:t>
      </w:r>
      <w:r>
        <w:rPr>
          <w:rFonts w:ascii="Times New Roman" w:eastAsia="Times New Roman"/>
          <w:sz w:val="24"/>
        </w:rPr>
        <w:t>CT</w:t>
      </w:r>
      <w:r>
        <w:rPr>
          <w:rFonts w:ascii="Times New Roman" w:eastAsia="Times New Roman"/>
          <w:spacing w:val="-15"/>
          <w:sz w:val="24"/>
        </w:rPr>
        <w:t> </w:t>
      </w:r>
      <w:r>
        <w:rPr>
          <w:spacing w:val="-8"/>
          <w:sz w:val="24"/>
        </w:rPr>
        <w:t>终点的分析将在 </w:t>
      </w:r>
      <w:r>
        <w:rPr>
          <w:rFonts w:ascii="Times New Roman" w:eastAsia="Times New Roman"/>
          <w:sz w:val="24"/>
        </w:rPr>
        <w:t>CSR</w:t>
      </w:r>
      <w:r>
        <w:rPr>
          <w:rFonts w:ascii="Times New Roman" w:eastAsia="Times New Roman"/>
          <w:spacing w:val="-15"/>
          <w:sz w:val="24"/>
        </w:rPr>
        <w:t> </w:t>
      </w:r>
      <w:r>
        <w:rPr>
          <w:sz w:val="24"/>
        </w:rPr>
        <w:t>之外报告。</w:t>
      </w:r>
    </w:p>
    <w:p>
      <w:pPr>
        <w:pStyle w:val="BodyText"/>
        <w:spacing w:line="276" w:lineRule="auto" w:before="169"/>
        <w:ind w:right="357" w:firstLine="480"/>
        <w:jc w:val="both"/>
      </w:pPr>
      <w:r>
        <w:rPr>
          <w:spacing w:val="-3"/>
        </w:rPr>
        <w:t>将按治疗组描述性总结 </w:t>
      </w:r>
      <w:r>
        <w:rPr>
          <w:rFonts w:ascii="Times New Roman" w:eastAsia="Times New Roman"/>
        </w:rPr>
        <w:t>CT</w:t>
      </w:r>
      <w:r>
        <w:rPr>
          <w:rFonts w:ascii="Times New Roman" w:eastAsia="Times New Roman"/>
          <w:spacing w:val="-3"/>
        </w:rPr>
        <w:t> </w:t>
      </w:r>
      <w:r>
        <w:rPr>
          <w:spacing w:val="-2"/>
        </w:rPr>
        <w:t>粘液评分相对于基线的变化，并使用 </w:t>
      </w:r>
      <w:r>
        <w:rPr>
          <w:rFonts w:ascii="Times New Roman" w:eastAsia="Times New Roman"/>
        </w:rPr>
        <w:t>SAP</w:t>
      </w:r>
      <w:r>
        <w:rPr>
          <w:rFonts w:ascii="Times New Roman" w:eastAsia="Times New Roman"/>
          <w:spacing w:val="7"/>
        </w:rPr>
        <w:t> </w:t>
      </w:r>
      <w:r>
        <w:rPr/>
        <w:t>中描述的</w:t>
      </w:r>
      <w:r>
        <w:rPr>
          <w:spacing w:val="-2"/>
        </w:rPr>
        <w:t>方法分析成像参数。</w:t>
      </w:r>
    </w:p>
    <w:p>
      <w:pPr>
        <w:spacing w:after="0" w:line="276" w:lineRule="auto"/>
        <w:jc w:val="both"/>
        <w:sectPr>
          <w:pgSz w:w="11910" w:h="16840"/>
          <w:pgMar w:header="590" w:footer="784" w:top="1340" w:bottom="980" w:left="1480" w:right="1080"/>
        </w:sectPr>
      </w:pPr>
    </w:p>
    <w:p>
      <w:pPr>
        <w:pStyle w:val="Heading3"/>
        <w:spacing w:before="88"/>
      </w:pPr>
      <w:r>
        <w:rPr>
          <w:rFonts w:ascii="Times New Roman" w:eastAsia="Times New Roman"/>
          <w:spacing w:val="-2"/>
          <w:u w:val="single"/>
        </w:rPr>
        <w:t>COPD</w:t>
      </w:r>
      <w:r>
        <w:rPr>
          <w:rFonts w:ascii="Times New Roman" w:eastAsia="Times New Roman"/>
          <w:spacing w:val="-5"/>
          <w:u w:val="single"/>
        </w:rPr>
        <w:t> </w:t>
      </w:r>
      <w:r>
        <w:rPr>
          <w:spacing w:val="-3"/>
          <w:u w:val="single"/>
        </w:rPr>
        <w:t>相关的医疗资源使用</w:t>
      </w:r>
    </w:p>
    <w:p>
      <w:pPr>
        <w:pStyle w:val="BodyText"/>
        <w:spacing w:before="118"/>
        <w:ind w:left="701"/>
      </w:pPr>
      <w:r>
        <w:rPr>
          <w:spacing w:val="-1"/>
        </w:rPr>
        <w:t>将按治疗组对医疗资源使用的所有终点进行描述性总结，如年发生率或百分比。</w:t>
      </w:r>
    </w:p>
    <w:p>
      <w:pPr>
        <w:pStyle w:val="Heading2"/>
        <w:numPr>
          <w:ilvl w:val="2"/>
          <w:numId w:val="3"/>
        </w:numPr>
        <w:tabs>
          <w:tab w:pos="1373" w:val="left" w:leader="none"/>
        </w:tabs>
        <w:spacing w:line="240" w:lineRule="auto" w:before="287" w:after="0"/>
        <w:ind w:left="1373" w:right="0" w:hanging="1152"/>
        <w:jc w:val="left"/>
      </w:pPr>
      <w:bookmarkStart w:name="9.4.3 安全性终点" w:id="278"/>
      <w:bookmarkEnd w:id="278"/>
      <w:r>
        <w:rPr>
          <w:b w:val="0"/>
        </w:rPr>
      </w:r>
      <w:bookmarkStart w:name="_bookmark144" w:id="279"/>
      <w:bookmarkEnd w:id="279"/>
      <w:r>
        <w:rPr>
          <w:b w:val="0"/>
        </w:rPr>
      </w:r>
      <w:r>
        <w:rPr>
          <w:spacing w:val="-6"/>
        </w:rPr>
        <w:t>安全性终点</w:t>
      </w:r>
    </w:p>
    <w:p>
      <w:pPr>
        <w:pStyle w:val="Heading3"/>
        <w:spacing w:before="120"/>
      </w:pPr>
      <w:r>
        <w:rPr>
          <w:spacing w:val="-4"/>
          <w:u w:val="single"/>
        </w:rPr>
        <w:t>不良事件</w:t>
      </w:r>
    </w:p>
    <w:p>
      <w:pPr>
        <w:pStyle w:val="BodyText"/>
        <w:spacing w:line="276" w:lineRule="auto" w:before="119"/>
        <w:ind w:right="355" w:firstLine="480"/>
        <w:jc w:val="both"/>
      </w:pPr>
      <w:r>
        <w:rPr>
          <w:spacing w:val="-2"/>
        </w:rPr>
        <w:t>生成安全性总结时，会针对从安慰剂组重新随机分配至活性药物治疗组的受试者使用不同的处理方法，使受试者在每个总结表中仅出现在最多一个治疗组中。使用安全性分析集，根据在前身研究中实际接受的治疗进行总结，剔除从安慰剂组重</w:t>
      </w:r>
      <w:r>
        <w:rPr/>
        <w:t>新随机至活性药物治疗组后的受试者数据。总结在治期间（</w:t>
      </w:r>
      <w:r>
        <w:rPr>
          <w:spacing w:val="-6"/>
        </w:rPr>
        <w:t>直至 </w:t>
      </w:r>
      <w:r>
        <w:rPr>
          <w:rFonts w:ascii="Times New Roman" w:eastAsia="Times New Roman"/>
        </w:rPr>
        <w:t>E/D </w:t>
      </w:r>
      <w:r>
        <w:rPr/>
        <w:t>访视）发生的</w:t>
      </w:r>
      <w:r>
        <w:rPr>
          <w:spacing w:val="-10"/>
        </w:rPr>
        <w:t>所有 </w:t>
      </w:r>
      <w:r>
        <w:rPr>
          <w:rFonts w:ascii="Times New Roman" w:eastAsia="Times New Roman"/>
        </w:rPr>
        <w:t>AE</w:t>
      </w:r>
      <w:r>
        <w:rPr>
          <w:rFonts w:ascii="Times New Roman" w:eastAsia="Times New Roman"/>
          <w:spacing w:val="-15"/>
        </w:rPr>
        <w:t> </w:t>
      </w:r>
      <w:r>
        <w:rPr>
          <w:spacing w:val="-3"/>
        </w:rPr>
        <w:t>类别。还将总结在治期间的 </w:t>
      </w:r>
      <w:r>
        <w:rPr>
          <w:rFonts w:ascii="Times New Roman" w:eastAsia="Times New Roman"/>
        </w:rPr>
        <w:t>SAE</w:t>
      </w:r>
      <w:r>
        <w:rPr>
          <w:rFonts w:ascii="Times New Roman" w:eastAsia="Times New Roman"/>
          <w:spacing w:val="-5"/>
        </w:rPr>
        <w:t> </w:t>
      </w:r>
      <w:r>
        <w:rPr/>
        <w:t>和死亡。此外，将基于安全性分析集使用</w:t>
      </w:r>
      <w:r>
        <w:rPr>
          <w:spacing w:val="10"/>
        </w:rPr>
        <w:t>所有暴露后治疗组，纳入自 </w:t>
      </w:r>
      <w:r>
        <w:rPr>
          <w:rFonts w:ascii="Times New Roman" w:eastAsia="Times New Roman"/>
        </w:rPr>
        <w:t>tozorakimab</w:t>
      </w:r>
      <w:r>
        <w:rPr>
          <w:rFonts w:ascii="Times New Roman" w:eastAsia="Times New Roman"/>
          <w:spacing w:val="12"/>
        </w:rPr>
        <w:t> </w:t>
      </w:r>
      <w:r>
        <w:rPr>
          <w:spacing w:val="11"/>
        </w:rPr>
        <w:t>首次给药以来的数据，旨在比较暴露于</w:t>
      </w:r>
      <w:r>
        <w:rPr/>
        <w:t> </w:t>
      </w:r>
      <w:r>
        <w:rPr>
          <w:rFonts w:ascii="Times New Roman" w:eastAsia="Times New Roman"/>
        </w:rPr>
        <w:t>tozorakimab </w:t>
      </w:r>
      <w:r>
        <w:rPr>
          <w:spacing w:val="-2"/>
        </w:rPr>
        <w:t>的受试者和从未暴露于 </w:t>
      </w:r>
      <w:r>
        <w:rPr>
          <w:rFonts w:ascii="Times New Roman" w:eastAsia="Times New Roman"/>
        </w:rPr>
        <w:t>tozorakimab </w:t>
      </w:r>
      <w:r>
        <w:rPr/>
        <w:t>的受试者。</w:t>
      </w:r>
    </w:p>
    <w:p>
      <w:pPr>
        <w:pStyle w:val="BodyText"/>
        <w:spacing w:line="276" w:lineRule="auto" w:before="234"/>
        <w:ind w:right="357" w:firstLine="480"/>
        <w:jc w:val="both"/>
      </w:pPr>
      <w:r>
        <w:rPr>
          <w:spacing w:val="3"/>
        </w:rPr>
        <w:t>针对治疗期间发生的</w:t>
      </w:r>
      <w:r>
        <w:rPr>
          <w:rFonts w:ascii="Times New Roman" w:eastAsia="Times New Roman"/>
        </w:rPr>
        <w:t>AE</w:t>
      </w:r>
      <w:r>
        <w:rPr/>
        <w:t>，汇报发生事件的受试者人数以及使用经暴露时间校正</w:t>
      </w:r>
      <w:r>
        <w:rPr>
          <w:spacing w:val="-2"/>
        </w:rPr>
        <w:t>的事件发生率。按监管活动医学词典（</w:t>
      </w:r>
      <w:r>
        <w:rPr>
          <w:rFonts w:ascii="Times New Roman" w:eastAsia="Times New Roman"/>
          <w:spacing w:val="-2"/>
        </w:rPr>
        <w:t>MedDRA</w:t>
      </w:r>
      <w:r>
        <w:rPr>
          <w:spacing w:val="-2"/>
        </w:rPr>
        <w:t>）系统器官分类和首选语列表总结不良事件。列表总结中将采用数据库锁定时的 </w:t>
      </w:r>
      <w:r>
        <w:rPr>
          <w:rFonts w:ascii="Times New Roman" w:eastAsia="Times New Roman"/>
        </w:rPr>
        <w:t>MedDRA </w:t>
      </w:r>
      <w:r>
        <w:rPr/>
        <w:t>版本。</w:t>
      </w:r>
    </w:p>
    <w:p>
      <w:pPr>
        <w:pStyle w:val="BodyText"/>
        <w:spacing w:line="276" w:lineRule="auto" w:before="237"/>
        <w:ind w:right="356" w:firstLine="480"/>
        <w:jc w:val="both"/>
      </w:pPr>
      <w:r>
        <w:rPr/>
        <w:t>按系统器官分类和首选语报告各治疗组的不良事件，其中包括至少报告 </w:t>
      </w:r>
      <w:r>
        <w:rPr>
          <w:rFonts w:ascii="Times New Roman" w:eastAsia="Times New Roman"/>
        </w:rPr>
        <w:t>1 </w:t>
      </w:r>
      <w:r>
        <w:rPr/>
        <w:t>起事</w:t>
      </w:r>
      <w:r>
        <w:rPr>
          <w:spacing w:val="-2"/>
        </w:rPr>
        <w:t>件的受试者数量及百分比，以及事件数量（适当时）。</w:t>
      </w:r>
    </w:p>
    <w:p>
      <w:pPr>
        <w:pStyle w:val="BodyText"/>
        <w:spacing w:line="276" w:lineRule="auto" w:before="238"/>
        <w:ind w:right="357" w:firstLine="480"/>
        <w:jc w:val="both"/>
      </w:pPr>
      <w:r>
        <w:rPr/>
        <w:t>按各治疗组报告 </w:t>
      </w:r>
      <w:r>
        <w:rPr>
          <w:rFonts w:ascii="Times New Roman" w:eastAsia="Times New Roman"/>
        </w:rPr>
        <w:t>AE </w:t>
      </w:r>
      <w:r>
        <w:rPr/>
        <w:t>概述，包括发生以下事件的受试者数量、百分比和经暴露</w:t>
      </w:r>
      <w:r>
        <w:rPr>
          <w:spacing w:val="-2"/>
        </w:rPr>
        <w:t>时间校正的发生率：任何 </w:t>
      </w:r>
      <w:r>
        <w:rPr>
          <w:rFonts w:ascii="Times New Roman" w:eastAsia="Times New Roman"/>
        </w:rPr>
        <w:t>AE</w:t>
      </w:r>
      <w:r>
        <w:rPr>
          <w:spacing w:val="-2"/>
        </w:rPr>
        <w:t>、结局为死亡的 </w:t>
      </w:r>
      <w:r>
        <w:rPr>
          <w:rFonts w:ascii="Times New Roman" w:eastAsia="Times New Roman"/>
        </w:rPr>
        <w:t>AE</w:t>
      </w:r>
      <w:r>
        <w:rPr>
          <w:spacing w:val="-4"/>
        </w:rPr>
        <w:t>、严重 </w:t>
      </w:r>
      <w:r>
        <w:rPr>
          <w:rFonts w:ascii="Times New Roman" w:eastAsia="Times New Roman"/>
        </w:rPr>
        <w:t>AE</w:t>
      </w:r>
      <w:r>
        <w:rPr>
          <w:rFonts w:ascii="Times New Roman" w:eastAsia="Times New Roman"/>
          <w:spacing w:val="24"/>
        </w:rPr>
        <w:t> </w:t>
      </w:r>
      <w:r>
        <w:rPr>
          <w:spacing w:val="-3"/>
        </w:rPr>
        <w:t>和导致终止 </w:t>
      </w:r>
      <w:r>
        <w:rPr>
          <w:rFonts w:ascii="Times New Roman" w:eastAsia="Times New Roman"/>
        </w:rPr>
        <w:t>IP</w:t>
      </w:r>
      <w:r>
        <w:rPr>
          <w:rFonts w:ascii="Times New Roman" w:eastAsia="Times New Roman"/>
          <w:spacing w:val="24"/>
        </w:rPr>
        <w:t> </w:t>
      </w:r>
      <w:r>
        <w:rPr/>
        <w:t>治疗的 </w:t>
      </w:r>
      <w:r>
        <w:rPr>
          <w:rFonts w:ascii="Times New Roman" w:eastAsia="Times New Roman"/>
          <w:spacing w:val="-4"/>
        </w:rPr>
        <w:t>AE</w:t>
      </w:r>
      <w:r>
        <w:rPr>
          <w:spacing w:val="-4"/>
        </w:rPr>
        <w:t>。</w:t>
      </w:r>
    </w:p>
    <w:p>
      <w:pPr>
        <w:pStyle w:val="BodyText"/>
        <w:spacing w:line="276" w:lineRule="auto" w:before="238"/>
        <w:ind w:right="357" w:firstLine="480"/>
      </w:pPr>
      <w:r>
        <w:rPr/>
        <w:t>提供额外的 </w:t>
      </w:r>
      <w:r>
        <w:rPr>
          <w:rFonts w:ascii="Times New Roman" w:eastAsia="Times New Roman"/>
        </w:rPr>
        <w:t>AE</w:t>
      </w:r>
      <w:r>
        <w:rPr>
          <w:rFonts w:ascii="Times New Roman" w:eastAsia="Times New Roman"/>
          <w:spacing w:val="40"/>
        </w:rPr>
        <w:t> </w:t>
      </w:r>
      <w:r>
        <w:rPr/>
        <w:t>总结，以报告研究者评估的相关性、严重程度、严重性、死亡</w:t>
      </w:r>
      <w:r>
        <w:rPr>
          <w:spacing w:val="-4"/>
        </w:rPr>
        <w:t>和导致终止 </w:t>
      </w:r>
      <w:r>
        <w:rPr>
          <w:rFonts w:ascii="Times New Roman" w:eastAsia="Times New Roman"/>
        </w:rPr>
        <w:t>IP </w:t>
      </w:r>
      <w:r>
        <w:rPr/>
        <w:t>治疗的事件。</w:t>
      </w:r>
    </w:p>
    <w:p>
      <w:pPr>
        <w:pStyle w:val="BodyText"/>
        <w:spacing w:line="276" w:lineRule="auto" w:before="239"/>
        <w:ind w:right="352" w:firstLine="480"/>
      </w:pPr>
      <w:r>
        <w:rPr/>
        <w:t>提供额外的表格以报告发生最常见 </w:t>
      </w:r>
      <w:r>
        <w:rPr>
          <w:rFonts w:ascii="Times New Roman" w:eastAsia="Times New Roman"/>
        </w:rPr>
        <w:t>AE</w:t>
      </w:r>
      <w:r>
        <w:rPr/>
        <w:t>（发生频率</w:t>
      </w:r>
      <w:r>
        <w:rPr>
          <w:rFonts w:ascii="Times New Roman" w:eastAsia="Times New Roman"/>
        </w:rPr>
        <w:t>&gt;3%</w:t>
      </w:r>
      <w:r>
        <w:rPr/>
        <w:t>或其他适当阈值，请见 </w:t>
      </w:r>
      <w:r>
        <w:rPr>
          <w:rFonts w:ascii="Times New Roman" w:eastAsia="Times New Roman"/>
        </w:rPr>
        <w:t>SAP</w:t>
      </w:r>
      <w:r>
        <w:rPr>
          <w:rFonts w:ascii="Times New Roman" w:eastAsia="Times New Roman"/>
          <w:spacing w:val="-7"/>
        </w:rPr>
        <w:t> </w:t>
      </w:r>
      <w:r>
        <w:rPr/>
        <w:t>中定义）的受试者数量、百分比和经暴露时间校正的发生率。</w:t>
      </w:r>
    </w:p>
    <w:p>
      <w:pPr>
        <w:pStyle w:val="BodyText"/>
        <w:spacing w:before="237"/>
        <w:ind w:left="701"/>
      </w:pPr>
      <w:r>
        <w:rPr>
          <w:spacing w:val="-15"/>
        </w:rPr>
        <w:t>依照 </w:t>
      </w:r>
      <w:r>
        <w:rPr>
          <w:rFonts w:ascii="Times New Roman" w:eastAsia="Times New Roman"/>
          <w:spacing w:val="-2"/>
        </w:rPr>
        <w:t>FDA</w:t>
      </w:r>
      <w:r>
        <w:rPr>
          <w:rFonts w:ascii="Times New Roman" w:eastAsia="Times New Roman"/>
          <w:spacing w:val="5"/>
        </w:rPr>
        <w:t> </w:t>
      </w:r>
      <w:r>
        <w:rPr>
          <w:spacing w:val="-2"/>
        </w:rPr>
        <w:t>要求，将额外总结任何治疗组中发生在</w:t>
      </w:r>
      <w:r>
        <w:rPr>
          <w:rFonts w:ascii="Times New Roman" w:eastAsia="Times New Roman"/>
          <w:spacing w:val="-2"/>
        </w:rPr>
        <w:t>&gt;5%</w:t>
      </w:r>
      <w:r>
        <w:rPr>
          <w:spacing w:val="-7"/>
        </w:rPr>
        <w:t>患者中的非严重 </w:t>
      </w:r>
      <w:r>
        <w:rPr>
          <w:rFonts w:ascii="Times New Roman" w:eastAsia="Times New Roman"/>
          <w:spacing w:val="-2"/>
        </w:rPr>
        <w:t>AE</w:t>
      </w:r>
      <w:r>
        <w:rPr>
          <w:spacing w:val="-10"/>
        </w:rPr>
        <w:t>。</w:t>
      </w:r>
    </w:p>
    <w:p>
      <w:pPr>
        <w:pStyle w:val="BodyText"/>
        <w:spacing w:line="276" w:lineRule="auto" w:before="287"/>
        <w:ind w:right="356" w:firstLine="480"/>
      </w:pPr>
      <w:r>
        <w:rPr>
          <w:spacing w:val="-4"/>
        </w:rPr>
        <w:t>将针对结局为死亡的 </w:t>
      </w:r>
      <w:r>
        <w:rPr>
          <w:rFonts w:ascii="Times New Roman" w:eastAsia="Times New Roman"/>
        </w:rPr>
        <w:t>AE</w:t>
      </w:r>
      <w:r>
        <w:rPr>
          <w:spacing w:val="-10"/>
        </w:rPr>
        <w:t>、严重 </w:t>
      </w:r>
      <w:r>
        <w:rPr>
          <w:rFonts w:ascii="Times New Roman" w:eastAsia="Times New Roman"/>
        </w:rPr>
        <w:t>AE</w:t>
      </w:r>
      <w:r>
        <w:rPr>
          <w:spacing w:val="-6"/>
        </w:rPr>
        <w:t>、和导致终止 </w:t>
      </w:r>
      <w:r>
        <w:rPr>
          <w:rFonts w:ascii="Times New Roman" w:eastAsia="Times New Roman"/>
        </w:rPr>
        <w:t>IP</w:t>
      </w:r>
      <w:r>
        <w:rPr>
          <w:rFonts w:ascii="Times New Roman" w:eastAsia="Times New Roman"/>
          <w:spacing w:val="-15"/>
        </w:rPr>
        <w:t> </w:t>
      </w:r>
      <w:r>
        <w:rPr>
          <w:spacing w:val="-10"/>
        </w:rPr>
        <w:t>治疗的 </w:t>
      </w:r>
      <w:r>
        <w:rPr>
          <w:rFonts w:ascii="Times New Roman" w:eastAsia="Times New Roman"/>
        </w:rPr>
        <w:t>AE</w:t>
      </w:r>
      <w:r>
        <w:rPr/>
        <w:t>，报告关键的受</w:t>
      </w:r>
      <w:r>
        <w:rPr>
          <w:spacing w:val="-2"/>
        </w:rPr>
        <w:t>试者信息。</w:t>
      </w:r>
    </w:p>
    <w:p>
      <w:pPr>
        <w:pStyle w:val="BodyText"/>
        <w:spacing w:before="238"/>
        <w:ind w:left="701"/>
      </w:pPr>
      <w:r>
        <w:rPr>
          <w:spacing w:val="-6"/>
        </w:rPr>
        <w:t>基于安全性分析集的 </w:t>
      </w:r>
      <w:r>
        <w:rPr>
          <w:rFonts w:ascii="Times New Roman" w:eastAsia="Times New Roman"/>
        </w:rPr>
        <w:t>AE</w:t>
      </w:r>
      <w:r>
        <w:rPr>
          <w:rFonts w:ascii="Times New Roman" w:eastAsia="Times New Roman"/>
          <w:spacing w:val="-15"/>
        </w:rPr>
        <w:t> </w:t>
      </w:r>
      <w:r>
        <w:rPr>
          <w:spacing w:val="-8"/>
        </w:rPr>
        <w:t>列表将包括各个 </w:t>
      </w:r>
      <w:r>
        <w:rPr>
          <w:rFonts w:ascii="Times New Roman" w:eastAsia="Times New Roman"/>
        </w:rPr>
        <w:t>AE</w:t>
      </w:r>
      <w:r>
        <w:rPr>
          <w:rFonts w:ascii="Times New Roman" w:eastAsia="Times New Roman"/>
          <w:spacing w:val="-12"/>
        </w:rPr>
        <w:t> </w:t>
      </w:r>
      <w:r>
        <w:rPr>
          <w:spacing w:val="-2"/>
        </w:rPr>
        <w:t>的详细内容。</w:t>
      </w:r>
    </w:p>
    <w:p>
      <w:pPr>
        <w:pStyle w:val="BodyText"/>
        <w:spacing w:line="460" w:lineRule="auto" w:before="287"/>
        <w:ind w:left="701" w:right="4805"/>
      </w:pPr>
      <w:r>
        <w:rPr>
          <w:rFonts w:ascii="Times New Roman" w:eastAsia="Times New Roman"/>
        </w:rPr>
        <w:t>AE </w:t>
      </w:r>
      <w:r>
        <w:rPr>
          <w:spacing w:val="-3"/>
        </w:rPr>
        <w:t>分析的完整详细内容请见 </w:t>
      </w:r>
      <w:r>
        <w:rPr>
          <w:rFonts w:ascii="Times New Roman" w:eastAsia="Times New Roman"/>
        </w:rPr>
        <w:t>SAP</w:t>
      </w:r>
      <w:r>
        <w:rPr/>
        <w:t>。</w:t>
      </w:r>
      <w:r>
        <w:rPr>
          <w:spacing w:val="-1"/>
        </w:rPr>
        <w:t>以下事件被视为治疗中出现的事件：</w:t>
      </w:r>
    </w:p>
    <w:p>
      <w:pPr>
        <w:pStyle w:val="ListParagraph"/>
        <w:numPr>
          <w:ilvl w:val="0"/>
          <w:numId w:val="50"/>
        </w:numPr>
        <w:tabs>
          <w:tab w:pos="646" w:val="left" w:leader="none"/>
        </w:tabs>
        <w:spacing w:line="309" w:lineRule="exact" w:before="0" w:after="0"/>
        <w:ind w:left="646" w:right="0" w:hanging="425"/>
        <w:jc w:val="left"/>
        <w:rPr>
          <w:sz w:val="24"/>
        </w:rPr>
      </w:pPr>
      <w:r>
        <w:rPr>
          <w:rFonts w:ascii="Times New Roman" w:hAnsi="Times New Roman" w:eastAsia="Times New Roman"/>
          <w:sz w:val="24"/>
        </w:rPr>
        <w:t>IP</w:t>
      </w:r>
      <w:r>
        <w:rPr>
          <w:rFonts w:ascii="Times New Roman" w:hAnsi="Times New Roman" w:eastAsia="Times New Roman"/>
          <w:spacing w:val="-12"/>
          <w:sz w:val="24"/>
        </w:rPr>
        <w:t> </w:t>
      </w:r>
      <w:r>
        <w:rPr>
          <w:spacing w:val="-1"/>
          <w:sz w:val="24"/>
        </w:rPr>
        <w:t>首次给药当日或之后发生的不良事件</w:t>
      </w:r>
    </w:p>
    <w:p>
      <w:pPr>
        <w:spacing w:after="0" w:line="309" w:lineRule="exact"/>
        <w:jc w:val="left"/>
        <w:rPr>
          <w:sz w:val="24"/>
        </w:rPr>
        <w:sectPr>
          <w:pgSz w:w="11910" w:h="16840"/>
          <w:pgMar w:header="590" w:footer="784" w:top="1340" w:bottom="980" w:left="1480" w:right="1080"/>
        </w:sectPr>
      </w:pPr>
    </w:p>
    <w:p>
      <w:pPr>
        <w:pStyle w:val="ListParagraph"/>
        <w:numPr>
          <w:ilvl w:val="0"/>
          <w:numId w:val="50"/>
        </w:numPr>
        <w:tabs>
          <w:tab w:pos="645" w:val="left" w:leader="none"/>
        </w:tabs>
        <w:spacing w:line="240" w:lineRule="auto" w:before="88" w:after="0"/>
        <w:ind w:left="645" w:right="0" w:hanging="424"/>
        <w:jc w:val="both"/>
        <w:rPr>
          <w:sz w:val="24"/>
        </w:rPr>
      </w:pPr>
      <w:r>
        <w:rPr>
          <w:rFonts w:ascii="Times New Roman" w:hAnsi="Times New Roman" w:eastAsia="Times New Roman"/>
          <w:sz w:val="24"/>
        </w:rPr>
        <w:t>IP</w:t>
      </w:r>
      <w:r>
        <w:rPr>
          <w:rFonts w:ascii="Times New Roman" w:hAnsi="Times New Roman" w:eastAsia="Times New Roman"/>
          <w:spacing w:val="-12"/>
          <w:sz w:val="24"/>
        </w:rPr>
        <w:t> </w:t>
      </w:r>
      <w:r>
        <w:rPr>
          <w:spacing w:val="-1"/>
          <w:sz w:val="24"/>
        </w:rPr>
        <w:t>首次给药当日或之后发生既往事件的恶化</w:t>
      </w:r>
    </w:p>
    <w:p>
      <w:pPr>
        <w:pStyle w:val="BodyText"/>
        <w:spacing w:before="142"/>
        <w:ind w:left="0"/>
      </w:pPr>
    </w:p>
    <w:p>
      <w:pPr>
        <w:pStyle w:val="Heading3"/>
      </w:pPr>
      <w:r>
        <w:rPr>
          <w:spacing w:val="-4"/>
          <w:u w:val="single"/>
        </w:rPr>
        <w:t>生命体征</w:t>
      </w:r>
    </w:p>
    <w:p>
      <w:pPr>
        <w:pStyle w:val="BodyText"/>
        <w:spacing w:line="276" w:lineRule="auto" w:before="121"/>
        <w:ind w:right="355" w:firstLine="480"/>
        <w:jc w:val="both"/>
      </w:pPr>
      <w:r>
        <w:rPr>
          <w:spacing w:val="-2"/>
        </w:rPr>
        <w:t>按生命体征参数和治疗组，列表总结各个评估时间相对基线变化的概括性统计</w:t>
      </w:r>
      <w:r>
        <w:rPr/>
        <w:t>量（平均值、中位值、</w:t>
      </w:r>
      <w:r>
        <w:rPr>
          <w:rFonts w:ascii="Times New Roman" w:eastAsia="Times New Roman"/>
        </w:rPr>
        <w:t>SD</w:t>
      </w:r>
      <w:r>
        <w:rPr>
          <w:rFonts w:ascii="Times New Roman" w:eastAsia="Times New Roman"/>
          <w:spacing w:val="-15"/>
        </w:rPr>
        <w:t> </w:t>
      </w:r>
      <w:r>
        <w:rPr/>
        <w:t>和范围）。基于所有暴露后治疗组，生命体征基线值定义</w:t>
      </w:r>
      <w:r>
        <w:rPr>
          <w:spacing w:val="-2"/>
        </w:rPr>
        <w:t>为随机当天给药前或首次给药前的检测平均值。另外，确定并总结具有潜在临床意义的检测结果。</w:t>
      </w:r>
    </w:p>
    <w:p>
      <w:pPr>
        <w:pStyle w:val="Heading3"/>
        <w:spacing w:before="236"/>
      </w:pPr>
      <w:r>
        <w:rPr>
          <w:spacing w:val="-5"/>
          <w:u w:val="single"/>
        </w:rPr>
        <w:t>临床实验室检测值</w:t>
      </w:r>
    </w:p>
    <w:p>
      <w:pPr>
        <w:pStyle w:val="BodyText"/>
        <w:spacing w:line="276" w:lineRule="auto" w:before="119"/>
        <w:ind w:right="357" w:firstLine="480"/>
        <w:jc w:val="both"/>
      </w:pPr>
      <w:r>
        <w:rPr>
          <w:spacing w:val="-2"/>
        </w:rPr>
        <w:t>按治疗组总结在各评估时间相对基线变化的概括性统计量（平均值、中位值、 </w:t>
      </w:r>
      <w:r>
        <w:rPr>
          <w:rFonts w:ascii="Times New Roman" w:eastAsia="Times New Roman"/>
        </w:rPr>
        <w:t>SD</w:t>
      </w:r>
      <w:r>
        <w:rPr>
          <w:rFonts w:ascii="Times New Roman" w:eastAsia="Times New Roman"/>
          <w:spacing w:val="-15"/>
        </w:rPr>
        <w:t> </w:t>
      </w:r>
      <w:r>
        <w:rPr/>
        <w:t>和范围）。基于所有暴露后治疗组，临床实验室测量基线值定义为随机前或首次</w:t>
      </w:r>
      <w:r>
        <w:rPr>
          <w:spacing w:val="-2"/>
        </w:rPr>
        <w:t>给药前的末次非缺失值。确定并总结具有潜在临床意义的检测结果。</w:t>
      </w:r>
    </w:p>
    <w:p>
      <w:pPr>
        <w:pStyle w:val="Heading3"/>
        <w:spacing w:before="240"/>
        <w:rPr>
          <w:rFonts w:ascii="Times New Roman"/>
        </w:rPr>
      </w:pPr>
      <w:r>
        <w:rPr>
          <w:rFonts w:ascii="Times New Roman"/>
          <w:spacing w:val="-5"/>
          <w:u w:val="single"/>
        </w:rPr>
        <w:t>ECG</w:t>
      </w:r>
    </w:p>
    <w:p>
      <w:pPr>
        <w:pStyle w:val="BodyText"/>
        <w:spacing w:line="276" w:lineRule="auto" w:before="118"/>
        <w:ind w:right="355" w:firstLine="480"/>
        <w:jc w:val="both"/>
      </w:pPr>
      <w:r>
        <w:rPr>
          <w:spacing w:val="-15"/>
        </w:rPr>
        <w:t>按 </w:t>
      </w:r>
      <w:r>
        <w:rPr>
          <w:rFonts w:ascii="Times New Roman" w:eastAsia="Times New Roman"/>
          <w:spacing w:val="-2"/>
        </w:rPr>
        <w:t>ECG</w:t>
      </w:r>
      <w:r>
        <w:rPr>
          <w:rFonts w:ascii="Times New Roman" w:eastAsia="Times New Roman"/>
          <w:spacing w:val="11"/>
        </w:rPr>
        <w:t> </w:t>
      </w:r>
      <w:r>
        <w:rPr>
          <w:spacing w:val="-2"/>
        </w:rPr>
        <w:t>参数和治疗组，列表总结各个评估时间的绝对值和相对基线变化的概括性统计量（平均值、中位值、</w:t>
      </w:r>
      <w:r>
        <w:rPr>
          <w:rFonts w:ascii="Times New Roman" w:eastAsia="Times New Roman"/>
          <w:spacing w:val="-2"/>
        </w:rPr>
        <w:t>SD</w:t>
      </w:r>
      <w:r>
        <w:rPr>
          <w:rFonts w:ascii="Times New Roman" w:eastAsia="Times New Roman"/>
          <w:spacing w:val="-8"/>
        </w:rPr>
        <w:t> </w:t>
      </w:r>
      <w:r>
        <w:rPr>
          <w:spacing w:val="-2"/>
        </w:rPr>
        <w:t>和范围）。基于所有暴露后治疗组，</w:t>
      </w:r>
      <w:r>
        <w:rPr>
          <w:rFonts w:ascii="Times New Roman" w:eastAsia="Times New Roman"/>
          <w:spacing w:val="-2"/>
        </w:rPr>
        <w:t>ECG</w:t>
      </w:r>
      <w:r>
        <w:rPr>
          <w:rFonts w:ascii="Times New Roman" w:eastAsia="Times New Roman"/>
          <w:spacing w:val="-10"/>
        </w:rPr>
        <w:t> </w:t>
      </w:r>
      <w:r>
        <w:rPr>
          <w:spacing w:val="-2"/>
        </w:rPr>
        <w:t>参数基线值定义为随机前或首次给药前的末次非缺失值。另外，确定并总结具有潜在临床意义的检测结果。</w:t>
      </w:r>
    </w:p>
    <w:p>
      <w:pPr>
        <w:pStyle w:val="Heading2"/>
        <w:numPr>
          <w:ilvl w:val="2"/>
          <w:numId w:val="3"/>
        </w:numPr>
        <w:tabs>
          <w:tab w:pos="1371" w:val="left" w:leader="none"/>
        </w:tabs>
        <w:spacing w:line="240" w:lineRule="auto" w:before="235" w:after="0"/>
        <w:ind w:left="1371" w:right="0" w:hanging="1150"/>
        <w:jc w:val="both"/>
      </w:pPr>
      <w:bookmarkStart w:name="9.4.4 其他分析" w:id="280"/>
      <w:bookmarkEnd w:id="280"/>
      <w:r>
        <w:rPr>
          <w:b w:val="0"/>
        </w:rPr>
      </w:r>
      <w:bookmarkStart w:name="_bookmark145" w:id="281"/>
      <w:bookmarkEnd w:id="281"/>
      <w:r>
        <w:rPr>
          <w:b w:val="0"/>
        </w:rPr>
      </w:r>
      <w:r>
        <w:rPr>
          <w:spacing w:val="-4"/>
        </w:rPr>
        <w:t>其他分析</w:t>
      </w:r>
    </w:p>
    <w:p>
      <w:pPr>
        <w:pStyle w:val="BodyText"/>
        <w:spacing w:line="276" w:lineRule="auto" w:before="121"/>
        <w:ind w:right="357" w:firstLine="480"/>
        <w:jc w:val="both"/>
      </w:pPr>
      <w:r>
        <w:rPr/>
        <w:t>除了基于吸烟状况（</w:t>
      </w:r>
      <w:r>
        <w:rPr>
          <w:spacing w:val="-8"/>
        </w:rPr>
        <w:t>戒烟者 </w:t>
      </w:r>
      <w:r>
        <w:rPr>
          <w:rFonts w:ascii="Times New Roman" w:eastAsia="Times New Roman"/>
        </w:rPr>
        <w:t>vs</w:t>
      </w:r>
      <w:r>
        <w:rPr>
          <w:rFonts w:ascii="Times New Roman" w:eastAsia="Times New Roman"/>
          <w:spacing w:val="-15"/>
        </w:rPr>
        <w:t> </w:t>
      </w:r>
      <w:r>
        <w:rPr/>
        <w:t>吸烟者）的分析外，还可根据其他分层因素实施</w:t>
      </w:r>
      <w:r>
        <w:rPr>
          <w:spacing w:val="-4"/>
        </w:rPr>
        <w:t>亚组分析。详细内容请见 </w:t>
      </w:r>
      <w:r>
        <w:rPr>
          <w:rFonts w:ascii="Times New Roman" w:eastAsia="Times New Roman"/>
        </w:rPr>
        <w:t>SAP</w:t>
      </w:r>
      <w:r>
        <w:rPr/>
        <w:t>。</w:t>
      </w:r>
    </w:p>
    <w:p>
      <w:pPr>
        <w:pStyle w:val="Heading1"/>
        <w:numPr>
          <w:ilvl w:val="1"/>
          <w:numId w:val="3"/>
        </w:numPr>
        <w:tabs>
          <w:tab w:pos="1355" w:val="left" w:leader="none"/>
        </w:tabs>
        <w:spacing w:line="240" w:lineRule="auto" w:before="239" w:after="0"/>
        <w:ind w:left="1355" w:right="0" w:hanging="1134"/>
        <w:jc w:val="both"/>
      </w:pPr>
      <w:bookmarkStart w:name="9.5 中期分析" w:id="282"/>
      <w:bookmarkEnd w:id="282"/>
      <w:r>
        <w:rPr>
          <w:b w:val="0"/>
        </w:rPr>
      </w:r>
      <w:bookmarkStart w:name="_bookmark146" w:id="283"/>
      <w:bookmarkEnd w:id="283"/>
      <w:r>
        <w:rPr>
          <w:b w:val="0"/>
        </w:rPr>
      </w:r>
      <w:r>
        <w:rPr>
          <w:spacing w:val="-4"/>
        </w:rPr>
        <w:t>中期分析</w:t>
      </w:r>
    </w:p>
    <w:p>
      <w:pPr>
        <w:pStyle w:val="BodyText"/>
        <w:spacing w:line="276" w:lineRule="auto" w:before="118"/>
        <w:ind w:right="355" w:firstLine="480"/>
        <w:jc w:val="both"/>
      </w:pPr>
      <w:r>
        <w:rPr>
          <w:rFonts w:ascii="Times New Roman" w:eastAsia="Times New Roman"/>
        </w:rPr>
        <w:t>IDMC </w:t>
      </w:r>
      <w:r>
        <w:rPr/>
        <w:t>将监督前身研究中的无效性分析，以评估是否可以因无效停止研究，并</w:t>
      </w:r>
      <w:r>
        <w:rPr>
          <w:spacing w:val="-2"/>
        </w:rPr>
        <w:t>可能监督本研究和前身研究中基于主要终点的中期分析，以评估研究是否可提前报</w:t>
      </w:r>
      <w:r>
        <w:rPr/>
        <w:t>告显著有效性结果。</w:t>
      </w:r>
      <w:r>
        <w:rPr>
          <w:rFonts w:ascii="Times New Roman" w:eastAsia="Times New Roman"/>
        </w:rPr>
        <w:t>IDMC </w:t>
      </w:r>
      <w:r>
        <w:rPr/>
        <w:t>还将定期审查非盲态安全性总结列表，以评价受试者安</w:t>
      </w:r>
      <w:r>
        <w:rPr>
          <w:spacing w:val="5"/>
        </w:rPr>
        <w:t>全性，并做出适当建议</w:t>
      </w:r>
      <w:r>
        <w:rPr/>
        <w:t>（</w:t>
      </w:r>
      <w:r>
        <w:rPr>
          <w:spacing w:val="5"/>
        </w:rPr>
        <w:t>包括在中期分析时</w:t>
      </w:r>
      <w:r>
        <w:rPr>
          <w:spacing w:val="9"/>
        </w:rPr>
        <w:t>）（</w:t>
      </w:r>
      <w:r>
        <w:rPr>
          <w:spacing w:val="4"/>
        </w:rPr>
        <w:t>请见第 </w:t>
      </w:r>
      <w:hyperlink w:history="true" w:anchor="_bookmark147">
        <w:r>
          <w:rPr>
            <w:rFonts w:ascii="Times New Roman" w:eastAsia="Times New Roman"/>
            <w:color w:val="0000FF"/>
          </w:rPr>
          <w:t>9.6</w:t>
        </w:r>
      </w:hyperlink>
      <w:r>
        <w:rPr>
          <w:rFonts w:ascii="Times New Roman" w:eastAsia="Times New Roman"/>
          <w:color w:val="0000FF"/>
          <w:spacing w:val="10"/>
        </w:rPr>
        <w:t> </w:t>
      </w:r>
      <w:r>
        <w:rPr>
          <w:spacing w:val="10"/>
        </w:rPr>
        <w:t>节</w:t>
      </w:r>
      <w:r>
        <w:rPr/>
        <w:t>）</w:t>
      </w:r>
      <w:r>
        <w:rPr>
          <w:spacing w:val="3"/>
        </w:rPr>
        <w:t>。委员会将按照</w:t>
      </w:r>
      <w:r>
        <w:rPr/>
        <w:t> </w:t>
      </w:r>
      <w:r>
        <w:rPr>
          <w:rFonts w:ascii="Times New Roman" w:eastAsia="Times New Roman"/>
        </w:rPr>
        <w:t>IDMC</w:t>
      </w:r>
      <w:r>
        <w:rPr>
          <w:rFonts w:ascii="Times New Roman" w:eastAsia="Times New Roman"/>
          <w:spacing w:val="-5"/>
        </w:rPr>
        <w:t> </w:t>
      </w:r>
      <w:r>
        <w:rPr/>
        <w:t>章程开展工作。</w:t>
      </w:r>
    </w:p>
    <w:p>
      <w:pPr>
        <w:pStyle w:val="Heading3"/>
        <w:spacing w:before="236"/>
      </w:pPr>
      <w:r>
        <w:rPr>
          <w:rFonts w:ascii="Times New Roman" w:eastAsia="Times New Roman"/>
          <w:spacing w:val="-2"/>
          <w:u w:val="single"/>
        </w:rPr>
        <w:t>OBERON</w:t>
      </w:r>
      <w:r>
        <w:rPr>
          <w:rFonts w:ascii="Times New Roman" w:eastAsia="Times New Roman"/>
          <w:spacing w:val="-3"/>
          <w:u w:val="single"/>
        </w:rPr>
        <w:t> </w:t>
      </w:r>
      <w:r>
        <w:rPr>
          <w:spacing w:val="-29"/>
          <w:u w:val="single"/>
        </w:rPr>
        <w:t>和 </w:t>
      </w:r>
      <w:r>
        <w:rPr>
          <w:rFonts w:ascii="Times New Roman" w:eastAsia="Times New Roman"/>
          <w:spacing w:val="-2"/>
          <w:u w:val="single"/>
        </w:rPr>
        <w:t>TITANIA</w:t>
      </w:r>
      <w:r>
        <w:rPr>
          <w:rFonts w:ascii="Times New Roman" w:eastAsia="Times New Roman"/>
          <w:spacing w:val="-4"/>
          <w:u w:val="single"/>
        </w:rPr>
        <w:t> </w:t>
      </w:r>
      <w:r>
        <w:rPr>
          <w:spacing w:val="-3"/>
          <w:u w:val="single"/>
        </w:rPr>
        <w:t>无效性中期分析的影响</w:t>
      </w:r>
    </w:p>
    <w:p>
      <w:pPr>
        <w:pStyle w:val="BodyText"/>
        <w:spacing w:line="276" w:lineRule="auto" w:before="119"/>
        <w:ind w:right="117" w:firstLine="480"/>
      </w:pPr>
      <w:r>
        <w:rPr>
          <w:spacing w:val="-5"/>
        </w:rPr>
        <w:t>如果前身研究 </w:t>
      </w:r>
      <w:r>
        <w:rPr>
          <w:rFonts w:ascii="Times New Roman" w:eastAsia="Times New Roman"/>
        </w:rPr>
        <w:t>OBERON</w:t>
      </w:r>
      <w:r>
        <w:rPr>
          <w:rFonts w:ascii="Times New Roman" w:eastAsia="Times New Roman"/>
          <w:spacing w:val="-13"/>
        </w:rPr>
        <w:t> </w:t>
      </w:r>
      <w:r>
        <w:rPr>
          <w:spacing w:val="-15"/>
        </w:rPr>
        <w:t>和 </w:t>
      </w:r>
      <w:r>
        <w:rPr>
          <w:rFonts w:ascii="Times New Roman" w:eastAsia="Times New Roman"/>
        </w:rPr>
        <w:t>TITANIA</w:t>
      </w:r>
      <w:r>
        <w:rPr>
          <w:rFonts w:ascii="Times New Roman" w:eastAsia="Times New Roman"/>
          <w:spacing w:val="5"/>
        </w:rPr>
        <w:t> </w:t>
      </w:r>
      <w:r>
        <w:rPr/>
        <w:t>满足了无效性分析中预先规定的停止标准，</w:t>
      </w:r>
      <w:r>
        <w:rPr>
          <w:spacing w:val="-2"/>
        </w:rPr>
        <w:t>且因无效而停止了研究，则 </w:t>
      </w:r>
      <w:r>
        <w:rPr>
          <w:rFonts w:ascii="Times New Roman" w:eastAsia="Times New Roman"/>
        </w:rPr>
        <w:t>PROSPERO </w:t>
      </w:r>
      <w:r>
        <w:rPr/>
        <w:t>研究也将停止。</w:t>
      </w:r>
    </w:p>
    <w:p>
      <w:pPr>
        <w:pStyle w:val="Heading3"/>
        <w:spacing w:before="239"/>
      </w:pPr>
      <w:r>
        <w:rPr>
          <w:spacing w:val="-3"/>
          <w:u w:val="single"/>
        </w:rPr>
        <w:t>中期分析以评估卓越的有效性</w:t>
      </w:r>
    </w:p>
    <w:p>
      <w:pPr>
        <w:pStyle w:val="BodyText"/>
        <w:spacing w:line="276" w:lineRule="auto" w:before="119"/>
        <w:ind w:right="356" w:firstLine="480"/>
      </w:pPr>
      <w:r>
        <w:rPr>
          <w:spacing w:val="-1"/>
        </w:rPr>
        <w:t>仅当由戒烟者组成的主要分析人群满足以下条件时，可进行 </w:t>
      </w:r>
      <w:r>
        <w:rPr>
          <w:rFonts w:ascii="Times New Roman" w:hAnsi="Times New Roman" w:eastAsia="Times New Roman"/>
        </w:rPr>
        <w:t>α</w:t>
      </w:r>
      <w:r>
        <w:rPr>
          <w:rFonts w:ascii="Times New Roman" w:hAnsi="Times New Roman" w:eastAsia="Times New Roman"/>
          <w:spacing w:val="32"/>
        </w:rPr>
        <w:t> </w:t>
      </w:r>
      <w:r>
        <w:rPr/>
        <w:t>调整并进行中期</w:t>
      </w:r>
      <w:r>
        <w:rPr>
          <w:spacing w:val="-4"/>
        </w:rPr>
        <w:t>分析：</w:t>
      </w:r>
    </w:p>
    <w:p>
      <w:pPr>
        <w:spacing w:after="0" w:line="276" w:lineRule="auto"/>
        <w:sectPr>
          <w:pgSz w:w="11910" w:h="16840"/>
          <w:pgMar w:header="590" w:footer="784" w:top="1340" w:bottom="980" w:left="1480" w:right="1080"/>
        </w:sectPr>
      </w:pPr>
    </w:p>
    <w:p>
      <w:pPr>
        <w:pStyle w:val="ListParagraph"/>
        <w:numPr>
          <w:ilvl w:val="0"/>
          <w:numId w:val="51"/>
        </w:numPr>
        <w:tabs>
          <w:tab w:pos="646" w:val="left" w:leader="none"/>
        </w:tabs>
        <w:spacing w:line="240" w:lineRule="auto" w:before="86" w:after="0"/>
        <w:ind w:left="646" w:right="356" w:hanging="425"/>
        <w:jc w:val="left"/>
        <w:rPr>
          <w:sz w:val="24"/>
        </w:rPr>
      </w:pPr>
      <w:r>
        <w:rPr>
          <w:sz w:val="24"/>
        </w:rPr>
        <w:t>在各项前身研究中，中度或重度急性加重率的试验信息比例至少达到 </w:t>
      </w:r>
      <w:r>
        <w:rPr>
          <w:rFonts w:ascii="Times New Roman" w:hAnsi="Times New Roman" w:eastAsia="Times New Roman"/>
          <w:sz w:val="24"/>
        </w:rPr>
        <w:t>80%</w:t>
      </w:r>
      <w:r>
        <w:rPr>
          <w:sz w:val="24"/>
        </w:rPr>
        <w:t>，以</w:t>
      </w:r>
      <w:r>
        <w:rPr>
          <w:spacing w:val="-10"/>
          <w:sz w:val="24"/>
        </w:rPr>
        <w:t>及</w:t>
      </w:r>
    </w:p>
    <w:p>
      <w:pPr>
        <w:pStyle w:val="ListParagraph"/>
        <w:numPr>
          <w:ilvl w:val="0"/>
          <w:numId w:val="51"/>
        </w:numPr>
        <w:tabs>
          <w:tab w:pos="646" w:val="left" w:leader="none"/>
        </w:tabs>
        <w:spacing w:line="240" w:lineRule="auto" w:before="59" w:after="0"/>
        <w:ind w:left="646" w:right="359" w:hanging="425"/>
        <w:jc w:val="left"/>
        <w:rPr>
          <w:sz w:val="24"/>
        </w:rPr>
      </w:pPr>
      <w:r>
        <w:rPr>
          <w:sz w:val="24"/>
        </w:rPr>
        <w:t>在本研究和 </w:t>
      </w:r>
      <w:r>
        <w:rPr>
          <w:rFonts w:ascii="Times New Roman" w:hAnsi="Times New Roman" w:eastAsia="Times New Roman"/>
          <w:sz w:val="24"/>
        </w:rPr>
        <w:t>2</w:t>
      </w:r>
      <w:r>
        <w:rPr>
          <w:rFonts w:ascii="Times New Roman" w:hAnsi="Times New Roman" w:eastAsia="Times New Roman"/>
          <w:spacing w:val="40"/>
          <w:sz w:val="24"/>
        </w:rPr>
        <w:t> </w:t>
      </w:r>
      <w:r>
        <w:rPr>
          <w:sz w:val="24"/>
        </w:rPr>
        <w:t>项前身研究的汇总分析中，重度急性加重发生率的试验信息比例</w:t>
      </w:r>
      <w:r>
        <w:rPr>
          <w:spacing w:val="-9"/>
          <w:sz w:val="24"/>
        </w:rPr>
        <w:t>至少达到 </w:t>
      </w:r>
      <w:r>
        <w:rPr>
          <w:rFonts w:ascii="Times New Roman" w:hAnsi="Times New Roman" w:eastAsia="Times New Roman"/>
          <w:sz w:val="24"/>
        </w:rPr>
        <w:t>70%</w:t>
      </w:r>
      <w:r>
        <w:rPr>
          <w:sz w:val="24"/>
        </w:rPr>
        <w:t>且</w:t>
      </w:r>
    </w:p>
    <w:p>
      <w:pPr>
        <w:pStyle w:val="ListParagraph"/>
        <w:numPr>
          <w:ilvl w:val="0"/>
          <w:numId w:val="51"/>
        </w:numPr>
        <w:tabs>
          <w:tab w:pos="646" w:val="left" w:leader="none"/>
        </w:tabs>
        <w:spacing w:line="240" w:lineRule="auto" w:before="59" w:after="0"/>
        <w:ind w:left="646" w:right="363" w:hanging="425"/>
        <w:jc w:val="left"/>
        <w:rPr>
          <w:sz w:val="24"/>
        </w:rPr>
      </w:pPr>
      <w:r>
        <w:rPr>
          <w:spacing w:val="3"/>
          <w:sz w:val="24"/>
        </w:rPr>
        <w:t>当这些条件满足时，距离每个受试者在前身研究中完成一年的治疗时间，还需</w:t>
      </w:r>
      <w:r>
        <w:rPr>
          <w:spacing w:val="-18"/>
          <w:sz w:val="24"/>
        </w:rPr>
        <w:t>至少 </w:t>
      </w:r>
      <w:r>
        <w:rPr>
          <w:rFonts w:ascii="Times New Roman" w:hAnsi="Times New Roman" w:eastAsia="Times New Roman"/>
          <w:sz w:val="24"/>
        </w:rPr>
        <w:t>6</w:t>
      </w:r>
      <w:r>
        <w:rPr>
          <w:rFonts w:ascii="Times New Roman" w:hAnsi="Times New Roman" w:eastAsia="Times New Roman"/>
          <w:spacing w:val="-12"/>
          <w:sz w:val="24"/>
        </w:rPr>
        <w:t> </w:t>
      </w:r>
      <w:r>
        <w:rPr>
          <w:sz w:val="24"/>
        </w:rPr>
        <w:t>个月。</w:t>
      </w:r>
    </w:p>
    <w:p>
      <w:pPr>
        <w:pStyle w:val="BodyText"/>
        <w:spacing w:before="23"/>
        <w:ind w:left="0"/>
      </w:pPr>
    </w:p>
    <w:p>
      <w:pPr>
        <w:pStyle w:val="BodyText"/>
        <w:spacing w:line="276" w:lineRule="auto"/>
        <w:ind w:right="357" w:firstLine="480"/>
        <w:jc w:val="both"/>
      </w:pPr>
      <w:r>
        <w:rPr>
          <w:spacing w:val="-6"/>
        </w:rPr>
        <w:t>将向 </w:t>
      </w:r>
      <w:r>
        <w:rPr>
          <w:rFonts w:ascii="Times New Roman" w:eastAsia="Times New Roman"/>
        </w:rPr>
        <w:t>IDMC </w:t>
      </w:r>
      <w:r>
        <w:rPr/>
        <w:t>提供决策指南。如果达到有效性中期分析终点，则中期分析可能会</w:t>
      </w:r>
      <w:r>
        <w:rPr>
          <w:spacing w:val="-8"/>
        </w:rPr>
        <w:t>提前报告 </w:t>
      </w:r>
      <w:r>
        <w:rPr>
          <w:rFonts w:ascii="Times New Roman" w:eastAsia="Times New Roman"/>
          <w:spacing w:val="-2"/>
        </w:rPr>
        <w:t>PROSPERO</w:t>
      </w:r>
      <w:r>
        <w:rPr>
          <w:rFonts w:ascii="Times New Roman" w:eastAsia="Times New Roman"/>
          <w:spacing w:val="3"/>
        </w:rPr>
        <w:t> </w:t>
      </w:r>
      <w:r>
        <w:rPr>
          <w:spacing w:val="-2"/>
        </w:rPr>
        <w:t>的结果。研究仍将继续进行，研究中心和患者仍保持盲态，以收集更多长期安全性信息。</w:t>
      </w:r>
    </w:p>
    <w:p>
      <w:pPr>
        <w:pStyle w:val="BodyText"/>
        <w:spacing w:line="276" w:lineRule="auto" w:before="238"/>
        <w:ind w:right="353" w:firstLine="480"/>
        <w:jc w:val="both"/>
      </w:pPr>
      <w:r>
        <w:rPr>
          <w:spacing w:val="-3"/>
        </w:rPr>
        <w:t>将中期分析的显著性水平设为单侧 </w:t>
      </w:r>
      <w:r>
        <w:rPr>
          <w:rFonts w:ascii="Times New Roman" w:eastAsia="Times New Roman"/>
          <w:spacing w:val="-2"/>
        </w:rPr>
        <w:t>0.005</w:t>
      </w:r>
      <w:r>
        <w:rPr>
          <w:spacing w:val="-2"/>
        </w:rPr>
        <w:t>，不考虑预期的试验信息比例。在最终</w:t>
      </w:r>
      <w:r>
        <w:rPr>
          <w:spacing w:val="-2"/>
        </w:rPr>
        <w:t>的主要分析中，基于中期分析时与最终分析相比的实际信息比例，对显著性水平进</w:t>
      </w:r>
      <w:r>
        <w:rPr>
          <w:spacing w:val="-8"/>
        </w:rPr>
        <w:t>行调整，从而在 </w:t>
      </w:r>
      <w:r>
        <w:rPr>
          <w:rFonts w:ascii="Times New Roman" w:eastAsia="Times New Roman"/>
        </w:rPr>
        <w:t>tozorakimab</w:t>
      </w:r>
      <w:r>
        <w:rPr>
          <w:rFonts w:ascii="Times New Roman" w:eastAsia="Times New Roman"/>
          <w:spacing w:val="28"/>
        </w:rPr>
        <w:t> </w:t>
      </w:r>
      <w:r>
        <w:rPr>
          <w:rFonts w:ascii="Times New Roman" w:eastAsia="Times New Roman"/>
        </w:rPr>
        <w:t>Q4W</w:t>
      </w:r>
      <w:r>
        <w:rPr>
          <w:rFonts w:ascii="Times New Roman" w:eastAsia="Times New Roman"/>
          <w:spacing w:val="-12"/>
        </w:rPr>
        <w:t> </w:t>
      </w:r>
      <w:r>
        <w:rPr/>
        <w:t>与安慰剂相比的主要分析中，</w:t>
      </w:r>
      <w:r>
        <w:rPr>
          <w:rFonts w:ascii="Times New Roman" w:eastAsia="Times New Roman"/>
        </w:rPr>
        <w:t>I</w:t>
      </w:r>
      <w:r>
        <w:rPr>
          <w:rFonts w:ascii="Times New Roman" w:eastAsia="Times New Roman"/>
          <w:spacing w:val="-12"/>
        </w:rPr>
        <w:t> </w:t>
      </w:r>
      <w:r>
        <w:rPr>
          <w:spacing w:val="-2"/>
        </w:rPr>
        <w:t>类错误控制在单侧</w:t>
      </w:r>
    </w:p>
    <w:p>
      <w:pPr>
        <w:pStyle w:val="BodyText"/>
        <w:spacing w:line="276" w:lineRule="auto"/>
        <w:ind w:right="353"/>
        <w:jc w:val="both"/>
      </w:pPr>
      <w:r>
        <w:rPr>
          <w:rFonts w:ascii="Times New Roman" w:eastAsia="Times New Roman"/>
          <w:spacing w:val="-2"/>
        </w:rPr>
        <w:t>0.025</w:t>
      </w:r>
      <w:r>
        <w:rPr>
          <w:rFonts w:ascii="Times New Roman" w:eastAsia="Times New Roman"/>
          <w:spacing w:val="-13"/>
        </w:rPr>
        <w:t> </w:t>
      </w:r>
      <w:r>
        <w:rPr>
          <w:spacing w:val="-5"/>
        </w:rPr>
        <w:t>水平，或相当于双侧 </w:t>
      </w:r>
      <w:r>
        <w:rPr>
          <w:rFonts w:ascii="Times New Roman" w:eastAsia="Times New Roman"/>
          <w:spacing w:val="-2"/>
        </w:rPr>
        <w:t>0.05</w:t>
      </w:r>
      <w:r>
        <w:rPr>
          <w:rFonts w:ascii="Times New Roman" w:eastAsia="Times New Roman"/>
          <w:spacing w:val="-13"/>
        </w:rPr>
        <w:t> </w:t>
      </w:r>
      <w:r>
        <w:rPr>
          <w:spacing w:val="-2"/>
        </w:rPr>
        <w:t>水平。信息比例由重度急性加重次数决定。如果中期</w:t>
      </w:r>
      <w:r>
        <w:rPr>
          <w:spacing w:val="-1"/>
        </w:rPr>
        <w:t>分析时没有因为有效性而停止研究，则采用 </w:t>
      </w:r>
      <w:hyperlink w:history="true" w:anchor="_bookmark208">
        <w:r>
          <w:rPr>
            <w:rFonts w:ascii="Times New Roman" w:eastAsia="Times New Roman"/>
            <w:color w:val="0000FF"/>
          </w:rPr>
          <w:t>Stone 2010</w:t>
        </w:r>
      </w:hyperlink>
      <w:r>
        <w:rPr>
          <w:rFonts w:ascii="Times New Roman" w:eastAsia="Times New Roman"/>
          <w:color w:val="0000FF"/>
        </w:rPr>
        <w:t> </w:t>
      </w:r>
      <w:r>
        <w:rPr/>
        <w:t>描述的双变量正态方法，基</w:t>
      </w:r>
      <w:r>
        <w:rPr>
          <w:spacing w:val="-2"/>
        </w:rPr>
        <w:t>于观察到的实际信息，计算最终分析报告中使用的校正后的显著性水平。更多详细</w:t>
      </w:r>
      <w:r>
        <w:rPr>
          <w:spacing w:val="-4"/>
        </w:rPr>
        <w:t>内容请见 </w:t>
      </w:r>
      <w:r>
        <w:rPr>
          <w:rFonts w:ascii="Times New Roman" w:eastAsia="Times New Roman"/>
        </w:rPr>
        <w:t>IDMC </w:t>
      </w:r>
      <w:r>
        <w:rPr/>
        <w:t>章程、</w:t>
      </w:r>
      <w:r>
        <w:rPr>
          <w:rFonts w:ascii="Times New Roman" w:eastAsia="Times New Roman"/>
        </w:rPr>
        <w:t>SAP </w:t>
      </w:r>
      <w:r>
        <w:rPr/>
        <w:t>和期中分析计划。</w:t>
      </w:r>
    </w:p>
    <w:p>
      <w:pPr>
        <w:pStyle w:val="Heading1"/>
        <w:numPr>
          <w:ilvl w:val="1"/>
          <w:numId w:val="3"/>
        </w:numPr>
        <w:tabs>
          <w:tab w:pos="1355" w:val="left" w:leader="none"/>
        </w:tabs>
        <w:spacing w:line="240" w:lineRule="auto" w:before="234" w:after="0"/>
        <w:ind w:left="1355" w:right="0" w:hanging="1134"/>
        <w:jc w:val="both"/>
      </w:pPr>
      <w:bookmarkStart w:name="9.6 独立数据监查委员会" w:id="284"/>
      <w:bookmarkEnd w:id="284"/>
      <w:r>
        <w:rPr>
          <w:b w:val="0"/>
        </w:rPr>
      </w:r>
      <w:bookmarkStart w:name="_bookmark147" w:id="285"/>
      <w:bookmarkEnd w:id="285"/>
      <w:r>
        <w:rPr>
          <w:b w:val="0"/>
        </w:rPr>
      </w:r>
      <w:r>
        <w:rPr>
          <w:spacing w:val="-5"/>
        </w:rPr>
        <w:t>独立数据监查委员会</w:t>
      </w:r>
    </w:p>
    <w:p>
      <w:pPr>
        <w:pStyle w:val="BodyText"/>
        <w:spacing w:line="276" w:lineRule="auto" w:before="120"/>
        <w:ind w:right="353" w:firstLine="480"/>
        <w:jc w:val="both"/>
      </w:pPr>
      <w:r>
        <w:rPr>
          <w:spacing w:val="-4"/>
        </w:rPr>
        <w:t>将设立 </w:t>
      </w:r>
      <w:r>
        <w:rPr>
          <w:rFonts w:ascii="Times New Roman" w:eastAsia="Times New Roman"/>
        </w:rPr>
        <w:t>IDMC </w:t>
      </w:r>
      <w:r>
        <w:rPr/>
        <w:t>以监督研究受试者的安全性，并根据现有数据就进一步研究实施</w:t>
      </w:r>
      <w:r>
        <w:rPr>
          <w:spacing w:val="-2"/>
        </w:rPr>
        <w:t>提出适当建议，包括定期审查安全性数据，在计划进行的中期分析中将考虑因显著疗效而提前报告研究的可能性。</w:t>
      </w:r>
    </w:p>
    <w:p>
      <w:pPr>
        <w:pStyle w:val="BodyText"/>
        <w:spacing w:line="460" w:lineRule="auto" w:before="237"/>
        <w:ind w:left="701" w:right="455"/>
      </w:pPr>
      <w:r>
        <w:rPr>
          <w:rFonts w:ascii="Times New Roman" w:eastAsia="Times New Roman"/>
          <w:spacing w:val="-2"/>
        </w:rPr>
        <w:t>IDMC </w:t>
      </w:r>
      <w:r>
        <w:rPr>
          <w:spacing w:val="-4"/>
        </w:rPr>
        <w:t>还将对前身研究的无效性分析进行监督，该决策可能影响 </w:t>
      </w:r>
      <w:r>
        <w:rPr>
          <w:rFonts w:ascii="Times New Roman" w:eastAsia="Times New Roman"/>
          <w:spacing w:val="-2"/>
        </w:rPr>
        <w:t>PROSPERO</w:t>
      </w:r>
      <w:r>
        <w:rPr>
          <w:spacing w:val="-2"/>
        </w:rPr>
        <w:t>。 </w:t>
      </w:r>
      <w:r>
        <w:rPr>
          <w:rFonts w:ascii="Times New Roman" w:eastAsia="Times New Roman"/>
        </w:rPr>
        <w:t>IDMC </w:t>
      </w:r>
      <w:r>
        <w:rPr>
          <w:spacing w:val="-1"/>
        </w:rPr>
        <w:t>组成、审核数据和会议召开频率的详细内容请见 </w:t>
      </w:r>
      <w:r>
        <w:rPr>
          <w:rFonts w:ascii="Times New Roman" w:eastAsia="Times New Roman"/>
        </w:rPr>
        <w:t>IDMC </w:t>
      </w:r>
      <w:r>
        <w:rPr/>
        <w:t>章程。</w:t>
      </w:r>
    </w:p>
    <w:p>
      <w:pPr>
        <w:spacing w:after="0" w:line="460" w:lineRule="auto"/>
        <w:sectPr>
          <w:pgSz w:w="11910" w:h="16840"/>
          <w:pgMar w:header="590" w:footer="784" w:top="1340" w:bottom="980" w:left="1480" w:right="1080"/>
        </w:sectPr>
      </w:pPr>
    </w:p>
    <w:p>
      <w:pPr>
        <w:pStyle w:val="Heading1"/>
        <w:numPr>
          <w:ilvl w:val="0"/>
          <w:numId w:val="3"/>
        </w:numPr>
        <w:tabs>
          <w:tab w:pos="1355" w:val="left" w:leader="none"/>
        </w:tabs>
        <w:spacing w:line="240" w:lineRule="auto" w:before="88" w:after="0"/>
        <w:ind w:left="1355" w:right="0" w:hanging="1134"/>
        <w:jc w:val="left"/>
      </w:pPr>
      <w:bookmarkStart w:name="10 支持性文件和操作考察因素" w:id="286"/>
      <w:bookmarkEnd w:id="286"/>
      <w:r>
        <w:rPr>
          <w:b w:val="0"/>
        </w:rPr>
      </w:r>
      <w:bookmarkStart w:name="_bookmark148" w:id="287"/>
      <w:bookmarkEnd w:id="287"/>
      <w:r>
        <w:rPr>
          <w:b w:val="0"/>
        </w:rPr>
      </w:r>
      <w:r>
        <w:rPr>
          <w:spacing w:val="-5"/>
        </w:rPr>
        <w:t>支持性文件和操作考察因素</w:t>
      </w:r>
    </w:p>
    <w:p>
      <w:pPr>
        <w:spacing w:after="0" w:line="240" w:lineRule="auto"/>
        <w:jc w:val="left"/>
        <w:sectPr>
          <w:pgSz w:w="11910" w:h="16840"/>
          <w:pgMar w:header="590" w:footer="784" w:top="1340" w:bottom="980" w:left="1480" w:right="1080"/>
        </w:sectPr>
      </w:pPr>
    </w:p>
    <w:p>
      <w:pPr>
        <w:tabs>
          <w:tab w:pos="1921" w:val="left" w:leader="none"/>
        </w:tabs>
        <w:spacing w:before="88"/>
        <w:ind w:left="221" w:right="0" w:firstLine="0"/>
        <w:jc w:val="both"/>
        <w:rPr>
          <w:b/>
          <w:sz w:val="28"/>
        </w:rPr>
      </w:pPr>
      <w:bookmarkStart w:name="附录A 药政监管、伦理学和研究监管考察因素" w:id="288"/>
      <w:bookmarkEnd w:id="288"/>
      <w:r>
        <w:rPr/>
      </w:r>
      <w:bookmarkStart w:name="_bookmark149" w:id="289"/>
      <w:bookmarkEnd w:id="289"/>
      <w:r>
        <w:rPr/>
      </w:r>
      <w:r>
        <w:rPr>
          <w:b/>
          <w:spacing w:val="-2"/>
          <w:sz w:val="28"/>
        </w:rPr>
        <w:t>附录</w:t>
      </w:r>
      <w:r>
        <w:rPr>
          <w:rFonts w:ascii="Times New Roman" w:eastAsia="Times New Roman"/>
          <w:b/>
          <w:spacing w:val="-10"/>
          <w:sz w:val="28"/>
        </w:rPr>
        <w:t>A</w:t>
      </w:r>
      <w:r>
        <w:rPr>
          <w:rFonts w:ascii="Times New Roman" w:eastAsia="Times New Roman"/>
          <w:b/>
          <w:sz w:val="28"/>
        </w:rPr>
        <w:tab/>
      </w:r>
      <w:r>
        <w:rPr>
          <w:b/>
          <w:spacing w:val="-4"/>
          <w:sz w:val="28"/>
        </w:rPr>
        <w:t>药政监管、伦理学和研究监管考察因</w:t>
      </w:r>
      <w:r>
        <w:rPr>
          <w:b/>
          <w:spacing w:val="-10"/>
          <w:sz w:val="28"/>
        </w:rPr>
        <w:t>素</w:t>
      </w:r>
    </w:p>
    <w:p>
      <w:pPr>
        <w:tabs>
          <w:tab w:pos="1359" w:val="left" w:leader="none"/>
        </w:tabs>
        <w:spacing w:before="159"/>
        <w:ind w:left="221" w:right="0" w:firstLine="0"/>
        <w:jc w:val="both"/>
        <w:rPr>
          <w:b/>
          <w:sz w:val="28"/>
        </w:rPr>
      </w:pPr>
      <w:bookmarkStart w:name="A 1 药政监管和伦理学考察因素" w:id="290"/>
      <w:bookmarkEnd w:id="290"/>
      <w:r>
        <w:rPr/>
      </w:r>
      <w:r>
        <w:rPr>
          <w:rFonts w:ascii="Times New Roman" w:eastAsia="Times New Roman"/>
          <w:b/>
          <w:sz w:val="26"/>
        </w:rPr>
        <w:t>A </w:t>
      </w:r>
      <w:r>
        <w:rPr>
          <w:rFonts w:ascii="Times New Roman" w:eastAsia="Times New Roman"/>
          <w:b/>
          <w:spacing w:val="-10"/>
          <w:sz w:val="26"/>
        </w:rPr>
        <w:t>1</w:t>
      </w:r>
      <w:r>
        <w:rPr>
          <w:rFonts w:ascii="Times New Roman" w:eastAsia="Times New Roman"/>
          <w:b/>
          <w:sz w:val="26"/>
        </w:rPr>
        <w:tab/>
      </w:r>
      <w:r>
        <w:rPr>
          <w:b/>
          <w:spacing w:val="-5"/>
          <w:sz w:val="28"/>
        </w:rPr>
        <w:t>药政监管和伦理学考察因素</w:t>
      </w:r>
    </w:p>
    <w:p>
      <w:pPr>
        <w:pStyle w:val="BodyText"/>
        <w:spacing w:before="120"/>
        <w:ind w:left="701"/>
      </w:pPr>
      <w:r>
        <w:rPr>
          <w:spacing w:val="-1"/>
        </w:rPr>
        <w:t>本研究将按照研究方案和以下要求实施：</w:t>
      </w:r>
    </w:p>
    <w:p>
      <w:pPr>
        <w:pStyle w:val="ListParagraph"/>
        <w:numPr>
          <w:ilvl w:val="0"/>
          <w:numId w:val="52"/>
        </w:numPr>
        <w:tabs>
          <w:tab w:pos="425" w:val="left" w:leader="none"/>
        </w:tabs>
        <w:spacing w:line="240" w:lineRule="auto" w:before="285" w:after="0"/>
        <w:ind w:left="425" w:right="357" w:hanging="425"/>
        <w:jc w:val="right"/>
        <w:rPr>
          <w:sz w:val="24"/>
        </w:rPr>
      </w:pPr>
      <w:r>
        <w:rPr>
          <w:spacing w:val="-4"/>
          <w:sz w:val="24"/>
        </w:rPr>
        <w:t>基于国际指南的伦理共识原则，包括 </w:t>
      </w:r>
      <w:r>
        <w:rPr>
          <w:rFonts w:ascii="Times New Roman" w:hAnsi="Times New Roman" w:eastAsia="Times New Roman"/>
          <w:sz w:val="24"/>
        </w:rPr>
        <w:t>2013</w:t>
      </w:r>
      <w:r>
        <w:rPr>
          <w:rFonts w:ascii="Times New Roman" w:hAnsi="Times New Roman" w:eastAsia="Times New Roman"/>
          <w:spacing w:val="-8"/>
          <w:sz w:val="24"/>
        </w:rPr>
        <w:t> </w:t>
      </w:r>
      <w:r>
        <w:rPr>
          <w:spacing w:val="-28"/>
          <w:sz w:val="24"/>
        </w:rPr>
        <w:t>年 </w:t>
      </w:r>
      <w:r>
        <w:rPr>
          <w:rFonts w:ascii="Times New Roman" w:hAnsi="Times New Roman" w:eastAsia="Times New Roman"/>
          <w:sz w:val="24"/>
        </w:rPr>
        <w:t>10</w:t>
      </w:r>
      <w:r>
        <w:rPr>
          <w:rFonts w:ascii="Times New Roman" w:hAnsi="Times New Roman" w:eastAsia="Times New Roman"/>
          <w:spacing w:val="-8"/>
          <w:sz w:val="24"/>
        </w:rPr>
        <w:t> </w:t>
      </w:r>
      <w:r>
        <w:rPr>
          <w:spacing w:val="-1"/>
          <w:sz w:val="24"/>
        </w:rPr>
        <w:t>月在巴西福塔雷萨举行的第</w:t>
      </w:r>
    </w:p>
    <w:p>
      <w:pPr>
        <w:pStyle w:val="BodyText"/>
        <w:spacing w:before="46"/>
        <w:ind w:left="0" w:right="362"/>
        <w:jc w:val="right"/>
      </w:pPr>
      <w:r>
        <w:rPr>
          <w:rFonts w:ascii="Times New Roman" w:eastAsia="Times New Roman"/>
        </w:rPr>
        <w:t>64</w:t>
      </w:r>
      <w:r>
        <w:rPr>
          <w:rFonts w:ascii="Times New Roman" w:eastAsia="Times New Roman"/>
          <w:spacing w:val="49"/>
          <w:w w:val="150"/>
        </w:rPr>
        <w:t> </w:t>
      </w:r>
      <w:r>
        <w:rPr>
          <w:spacing w:val="27"/>
        </w:rPr>
        <w:t>届 </w:t>
      </w:r>
      <w:r>
        <w:rPr>
          <w:rFonts w:ascii="Times New Roman" w:eastAsia="Times New Roman"/>
        </w:rPr>
        <w:t>WMA</w:t>
      </w:r>
      <w:r>
        <w:rPr>
          <w:rFonts w:ascii="Times New Roman" w:eastAsia="Times New Roman"/>
          <w:spacing w:val="80"/>
        </w:rPr>
        <w:t> </w:t>
      </w:r>
      <w:r>
        <w:rPr>
          <w:spacing w:val="-1"/>
        </w:rPr>
        <w:t>大会上修订的《赫尔辛基宣言》和国际医学科学组织理事会</w:t>
      </w:r>
    </w:p>
    <w:p>
      <w:pPr>
        <w:pStyle w:val="BodyText"/>
        <w:spacing w:before="46"/>
        <w:ind w:left="1071"/>
      </w:pPr>
      <w:r>
        <w:rPr>
          <w:spacing w:val="-2"/>
        </w:rPr>
        <w:t>（</w:t>
      </w:r>
      <w:r>
        <w:rPr>
          <w:rFonts w:ascii="Times New Roman" w:eastAsia="Times New Roman"/>
          <w:spacing w:val="-2"/>
        </w:rPr>
        <w:t>CIOMS</w:t>
      </w:r>
      <w:r>
        <w:rPr>
          <w:spacing w:val="-2"/>
        </w:rPr>
        <w:t>）</w:t>
      </w:r>
      <w:r>
        <w:rPr>
          <w:spacing w:val="-4"/>
        </w:rPr>
        <w:t>国际伦理指南。</w:t>
      </w:r>
    </w:p>
    <w:p>
      <w:pPr>
        <w:pStyle w:val="ListParagraph"/>
        <w:numPr>
          <w:ilvl w:val="0"/>
          <w:numId w:val="52"/>
        </w:numPr>
        <w:tabs>
          <w:tab w:pos="1071" w:val="left" w:leader="none"/>
        </w:tabs>
        <w:spacing w:line="240" w:lineRule="auto" w:before="106" w:after="0"/>
        <w:ind w:left="1071" w:right="0" w:hanging="425"/>
        <w:jc w:val="left"/>
        <w:rPr>
          <w:sz w:val="24"/>
        </w:rPr>
      </w:pPr>
      <w:r>
        <w:rPr>
          <w:spacing w:val="-15"/>
          <w:sz w:val="24"/>
        </w:rPr>
        <w:t>适用的 </w:t>
      </w:r>
      <w:r>
        <w:rPr>
          <w:rFonts w:ascii="Times New Roman" w:hAnsi="Times New Roman" w:eastAsia="Times New Roman"/>
          <w:sz w:val="24"/>
        </w:rPr>
        <w:t>ICH</w:t>
      </w:r>
      <w:r>
        <w:rPr>
          <w:rFonts w:ascii="Times New Roman" w:hAnsi="Times New Roman" w:eastAsia="Times New Roman"/>
          <w:spacing w:val="-4"/>
          <w:sz w:val="24"/>
        </w:rPr>
        <w:t> </w:t>
      </w:r>
      <w:r>
        <w:rPr>
          <w:rFonts w:ascii="Times New Roman" w:hAnsi="Times New Roman" w:eastAsia="Times New Roman"/>
          <w:sz w:val="24"/>
        </w:rPr>
        <w:t>GCP</w:t>
      </w:r>
      <w:r>
        <w:rPr>
          <w:rFonts w:ascii="Times New Roman" w:hAnsi="Times New Roman" w:eastAsia="Times New Roman"/>
          <w:spacing w:val="-14"/>
          <w:sz w:val="24"/>
        </w:rPr>
        <w:t> </w:t>
      </w:r>
      <w:r>
        <w:rPr>
          <w:spacing w:val="-4"/>
          <w:sz w:val="24"/>
        </w:rPr>
        <w:t>指南。</w:t>
      </w:r>
    </w:p>
    <w:p>
      <w:pPr>
        <w:pStyle w:val="ListParagraph"/>
        <w:numPr>
          <w:ilvl w:val="0"/>
          <w:numId w:val="52"/>
        </w:numPr>
        <w:tabs>
          <w:tab w:pos="1071" w:val="left" w:leader="none"/>
        </w:tabs>
        <w:spacing w:line="240" w:lineRule="auto" w:before="106" w:after="0"/>
        <w:ind w:left="1071" w:right="0" w:hanging="425"/>
        <w:jc w:val="left"/>
        <w:rPr>
          <w:sz w:val="24"/>
        </w:rPr>
      </w:pPr>
      <w:r>
        <w:rPr>
          <w:spacing w:val="-2"/>
          <w:sz w:val="24"/>
        </w:rPr>
        <w:t>适用的法律法规。</w:t>
      </w:r>
    </w:p>
    <w:p>
      <w:pPr>
        <w:pStyle w:val="ListParagraph"/>
        <w:numPr>
          <w:ilvl w:val="0"/>
          <w:numId w:val="53"/>
        </w:numPr>
        <w:tabs>
          <w:tab w:pos="646" w:val="left" w:leader="none"/>
        </w:tabs>
        <w:spacing w:line="240" w:lineRule="auto" w:before="104" w:after="0"/>
        <w:ind w:left="646" w:right="357" w:hanging="425"/>
        <w:jc w:val="left"/>
        <w:rPr>
          <w:sz w:val="24"/>
        </w:rPr>
      </w:pPr>
      <w:r>
        <w:rPr>
          <w:spacing w:val="-2"/>
          <w:sz w:val="24"/>
        </w:rPr>
        <w:t>研究开始前，研究者必须将方案、修订方案、</w:t>
      </w:r>
      <w:r>
        <w:rPr>
          <w:rFonts w:ascii="Times New Roman" w:hAnsi="Times New Roman" w:eastAsia="Times New Roman"/>
          <w:spacing w:val="-2"/>
          <w:sz w:val="24"/>
        </w:rPr>
        <w:t>ICF</w:t>
      </w:r>
      <w:r>
        <w:rPr>
          <w:spacing w:val="-2"/>
          <w:sz w:val="24"/>
        </w:rPr>
        <w:t>、</w:t>
      </w:r>
      <w:r>
        <w:rPr>
          <w:rFonts w:ascii="Times New Roman" w:hAnsi="Times New Roman" w:eastAsia="Times New Roman"/>
          <w:spacing w:val="-2"/>
          <w:sz w:val="24"/>
        </w:rPr>
        <w:t>IB</w:t>
      </w:r>
      <w:r>
        <w:rPr>
          <w:rFonts w:ascii="Times New Roman" w:hAnsi="Times New Roman" w:eastAsia="Times New Roman"/>
          <w:spacing w:val="-7"/>
          <w:sz w:val="24"/>
        </w:rPr>
        <w:t> </w:t>
      </w:r>
      <w:r>
        <w:rPr>
          <w:spacing w:val="-2"/>
          <w:sz w:val="24"/>
        </w:rPr>
        <w:t>和其他相关文件（例如广</w:t>
      </w:r>
      <w:r>
        <w:rPr>
          <w:sz w:val="24"/>
        </w:rPr>
        <w:t>告）</w:t>
      </w:r>
      <w:r>
        <w:rPr>
          <w:spacing w:val="-4"/>
          <w:sz w:val="24"/>
        </w:rPr>
        <w:t>递交至 </w:t>
      </w:r>
      <w:r>
        <w:rPr>
          <w:rFonts w:ascii="Times New Roman" w:hAnsi="Times New Roman" w:eastAsia="Times New Roman"/>
          <w:sz w:val="24"/>
        </w:rPr>
        <w:t>IRB/IEC </w:t>
      </w:r>
      <w:r>
        <w:rPr>
          <w:spacing w:val="-2"/>
          <w:sz w:val="24"/>
        </w:rPr>
        <w:t>进行审查，并获得 </w:t>
      </w:r>
      <w:r>
        <w:rPr>
          <w:rFonts w:ascii="Times New Roman" w:hAnsi="Times New Roman" w:eastAsia="Times New Roman"/>
          <w:sz w:val="24"/>
        </w:rPr>
        <w:t>IRB/IEC </w:t>
      </w:r>
      <w:r>
        <w:rPr>
          <w:sz w:val="24"/>
        </w:rPr>
        <w:t>批准。</w:t>
      </w:r>
    </w:p>
    <w:p>
      <w:pPr>
        <w:pStyle w:val="ListParagraph"/>
        <w:numPr>
          <w:ilvl w:val="0"/>
          <w:numId w:val="53"/>
        </w:numPr>
        <w:tabs>
          <w:tab w:pos="646" w:val="left" w:leader="none"/>
        </w:tabs>
        <w:spacing w:line="240" w:lineRule="auto" w:before="59" w:after="0"/>
        <w:ind w:left="646" w:right="358" w:hanging="425"/>
        <w:jc w:val="left"/>
        <w:rPr>
          <w:sz w:val="24"/>
        </w:rPr>
      </w:pPr>
      <w:r>
        <w:rPr>
          <w:sz w:val="24"/>
        </w:rPr>
        <w:t>任何修订方案均需在研究设计变更实施前获得 </w:t>
      </w:r>
      <w:r>
        <w:rPr>
          <w:rFonts w:ascii="Times New Roman" w:hAnsi="Times New Roman" w:eastAsia="Times New Roman"/>
          <w:sz w:val="24"/>
        </w:rPr>
        <w:t>IRB/IEC</w:t>
      </w:r>
      <w:r>
        <w:rPr>
          <w:rFonts w:ascii="Times New Roman" w:hAnsi="Times New Roman" w:eastAsia="Times New Roman"/>
          <w:spacing w:val="40"/>
          <w:sz w:val="24"/>
        </w:rPr>
        <w:t> </w:t>
      </w:r>
      <w:r>
        <w:rPr>
          <w:sz w:val="24"/>
        </w:rPr>
        <w:t>和适当药政监管部门的</w:t>
      </w:r>
      <w:r>
        <w:rPr>
          <w:spacing w:val="-2"/>
          <w:sz w:val="24"/>
        </w:rPr>
        <w:t>批准，但消除研究受试者的直接风险所需的必要变更除外。</w:t>
      </w:r>
    </w:p>
    <w:p>
      <w:pPr>
        <w:pStyle w:val="ListParagraph"/>
        <w:numPr>
          <w:ilvl w:val="0"/>
          <w:numId w:val="53"/>
        </w:numPr>
        <w:tabs>
          <w:tab w:pos="646" w:val="left" w:leader="none"/>
        </w:tabs>
        <w:spacing w:line="240" w:lineRule="auto" w:before="59" w:after="0"/>
        <w:ind w:left="646" w:right="0" w:hanging="425"/>
        <w:jc w:val="left"/>
        <w:rPr>
          <w:sz w:val="24"/>
        </w:rPr>
      </w:pPr>
      <w:r>
        <w:rPr>
          <w:spacing w:val="-1"/>
          <w:sz w:val="24"/>
        </w:rPr>
        <w:t>申办者将负责从相关药政监管部门获得实施研究所需的批准。该职责可委托给</w:t>
      </w:r>
    </w:p>
    <w:p>
      <w:pPr>
        <w:pStyle w:val="BodyText"/>
        <w:ind w:left="646"/>
      </w:pPr>
      <w:r>
        <w:rPr>
          <w:rFonts w:ascii="Times New Roman" w:eastAsia="Times New Roman"/>
          <w:spacing w:val="-2"/>
        </w:rPr>
        <w:t>CRO</w:t>
      </w:r>
      <w:r>
        <w:rPr>
          <w:spacing w:val="-3"/>
        </w:rPr>
        <w:t>，但责任仍由申办者承担。</w:t>
      </w:r>
    </w:p>
    <w:p>
      <w:pPr>
        <w:pStyle w:val="ListParagraph"/>
        <w:numPr>
          <w:ilvl w:val="0"/>
          <w:numId w:val="53"/>
        </w:numPr>
        <w:tabs>
          <w:tab w:pos="646" w:val="left" w:leader="none"/>
        </w:tabs>
        <w:spacing w:line="240" w:lineRule="auto" w:before="58" w:after="0"/>
        <w:ind w:left="646" w:right="357" w:hanging="425"/>
        <w:jc w:val="both"/>
        <w:rPr>
          <w:sz w:val="24"/>
        </w:rPr>
      </w:pPr>
      <w:r>
        <w:rPr>
          <w:spacing w:val="-4"/>
          <w:sz w:val="24"/>
        </w:rPr>
        <w:t>研究者将负责监督研究中心的研究实施情况以及对 </w:t>
      </w:r>
      <w:r>
        <w:rPr>
          <w:rFonts w:ascii="Times New Roman" w:hAnsi="Times New Roman" w:eastAsia="Times New Roman"/>
          <w:spacing w:val="-2"/>
          <w:sz w:val="24"/>
        </w:rPr>
        <w:t>21</w:t>
      </w:r>
      <w:r>
        <w:rPr>
          <w:rFonts w:ascii="Times New Roman" w:hAnsi="Times New Roman" w:eastAsia="Times New Roman"/>
          <w:spacing w:val="-13"/>
          <w:sz w:val="24"/>
        </w:rPr>
        <w:t> </w:t>
      </w:r>
      <w:r>
        <w:rPr>
          <w:rFonts w:ascii="Times New Roman" w:hAnsi="Times New Roman" w:eastAsia="Times New Roman"/>
          <w:spacing w:val="-2"/>
          <w:sz w:val="24"/>
        </w:rPr>
        <w:t>CFR 312.120</w:t>
      </w:r>
      <w:r>
        <w:rPr>
          <w:spacing w:val="-2"/>
          <w:sz w:val="24"/>
        </w:rPr>
        <w:t>、</w:t>
      </w:r>
      <w:r>
        <w:rPr>
          <w:rFonts w:ascii="Times New Roman" w:hAnsi="Times New Roman" w:eastAsia="Times New Roman"/>
          <w:spacing w:val="-2"/>
          <w:sz w:val="24"/>
        </w:rPr>
        <w:t>ICH </w:t>
      </w:r>
      <w:r>
        <w:rPr>
          <w:spacing w:val="-2"/>
          <w:sz w:val="24"/>
        </w:rPr>
        <w:t>指导原</w:t>
      </w:r>
      <w:r>
        <w:rPr>
          <w:sz w:val="24"/>
        </w:rPr>
        <w:t>则、</w:t>
      </w:r>
      <w:r>
        <w:rPr>
          <w:rFonts w:ascii="Times New Roman" w:hAnsi="Times New Roman" w:eastAsia="Times New Roman"/>
          <w:sz w:val="24"/>
        </w:rPr>
        <w:t>IRB/IEC</w:t>
      </w:r>
      <w:r>
        <w:rPr>
          <w:spacing w:val="-2"/>
          <w:sz w:val="24"/>
        </w:rPr>
        <w:t>、针对临床研究的欧洲监管条例 </w:t>
      </w:r>
      <w:r>
        <w:rPr>
          <w:rFonts w:ascii="Times New Roman" w:hAnsi="Times New Roman" w:eastAsia="Times New Roman"/>
          <w:sz w:val="24"/>
        </w:rPr>
        <w:t>536/2014</w:t>
      </w:r>
      <w:r>
        <w:rPr>
          <w:sz w:val="24"/>
        </w:rPr>
        <w:t>（如适用）、针对临床器</w:t>
      </w:r>
      <w:r>
        <w:rPr>
          <w:sz w:val="24"/>
        </w:rPr>
        <w:t>械研究的欧洲医疗器械法规 </w:t>
      </w:r>
      <w:r>
        <w:rPr>
          <w:rFonts w:ascii="Times New Roman" w:hAnsi="Times New Roman" w:eastAsia="Times New Roman"/>
          <w:sz w:val="24"/>
        </w:rPr>
        <w:t>2017/745</w:t>
      </w:r>
      <w:r>
        <w:rPr>
          <w:sz w:val="24"/>
        </w:rPr>
        <w:t>（如适用）以及所有其他适用的当地法规</w:t>
      </w:r>
      <w:r>
        <w:rPr>
          <w:spacing w:val="-2"/>
          <w:sz w:val="24"/>
        </w:rPr>
        <w:t>的要求的依从性。</w:t>
      </w:r>
    </w:p>
    <w:p>
      <w:pPr>
        <w:pStyle w:val="BodyText"/>
        <w:spacing w:before="143"/>
        <w:ind w:left="0"/>
      </w:pPr>
    </w:p>
    <w:p>
      <w:pPr>
        <w:pStyle w:val="Heading3"/>
        <w:jc w:val="both"/>
      </w:pPr>
      <w:r>
        <w:rPr>
          <w:rFonts w:ascii="Times New Roman" w:eastAsia="Times New Roman"/>
          <w:spacing w:val="-2"/>
        </w:rPr>
        <w:t>SAE</w:t>
      </w:r>
      <w:r>
        <w:rPr>
          <w:rFonts w:ascii="Times New Roman" w:eastAsia="Times New Roman"/>
          <w:spacing w:val="-8"/>
        </w:rPr>
        <w:t> </w:t>
      </w:r>
      <w:r>
        <w:rPr>
          <w:spacing w:val="-4"/>
        </w:rPr>
        <w:t>药政监管报告要求</w:t>
      </w:r>
    </w:p>
    <w:p>
      <w:pPr>
        <w:pStyle w:val="ListParagraph"/>
        <w:numPr>
          <w:ilvl w:val="0"/>
          <w:numId w:val="53"/>
        </w:numPr>
        <w:tabs>
          <w:tab w:pos="646" w:val="left" w:leader="none"/>
        </w:tabs>
        <w:spacing w:line="240" w:lineRule="auto" w:before="117" w:after="0"/>
        <w:ind w:left="646" w:right="357" w:hanging="425"/>
        <w:jc w:val="both"/>
        <w:rPr>
          <w:sz w:val="24"/>
        </w:rPr>
      </w:pPr>
      <w:r>
        <w:rPr>
          <w:spacing w:val="-9"/>
          <w:sz w:val="24"/>
        </w:rPr>
        <w:t>发生 </w:t>
      </w:r>
      <w:r>
        <w:rPr>
          <w:rFonts w:ascii="Times New Roman" w:hAnsi="Times New Roman" w:eastAsia="Times New Roman"/>
          <w:sz w:val="24"/>
        </w:rPr>
        <w:t>SAE</w:t>
      </w:r>
      <w:r>
        <w:rPr>
          <w:rFonts w:ascii="Times New Roman" w:hAnsi="Times New Roman" w:eastAsia="Times New Roman"/>
          <w:spacing w:val="17"/>
          <w:sz w:val="24"/>
        </w:rPr>
        <w:t> </w:t>
      </w:r>
      <w:r>
        <w:rPr>
          <w:sz w:val="24"/>
        </w:rPr>
        <w:t>后，研究者必须立即通知申办者，以承担保障临床研究受试者安全性</w:t>
      </w:r>
      <w:r>
        <w:rPr>
          <w:spacing w:val="-2"/>
          <w:sz w:val="24"/>
        </w:rPr>
        <w:t>和研究干预安全性的法定义务和伦理责任。</w:t>
      </w:r>
    </w:p>
    <w:p>
      <w:pPr>
        <w:pStyle w:val="ListParagraph"/>
        <w:numPr>
          <w:ilvl w:val="0"/>
          <w:numId w:val="53"/>
        </w:numPr>
        <w:tabs>
          <w:tab w:pos="646" w:val="left" w:leader="none"/>
        </w:tabs>
        <w:spacing w:line="240" w:lineRule="auto" w:before="59" w:after="0"/>
        <w:ind w:left="646" w:right="357" w:hanging="425"/>
        <w:jc w:val="both"/>
        <w:rPr>
          <w:sz w:val="24"/>
        </w:rPr>
      </w:pPr>
      <w:r>
        <w:rPr>
          <w:spacing w:val="3"/>
          <w:sz w:val="24"/>
        </w:rPr>
        <w:t>申办者有法律责任向当地药政监管部门和其他药政审批机构通报临床干预研究的研究干预安全性。申办者将遵守与向药政监管部门、</w:t>
      </w:r>
      <w:r>
        <w:rPr>
          <w:rFonts w:ascii="Times New Roman" w:hAnsi="Times New Roman" w:eastAsia="Times New Roman"/>
          <w:spacing w:val="3"/>
          <w:sz w:val="24"/>
        </w:rPr>
        <w:t>IRB/IEC</w:t>
      </w:r>
      <w:r>
        <w:rPr>
          <w:rFonts w:ascii="Times New Roman" w:hAnsi="Times New Roman" w:eastAsia="Times New Roman"/>
          <w:spacing w:val="-13"/>
          <w:sz w:val="24"/>
        </w:rPr>
        <w:t> </w:t>
      </w:r>
      <w:r>
        <w:rPr>
          <w:spacing w:val="-3"/>
          <w:sz w:val="24"/>
        </w:rPr>
        <w:t>和研究者报告安</w:t>
      </w:r>
      <w:r>
        <w:rPr>
          <w:sz w:val="24"/>
        </w:rPr>
        <w:t>全相关的特定国家监管要求。</w:t>
      </w:r>
    </w:p>
    <w:p>
      <w:pPr>
        <w:pStyle w:val="ListParagraph"/>
        <w:numPr>
          <w:ilvl w:val="0"/>
          <w:numId w:val="53"/>
        </w:numPr>
        <w:tabs>
          <w:tab w:pos="646" w:val="left" w:leader="none"/>
        </w:tabs>
        <w:spacing w:line="240" w:lineRule="auto" w:before="58" w:after="0"/>
        <w:ind w:left="646" w:right="359" w:hanging="425"/>
        <w:jc w:val="both"/>
        <w:rPr>
          <w:sz w:val="24"/>
        </w:rPr>
      </w:pPr>
      <w:r>
        <w:rPr>
          <w:sz w:val="24"/>
        </w:rPr>
        <w:t>在欧盟，申办者将遵守欧盟临床试验法规（</w:t>
      </w:r>
      <w:r>
        <w:rPr>
          <w:rFonts w:ascii="Times New Roman" w:hAnsi="Times New Roman" w:eastAsia="Times New Roman"/>
          <w:sz w:val="24"/>
        </w:rPr>
        <w:t>EU</w:t>
      </w:r>
      <w:r>
        <w:rPr>
          <w:sz w:val="24"/>
        </w:rPr>
        <w:t>）</w:t>
      </w:r>
      <w:r>
        <w:rPr>
          <w:rFonts w:ascii="Times New Roman" w:hAnsi="Times New Roman" w:eastAsia="Times New Roman"/>
          <w:sz w:val="24"/>
        </w:rPr>
        <w:t>536/2014 </w:t>
      </w:r>
      <w:r>
        <w:rPr>
          <w:sz w:val="24"/>
        </w:rPr>
        <w:t>所述的安全性报告要</w:t>
      </w:r>
      <w:r>
        <w:rPr>
          <w:spacing w:val="-2"/>
          <w:sz w:val="24"/>
        </w:rPr>
        <w:t>求和程序。针对试验用药品的所有可疑且非预期严重不良反应（</w:t>
      </w:r>
      <w:r>
        <w:rPr>
          <w:rFonts w:ascii="Times New Roman" w:hAnsi="Times New Roman" w:eastAsia="Times New Roman"/>
          <w:spacing w:val="-2"/>
          <w:sz w:val="24"/>
        </w:rPr>
        <w:t>SUSAR</w:t>
      </w:r>
      <w:r>
        <w:rPr>
          <w:spacing w:val="-2"/>
          <w:sz w:val="24"/>
        </w:rPr>
        <w:t>）将在规定的监管时限内报告至 </w:t>
      </w:r>
      <w:r>
        <w:rPr>
          <w:rFonts w:ascii="Times New Roman" w:hAnsi="Times New Roman" w:eastAsia="Times New Roman"/>
          <w:sz w:val="24"/>
        </w:rPr>
        <w:t>EudraVigilance </w:t>
      </w:r>
      <w:r>
        <w:rPr>
          <w:sz w:val="24"/>
        </w:rPr>
        <w:t>数据库。</w:t>
      </w:r>
    </w:p>
    <w:p>
      <w:pPr>
        <w:pStyle w:val="ListParagraph"/>
        <w:numPr>
          <w:ilvl w:val="0"/>
          <w:numId w:val="53"/>
        </w:numPr>
        <w:tabs>
          <w:tab w:pos="646" w:val="left" w:leader="none"/>
        </w:tabs>
        <w:spacing w:line="240" w:lineRule="auto" w:before="57" w:after="0"/>
        <w:ind w:left="646" w:right="363" w:hanging="425"/>
        <w:jc w:val="both"/>
        <w:rPr>
          <w:sz w:val="24"/>
        </w:rPr>
      </w:pPr>
      <w:r>
        <w:rPr>
          <w:spacing w:val="4"/>
          <w:sz w:val="24"/>
        </w:rPr>
        <w:t>对于所有研究</w:t>
      </w:r>
      <w:r>
        <w:rPr>
          <w:spacing w:val="5"/>
          <w:sz w:val="24"/>
        </w:rPr>
        <w:t>（</w:t>
      </w:r>
      <w:r>
        <w:rPr>
          <w:spacing w:val="4"/>
          <w:sz w:val="24"/>
        </w:rPr>
        <w:t>使用医疗器械的研究除外</w:t>
      </w:r>
      <w:r>
        <w:rPr>
          <w:spacing w:val="5"/>
          <w:sz w:val="24"/>
        </w:rPr>
        <w:t>）</w:t>
      </w:r>
      <w:r>
        <w:rPr>
          <w:spacing w:val="3"/>
          <w:sz w:val="24"/>
        </w:rPr>
        <w:t>，必须根据当地药政监管要求和申</w:t>
      </w:r>
      <w:r>
        <w:rPr>
          <w:spacing w:val="-5"/>
          <w:sz w:val="24"/>
        </w:rPr>
        <w:t>办者政策，撰写 </w:t>
      </w:r>
      <w:r>
        <w:rPr>
          <w:rFonts w:ascii="Times New Roman" w:hAnsi="Times New Roman" w:eastAsia="Times New Roman"/>
          <w:spacing w:val="-1"/>
          <w:sz w:val="24"/>
        </w:rPr>
        <w:t>SU</w:t>
      </w:r>
      <w:r>
        <w:rPr>
          <w:rFonts w:ascii="Times New Roman" w:hAnsi="Times New Roman" w:eastAsia="Times New Roman"/>
          <w:sz w:val="24"/>
        </w:rPr>
        <w:t>SAR</w:t>
      </w:r>
      <w:r>
        <w:rPr>
          <w:rFonts w:ascii="Times New Roman" w:hAnsi="Times New Roman" w:eastAsia="Times New Roman"/>
          <w:spacing w:val="-13"/>
          <w:sz w:val="24"/>
        </w:rPr>
        <w:t> </w:t>
      </w:r>
      <w:r>
        <w:rPr>
          <w:sz w:val="24"/>
        </w:rPr>
        <w:t>的研究者安全性报告，并在必要时转发给研究者。</w:t>
      </w:r>
    </w:p>
    <w:p>
      <w:pPr>
        <w:pStyle w:val="ListParagraph"/>
        <w:numPr>
          <w:ilvl w:val="0"/>
          <w:numId w:val="53"/>
        </w:numPr>
        <w:tabs>
          <w:tab w:pos="646" w:val="left" w:leader="none"/>
        </w:tabs>
        <w:spacing w:line="240" w:lineRule="auto" w:before="59" w:after="0"/>
        <w:ind w:left="646" w:right="363" w:hanging="425"/>
        <w:jc w:val="both"/>
        <w:rPr>
          <w:sz w:val="24"/>
        </w:rPr>
      </w:pPr>
      <w:r>
        <w:rPr>
          <w:sz w:val="24"/>
        </w:rPr>
        <w:t>遵守针对临床器械研究的欧洲医疗器械法规 </w:t>
      </w:r>
      <w:r>
        <w:rPr>
          <w:rFonts w:ascii="Times New Roman" w:hAnsi="Times New Roman" w:eastAsia="Times New Roman"/>
          <w:sz w:val="24"/>
        </w:rPr>
        <w:t>2017/745</w:t>
      </w:r>
      <w:r>
        <w:rPr>
          <w:sz w:val="24"/>
        </w:rPr>
        <w:t>（如适用）以及所有其他</w:t>
      </w:r>
      <w:r>
        <w:rPr>
          <w:spacing w:val="-2"/>
          <w:sz w:val="24"/>
        </w:rPr>
        <w:t>适用的当地法规要求。</w:t>
      </w:r>
    </w:p>
    <w:p>
      <w:pPr>
        <w:pStyle w:val="ListParagraph"/>
        <w:numPr>
          <w:ilvl w:val="0"/>
          <w:numId w:val="53"/>
        </w:numPr>
        <w:tabs>
          <w:tab w:pos="646" w:val="left" w:leader="none"/>
        </w:tabs>
        <w:spacing w:line="240" w:lineRule="auto" w:before="59" w:after="0"/>
        <w:ind w:left="646" w:right="357" w:hanging="425"/>
        <w:jc w:val="both"/>
        <w:rPr>
          <w:sz w:val="24"/>
        </w:rPr>
      </w:pPr>
      <w:r>
        <w:rPr>
          <w:spacing w:val="-3"/>
          <w:sz w:val="24"/>
        </w:rPr>
        <w:t>研究者从申办者处收到通报 </w:t>
      </w:r>
      <w:r>
        <w:rPr>
          <w:rFonts w:ascii="Times New Roman" w:hAnsi="Times New Roman" w:eastAsia="Times New Roman"/>
          <w:sz w:val="24"/>
        </w:rPr>
        <w:t>SAE</w:t>
      </w:r>
      <w:r>
        <w:rPr>
          <w:rFonts w:ascii="Times New Roman" w:hAnsi="Times New Roman" w:eastAsia="Times New Roman"/>
          <w:spacing w:val="-12"/>
          <w:sz w:val="24"/>
        </w:rPr>
        <w:t> </w:t>
      </w:r>
      <w:r>
        <w:rPr>
          <w:sz w:val="24"/>
        </w:rPr>
        <w:t>或其他特定安全性信息（如，</w:t>
      </w:r>
      <w:r>
        <w:rPr>
          <w:rFonts w:ascii="Times New Roman" w:hAnsi="Times New Roman" w:eastAsia="Times New Roman"/>
          <w:sz w:val="24"/>
        </w:rPr>
        <w:t>SAE </w:t>
      </w:r>
      <w:r>
        <w:rPr>
          <w:sz w:val="24"/>
        </w:rPr>
        <w:t>的总结或列表）</w:t>
      </w:r>
      <w:r>
        <w:rPr>
          <w:spacing w:val="-2"/>
          <w:sz w:val="24"/>
        </w:rPr>
        <w:t>的研究者安全性报告后，将对其进行审查，随后与 </w:t>
      </w:r>
      <w:r>
        <w:rPr>
          <w:rFonts w:ascii="Times New Roman" w:hAnsi="Times New Roman" w:eastAsia="Times New Roman"/>
          <w:sz w:val="24"/>
        </w:rPr>
        <w:t>IB</w:t>
      </w:r>
      <w:r>
        <w:rPr>
          <w:rFonts w:ascii="Times New Roman" w:hAnsi="Times New Roman" w:eastAsia="Times New Roman"/>
          <w:spacing w:val="-4"/>
          <w:sz w:val="24"/>
        </w:rPr>
        <w:t> </w:t>
      </w:r>
      <w:r>
        <w:rPr>
          <w:sz w:val="24"/>
        </w:rPr>
        <w:t>一起存档，并且根据</w:t>
      </w:r>
      <w:r>
        <w:rPr>
          <w:spacing w:val="-4"/>
          <w:sz w:val="24"/>
        </w:rPr>
        <w:t>当地要求，如适用，通知 </w:t>
      </w:r>
      <w:r>
        <w:rPr>
          <w:rFonts w:ascii="Times New Roman" w:hAnsi="Times New Roman" w:eastAsia="Times New Roman"/>
          <w:sz w:val="24"/>
        </w:rPr>
        <w:t>IRB/IEC</w:t>
      </w:r>
      <w:r>
        <w:rPr>
          <w:sz w:val="24"/>
        </w:rPr>
        <w:t>。</w:t>
      </w:r>
    </w:p>
    <w:p>
      <w:pPr>
        <w:spacing w:after="0" w:line="240" w:lineRule="auto"/>
        <w:jc w:val="both"/>
        <w:rPr>
          <w:sz w:val="24"/>
        </w:rPr>
        <w:sectPr>
          <w:pgSz w:w="11910" w:h="16840"/>
          <w:pgMar w:header="590" w:footer="784" w:top="1340" w:bottom="980" w:left="1480" w:right="1080"/>
        </w:sectPr>
      </w:pPr>
    </w:p>
    <w:p>
      <w:pPr>
        <w:pStyle w:val="Heading3"/>
        <w:spacing w:before="88"/>
      </w:pPr>
      <w:r>
        <w:rPr>
          <w:spacing w:val="-4"/>
        </w:rPr>
        <w:t>严重违背行为（包括个人数据违背行为）</w:t>
      </w:r>
      <w:r>
        <w:rPr>
          <w:spacing w:val="-5"/>
        </w:rPr>
        <w:t>的监管报告要求</w:t>
      </w:r>
    </w:p>
    <w:p>
      <w:pPr>
        <w:pStyle w:val="ListParagraph"/>
        <w:numPr>
          <w:ilvl w:val="0"/>
          <w:numId w:val="53"/>
        </w:numPr>
        <w:tabs>
          <w:tab w:pos="646" w:val="left" w:leader="none"/>
        </w:tabs>
        <w:spacing w:line="240" w:lineRule="auto" w:before="117" w:after="0"/>
        <w:ind w:left="646" w:right="357" w:hanging="425"/>
        <w:jc w:val="both"/>
        <w:rPr>
          <w:sz w:val="24"/>
        </w:rPr>
      </w:pPr>
      <w:r>
        <w:rPr>
          <w:spacing w:val="4"/>
          <w:sz w:val="24"/>
        </w:rPr>
        <w:t>发生任何（</w:t>
      </w:r>
      <w:r>
        <w:rPr>
          <w:spacing w:val="5"/>
          <w:sz w:val="24"/>
        </w:rPr>
        <w:t>潜在</w:t>
      </w:r>
      <w:r>
        <w:rPr>
          <w:spacing w:val="4"/>
          <w:sz w:val="24"/>
        </w:rPr>
        <w:t>）严重违背方案或法规的行为后</w:t>
      </w:r>
      <w:r>
        <w:rPr>
          <w:spacing w:val="5"/>
          <w:sz w:val="24"/>
        </w:rPr>
        <w:t>（</w:t>
      </w:r>
      <w:r>
        <w:rPr>
          <w:spacing w:val="3"/>
          <w:sz w:val="24"/>
        </w:rPr>
        <w:t>包括数据违规行为会损害受</w:t>
      </w:r>
      <w:r>
        <w:rPr>
          <w:spacing w:val="4"/>
          <w:sz w:val="24"/>
        </w:rPr>
        <w:t>试者个人数据的完整性、机密性或可用性</w:t>
      </w:r>
      <w:r>
        <w:rPr>
          <w:spacing w:val="10"/>
          <w:sz w:val="24"/>
        </w:rPr>
        <w:t>）</w:t>
      </w:r>
      <w:r>
        <w:rPr>
          <w:spacing w:val="3"/>
          <w:sz w:val="24"/>
        </w:rPr>
        <w:t>，研究者必须及时向申办者报告，以便履行法律和伦理义务。</w:t>
      </w:r>
    </w:p>
    <w:p>
      <w:pPr>
        <w:pStyle w:val="ListParagraph"/>
        <w:numPr>
          <w:ilvl w:val="1"/>
          <w:numId w:val="53"/>
        </w:numPr>
        <w:tabs>
          <w:tab w:pos="1069" w:val="left" w:leader="none"/>
          <w:tab w:pos="1071" w:val="left" w:leader="none"/>
        </w:tabs>
        <w:spacing w:line="276" w:lineRule="auto" w:before="61" w:after="0"/>
        <w:ind w:left="1071" w:right="363" w:hanging="426"/>
        <w:jc w:val="both"/>
        <w:rPr>
          <w:sz w:val="24"/>
        </w:rPr>
      </w:pPr>
      <w:r>
        <w:rPr>
          <w:spacing w:val="5"/>
          <w:sz w:val="24"/>
        </w:rPr>
        <w:t>“严重违背”是指可能在很大程度上影响受试者的安全性和权利或者临床研究中所生成数据的可靠性和稳健性的违背行为。</w:t>
      </w:r>
    </w:p>
    <w:p>
      <w:pPr>
        <w:pStyle w:val="ListParagraph"/>
        <w:numPr>
          <w:ilvl w:val="0"/>
          <w:numId w:val="53"/>
        </w:numPr>
        <w:tabs>
          <w:tab w:pos="646" w:val="left" w:leader="none"/>
        </w:tabs>
        <w:spacing w:line="240" w:lineRule="auto" w:before="56" w:after="0"/>
        <w:ind w:left="646" w:right="363" w:hanging="425"/>
        <w:jc w:val="both"/>
        <w:rPr>
          <w:sz w:val="24"/>
        </w:rPr>
      </w:pPr>
      <w:r>
        <w:rPr>
          <w:spacing w:val="4"/>
          <w:sz w:val="24"/>
        </w:rPr>
        <w:t>如果在研究过程中发生任何（潜在</w:t>
      </w:r>
      <w:r>
        <w:rPr>
          <w:spacing w:val="5"/>
          <w:sz w:val="24"/>
        </w:rPr>
        <w:t>）</w:t>
      </w:r>
      <w:r>
        <w:rPr>
          <w:spacing w:val="3"/>
          <w:sz w:val="24"/>
        </w:rPr>
        <w:t>严重违背行为，研究者或研究中心其他人员将在其知晓后立即通知申办者指定代表。</w:t>
      </w:r>
    </w:p>
    <w:p>
      <w:pPr>
        <w:pStyle w:val="ListParagraph"/>
        <w:numPr>
          <w:ilvl w:val="0"/>
          <w:numId w:val="53"/>
        </w:numPr>
        <w:tabs>
          <w:tab w:pos="646" w:val="left" w:leader="none"/>
        </w:tabs>
        <w:spacing w:line="240" w:lineRule="auto" w:before="59" w:after="0"/>
        <w:ind w:left="646" w:right="364" w:hanging="425"/>
        <w:jc w:val="both"/>
        <w:rPr>
          <w:sz w:val="24"/>
        </w:rPr>
      </w:pPr>
      <w:r>
        <w:rPr>
          <w:spacing w:val="-2"/>
          <w:sz w:val="24"/>
        </w:rPr>
        <w:t>在某些国家</w:t>
      </w:r>
      <w:r>
        <w:rPr>
          <w:rFonts w:ascii="Times New Roman" w:hAnsi="Times New Roman" w:eastAsia="Times New Roman"/>
          <w:spacing w:val="-2"/>
          <w:sz w:val="24"/>
        </w:rPr>
        <w:t>/</w:t>
      </w:r>
      <w:r>
        <w:rPr>
          <w:spacing w:val="-2"/>
          <w:sz w:val="24"/>
        </w:rPr>
        <w:t>地区，申办者有法律责任向当地药政监管部门和其他药政审批机构通报此类违背行为。</w:t>
      </w:r>
    </w:p>
    <w:p>
      <w:pPr>
        <w:pStyle w:val="ListParagraph"/>
        <w:numPr>
          <w:ilvl w:val="0"/>
          <w:numId w:val="53"/>
        </w:numPr>
        <w:tabs>
          <w:tab w:pos="646" w:val="left" w:leader="none"/>
        </w:tabs>
        <w:spacing w:line="240" w:lineRule="auto" w:before="59" w:after="0"/>
        <w:ind w:left="646" w:right="357" w:hanging="425"/>
        <w:jc w:val="both"/>
        <w:rPr>
          <w:sz w:val="24"/>
        </w:rPr>
      </w:pPr>
      <w:r>
        <w:rPr>
          <w:spacing w:val="4"/>
          <w:sz w:val="24"/>
        </w:rPr>
        <w:t>申办者将遵守与向监管机构（</w:t>
      </w:r>
      <w:r>
        <w:rPr>
          <w:spacing w:val="3"/>
          <w:sz w:val="24"/>
        </w:rPr>
        <w:t>包括数据保护机构，以及如适用，在发生个人数据违规行为的情况下，受影响的受试者）、</w:t>
      </w:r>
      <w:r>
        <w:rPr>
          <w:rFonts w:ascii="Times New Roman" w:hAnsi="Times New Roman" w:eastAsia="Times New Roman"/>
          <w:spacing w:val="3"/>
          <w:sz w:val="24"/>
        </w:rPr>
        <w:t>IRB/IEC</w:t>
      </w:r>
      <w:r>
        <w:rPr>
          <w:rFonts w:ascii="Times New Roman" w:hAnsi="Times New Roman" w:eastAsia="Times New Roman"/>
          <w:spacing w:val="-12"/>
          <w:sz w:val="24"/>
        </w:rPr>
        <w:t> </w:t>
      </w:r>
      <w:r>
        <w:rPr>
          <w:spacing w:val="-2"/>
          <w:sz w:val="24"/>
        </w:rPr>
        <w:t>和研究者报告严重违背行为</w:t>
      </w:r>
      <w:r>
        <w:rPr>
          <w:spacing w:val="-3"/>
          <w:sz w:val="24"/>
        </w:rPr>
        <w:t>的特定国家监管要求。如果欧盟 </w:t>
      </w:r>
      <w:r>
        <w:rPr>
          <w:rFonts w:ascii="Times New Roman" w:hAnsi="Times New Roman" w:eastAsia="Times New Roman"/>
          <w:sz w:val="24"/>
        </w:rPr>
        <w:t>CTR</w:t>
      </w:r>
      <w:r>
        <w:rPr>
          <w:rFonts w:ascii="Times New Roman" w:hAnsi="Times New Roman" w:eastAsia="Times New Roman"/>
          <w:spacing w:val="28"/>
          <w:sz w:val="24"/>
        </w:rPr>
        <w:t> </w:t>
      </w:r>
      <w:r>
        <w:rPr>
          <w:rFonts w:ascii="Times New Roman" w:hAnsi="Times New Roman" w:eastAsia="Times New Roman"/>
          <w:sz w:val="24"/>
        </w:rPr>
        <w:t>536/2014</w:t>
      </w:r>
      <w:r>
        <w:rPr>
          <w:rFonts w:ascii="Times New Roman" w:hAnsi="Times New Roman" w:eastAsia="Times New Roman"/>
          <w:spacing w:val="10"/>
          <w:sz w:val="24"/>
        </w:rPr>
        <w:t> </w:t>
      </w:r>
      <w:r>
        <w:rPr>
          <w:spacing w:val="-2"/>
          <w:sz w:val="24"/>
        </w:rPr>
        <w:t>适用，则要求申办者在欧洲药品</w:t>
      </w:r>
      <w:r>
        <w:rPr>
          <w:spacing w:val="-11"/>
          <w:sz w:val="24"/>
        </w:rPr>
        <w:t>管理局 </w:t>
      </w:r>
      <w:r>
        <w:rPr>
          <w:rFonts w:ascii="Times New Roman" w:hAnsi="Times New Roman" w:eastAsia="Times New Roman"/>
          <w:spacing w:val="-1"/>
          <w:sz w:val="24"/>
        </w:rPr>
        <w:t>CTI</w:t>
      </w:r>
      <w:r>
        <w:rPr>
          <w:rFonts w:ascii="Times New Roman" w:hAnsi="Times New Roman" w:eastAsia="Times New Roman"/>
          <w:sz w:val="24"/>
        </w:rPr>
        <w:t>S</w:t>
      </w:r>
      <w:r>
        <w:rPr>
          <w:rFonts w:ascii="Times New Roman" w:hAnsi="Times New Roman" w:eastAsia="Times New Roman"/>
          <w:spacing w:val="2"/>
          <w:sz w:val="24"/>
        </w:rPr>
        <w:t> </w:t>
      </w:r>
      <w:r>
        <w:rPr>
          <w:spacing w:val="-1"/>
          <w:sz w:val="24"/>
        </w:rPr>
        <w:t>中输入严重违背行为的详细信息。重要的是要注意，严重违背行为</w:t>
      </w:r>
      <w:r>
        <w:rPr>
          <w:spacing w:val="-5"/>
          <w:sz w:val="24"/>
        </w:rPr>
        <w:t>报告的经编辑版本将通过 </w:t>
      </w:r>
      <w:r>
        <w:rPr>
          <w:rFonts w:ascii="Times New Roman" w:hAnsi="Times New Roman" w:eastAsia="Times New Roman"/>
          <w:spacing w:val="-1"/>
          <w:sz w:val="24"/>
        </w:rPr>
        <w:t>CTI</w:t>
      </w:r>
      <w:r>
        <w:rPr>
          <w:rFonts w:ascii="Times New Roman" w:hAnsi="Times New Roman" w:eastAsia="Times New Roman"/>
          <w:sz w:val="24"/>
        </w:rPr>
        <w:t>S</w:t>
      </w:r>
      <w:r>
        <w:rPr>
          <w:rFonts w:ascii="Times New Roman" w:hAnsi="Times New Roman" w:eastAsia="Times New Roman"/>
          <w:spacing w:val="-13"/>
          <w:sz w:val="24"/>
        </w:rPr>
        <w:t> </w:t>
      </w:r>
      <w:r>
        <w:rPr>
          <w:sz w:val="24"/>
        </w:rPr>
        <w:t>提供给公众。</w:t>
      </w:r>
    </w:p>
    <w:p>
      <w:pPr>
        <w:pStyle w:val="ListParagraph"/>
        <w:numPr>
          <w:ilvl w:val="0"/>
          <w:numId w:val="53"/>
        </w:numPr>
        <w:tabs>
          <w:tab w:pos="645" w:val="left" w:leader="none"/>
        </w:tabs>
        <w:spacing w:line="240" w:lineRule="auto" w:before="56" w:after="0"/>
        <w:ind w:left="645" w:right="0" w:hanging="424"/>
        <w:jc w:val="both"/>
        <w:rPr>
          <w:sz w:val="24"/>
        </w:rPr>
      </w:pPr>
      <w:r>
        <w:rPr>
          <w:spacing w:val="-1"/>
          <w:sz w:val="24"/>
        </w:rPr>
        <w:t>研究者应制定相关流程，以确保：</w:t>
      </w:r>
    </w:p>
    <w:p>
      <w:pPr>
        <w:pStyle w:val="ListParagraph"/>
        <w:numPr>
          <w:ilvl w:val="1"/>
          <w:numId w:val="53"/>
        </w:numPr>
        <w:tabs>
          <w:tab w:pos="1071" w:val="left" w:leader="none"/>
        </w:tabs>
        <w:spacing w:line="276" w:lineRule="auto" w:before="60" w:after="0"/>
        <w:ind w:left="1071" w:right="112" w:hanging="426"/>
        <w:jc w:val="left"/>
        <w:rPr>
          <w:sz w:val="24"/>
        </w:rPr>
      </w:pPr>
      <w:r>
        <w:rPr>
          <w:spacing w:val="4"/>
          <w:sz w:val="24"/>
        </w:rPr>
        <w:t>研究中心工作人员或研究者</w:t>
      </w:r>
      <w:r>
        <w:rPr>
          <w:rFonts w:ascii="Times New Roman" w:hAnsi="Times New Roman" w:eastAsia="Times New Roman"/>
          <w:spacing w:val="5"/>
          <w:sz w:val="24"/>
        </w:rPr>
        <w:t>/</w:t>
      </w:r>
      <w:r>
        <w:rPr>
          <w:spacing w:val="4"/>
          <w:sz w:val="24"/>
        </w:rPr>
        <w:t>机构委托的服务供应商能够识别发生的</w:t>
      </w:r>
      <w:r>
        <w:rPr>
          <w:spacing w:val="6"/>
          <w:sz w:val="24"/>
        </w:rPr>
        <w:t>（潜在）</w:t>
      </w:r>
      <w:r>
        <w:rPr>
          <w:sz w:val="24"/>
        </w:rPr>
        <w:t>严重违背行为（包括个人数据违规行为）。</w:t>
      </w:r>
    </w:p>
    <w:p>
      <w:pPr>
        <w:pStyle w:val="ListParagraph"/>
        <w:numPr>
          <w:ilvl w:val="1"/>
          <w:numId w:val="53"/>
        </w:numPr>
        <w:tabs>
          <w:tab w:pos="1071" w:val="left" w:leader="none"/>
        </w:tabs>
        <w:spacing w:line="276" w:lineRule="auto" w:before="58" w:after="0"/>
        <w:ind w:left="1071" w:right="367" w:hanging="426"/>
        <w:jc w:val="left"/>
        <w:rPr>
          <w:sz w:val="24"/>
        </w:rPr>
      </w:pPr>
      <w:r>
        <w:rPr>
          <w:spacing w:val="6"/>
          <w:sz w:val="24"/>
        </w:rPr>
        <w:t>立即通过申办者提供的联系方式（电子邮件地址或电话号码）</w:t>
      </w:r>
      <w:r>
        <w:rPr>
          <w:spacing w:val="5"/>
          <w:sz w:val="24"/>
        </w:rPr>
        <w:t>向申办者或指定方报告（潜在）严重违背行为。</w:t>
      </w:r>
    </w:p>
    <w:p>
      <w:pPr>
        <w:pStyle w:val="ListParagraph"/>
        <w:numPr>
          <w:ilvl w:val="0"/>
          <w:numId w:val="53"/>
        </w:numPr>
        <w:tabs>
          <w:tab w:pos="646" w:val="left" w:leader="none"/>
        </w:tabs>
        <w:spacing w:line="240" w:lineRule="auto" w:before="58" w:after="0"/>
        <w:ind w:left="646" w:right="357" w:hanging="425"/>
        <w:jc w:val="both"/>
        <w:rPr>
          <w:sz w:val="24"/>
        </w:rPr>
      </w:pPr>
      <w:r>
        <w:rPr>
          <w:spacing w:val="3"/>
          <w:sz w:val="24"/>
        </w:rPr>
        <w:t>申办者和研究中心已采取所有必要措施避免个人数据违规行为，并已采取措施</w:t>
      </w:r>
      <w:r>
        <w:rPr>
          <w:spacing w:val="4"/>
          <w:sz w:val="24"/>
        </w:rPr>
        <w:t>从一开始就防止此类违规行为的发生，并减轻已发生数据违规行为的影响</w:t>
      </w:r>
      <w:r>
        <w:rPr>
          <w:spacing w:val="5"/>
          <w:sz w:val="24"/>
        </w:rPr>
        <w:t>（</w:t>
      </w:r>
      <w:r>
        <w:rPr>
          <w:sz w:val="24"/>
        </w:rPr>
        <w:t>例</w:t>
      </w:r>
      <w:r>
        <w:rPr>
          <w:spacing w:val="-1"/>
          <w:sz w:val="24"/>
        </w:rPr>
        <w:t>如，应用加密、维护和保持系统和 </w:t>
      </w:r>
      <w:r>
        <w:rPr>
          <w:rFonts w:ascii="Times New Roman" w:hAnsi="Times New Roman" w:eastAsia="Times New Roman"/>
          <w:sz w:val="24"/>
        </w:rPr>
        <w:t>IT</w:t>
      </w:r>
      <w:r>
        <w:rPr>
          <w:rFonts w:ascii="Times New Roman" w:hAnsi="Times New Roman" w:eastAsia="Times New Roman"/>
          <w:spacing w:val="26"/>
          <w:sz w:val="24"/>
        </w:rPr>
        <w:t> </w:t>
      </w:r>
      <w:r>
        <w:rPr>
          <w:spacing w:val="-1"/>
          <w:sz w:val="24"/>
        </w:rPr>
        <w:t>安全措施更新、定期审查和测试、定期员</w:t>
      </w:r>
      <w:r>
        <w:rPr>
          <w:sz w:val="24"/>
        </w:rPr>
        <w:t>工培训以及制定安全政策和标准）。</w:t>
      </w:r>
    </w:p>
    <w:p>
      <w:pPr>
        <w:pStyle w:val="ListParagraph"/>
        <w:numPr>
          <w:ilvl w:val="0"/>
          <w:numId w:val="53"/>
        </w:numPr>
        <w:tabs>
          <w:tab w:pos="646" w:val="left" w:leader="none"/>
        </w:tabs>
        <w:spacing w:line="240" w:lineRule="auto" w:before="56" w:after="0"/>
        <w:ind w:left="646" w:right="363" w:hanging="425"/>
        <w:jc w:val="both"/>
        <w:rPr>
          <w:sz w:val="24"/>
        </w:rPr>
      </w:pPr>
      <w:r>
        <w:rPr>
          <w:spacing w:val="3"/>
          <w:sz w:val="24"/>
        </w:rPr>
        <w:t>申办者和研究中心均制定了内部数据违规行为报告和调查流程以及内部方案，并就如何快速、细致地应对发生的个人数据违规行为提供了指导。</w:t>
      </w:r>
    </w:p>
    <w:p>
      <w:pPr>
        <w:pStyle w:val="ListParagraph"/>
        <w:numPr>
          <w:ilvl w:val="0"/>
          <w:numId w:val="53"/>
        </w:numPr>
        <w:tabs>
          <w:tab w:pos="646" w:val="left" w:leader="none"/>
        </w:tabs>
        <w:spacing w:line="240" w:lineRule="auto" w:before="59" w:after="0"/>
        <w:ind w:left="646" w:right="363" w:hanging="425"/>
        <w:jc w:val="both"/>
        <w:rPr>
          <w:sz w:val="24"/>
        </w:rPr>
      </w:pPr>
      <w:r>
        <w:rPr>
          <w:spacing w:val="4"/>
          <w:sz w:val="24"/>
        </w:rPr>
        <w:t>根据适用法律，发生个人数据违规的处理活动的数据控制人</w:t>
      </w:r>
      <w:r>
        <w:rPr>
          <w:spacing w:val="5"/>
          <w:sz w:val="24"/>
        </w:rPr>
        <w:t>（</w:t>
      </w:r>
      <w:r>
        <w:rPr>
          <w:spacing w:val="3"/>
          <w:sz w:val="24"/>
        </w:rPr>
        <w:t>申办者或研究中</w:t>
      </w:r>
      <w:r>
        <w:rPr>
          <w:spacing w:val="5"/>
          <w:sz w:val="24"/>
        </w:rPr>
        <w:t>心）</w:t>
      </w:r>
      <w:r>
        <w:rPr>
          <w:spacing w:val="3"/>
          <w:sz w:val="24"/>
        </w:rPr>
        <w:t>将在上述通知规定的法律条款范围内，并在规定的表格和内容范围内，通知数据保护机构，不得无故拖延。</w:t>
      </w:r>
    </w:p>
    <w:p>
      <w:pPr>
        <w:pStyle w:val="ListParagraph"/>
        <w:numPr>
          <w:ilvl w:val="0"/>
          <w:numId w:val="53"/>
        </w:numPr>
        <w:tabs>
          <w:tab w:pos="646" w:val="left" w:leader="none"/>
        </w:tabs>
        <w:spacing w:line="240" w:lineRule="auto" w:before="57" w:after="0"/>
        <w:ind w:left="646" w:right="127" w:hanging="425"/>
        <w:jc w:val="both"/>
        <w:rPr>
          <w:sz w:val="24"/>
        </w:rPr>
      </w:pPr>
      <w:r>
        <w:rPr>
          <w:spacing w:val="-2"/>
          <w:sz w:val="24"/>
        </w:rPr>
        <w:t>如果需要通知受试者有关个人数据违规行为，则由研究中心向受试者发出通知，</w:t>
      </w:r>
      <w:r>
        <w:rPr>
          <w:spacing w:val="11"/>
          <w:sz w:val="24"/>
        </w:rPr>
        <w:t>此时研究中心作为发生数据违规行为处理活动的数据控制人。对于在申办者</w:t>
      </w:r>
    </w:p>
    <w:p>
      <w:pPr>
        <w:pStyle w:val="BodyText"/>
        <w:ind w:left="646" w:right="357" w:hanging="120"/>
        <w:jc w:val="both"/>
      </w:pPr>
      <w:r>
        <w:rPr/>
        <w:t>（作为数据控制人）的处理活动中发生的数据违规行为，通知是与研究中心共同</w:t>
      </w:r>
      <w:r>
        <w:rPr>
          <w:spacing w:val="-2"/>
        </w:rPr>
        <w:t>发送，由研究中心和</w:t>
      </w:r>
      <w:r>
        <w:rPr>
          <w:rFonts w:ascii="Times New Roman" w:eastAsia="Times New Roman"/>
          <w:spacing w:val="-2"/>
        </w:rPr>
        <w:t>/</w:t>
      </w:r>
      <w:r>
        <w:rPr>
          <w:spacing w:val="-2"/>
        </w:rPr>
        <w:t>或代表申办者的主要研究者进行，因此，申办者无法访问识别受试者身份的个人信息。研究中心和</w:t>
      </w:r>
      <w:r>
        <w:rPr>
          <w:rFonts w:ascii="Times New Roman" w:eastAsia="Times New Roman"/>
          <w:spacing w:val="-2"/>
        </w:rPr>
        <w:t>/</w:t>
      </w:r>
      <w:r>
        <w:rPr>
          <w:spacing w:val="-2"/>
        </w:rPr>
        <w:t>或主要研究者应通过联系受试者进行通知，将其提供的信息用于临床研究的沟通目的。</w:t>
      </w:r>
    </w:p>
    <w:p>
      <w:pPr>
        <w:pStyle w:val="ListParagraph"/>
        <w:numPr>
          <w:ilvl w:val="0"/>
          <w:numId w:val="53"/>
        </w:numPr>
        <w:tabs>
          <w:tab w:pos="646" w:val="left" w:leader="none"/>
        </w:tabs>
        <w:spacing w:line="240" w:lineRule="auto" w:before="57" w:after="0"/>
        <w:ind w:left="646" w:right="356" w:hanging="425"/>
        <w:jc w:val="both"/>
        <w:rPr>
          <w:sz w:val="24"/>
        </w:rPr>
      </w:pPr>
      <w:r>
        <w:rPr>
          <w:spacing w:val="3"/>
          <w:sz w:val="24"/>
        </w:rPr>
        <w:t>如果申办者聘用的处理商系统发生个人数据违规行为，根据与申办者签订的合同义务，处理商在发现数据违规行为后应及时并适时通知申办者，并全力配合调查。在这些情况下，如果申办者是发生数据违规行为的处理活动的数据控制</w:t>
      </w:r>
      <w:r>
        <w:rPr>
          <w:spacing w:val="4"/>
          <w:sz w:val="24"/>
        </w:rPr>
        <w:t>人，则其将负责向数据保护机构和受试者</w:t>
      </w:r>
      <w:r>
        <w:rPr>
          <w:spacing w:val="5"/>
          <w:sz w:val="24"/>
        </w:rPr>
        <w:t>（</w:t>
      </w:r>
      <w:r>
        <w:rPr>
          <w:spacing w:val="4"/>
          <w:sz w:val="24"/>
        </w:rPr>
        <w:t>如适用）</w:t>
      </w:r>
      <w:r>
        <w:rPr>
          <w:spacing w:val="3"/>
          <w:sz w:val="24"/>
        </w:rPr>
        <w:t>发出通知。如果需要通知受试者有关个人数据违规行为，则与研究中心共同向受试者发出通知，并由研</w:t>
      </w:r>
    </w:p>
    <w:p>
      <w:pPr>
        <w:spacing w:after="0" w:line="240" w:lineRule="auto"/>
        <w:jc w:val="both"/>
        <w:rPr>
          <w:sz w:val="24"/>
        </w:rPr>
        <w:sectPr>
          <w:pgSz w:w="11910" w:h="16840"/>
          <w:pgMar w:header="590" w:footer="784" w:top="1340" w:bottom="980" w:left="1480" w:right="1080"/>
        </w:sectPr>
      </w:pPr>
    </w:p>
    <w:p>
      <w:pPr>
        <w:pStyle w:val="BodyText"/>
        <w:spacing w:before="86"/>
        <w:ind w:left="646" w:right="364"/>
      </w:pPr>
      <w:r>
        <w:rPr>
          <w:spacing w:val="-2"/>
        </w:rPr>
        <w:t>究中心和</w:t>
      </w:r>
      <w:r>
        <w:rPr>
          <w:rFonts w:ascii="Times New Roman" w:eastAsia="Times New Roman"/>
          <w:spacing w:val="-2"/>
        </w:rPr>
        <w:t>/</w:t>
      </w:r>
      <w:r>
        <w:rPr>
          <w:spacing w:val="-2"/>
        </w:rPr>
        <w:t>或代表申办者的主要研究者进行，因此，申办者无法访问识别受试者身份的个人信息。</w:t>
      </w:r>
    </w:p>
    <w:p>
      <w:pPr>
        <w:pStyle w:val="ListParagraph"/>
        <w:numPr>
          <w:ilvl w:val="0"/>
          <w:numId w:val="53"/>
        </w:numPr>
        <w:tabs>
          <w:tab w:pos="646" w:val="left" w:leader="none"/>
        </w:tabs>
        <w:spacing w:line="240" w:lineRule="auto" w:before="59" w:after="0"/>
        <w:ind w:left="646" w:right="353" w:hanging="425"/>
        <w:jc w:val="both"/>
        <w:rPr>
          <w:sz w:val="24"/>
        </w:rPr>
      </w:pPr>
      <w:r>
        <w:rPr>
          <w:spacing w:val="3"/>
          <w:sz w:val="24"/>
        </w:rPr>
        <w:t>如果研究监查员发生个人数据违约，研究监查员将向申办者提供违约通知所需的所有信息，而不披露允许申办者直接或间接识别受试者的数据。申办者只能根据研究监查员提供的信息发出通知，在任何情况下，均无权访问可能会导致重新识别受试者身份这一风险的信息。如果必须通知受试者有关个人数据违规</w:t>
      </w:r>
      <w:r>
        <w:rPr>
          <w:spacing w:val="2"/>
          <w:sz w:val="24"/>
        </w:rPr>
        <w:t>行为，则研究监查员将协同研究中心和</w:t>
      </w:r>
      <w:r>
        <w:rPr>
          <w:rFonts w:ascii="Times New Roman" w:hAnsi="Times New Roman" w:eastAsia="Times New Roman"/>
          <w:spacing w:val="2"/>
          <w:sz w:val="24"/>
        </w:rPr>
        <w:t>/</w:t>
      </w:r>
      <w:r>
        <w:rPr>
          <w:spacing w:val="2"/>
          <w:sz w:val="24"/>
        </w:rPr>
        <w:t>或主要研究者（代表申办者</w:t>
      </w:r>
      <w:r>
        <w:rPr>
          <w:spacing w:val="6"/>
          <w:sz w:val="24"/>
        </w:rPr>
        <w:t>）</w:t>
      </w:r>
      <w:r>
        <w:rPr>
          <w:spacing w:val="3"/>
          <w:sz w:val="24"/>
        </w:rPr>
        <w:t>直接发出通知，以便申办者无法访问识别受试者身份的个人信息。申办者和研究监查员之间的合同应明确规定这些条件。</w:t>
      </w:r>
    </w:p>
    <w:p>
      <w:pPr>
        <w:pStyle w:val="ListParagraph"/>
        <w:numPr>
          <w:ilvl w:val="0"/>
          <w:numId w:val="53"/>
        </w:numPr>
        <w:tabs>
          <w:tab w:pos="646" w:val="left" w:leader="none"/>
        </w:tabs>
        <w:spacing w:line="240" w:lineRule="auto" w:before="55" w:after="0"/>
        <w:ind w:left="646" w:right="357" w:hanging="425"/>
        <w:jc w:val="both"/>
        <w:rPr>
          <w:sz w:val="24"/>
        </w:rPr>
      </w:pPr>
      <w:r>
        <w:rPr>
          <w:spacing w:val="3"/>
          <w:sz w:val="24"/>
        </w:rPr>
        <w:t>研究中心和申办者之间关于开展临床研究的合同包括关于谁负责协调和指导与</w:t>
      </w:r>
      <w:r>
        <w:rPr>
          <w:spacing w:val="4"/>
          <w:sz w:val="24"/>
        </w:rPr>
        <w:t>违规行为相关的行动并向监管机构和受试者发送强制性通知</w:t>
      </w:r>
      <w:r>
        <w:rPr>
          <w:spacing w:val="5"/>
          <w:sz w:val="24"/>
        </w:rPr>
        <w:t>（</w:t>
      </w:r>
      <w:r>
        <w:rPr>
          <w:spacing w:val="4"/>
          <w:sz w:val="24"/>
        </w:rPr>
        <w:t>如适用</w:t>
      </w:r>
      <w:r>
        <w:rPr>
          <w:spacing w:val="5"/>
          <w:sz w:val="24"/>
        </w:rPr>
        <w:t>）</w:t>
      </w:r>
      <w:r>
        <w:rPr>
          <w:spacing w:val="3"/>
          <w:sz w:val="24"/>
        </w:rPr>
        <w:t>的规定和规则。</w:t>
      </w:r>
    </w:p>
    <w:p>
      <w:pPr>
        <w:pStyle w:val="BodyText"/>
        <w:spacing w:before="142"/>
        <w:ind w:left="0"/>
      </w:pPr>
    </w:p>
    <w:p>
      <w:pPr>
        <w:tabs>
          <w:tab w:pos="1359" w:val="left" w:leader="none"/>
        </w:tabs>
        <w:spacing w:before="1"/>
        <w:ind w:left="221" w:right="0" w:firstLine="0"/>
        <w:jc w:val="both"/>
        <w:rPr>
          <w:b/>
          <w:sz w:val="28"/>
        </w:rPr>
      </w:pPr>
      <w:bookmarkStart w:name="A 2 财务公开" w:id="291"/>
      <w:bookmarkEnd w:id="291"/>
      <w:r>
        <w:rPr/>
      </w:r>
      <w:r>
        <w:rPr>
          <w:rFonts w:ascii="Times New Roman" w:eastAsia="Times New Roman"/>
          <w:b/>
          <w:sz w:val="26"/>
        </w:rPr>
        <w:t>A </w:t>
      </w:r>
      <w:r>
        <w:rPr>
          <w:rFonts w:ascii="Times New Roman" w:eastAsia="Times New Roman"/>
          <w:b/>
          <w:spacing w:val="-10"/>
          <w:sz w:val="26"/>
        </w:rPr>
        <w:t>2</w:t>
      </w:r>
      <w:r>
        <w:rPr>
          <w:rFonts w:ascii="Times New Roman" w:eastAsia="Times New Roman"/>
          <w:b/>
          <w:sz w:val="26"/>
        </w:rPr>
        <w:tab/>
      </w:r>
      <w:r>
        <w:rPr>
          <w:b/>
          <w:spacing w:val="-4"/>
          <w:sz w:val="28"/>
        </w:rPr>
        <w:t>财务公开</w:t>
      </w:r>
    </w:p>
    <w:p>
      <w:pPr>
        <w:pStyle w:val="BodyText"/>
        <w:spacing w:line="276" w:lineRule="auto" w:before="119"/>
        <w:ind w:right="354" w:firstLine="480"/>
        <w:jc w:val="both"/>
      </w:pPr>
      <w:r>
        <w:rPr>
          <w:spacing w:val="-2"/>
        </w:rPr>
        <w:t>研究者和协助研究者将按照要求向申办者提供充足准确的财务信息，以能够让申办者向相关药政监管部门递交全面准确的财务证明或公开声明。研究者负责提供研究期间直至研究结束后 </w:t>
      </w:r>
      <w:r>
        <w:rPr>
          <w:rFonts w:ascii="Times New Roman" w:eastAsia="Times New Roman"/>
        </w:rPr>
        <w:t>1 </w:t>
      </w:r>
      <w:r>
        <w:rPr/>
        <w:t>年的财务信息。</w:t>
      </w:r>
    </w:p>
    <w:p>
      <w:pPr>
        <w:tabs>
          <w:tab w:pos="1359" w:val="left" w:leader="none"/>
        </w:tabs>
        <w:spacing w:before="238"/>
        <w:ind w:left="221" w:right="0" w:firstLine="0"/>
        <w:jc w:val="both"/>
        <w:rPr>
          <w:b/>
          <w:sz w:val="28"/>
        </w:rPr>
      </w:pPr>
      <w:bookmarkStart w:name="A 3 知情同意流程" w:id="292"/>
      <w:bookmarkEnd w:id="292"/>
      <w:r>
        <w:rPr/>
      </w:r>
      <w:r>
        <w:rPr>
          <w:rFonts w:ascii="Times New Roman" w:eastAsia="Times New Roman"/>
          <w:b/>
          <w:sz w:val="26"/>
        </w:rPr>
        <w:t>A </w:t>
      </w:r>
      <w:r>
        <w:rPr>
          <w:rFonts w:ascii="Times New Roman" w:eastAsia="Times New Roman"/>
          <w:b/>
          <w:spacing w:val="-10"/>
          <w:sz w:val="26"/>
        </w:rPr>
        <w:t>3</w:t>
      </w:r>
      <w:r>
        <w:rPr>
          <w:rFonts w:ascii="Times New Roman" w:eastAsia="Times New Roman"/>
          <w:b/>
          <w:sz w:val="26"/>
        </w:rPr>
        <w:tab/>
      </w:r>
      <w:r>
        <w:rPr>
          <w:b/>
          <w:spacing w:val="-5"/>
          <w:sz w:val="28"/>
        </w:rPr>
        <w:t>知情同意流程</w:t>
      </w:r>
    </w:p>
    <w:p>
      <w:pPr>
        <w:pStyle w:val="ListParagraph"/>
        <w:numPr>
          <w:ilvl w:val="0"/>
          <w:numId w:val="53"/>
        </w:numPr>
        <w:tabs>
          <w:tab w:pos="645" w:val="left" w:leader="none"/>
        </w:tabs>
        <w:spacing w:line="240" w:lineRule="auto" w:before="120" w:after="0"/>
        <w:ind w:left="645" w:right="0" w:hanging="424"/>
        <w:jc w:val="both"/>
        <w:rPr>
          <w:sz w:val="24"/>
        </w:rPr>
      </w:pPr>
      <w:r>
        <w:rPr>
          <w:spacing w:val="-1"/>
          <w:sz w:val="24"/>
        </w:rPr>
        <w:t>研究者或其代表将向受试者解释研究的性质，并回答与本研究有关的所有问题。</w:t>
      </w:r>
    </w:p>
    <w:p>
      <w:pPr>
        <w:pStyle w:val="ListParagraph"/>
        <w:numPr>
          <w:ilvl w:val="0"/>
          <w:numId w:val="53"/>
        </w:numPr>
        <w:tabs>
          <w:tab w:pos="646" w:val="left" w:leader="none"/>
        </w:tabs>
        <w:spacing w:line="240" w:lineRule="auto" w:before="57" w:after="0"/>
        <w:ind w:left="646" w:right="356" w:hanging="425"/>
        <w:jc w:val="both"/>
        <w:rPr>
          <w:sz w:val="24"/>
        </w:rPr>
      </w:pPr>
      <w:r>
        <w:rPr>
          <w:spacing w:val="3"/>
          <w:sz w:val="24"/>
        </w:rPr>
        <w:t>应告知受试者可自愿选择是否参与研究，有权拒绝参与，且研究期间可以因任何原因在任何时间撤回知情同意书。受试者需要签署一份知情同意声明，该声</w:t>
      </w:r>
      <w:r>
        <w:rPr>
          <w:spacing w:val="6"/>
          <w:sz w:val="24"/>
        </w:rPr>
        <w:t>明符合 </w:t>
      </w:r>
      <w:r>
        <w:rPr>
          <w:rFonts w:ascii="Times New Roman" w:hAnsi="Times New Roman" w:eastAsia="Times New Roman"/>
          <w:sz w:val="24"/>
        </w:rPr>
        <w:t>21</w:t>
      </w:r>
      <w:r>
        <w:rPr>
          <w:rFonts w:ascii="Times New Roman" w:hAnsi="Times New Roman" w:eastAsia="Times New Roman"/>
          <w:spacing w:val="-12"/>
          <w:sz w:val="24"/>
        </w:rPr>
        <w:t>  </w:t>
      </w:r>
      <w:r>
        <w:rPr>
          <w:rFonts w:ascii="Times New Roman" w:hAnsi="Times New Roman" w:eastAsia="Times New Roman"/>
          <w:spacing w:val="-1"/>
          <w:sz w:val="24"/>
        </w:rPr>
        <w:t>CF</w:t>
      </w:r>
      <w:r>
        <w:rPr>
          <w:rFonts w:ascii="Times New Roman" w:hAnsi="Times New Roman" w:eastAsia="Times New Roman"/>
          <w:sz w:val="24"/>
        </w:rPr>
        <w:t>R</w:t>
      </w:r>
      <w:r>
        <w:rPr>
          <w:rFonts w:ascii="Times New Roman" w:hAnsi="Times New Roman" w:eastAsia="Times New Roman"/>
          <w:spacing w:val="-13"/>
          <w:sz w:val="24"/>
        </w:rPr>
        <w:t>  </w:t>
      </w:r>
      <w:r>
        <w:rPr>
          <w:rFonts w:ascii="Times New Roman" w:hAnsi="Times New Roman" w:eastAsia="Times New Roman"/>
          <w:sz w:val="24"/>
        </w:rPr>
        <w:t>5</w:t>
      </w:r>
      <w:r>
        <w:rPr>
          <w:rFonts w:ascii="Times New Roman" w:hAnsi="Times New Roman" w:eastAsia="Times New Roman"/>
          <w:spacing w:val="9"/>
          <w:sz w:val="24"/>
        </w:rPr>
        <w:t>0</w:t>
      </w:r>
      <w:r>
        <w:rPr>
          <w:spacing w:val="9"/>
          <w:sz w:val="24"/>
        </w:rPr>
        <w:t>、当地法规、</w:t>
      </w:r>
      <w:r>
        <w:rPr>
          <w:rFonts w:ascii="Times New Roman" w:hAnsi="Times New Roman" w:eastAsia="Times New Roman"/>
          <w:spacing w:val="-1"/>
          <w:sz w:val="24"/>
        </w:rPr>
        <w:t>IC</w:t>
      </w:r>
      <w:r>
        <w:rPr>
          <w:rFonts w:ascii="Times New Roman" w:hAnsi="Times New Roman" w:eastAsia="Times New Roman"/>
          <w:sz w:val="24"/>
        </w:rPr>
        <w:t>H</w:t>
      </w:r>
      <w:r>
        <w:rPr>
          <w:rFonts w:ascii="Times New Roman" w:hAnsi="Times New Roman" w:eastAsia="Times New Roman"/>
          <w:spacing w:val="-10"/>
          <w:sz w:val="24"/>
        </w:rPr>
        <w:t>  </w:t>
      </w:r>
      <w:r>
        <w:rPr>
          <w:spacing w:val="9"/>
          <w:sz w:val="24"/>
        </w:rPr>
        <w:t>指导原则、</w:t>
      </w:r>
      <w:r>
        <w:rPr>
          <w:rFonts w:ascii="Times New Roman" w:hAnsi="Times New Roman" w:eastAsia="Times New Roman"/>
          <w:sz w:val="24"/>
        </w:rPr>
        <w:t>HI</w:t>
      </w:r>
      <w:r>
        <w:rPr>
          <w:rFonts w:ascii="Times New Roman" w:hAnsi="Times New Roman" w:eastAsia="Times New Roman"/>
          <w:spacing w:val="-1"/>
          <w:sz w:val="24"/>
        </w:rPr>
        <w:t>PA</w:t>
      </w:r>
      <w:r>
        <w:rPr>
          <w:rFonts w:ascii="Times New Roman" w:hAnsi="Times New Roman" w:eastAsia="Times New Roman"/>
          <w:sz w:val="24"/>
        </w:rPr>
        <w:t>A</w:t>
      </w:r>
      <w:r>
        <w:rPr>
          <w:rFonts w:ascii="Times New Roman" w:hAnsi="Times New Roman" w:eastAsia="Times New Roman"/>
          <w:spacing w:val="-10"/>
          <w:sz w:val="24"/>
        </w:rPr>
        <w:t>  </w:t>
      </w:r>
      <w:r>
        <w:rPr>
          <w:spacing w:val="10"/>
          <w:sz w:val="24"/>
        </w:rPr>
        <w:t>要求</w:t>
      </w:r>
      <w:r>
        <w:rPr>
          <w:spacing w:val="9"/>
          <w:sz w:val="24"/>
        </w:rPr>
        <w:t>（如适用）</w:t>
      </w:r>
      <w:r>
        <w:rPr>
          <w:spacing w:val="4"/>
          <w:sz w:val="24"/>
        </w:rPr>
        <w:t>以及 </w:t>
      </w:r>
      <w:r>
        <w:rPr>
          <w:rFonts w:ascii="Times New Roman" w:hAnsi="Times New Roman" w:eastAsia="Times New Roman"/>
          <w:spacing w:val="4"/>
          <w:sz w:val="24"/>
        </w:rPr>
        <w:t>IRB/IEC</w:t>
      </w:r>
      <w:r>
        <w:rPr>
          <w:rFonts w:ascii="Times New Roman" w:hAnsi="Times New Roman" w:eastAsia="Times New Roman"/>
          <w:spacing w:val="-12"/>
          <w:sz w:val="24"/>
        </w:rPr>
        <w:t> </w:t>
      </w:r>
      <w:r>
        <w:rPr>
          <w:sz w:val="24"/>
        </w:rPr>
        <w:t>或研究中心的规定。</w:t>
      </w:r>
    </w:p>
    <w:p>
      <w:pPr>
        <w:pStyle w:val="ListParagraph"/>
        <w:numPr>
          <w:ilvl w:val="0"/>
          <w:numId w:val="53"/>
        </w:numPr>
        <w:tabs>
          <w:tab w:pos="646" w:val="left" w:leader="none"/>
        </w:tabs>
        <w:spacing w:line="240" w:lineRule="auto" w:before="57" w:after="0"/>
        <w:ind w:left="646" w:right="127" w:hanging="425"/>
        <w:jc w:val="left"/>
        <w:rPr>
          <w:sz w:val="24"/>
        </w:rPr>
      </w:pPr>
      <w:r>
        <w:rPr>
          <w:spacing w:val="3"/>
          <w:sz w:val="24"/>
        </w:rPr>
        <w:t>病历中必须包括受试者入选研究前已签署知情同意书的声明，并记录签署日期。</w:t>
      </w:r>
      <w:r>
        <w:rPr>
          <w:spacing w:val="-1"/>
          <w:sz w:val="24"/>
        </w:rPr>
        <w:t>授权获取知情同意的人员也必须在 </w:t>
      </w:r>
      <w:r>
        <w:rPr>
          <w:rFonts w:ascii="Times New Roman" w:hAnsi="Times New Roman" w:eastAsia="Times New Roman"/>
          <w:spacing w:val="-1"/>
          <w:sz w:val="24"/>
        </w:rPr>
        <w:t>IC</w:t>
      </w:r>
      <w:r>
        <w:rPr>
          <w:rFonts w:ascii="Times New Roman" w:hAnsi="Times New Roman" w:eastAsia="Times New Roman"/>
          <w:sz w:val="24"/>
        </w:rPr>
        <w:t>F</w:t>
      </w:r>
      <w:r>
        <w:rPr>
          <w:rFonts w:ascii="Times New Roman" w:hAnsi="Times New Roman" w:eastAsia="Times New Roman"/>
          <w:spacing w:val="-13"/>
          <w:sz w:val="24"/>
        </w:rPr>
        <w:t> </w:t>
      </w:r>
      <w:r>
        <w:rPr>
          <w:sz w:val="24"/>
        </w:rPr>
        <w:t>上签字。</w:t>
      </w:r>
    </w:p>
    <w:p>
      <w:pPr>
        <w:pStyle w:val="ListParagraph"/>
        <w:numPr>
          <w:ilvl w:val="0"/>
          <w:numId w:val="53"/>
        </w:numPr>
        <w:tabs>
          <w:tab w:pos="646" w:val="left" w:leader="none"/>
        </w:tabs>
        <w:spacing w:line="240" w:lineRule="auto" w:before="60" w:after="0"/>
        <w:ind w:left="646" w:right="0" w:hanging="425"/>
        <w:jc w:val="left"/>
        <w:rPr>
          <w:sz w:val="24"/>
        </w:rPr>
      </w:pPr>
      <w:r>
        <w:rPr>
          <w:spacing w:val="-3"/>
          <w:sz w:val="24"/>
        </w:rPr>
        <w:t>在参与研究期间，受试者必须重新签署最新版本的 </w:t>
      </w:r>
      <w:r>
        <w:rPr>
          <w:rFonts w:ascii="Times New Roman" w:hAnsi="Times New Roman" w:eastAsia="Times New Roman"/>
          <w:spacing w:val="-2"/>
          <w:sz w:val="24"/>
        </w:rPr>
        <w:t>ICF</w:t>
      </w:r>
      <w:r>
        <w:rPr>
          <w:spacing w:val="-10"/>
          <w:sz w:val="24"/>
        </w:rPr>
        <w:t>。</w:t>
      </w:r>
    </w:p>
    <w:p>
      <w:pPr>
        <w:pStyle w:val="ListParagraph"/>
        <w:numPr>
          <w:ilvl w:val="0"/>
          <w:numId w:val="53"/>
        </w:numPr>
        <w:tabs>
          <w:tab w:pos="646" w:val="left" w:leader="none"/>
        </w:tabs>
        <w:spacing w:line="240" w:lineRule="auto" w:before="60" w:after="0"/>
        <w:ind w:left="646" w:right="0" w:hanging="425"/>
        <w:jc w:val="left"/>
        <w:rPr>
          <w:sz w:val="24"/>
        </w:rPr>
      </w:pPr>
      <w:r>
        <w:rPr>
          <w:spacing w:val="-6"/>
          <w:sz w:val="24"/>
        </w:rPr>
        <w:t>必须向受试者提供一份 </w:t>
      </w:r>
      <w:r>
        <w:rPr>
          <w:rFonts w:ascii="Times New Roman" w:hAnsi="Times New Roman" w:eastAsia="Times New Roman"/>
          <w:sz w:val="24"/>
        </w:rPr>
        <w:t>ICF</w:t>
      </w:r>
      <w:r>
        <w:rPr>
          <w:rFonts w:ascii="Times New Roman" w:hAnsi="Times New Roman" w:eastAsia="Times New Roman"/>
          <w:spacing w:val="-15"/>
          <w:sz w:val="24"/>
        </w:rPr>
        <w:t> </w:t>
      </w:r>
      <w:r>
        <w:rPr>
          <w:spacing w:val="-4"/>
          <w:sz w:val="24"/>
        </w:rPr>
        <w:t>副本。</w:t>
      </w:r>
    </w:p>
    <w:p>
      <w:pPr>
        <w:pStyle w:val="BodyText"/>
        <w:spacing w:before="22"/>
        <w:ind w:left="0"/>
      </w:pPr>
    </w:p>
    <w:p>
      <w:pPr>
        <w:pStyle w:val="BodyText"/>
        <w:ind w:left="701"/>
      </w:pPr>
      <w:r>
        <w:rPr>
          <w:spacing w:val="-4"/>
        </w:rPr>
        <w:t>重新接受入组程序的受试者需要签署新 </w:t>
      </w:r>
      <w:r>
        <w:rPr>
          <w:rFonts w:ascii="Times New Roman" w:eastAsia="Times New Roman"/>
          <w:spacing w:val="-2"/>
        </w:rPr>
        <w:t>ICF</w:t>
      </w:r>
      <w:r>
        <w:rPr>
          <w:spacing w:val="-10"/>
        </w:rPr>
        <w:t>。</w:t>
      </w:r>
    </w:p>
    <w:p>
      <w:pPr>
        <w:pStyle w:val="BodyText"/>
        <w:spacing w:line="276" w:lineRule="auto" w:before="286"/>
        <w:ind w:right="122" w:firstLine="480"/>
      </w:pPr>
      <w:r>
        <w:rPr>
          <w:rFonts w:ascii="Times New Roman" w:eastAsia="Times New Roman"/>
        </w:rPr>
        <w:t>ICF</w:t>
      </w:r>
      <w:r>
        <w:rPr>
          <w:rFonts w:ascii="Times New Roman" w:eastAsia="Times New Roman"/>
          <w:spacing w:val="40"/>
        </w:rPr>
        <w:t> </w:t>
      </w:r>
      <w:r>
        <w:rPr/>
        <w:t>将包含一个说明并记录采集和使用的任何强制性人体生物样本的单独章节。</w:t>
      </w:r>
      <w:r>
        <w:rPr>
          <w:spacing w:val="-2"/>
        </w:rPr>
        <w:t>研究者或授权指定人员将向每名受试者解释将对样本进行分析的目的。</w:t>
      </w:r>
    </w:p>
    <w:p>
      <w:pPr>
        <w:tabs>
          <w:tab w:pos="1359" w:val="left" w:leader="none"/>
        </w:tabs>
        <w:spacing w:before="239"/>
        <w:ind w:left="221" w:right="0" w:firstLine="0"/>
        <w:jc w:val="both"/>
        <w:rPr>
          <w:b/>
          <w:sz w:val="28"/>
        </w:rPr>
      </w:pPr>
      <w:bookmarkStart w:name="A 4 数据保护" w:id="293"/>
      <w:bookmarkEnd w:id="293"/>
      <w:r>
        <w:rPr/>
      </w:r>
      <w:r>
        <w:rPr>
          <w:rFonts w:ascii="Times New Roman" w:eastAsia="Times New Roman"/>
          <w:b/>
          <w:sz w:val="26"/>
        </w:rPr>
        <w:t>A </w:t>
      </w:r>
      <w:r>
        <w:rPr>
          <w:rFonts w:ascii="Times New Roman" w:eastAsia="Times New Roman"/>
          <w:b/>
          <w:spacing w:val="-10"/>
          <w:sz w:val="26"/>
        </w:rPr>
        <w:t>4</w:t>
      </w:r>
      <w:r>
        <w:rPr>
          <w:rFonts w:ascii="Times New Roman" w:eastAsia="Times New Roman"/>
          <w:b/>
          <w:sz w:val="26"/>
        </w:rPr>
        <w:tab/>
      </w:r>
      <w:r>
        <w:rPr>
          <w:b/>
          <w:spacing w:val="-4"/>
          <w:sz w:val="28"/>
        </w:rPr>
        <w:t>数据保护</w:t>
      </w:r>
    </w:p>
    <w:p>
      <w:pPr>
        <w:pStyle w:val="ListParagraph"/>
        <w:numPr>
          <w:ilvl w:val="0"/>
          <w:numId w:val="53"/>
        </w:numPr>
        <w:tabs>
          <w:tab w:pos="646" w:val="left" w:leader="none"/>
        </w:tabs>
        <w:spacing w:line="240" w:lineRule="auto" w:before="117" w:after="0"/>
        <w:ind w:left="646" w:right="357" w:hanging="425"/>
        <w:jc w:val="both"/>
        <w:rPr>
          <w:sz w:val="24"/>
        </w:rPr>
      </w:pPr>
      <w:r>
        <w:rPr>
          <w:spacing w:val="3"/>
          <w:sz w:val="24"/>
        </w:rPr>
        <w:t>将由申办者或主要研究者签约的受信任第三方向受试者分配唯一标识符。传送至申办者的所有受试者记录或数据集仅含有标识符，不包括受试者姓名或任何识别受试者的信息。</w:t>
      </w:r>
    </w:p>
    <w:p>
      <w:pPr>
        <w:pStyle w:val="ListParagraph"/>
        <w:numPr>
          <w:ilvl w:val="0"/>
          <w:numId w:val="53"/>
        </w:numPr>
        <w:tabs>
          <w:tab w:pos="646" w:val="left" w:leader="none"/>
        </w:tabs>
        <w:spacing w:line="240" w:lineRule="auto" w:before="58" w:after="0"/>
        <w:ind w:left="646" w:right="348" w:hanging="425"/>
        <w:jc w:val="both"/>
        <w:rPr>
          <w:sz w:val="24"/>
        </w:rPr>
      </w:pPr>
      <w:r>
        <w:rPr>
          <w:spacing w:val="4"/>
          <w:sz w:val="24"/>
        </w:rPr>
        <w:t>必须告知受试者，申办者将根据当地数据保护法使用其个人研究相关数据和经</w:t>
      </w:r>
      <w:r>
        <w:rPr>
          <w:spacing w:val="5"/>
          <w:sz w:val="24"/>
        </w:rPr>
        <w:t>编码</w:t>
      </w:r>
      <w:r>
        <w:rPr>
          <w:spacing w:val="4"/>
          <w:sz w:val="24"/>
        </w:rPr>
        <w:t>（匿名化</w:t>
      </w:r>
      <w:r>
        <w:rPr>
          <w:spacing w:val="5"/>
          <w:sz w:val="24"/>
        </w:rPr>
        <w:t>）</w:t>
      </w:r>
      <w:r>
        <w:rPr>
          <w:spacing w:val="3"/>
          <w:sz w:val="24"/>
        </w:rPr>
        <w:t>数据。还必须在知情同意书中向受试者解释其数据的公开和使用水平。</w:t>
      </w:r>
    </w:p>
    <w:p>
      <w:pPr>
        <w:spacing w:after="0" w:line="240" w:lineRule="auto"/>
        <w:jc w:val="both"/>
        <w:rPr>
          <w:sz w:val="24"/>
        </w:rPr>
        <w:sectPr>
          <w:pgSz w:w="11910" w:h="16840"/>
          <w:pgMar w:header="590" w:footer="784" w:top="1340" w:bottom="980" w:left="1480" w:right="1080"/>
        </w:sectPr>
      </w:pPr>
    </w:p>
    <w:p>
      <w:pPr>
        <w:pStyle w:val="ListParagraph"/>
        <w:numPr>
          <w:ilvl w:val="0"/>
          <w:numId w:val="53"/>
        </w:numPr>
        <w:tabs>
          <w:tab w:pos="646" w:val="left" w:leader="none"/>
        </w:tabs>
        <w:spacing w:line="240" w:lineRule="auto" w:before="86" w:after="0"/>
        <w:ind w:left="646" w:right="363" w:hanging="425"/>
        <w:jc w:val="both"/>
        <w:rPr>
          <w:sz w:val="24"/>
        </w:rPr>
      </w:pPr>
      <w:r>
        <w:rPr>
          <w:spacing w:val="3"/>
          <w:sz w:val="24"/>
        </w:rPr>
        <w:t>必须告知受试者，其病历可能由临床质量保证稽查员或申办者指定的其他授权</w:t>
      </w:r>
      <w:r>
        <w:rPr>
          <w:spacing w:val="-6"/>
          <w:sz w:val="24"/>
        </w:rPr>
        <w:t>人员、相应的 </w:t>
      </w:r>
      <w:r>
        <w:rPr>
          <w:rFonts w:ascii="Times New Roman" w:hAnsi="Times New Roman" w:eastAsia="Times New Roman"/>
          <w:sz w:val="24"/>
        </w:rPr>
        <w:t>IRB/IEC</w:t>
      </w:r>
      <w:r>
        <w:rPr>
          <w:rFonts w:ascii="Times New Roman" w:hAnsi="Times New Roman" w:eastAsia="Times New Roman"/>
          <w:spacing w:val="-13"/>
          <w:sz w:val="24"/>
        </w:rPr>
        <w:t> </w:t>
      </w:r>
      <w:r>
        <w:rPr>
          <w:sz w:val="24"/>
        </w:rPr>
        <w:t>成员和药政监管部门的检查员进行检查。</w:t>
      </w:r>
    </w:p>
    <w:p>
      <w:pPr>
        <w:pStyle w:val="ListParagraph"/>
        <w:numPr>
          <w:ilvl w:val="0"/>
          <w:numId w:val="53"/>
        </w:numPr>
        <w:tabs>
          <w:tab w:pos="525" w:val="left" w:leader="none"/>
          <w:tab w:pos="646" w:val="left" w:leader="none"/>
        </w:tabs>
        <w:spacing w:line="240" w:lineRule="auto" w:before="59" w:after="0"/>
        <w:ind w:left="646" w:right="363" w:hanging="425"/>
        <w:jc w:val="both"/>
        <w:rPr>
          <w:sz w:val="24"/>
        </w:rPr>
      </w:pPr>
      <w:r>
        <w:rPr>
          <w:sz w:val="24"/>
        </w:rPr>
        <w:t>《通用数据保护条例》将匿名化定义为，在不使用额外信息的情况下，不再能将</w:t>
      </w:r>
      <w:r>
        <w:rPr>
          <w:spacing w:val="3"/>
          <w:sz w:val="24"/>
        </w:rPr>
        <w:t>个人数据归于具体个人的个人数据处理方式，前提是此类额外信息单独保存，并通过技术和组织措施进行保护，以确保不会将个人数据归于已鉴认或可鉴认的自然人。</w:t>
      </w:r>
    </w:p>
    <w:p>
      <w:pPr>
        <w:pStyle w:val="ListParagraph"/>
        <w:numPr>
          <w:ilvl w:val="0"/>
          <w:numId w:val="53"/>
        </w:numPr>
        <w:tabs>
          <w:tab w:pos="645" w:val="left" w:leader="none"/>
        </w:tabs>
        <w:spacing w:line="240" w:lineRule="auto" w:before="58" w:after="0"/>
        <w:ind w:left="645" w:right="0" w:hanging="424"/>
        <w:jc w:val="both"/>
        <w:rPr>
          <w:sz w:val="24"/>
        </w:rPr>
      </w:pPr>
      <w:r>
        <w:rPr>
          <w:spacing w:val="-1"/>
          <w:sz w:val="24"/>
        </w:rPr>
        <w:t>在研究期间和研究后将采取适当的保护措施保护经编码数据，包括：</w:t>
      </w:r>
    </w:p>
    <w:p>
      <w:pPr>
        <w:pStyle w:val="ListParagraph"/>
        <w:numPr>
          <w:ilvl w:val="1"/>
          <w:numId w:val="53"/>
        </w:numPr>
        <w:tabs>
          <w:tab w:pos="1069" w:val="left" w:leader="none"/>
          <w:tab w:pos="1071" w:val="left" w:leader="none"/>
        </w:tabs>
        <w:spacing w:line="276" w:lineRule="auto" w:before="60" w:after="0"/>
        <w:ind w:left="1071" w:right="367" w:hanging="426"/>
        <w:jc w:val="both"/>
        <w:rPr>
          <w:sz w:val="24"/>
        </w:rPr>
      </w:pPr>
      <w:r>
        <w:rPr>
          <w:spacing w:val="6"/>
          <w:sz w:val="24"/>
        </w:rPr>
        <w:t>经编码数据的访问将仅限于受保密义务约束的特定个体（</w:t>
      </w:r>
      <w:r>
        <w:rPr>
          <w:spacing w:val="5"/>
          <w:sz w:val="24"/>
        </w:rPr>
        <w:t>包括不试图重新识别个体身份</w:t>
      </w:r>
      <w:r>
        <w:rPr>
          <w:rFonts w:ascii="Times New Roman" w:hAnsi="Times New Roman" w:eastAsia="Times New Roman"/>
          <w:spacing w:val="5"/>
          <w:sz w:val="24"/>
        </w:rPr>
        <w:t>/</w:t>
      </w:r>
      <w:r>
        <w:rPr>
          <w:spacing w:val="5"/>
          <w:sz w:val="24"/>
        </w:rPr>
        <w:t>解码临床数据的义务）。</w:t>
      </w:r>
    </w:p>
    <w:p>
      <w:pPr>
        <w:pStyle w:val="ListParagraph"/>
        <w:numPr>
          <w:ilvl w:val="1"/>
          <w:numId w:val="53"/>
        </w:numPr>
        <w:tabs>
          <w:tab w:pos="1069" w:val="left" w:leader="none"/>
          <w:tab w:pos="1071" w:val="left" w:leader="none"/>
        </w:tabs>
        <w:spacing w:line="276" w:lineRule="auto" w:before="58" w:after="0"/>
        <w:ind w:left="1071" w:right="367" w:hanging="426"/>
        <w:jc w:val="both"/>
        <w:rPr>
          <w:sz w:val="24"/>
        </w:rPr>
      </w:pPr>
      <w:r>
        <w:rPr>
          <w:spacing w:val="5"/>
          <w:sz w:val="24"/>
        </w:rPr>
        <w:t>将采取安全措施保护经编码数据，以避免数据更改、丢失和未经授权的访问，并可能应用其他去识别技术。</w:t>
      </w:r>
    </w:p>
    <w:p>
      <w:pPr>
        <w:pStyle w:val="ListParagraph"/>
        <w:numPr>
          <w:ilvl w:val="1"/>
          <w:numId w:val="53"/>
        </w:numPr>
        <w:tabs>
          <w:tab w:pos="1069" w:val="left" w:leader="none"/>
          <w:tab w:pos="1071" w:val="left" w:leader="none"/>
        </w:tabs>
        <w:spacing w:line="276" w:lineRule="auto" w:before="59" w:after="0"/>
        <w:ind w:left="1071" w:right="367" w:hanging="426"/>
        <w:jc w:val="both"/>
        <w:rPr>
          <w:sz w:val="24"/>
        </w:rPr>
      </w:pPr>
      <w:r>
        <w:rPr>
          <w:spacing w:val="5"/>
          <w:sz w:val="24"/>
        </w:rPr>
        <w:t>必要时，将进行数据保护影响评估，以识别和缓解与每项科学研究相关的隐私风险（如有）。</w:t>
      </w:r>
    </w:p>
    <w:p>
      <w:pPr>
        <w:pStyle w:val="ListParagraph"/>
        <w:numPr>
          <w:ilvl w:val="1"/>
          <w:numId w:val="53"/>
        </w:numPr>
        <w:tabs>
          <w:tab w:pos="1069" w:val="left" w:leader="none"/>
          <w:tab w:pos="1071" w:val="left" w:leader="none"/>
        </w:tabs>
        <w:spacing w:line="276" w:lineRule="auto" w:before="57" w:after="0"/>
        <w:ind w:left="1071" w:right="367" w:hanging="426"/>
        <w:jc w:val="both"/>
        <w:rPr>
          <w:sz w:val="24"/>
        </w:rPr>
      </w:pPr>
      <w:r>
        <w:rPr>
          <w:spacing w:val="5"/>
          <w:sz w:val="24"/>
        </w:rPr>
        <w:t>不会出于直接营销目的或其他不属于法定职责或根据适用的数据保护法不视为科学研究的其他目的共享经编码数据。特别是，其将不用于决定受试者可获得的未来服务，如保险。</w:t>
      </w:r>
    </w:p>
    <w:p>
      <w:pPr>
        <w:pStyle w:val="ListParagraph"/>
        <w:numPr>
          <w:ilvl w:val="0"/>
          <w:numId w:val="53"/>
        </w:numPr>
        <w:tabs>
          <w:tab w:pos="646" w:val="left" w:leader="none"/>
        </w:tabs>
        <w:spacing w:line="240" w:lineRule="auto" w:before="57" w:after="0"/>
        <w:ind w:left="646" w:right="363" w:hanging="425"/>
        <w:jc w:val="both"/>
        <w:rPr>
          <w:sz w:val="24"/>
        </w:rPr>
      </w:pPr>
      <w:r>
        <w:rPr>
          <w:spacing w:val="3"/>
          <w:sz w:val="24"/>
        </w:rPr>
        <w:t>除了对受试者的数据和生物样本进行编码外，数据还受到高标准的技术安全手段的保护，如强大的访问控制和加密。</w:t>
      </w:r>
    </w:p>
    <w:p>
      <w:pPr>
        <w:pStyle w:val="ListParagraph"/>
        <w:numPr>
          <w:ilvl w:val="0"/>
          <w:numId w:val="53"/>
        </w:numPr>
        <w:tabs>
          <w:tab w:pos="646" w:val="left" w:leader="none"/>
        </w:tabs>
        <w:spacing w:line="240" w:lineRule="auto" w:before="58" w:after="0"/>
        <w:ind w:left="646" w:right="363" w:hanging="425"/>
        <w:jc w:val="both"/>
        <w:rPr>
          <w:sz w:val="24"/>
        </w:rPr>
      </w:pPr>
      <w:r>
        <w:rPr>
          <w:spacing w:val="3"/>
          <w:sz w:val="24"/>
        </w:rPr>
        <w:t>如果经编码数据的披露水平包括与其他第三方共享编码数据，受试者也将通过</w:t>
      </w:r>
      <w:r>
        <w:rPr>
          <w:spacing w:val="-1"/>
          <w:sz w:val="24"/>
        </w:rPr>
        <w:t>以下方式受到法律保护，因为将在 </w:t>
      </w:r>
      <w:r>
        <w:rPr>
          <w:rFonts w:ascii="Times New Roman" w:hAnsi="Times New Roman" w:eastAsia="Times New Roman"/>
          <w:spacing w:val="-1"/>
          <w:sz w:val="24"/>
        </w:rPr>
        <w:t>IC</w:t>
      </w:r>
      <w:r>
        <w:rPr>
          <w:rFonts w:ascii="Times New Roman" w:hAnsi="Times New Roman" w:eastAsia="Times New Roman"/>
          <w:sz w:val="24"/>
        </w:rPr>
        <w:t>F</w:t>
      </w:r>
      <w:r>
        <w:rPr>
          <w:rFonts w:ascii="Times New Roman" w:hAnsi="Times New Roman" w:eastAsia="Times New Roman"/>
          <w:spacing w:val="-13"/>
          <w:sz w:val="24"/>
        </w:rPr>
        <w:t> </w:t>
      </w:r>
      <w:r>
        <w:rPr>
          <w:sz w:val="24"/>
        </w:rPr>
        <w:t>中对受试者进行解释：</w:t>
      </w:r>
    </w:p>
    <w:p>
      <w:pPr>
        <w:pStyle w:val="ListParagraph"/>
        <w:numPr>
          <w:ilvl w:val="1"/>
          <w:numId w:val="53"/>
        </w:numPr>
        <w:tabs>
          <w:tab w:pos="1069" w:val="left" w:leader="none"/>
          <w:tab w:pos="1071" w:val="left" w:leader="none"/>
        </w:tabs>
        <w:spacing w:line="276" w:lineRule="auto" w:before="61" w:after="0"/>
        <w:ind w:left="1071" w:right="367" w:hanging="426"/>
        <w:jc w:val="both"/>
        <w:rPr>
          <w:rFonts w:ascii="Times New Roman" w:hAnsi="Times New Roman" w:eastAsia="Times New Roman"/>
          <w:sz w:val="24"/>
        </w:rPr>
      </w:pPr>
      <w:r>
        <w:rPr>
          <w:spacing w:val="5"/>
          <w:sz w:val="24"/>
        </w:rPr>
        <w:t>在申办者集团内部，受试者的编码数据受到约束性企业规则保护。有关申</w:t>
      </w:r>
      <w:r>
        <w:rPr>
          <w:spacing w:val="-17"/>
          <w:sz w:val="24"/>
        </w:rPr>
        <w:t>办者 </w:t>
      </w:r>
      <w:r>
        <w:rPr>
          <w:rFonts w:ascii="Times New Roman" w:hAnsi="Times New Roman" w:eastAsia="Times New Roman"/>
          <w:spacing w:val="-1"/>
          <w:sz w:val="24"/>
        </w:rPr>
        <w:t>BC</w:t>
      </w:r>
      <w:r>
        <w:rPr>
          <w:rFonts w:ascii="Times New Roman" w:hAnsi="Times New Roman" w:eastAsia="Times New Roman"/>
          <w:sz w:val="24"/>
        </w:rPr>
        <w:t>R</w:t>
      </w:r>
      <w:r>
        <w:rPr>
          <w:rFonts w:ascii="Times New Roman" w:hAnsi="Times New Roman" w:eastAsia="Times New Roman"/>
          <w:spacing w:val="-12"/>
          <w:sz w:val="24"/>
        </w:rPr>
        <w:t> </w:t>
      </w:r>
      <w:r>
        <w:rPr>
          <w:sz w:val="24"/>
        </w:rPr>
        <w:t>的更多信息，请见：</w:t>
      </w:r>
      <w:hyperlink r:id="rId22">
        <w:r>
          <w:rPr>
            <w:rFonts w:ascii="Times New Roman" w:hAnsi="Times New Roman" w:eastAsia="Times New Roman"/>
            <w:spacing w:val="-1"/>
            <w:sz w:val="24"/>
          </w:rPr>
          <w:t>ww</w:t>
        </w:r>
        <w:r>
          <w:rPr>
            <w:rFonts w:ascii="Times New Roman" w:hAnsi="Times New Roman" w:eastAsia="Times New Roman"/>
            <w:sz w:val="24"/>
          </w:rPr>
          <w:t>w.astrazenecabinding</w:t>
        </w:r>
        <w:r>
          <w:rPr>
            <w:rFonts w:ascii="Times New Roman" w:hAnsi="Times New Roman" w:eastAsia="Times New Roman"/>
            <w:spacing w:val="-1"/>
            <w:sz w:val="24"/>
          </w:rPr>
          <w:t>c</w:t>
        </w:r>
        <w:r>
          <w:rPr>
            <w:rFonts w:ascii="Times New Roman" w:hAnsi="Times New Roman" w:eastAsia="Times New Roman"/>
            <w:sz w:val="24"/>
          </w:rPr>
          <w:t>orporater</w:t>
        </w:r>
        <w:r>
          <w:rPr>
            <w:rFonts w:ascii="Times New Roman" w:hAnsi="Times New Roman" w:eastAsia="Times New Roman"/>
            <w:spacing w:val="-1"/>
            <w:sz w:val="24"/>
          </w:rPr>
          <w:t>u</w:t>
        </w:r>
        <w:r>
          <w:rPr>
            <w:rFonts w:ascii="Times New Roman" w:hAnsi="Times New Roman" w:eastAsia="Times New Roman"/>
            <w:sz w:val="24"/>
          </w:rPr>
          <w:t>les.com</w:t>
        </w:r>
      </w:hyperlink>
    </w:p>
    <w:p>
      <w:pPr>
        <w:pStyle w:val="ListParagraph"/>
        <w:numPr>
          <w:ilvl w:val="1"/>
          <w:numId w:val="53"/>
        </w:numPr>
        <w:tabs>
          <w:tab w:pos="1069" w:val="left" w:leader="none"/>
          <w:tab w:pos="1071" w:val="left" w:leader="none"/>
        </w:tabs>
        <w:spacing w:line="276" w:lineRule="auto" w:before="57" w:after="0"/>
        <w:ind w:left="1071" w:right="367" w:hanging="426"/>
        <w:jc w:val="both"/>
        <w:rPr>
          <w:sz w:val="24"/>
        </w:rPr>
      </w:pPr>
      <w:r>
        <w:rPr>
          <w:spacing w:val="5"/>
          <w:sz w:val="24"/>
        </w:rPr>
        <w:t>在所有其他情况下，受试者的经编码数据受到合同安排、行为准则或认证的保护，这些认证将个人信息保护规则设定为欧洲国家可用的规则或法律规定的其他替代方法，以及规定在进行转移影响评估时可能产生的任何补充技术和组织措施。</w:t>
      </w:r>
    </w:p>
    <w:p>
      <w:pPr>
        <w:pStyle w:val="BodyText"/>
        <w:spacing w:before="141"/>
        <w:ind w:left="0"/>
      </w:pPr>
    </w:p>
    <w:p>
      <w:pPr>
        <w:tabs>
          <w:tab w:pos="1359" w:val="left" w:leader="none"/>
        </w:tabs>
        <w:spacing w:before="0"/>
        <w:ind w:left="221" w:right="0" w:firstLine="0"/>
        <w:jc w:val="left"/>
        <w:rPr>
          <w:b/>
          <w:sz w:val="28"/>
        </w:rPr>
      </w:pPr>
      <w:bookmarkStart w:name="A 5 委员会结构" w:id="294"/>
      <w:bookmarkEnd w:id="294"/>
      <w:r>
        <w:rPr/>
      </w:r>
      <w:r>
        <w:rPr>
          <w:rFonts w:ascii="Times New Roman" w:eastAsia="Times New Roman"/>
          <w:b/>
          <w:sz w:val="26"/>
        </w:rPr>
        <w:t>A </w:t>
      </w:r>
      <w:r>
        <w:rPr>
          <w:rFonts w:ascii="Times New Roman" w:eastAsia="Times New Roman"/>
          <w:b/>
          <w:spacing w:val="-10"/>
          <w:sz w:val="26"/>
        </w:rPr>
        <w:t>5</w:t>
      </w:r>
      <w:r>
        <w:rPr>
          <w:rFonts w:ascii="Times New Roman" w:eastAsia="Times New Roman"/>
          <w:b/>
          <w:sz w:val="26"/>
        </w:rPr>
        <w:tab/>
      </w:r>
      <w:r>
        <w:rPr>
          <w:b/>
          <w:spacing w:val="-6"/>
          <w:sz w:val="28"/>
        </w:rPr>
        <w:t>委员会结构</w:t>
      </w:r>
    </w:p>
    <w:p>
      <w:pPr>
        <w:pStyle w:val="BodyText"/>
        <w:spacing w:line="276" w:lineRule="auto" w:before="119"/>
        <w:ind w:right="357" w:firstLine="480"/>
        <w:jc w:val="both"/>
      </w:pPr>
      <w:r>
        <w:rPr>
          <w:spacing w:val="-10"/>
        </w:rPr>
        <w:t>关于 </w:t>
      </w:r>
      <w:r>
        <w:rPr>
          <w:rFonts w:ascii="Times New Roman" w:eastAsia="Times New Roman"/>
        </w:rPr>
        <w:t>IDMC</w:t>
      </w:r>
      <w:r>
        <w:rPr>
          <w:rFonts w:ascii="Times New Roman" w:eastAsia="Times New Roman"/>
          <w:spacing w:val="-15"/>
        </w:rPr>
        <w:t> </w:t>
      </w:r>
      <w:r>
        <w:rPr>
          <w:spacing w:val="-4"/>
        </w:rPr>
        <w:t>的详细内容，请见 </w:t>
      </w:r>
      <w:r>
        <w:rPr>
          <w:rFonts w:ascii="Times New Roman" w:eastAsia="Times New Roman"/>
        </w:rPr>
        <w:t>IDMC</w:t>
      </w:r>
      <w:r>
        <w:rPr>
          <w:rFonts w:ascii="Times New Roman" w:eastAsia="Times New Roman"/>
          <w:spacing w:val="-7"/>
        </w:rPr>
        <w:t> </w:t>
      </w:r>
      <w:r>
        <w:rPr/>
        <w:t>章程。关于独立中心裁定委员会的详细内</w:t>
      </w:r>
      <w:r>
        <w:rPr>
          <w:spacing w:val="-2"/>
        </w:rPr>
        <w:t>容，请见章程。</w:t>
      </w:r>
    </w:p>
    <w:p>
      <w:pPr>
        <w:tabs>
          <w:tab w:pos="1359" w:val="left" w:leader="none"/>
        </w:tabs>
        <w:spacing w:before="239"/>
        <w:ind w:left="221" w:right="0" w:firstLine="0"/>
        <w:jc w:val="left"/>
        <w:rPr>
          <w:b/>
          <w:sz w:val="28"/>
        </w:rPr>
      </w:pPr>
      <w:bookmarkStart w:name="A 6 临床研究数据的传播" w:id="295"/>
      <w:bookmarkEnd w:id="295"/>
      <w:r>
        <w:rPr/>
      </w:r>
      <w:r>
        <w:rPr>
          <w:rFonts w:ascii="Times New Roman" w:eastAsia="Times New Roman"/>
          <w:b/>
          <w:sz w:val="26"/>
        </w:rPr>
        <w:t>A </w:t>
      </w:r>
      <w:r>
        <w:rPr>
          <w:rFonts w:ascii="Times New Roman" w:eastAsia="Times New Roman"/>
          <w:b/>
          <w:spacing w:val="-10"/>
          <w:sz w:val="26"/>
        </w:rPr>
        <w:t>6</w:t>
      </w:r>
      <w:r>
        <w:rPr>
          <w:rFonts w:ascii="Times New Roman" w:eastAsia="Times New Roman"/>
          <w:b/>
          <w:sz w:val="26"/>
        </w:rPr>
        <w:tab/>
      </w:r>
      <w:r>
        <w:rPr>
          <w:b/>
          <w:spacing w:val="-5"/>
          <w:sz w:val="28"/>
        </w:rPr>
        <w:t>临床研究数据的传播</w:t>
      </w:r>
    </w:p>
    <w:p>
      <w:pPr>
        <w:pStyle w:val="BodyText"/>
        <w:spacing w:line="276" w:lineRule="auto" w:before="119"/>
        <w:ind w:right="365" w:firstLine="480"/>
        <w:jc w:val="both"/>
      </w:pPr>
      <w:r>
        <w:rPr>
          <w:spacing w:val="-2"/>
        </w:rPr>
        <w:t>由于科学原因，本试验的任何结果（包括技术总结和非专业总结）将在所有参与国家的全球试验结束日期后 </w:t>
      </w:r>
      <w:r>
        <w:rPr>
          <w:rFonts w:ascii="Times New Roman" w:eastAsia="Times New Roman"/>
        </w:rPr>
        <w:t>1 </w:t>
      </w:r>
      <w:r>
        <w:rPr>
          <w:spacing w:val="-4"/>
        </w:rPr>
        <w:t>年内提交至 </w:t>
      </w:r>
      <w:r>
        <w:rPr>
          <w:rFonts w:ascii="Times New Roman" w:eastAsia="Times New Roman"/>
        </w:rPr>
        <w:t>EU CTIS</w:t>
      </w:r>
      <w:r>
        <w:rPr/>
        <w:t>，否则统计分析无意义。</w:t>
      </w:r>
    </w:p>
    <w:p>
      <w:pPr>
        <w:pStyle w:val="BodyText"/>
        <w:spacing w:line="276" w:lineRule="auto" w:before="239"/>
        <w:ind w:right="357" w:firstLine="480"/>
        <w:jc w:val="both"/>
      </w:pPr>
      <w:r>
        <w:rPr>
          <w:spacing w:val="26"/>
        </w:rPr>
        <w:t>获得研究结果总结后，可通过 </w:t>
      </w:r>
      <w:hyperlink r:id="rId23">
        <w:r>
          <w:rPr>
            <w:rFonts w:ascii="Times New Roman" w:eastAsia="Times New Roman"/>
          </w:rPr>
          <w:t>http://astrazenecagrouptrials.pharmacm.com</w:t>
        </w:r>
      </w:hyperlink>
      <w:r>
        <w:rPr>
          <w:rFonts w:ascii="Times New Roman" w:eastAsia="Times New Roman"/>
          <w:spacing w:val="40"/>
        </w:rPr>
        <w:t> </w:t>
      </w:r>
      <w:r>
        <w:rPr/>
        <w:t>和 </w:t>
      </w:r>
      <w:hyperlink r:id="rId24">
        <w:r>
          <w:rPr>
            <w:rFonts w:ascii="Times New Roman" w:eastAsia="Times New Roman"/>
          </w:rPr>
          <w:t>http://www.clinicaltrials.gov</w:t>
        </w:r>
      </w:hyperlink>
      <w:r>
        <w:rPr>
          <w:rFonts w:ascii="Times New Roman" w:eastAsia="Times New Roman"/>
        </w:rPr>
        <w:t> </w:t>
      </w:r>
      <w:r>
        <w:rPr/>
        <w:t>获得临床研究详情。根据研究实施国家的法规，临床研</w:t>
      </w:r>
      <w:r>
        <w:rPr>
          <w:spacing w:val="-2"/>
        </w:rPr>
        <w:t>究和</w:t>
      </w:r>
      <w:r>
        <w:rPr>
          <w:rFonts w:ascii="Times New Roman" w:eastAsia="Times New Roman"/>
          <w:spacing w:val="-2"/>
        </w:rPr>
        <w:t>/</w:t>
      </w:r>
      <w:r>
        <w:rPr>
          <w:spacing w:val="-2"/>
        </w:rPr>
        <w:t>或研究结果总结也可通过其他网站获得。</w:t>
      </w:r>
    </w:p>
    <w:p>
      <w:pPr>
        <w:spacing w:after="0" w:line="276" w:lineRule="auto"/>
        <w:jc w:val="both"/>
        <w:sectPr>
          <w:pgSz w:w="11910" w:h="16840"/>
          <w:pgMar w:header="590" w:footer="784" w:top="1340" w:bottom="980" w:left="1480" w:right="1080"/>
        </w:sectPr>
      </w:pPr>
    </w:p>
    <w:p>
      <w:pPr>
        <w:tabs>
          <w:tab w:pos="1359" w:val="left" w:leader="none"/>
        </w:tabs>
        <w:spacing w:before="88"/>
        <w:ind w:left="221" w:right="0" w:firstLine="0"/>
        <w:jc w:val="both"/>
        <w:rPr>
          <w:b/>
          <w:sz w:val="28"/>
        </w:rPr>
      </w:pPr>
      <w:bookmarkStart w:name="A 7 数据质量保证" w:id="296"/>
      <w:bookmarkEnd w:id="296"/>
      <w:r>
        <w:rPr/>
      </w:r>
      <w:r>
        <w:rPr>
          <w:rFonts w:ascii="Times New Roman" w:eastAsia="Times New Roman"/>
          <w:b/>
          <w:sz w:val="26"/>
        </w:rPr>
        <w:t>A </w:t>
      </w:r>
      <w:r>
        <w:rPr>
          <w:rFonts w:ascii="Times New Roman" w:eastAsia="Times New Roman"/>
          <w:b/>
          <w:spacing w:val="-10"/>
          <w:sz w:val="26"/>
        </w:rPr>
        <w:t>7</w:t>
      </w:r>
      <w:r>
        <w:rPr>
          <w:rFonts w:ascii="Times New Roman" w:eastAsia="Times New Roman"/>
          <w:b/>
          <w:sz w:val="26"/>
        </w:rPr>
        <w:tab/>
      </w:r>
      <w:r>
        <w:rPr>
          <w:b/>
          <w:spacing w:val="-5"/>
          <w:sz w:val="28"/>
        </w:rPr>
        <w:t>数据质量保证</w:t>
      </w:r>
    </w:p>
    <w:p>
      <w:pPr>
        <w:pStyle w:val="BodyText"/>
        <w:spacing w:line="276" w:lineRule="auto" w:before="119"/>
        <w:ind w:right="355" w:firstLine="480"/>
        <w:jc w:val="both"/>
      </w:pPr>
      <w:r>
        <w:rPr/>
        <w:t>所有研究相关的受试者数据均记录在 </w:t>
      </w:r>
      <w:r>
        <w:rPr>
          <w:rFonts w:ascii="Times New Roman" w:eastAsia="Times New Roman"/>
        </w:rPr>
        <w:t>eCRF </w:t>
      </w:r>
      <w:r>
        <w:rPr/>
        <w:t>中，通过电子方式传输至申办者或</w:t>
      </w:r>
      <w:r>
        <w:rPr>
          <w:spacing w:val="-2"/>
        </w:rPr>
        <w:t>指定人员的数据除外（例如，实验室数据）</w:t>
      </w:r>
      <w:r>
        <w:rPr>
          <w:spacing w:val="-4"/>
        </w:rPr>
        <w:t>。研究者负责通过电子方式签署 </w:t>
      </w:r>
      <w:r>
        <w:rPr>
          <w:rFonts w:ascii="Times New Roman" w:eastAsia="Times New Roman"/>
          <w:spacing w:val="-2"/>
        </w:rPr>
        <w:t>eCRF</w:t>
      </w:r>
      <w:r>
        <w:rPr>
          <w:spacing w:val="-2"/>
        </w:rPr>
        <w:t>，以验证输入的数据是否准确且正确。</w:t>
      </w:r>
    </w:p>
    <w:p>
      <w:pPr>
        <w:pStyle w:val="BodyText"/>
        <w:spacing w:before="237"/>
        <w:ind w:left="701"/>
      </w:pPr>
      <w:r>
        <w:rPr/>
        <w:t>研究者必须保存准确文件（原始数据），</w:t>
      </w:r>
      <w:r>
        <w:rPr>
          <w:spacing w:val="-13"/>
        </w:rPr>
        <w:t>以支持在 </w:t>
      </w:r>
      <w:r>
        <w:rPr>
          <w:rFonts w:ascii="Times New Roman" w:eastAsia="Times New Roman"/>
        </w:rPr>
        <w:t>eCRF</w:t>
      </w:r>
      <w:r>
        <w:rPr>
          <w:rFonts w:ascii="Times New Roman" w:eastAsia="Times New Roman"/>
          <w:spacing w:val="-13"/>
        </w:rPr>
        <w:t> </w:t>
      </w:r>
      <w:r>
        <w:rPr>
          <w:spacing w:val="-2"/>
        </w:rPr>
        <w:t>中录入的信息。</w:t>
      </w:r>
    </w:p>
    <w:p>
      <w:pPr>
        <w:pStyle w:val="BodyText"/>
        <w:spacing w:line="276" w:lineRule="auto" w:before="287"/>
        <w:ind w:right="353" w:firstLine="480"/>
        <w:jc w:val="both"/>
      </w:pPr>
      <w:r>
        <w:rPr/>
        <w:t>研究者必须允许研究相关的监查、稽查、</w:t>
      </w:r>
      <w:r>
        <w:rPr>
          <w:rFonts w:ascii="Times New Roman" w:eastAsia="Times New Roman"/>
        </w:rPr>
        <w:t>IRB/IEC </w:t>
      </w:r>
      <w:r>
        <w:rPr/>
        <w:t>审查和药政审批机构检查，</w:t>
      </w:r>
      <w:r>
        <w:rPr>
          <w:spacing w:val="-2"/>
        </w:rPr>
        <w:t>并提供直接查看原始数据文件的权限。</w:t>
      </w:r>
    </w:p>
    <w:p>
      <w:pPr>
        <w:pStyle w:val="BodyText"/>
        <w:spacing w:line="276" w:lineRule="auto" w:before="237"/>
        <w:ind w:right="354" w:firstLine="480"/>
        <w:jc w:val="both"/>
      </w:pPr>
      <w:r>
        <w:rPr/>
        <w:t>将在 </w:t>
      </w:r>
      <w:r>
        <w:rPr>
          <w:rFonts w:ascii="Times New Roman" w:eastAsia="Times New Roman"/>
        </w:rPr>
        <w:t>IQRMP </w:t>
      </w:r>
      <w:r>
        <w:rPr/>
        <w:t>中预先规定质量风险的容忍度，以识别可能影响受试者安全性和</w:t>
      </w:r>
      <w:r>
        <w:rPr>
          <w:rFonts w:ascii="Times New Roman" w:eastAsia="Times New Roman"/>
        </w:rPr>
        <w:t>/</w:t>
      </w:r>
      <w:r>
        <w:rPr>
          <w:spacing w:val="-2"/>
        </w:rPr>
        <w:t>或研究结果可靠性的系统性问题。将在研究期间监测这些预先规定的参数，并将在 </w:t>
      </w:r>
      <w:r>
        <w:rPr>
          <w:rFonts w:ascii="Times New Roman" w:eastAsia="Times New Roman"/>
        </w:rPr>
        <w:t>CSR</w:t>
      </w:r>
      <w:r>
        <w:rPr>
          <w:rFonts w:ascii="Times New Roman" w:eastAsia="Times New Roman"/>
          <w:spacing w:val="-7"/>
        </w:rPr>
        <w:t> </w:t>
      </w:r>
      <w:r>
        <w:rPr/>
        <w:t>中总结质量风险的容忍度重要偏离和采取的补救措施。</w:t>
      </w:r>
    </w:p>
    <w:p>
      <w:pPr>
        <w:pStyle w:val="BodyText"/>
        <w:spacing w:line="276" w:lineRule="auto" w:before="238"/>
        <w:ind w:right="354" w:firstLine="480"/>
        <w:jc w:val="both"/>
      </w:pPr>
      <w:r>
        <w:rPr>
          <w:spacing w:val="-2"/>
        </w:rPr>
        <w:t>在监查计划中提供了描述策略的监查细节，包括研究关键数据项目和流程的定义（例如，运营部和质量部基于风险的举措，如风险管理和规避策略，以及基于风险的分析监查）、方法、职责和要求的监测详细内容，包括处理非依从性问题和监查方法（中心、远程或现场监查）。</w:t>
      </w:r>
    </w:p>
    <w:p>
      <w:pPr>
        <w:pStyle w:val="BodyText"/>
        <w:spacing w:line="276" w:lineRule="auto" w:before="236"/>
        <w:ind w:right="354" w:firstLine="480"/>
        <w:jc w:val="both"/>
      </w:pPr>
      <w:r>
        <w:rPr>
          <w:spacing w:val="-2"/>
        </w:rPr>
        <w:t>阿斯利康或指定人员负责在整个研究过程中进行医学监督，包括根据当前批准的方案对研究数据进行临床审查。从医学角度描述研究数据临床审查的监查详情参见监查计划。</w:t>
      </w:r>
    </w:p>
    <w:p>
      <w:pPr>
        <w:pStyle w:val="BodyText"/>
        <w:spacing w:line="460" w:lineRule="auto" w:before="238"/>
        <w:ind w:left="701" w:right="1445"/>
      </w:pPr>
      <w:r>
        <w:rPr>
          <w:spacing w:val="-2"/>
        </w:rPr>
        <w:t>申办者或指定人员负责本研究的数据管理工作，包括数据质量核查。申办者对委托给其他个体（如合同研究组织）的行动承担责任。</w:t>
      </w:r>
    </w:p>
    <w:p>
      <w:pPr>
        <w:pStyle w:val="BodyText"/>
        <w:spacing w:line="276" w:lineRule="auto"/>
        <w:ind w:right="356" w:firstLine="480"/>
        <w:jc w:val="both"/>
      </w:pPr>
      <w:r>
        <w:rPr>
          <w:spacing w:val="-2"/>
        </w:rPr>
        <w:t>研究监查员将根据监控计划进行持续原始数据验证，以确认由授权的中心工作</w:t>
      </w:r>
      <w:r>
        <w:rPr/>
        <w:t>人员录入到 </w:t>
      </w:r>
      <w:r>
        <w:rPr>
          <w:rFonts w:ascii="Times New Roman" w:eastAsia="Times New Roman"/>
        </w:rPr>
        <w:t>eCRF </w:t>
      </w:r>
      <w:r>
        <w:rPr/>
        <w:t>中的数据准确、完整、可从源文件中查证；受试者的安全性和权利受到保护；研究按照现行批准的方案和任何其他研究协议、</w:t>
      </w:r>
      <w:r>
        <w:rPr>
          <w:rFonts w:ascii="Times New Roman" w:eastAsia="Times New Roman"/>
        </w:rPr>
        <w:t>ICH GCP </w:t>
      </w:r>
      <w:r>
        <w:rPr/>
        <w:t>和所有适用</w:t>
      </w:r>
      <w:r>
        <w:rPr>
          <w:spacing w:val="-2"/>
        </w:rPr>
        <w:t>的监管要求实施。</w:t>
      </w:r>
    </w:p>
    <w:p>
      <w:pPr>
        <w:pStyle w:val="BodyText"/>
        <w:spacing w:line="276" w:lineRule="auto" w:before="235"/>
        <w:ind w:right="354" w:firstLine="480"/>
        <w:jc w:val="both"/>
      </w:pPr>
      <w:r>
        <w:rPr/>
        <w:t>根据阿斯利康 </w:t>
      </w:r>
      <w:r>
        <w:rPr>
          <w:rFonts w:ascii="Times New Roman" w:eastAsia="Times New Roman"/>
        </w:rPr>
        <w:t>GRAD </w:t>
      </w:r>
      <w:r>
        <w:rPr/>
        <w:t>计划，与本研究开展相关的记录和文件（包括已签署的 </w:t>
      </w:r>
      <w:r>
        <w:rPr>
          <w:rFonts w:ascii="Times New Roman" w:eastAsia="Times New Roman"/>
        </w:rPr>
        <w:t>ICF</w:t>
      </w:r>
      <w:r>
        <w:rPr/>
        <w:t>）</w:t>
      </w:r>
      <w:r>
        <w:rPr>
          <w:spacing w:val="-1"/>
        </w:rPr>
        <w:t>必须由研究者保存，保存期限为研究存档后至少 </w:t>
      </w:r>
      <w:r>
        <w:rPr>
          <w:rFonts w:ascii="Times New Roman" w:eastAsia="Times New Roman"/>
        </w:rPr>
        <w:t>25 </w:t>
      </w:r>
      <w:r>
        <w:rPr/>
        <w:t>年，或按当地法规的要求</w:t>
      </w:r>
      <w:r>
        <w:rPr>
          <w:spacing w:val="-2"/>
        </w:rPr>
        <w:t>保存。未得到申办者书面同意的情况下，保留期内不能毁坏任何记录。未得到申办者书面同意的情况下，不得将任何记录传送至其他位置或机构。</w:t>
      </w:r>
    </w:p>
    <w:p>
      <w:pPr>
        <w:tabs>
          <w:tab w:pos="1359" w:val="left" w:leader="none"/>
        </w:tabs>
        <w:spacing w:before="237"/>
        <w:ind w:left="221" w:right="0" w:firstLine="0"/>
        <w:jc w:val="both"/>
        <w:rPr>
          <w:b/>
          <w:sz w:val="28"/>
        </w:rPr>
      </w:pPr>
      <w:bookmarkStart w:name="A 8 源文件" w:id="297"/>
      <w:bookmarkEnd w:id="297"/>
      <w:r>
        <w:rPr/>
      </w:r>
      <w:r>
        <w:rPr>
          <w:rFonts w:ascii="Times New Roman" w:eastAsia="Times New Roman"/>
          <w:b/>
          <w:sz w:val="26"/>
        </w:rPr>
        <w:t>A </w:t>
      </w:r>
      <w:r>
        <w:rPr>
          <w:rFonts w:ascii="Times New Roman" w:eastAsia="Times New Roman"/>
          <w:b/>
          <w:spacing w:val="-10"/>
          <w:sz w:val="26"/>
        </w:rPr>
        <w:t>8</w:t>
      </w:r>
      <w:r>
        <w:rPr>
          <w:rFonts w:ascii="Times New Roman" w:eastAsia="Times New Roman"/>
          <w:b/>
          <w:sz w:val="26"/>
        </w:rPr>
        <w:tab/>
      </w:r>
      <w:r>
        <w:rPr>
          <w:b/>
          <w:spacing w:val="-5"/>
          <w:sz w:val="28"/>
        </w:rPr>
        <w:t>源文件</w:t>
      </w:r>
    </w:p>
    <w:p>
      <w:pPr>
        <w:pStyle w:val="BodyText"/>
        <w:spacing w:line="276" w:lineRule="auto" w:before="120"/>
        <w:ind w:right="365" w:firstLine="480"/>
      </w:pPr>
      <w:r>
        <w:rPr>
          <w:spacing w:val="-2"/>
        </w:rPr>
        <w:t>源文件提供受试者参与研究的证据，并证明所收集数据的完整性。源文件在研究者所在的研究中心归档。</w:t>
      </w:r>
    </w:p>
    <w:p>
      <w:pPr>
        <w:spacing w:after="0" w:line="276" w:lineRule="auto"/>
        <w:sectPr>
          <w:pgSz w:w="11910" w:h="16840"/>
          <w:pgMar w:header="590" w:footer="784" w:top="1340" w:bottom="980" w:left="1480" w:right="1080"/>
        </w:sectPr>
      </w:pPr>
    </w:p>
    <w:p>
      <w:pPr>
        <w:pStyle w:val="BodyText"/>
        <w:spacing w:line="276" w:lineRule="auto" w:before="88"/>
        <w:ind w:right="354" w:firstLine="480"/>
        <w:jc w:val="both"/>
      </w:pPr>
      <w:r>
        <w:rPr/>
        <w:t>从源文件转录至 </w:t>
      </w:r>
      <w:r>
        <w:rPr>
          <w:rFonts w:ascii="Times New Roman" w:eastAsia="Times New Roman"/>
        </w:rPr>
        <w:t>eCRF </w:t>
      </w:r>
      <w:r>
        <w:rPr/>
        <w:t>的数据必须与源文件一致，如果存在出入，必须予以说</w:t>
      </w:r>
      <w:r>
        <w:rPr>
          <w:spacing w:val="-2"/>
        </w:rPr>
        <w:t>明。研究者可能需要索取既往病历或者转移记录，具体视研究而定。同样也必须获得当前病历。</w:t>
      </w:r>
    </w:p>
    <w:p>
      <w:pPr>
        <w:pStyle w:val="BodyText"/>
        <w:spacing w:before="238"/>
        <w:ind w:left="701"/>
      </w:pPr>
      <w:r>
        <w:rPr>
          <w:spacing w:val="-1"/>
        </w:rPr>
        <w:t>原始数据定义请见监查计划。</w:t>
      </w:r>
    </w:p>
    <w:p>
      <w:pPr>
        <w:pStyle w:val="Heading1"/>
        <w:tabs>
          <w:tab w:pos="1359" w:val="left" w:leader="none"/>
        </w:tabs>
        <w:spacing w:before="285"/>
        <w:ind w:left="221" w:firstLine="0"/>
      </w:pPr>
      <w:bookmarkStart w:name="A 9 研究开始与终止，研究中心启动与关闭" w:id="298"/>
      <w:bookmarkEnd w:id="298"/>
      <w:r>
        <w:rPr>
          <w:b w:val="0"/>
        </w:rPr>
      </w:r>
      <w:r>
        <w:rPr>
          <w:rFonts w:ascii="Times New Roman" w:eastAsia="Times New Roman"/>
          <w:sz w:val="26"/>
        </w:rPr>
        <w:t>A </w:t>
      </w:r>
      <w:r>
        <w:rPr>
          <w:rFonts w:ascii="Times New Roman" w:eastAsia="Times New Roman"/>
          <w:spacing w:val="-10"/>
          <w:sz w:val="26"/>
        </w:rPr>
        <w:t>9</w:t>
      </w:r>
      <w:r>
        <w:rPr>
          <w:rFonts w:ascii="Times New Roman" w:eastAsia="Times New Roman"/>
          <w:sz w:val="26"/>
        </w:rPr>
        <w:tab/>
      </w:r>
      <w:r>
        <w:rPr>
          <w:spacing w:val="-5"/>
        </w:rPr>
        <w:t>研究开始与终止，研究中心启动与关闭</w:t>
      </w:r>
    </w:p>
    <w:p>
      <w:pPr>
        <w:pStyle w:val="BodyText"/>
        <w:spacing w:before="120"/>
        <w:ind w:left="701"/>
      </w:pPr>
      <w:r>
        <w:rPr>
          <w:spacing w:val="-1"/>
        </w:rPr>
        <w:t>研究开始日期是指临床研究开始招募受试者的日期。</w:t>
      </w:r>
    </w:p>
    <w:p>
      <w:pPr>
        <w:pStyle w:val="BodyText"/>
        <w:spacing w:before="285"/>
        <w:ind w:left="701"/>
      </w:pPr>
      <w:r>
        <w:rPr>
          <w:spacing w:val="-1"/>
        </w:rPr>
        <w:t>招募的第一步是第一家研究中心的启动，也是研究开始日期。</w:t>
      </w:r>
    </w:p>
    <w:p>
      <w:pPr>
        <w:pStyle w:val="BodyText"/>
        <w:spacing w:line="276" w:lineRule="auto" w:before="286"/>
        <w:ind w:right="116" w:firstLine="480"/>
      </w:pPr>
      <w:r>
        <w:rPr>
          <w:spacing w:val="-2"/>
        </w:rPr>
        <w:t>申办者指定人员保留根据申办者自行判断，随时因任何原因关闭研究中心或终</w:t>
      </w:r>
      <w:r>
        <w:rPr>
          <w:spacing w:val="80"/>
          <w:w w:val="150"/>
        </w:rPr>
        <w:t> </w:t>
      </w:r>
      <w:r>
        <w:rPr>
          <w:spacing w:val="-2"/>
        </w:rPr>
        <w:t>止研究。研究完成后，研究中心将被关闭。在完成所有要求的文件和研究用品收集，以及研究中心关闭访视后，该研究中心被认为已关闭。</w:t>
      </w:r>
    </w:p>
    <w:p>
      <w:pPr>
        <w:pStyle w:val="BodyText"/>
        <w:spacing w:line="276" w:lineRule="auto" w:before="238"/>
        <w:ind w:right="365" w:firstLine="480"/>
      </w:pPr>
      <w:r>
        <w:rPr>
          <w:spacing w:val="-2"/>
        </w:rPr>
        <w:t>如果存在合理原因，并在计划终止前已充分告知，研究者可随时启动研究中心关闭程序。</w:t>
      </w:r>
    </w:p>
    <w:p>
      <w:pPr>
        <w:pStyle w:val="BodyText"/>
        <w:spacing w:before="238"/>
        <w:ind w:left="701"/>
      </w:pPr>
      <w:r>
        <w:rPr>
          <w:spacing w:val="-1"/>
        </w:rPr>
        <w:t>申办者或研究者提前关闭研究中心的原因可能包括但不限于：</w:t>
      </w:r>
    </w:p>
    <w:p>
      <w:pPr>
        <w:pStyle w:val="ListParagraph"/>
        <w:numPr>
          <w:ilvl w:val="0"/>
          <w:numId w:val="53"/>
        </w:numPr>
        <w:tabs>
          <w:tab w:pos="646" w:val="left" w:leader="none"/>
        </w:tabs>
        <w:spacing w:line="240" w:lineRule="auto" w:before="285" w:after="0"/>
        <w:ind w:left="646" w:right="0" w:hanging="425"/>
        <w:jc w:val="left"/>
        <w:rPr>
          <w:rFonts w:ascii="Times New Roman" w:hAnsi="Times New Roman" w:eastAsia="Times New Roman"/>
          <w:sz w:val="24"/>
        </w:rPr>
      </w:pPr>
      <w:r>
        <w:rPr>
          <w:sz w:val="24"/>
        </w:rPr>
        <w:t>研究者未能遵守方案、</w:t>
      </w:r>
      <w:r>
        <w:rPr>
          <w:rFonts w:ascii="Times New Roman" w:hAnsi="Times New Roman" w:eastAsia="Times New Roman"/>
          <w:sz w:val="24"/>
        </w:rPr>
        <w:t>IRB/IEC</w:t>
      </w:r>
      <w:r>
        <w:rPr>
          <w:spacing w:val="1"/>
          <w:sz w:val="24"/>
        </w:rPr>
        <w:t>或当地卫生管理部门的要求、申办者程序或</w:t>
      </w:r>
      <w:r>
        <w:rPr>
          <w:rFonts w:ascii="Times New Roman" w:hAnsi="Times New Roman" w:eastAsia="Times New Roman"/>
          <w:spacing w:val="-5"/>
          <w:sz w:val="24"/>
        </w:rPr>
        <w:t>GCP</w:t>
      </w:r>
    </w:p>
    <w:p>
      <w:pPr>
        <w:pStyle w:val="BodyText"/>
        <w:ind w:left="646"/>
      </w:pPr>
      <w:r>
        <w:rPr>
          <w:spacing w:val="-3"/>
        </w:rPr>
        <w:t>指导原则</w:t>
      </w:r>
    </w:p>
    <w:p>
      <w:pPr>
        <w:pStyle w:val="ListParagraph"/>
        <w:numPr>
          <w:ilvl w:val="0"/>
          <w:numId w:val="53"/>
        </w:numPr>
        <w:tabs>
          <w:tab w:pos="646" w:val="left" w:leader="none"/>
        </w:tabs>
        <w:spacing w:line="240" w:lineRule="auto" w:before="60" w:after="0"/>
        <w:ind w:left="646" w:right="0" w:hanging="425"/>
        <w:jc w:val="left"/>
        <w:rPr>
          <w:sz w:val="24"/>
        </w:rPr>
      </w:pPr>
      <w:r>
        <w:rPr>
          <w:spacing w:val="-1"/>
          <w:sz w:val="24"/>
        </w:rPr>
        <w:t>研究者招募的受试者数量不足</w:t>
      </w:r>
    </w:p>
    <w:p>
      <w:pPr>
        <w:pStyle w:val="ListParagraph"/>
        <w:numPr>
          <w:ilvl w:val="0"/>
          <w:numId w:val="53"/>
        </w:numPr>
        <w:tabs>
          <w:tab w:pos="646" w:val="left" w:leader="none"/>
        </w:tabs>
        <w:spacing w:line="240" w:lineRule="auto" w:before="59" w:after="0"/>
        <w:ind w:left="646" w:right="0" w:hanging="425"/>
        <w:jc w:val="left"/>
        <w:rPr>
          <w:sz w:val="24"/>
        </w:rPr>
      </w:pPr>
      <w:r>
        <w:rPr>
          <w:spacing w:val="-10"/>
          <w:sz w:val="24"/>
        </w:rPr>
        <w:t>终止进一步 </w:t>
      </w:r>
      <w:r>
        <w:rPr>
          <w:rFonts w:ascii="Times New Roman" w:hAnsi="Times New Roman" w:eastAsia="Times New Roman"/>
          <w:sz w:val="24"/>
        </w:rPr>
        <w:t>IP</w:t>
      </w:r>
      <w:r>
        <w:rPr>
          <w:rFonts w:ascii="Times New Roman" w:hAnsi="Times New Roman" w:eastAsia="Times New Roman"/>
          <w:spacing w:val="-13"/>
          <w:sz w:val="24"/>
        </w:rPr>
        <w:t> </w:t>
      </w:r>
      <w:r>
        <w:rPr>
          <w:spacing w:val="-5"/>
          <w:sz w:val="24"/>
        </w:rPr>
        <w:t>开发</w:t>
      </w:r>
    </w:p>
    <w:p>
      <w:pPr>
        <w:pStyle w:val="BodyText"/>
        <w:spacing w:before="23"/>
        <w:ind w:left="0"/>
      </w:pPr>
    </w:p>
    <w:p>
      <w:pPr>
        <w:pStyle w:val="BodyText"/>
        <w:spacing w:line="276" w:lineRule="auto"/>
        <w:ind w:right="362" w:firstLine="480"/>
        <w:jc w:val="both"/>
      </w:pPr>
      <w:r>
        <w:rPr>
          <w:spacing w:val="2"/>
        </w:rPr>
        <w:t>如果研究提前终止或暂停，按照适用的药政监管要求的规定，申办者应立即将</w:t>
      </w:r>
      <w:r>
        <w:rPr>
          <w:spacing w:val="7"/>
        </w:rPr>
        <w:t>终止或暂停的原因告知研究者、</w:t>
      </w:r>
      <w:r>
        <w:rPr>
          <w:rFonts w:ascii="Times New Roman" w:eastAsia="Times New Roman"/>
        </w:rPr>
        <w:t>IEC/IR</w:t>
      </w:r>
      <w:r>
        <w:rPr>
          <w:rFonts w:ascii="Times New Roman" w:eastAsia="Times New Roman"/>
          <w:spacing w:val="5"/>
        </w:rPr>
        <w:t>B</w:t>
      </w:r>
      <w:r>
        <w:rPr>
          <w:spacing w:val="5"/>
        </w:rPr>
        <w:t>、药政监管部门和研究中使用的任何合同研究组织。研究者应立即通知受试者，并应确保受试者获得适当的治疗和</w:t>
      </w:r>
      <w:r>
        <w:rPr>
          <w:rFonts w:ascii="Times New Roman" w:eastAsia="Times New Roman"/>
          <w:spacing w:val="5"/>
        </w:rPr>
        <w:t>/</w:t>
      </w:r>
      <w:r>
        <w:rPr>
          <w:spacing w:val="5"/>
        </w:rPr>
        <w:t>或随访。</w:t>
      </w:r>
    </w:p>
    <w:p>
      <w:pPr>
        <w:pStyle w:val="BodyText"/>
        <w:spacing w:before="237"/>
        <w:ind w:left="701"/>
      </w:pPr>
      <w:r>
        <w:rPr>
          <w:spacing w:val="-1"/>
        </w:rPr>
        <w:t>来自终止研究的研究中心的受试者可转至其他研究中心继续该研究。</w:t>
      </w:r>
    </w:p>
    <w:p>
      <w:pPr>
        <w:tabs>
          <w:tab w:pos="1359" w:val="left" w:leader="none"/>
        </w:tabs>
        <w:spacing w:before="287"/>
        <w:ind w:left="221" w:right="0" w:firstLine="0"/>
        <w:jc w:val="left"/>
        <w:rPr>
          <w:b/>
          <w:sz w:val="28"/>
        </w:rPr>
      </w:pPr>
      <w:bookmarkStart w:name="A 10 发表文献政策" w:id="299"/>
      <w:bookmarkEnd w:id="299"/>
      <w:r>
        <w:rPr/>
      </w:r>
      <w:r>
        <w:rPr>
          <w:rFonts w:ascii="Times New Roman" w:eastAsia="Times New Roman"/>
          <w:b/>
          <w:sz w:val="26"/>
        </w:rPr>
        <w:t>A </w:t>
      </w:r>
      <w:r>
        <w:rPr>
          <w:rFonts w:ascii="Times New Roman" w:eastAsia="Times New Roman"/>
          <w:b/>
          <w:spacing w:val="-5"/>
          <w:sz w:val="26"/>
        </w:rPr>
        <w:t>10</w:t>
      </w:r>
      <w:r>
        <w:rPr>
          <w:rFonts w:ascii="Times New Roman" w:eastAsia="Times New Roman"/>
          <w:b/>
          <w:sz w:val="26"/>
        </w:rPr>
        <w:tab/>
      </w:r>
      <w:r>
        <w:rPr>
          <w:b/>
          <w:spacing w:val="-5"/>
          <w:sz w:val="28"/>
        </w:rPr>
        <w:t>发表文献政策</w:t>
      </w:r>
    </w:p>
    <w:p>
      <w:pPr>
        <w:pStyle w:val="BodyText"/>
        <w:spacing w:line="276" w:lineRule="auto" w:before="119"/>
        <w:ind w:right="354" w:firstLine="480"/>
        <w:jc w:val="both"/>
      </w:pPr>
      <w:r>
        <w:rPr>
          <w:spacing w:val="-2"/>
        </w:rPr>
        <w:t>这项研究的结果可能文献发表或在科学会议上报告。如果属于可预测情况，研究者需承诺在投稿前向申办者公司提交所有草稿或摘要。这便于申办者保护专有信息并提供相关意见。</w:t>
      </w:r>
    </w:p>
    <w:p>
      <w:pPr>
        <w:pStyle w:val="BodyText"/>
        <w:spacing w:line="276" w:lineRule="auto" w:before="237"/>
        <w:ind w:right="116" w:firstLine="480"/>
      </w:pPr>
      <w:r>
        <w:rPr>
          <w:spacing w:val="-2"/>
        </w:rPr>
        <w:t>申办者将按照发表研究结果的要求。依照标准的编辑规定与伦理操作规范，申</w:t>
      </w:r>
      <w:r>
        <w:rPr>
          <w:spacing w:val="80"/>
          <w:w w:val="150"/>
        </w:rPr>
        <w:t> </w:t>
      </w:r>
      <w:r>
        <w:rPr>
          <w:spacing w:val="-2"/>
        </w:rPr>
        <w:t>办者通常会支持多中心研究以整体而非以单个中心数据的形式发表。在这种情况下，由双方协商确定一名协调研究者。</w:t>
      </w:r>
    </w:p>
    <w:p>
      <w:pPr>
        <w:pStyle w:val="BodyText"/>
        <w:spacing w:before="238"/>
        <w:ind w:left="701"/>
      </w:pPr>
      <w:r>
        <w:rPr>
          <w:spacing w:val="-1"/>
        </w:rPr>
        <w:t>作者将通过双方协商并根据国际医学期刊编辑委员会有关作者的要求确定。</w:t>
      </w:r>
    </w:p>
    <w:p>
      <w:pPr>
        <w:spacing w:after="0"/>
        <w:sectPr>
          <w:pgSz w:w="11910" w:h="16840"/>
          <w:pgMar w:header="590" w:footer="784" w:top="1340" w:bottom="980" w:left="1480" w:right="1080"/>
        </w:sectPr>
      </w:pPr>
    </w:p>
    <w:p>
      <w:pPr>
        <w:pStyle w:val="Heading1"/>
        <w:tabs>
          <w:tab w:pos="1921" w:val="left" w:leader="none"/>
        </w:tabs>
        <w:ind w:left="221" w:firstLine="0"/>
        <w:jc w:val="both"/>
      </w:pPr>
      <w:bookmarkStart w:name="附录B 不良事件：记录、评价、随访和报告的定义和程序" w:id="300"/>
      <w:bookmarkEnd w:id="300"/>
      <w:r>
        <w:rPr>
          <w:b w:val="0"/>
        </w:rPr>
      </w:r>
      <w:bookmarkStart w:name="_bookmark150" w:id="301"/>
      <w:bookmarkEnd w:id="301"/>
      <w:r>
        <w:rPr>
          <w:b w:val="0"/>
        </w:rPr>
      </w:r>
      <w:r>
        <w:rPr>
          <w:spacing w:val="-2"/>
        </w:rPr>
        <w:t>附录</w:t>
      </w:r>
      <w:r>
        <w:rPr>
          <w:rFonts w:ascii="Times New Roman" w:eastAsia="Times New Roman"/>
          <w:spacing w:val="-10"/>
        </w:rPr>
        <w:t>B</w:t>
      </w:r>
      <w:r>
        <w:rPr>
          <w:rFonts w:ascii="Times New Roman" w:eastAsia="Times New Roman"/>
        </w:rPr>
        <w:tab/>
      </w:r>
      <w:r>
        <w:rPr>
          <w:spacing w:val="-4"/>
        </w:rPr>
        <w:t>不良事件：记录、评价、随访和报告的定义和程</w:t>
      </w:r>
      <w:r>
        <w:rPr>
          <w:spacing w:val="-10"/>
        </w:rPr>
        <w:t>序</w:t>
      </w:r>
    </w:p>
    <w:p>
      <w:pPr>
        <w:tabs>
          <w:tab w:pos="1355" w:val="left" w:leader="none"/>
        </w:tabs>
        <w:spacing w:before="159"/>
        <w:ind w:left="221" w:right="0" w:firstLine="0"/>
        <w:jc w:val="both"/>
        <w:rPr>
          <w:b/>
          <w:sz w:val="28"/>
        </w:rPr>
      </w:pPr>
      <w:bookmarkStart w:name="B 1 不良事件的定义" w:id="302"/>
      <w:bookmarkEnd w:id="302"/>
      <w:r>
        <w:rPr/>
      </w:r>
      <w:r>
        <w:rPr>
          <w:rFonts w:ascii="Times New Roman" w:eastAsia="Times New Roman"/>
          <w:b/>
          <w:sz w:val="26"/>
        </w:rPr>
        <w:t>B </w:t>
      </w:r>
      <w:r>
        <w:rPr>
          <w:rFonts w:ascii="Times New Roman" w:eastAsia="Times New Roman"/>
          <w:b/>
          <w:spacing w:val="-10"/>
          <w:sz w:val="26"/>
        </w:rPr>
        <w:t>1</w:t>
      </w:r>
      <w:r>
        <w:rPr>
          <w:rFonts w:ascii="Times New Roman" w:eastAsia="Times New Roman"/>
          <w:b/>
          <w:sz w:val="26"/>
        </w:rPr>
        <w:tab/>
      </w:r>
      <w:r>
        <w:rPr>
          <w:b/>
          <w:spacing w:val="-5"/>
          <w:sz w:val="28"/>
        </w:rPr>
        <w:t>不良事件的定义</w:t>
      </w:r>
    </w:p>
    <w:p>
      <w:pPr>
        <w:pStyle w:val="BodyText"/>
        <w:spacing w:line="276" w:lineRule="auto" w:before="159"/>
        <w:ind w:right="354" w:firstLine="480"/>
        <w:jc w:val="both"/>
      </w:pPr>
      <w:r>
        <w:rPr>
          <w:rFonts w:ascii="Times New Roman" w:eastAsia="Times New Roman"/>
        </w:rPr>
        <w:t>AE</w:t>
      </w:r>
      <w:r>
        <w:rPr>
          <w:rFonts w:ascii="Times New Roman" w:eastAsia="Times New Roman"/>
          <w:spacing w:val="-15"/>
        </w:rPr>
        <w:t> </w:t>
      </w:r>
      <w:r>
        <w:rPr/>
        <w:t>是指接受某种药品给药的患者或临床研究受试者出现的任何不良医学状况，且事件不一定与该治疗存在因果关系。因此，</w:t>
      </w:r>
      <w:r>
        <w:rPr>
          <w:rFonts w:ascii="Times New Roman" w:eastAsia="Times New Roman"/>
        </w:rPr>
        <w:t>AE</w:t>
      </w:r>
      <w:r>
        <w:rPr>
          <w:rFonts w:ascii="Times New Roman" w:eastAsia="Times New Roman"/>
          <w:spacing w:val="-15"/>
        </w:rPr>
        <w:t> </w:t>
      </w:r>
      <w:r>
        <w:rPr/>
        <w:t>可以是任何不良或非预期体征（如</w:t>
      </w:r>
      <w:r>
        <w:rPr>
          <w:spacing w:val="-2"/>
        </w:rPr>
        <w:t>异常实验室检查结果）、症状（如恶心、胸痛）或与所用药品存在时间相关性的疾病，无论是否与该药品有关。</w:t>
      </w:r>
    </w:p>
    <w:p>
      <w:pPr>
        <w:pStyle w:val="BodyText"/>
        <w:spacing w:before="237"/>
        <w:ind w:left="701"/>
      </w:pPr>
      <w:r>
        <w:rPr>
          <w:spacing w:val="-15"/>
        </w:rPr>
        <w:t>术语 </w:t>
      </w:r>
      <w:r>
        <w:rPr>
          <w:rFonts w:ascii="Times New Roman" w:eastAsia="Times New Roman"/>
          <w:spacing w:val="-2"/>
        </w:rPr>
        <w:t>AE</w:t>
      </w:r>
      <w:r>
        <w:rPr>
          <w:rFonts w:ascii="Times New Roman" w:eastAsia="Times New Roman"/>
          <w:spacing w:val="3"/>
        </w:rPr>
        <w:t> </w:t>
      </w:r>
      <w:r>
        <w:rPr>
          <w:spacing w:val="-7"/>
        </w:rPr>
        <w:t>包括严重和非严重 </w:t>
      </w:r>
      <w:r>
        <w:rPr>
          <w:rFonts w:ascii="Times New Roman" w:eastAsia="Times New Roman"/>
          <w:spacing w:val="-2"/>
        </w:rPr>
        <w:t>AE</w:t>
      </w:r>
      <w:r>
        <w:rPr>
          <w:spacing w:val="-3"/>
        </w:rPr>
        <w:t>，也可以包括既有医学状况的恶化。</w:t>
      </w:r>
    </w:p>
    <w:p>
      <w:pPr>
        <w:tabs>
          <w:tab w:pos="1355" w:val="left" w:leader="none"/>
        </w:tabs>
        <w:spacing w:before="286"/>
        <w:ind w:left="221" w:right="0" w:firstLine="0"/>
        <w:jc w:val="both"/>
        <w:rPr>
          <w:b/>
          <w:sz w:val="28"/>
        </w:rPr>
      </w:pPr>
      <w:bookmarkStart w:name="B 2 严重不良事件的定义" w:id="303"/>
      <w:bookmarkEnd w:id="303"/>
      <w:r>
        <w:rPr/>
      </w:r>
      <w:bookmarkStart w:name="_bookmark151" w:id="304"/>
      <w:bookmarkEnd w:id="304"/>
      <w:r>
        <w:rPr/>
      </w:r>
      <w:r>
        <w:rPr>
          <w:rFonts w:ascii="Times New Roman" w:eastAsia="Times New Roman"/>
          <w:b/>
          <w:sz w:val="26"/>
        </w:rPr>
        <w:t>B </w:t>
      </w:r>
      <w:r>
        <w:rPr>
          <w:rFonts w:ascii="Times New Roman" w:eastAsia="Times New Roman"/>
          <w:b/>
          <w:spacing w:val="-10"/>
          <w:sz w:val="26"/>
        </w:rPr>
        <w:t>2</w:t>
      </w:r>
      <w:r>
        <w:rPr>
          <w:rFonts w:ascii="Times New Roman" w:eastAsia="Times New Roman"/>
          <w:b/>
          <w:sz w:val="26"/>
        </w:rPr>
        <w:tab/>
      </w:r>
      <w:r>
        <w:rPr>
          <w:b/>
          <w:spacing w:val="-5"/>
          <w:sz w:val="28"/>
        </w:rPr>
        <w:t>严重不良事件的定义</w:t>
      </w:r>
    </w:p>
    <w:p>
      <w:pPr>
        <w:pStyle w:val="BodyText"/>
        <w:spacing w:line="276" w:lineRule="auto" w:before="159"/>
        <w:ind w:right="362" w:firstLine="480"/>
        <w:jc w:val="both"/>
      </w:pPr>
      <w:r>
        <w:rPr>
          <w:rFonts w:ascii="Times New Roman" w:eastAsia="Times New Roman"/>
        </w:rPr>
        <w:t>SAE </w:t>
      </w:r>
      <w:r>
        <w:rPr/>
        <w:t>是指研究期间（即，入选期、治疗期、洗脱期和随访期）发生的符合以下</w:t>
      </w:r>
      <w:r>
        <w:rPr>
          <w:spacing w:val="-5"/>
        </w:rPr>
        <w:t>一项或多项标准的 </w:t>
      </w:r>
      <w:r>
        <w:rPr>
          <w:rFonts w:ascii="Times New Roman" w:eastAsia="Times New Roman"/>
        </w:rPr>
        <w:t>AE</w:t>
      </w:r>
      <w:r>
        <w:rPr/>
        <w:t>：</w:t>
      </w:r>
    </w:p>
    <w:p>
      <w:pPr>
        <w:pStyle w:val="ListParagraph"/>
        <w:numPr>
          <w:ilvl w:val="0"/>
          <w:numId w:val="53"/>
        </w:numPr>
        <w:tabs>
          <w:tab w:pos="646" w:val="left" w:leader="none"/>
        </w:tabs>
        <w:spacing w:line="240" w:lineRule="auto" w:before="238" w:after="0"/>
        <w:ind w:left="646" w:right="0" w:hanging="425"/>
        <w:jc w:val="left"/>
        <w:rPr>
          <w:sz w:val="24"/>
        </w:rPr>
      </w:pPr>
      <w:r>
        <w:rPr>
          <w:spacing w:val="-3"/>
          <w:sz w:val="24"/>
        </w:rPr>
        <w:t>导致死亡</w:t>
      </w:r>
    </w:p>
    <w:p>
      <w:pPr>
        <w:pStyle w:val="ListParagraph"/>
        <w:numPr>
          <w:ilvl w:val="0"/>
          <w:numId w:val="53"/>
        </w:numPr>
        <w:tabs>
          <w:tab w:pos="646" w:val="left" w:leader="none"/>
        </w:tabs>
        <w:spacing w:line="240" w:lineRule="auto" w:before="59" w:after="0"/>
        <w:ind w:left="646" w:right="0" w:hanging="425"/>
        <w:jc w:val="left"/>
        <w:rPr>
          <w:sz w:val="24"/>
        </w:rPr>
      </w:pPr>
      <w:r>
        <w:rPr>
          <w:spacing w:val="-2"/>
          <w:sz w:val="24"/>
        </w:rPr>
        <w:t>即刻危及生命</w:t>
      </w:r>
    </w:p>
    <w:p>
      <w:pPr>
        <w:pStyle w:val="ListParagraph"/>
        <w:numPr>
          <w:ilvl w:val="0"/>
          <w:numId w:val="53"/>
        </w:numPr>
        <w:tabs>
          <w:tab w:pos="646" w:val="left" w:leader="none"/>
        </w:tabs>
        <w:spacing w:line="240" w:lineRule="auto" w:before="60" w:after="0"/>
        <w:ind w:left="646" w:right="0" w:hanging="425"/>
        <w:jc w:val="left"/>
        <w:rPr>
          <w:sz w:val="24"/>
        </w:rPr>
      </w:pPr>
      <w:r>
        <w:rPr>
          <w:spacing w:val="-1"/>
          <w:sz w:val="24"/>
        </w:rPr>
        <w:t>需要受试者住院或者住院时间延长</w:t>
      </w:r>
    </w:p>
    <w:p>
      <w:pPr>
        <w:pStyle w:val="ListParagraph"/>
        <w:numPr>
          <w:ilvl w:val="0"/>
          <w:numId w:val="53"/>
        </w:numPr>
        <w:tabs>
          <w:tab w:pos="646" w:val="left" w:leader="none"/>
        </w:tabs>
        <w:spacing w:line="240" w:lineRule="auto" w:before="59" w:after="0"/>
        <w:ind w:left="646" w:right="0" w:hanging="425"/>
        <w:jc w:val="left"/>
        <w:rPr>
          <w:sz w:val="24"/>
        </w:rPr>
      </w:pPr>
      <w:r>
        <w:rPr>
          <w:spacing w:val="-1"/>
          <w:sz w:val="24"/>
        </w:rPr>
        <w:t>导致持续或明显的残疾或功能丧失</w:t>
      </w:r>
    </w:p>
    <w:p>
      <w:pPr>
        <w:pStyle w:val="ListParagraph"/>
        <w:numPr>
          <w:ilvl w:val="0"/>
          <w:numId w:val="53"/>
        </w:numPr>
        <w:tabs>
          <w:tab w:pos="646" w:val="left" w:leader="none"/>
        </w:tabs>
        <w:spacing w:line="240" w:lineRule="auto" w:before="59" w:after="0"/>
        <w:ind w:left="646" w:right="0" w:hanging="425"/>
        <w:jc w:val="left"/>
        <w:rPr>
          <w:sz w:val="24"/>
        </w:rPr>
      </w:pPr>
      <w:r>
        <w:rPr>
          <w:spacing w:val="-1"/>
          <w:sz w:val="24"/>
        </w:rPr>
        <w:t>先天性异常或出生缺陷</w:t>
      </w:r>
    </w:p>
    <w:p>
      <w:pPr>
        <w:pStyle w:val="ListParagraph"/>
        <w:numPr>
          <w:ilvl w:val="0"/>
          <w:numId w:val="53"/>
        </w:numPr>
        <w:tabs>
          <w:tab w:pos="646" w:val="left" w:leader="none"/>
        </w:tabs>
        <w:spacing w:line="240" w:lineRule="auto" w:before="59" w:after="0"/>
        <w:ind w:left="646" w:right="363" w:hanging="425"/>
        <w:jc w:val="left"/>
        <w:rPr>
          <w:sz w:val="24"/>
        </w:rPr>
      </w:pPr>
      <w:r>
        <w:rPr>
          <w:spacing w:val="3"/>
          <w:sz w:val="24"/>
        </w:rPr>
        <w:t>可能会危害受试者或可能需要药物治疗以防止出现上述任何一种结局的重要医学事件。</w:t>
      </w:r>
    </w:p>
    <w:p>
      <w:pPr>
        <w:pStyle w:val="BodyText"/>
        <w:spacing w:before="23"/>
        <w:ind w:left="0"/>
      </w:pPr>
    </w:p>
    <w:p>
      <w:pPr>
        <w:pStyle w:val="BodyText"/>
        <w:spacing w:line="276" w:lineRule="auto"/>
        <w:ind w:right="117" w:firstLine="480"/>
      </w:pPr>
      <w:r>
        <w:rPr/>
        <w:t>研究期间报告的</w:t>
      </w:r>
      <w:r>
        <w:rPr>
          <w:b/>
          <w:spacing w:val="-6"/>
        </w:rPr>
        <w:t>恶性肿瘤 </w:t>
      </w:r>
      <w:r>
        <w:rPr>
          <w:rFonts w:ascii="Times New Roman" w:hAnsi="Times New Roman" w:eastAsia="Times New Roman"/>
        </w:rPr>
        <w:t>AE</w:t>
      </w:r>
      <w:r>
        <w:rPr>
          <w:rFonts w:ascii="Times New Roman" w:hAnsi="Times New Roman" w:eastAsia="Times New Roman"/>
          <w:spacing w:val="13"/>
        </w:rPr>
        <w:t> </w:t>
      </w:r>
      <w:r>
        <w:rPr>
          <w:spacing w:val="-4"/>
        </w:rPr>
        <w:t>通常应评估为 </w:t>
      </w:r>
      <w:r>
        <w:rPr>
          <w:rFonts w:ascii="Times New Roman" w:hAnsi="Times New Roman" w:eastAsia="Times New Roman"/>
          <w:b/>
        </w:rPr>
        <w:t>SAE</w:t>
      </w:r>
      <w:r>
        <w:rPr/>
        <w:t>。如果不适用其他严重性标准，</w:t>
      </w:r>
      <w:r>
        <w:rPr>
          <w:spacing w:val="-2"/>
        </w:rPr>
        <w:t>应使用“重要医学事件”标准。但是，在某些情况下，应根据单个事件进行医学判</w:t>
      </w:r>
      <w:r>
        <w:rPr>
          <w:spacing w:val="80"/>
          <w:w w:val="150"/>
        </w:rPr>
        <w:t> </w:t>
      </w:r>
      <w:r>
        <w:rPr/>
        <w:t>断，以阐明恶性肿瘤事件应评估并报告为</w:t>
      </w:r>
      <w:r>
        <w:rPr>
          <w:b/>
        </w:rPr>
        <w:t>非严重 </w:t>
      </w:r>
      <w:r>
        <w:rPr>
          <w:rFonts w:ascii="Times New Roman" w:hAnsi="Times New Roman" w:eastAsia="Times New Roman"/>
          <w:b/>
        </w:rPr>
        <w:t>AE</w:t>
      </w:r>
      <w:r>
        <w:rPr/>
        <w:t>。例如，如果将肿瘤纳入作为病史且研究期间出现进展，但进展未改变恶性肿瘤的治疗和</w:t>
      </w:r>
      <w:r>
        <w:rPr>
          <w:rFonts w:ascii="Times New Roman" w:hAnsi="Times New Roman" w:eastAsia="Times New Roman"/>
        </w:rPr>
        <w:t>/</w:t>
      </w:r>
      <w:r>
        <w:rPr>
          <w:spacing w:val="-4"/>
        </w:rPr>
        <w:t>或预后，则 </w:t>
      </w:r>
      <w:r>
        <w:rPr>
          <w:rFonts w:ascii="Times New Roman" w:hAnsi="Times New Roman" w:eastAsia="Times New Roman"/>
        </w:rPr>
        <w:t>AE</w:t>
      </w:r>
      <w:r>
        <w:rPr>
          <w:rFonts w:ascii="Times New Roman" w:hAnsi="Times New Roman" w:eastAsia="Times New Roman"/>
          <w:spacing w:val="22"/>
        </w:rPr>
        <w:t> </w:t>
      </w:r>
      <w:r>
        <w:rPr/>
        <w:t>可能不满足</w:t>
      </w:r>
      <w:r>
        <w:rPr>
          <w:spacing w:val="-3"/>
        </w:rPr>
        <w:t>被评估为严重 </w:t>
      </w:r>
      <w:r>
        <w:rPr>
          <w:rFonts w:ascii="Times New Roman" w:hAnsi="Times New Roman" w:eastAsia="Times New Roman"/>
        </w:rPr>
        <w:t>AE </w:t>
      </w:r>
      <w:r>
        <w:rPr>
          <w:spacing w:val="-1"/>
        </w:rPr>
        <w:t>的属性，但是将恶性肿瘤进展报告为 </w:t>
      </w:r>
      <w:r>
        <w:rPr>
          <w:rFonts w:ascii="Times New Roman" w:hAnsi="Times New Roman" w:eastAsia="Times New Roman"/>
        </w:rPr>
        <w:t>AE </w:t>
      </w:r>
      <w:r>
        <w:rPr/>
        <w:t>适用，并且应照此进行。</w:t>
      </w:r>
      <w:r>
        <w:rPr>
          <w:spacing w:val="-2"/>
        </w:rPr>
        <w:t>此外，某些类型的恶性肿瘤（在不需要住院的常规治疗后未远端扩散）可能被评估为</w:t>
      </w:r>
      <w:r>
        <w:rPr>
          <w:spacing w:val="-9"/>
        </w:rPr>
        <w:t>非严重 </w:t>
      </w:r>
      <w:r>
        <w:rPr>
          <w:rFonts w:ascii="Times New Roman" w:hAnsi="Times New Roman" w:eastAsia="Times New Roman"/>
        </w:rPr>
        <w:t>AE</w:t>
      </w:r>
      <w:r>
        <w:rPr>
          <w:spacing w:val="-3"/>
        </w:rPr>
        <w:t>；实例包括通过锥形活检切除的 </w:t>
      </w:r>
      <w:r>
        <w:rPr>
          <w:rFonts w:ascii="Times New Roman" w:hAnsi="Times New Roman" w:eastAsia="Times New Roman"/>
        </w:rPr>
        <w:t>1 </w:t>
      </w:r>
      <w:r>
        <w:rPr>
          <w:spacing w:val="-5"/>
        </w:rPr>
        <w:t>期基底细胞癌和 </w:t>
      </w:r>
      <w:r>
        <w:rPr>
          <w:rFonts w:ascii="Times New Roman" w:hAnsi="Times New Roman" w:eastAsia="Times New Roman"/>
        </w:rPr>
        <w:t>1A1 </w:t>
      </w:r>
      <w:r>
        <w:rPr/>
        <w:t>期宫颈癌。</w:t>
      </w:r>
    </w:p>
    <w:p>
      <w:pPr>
        <w:pStyle w:val="Heading3"/>
        <w:spacing w:before="234"/>
      </w:pPr>
      <w:r>
        <w:rPr>
          <w:spacing w:val="-4"/>
        </w:rPr>
        <w:t>危及生命</w:t>
      </w:r>
    </w:p>
    <w:p>
      <w:pPr>
        <w:pStyle w:val="BodyText"/>
        <w:spacing w:line="276" w:lineRule="auto" w:before="120"/>
        <w:ind w:right="358" w:firstLine="480"/>
        <w:jc w:val="both"/>
      </w:pPr>
      <w:r>
        <w:rPr/>
        <w:t>“危及生命”是指当 </w:t>
      </w:r>
      <w:r>
        <w:rPr>
          <w:rFonts w:ascii="Times New Roman" w:hAnsi="Times New Roman" w:eastAsia="Times New Roman"/>
        </w:rPr>
        <w:t>AE </w:t>
      </w:r>
      <w:r>
        <w:rPr/>
        <w:t>发生时受试者有立即死亡的风险，或怀疑使用或继续使用该产品会导致受试者死亡。“危及生命”并不是指如果 </w:t>
      </w:r>
      <w:r>
        <w:rPr>
          <w:rFonts w:ascii="Times New Roman" w:hAnsi="Times New Roman" w:eastAsia="Times New Roman"/>
        </w:rPr>
        <w:t>AE </w:t>
      </w:r>
      <w:r>
        <w:rPr/>
        <w:t>以更严重形式发生</w:t>
      </w:r>
      <w:r>
        <w:rPr>
          <w:spacing w:val="-2"/>
        </w:rPr>
        <w:t>可能导致死亡（例如，未发生肝衰竭而恢复的肝炎）。</w:t>
      </w:r>
    </w:p>
    <w:p>
      <w:pPr>
        <w:pStyle w:val="Heading3"/>
        <w:spacing w:before="237"/>
      </w:pPr>
      <w:r>
        <w:rPr>
          <w:spacing w:val="-4"/>
        </w:rPr>
        <w:t>住院治疗</w:t>
      </w:r>
    </w:p>
    <w:p>
      <w:pPr>
        <w:pStyle w:val="BodyText"/>
        <w:spacing w:line="276" w:lineRule="auto" w:before="120"/>
        <w:ind w:right="354" w:firstLine="480"/>
        <w:jc w:val="both"/>
      </w:pPr>
      <w:r>
        <w:rPr>
          <w:spacing w:val="-15"/>
        </w:rPr>
        <w:t>在 </w:t>
      </w:r>
      <w:r>
        <w:rPr>
          <w:rFonts w:ascii="Times New Roman" w:eastAsia="Times New Roman"/>
          <w:spacing w:val="-4"/>
        </w:rPr>
        <w:t>ER</w:t>
      </w:r>
      <w:r>
        <w:rPr>
          <w:rFonts w:ascii="Times New Roman" w:eastAsia="Times New Roman"/>
          <w:spacing w:val="14"/>
        </w:rPr>
        <w:t> </w:t>
      </w:r>
      <w:r>
        <w:rPr>
          <w:spacing w:val="-6"/>
        </w:rPr>
        <w:t>治疗的疾病本身不属于 </w:t>
      </w:r>
      <w:r>
        <w:rPr>
          <w:rFonts w:ascii="Times New Roman" w:eastAsia="Times New Roman"/>
          <w:spacing w:val="-4"/>
        </w:rPr>
        <w:t>SAE</w:t>
      </w:r>
      <w:r>
        <w:rPr>
          <w:spacing w:val="-6"/>
        </w:rPr>
        <w:t>，但导致此症的病因可能是严重 </w:t>
      </w:r>
      <w:r>
        <w:rPr>
          <w:rFonts w:ascii="Times New Roman" w:eastAsia="Times New Roman"/>
          <w:spacing w:val="-4"/>
        </w:rPr>
        <w:t>AE</w:t>
      </w:r>
      <w:r>
        <w:rPr>
          <w:spacing w:val="-4"/>
        </w:rPr>
        <w:t>（如支气</w:t>
      </w:r>
      <w:r>
        <w:rPr>
          <w:spacing w:val="-2"/>
        </w:rPr>
        <w:t>管痉挛、喉水肿）。如果受试者入选研究之前的既存疾病在研究期间未发生非预期</w:t>
      </w:r>
      <w:r>
        <w:rPr/>
        <w:t>的恶化，则不将研究前或研究期间计划的住院和</w:t>
      </w:r>
      <w:r>
        <w:rPr>
          <w:rFonts w:ascii="Times New Roman" w:eastAsia="Times New Roman"/>
        </w:rPr>
        <w:t>/</w:t>
      </w:r>
      <w:r>
        <w:rPr>
          <w:spacing w:val="-6"/>
        </w:rPr>
        <w:t>或外科手术视为 </w:t>
      </w:r>
      <w:r>
        <w:rPr>
          <w:rFonts w:ascii="Times New Roman" w:eastAsia="Times New Roman"/>
        </w:rPr>
        <w:t>AE</w:t>
      </w:r>
      <w:r>
        <w:rPr/>
        <w:t>。</w:t>
      </w:r>
    </w:p>
    <w:p>
      <w:pPr>
        <w:spacing w:after="0" w:line="276" w:lineRule="auto"/>
        <w:jc w:val="both"/>
        <w:sectPr>
          <w:pgSz w:w="11910" w:h="16840"/>
          <w:pgMar w:header="590" w:footer="784" w:top="1340" w:bottom="980" w:left="1480" w:right="1080"/>
        </w:sectPr>
      </w:pPr>
    </w:p>
    <w:p>
      <w:pPr>
        <w:pStyle w:val="Heading3"/>
        <w:spacing w:before="88"/>
      </w:pPr>
      <w:r>
        <w:rPr>
          <w:spacing w:val="-5"/>
        </w:rPr>
        <w:t>重要医学事件或药物治疗</w:t>
      </w:r>
    </w:p>
    <w:p>
      <w:pPr>
        <w:pStyle w:val="BodyText"/>
        <w:spacing w:line="276" w:lineRule="auto" w:before="118"/>
        <w:ind w:right="354" w:firstLine="480"/>
        <w:jc w:val="both"/>
      </w:pPr>
      <w:r>
        <w:rPr>
          <w:spacing w:val="-2"/>
        </w:rPr>
        <w:t>在重要医学事件可能不会立即危及生命或导致死亡、住院治疗、残疾或丧失行动能力，但可能危害受试者或可能需要药物治疗以预防出现上述严重定义中的一种</w:t>
      </w:r>
      <w:r>
        <w:rPr>
          <w:spacing w:val="-3"/>
        </w:rPr>
        <w:t>或多种结果的情况下，应进行医学和科学判断，确定该病例是否为严重 </w:t>
      </w:r>
      <w:r>
        <w:rPr>
          <w:rFonts w:ascii="Times New Roman" w:eastAsia="Times New Roman"/>
          <w:spacing w:val="-2"/>
        </w:rPr>
        <w:t>AE</w:t>
      </w:r>
      <w:r>
        <w:rPr>
          <w:spacing w:val="-2"/>
        </w:rPr>
        <w:t>。通常认为上述事件为严重事件。</w:t>
      </w:r>
    </w:p>
    <w:p>
      <w:pPr>
        <w:pStyle w:val="BodyText"/>
        <w:spacing w:line="276" w:lineRule="auto" w:before="238"/>
        <w:ind w:right="365" w:firstLine="480"/>
      </w:pPr>
      <w:r>
        <w:rPr>
          <w:spacing w:val="-2"/>
        </w:rPr>
        <w:t>仅凭停止可疑药物用药并不意味着发生重要医学事件；须采取医学判断。以下是重要医学事件的示例：</w:t>
      </w:r>
    </w:p>
    <w:p>
      <w:pPr>
        <w:pStyle w:val="ListParagraph"/>
        <w:numPr>
          <w:ilvl w:val="0"/>
          <w:numId w:val="53"/>
        </w:numPr>
        <w:tabs>
          <w:tab w:pos="646" w:val="left" w:leader="none"/>
        </w:tabs>
        <w:spacing w:line="240" w:lineRule="auto" w:before="238" w:after="0"/>
        <w:ind w:left="646" w:right="0" w:hanging="425"/>
        <w:jc w:val="left"/>
        <w:rPr>
          <w:sz w:val="24"/>
        </w:rPr>
      </w:pPr>
      <w:r>
        <w:rPr>
          <w:spacing w:val="-1"/>
          <w:sz w:val="24"/>
        </w:rPr>
        <w:t>严重程度尚不需要插管但需要氢化可的松静脉注射治疗的血管性水肿。</w:t>
      </w:r>
    </w:p>
    <w:p>
      <w:pPr>
        <w:pStyle w:val="ListParagraph"/>
        <w:numPr>
          <w:ilvl w:val="0"/>
          <w:numId w:val="53"/>
        </w:numPr>
        <w:tabs>
          <w:tab w:pos="646" w:val="left" w:leader="none"/>
        </w:tabs>
        <w:spacing w:line="240" w:lineRule="auto" w:before="58" w:after="0"/>
        <w:ind w:left="646" w:right="358" w:hanging="425"/>
        <w:jc w:val="left"/>
        <w:rPr>
          <w:sz w:val="24"/>
        </w:rPr>
      </w:pPr>
      <w:r>
        <w:rPr>
          <w:sz w:val="24"/>
        </w:rPr>
        <w:t>扑热息痛（对乙酰氨基酚）用药过量所致的肝脏毒性，需要接受 </w:t>
      </w:r>
      <w:r>
        <w:rPr>
          <w:rFonts w:ascii="Times New Roman" w:hAnsi="Times New Roman" w:eastAsia="Times New Roman"/>
          <w:sz w:val="24"/>
        </w:rPr>
        <w:t>N-</w:t>
      </w:r>
      <w:r>
        <w:rPr>
          <w:sz w:val="24"/>
        </w:rPr>
        <w:t>乙酰半胱氨</w:t>
      </w:r>
      <w:r>
        <w:rPr>
          <w:spacing w:val="-4"/>
          <w:sz w:val="24"/>
        </w:rPr>
        <w:t>酸治疗。</w:t>
      </w:r>
    </w:p>
    <w:p>
      <w:pPr>
        <w:pStyle w:val="ListParagraph"/>
        <w:numPr>
          <w:ilvl w:val="0"/>
          <w:numId w:val="53"/>
        </w:numPr>
        <w:tabs>
          <w:tab w:pos="646" w:val="left" w:leader="none"/>
        </w:tabs>
        <w:spacing w:line="240" w:lineRule="auto" w:before="60" w:after="0"/>
        <w:ind w:left="646" w:right="0" w:hanging="425"/>
        <w:jc w:val="left"/>
        <w:rPr>
          <w:sz w:val="24"/>
        </w:rPr>
      </w:pPr>
      <w:r>
        <w:rPr>
          <w:spacing w:val="-6"/>
          <w:sz w:val="24"/>
        </w:rPr>
        <w:t>因过敏性支气管痉挛在 </w:t>
      </w:r>
      <w:r>
        <w:rPr>
          <w:rFonts w:ascii="Times New Roman" w:hAnsi="Times New Roman" w:eastAsia="Times New Roman"/>
          <w:sz w:val="24"/>
        </w:rPr>
        <w:t>ER</w:t>
      </w:r>
      <w:r>
        <w:rPr>
          <w:rFonts w:ascii="Times New Roman" w:hAnsi="Times New Roman" w:eastAsia="Times New Roman"/>
          <w:spacing w:val="-14"/>
          <w:sz w:val="24"/>
        </w:rPr>
        <w:t> </w:t>
      </w:r>
      <w:r>
        <w:rPr>
          <w:spacing w:val="-2"/>
          <w:sz w:val="24"/>
        </w:rPr>
        <w:t>或家中进行强化治疗</w:t>
      </w:r>
    </w:p>
    <w:p>
      <w:pPr>
        <w:pStyle w:val="ListParagraph"/>
        <w:numPr>
          <w:ilvl w:val="0"/>
          <w:numId w:val="53"/>
        </w:numPr>
        <w:tabs>
          <w:tab w:pos="646" w:val="left" w:leader="none"/>
        </w:tabs>
        <w:spacing w:line="240" w:lineRule="auto" w:before="58" w:after="0"/>
        <w:ind w:left="646" w:right="363" w:hanging="425"/>
        <w:jc w:val="left"/>
        <w:rPr>
          <w:sz w:val="24"/>
        </w:rPr>
      </w:pPr>
      <w:r>
        <w:rPr>
          <w:spacing w:val="4"/>
          <w:sz w:val="24"/>
        </w:rPr>
        <w:t>未导致住院治疗的血质不调（例如，中性粒细胞减少症或需要输血的贫血等</w:t>
      </w:r>
      <w:r>
        <w:rPr>
          <w:sz w:val="24"/>
        </w:rPr>
        <w:t>）或惊厥</w:t>
      </w:r>
    </w:p>
    <w:p>
      <w:pPr>
        <w:pStyle w:val="ListParagraph"/>
        <w:numPr>
          <w:ilvl w:val="0"/>
          <w:numId w:val="53"/>
        </w:numPr>
        <w:tabs>
          <w:tab w:pos="646" w:val="left" w:leader="none"/>
        </w:tabs>
        <w:spacing w:line="240" w:lineRule="auto" w:before="59" w:after="0"/>
        <w:ind w:left="646" w:right="0" w:hanging="425"/>
        <w:jc w:val="left"/>
        <w:rPr>
          <w:sz w:val="24"/>
        </w:rPr>
      </w:pPr>
      <w:r>
        <w:rPr>
          <w:spacing w:val="-1"/>
          <w:sz w:val="24"/>
        </w:rPr>
        <w:t>产生药物依赖或药物滥用</w:t>
      </w:r>
    </w:p>
    <w:p>
      <w:pPr>
        <w:pStyle w:val="BodyText"/>
        <w:spacing w:before="144"/>
        <w:ind w:left="0"/>
      </w:pPr>
    </w:p>
    <w:p>
      <w:pPr>
        <w:pStyle w:val="Heading3"/>
      </w:pPr>
      <w:r>
        <w:rPr>
          <w:spacing w:val="-5"/>
        </w:rPr>
        <w:t>严重程度评定量表：</w:t>
      </w:r>
    </w:p>
    <w:p>
      <w:pPr>
        <w:pStyle w:val="ListParagraph"/>
        <w:numPr>
          <w:ilvl w:val="0"/>
          <w:numId w:val="53"/>
        </w:numPr>
        <w:tabs>
          <w:tab w:pos="646" w:val="left" w:leader="none"/>
        </w:tabs>
        <w:spacing w:line="240" w:lineRule="auto" w:before="119" w:after="0"/>
        <w:ind w:left="646" w:right="0" w:hanging="425"/>
        <w:jc w:val="left"/>
        <w:rPr>
          <w:sz w:val="24"/>
        </w:rPr>
      </w:pPr>
      <w:r>
        <w:rPr>
          <w:sz w:val="24"/>
        </w:rPr>
        <w:t>轻度（出现体征或症状，但可以耐受</w:t>
      </w:r>
      <w:r>
        <w:rPr>
          <w:spacing w:val="-10"/>
          <w:sz w:val="24"/>
        </w:rPr>
        <w:t>）</w:t>
      </w:r>
    </w:p>
    <w:p>
      <w:pPr>
        <w:pStyle w:val="ListParagraph"/>
        <w:numPr>
          <w:ilvl w:val="0"/>
          <w:numId w:val="53"/>
        </w:numPr>
        <w:tabs>
          <w:tab w:pos="646" w:val="left" w:leader="none"/>
        </w:tabs>
        <w:spacing w:line="240" w:lineRule="auto" w:before="59" w:after="0"/>
        <w:ind w:left="646" w:right="0" w:hanging="425"/>
        <w:jc w:val="left"/>
        <w:rPr>
          <w:sz w:val="24"/>
        </w:rPr>
      </w:pPr>
      <w:r>
        <w:rPr>
          <w:sz w:val="24"/>
        </w:rPr>
        <w:t>中度（不适感足以干扰正常活动</w:t>
      </w:r>
      <w:r>
        <w:rPr>
          <w:spacing w:val="-10"/>
          <w:sz w:val="24"/>
        </w:rPr>
        <w:t>）</w:t>
      </w:r>
    </w:p>
    <w:p>
      <w:pPr>
        <w:pStyle w:val="ListParagraph"/>
        <w:numPr>
          <w:ilvl w:val="0"/>
          <w:numId w:val="53"/>
        </w:numPr>
        <w:tabs>
          <w:tab w:pos="646" w:val="left" w:leader="none"/>
        </w:tabs>
        <w:spacing w:line="240" w:lineRule="auto" w:before="60" w:after="0"/>
        <w:ind w:left="646" w:right="0" w:hanging="425"/>
        <w:jc w:val="left"/>
        <w:rPr>
          <w:sz w:val="24"/>
        </w:rPr>
      </w:pPr>
      <w:r>
        <w:rPr>
          <w:sz w:val="24"/>
        </w:rPr>
        <w:t>重度（功能丧失，无法进行正常活动</w:t>
      </w:r>
      <w:r>
        <w:rPr>
          <w:spacing w:val="-10"/>
          <w:sz w:val="24"/>
        </w:rPr>
        <w:t>）</w:t>
      </w:r>
    </w:p>
    <w:p>
      <w:pPr>
        <w:pStyle w:val="BodyText"/>
        <w:spacing w:before="23"/>
        <w:ind w:left="0"/>
      </w:pPr>
    </w:p>
    <w:p>
      <w:pPr>
        <w:pStyle w:val="BodyText"/>
        <w:spacing w:line="276" w:lineRule="auto"/>
        <w:ind w:right="118" w:firstLine="480"/>
      </w:pPr>
      <w:r>
        <w:rPr>
          <w:spacing w:val="-4"/>
        </w:rPr>
        <w:t>区分严重 </w:t>
      </w:r>
      <w:r>
        <w:rPr>
          <w:rFonts w:ascii="Times New Roman" w:eastAsia="Times New Roman"/>
        </w:rPr>
        <w:t>AE </w:t>
      </w:r>
      <w:r>
        <w:rPr>
          <w:spacing w:val="-5"/>
        </w:rPr>
        <w:t>和重度 </w:t>
      </w:r>
      <w:r>
        <w:rPr>
          <w:rFonts w:ascii="Times New Roman" w:eastAsia="Times New Roman"/>
        </w:rPr>
        <w:t>AE </w:t>
      </w:r>
      <w:r>
        <w:rPr/>
        <w:t>尤为重要。严重程度是强度的测定指标，而严重性是按</w:t>
      </w:r>
      <w:r>
        <w:rPr/>
        <w:t> </w:t>
      </w:r>
      <w:r>
        <w:rPr>
          <w:spacing w:val="-15"/>
        </w:rPr>
        <w:t>附录 </w:t>
      </w:r>
      <w:hyperlink w:history="true" w:anchor="_bookmark151">
        <w:r>
          <w:rPr>
            <w:rFonts w:ascii="Times New Roman" w:eastAsia="Times New Roman"/>
            <w:color w:val="0000FF"/>
          </w:rPr>
          <w:t>B</w:t>
        </w:r>
        <w:r>
          <w:rPr>
            <w:rFonts w:ascii="Times New Roman" w:eastAsia="Times New Roman"/>
            <w:color w:val="0000FF"/>
            <w:spacing w:val="-15"/>
          </w:rPr>
          <w:t> </w:t>
        </w:r>
        <w:r>
          <w:rPr>
            <w:rFonts w:ascii="Times New Roman" w:eastAsia="Times New Roman"/>
            <w:color w:val="0000FF"/>
          </w:rPr>
          <w:t>2</w:t>
        </w:r>
      </w:hyperlink>
      <w:r>
        <w:rPr>
          <w:rFonts w:ascii="Times New Roman" w:eastAsia="Times New Roman"/>
          <w:color w:val="0000FF"/>
          <w:spacing w:val="-15"/>
        </w:rPr>
        <w:t> </w:t>
      </w:r>
      <w:r>
        <w:rPr>
          <w:spacing w:val="-5"/>
        </w:rPr>
        <w:t>中的标准定义。重度 </w:t>
      </w:r>
      <w:r>
        <w:rPr>
          <w:rFonts w:ascii="Times New Roman" w:eastAsia="Times New Roman"/>
        </w:rPr>
        <w:t>AE</w:t>
      </w:r>
      <w:r>
        <w:rPr>
          <w:rFonts w:ascii="Times New Roman" w:eastAsia="Times New Roman"/>
          <w:spacing w:val="-6"/>
        </w:rPr>
        <w:t> </w:t>
      </w:r>
      <w:r>
        <w:rPr>
          <w:spacing w:val="-5"/>
        </w:rPr>
        <w:t>不一定被视为严重 </w:t>
      </w:r>
      <w:r>
        <w:rPr>
          <w:rFonts w:ascii="Times New Roman" w:eastAsia="Times New Roman"/>
        </w:rPr>
        <w:t>AE</w:t>
      </w:r>
      <w:r>
        <w:rPr/>
        <w:t>。例如，持续数小时的恶心为</w:t>
      </w:r>
      <w:r>
        <w:rPr>
          <w:spacing w:val="-2"/>
        </w:rPr>
        <w:t>重度恶心，但只有在符合附录 </w:t>
      </w:r>
      <w:hyperlink w:history="true" w:anchor="_bookmark151">
        <w:r>
          <w:rPr>
            <w:rFonts w:ascii="Times New Roman" w:eastAsia="Times New Roman"/>
            <w:color w:val="0000FF"/>
          </w:rPr>
          <w:t>B</w:t>
        </w:r>
        <w:r>
          <w:rPr>
            <w:rFonts w:ascii="Times New Roman" w:eastAsia="Times New Roman"/>
            <w:color w:val="0000FF"/>
            <w:spacing w:val="-7"/>
          </w:rPr>
          <w:t> </w:t>
        </w:r>
        <w:r>
          <w:rPr>
            <w:rFonts w:ascii="Times New Roman" w:eastAsia="Times New Roman"/>
            <w:color w:val="0000FF"/>
          </w:rPr>
          <w:t>2</w:t>
        </w:r>
      </w:hyperlink>
      <w:r>
        <w:rPr>
          <w:rFonts w:ascii="Times New Roman" w:eastAsia="Times New Roman"/>
          <w:color w:val="0000FF"/>
          <w:spacing w:val="15"/>
        </w:rPr>
        <w:t> </w:t>
      </w:r>
      <w:r>
        <w:rPr>
          <w:spacing w:val="-3"/>
        </w:rPr>
        <w:t>中的标准时才视为 </w:t>
      </w:r>
      <w:r>
        <w:rPr>
          <w:rFonts w:ascii="Times New Roman" w:eastAsia="Times New Roman"/>
        </w:rPr>
        <w:t>SAE</w:t>
      </w:r>
      <w:r>
        <w:rPr/>
        <w:t>。另一方面，仅导致有限程度残疾的卒中认为是轻度卒中，但如果其满足附录 </w:t>
      </w:r>
      <w:hyperlink w:history="true" w:anchor="_bookmark151">
        <w:r>
          <w:rPr>
            <w:rFonts w:ascii="Times New Roman" w:eastAsia="Times New Roman"/>
            <w:color w:val="0000FF"/>
          </w:rPr>
          <w:t>B 2</w:t>
        </w:r>
      </w:hyperlink>
      <w:r>
        <w:rPr>
          <w:rFonts w:ascii="Times New Roman" w:eastAsia="Times New Roman"/>
          <w:color w:val="0000FF"/>
          <w:spacing w:val="40"/>
        </w:rPr>
        <w:t> </w:t>
      </w:r>
      <w:r>
        <w:rPr/>
        <w:t>中的标准，则视为 </w:t>
      </w:r>
      <w:r>
        <w:rPr>
          <w:rFonts w:ascii="Times New Roman" w:eastAsia="Times New Roman"/>
        </w:rPr>
        <w:t>SAE</w:t>
      </w:r>
      <w:r>
        <w:rPr/>
        <w:t>。</w:t>
      </w:r>
    </w:p>
    <w:p>
      <w:pPr>
        <w:tabs>
          <w:tab w:pos="1355" w:val="left" w:leader="none"/>
        </w:tabs>
        <w:spacing w:before="237"/>
        <w:ind w:left="221" w:right="0" w:firstLine="0"/>
        <w:jc w:val="left"/>
        <w:rPr>
          <w:b/>
          <w:sz w:val="28"/>
        </w:rPr>
      </w:pPr>
      <w:bookmarkStart w:name="B 3 因果关系问题的解读指南" w:id="305"/>
      <w:bookmarkEnd w:id="305"/>
      <w:r>
        <w:rPr/>
      </w:r>
      <w:r>
        <w:rPr>
          <w:rFonts w:ascii="Times New Roman" w:eastAsia="Times New Roman"/>
          <w:b/>
          <w:sz w:val="26"/>
        </w:rPr>
        <w:t>B </w:t>
      </w:r>
      <w:r>
        <w:rPr>
          <w:rFonts w:ascii="Times New Roman" w:eastAsia="Times New Roman"/>
          <w:b/>
          <w:spacing w:val="-10"/>
          <w:sz w:val="26"/>
        </w:rPr>
        <w:t>3</w:t>
      </w:r>
      <w:r>
        <w:rPr>
          <w:rFonts w:ascii="Times New Roman" w:eastAsia="Times New Roman"/>
          <w:b/>
          <w:sz w:val="26"/>
        </w:rPr>
        <w:tab/>
      </w:r>
      <w:r>
        <w:rPr>
          <w:b/>
          <w:spacing w:val="-5"/>
          <w:sz w:val="28"/>
        </w:rPr>
        <w:t>因果关系问题的解读指南</w:t>
      </w:r>
    </w:p>
    <w:p>
      <w:pPr>
        <w:pStyle w:val="BodyText"/>
        <w:spacing w:line="276" w:lineRule="auto" w:before="159"/>
        <w:ind w:right="353" w:firstLine="480"/>
      </w:pPr>
      <w:r>
        <w:rPr/>
        <w:t>在评估因果关系过程中，决定 </w:t>
      </w:r>
      <w:r>
        <w:rPr>
          <w:rFonts w:ascii="Times New Roman" w:hAnsi="Times New Roman" w:eastAsia="Times New Roman"/>
        </w:rPr>
        <w:t>AE</w:t>
      </w:r>
      <w:r>
        <w:rPr>
          <w:rFonts w:ascii="Times New Roman" w:hAnsi="Times New Roman" w:eastAsia="Times New Roman"/>
          <w:spacing w:val="40"/>
        </w:rPr>
        <w:t> </w:t>
      </w:r>
      <w:r>
        <w:rPr/>
        <w:t>与药物之间是否存在“合理可能性”时，应</w:t>
      </w:r>
      <w:r>
        <w:rPr>
          <w:spacing w:val="-2"/>
        </w:rPr>
        <w:t>考虑以下因素。</w:t>
      </w:r>
    </w:p>
    <w:p>
      <w:pPr>
        <w:pStyle w:val="ListParagraph"/>
        <w:numPr>
          <w:ilvl w:val="0"/>
          <w:numId w:val="53"/>
        </w:numPr>
        <w:tabs>
          <w:tab w:pos="646" w:val="left" w:leader="none"/>
        </w:tabs>
        <w:spacing w:line="240" w:lineRule="auto" w:before="237" w:after="0"/>
        <w:ind w:left="646" w:right="360" w:hanging="425"/>
        <w:jc w:val="left"/>
        <w:rPr>
          <w:sz w:val="24"/>
        </w:rPr>
      </w:pPr>
      <w:r>
        <w:rPr>
          <w:sz w:val="24"/>
        </w:rPr>
        <w:t>时程。可疑药物暴露。受试者是否确实接受了可疑药物的治疗</w:t>
      </w:r>
      <w:r>
        <w:rPr>
          <w:rFonts w:ascii="Times New Roman" w:hAnsi="Times New Roman" w:eastAsia="Times New Roman"/>
          <w:sz w:val="24"/>
        </w:rPr>
        <w:t>?</w:t>
      </w:r>
      <w:r>
        <w:rPr>
          <w:spacing w:val="-5"/>
          <w:sz w:val="24"/>
        </w:rPr>
        <w:t>该 </w:t>
      </w:r>
      <w:r>
        <w:rPr>
          <w:rFonts w:ascii="Times New Roman" w:hAnsi="Times New Roman" w:eastAsia="Times New Roman"/>
          <w:sz w:val="24"/>
        </w:rPr>
        <w:t>AE</w:t>
      </w:r>
      <w:r>
        <w:rPr>
          <w:rFonts w:ascii="Times New Roman" w:hAnsi="Times New Roman" w:eastAsia="Times New Roman"/>
          <w:spacing w:val="26"/>
          <w:sz w:val="24"/>
        </w:rPr>
        <w:t> </w:t>
      </w:r>
      <w:r>
        <w:rPr>
          <w:sz w:val="24"/>
        </w:rPr>
        <w:t>的发生是</w:t>
      </w:r>
      <w:r>
        <w:rPr>
          <w:spacing w:val="-2"/>
          <w:sz w:val="24"/>
        </w:rPr>
        <w:t>否与可疑药物给药存在合理的时间关系？</w:t>
      </w:r>
    </w:p>
    <w:p>
      <w:pPr>
        <w:pStyle w:val="ListParagraph"/>
        <w:numPr>
          <w:ilvl w:val="0"/>
          <w:numId w:val="53"/>
        </w:numPr>
        <w:tabs>
          <w:tab w:pos="646" w:val="left" w:leader="none"/>
        </w:tabs>
        <w:spacing w:line="240" w:lineRule="auto" w:before="59" w:after="0"/>
        <w:ind w:left="646" w:right="357" w:hanging="425"/>
        <w:jc w:val="left"/>
        <w:rPr>
          <w:sz w:val="24"/>
        </w:rPr>
      </w:pPr>
      <w:r>
        <w:rPr>
          <w:spacing w:val="-6"/>
          <w:sz w:val="24"/>
        </w:rPr>
        <w:t>与药物已知特征的一致性。该 </w:t>
      </w:r>
      <w:r>
        <w:rPr>
          <w:rFonts w:ascii="Times New Roman" w:hAnsi="Times New Roman" w:eastAsia="Times New Roman"/>
          <w:spacing w:val="-2"/>
          <w:sz w:val="24"/>
        </w:rPr>
        <w:t>AE </w:t>
      </w:r>
      <w:r>
        <w:rPr>
          <w:spacing w:val="-2"/>
          <w:sz w:val="24"/>
        </w:rPr>
        <w:t>是否与对可疑药物（药理毒理）或相同药理学</w:t>
      </w:r>
      <w:r>
        <w:rPr>
          <w:spacing w:val="-1"/>
          <w:sz w:val="24"/>
        </w:rPr>
        <w:t>分类药物的既有信息一致？或者，是否可以从药理学特性来预测 </w:t>
      </w:r>
      <w:r>
        <w:rPr>
          <w:rFonts w:ascii="Times New Roman" w:hAnsi="Times New Roman" w:eastAsia="Times New Roman"/>
          <w:sz w:val="24"/>
        </w:rPr>
        <w:t>AE </w:t>
      </w:r>
      <w:r>
        <w:rPr>
          <w:sz w:val="24"/>
        </w:rPr>
        <w:t>的发生？</w:t>
      </w:r>
    </w:p>
    <w:p>
      <w:pPr>
        <w:pStyle w:val="ListParagraph"/>
        <w:numPr>
          <w:ilvl w:val="0"/>
          <w:numId w:val="53"/>
        </w:numPr>
        <w:tabs>
          <w:tab w:pos="646" w:val="left" w:leader="none"/>
        </w:tabs>
        <w:spacing w:line="240" w:lineRule="auto" w:before="59" w:after="0"/>
        <w:ind w:left="646" w:right="0" w:hanging="425"/>
        <w:jc w:val="left"/>
        <w:rPr>
          <w:sz w:val="24"/>
        </w:rPr>
      </w:pPr>
      <w:r>
        <w:rPr>
          <w:sz w:val="24"/>
        </w:rPr>
        <w:t>停药经历。在停用可疑药物或降低可疑药物剂量后，</w:t>
      </w:r>
      <w:r>
        <w:rPr>
          <w:rFonts w:ascii="Times New Roman" w:hAnsi="Times New Roman" w:eastAsia="Times New Roman"/>
          <w:sz w:val="24"/>
        </w:rPr>
        <w:t>AE</w:t>
      </w:r>
      <w:r>
        <w:rPr>
          <w:rFonts w:ascii="Times New Roman" w:hAnsi="Times New Roman" w:eastAsia="Times New Roman"/>
          <w:spacing w:val="-15"/>
          <w:sz w:val="24"/>
        </w:rPr>
        <w:t> </w:t>
      </w:r>
      <w:r>
        <w:rPr>
          <w:spacing w:val="-2"/>
          <w:sz w:val="24"/>
        </w:rPr>
        <w:t>是否缓解或改善？</w:t>
      </w:r>
    </w:p>
    <w:p>
      <w:pPr>
        <w:pStyle w:val="ListParagraph"/>
        <w:numPr>
          <w:ilvl w:val="0"/>
          <w:numId w:val="53"/>
        </w:numPr>
        <w:tabs>
          <w:tab w:pos="646" w:val="left" w:leader="none"/>
        </w:tabs>
        <w:spacing w:line="240" w:lineRule="auto" w:before="59" w:after="0"/>
        <w:ind w:left="646" w:right="363" w:hanging="425"/>
        <w:jc w:val="left"/>
        <w:rPr>
          <w:sz w:val="24"/>
        </w:rPr>
      </w:pPr>
      <w:r>
        <w:rPr>
          <w:spacing w:val="4"/>
          <w:sz w:val="24"/>
        </w:rPr>
        <w:t>无其他原因。无法通过另一种病因</w:t>
      </w:r>
      <w:r>
        <w:rPr>
          <w:spacing w:val="5"/>
          <w:sz w:val="24"/>
        </w:rPr>
        <w:t>（</w:t>
      </w:r>
      <w:r>
        <w:rPr>
          <w:spacing w:val="3"/>
          <w:sz w:val="24"/>
        </w:rPr>
        <w:t>如，原发疾病、其他药物、其他宿主或环境因素）</w:t>
      </w:r>
      <w:r>
        <w:rPr>
          <w:spacing w:val="-10"/>
          <w:sz w:val="24"/>
        </w:rPr>
        <w:t>合理解释 </w:t>
      </w:r>
      <w:r>
        <w:rPr>
          <w:rFonts w:ascii="Times New Roman" w:hAnsi="Times New Roman" w:eastAsia="Times New Roman"/>
          <w:spacing w:val="-1"/>
          <w:sz w:val="24"/>
        </w:rPr>
        <w:t>A</w:t>
      </w:r>
      <w:r>
        <w:rPr>
          <w:rFonts w:ascii="Times New Roman" w:hAnsi="Times New Roman" w:eastAsia="Times New Roman"/>
          <w:sz w:val="24"/>
        </w:rPr>
        <w:t>E</w:t>
      </w:r>
      <w:r>
        <w:rPr>
          <w:sz w:val="24"/>
        </w:rPr>
        <w:t>。</w:t>
      </w:r>
    </w:p>
    <w:p>
      <w:pPr>
        <w:pStyle w:val="ListParagraph"/>
        <w:numPr>
          <w:ilvl w:val="0"/>
          <w:numId w:val="53"/>
        </w:numPr>
        <w:tabs>
          <w:tab w:pos="646" w:val="left" w:leader="none"/>
        </w:tabs>
        <w:spacing w:line="240" w:lineRule="auto" w:before="58" w:after="0"/>
        <w:ind w:left="646" w:right="356" w:hanging="425"/>
        <w:jc w:val="left"/>
        <w:rPr>
          <w:sz w:val="24"/>
        </w:rPr>
      </w:pPr>
      <w:r>
        <w:rPr>
          <w:sz w:val="24"/>
        </w:rPr>
        <w:t>再次给药治疗。如果在停药后再次使用可疑药物，</w:t>
      </w:r>
      <w:r>
        <w:rPr>
          <w:rFonts w:ascii="Times New Roman" w:hAnsi="Times New Roman" w:eastAsia="Times New Roman"/>
          <w:sz w:val="24"/>
        </w:rPr>
        <w:t>AE</w:t>
      </w:r>
      <w:r>
        <w:rPr>
          <w:rFonts w:ascii="Times New Roman" w:hAnsi="Times New Roman" w:eastAsia="Times New Roman"/>
          <w:spacing w:val="7"/>
          <w:sz w:val="24"/>
        </w:rPr>
        <w:t> </w:t>
      </w:r>
      <w:r>
        <w:rPr>
          <w:sz w:val="24"/>
        </w:rPr>
        <w:t>是否会再次出现？申办者</w:t>
      </w:r>
      <w:r>
        <w:rPr>
          <w:spacing w:val="-2"/>
          <w:sz w:val="24"/>
        </w:rPr>
        <w:t>一般不推荐或不支持再次给药。</w:t>
      </w:r>
    </w:p>
    <w:p>
      <w:pPr>
        <w:spacing w:after="0" w:line="240" w:lineRule="auto"/>
        <w:jc w:val="left"/>
        <w:rPr>
          <w:sz w:val="24"/>
        </w:rPr>
        <w:sectPr>
          <w:pgSz w:w="11910" w:h="16840"/>
          <w:pgMar w:header="590" w:footer="784" w:top="1340" w:bottom="980" w:left="1480" w:right="1080"/>
        </w:sectPr>
      </w:pPr>
    </w:p>
    <w:p>
      <w:pPr>
        <w:pStyle w:val="ListParagraph"/>
        <w:numPr>
          <w:ilvl w:val="0"/>
          <w:numId w:val="53"/>
        </w:numPr>
        <w:tabs>
          <w:tab w:pos="646" w:val="left" w:leader="none"/>
          <w:tab w:pos="701" w:val="left" w:leader="none"/>
        </w:tabs>
        <w:spacing w:line="496" w:lineRule="auto" w:before="88" w:after="0"/>
        <w:ind w:left="701" w:right="1019" w:hanging="480"/>
        <w:jc w:val="left"/>
        <w:rPr>
          <w:sz w:val="24"/>
        </w:rPr>
      </w:pPr>
      <w:r>
        <w:rPr>
          <w:spacing w:val="-2"/>
          <w:sz w:val="24"/>
        </w:rPr>
        <w:t>实验室检查。某项具体的实验室检查（如果实施）已证实此类因果关系。在难以确定的情况下，可以考虑其他因素，例如：</w:t>
      </w:r>
    </w:p>
    <w:p>
      <w:pPr>
        <w:pStyle w:val="ListParagraph"/>
        <w:numPr>
          <w:ilvl w:val="0"/>
          <w:numId w:val="53"/>
        </w:numPr>
        <w:tabs>
          <w:tab w:pos="646" w:val="left" w:leader="none"/>
        </w:tabs>
        <w:spacing w:line="266" w:lineRule="exact" w:before="0" w:after="0"/>
        <w:ind w:left="646" w:right="0" w:hanging="425"/>
        <w:jc w:val="left"/>
        <w:rPr>
          <w:sz w:val="24"/>
        </w:rPr>
      </w:pPr>
      <w:r>
        <w:rPr>
          <w:spacing w:val="-1"/>
          <w:sz w:val="24"/>
        </w:rPr>
        <w:t>是否具有用药过量的已知特征？</w:t>
      </w:r>
    </w:p>
    <w:p>
      <w:pPr>
        <w:pStyle w:val="ListParagraph"/>
        <w:numPr>
          <w:ilvl w:val="0"/>
          <w:numId w:val="53"/>
        </w:numPr>
        <w:tabs>
          <w:tab w:pos="646" w:val="left" w:leader="none"/>
        </w:tabs>
        <w:spacing w:line="240" w:lineRule="auto" w:before="58" w:after="0"/>
        <w:ind w:left="646" w:right="0" w:hanging="425"/>
        <w:jc w:val="left"/>
        <w:rPr>
          <w:sz w:val="24"/>
        </w:rPr>
      </w:pPr>
      <w:r>
        <w:rPr>
          <w:spacing w:val="-1"/>
          <w:sz w:val="24"/>
        </w:rPr>
        <w:t>是否存在已知的作用机制？</w:t>
      </w:r>
    </w:p>
    <w:p>
      <w:pPr>
        <w:pStyle w:val="BodyText"/>
        <w:spacing w:before="23"/>
        <w:ind w:left="0"/>
      </w:pPr>
    </w:p>
    <w:p>
      <w:pPr>
        <w:pStyle w:val="BodyText"/>
        <w:spacing w:line="276" w:lineRule="auto"/>
        <w:ind w:right="118" w:firstLine="480"/>
      </w:pPr>
      <w:r>
        <w:rPr>
          <w:spacing w:val="-2"/>
        </w:rPr>
        <w:t>如果在审查相关数据后，有证据表明个例病例的因果关系存在“合理可能性”，则将因果关系评定为“相关”。一般情况下，因果关系中“合理可能性”一词是指</w:t>
      </w:r>
      <w:r>
        <w:rPr>
          <w:spacing w:val="80"/>
          <w:w w:val="150"/>
        </w:rPr>
        <w:t> </w:t>
      </w:r>
      <w:r>
        <w:rPr>
          <w:spacing w:val="-2"/>
        </w:rPr>
        <w:t>存在提示因果关系的事实（证据）或论据。</w:t>
      </w:r>
    </w:p>
    <w:p>
      <w:pPr>
        <w:pStyle w:val="BodyText"/>
        <w:spacing w:line="276" w:lineRule="auto" w:before="238"/>
        <w:ind w:right="119" w:firstLine="480"/>
      </w:pPr>
      <w:r>
        <w:rPr>
          <w:spacing w:val="-2"/>
        </w:rPr>
        <w:t>基于已有数据（包括充足的信息，以便做出可靠的判断）对因果关系进行评估。若没有可用事实或论据表明存在因果关系，则将事件评估为“不相关”。</w:t>
      </w:r>
    </w:p>
    <w:p>
      <w:pPr>
        <w:pStyle w:val="BodyText"/>
        <w:spacing w:line="276" w:lineRule="auto" w:before="239"/>
        <w:ind w:right="365" w:firstLine="480"/>
      </w:pPr>
      <w:r>
        <w:rPr>
          <w:spacing w:val="-2"/>
        </w:rPr>
        <w:t>对于因缺乏有效性而引起所研究疾病加重的情况，认为其因果关系不存在合理</w:t>
      </w:r>
      <w:r>
        <w:rPr>
          <w:spacing w:val="-4"/>
        </w:rPr>
        <w:t>可能性。</w:t>
      </w:r>
    </w:p>
    <w:p>
      <w:pPr>
        <w:tabs>
          <w:tab w:pos="1359" w:val="left" w:leader="none"/>
        </w:tabs>
        <w:spacing w:before="237"/>
        <w:ind w:left="221" w:right="0" w:firstLine="0"/>
        <w:jc w:val="left"/>
        <w:rPr>
          <w:b/>
          <w:sz w:val="28"/>
        </w:rPr>
      </w:pPr>
      <w:bookmarkStart w:name="B 4 用药差错、药物滥用和药物误用" w:id="306"/>
      <w:bookmarkEnd w:id="306"/>
      <w:r>
        <w:rPr/>
      </w:r>
      <w:bookmarkStart w:name="_bookmark152" w:id="307"/>
      <w:bookmarkEnd w:id="307"/>
      <w:r>
        <w:rPr/>
      </w:r>
      <w:r>
        <w:rPr>
          <w:rFonts w:ascii="Times New Roman" w:eastAsia="Times New Roman"/>
          <w:b/>
          <w:sz w:val="26"/>
        </w:rPr>
        <w:t>B </w:t>
      </w:r>
      <w:r>
        <w:rPr>
          <w:rFonts w:ascii="Times New Roman" w:eastAsia="Times New Roman"/>
          <w:b/>
          <w:spacing w:val="-10"/>
          <w:sz w:val="26"/>
        </w:rPr>
        <w:t>4</w:t>
      </w:r>
      <w:r>
        <w:rPr>
          <w:rFonts w:ascii="Times New Roman" w:eastAsia="Times New Roman"/>
          <w:b/>
          <w:sz w:val="26"/>
        </w:rPr>
        <w:tab/>
      </w:r>
      <w:r>
        <w:rPr>
          <w:b/>
          <w:spacing w:val="-5"/>
          <w:sz w:val="28"/>
        </w:rPr>
        <w:t>用药差错、药物滥用和药物误用</w:t>
      </w:r>
    </w:p>
    <w:p>
      <w:pPr>
        <w:pStyle w:val="Heading3"/>
        <w:spacing w:before="120"/>
      </w:pPr>
      <w:r>
        <w:rPr>
          <w:spacing w:val="-4"/>
          <w:u w:val="single"/>
        </w:rPr>
        <w:t>用药差错</w:t>
      </w:r>
    </w:p>
    <w:p>
      <w:pPr>
        <w:pStyle w:val="BodyText"/>
        <w:spacing w:line="276" w:lineRule="auto" w:before="119"/>
        <w:ind w:right="357" w:firstLine="480"/>
      </w:pPr>
      <w:r>
        <w:rPr>
          <w:spacing w:val="-3"/>
        </w:rPr>
        <w:t>就本临床研究而言，用药差错是指采用 </w:t>
      </w:r>
      <w:r>
        <w:rPr>
          <w:rFonts w:ascii="Times New Roman" w:eastAsia="Times New Roman"/>
        </w:rPr>
        <w:t>IMP</w:t>
      </w:r>
      <w:r>
        <w:rPr>
          <w:rFonts w:ascii="Times New Roman" w:eastAsia="Times New Roman"/>
          <w:spacing w:val="-15"/>
        </w:rPr>
        <w:t> </w:t>
      </w:r>
      <w:r>
        <w:rPr>
          <w:spacing w:val="-8"/>
        </w:rPr>
        <w:t>或申办者 </w:t>
      </w:r>
      <w:r>
        <w:rPr>
          <w:rFonts w:ascii="Times New Roman" w:eastAsia="Times New Roman"/>
        </w:rPr>
        <w:t>NIMP</w:t>
      </w:r>
      <w:r>
        <w:rPr>
          <w:rFonts w:ascii="Times New Roman" w:eastAsia="Times New Roman"/>
          <w:spacing w:val="-6"/>
        </w:rPr>
        <w:t> </w:t>
      </w:r>
      <w:r>
        <w:rPr/>
        <w:t>治疗过程中出现的</w:t>
      </w:r>
      <w:r>
        <w:rPr>
          <w:spacing w:val="-2"/>
        </w:rPr>
        <w:t>对受试者造成伤害或可能对受试者造成伤害的一种非故意用药失败或错误。</w:t>
      </w:r>
    </w:p>
    <w:p>
      <w:pPr>
        <w:pStyle w:val="BodyText"/>
        <w:spacing w:line="276" w:lineRule="auto" w:before="239"/>
        <w:ind w:right="364" w:firstLine="480"/>
      </w:pPr>
      <w:r>
        <w:rPr>
          <w:spacing w:val="-2"/>
        </w:rPr>
        <w:t>用药差错不是指药物缺乏疗效，而是在研究中心工作人员或受试者管理药物时出现的人为过失或方法不当。</w:t>
      </w:r>
    </w:p>
    <w:p>
      <w:pPr>
        <w:pStyle w:val="BodyText"/>
        <w:spacing w:before="237"/>
        <w:ind w:left="701"/>
      </w:pPr>
      <w:r>
        <w:rPr>
          <w:spacing w:val="-1"/>
        </w:rPr>
        <w:t>用药差错包括以下情况：</w:t>
      </w:r>
    </w:p>
    <w:p>
      <w:pPr>
        <w:pStyle w:val="ListParagraph"/>
        <w:numPr>
          <w:ilvl w:val="0"/>
          <w:numId w:val="54"/>
        </w:numPr>
        <w:tabs>
          <w:tab w:pos="1071" w:val="left" w:leader="none"/>
        </w:tabs>
        <w:spacing w:line="240" w:lineRule="auto" w:before="287" w:after="0"/>
        <w:ind w:left="1071" w:right="0" w:hanging="425"/>
        <w:jc w:val="left"/>
        <w:rPr>
          <w:sz w:val="24"/>
        </w:rPr>
      </w:pPr>
      <w:r>
        <w:rPr>
          <w:spacing w:val="-4"/>
          <w:sz w:val="24"/>
        </w:rPr>
        <w:t>已发生</w:t>
      </w:r>
    </w:p>
    <w:p>
      <w:pPr>
        <w:pStyle w:val="ListParagraph"/>
        <w:numPr>
          <w:ilvl w:val="0"/>
          <w:numId w:val="54"/>
        </w:numPr>
        <w:tabs>
          <w:tab w:pos="1071" w:val="left" w:leader="none"/>
        </w:tabs>
        <w:spacing w:line="240" w:lineRule="auto" w:before="106" w:after="0"/>
        <w:ind w:left="1071" w:right="0" w:hanging="425"/>
        <w:jc w:val="left"/>
        <w:rPr>
          <w:sz w:val="24"/>
        </w:rPr>
      </w:pPr>
      <w:r>
        <w:rPr>
          <w:spacing w:val="-2"/>
          <w:sz w:val="24"/>
        </w:rPr>
        <w:t>在受试者接受研究药物前</w:t>
      </w:r>
      <w:r>
        <w:rPr>
          <w:b/>
          <w:spacing w:val="-2"/>
          <w:sz w:val="24"/>
        </w:rPr>
        <w:t>已识别出并</w:t>
      </w:r>
      <w:r>
        <w:rPr>
          <w:spacing w:val="-6"/>
          <w:sz w:val="24"/>
        </w:rPr>
        <w:t>阻止</w:t>
      </w:r>
    </w:p>
    <w:p>
      <w:pPr>
        <w:pStyle w:val="ListParagraph"/>
        <w:numPr>
          <w:ilvl w:val="0"/>
          <w:numId w:val="54"/>
        </w:numPr>
        <w:tabs>
          <w:tab w:pos="1071" w:val="left" w:leader="none"/>
        </w:tabs>
        <w:spacing w:line="240" w:lineRule="auto" w:before="105" w:after="0"/>
        <w:ind w:left="1071" w:right="0" w:hanging="425"/>
        <w:jc w:val="left"/>
        <w:rPr>
          <w:sz w:val="24"/>
        </w:rPr>
      </w:pPr>
      <w:r>
        <w:rPr>
          <w:spacing w:val="-1"/>
          <w:sz w:val="24"/>
        </w:rPr>
        <w:t>未发生，但当时的情况判定可能会导致错误</w:t>
      </w:r>
    </w:p>
    <w:p>
      <w:pPr>
        <w:pStyle w:val="BodyText"/>
        <w:spacing w:before="71"/>
        <w:ind w:left="0"/>
      </w:pPr>
    </w:p>
    <w:p>
      <w:pPr>
        <w:pStyle w:val="BodyText"/>
        <w:ind w:left="701"/>
      </w:pPr>
      <w:r>
        <w:rPr>
          <w:spacing w:val="-1"/>
        </w:rPr>
        <w:t>临床研究中报告的用药差错事件示例：</w:t>
      </w:r>
    </w:p>
    <w:p>
      <w:pPr>
        <w:pStyle w:val="ListParagraph"/>
        <w:numPr>
          <w:ilvl w:val="0"/>
          <w:numId w:val="54"/>
        </w:numPr>
        <w:tabs>
          <w:tab w:pos="1071" w:val="left" w:leader="none"/>
        </w:tabs>
        <w:spacing w:line="240" w:lineRule="auto" w:before="286" w:after="0"/>
        <w:ind w:left="1071" w:right="0" w:hanging="425"/>
        <w:jc w:val="left"/>
        <w:rPr>
          <w:sz w:val="24"/>
        </w:rPr>
      </w:pPr>
      <w:r>
        <w:rPr>
          <w:spacing w:val="-2"/>
          <w:sz w:val="24"/>
        </w:rPr>
        <w:t>药物名称混淆</w:t>
      </w:r>
    </w:p>
    <w:p>
      <w:pPr>
        <w:pStyle w:val="ListParagraph"/>
        <w:numPr>
          <w:ilvl w:val="0"/>
          <w:numId w:val="54"/>
        </w:numPr>
        <w:tabs>
          <w:tab w:pos="1071" w:val="left" w:leader="none"/>
        </w:tabs>
        <w:spacing w:line="240" w:lineRule="auto" w:before="105" w:after="0"/>
        <w:ind w:left="1071" w:right="0" w:hanging="425"/>
        <w:jc w:val="left"/>
        <w:rPr>
          <w:sz w:val="24"/>
        </w:rPr>
      </w:pPr>
      <w:r>
        <w:rPr>
          <w:spacing w:val="-1"/>
          <w:sz w:val="24"/>
        </w:rPr>
        <w:t>发放错误，例如，药物制备不正确，即使并未实际发放给受试者</w:t>
      </w:r>
    </w:p>
    <w:p>
      <w:pPr>
        <w:pStyle w:val="ListParagraph"/>
        <w:numPr>
          <w:ilvl w:val="0"/>
          <w:numId w:val="54"/>
        </w:numPr>
        <w:tabs>
          <w:tab w:pos="1071" w:val="left" w:leader="none"/>
        </w:tabs>
        <w:spacing w:line="240" w:lineRule="auto" w:before="106" w:after="0"/>
        <w:ind w:left="1071" w:right="0" w:hanging="425"/>
        <w:jc w:val="left"/>
        <w:rPr>
          <w:sz w:val="24"/>
        </w:rPr>
      </w:pPr>
      <w:r>
        <w:rPr>
          <w:spacing w:val="-1"/>
          <w:sz w:val="24"/>
        </w:rPr>
        <w:t>未按指示给药，例如，给药途径错误或给药部位错误</w:t>
      </w:r>
    </w:p>
    <w:p>
      <w:pPr>
        <w:pStyle w:val="ListParagraph"/>
        <w:numPr>
          <w:ilvl w:val="0"/>
          <w:numId w:val="54"/>
        </w:numPr>
        <w:tabs>
          <w:tab w:pos="1071" w:val="left" w:leader="none"/>
        </w:tabs>
        <w:spacing w:line="240" w:lineRule="auto" w:before="107" w:after="0"/>
        <w:ind w:left="1071" w:right="0" w:hanging="425"/>
        <w:jc w:val="left"/>
        <w:rPr>
          <w:sz w:val="24"/>
        </w:rPr>
      </w:pPr>
      <w:r>
        <w:rPr>
          <w:sz w:val="24"/>
        </w:rPr>
        <w:t>未按指示用药，例如，应作为固体片口服的片剂在水中溶解服用</w:t>
      </w:r>
      <w:r>
        <w:rPr>
          <w:spacing w:val="-10"/>
          <w:sz w:val="24"/>
        </w:rPr>
        <w:t>）</w:t>
      </w:r>
    </w:p>
    <w:p>
      <w:pPr>
        <w:pStyle w:val="ListParagraph"/>
        <w:numPr>
          <w:ilvl w:val="0"/>
          <w:numId w:val="54"/>
        </w:numPr>
        <w:tabs>
          <w:tab w:pos="1071" w:val="left" w:leader="none"/>
        </w:tabs>
        <w:spacing w:line="240" w:lineRule="auto" w:before="106" w:after="0"/>
        <w:ind w:left="1071" w:right="0" w:hanging="425"/>
        <w:jc w:val="left"/>
        <w:rPr>
          <w:sz w:val="24"/>
        </w:rPr>
      </w:pPr>
      <w:r>
        <w:rPr>
          <w:spacing w:val="-1"/>
          <w:sz w:val="24"/>
        </w:rPr>
        <w:t>未按说明贮存药物，例如，应在室温下贮存，却贮存于冰箱中</w:t>
      </w:r>
    </w:p>
    <w:p>
      <w:pPr>
        <w:pStyle w:val="ListParagraph"/>
        <w:numPr>
          <w:ilvl w:val="0"/>
          <w:numId w:val="54"/>
        </w:numPr>
        <w:tabs>
          <w:tab w:pos="1071" w:val="left" w:leader="none"/>
        </w:tabs>
        <w:spacing w:line="240" w:lineRule="auto" w:before="105" w:after="0"/>
        <w:ind w:left="1071" w:right="0" w:hanging="425"/>
        <w:jc w:val="left"/>
        <w:rPr>
          <w:sz w:val="24"/>
        </w:rPr>
      </w:pPr>
      <w:r>
        <w:rPr>
          <w:spacing w:val="-2"/>
          <w:sz w:val="24"/>
        </w:rPr>
        <w:t>接受药物的受试者错误（</w:t>
      </w:r>
      <w:r>
        <w:rPr>
          <w:spacing w:val="-15"/>
          <w:sz w:val="24"/>
        </w:rPr>
        <w:t>排除 </w:t>
      </w:r>
      <w:r>
        <w:rPr>
          <w:rFonts w:ascii="Times New Roman" w:hAnsi="Times New Roman" w:eastAsia="Times New Roman"/>
          <w:spacing w:val="-2"/>
          <w:sz w:val="24"/>
        </w:rPr>
        <w:t>IRT/RTSM</w:t>
      </w:r>
      <w:r>
        <w:rPr>
          <w:rFonts w:ascii="Times New Roman" w:hAnsi="Times New Roman" w:eastAsia="Times New Roman"/>
          <w:spacing w:val="6"/>
          <w:sz w:val="24"/>
        </w:rPr>
        <w:t> </w:t>
      </w:r>
      <w:r>
        <w:rPr>
          <w:spacing w:val="-2"/>
          <w:sz w:val="24"/>
        </w:rPr>
        <w:t>错误</w:t>
      </w:r>
      <w:r>
        <w:rPr>
          <w:spacing w:val="-10"/>
          <w:sz w:val="24"/>
        </w:rPr>
        <w:t>）</w:t>
      </w:r>
    </w:p>
    <w:p>
      <w:pPr>
        <w:pStyle w:val="ListParagraph"/>
        <w:numPr>
          <w:ilvl w:val="0"/>
          <w:numId w:val="54"/>
        </w:numPr>
        <w:tabs>
          <w:tab w:pos="1071" w:val="left" w:leader="none"/>
        </w:tabs>
        <w:spacing w:line="240" w:lineRule="auto" w:before="107" w:after="0"/>
        <w:ind w:left="1071" w:right="0" w:hanging="425"/>
        <w:jc w:val="left"/>
        <w:rPr>
          <w:sz w:val="24"/>
        </w:rPr>
      </w:pPr>
      <w:r>
        <w:rPr>
          <w:spacing w:val="-2"/>
          <w:sz w:val="24"/>
        </w:rPr>
        <w:t>给予受试者错误的药物（</w:t>
      </w:r>
      <w:r>
        <w:rPr>
          <w:spacing w:val="-15"/>
          <w:sz w:val="24"/>
        </w:rPr>
        <w:t>排除 </w:t>
      </w:r>
      <w:r>
        <w:rPr>
          <w:rFonts w:ascii="Times New Roman" w:hAnsi="Times New Roman" w:eastAsia="Times New Roman"/>
          <w:spacing w:val="-2"/>
          <w:sz w:val="24"/>
        </w:rPr>
        <w:t>IRT/RTSM</w:t>
      </w:r>
      <w:r>
        <w:rPr>
          <w:rFonts w:ascii="Times New Roman" w:hAnsi="Times New Roman" w:eastAsia="Times New Roman"/>
          <w:spacing w:val="6"/>
          <w:sz w:val="24"/>
        </w:rPr>
        <w:t> </w:t>
      </w:r>
      <w:r>
        <w:rPr>
          <w:spacing w:val="-2"/>
          <w:sz w:val="24"/>
        </w:rPr>
        <w:t>错误</w:t>
      </w:r>
      <w:r>
        <w:rPr>
          <w:spacing w:val="-10"/>
          <w:sz w:val="24"/>
        </w:rPr>
        <w:t>）</w:t>
      </w:r>
    </w:p>
    <w:p>
      <w:pPr>
        <w:spacing w:after="0" w:line="240" w:lineRule="auto"/>
        <w:jc w:val="left"/>
        <w:rPr>
          <w:sz w:val="24"/>
        </w:rPr>
        <w:sectPr>
          <w:pgSz w:w="11910" w:h="16840"/>
          <w:pgMar w:header="590" w:footer="784" w:top="1340" w:bottom="980" w:left="1480" w:right="1080"/>
        </w:sectPr>
      </w:pPr>
    </w:p>
    <w:p>
      <w:pPr>
        <w:pStyle w:val="BodyText"/>
        <w:spacing w:before="51"/>
        <w:ind w:left="0"/>
      </w:pPr>
    </w:p>
    <w:p>
      <w:pPr>
        <w:pStyle w:val="BodyText"/>
        <w:spacing w:before="1"/>
        <w:ind w:left="701"/>
      </w:pPr>
      <w:r>
        <w:rPr>
          <w:spacing w:val="-2"/>
        </w:rPr>
        <w:t>在临床研究中</w:t>
      </w:r>
      <w:r>
        <w:rPr>
          <w:b/>
          <w:spacing w:val="-2"/>
        </w:rPr>
        <w:t>无需</w:t>
      </w:r>
      <w:r>
        <w:rPr>
          <w:spacing w:val="-3"/>
        </w:rPr>
        <w:t>报告为用药差错的事件示例：</w:t>
      </w:r>
    </w:p>
    <w:p>
      <w:pPr>
        <w:pStyle w:val="ListParagraph"/>
        <w:numPr>
          <w:ilvl w:val="0"/>
          <w:numId w:val="54"/>
        </w:numPr>
        <w:tabs>
          <w:tab w:pos="1071" w:val="left" w:leader="none"/>
        </w:tabs>
        <w:spacing w:line="276" w:lineRule="auto" w:before="285" w:after="0"/>
        <w:ind w:left="1071" w:right="357" w:hanging="426"/>
        <w:jc w:val="left"/>
        <w:rPr>
          <w:sz w:val="24"/>
        </w:rPr>
      </w:pPr>
      <w:r>
        <w:rPr>
          <w:spacing w:val="-15"/>
          <w:sz w:val="24"/>
        </w:rPr>
        <w:t>与 </w:t>
      </w:r>
      <w:r>
        <w:rPr>
          <w:rFonts w:ascii="Times New Roman" w:hAnsi="Times New Roman" w:eastAsia="Times New Roman"/>
          <w:sz w:val="24"/>
        </w:rPr>
        <w:t>IRT/RTSM</w:t>
      </w:r>
      <w:r>
        <w:rPr>
          <w:rFonts w:ascii="Times New Roman" w:hAnsi="Times New Roman" w:eastAsia="Times New Roman"/>
          <w:spacing w:val="-1"/>
          <w:sz w:val="24"/>
        </w:rPr>
        <w:t> </w:t>
      </w:r>
      <w:r>
        <w:rPr>
          <w:spacing w:val="-5"/>
          <w:sz w:val="24"/>
        </w:rPr>
        <w:t>错误相关或 </w:t>
      </w:r>
      <w:r>
        <w:rPr>
          <w:rFonts w:ascii="Times New Roman" w:hAnsi="Times New Roman" w:eastAsia="Times New Roman"/>
          <w:sz w:val="24"/>
        </w:rPr>
        <w:t>IRT/RTSM</w:t>
      </w:r>
      <w:r>
        <w:rPr>
          <w:rFonts w:ascii="Times New Roman" w:hAnsi="Times New Roman" w:eastAsia="Times New Roman"/>
          <w:spacing w:val="9"/>
          <w:sz w:val="24"/>
        </w:rPr>
        <w:t> </w:t>
      </w:r>
      <w:r>
        <w:rPr>
          <w:sz w:val="24"/>
        </w:rPr>
        <w:t>引起的错误</w:t>
      </w:r>
      <w:r>
        <w:rPr>
          <w:rFonts w:ascii="Times New Roman" w:hAnsi="Times New Roman" w:eastAsia="Times New Roman"/>
          <w:sz w:val="24"/>
        </w:rPr>
        <w:t>-</w:t>
      </w:r>
      <w:r>
        <w:rPr>
          <w:sz w:val="24"/>
        </w:rPr>
        <w:t>导致包括上述事件之一的</w:t>
      </w:r>
      <w:r>
        <w:rPr>
          <w:spacing w:val="-2"/>
          <w:sz w:val="24"/>
        </w:rPr>
        <w:t>错误，否则该事件则为用药差错</w:t>
      </w:r>
    </w:p>
    <w:p>
      <w:pPr>
        <w:pStyle w:val="ListParagraph"/>
        <w:numPr>
          <w:ilvl w:val="0"/>
          <w:numId w:val="54"/>
        </w:numPr>
        <w:tabs>
          <w:tab w:pos="1071" w:val="left" w:leader="none"/>
        </w:tabs>
        <w:spacing w:line="240" w:lineRule="auto" w:before="59" w:after="0"/>
        <w:ind w:left="1071" w:right="0" w:hanging="425"/>
        <w:jc w:val="left"/>
        <w:rPr>
          <w:sz w:val="24"/>
        </w:rPr>
      </w:pPr>
      <w:r>
        <w:rPr>
          <w:sz w:val="24"/>
        </w:rPr>
        <w:t>受试者偶尔漏服药物（例如，忘记服药</w:t>
      </w:r>
      <w:r>
        <w:rPr>
          <w:spacing w:val="-10"/>
          <w:sz w:val="24"/>
        </w:rPr>
        <w:t>）</w:t>
      </w:r>
    </w:p>
    <w:p>
      <w:pPr>
        <w:pStyle w:val="ListParagraph"/>
        <w:numPr>
          <w:ilvl w:val="0"/>
          <w:numId w:val="54"/>
        </w:numPr>
        <w:tabs>
          <w:tab w:pos="1071" w:val="left" w:leader="none"/>
        </w:tabs>
        <w:spacing w:line="240" w:lineRule="auto" w:before="106" w:after="0"/>
        <w:ind w:left="1071" w:right="0" w:hanging="425"/>
        <w:jc w:val="left"/>
        <w:rPr>
          <w:sz w:val="24"/>
        </w:rPr>
      </w:pPr>
      <w:r>
        <w:rPr>
          <w:sz w:val="24"/>
        </w:rPr>
        <w:t>意外用药过量（将被收集为用药过量</w:t>
      </w:r>
      <w:r>
        <w:rPr>
          <w:spacing w:val="-10"/>
          <w:sz w:val="24"/>
        </w:rPr>
        <w:t>）</w:t>
      </w:r>
    </w:p>
    <w:p>
      <w:pPr>
        <w:pStyle w:val="ListParagraph"/>
        <w:numPr>
          <w:ilvl w:val="0"/>
          <w:numId w:val="54"/>
        </w:numPr>
        <w:tabs>
          <w:tab w:pos="1071" w:val="left" w:leader="none"/>
        </w:tabs>
        <w:spacing w:line="240" w:lineRule="auto" w:before="106" w:after="0"/>
        <w:ind w:left="1071" w:right="0" w:hanging="425"/>
        <w:jc w:val="left"/>
        <w:rPr>
          <w:sz w:val="24"/>
        </w:rPr>
      </w:pPr>
      <w:r>
        <w:rPr>
          <w:spacing w:val="-1"/>
          <w:sz w:val="24"/>
        </w:rPr>
        <w:t>受试者未归还未使用的药物或空包装</w:t>
      </w:r>
    </w:p>
    <w:p>
      <w:pPr>
        <w:pStyle w:val="BodyText"/>
        <w:spacing w:line="590" w:lineRule="atLeast" w:before="104"/>
        <w:ind w:right="3034" w:firstLine="480"/>
        <w:rPr>
          <w:b/>
        </w:rPr>
      </w:pPr>
      <w:r>
        <w:rPr>
          <w:spacing w:val="-8"/>
        </w:rPr>
        <w:t>用药差错不视为 </w:t>
      </w:r>
      <w:r>
        <w:rPr>
          <w:rFonts w:ascii="Times New Roman" w:eastAsia="Times New Roman"/>
        </w:rPr>
        <w:t>AE</w:t>
      </w:r>
      <w:r>
        <w:rPr>
          <w:spacing w:val="-20"/>
        </w:rPr>
        <w:t>，但 </w:t>
      </w:r>
      <w:r>
        <w:rPr>
          <w:rFonts w:ascii="Times New Roman" w:eastAsia="Times New Roman"/>
        </w:rPr>
        <w:t>AE</w:t>
      </w:r>
      <w:r>
        <w:rPr>
          <w:rFonts w:ascii="Times New Roman" w:eastAsia="Times New Roman"/>
          <w:spacing w:val="-15"/>
        </w:rPr>
        <w:t> </w:t>
      </w:r>
      <w:r>
        <w:rPr/>
        <w:t>可能由于用药差错导致。</w:t>
      </w:r>
      <w:r>
        <w:rPr>
          <w:b/>
          <w:spacing w:val="-4"/>
          <w:u w:val="single"/>
        </w:rPr>
        <w:t>药物滥用</w:t>
      </w:r>
    </w:p>
    <w:p>
      <w:pPr>
        <w:pStyle w:val="BodyText"/>
        <w:spacing w:line="276" w:lineRule="auto" w:before="127"/>
        <w:ind w:right="357" w:firstLine="480"/>
      </w:pPr>
      <w:r>
        <w:rPr>
          <w:spacing w:val="-1"/>
        </w:rPr>
        <w:t>在本研究中，药物滥用定义为持续或偶尔故意、非治疗性、过量使用 </w:t>
      </w:r>
      <w:r>
        <w:rPr>
          <w:rFonts w:ascii="Times New Roman" w:eastAsia="Times New Roman"/>
        </w:rPr>
        <w:t>IMP</w:t>
      </w:r>
      <w:r>
        <w:rPr>
          <w:rFonts w:ascii="Times New Roman" w:eastAsia="Times New Roman"/>
          <w:spacing w:val="-5"/>
        </w:rPr>
        <w:t> </w:t>
      </w:r>
      <w:r>
        <w:rPr/>
        <w:t>或申</w:t>
      </w:r>
      <w:r>
        <w:rPr>
          <w:spacing w:val="-14"/>
        </w:rPr>
        <w:t>办者 </w:t>
      </w:r>
      <w:r>
        <w:rPr>
          <w:rFonts w:ascii="Times New Roman" w:eastAsia="Times New Roman"/>
        </w:rPr>
        <w:t>NIMP</w:t>
      </w:r>
      <w:r>
        <w:rPr/>
        <w:t>，以获得可感知的奖励或期望的非治疗作用。</w:t>
      </w:r>
    </w:p>
    <w:p>
      <w:pPr>
        <w:pStyle w:val="BodyText"/>
        <w:spacing w:line="276" w:lineRule="auto" w:before="239"/>
        <w:ind w:right="357" w:firstLine="480"/>
        <w:jc w:val="both"/>
      </w:pPr>
      <w:r>
        <w:rPr>
          <w:spacing w:val="-3"/>
        </w:rPr>
        <w:t>使用药物滥用报告表收集任何药物滥用事件，无论伴发或不伴发相关 </w:t>
      </w:r>
      <w:r>
        <w:rPr>
          <w:rFonts w:ascii="Times New Roman" w:eastAsia="Times New Roman"/>
          <w:spacing w:val="-2"/>
        </w:rPr>
        <w:t>AE</w:t>
      </w:r>
      <w:r>
        <w:rPr>
          <w:spacing w:val="-2"/>
        </w:rPr>
        <w:t>，并转</w:t>
      </w:r>
      <w:r>
        <w:rPr>
          <w:spacing w:val="-1"/>
        </w:rPr>
        <w:t>发给 </w:t>
      </w:r>
      <w:r>
        <w:rPr>
          <w:rFonts w:ascii="Times New Roman" w:eastAsia="Times New Roman"/>
        </w:rPr>
        <w:t>DES</w:t>
      </w:r>
      <w:r>
        <w:rPr/>
        <w:t>。如果药物滥用发生在研究受试者中，或药物滥用涉及的是未入选研究的</w:t>
      </w:r>
      <w:r>
        <w:rPr>
          <w:spacing w:val="-2"/>
        </w:rPr>
        <w:t>人员（例如研究受试者的亲属），则应使用本表格。</w:t>
      </w:r>
    </w:p>
    <w:p>
      <w:pPr>
        <w:pStyle w:val="BodyText"/>
        <w:spacing w:before="237"/>
        <w:ind w:left="701"/>
      </w:pPr>
      <w:r>
        <w:rPr>
          <w:spacing w:val="-1"/>
        </w:rPr>
        <w:t>药物滥用的示例包括但不限于：</w:t>
      </w:r>
    </w:p>
    <w:p>
      <w:pPr>
        <w:pStyle w:val="ListParagraph"/>
        <w:numPr>
          <w:ilvl w:val="0"/>
          <w:numId w:val="54"/>
        </w:numPr>
        <w:tabs>
          <w:tab w:pos="1071" w:val="left" w:leader="none"/>
        </w:tabs>
        <w:spacing w:line="276" w:lineRule="auto" w:before="286" w:after="0"/>
        <w:ind w:left="1071" w:right="367" w:hanging="426"/>
        <w:jc w:val="left"/>
        <w:rPr>
          <w:sz w:val="24"/>
        </w:rPr>
      </w:pPr>
      <w:r>
        <w:rPr>
          <w:spacing w:val="6"/>
          <w:sz w:val="24"/>
        </w:rPr>
        <w:t>药物的使用目的是获得可感知的奖励（</w:t>
      </w:r>
      <w:r>
        <w:rPr>
          <w:spacing w:val="5"/>
          <w:sz w:val="24"/>
        </w:rPr>
        <w:t>研究受试者或未入选研究的人员使用）。</w:t>
      </w:r>
    </w:p>
    <w:p>
      <w:pPr>
        <w:pStyle w:val="ListParagraph"/>
        <w:numPr>
          <w:ilvl w:val="0"/>
          <w:numId w:val="54"/>
        </w:numPr>
        <w:tabs>
          <w:tab w:pos="1071" w:val="left" w:leader="none"/>
        </w:tabs>
        <w:spacing w:line="240" w:lineRule="auto" w:before="59" w:after="0"/>
        <w:ind w:left="1071" w:right="0" w:hanging="425"/>
        <w:jc w:val="left"/>
        <w:rPr>
          <w:sz w:val="24"/>
        </w:rPr>
      </w:pPr>
      <w:r>
        <w:rPr>
          <w:spacing w:val="-1"/>
          <w:sz w:val="24"/>
        </w:rPr>
        <w:t>将片剂形式的药物压碎并采用注射或吸入途径用药，以达到兴奋的目的。</w:t>
      </w:r>
    </w:p>
    <w:p>
      <w:pPr>
        <w:pStyle w:val="BodyText"/>
        <w:spacing w:before="189"/>
        <w:ind w:left="0"/>
      </w:pPr>
    </w:p>
    <w:p>
      <w:pPr>
        <w:pStyle w:val="Heading3"/>
        <w:spacing w:before="1"/>
      </w:pPr>
      <w:r>
        <w:rPr>
          <w:spacing w:val="-4"/>
          <w:u w:val="single"/>
        </w:rPr>
        <w:t>药物误用</w:t>
      </w:r>
    </w:p>
    <w:p>
      <w:pPr>
        <w:pStyle w:val="BodyText"/>
        <w:spacing w:line="276" w:lineRule="auto" w:before="118"/>
        <w:ind w:right="357" w:firstLine="480"/>
        <w:jc w:val="both"/>
      </w:pPr>
      <w:r>
        <w:rPr/>
        <w:t>药物误用是指（研究受试者）</w:t>
      </w:r>
      <w:r>
        <w:rPr>
          <w:spacing w:val="-4"/>
        </w:rPr>
        <w:t>故意不当使用 </w:t>
      </w:r>
      <w:r>
        <w:rPr>
          <w:rFonts w:ascii="Times New Roman" w:eastAsia="Times New Roman"/>
        </w:rPr>
        <w:t>IMP</w:t>
      </w:r>
      <w:r>
        <w:rPr>
          <w:rFonts w:ascii="Times New Roman" w:eastAsia="Times New Roman"/>
          <w:spacing w:val="16"/>
        </w:rPr>
        <w:t> </w:t>
      </w:r>
      <w:r>
        <w:rPr>
          <w:spacing w:val="-6"/>
        </w:rPr>
        <w:t>或申办者 </w:t>
      </w:r>
      <w:r>
        <w:rPr>
          <w:rFonts w:ascii="Times New Roman" w:eastAsia="Times New Roman"/>
        </w:rPr>
        <w:t>NIMP</w:t>
      </w:r>
      <w:r>
        <w:rPr/>
        <w:t>，将其用于上</w:t>
      </w:r>
      <w:r>
        <w:rPr>
          <w:spacing w:val="-2"/>
        </w:rPr>
        <w:t>市产品信息以外的医学目的，或将未上市的 </w:t>
      </w:r>
      <w:r>
        <w:rPr>
          <w:rFonts w:ascii="Times New Roman" w:eastAsia="Times New Roman"/>
        </w:rPr>
        <w:t>IMP</w:t>
      </w:r>
      <w:r>
        <w:rPr>
          <w:rFonts w:ascii="Times New Roman" w:eastAsia="Times New Roman"/>
          <w:spacing w:val="-15"/>
        </w:rPr>
        <w:t> </w:t>
      </w:r>
      <w:r>
        <w:rPr>
          <w:spacing w:val="-6"/>
        </w:rPr>
        <w:t>或申办者 </w:t>
      </w:r>
      <w:r>
        <w:rPr>
          <w:rFonts w:ascii="Times New Roman" w:eastAsia="Times New Roman"/>
        </w:rPr>
        <w:t>NIMP</w:t>
      </w:r>
      <w:r>
        <w:rPr>
          <w:rFonts w:ascii="Times New Roman" w:eastAsia="Times New Roman"/>
          <w:spacing w:val="-15"/>
        </w:rPr>
        <w:t> </w:t>
      </w:r>
      <w:r>
        <w:rPr/>
        <w:t>用于超出方案规定</w:t>
      </w:r>
      <w:r>
        <w:rPr>
          <w:spacing w:val="-2"/>
        </w:rPr>
        <w:t>的预期用途，包括故意通过错误途径给予产品。</w:t>
      </w:r>
    </w:p>
    <w:p>
      <w:pPr>
        <w:pStyle w:val="BodyText"/>
        <w:spacing w:line="276" w:lineRule="auto" w:before="238"/>
        <w:ind w:right="357" w:firstLine="480"/>
      </w:pPr>
      <w:r>
        <w:rPr>
          <w:spacing w:val="-5"/>
        </w:rPr>
        <w:t>使用药物误用报告表收集药物误用事件，无论伴发或不伴发相关 </w:t>
      </w:r>
      <w:r>
        <w:rPr>
          <w:rFonts w:ascii="Times New Roman" w:eastAsia="Times New Roman"/>
          <w:spacing w:val="-2"/>
        </w:rPr>
        <w:t>AE</w:t>
      </w:r>
      <w:r>
        <w:rPr>
          <w:spacing w:val="-2"/>
        </w:rPr>
        <w:t>，并转发给 </w:t>
      </w:r>
      <w:r>
        <w:rPr>
          <w:rFonts w:ascii="Times New Roman" w:eastAsia="Times New Roman"/>
        </w:rPr>
        <w:t>DES</w:t>
      </w:r>
      <w:r>
        <w:rPr>
          <w:spacing w:val="9"/>
        </w:rPr>
        <w:t>。如果药物误用发生在研究受试者中或药物误用涉及的是未入选研究的人员</w:t>
      </w:r>
    </w:p>
    <w:p>
      <w:pPr>
        <w:pStyle w:val="BodyText"/>
        <w:spacing w:line="460" w:lineRule="auto"/>
        <w:ind w:left="701" w:right="4083" w:hanging="480"/>
      </w:pPr>
      <w:r>
        <w:rPr>
          <w:spacing w:val="-2"/>
        </w:rPr>
        <w:t>（例如研究受试者的亲属），均应使用本表格。药物误用的示例包括但不限于：</w:t>
      </w:r>
    </w:p>
    <w:p>
      <w:pPr>
        <w:pStyle w:val="ListParagraph"/>
        <w:numPr>
          <w:ilvl w:val="0"/>
          <w:numId w:val="54"/>
        </w:numPr>
        <w:tabs>
          <w:tab w:pos="1071" w:val="left" w:leader="none"/>
        </w:tabs>
        <w:spacing w:line="310" w:lineRule="exact" w:before="0" w:after="0"/>
        <w:ind w:left="1071" w:right="0" w:hanging="425"/>
        <w:jc w:val="left"/>
        <w:rPr>
          <w:sz w:val="24"/>
        </w:rPr>
      </w:pPr>
      <w:r>
        <w:rPr>
          <w:spacing w:val="-1"/>
          <w:sz w:val="24"/>
        </w:rPr>
        <w:t>使用该药物的目的是对他人造成影响。</w:t>
      </w:r>
    </w:p>
    <w:p>
      <w:pPr>
        <w:pStyle w:val="ListParagraph"/>
        <w:numPr>
          <w:ilvl w:val="0"/>
          <w:numId w:val="54"/>
        </w:numPr>
        <w:tabs>
          <w:tab w:pos="1071" w:val="left" w:leader="none"/>
        </w:tabs>
        <w:spacing w:line="240" w:lineRule="auto" w:before="104" w:after="0"/>
        <w:ind w:left="1071" w:right="0" w:hanging="425"/>
        <w:jc w:val="left"/>
        <w:rPr>
          <w:sz w:val="24"/>
        </w:rPr>
      </w:pPr>
      <w:r>
        <w:rPr>
          <w:spacing w:val="-1"/>
          <w:sz w:val="24"/>
        </w:rPr>
        <w:t>将该药物销售给其他人，用于娱乐目的。</w:t>
      </w:r>
    </w:p>
    <w:p>
      <w:pPr>
        <w:pStyle w:val="ListParagraph"/>
        <w:numPr>
          <w:ilvl w:val="0"/>
          <w:numId w:val="54"/>
        </w:numPr>
        <w:tabs>
          <w:tab w:pos="1071" w:val="left" w:leader="none"/>
        </w:tabs>
        <w:spacing w:line="240" w:lineRule="auto" w:before="107" w:after="0"/>
        <w:ind w:left="1071" w:right="0" w:hanging="425"/>
        <w:jc w:val="left"/>
        <w:rPr>
          <w:sz w:val="24"/>
        </w:rPr>
      </w:pPr>
      <w:r>
        <w:rPr>
          <w:spacing w:val="-1"/>
          <w:sz w:val="24"/>
        </w:rPr>
        <w:t>该药物用于提高他人的攻击性。</w:t>
      </w:r>
    </w:p>
    <w:p>
      <w:pPr>
        <w:pStyle w:val="ListParagraph"/>
        <w:numPr>
          <w:ilvl w:val="0"/>
          <w:numId w:val="54"/>
        </w:numPr>
        <w:tabs>
          <w:tab w:pos="1071" w:val="left" w:leader="none"/>
        </w:tabs>
        <w:spacing w:line="240" w:lineRule="auto" w:before="106" w:after="0"/>
        <w:ind w:left="1071" w:right="0" w:hanging="425"/>
        <w:jc w:val="left"/>
        <w:rPr>
          <w:sz w:val="24"/>
        </w:rPr>
      </w:pPr>
      <w:r>
        <w:rPr>
          <w:spacing w:val="-1"/>
          <w:sz w:val="24"/>
        </w:rPr>
        <w:t>故意以错误的途径给药。</w:t>
      </w:r>
    </w:p>
    <w:p>
      <w:pPr>
        <w:spacing w:after="0" w:line="240" w:lineRule="auto"/>
        <w:jc w:val="left"/>
        <w:rPr>
          <w:sz w:val="24"/>
        </w:rPr>
        <w:sectPr>
          <w:pgSz w:w="11910" w:h="16840"/>
          <w:pgMar w:header="590" w:footer="784" w:top="1340" w:bottom="980" w:left="1480" w:right="1080"/>
        </w:sectPr>
      </w:pPr>
    </w:p>
    <w:p>
      <w:pPr>
        <w:pStyle w:val="ListParagraph"/>
        <w:numPr>
          <w:ilvl w:val="0"/>
          <w:numId w:val="54"/>
        </w:numPr>
        <w:tabs>
          <w:tab w:pos="1071" w:val="left" w:leader="none"/>
        </w:tabs>
        <w:spacing w:line="240" w:lineRule="auto" w:before="88" w:after="0"/>
        <w:ind w:left="1071" w:right="0" w:hanging="425"/>
        <w:jc w:val="left"/>
        <w:rPr>
          <w:sz w:val="24"/>
        </w:rPr>
      </w:pPr>
      <w:r>
        <w:rPr>
          <w:spacing w:val="-1"/>
          <w:sz w:val="24"/>
        </w:rPr>
        <w:t>当方案中规定必须整片吞服时，将药物分成两半，因为更容易吞服。</w:t>
      </w:r>
    </w:p>
    <w:p>
      <w:pPr>
        <w:pStyle w:val="ListParagraph"/>
        <w:numPr>
          <w:ilvl w:val="0"/>
          <w:numId w:val="54"/>
        </w:numPr>
        <w:tabs>
          <w:tab w:pos="1071" w:val="left" w:leader="none"/>
        </w:tabs>
        <w:spacing w:line="240" w:lineRule="auto" w:before="105" w:after="0"/>
        <w:ind w:left="1071" w:right="0" w:hanging="425"/>
        <w:jc w:val="left"/>
        <w:rPr>
          <w:sz w:val="24"/>
        </w:rPr>
      </w:pPr>
      <w:r>
        <w:rPr>
          <w:spacing w:val="-1"/>
          <w:sz w:val="24"/>
        </w:rPr>
        <w:t>仅服用一半剂量，因为研究受试者在未服用全部剂量时感觉更佳。</w:t>
      </w:r>
    </w:p>
    <w:p>
      <w:pPr>
        <w:pStyle w:val="ListParagraph"/>
        <w:numPr>
          <w:ilvl w:val="0"/>
          <w:numId w:val="54"/>
        </w:numPr>
        <w:tabs>
          <w:tab w:pos="1071" w:val="left" w:leader="none"/>
        </w:tabs>
        <w:spacing w:line="240" w:lineRule="auto" w:before="107" w:after="0"/>
        <w:ind w:left="1071" w:right="0" w:hanging="425"/>
        <w:jc w:val="left"/>
        <w:rPr>
          <w:sz w:val="24"/>
        </w:rPr>
      </w:pPr>
      <w:r>
        <w:rPr>
          <w:spacing w:val="-1"/>
          <w:sz w:val="24"/>
        </w:rPr>
        <w:t>未入选本研究的人员有意服用药物。</w:t>
      </w:r>
    </w:p>
    <w:p>
      <w:pPr>
        <w:spacing w:after="0" w:line="240" w:lineRule="auto"/>
        <w:jc w:val="left"/>
        <w:rPr>
          <w:sz w:val="24"/>
        </w:rPr>
        <w:sectPr>
          <w:pgSz w:w="11910" w:h="16840"/>
          <w:pgMar w:header="590" w:footer="784" w:top="1340" w:bottom="980" w:left="1480" w:right="1080"/>
        </w:sectPr>
      </w:pPr>
    </w:p>
    <w:p>
      <w:pPr>
        <w:pStyle w:val="Heading1"/>
        <w:tabs>
          <w:tab w:pos="1921" w:val="left" w:leader="none"/>
        </w:tabs>
        <w:ind w:left="221" w:firstLine="0"/>
      </w:pPr>
      <w:bookmarkStart w:name="附录C 人体生物样本的处理" w:id="308"/>
      <w:bookmarkEnd w:id="308"/>
      <w:r>
        <w:rPr>
          <w:b w:val="0"/>
        </w:rPr>
      </w:r>
      <w:bookmarkStart w:name="_bookmark153" w:id="309"/>
      <w:bookmarkEnd w:id="309"/>
      <w:r>
        <w:rPr>
          <w:b w:val="0"/>
        </w:rPr>
      </w:r>
      <w:r>
        <w:rPr>
          <w:spacing w:val="-2"/>
        </w:rPr>
        <w:t>附录</w:t>
      </w:r>
      <w:r>
        <w:rPr>
          <w:rFonts w:ascii="Times New Roman" w:eastAsia="Times New Roman"/>
          <w:spacing w:val="-10"/>
        </w:rPr>
        <w:t>C</w:t>
      </w:r>
      <w:r>
        <w:rPr>
          <w:rFonts w:ascii="Times New Roman" w:eastAsia="Times New Roman"/>
        </w:rPr>
        <w:tab/>
      </w:r>
      <w:r>
        <w:rPr>
          <w:spacing w:val="-4"/>
        </w:rPr>
        <w:t>人体生物样本的处</w:t>
      </w:r>
      <w:r>
        <w:rPr>
          <w:spacing w:val="-10"/>
        </w:rPr>
        <w:t>理</w:t>
      </w:r>
    </w:p>
    <w:p>
      <w:pPr>
        <w:tabs>
          <w:tab w:pos="1355" w:val="left" w:leader="none"/>
        </w:tabs>
        <w:spacing w:before="159"/>
        <w:ind w:left="221" w:right="0" w:firstLine="0"/>
        <w:jc w:val="left"/>
        <w:rPr>
          <w:b/>
          <w:sz w:val="28"/>
        </w:rPr>
      </w:pPr>
      <w:bookmarkStart w:name="C 1 监管链" w:id="310"/>
      <w:bookmarkEnd w:id="310"/>
      <w:r>
        <w:rPr/>
      </w:r>
      <w:r>
        <w:rPr>
          <w:rFonts w:ascii="Times New Roman" w:eastAsia="Times New Roman"/>
          <w:b/>
          <w:sz w:val="26"/>
        </w:rPr>
        <w:t>C </w:t>
      </w:r>
      <w:r>
        <w:rPr>
          <w:rFonts w:ascii="Times New Roman" w:eastAsia="Times New Roman"/>
          <w:b/>
          <w:spacing w:val="-10"/>
          <w:sz w:val="26"/>
        </w:rPr>
        <w:t>1</w:t>
      </w:r>
      <w:r>
        <w:rPr>
          <w:rFonts w:ascii="Times New Roman" w:eastAsia="Times New Roman"/>
          <w:b/>
          <w:sz w:val="26"/>
        </w:rPr>
        <w:tab/>
      </w:r>
      <w:r>
        <w:rPr>
          <w:b/>
          <w:spacing w:val="-5"/>
          <w:sz w:val="28"/>
        </w:rPr>
        <w:t>监管链</w:t>
      </w:r>
    </w:p>
    <w:p>
      <w:pPr>
        <w:pStyle w:val="BodyText"/>
        <w:spacing w:before="159"/>
        <w:ind w:left="701"/>
      </w:pPr>
      <w:r>
        <w:rPr>
          <w:spacing w:val="-1"/>
        </w:rPr>
        <w:t>对于所有样本而言，全面的监管链应贯穿样本的整个生命周期。</w:t>
      </w:r>
    </w:p>
    <w:p>
      <w:pPr>
        <w:pStyle w:val="BodyText"/>
        <w:spacing w:line="276" w:lineRule="auto" w:before="286"/>
        <w:ind w:right="354" w:firstLine="480"/>
        <w:jc w:val="both"/>
      </w:pPr>
      <w:r>
        <w:rPr>
          <w:spacing w:val="-2"/>
        </w:rPr>
        <w:t>对于所收集的受试者生物样本，各中心研究者应在研究中心贮藏期间保持样本的完整可追溯性，直至样本被运输或处理（适当时），并现场记录样本相关的处理</w:t>
      </w:r>
      <w:r>
        <w:rPr>
          <w:spacing w:val="-4"/>
        </w:rPr>
        <w:t>信息。</w:t>
      </w:r>
    </w:p>
    <w:p>
      <w:pPr>
        <w:pStyle w:val="BodyText"/>
        <w:spacing w:line="276" w:lineRule="auto" w:before="238"/>
        <w:ind w:right="365" w:firstLine="480"/>
      </w:pPr>
      <w:r>
        <w:rPr>
          <w:spacing w:val="-2"/>
        </w:rPr>
        <w:t>样本贮藏和使用期间，样本接收者应对样本保持完整可追溯性，直到使用或处理或直到进一步运输，并保存关于样本接收以及运输或处理的记录。</w:t>
      </w:r>
    </w:p>
    <w:p>
      <w:pPr>
        <w:pStyle w:val="BodyText"/>
        <w:spacing w:line="276" w:lineRule="auto" w:before="238"/>
        <w:ind w:right="365" w:firstLine="480"/>
      </w:pPr>
      <w:r>
        <w:rPr>
          <w:spacing w:val="-2"/>
        </w:rPr>
        <w:t>申办者或委托代表将通过内部流程、研究中心的监查、稽查或流程检查和外部实验室供应商的合同要求监管整个生命周期。</w:t>
      </w:r>
    </w:p>
    <w:p>
      <w:pPr>
        <w:pStyle w:val="BodyText"/>
        <w:spacing w:line="276" w:lineRule="auto" w:before="238"/>
        <w:ind w:right="365" w:firstLine="480"/>
      </w:pPr>
      <w:r>
        <w:rPr>
          <w:spacing w:val="-2"/>
        </w:rPr>
        <w:t>保留供日后使用的样本均将贮藏在申办者指定的生物样本库或其他样本存档机构，并由相应的申办者团队在样本生命周期剩余部分进行追踪。</w:t>
      </w:r>
    </w:p>
    <w:p>
      <w:pPr>
        <w:pStyle w:val="BodyText"/>
        <w:spacing w:line="276" w:lineRule="auto" w:before="239"/>
        <w:ind w:right="119" w:firstLine="480"/>
      </w:pPr>
      <w:r>
        <w:rPr>
          <w:spacing w:val="-2"/>
        </w:rPr>
        <w:t>若需要，申办者将确保根据当地法规或在保留期限结束时（以较早时间为准），将剩余的生物样本返还研究中心。</w:t>
      </w:r>
    </w:p>
    <w:p>
      <w:pPr>
        <w:tabs>
          <w:tab w:pos="1355" w:val="left" w:leader="none"/>
        </w:tabs>
        <w:spacing w:before="238"/>
        <w:ind w:left="221" w:right="0" w:firstLine="0"/>
        <w:jc w:val="left"/>
        <w:rPr>
          <w:b/>
          <w:sz w:val="28"/>
        </w:rPr>
      </w:pPr>
      <w:bookmarkStart w:name="C 2 撤回捐献生物样本的知情同意书" w:id="311"/>
      <w:bookmarkEnd w:id="311"/>
      <w:r>
        <w:rPr/>
      </w:r>
      <w:bookmarkStart w:name="_bookmark154" w:id="312"/>
      <w:bookmarkEnd w:id="312"/>
      <w:r>
        <w:rPr/>
      </w:r>
      <w:r>
        <w:rPr>
          <w:rFonts w:ascii="Times New Roman" w:eastAsia="Times New Roman"/>
          <w:b/>
          <w:sz w:val="26"/>
        </w:rPr>
        <w:t>C </w:t>
      </w:r>
      <w:r>
        <w:rPr>
          <w:rFonts w:ascii="Times New Roman" w:eastAsia="Times New Roman"/>
          <w:b/>
          <w:spacing w:val="-10"/>
          <w:sz w:val="26"/>
        </w:rPr>
        <w:t>2</w:t>
      </w:r>
      <w:r>
        <w:rPr>
          <w:rFonts w:ascii="Times New Roman" w:eastAsia="Times New Roman"/>
          <w:b/>
          <w:sz w:val="26"/>
        </w:rPr>
        <w:tab/>
      </w:r>
      <w:r>
        <w:rPr>
          <w:b/>
          <w:spacing w:val="-5"/>
          <w:sz w:val="28"/>
        </w:rPr>
        <w:t>撤回捐献生物样本的知情同意书</w:t>
      </w:r>
    </w:p>
    <w:p>
      <w:pPr>
        <w:pStyle w:val="BodyText"/>
        <w:spacing w:line="276" w:lineRule="auto" w:before="159"/>
        <w:ind w:right="119" w:firstLine="480"/>
      </w:pPr>
      <w:r>
        <w:rPr/>
        <w:t>若受试者撤回关于使用捐献生物样本的知情同意书，则处理</w:t>
      </w:r>
      <w:r>
        <w:rPr>
          <w:rFonts w:ascii="Times New Roman" w:eastAsia="Times New Roman"/>
        </w:rPr>
        <w:t>/</w:t>
      </w:r>
      <w:r>
        <w:rPr/>
        <w:t>销毁</w:t>
      </w:r>
      <w:r>
        <w:rPr>
          <w:rFonts w:ascii="Times New Roman" w:eastAsia="Times New Roman"/>
        </w:rPr>
        <w:t>/</w:t>
      </w:r>
      <w:r>
        <w:rPr/>
        <w:t>返还该样本，</w:t>
      </w:r>
      <w:r>
        <w:rPr>
          <w:spacing w:val="-2"/>
        </w:rPr>
        <w:t>并记录所采取的措施。若已对样本进行分析，则申办者没有义务销毁该研究结果。</w:t>
      </w:r>
    </w:p>
    <w:p>
      <w:pPr>
        <w:pStyle w:val="BodyText"/>
        <w:spacing w:line="276" w:lineRule="auto" w:before="239"/>
        <w:ind w:right="365" w:firstLine="480"/>
      </w:pPr>
      <w:r>
        <w:rPr>
          <w:spacing w:val="-2"/>
        </w:rPr>
        <w:t>在撤回生物样本的知情同意书后，应根据知情同意书中概述的撤回程序考虑是否继续参与研究。</w:t>
      </w:r>
    </w:p>
    <w:p>
      <w:pPr>
        <w:pStyle w:val="BodyText"/>
        <w:spacing w:before="237"/>
        <w:ind w:left="701"/>
      </w:pPr>
      <w:r>
        <w:rPr>
          <w:spacing w:val="-3"/>
        </w:rPr>
        <w:t>研究者：</w:t>
      </w:r>
    </w:p>
    <w:p>
      <w:pPr>
        <w:pStyle w:val="ListParagraph"/>
        <w:numPr>
          <w:ilvl w:val="0"/>
          <w:numId w:val="54"/>
        </w:numPr>
        <w:tabs>
          <w:tab w:pos="1071" w:val="left" w:leader="none"/>
        </w:tabs>
        <w:spacing w:line="276" w:lineRule="auto" w:before="287" w:after="0"/>
        <w:ind w:left="1071" w:right="367" w:hanging="426"/>
        <w:jc w:val="left"/>
        <w:rPr>
          <w:sz w:val="24"/>
        </w:rPr>
      </w:pPr>
      <w:r>
        <w:rPr>
          <w:spacing w:val="5"/>
          <w:sz w:val="24"/>
        </w:rPr>
        <w:t>确保立即向申办者或代表强调受试者已撤回关于使用捐献样本的知情同意书。</w:t>
      </w:r>
    </w:p>
    <w:p>
      <w:pPr>
        <w:pStyle w:val="ListParagraph"/>
        <w:numPr>
          <w:ilvl w:val="0"/>
          <w:numId w:val="54"/>
        </w:numPr>
        <w:tabs>
          <w:tab w:pos="1071" w:val="left" w:leader="none"/>
        </w:tabs>
        <w:spacing w:line="276" w:lineRule="auto" w:before="58" w:after="0"/>
        <w:ind w:left="1071" w:right="367" w:hanging="426"/>
        <w:jc w:val="left"/>
        <w:rPr>
          <w:sz w:val="24"/>
        </w:rPr>
      </w:pPr>
      <w:r>
        <w:rPr>
          <w:spacing w:val="6"/>
          <w:sz w:val="24"/>
        </w:rPr>
        <w:t>确保立即识别、处理（若适当）</w:t>
      </w:r>
      <w:r>
        <w:rPr>
          <w:spacing w:val="5"/>
          <w:sz w:val="24"/>
        </w:rPr>
        <w:t>在研究中心贮藏的该受试者的相关人体生物样本，并记录所采取的措施。</w:t>
      </w:r>
    </w:p>
    <w:p>
      <w:pPr>
        <w:pStyle w:val="ListParagraph"/>
        <w:numPr>
          <w:ilvl w:val="0"/>
          <w:numId w:val="54"/>
        </w:numPr>
        <w:tabs>
          <w:tab w:pos="1071" w:val="left" w:leader="none"/>
        </w:tabs>
        <w:spacing w:line="240" w:lineRule="auto" w:before="59" w:after="0"/>
        <w:ind w:left="1071" w:right="0" w:hanging="425"/>
        <w:jc w:val="left"/>
        <w:rPr>
          <w:sz w:val="24"/>
        </w:rPr>
      </w:pPr>
      <w:r>
        <w:rPr>
          <w:spacing w:val="-1"/>
          <w:sz w:val="24"/>
        </w:rPr>
        <w:t>确保通知受试者和申办者样本的处理情况。</w:t>
      </w:r>
    </w:p>
    <w:p>
      <w:pPr>
        <w:pStyle w:val="BodyText"/>
        <w:spacing w:before="69"/>
        <w:ind w:left="0"/>
      </w:pPr>
    </w:p>
    <w:p>
      <w:pPr>
        <w:pStyle w:val="BodyText"/>
        <w:spacing w:line="276" w:lineRule="auto"/>
        <w:ind w:right="365" w:firstLine="480"/>
      </w:pPr>
      <w:r>
        <w:rPr>
          <w:spacing w:val="-2"/>
        </w:rPr>
        <w:t>申办者确保立即告知保存该样本的机构有关知情同意书撤回信息，并确保对样本进行适当处理或返还，记录所采取的措施并通知研究中心。</w:t>
      </w:r>
    </w:p>
    <w:p>
      <w:pPr>
        <w:spacing w:after="0" w:line="276" w:lineRule="auto"/>
        <w:sectPr>
          <w:pgSz w:w="11910" w:h="16840"/>
          <w:pgMar w:header="590" w:footer="784" w:top="1340" w:bottom="980" w:left="1480" w:right="1080"/>
        </w:sectPr>
      </w:pPr>
    </w:p>
    <w:p>
      <w:pPr>
        <w:pStyle w:val="Heading1"/>
        <w:tabs>
          <w:tab w:pos="1355" w:val="left" w:leader="none"/>
        </w:tabs>
        <w:ind w:left="221" w:firstLine="0"/>
      </w:pPr>
      <w:bookmarkStart w:name="C 3 国际航空运输协会6.2指南文件" w:id="313"/>
      <w:bookmarkEnd w:id="313"/>
      <w:r>
        <w:rPr>
          <w:b w:val="0"/>
        </w:rPr>
      </w:r>
      <w:r>
        <w:rPr>
          <w:rFonts w:ascii="Times New Roman" w:eastAsia="Times New Roman"/>
          <w:sz w:val="26"/>
        </w:rPr>
        <w:t>C </w:t>
      </w:r>
      <w:r>
        <w:rPr>
          <w:rFonts w:ascii="Times New Roman" w:eastAsia="Times New Roman"/>
          <w:spacing w:val="-10"/>
          <w:sz w:val="26"/>
        </w:rPr>
        <w:t>3</w:t>
      </w:r>
      <w:r>
        <w:rPr>
          <w:rFonts w:ascii="Times New Roman" w:eastAsia="Times New Roman"/>
          <w:sz w:val="26"/>
        </w:rPr>
        <w:tab/>
      </w:r>
      <w:r>
        <w:rPr>
          <w:spacing w:val="-10"/>
        </w:rPr>
        <w:t>国际航空运输协会 </w:t>
      </w:r>
      <w:r>
        <w:rPr>
          <w:rFonts w:ascii="Times New Roman" w:eastAsia="Times New Roman"/>
          <w:spacing w:val="-2"/>
        </w:rPr>
        <w:t>6.2</w:t>
      </w:r>
      <w:r>
        <w:rPr>
          <w:rFonts w:ascii="Times New Roman" w:eastAsia="Times New Roman"/>
          <w:spacing w:val="-12"/>
        </w:rPr>
        <w:t> </w:t>
      </w:r>
      <w:r>
        <w:rPr>
          <w:spacing w:val="-4"/>
        </w:rPr>
        <w:t>指南文件</w:t>
      </w:r>
    </w:p>
    <w:p>
      <w:pPr>
        <w:pStyle w:val="Heading3"/>
        <w:spacing w:before="159"/>
      </w:pPr>
      <w:r>
        <w:rPr>
          <w:spacing w:val="-5"/>
        </w:rPr>
        <w:t>生物危害样本的贴标和运输</w:t>
      </w:r>
    </w:p>
    <w:p>
      <w:pPr>
        <w:pStyle w:val="BodyText"/>
        <w:spacing w:before="119"/>
        <w:ind w:left="701"/>
      </w:pPr>
      <w:r>
        <w:rPr/>
        <w:t>国际航空运输协会</w:t>
      </w:r>
      <w:r>
        <w:rPr>
          <w:spacing w:val="-2"/>
        </w:rPr>
        <w:t>（</w:t>
      </w:r>
      <w:r>
        <w:rPr>
          <w:rFonts w:ascii="Times New Roman" w:eastAsia="Times New Roman"/>
          <w:spacing w:val="-2"/>
        </w:rPr>
        <w:t>IATA</w:t>
      </w:r>
      <w:r>
        <w:rPr>
          <w:spacing w:val="-2"/>
        </w:rPr>
        <w:t>）</w:t>
      </w:r>
    </w:p>
    <w:p>
      <w:pPr>
        <w:spacing w:line="276" w:lineRule="auto" w:before="47"/>
        <w:ind w:left="221" w:right="556" w:hanging="120"/>
        <w:jc w:val="left"/>
        <w:rPr>
          <w:sz w:val="24"/>
        </w:rPr>
      </w:pPr>
      <w:r>
        <w:rPr>
          <w:spacing w:val="-2"/>
          <w:sz w:val="24"/>
        </w:rPr>
        <w:t>（</w:t>
      </w:r>
      <w:r>
        <w:rPr>
          <w:rFonts w:ascii="Times New Roman" w:eastAsia="Times New Roman"/>
          <w:b/>
          <w:spacing w:val="-2"/>
          <w:sz w:val="24"/>
        </w:rPr>
        <w:t>htt</w:t>
      </w:r>
      <w:hyperlink r:id="rId25">
        <w:r>
          <w:rPr>
            <w:rFonts w:ascii="Times New Roman" w:eastAsia="Times New Roman"/>
            <w:b/>
            <w:spacing w:val="-2"/>
            <w:sz w:val="24"/>
          </w:rPr>
          <w:t>ps://www.iata.or</w:t>
        </w:r>
      </w:hyperlink>
      <w:r>
        <w:rPr>
          <w:rFonts w:ascii="Times New Roman" w:eastAsia="Times New Roman"/>
          <w:b/>
          <w:spacing w:val="-2"/>
          <w:sz w:val="24"/>
        </w:rPr>
        <w:t>g/wh</w:t>
      </w:r>
      <w:hyperlink r:id="rId25">
        <w:r>
          <w:rPr>
            <w:rFonts w:ascii="Times New Roman" w:eastAsia="Times New Roman"/>
            <w:b/>
            <w:spacing w:val="-2"/>
            <w:sz w:val="24"/>
          </w:rPr>
          <w:t>atwedo/cargo/dgr/Pages/download.aspx</w:t>
        </w:r>
      </w:hyperlink>
      <w:r>
        <w:rPr>
          <w:spacing w:val="-2"/>
          <w:sz w:val="24"/>
        </w:rPr>
        <w:t>）将传染性物质分</w:t>
      </w:r>
      <w:r>
        <w:rPr>
          <w:spacing w:val="-7"/>
          <w:sz w:val="24"/>
        </w:rPr>
        <w:t>为 </w:t>
      </w:r>
      <w:r>
        <w:rPr>
          <w:rFonts w:ascii="Times New Roman" w:eastAsia="Times New Roman"/>
          <w:sz w:val="24"/>
        </w:rPr>
        <w:t>3 </w:t>
      </w:r>
      <w:r>
        <w:rPr>
          <w:sz w:val="24"/>
        </w:rPr>
        <w:t>类：</w:t>
      </w:r>
      <w:r>
        <w:rPr>
          <w:rFonts w:ascii="Times New Roman" w:eastAsia="Times New Roman"/>
          <w:sz w:val="24"/>
        </w:rPr>
        <w:t>A </w:t>
      </w:r>
      <w:r>
        <w:rPr>
          <w:sz w:val="24"/>
        </w:rPr>
        <w:t>类、</w:t>
      </w:r>
      <w:r>
        <w:rPr>
          <w:rFonts w:ascii="Times New Roman" w:eastAsia="Times New Roman"/>
          <w:sz w:val="24"/>
        </w:rPr>
        <w:t>B </w:t>
      </w:r>
      <w:r>
        <w:rPr>
          <w:sz w:val="24"/>
        </w:rPr>
        <w:t>类或豁免类</w:t>
      </w:r>
    </w:p>
    <w:p>
      <w:pPr>
        <w:pStyle w:val="BodyText"/>
        <w:spacing w:line="276" w:lineRule="auto" w:before="237"/>
        <w:ind w:right="363" w:firstLine="482"/>
        <w:jc w:val="both"/>
      </w:pPr>
      <w:r>
        <w:rPr>
          <w:rFonts w:ascii="Times New Roman" w:eastAsia="Times New Roman"/>
          <w:b/>
        </w:rPr>
        <w:t>A </w:t>
      </w:r>
      <w:r>
        <w:rPr>
          <w:b/>
        </w:rPr>
        <w:t>类传染性物质</w:t>
      </w:r>
      <w:r>
        <w:rPr/>
        <w:t>是指发生暴露时，能够对健康人类或动物造成永久性残疾、危</w:t>
      </w:r>
      <w:r>
        <w:rPr>
          <w:spacing w:val="-2"/>
        </w:rPr>
        <w:t>及生命或致死性疾病的传染性物质。</w:t>
      </w:r>
    </w:p>
    <w:p>
      <w:pPr>
        <w:pStyle w:val="BodyText"/>
        <w:spacing w:line="276" w:lineRule="auto" w:before="239"/>
        <w:ind w:right="361" w:firstLine="482"/>
        <w:jc w:val="both"/>
      </w:pPr>
      <w:r>
        <w:rPr>
          <w:rFonts w:ascii="Times New Roman" w:eastAsia="Times New Roman"/>
          <w:b/>
        </w:rPr>
        <w:t>A </w:t>
      </w:r>
      <w:r>
        <w:rPr>
          <w:b/>
        </w:rPr>
        <w:t>类病原体</w:t>
      </w:r>
      <w:r>
        <w:rPr/>
        <w:t>包括埃博拉、拉沙热病毒等。符合这些导致人类或人类和动物均发生疾病的标准的传染性物质必须划为 </w:t>
      </w:r>
      <w:r>
        <w:rPr>
          <w:rFonts w:ascii="Times New Roman" w:eastAsia="Times New Roman"/>
        </w:rPr>
        <w:t>UN 2814</w:t>
      </w:r>
      <w:r>
        <w:rPr/>
        <w:t>。仅在动物中引起疾病的传染性物质</w:t>
      </w:r>
      <w:r>
        <w:rPr>
          <w:spacing w:val="-5"/>
        </w:rPr>
        <w:t>必须划为 </w:t>
      </w:r>
      <w:r>
        <w:rPr>
          <w:rFonts w:ascii="Times New Roman" w:eastAsia="Times New Roman"/>
        </w:rPr>
        <w:t>UN 2900</w:t>
      </w:r>
      <w:r>
        <w:rPr/>
        <w:t>。</w:t>
      </w:r>
    </w:p>
    <w:p>
      <w:pPr>
        <w:pStyle w:val="BodyText"/>
        <w:spacing w:line="276" w:lineRule="auto" w:before="238"/>
        <w:ind w:right="357" w:firstLine="482"/>
        <w:jc w:val="both"/>
      </w:pPr>
      <w:r>
        <w:rPr>
          <w:rFonts w:ascii="Times New Roman" w:eastAsia="Times New Roman"/>
          <w:b/>
        </w:rPr>
        <w:t>B </w:t>
      </w:r>
      <w:r>
        <w:rPr>
          <w:b/>
        </w:rPr>
        <w:t>类传染性物质</w:t>
      </w:r>
      <w:r>
        <w:rPr>
          <w:spacing w:val="-5"/>
        </w:rPr>
        <w:t>是指不符合 </w:t>
      </w:r>
      <w:r>
        <w:rPr>
          <w:rFonts w:ascii="Times New Roman" w:eastAsia="Times New Roman"/>
        </w:rPr>
        <w:t>A </w:t>
      </w:r>
      <w:r>
        <w:rPr/>
        <w:t>类标准的传染性物质。</w:t>
      </w:r>
      <w:r>
        <w:rPr>
          <w:rFonts w:ascii="Times New Roman" w:eastAsia="Times New Roman"/>
        </w:rPr>
        <w:t>B </w:t>
      </w:r>
      <w:r>
        <w:rPr/>
        <w:t>类病原体包括甲、丙、</w:t>
      </w:r>
      <w:r>
        <w:rPr>
          <w:spacing w:val="-2"/>
        </w:rPr>
        <w:t>丁、戊型肝炎病毒等。为各病原体指定以下 </w:t>
      </w:r>
      <w:r>
        <w:rPr>
          <w:rFonts w:ascii="Times New Roman" w:eastAsia="Times New Roman"/>
        </w:rPr>
        <w:t>UN </w:t>
      </w:r>
      <w:r>
        <w:rPr/>
        <w:t>编号和正确运输名称：</w:t>
      </w:r>
    </w:p>
    <w:p>
      <w:pPr>
        <w:pStyle w:val="ListParagraph"/>
        <w:numPr>
          <w:ilvl w:val="0"/>
          <w:numId w:val="55"/>
        </w:numPr>
        <w:tabs>
          <w:tab w:pos="646" w:val="left" w:leader="none"/>
        </w:tabs>
        <w:spacing w:line="240" w:lineRule="auto" w:before="237" w:after="0"/>
        <w:ind w:left="646" w:right="0" w:hanging="425"/>
        <w:jc w:val="left"/>
        <w:rPr>
          <w:sz w:val="24"/>
        </w:rPr>
      </w:pPr>
      <w:r>
        <w:rPr>
          <w:rFonts w:ascii="Times New Roman" w:hAnsi="Times New Roman" w:eastAsia="Times New Roman"/>
          <w:sz w:val="24"/>
        </w:rPr>
        <w:t>UN</w:t>
      </w:r>
      <w:r>
        <w:rPr>
          <w:rFonts w:ascii="Times New Roman" w:hAnsi="Times New Roman" w:eastAsia="Times New Roman"/>
          <w:spacing w:val="-4"/>
          <w:sz w:val="24"/>
        </w:rPr>
        <w:t> </w:t>
      </w:r>
      <w:r>
        <w:rPr>
          <w:rFonts w:ascii="Times New Roman" w:hAnsi="Times New Roman" w:eastAsia="Times New Roman"/>
          <w:sz w:val="24"/>
        </w:rPr>
        <w:t>3373–B</w:t>
      </w:r>
      <w:r>
        <w:rPr>
          <w:rFonts w:ascii="Times New Roman" w:hAnsi="Times New Roman" w:eastAsia="Times New Roman"/>
          <w:spacing w:val="-12"/>
          <w:sz w:val="24"/>
        </w:rPr>
        <w:t> </w:t>
      </w:r>
      <w:r>
        <w:rPr>
          <w:spacing w:val="-7"/>
          <w:sz w:val="24"/>
        </w:rPr>
        <w:t>类生物物质将按照 </w:t>
      </w:r>
      <w:r>
        <w:rPr>
          <w:rFonts w:ascii="Times New Roman" w:hAnsi="Times New Roman" w:eastAsia="Times New Roman"/>
          <w:sz w:val="24"/>
        </w:rPr>
        <w:t>UN</w:t>
      </w:r>
      <w:r>
        <w:rPr>
          <w:rFonts w:ascii="Times New Roman" w:hAnsi="Times New Roman" w:eastAsia="Times New Roman"/>
          <w:spacing w:val="-1"/>
          <w:sz w:val="24"/>
        </w:rPr>
        <w:t> </w:t>
      </w:r>
      <w:r>
        <w:rPr>
          <w:rFonts w:ascii="Times New Roman" w:hAnsi="Times New Roman" w:eastAsia="Times New Roman"/>
          <w:sz w:val="24"/>
        </w:rPr>
        <w:t>3373</w:t>
      </w:r>
      <w:r>
        <w:rPr>
          <w:rFonts w:ascii="Times New Roman" w:hAnsi="Times New Roman" w:eastAsia="Times New Roman"/>
          <w:spacing w:val="-12"/>
          <w:sz w:val="24"/>
        </w:rPr>
        <w:t> </w:t>
      </w:r>
      <w:r>
        <w:rPr>
          <w:spacing w:val="-30"/>
          <w:sz w:val="24"/>
        </w:rPr>
        <w:t>和 </w:t>
      </w:r>
      <w:r>
        <w:rPr>
          <w:rFonts w:ascii="Times New Roman" w:hAnsi="Times New Roman" w:eastAsia="Times New Roman"/>
          <w:sz w:val="24"/>
        </w:rPr>
        <w:t>IATA</w:t>
      </w:r>
      <w:r>
        <w:rPr>
          <w:rFonts w:ascii="Times New Roman" w:hAnsi="Times New Roman" w:eastAsia="Times New Roman"/>
          <w:spacing w:val="-2"/>
          <w:sz w:val="24"/>
        </w:rPr>
        <w:t> </w:t>
      </w:r>
      <w:r>
        <w:rPr>
          <w:rFonts w:ascii="Times New Roman" w:hAnsi="Times New Roman" w:eastAsia="Times New Roman"/>
          <w:sz w:val="24"/>
        </w:rPr>
        <w:t>650</w:t>
      </w:r>
      <w:r>
        <w:rPr>
          <w:rFonts w:ascii="Times New Roman" w:hAnsi="Times New Roman" w:eastAsia="Times New Roman"/>
          <w:spacing w:val="-12"/>
          <w:sz w:val="24"/>
        </w:rPr>
        <w:t> </w:t>
      </w:r>
      <w:r>
        <w:rPr>
          <w:spacing w:val="-3"/>
          <w:sz w:val="24"/>
        </w:rPr>
        <w:t>进行包装</w:t>
      </w:r>
    </w:p>
    <w:p>
      <w:pPr>
        <w:pStyle w:val="BodyText"/>
        <w:spacing w:before="23"/>
        <w:ind w:left="0"/>
      </w:pPr>
    </w:p>
    <w:p>
      <w:pPr>
        <w:pStyle w:val="BodyText"/>
        <w:spacing w:line="276" w:lineRule="auto"/>
        <w:ind w:right="358" w:firstLine="482"/>
      </w:pPr>
      <w:r>
        <w:rPr>
          <w:b/>
          <w:spacing w:val="-2"/>
        </w:rPr>
        <w:t>豁免类</w:t>
      </w:r>
      <w:r>
        <w:rPr>
          <w:rFonts w:ascii="Times New Roman" w:hAnsi="Times New Roman" w:eastAsia="Times New Roman"/>
          <w:spacing w:val="-2"/>
        </w:rPr>
        <w:t>–</w:t>
      </w:r>
      <w:r>
        <w:rPr>
          <w:spacing w:val="-2"/>
        </w:rPr>
        <w:t>不含传染性物质的物质或在人类或动物中不太可能引起疾病的物质不受上述法规制约，除非其符合纳入另一类的标准。</w:t>
      </w:r>
    </w:p>
    <w:p>
      <w:pPr>
        <w:pStyle w:val="BodyText"/>
        <w:spacing w:line="598" w:lineRule="exact" w:before="6"/>
        <w:ind w:left="701" w:right="3134"/>
        <w:rPr>
          <w:rFonts w:ascii="Times New Roman" w:eastAsia="Times New Roman"/>
        </w:rPr>
      </w:pPr>
      <w:r>
        <w:rPr>
          <w:spacing w:val="-20"/>
        </w:rPr>
        <w:t>根据 </w:t>
      </w:r>
      <w:r>
        <w:rPr>
          <w:rFonts w:ascii="Times New Roman" w:eastAsia="Times New Roman"/>
        </w:rPr>
        <w:t>IATA</w:t>
      </w:r>
      <w:r>
        <w:rPr>
          <w:rFonts w:ascii="Times New Roman" w:eastAsia="Times New Roman"/>
          <w:spacing w:val="-15"/>
        </w:rPr>
        <w:t> </w:t>
      </w:r>
      <w:r>
        <w:rPr>
          <w:spacing w:val="-5"/>
        </w:rPr>
        <w:t>法规，临床研究样本归入 </w:t>
      </w:r>
      <w:r>
        <w:rPr>
          <w:rFonts w:ascii="Times New Roman" w:eastAsia="Times New Roman"/>
        </w:rPr>
        <w:t>B</w:t>
      </w:r>
      <w:r>
        <w:rPr>
          <w:rFonts w:ascii="Times New Roman" w:eastAsia="Times New Roman"/>
          <w:spacing w:val="-15"/>
        </w:rPr>
        <w:t> </w:t>
      </w:r>
      <w:r>
        <w:rPr/>
        <w:t>类或豁免类。</w:t>
      </w:r>
      <w:r>
        <w:rPr>
          <w:spacing w:val="-2"/>
        </w:rPr>
        <w:t>临床研究样本通常采用符合 </w:t>
      </w:r>
      <w:r>
        <w:rPr>
          <w:rFonts w:ascii="Times New Roman" w:eastAsia="Times New Roman"/>
        </w:rPr>
        <w:t>IATA 650</w:t>
      </w:r>
    </w:p>
    <w:p>
      <w:pPr>
        <w:pStyle w:val="BodyText"/>
        <w:spacing w:line="276" w:lineRule="auto"/>
        <w:ind w:right="1418" w:hanging="120"/>
      </w:pPr>
      <w:r>
        <w:rPr>
          <w:spacing w:val="-2"/>
        </w:rPr>
        <w:t>（</w:t>
      </w:r>
      <w:r>
        <w:rPr>
          <w:rFonts w:ascii="Times New Roman" w:eastAsia="Times New Roman"/>
          <w:spacing w:val="-2"/>
        </w:rPr>
        <w:t>htt</w:t>
      </w:r>
      <w:hyperlink r:id="rId26">
        <w:r>
          <w:rPr>
            <w:rFonts w:ascii="Times New Roman" w:eastAsia="Times New Roman"/>
            <w:spacing w:val="-2"/>
          </w:rPr>
          <w:t>ps://www.iata.org/content</w:t>
        </w:r>
      </w:hyperlink>
      <w:r>
        <w:rPr>
          <w:rFonts w:ascii="Times New Roman" w:eastAsia="Times New Roman"/>
          <w:spacing w:val="-2"/>
        </w:rPr>
        <w:t>a</w:t>
      </w:r>
      <w:hyperlink r:id="rId26">
        <w:r>
          <w:rPr>
            <w:rFonts w:ascii="Times New Roman" w:eastAsia="Times New Roman"/>
            <w:spacing w:val="-2"/>
          </w:rPr>
          <w:t>ssets/b08040a138dc4442a4f066e6fb99f32a/dge/</w:t>
        </w:r>
      </w:hyperlink>
      <w:r>
        <w:rPr>
          <w:rFonts w:ascii="Times New Roman" w:eastAsia="Times New Roman"/>
          <w:spacing w:val="-2"/>
        </w:rPr>
        <w:t>- 62enpi650.pdf</w:t>
      </w:r>
      <w:r>
        <w:rPr>
          <w:spacing w:val="-2"/>
        </w:rPr>
        <w:t>）要求的包装在室温环境下包装和运输。</w:t>
      </w:r>
    </w:p>
    <w:p>
      <w:pPr>
        <w:pStyle w:val="BodyText"/>
        <w:spacing w:before="231"/>
        <w:ind w:left="701"/>
      </w:pPr>
      <w:r>
        <w:rPr>
          <w:spacing w:val="-1"/>
        </w:rPr>
        <w:t>对于用干冰保存运输的生物样本，需要额外提供干冰内容物的危险品质量标准。</w:t>
      </w:r>
    </w:p>
    <w:p>
      <w:pPr>
        <w:spacing w:after="0"/>
        <w:sectPr>
          <w:pgSz w:w="11910" w:h="16840"/>
          <w:pgMar w:header="590" w:footer="784" w:top="1340" w:bottom="980" w:left="1480" w:right="1080"/>
        </w:sectPr>
      </w:pPr>
    </w:p>
    <w:p>
      <w:pPr>
        <w:pStyle w:val="Heading1"/>
        <w:tabs>
          <w:tab w:pos="1921" w:val="left" w:leader="none"/>
        </w:tabs>
        <w:ind w:left="221" w:firstLine="0"/>
      </w:pPr>
      <w:bookmarkStart w:name="附录D 肝生化指标升高及海氏法则评价所需采取的措施" w:id="314"/>
      <w:bookmarkEnd w:id="314"/>
      <w:r>
        <w:rPr>
          <w:b w:val="0"/>
        </w:rPr>
      </w:r>
      <w:bookmarkStart w:name="_bookmark155" w:id="315"/>
      <w:bookmarkEnd w:id="315"/>
      <w:r>
        <w:rPr>
          <w:b w:val="0"/>
        </w:rPr>
      </w:r>
      <w:r>
        <w:rPr>
          <w:spacing w:val="-2"/>
        </w:rPr>
        <w:t>附录</w:t>
      </w:r>
      <w:r>
        <w:rPr>
          <w:rFonts w:ascii="Times New Roman" w:eastAsia="Times New Roman"/>
          <w:spacing w:val="-10"/>
        </w:rPr>
        <w:t>D</w:t>
      </w:r>
      <w:r>
        <w:rPr>
          <w:rFonts w:ascii="Times New Roman" w:eastAsia="Times New Roman"/>
        </w:rPr>
        <w:tab/>
      </w:r>
      <w:r>
        <w:rPr>
          <w:spacing w:val="-4"/>
        </w:rPr>
        <w:t>肝生化指标升高及海氏法则评价所需采取的措</w:t>
      </w:r>
      <w:r>
        <w:rPr>
          <w:spacing w:val="-10"/>
        </w:rPr>
        <w:t>施</w:t>
      </w:r>
    </w:p>
    <w:p>
      <w:pPr>
        <w:tabs>
          <w:tab w:pos="1355" w:val="left" w:leader="none"/>
        </w:tabs>
        <w:spacing w:before="119"/>
        <w:ind w:left="221" w:right="0" w:firstLine="0"/>
        <w:jc w:val="left"/>
        <w:rPr>
          <w:b/>
          <w:sz w:val="28"/>
        </w:rPr>
      </w:pPr>
      <w:bookmarkStart w:name="D 1 介绍" w:id="316"/>
      <w:bookmarkEnd w:id="316"/>
      <w:r>
        <w:rPr/>
      </w:r>
      <w:r>
        <w:rPr>
          <w:rFonts w:ascii="Times New Roman" w:eastAsia="Times New Roman"/>
          <w:b/>
          <w:sz w:val="26"/>
        </w:rPr>
        <w:t>D </w:t>
      </w:r>
      <w:r>
        <w:rPr>
          <w:rFonts w:ascii="Times New Roman" w:eastAsia="Times New Roman"/>
          <w:b/>
          <w:spacing w:val="-10"/>
          <w:sz w:val="26"/>
        </w:rPr>
        <w:t>1</w:t>
      </w:r>
      <w:r>
        <w:rPr>
          <w:rFonts w:ascii="Times New Roman" w:eastAsia="Times New Roman"/>
          <w:b/>
          <w:sz w:val="26"/>
        </w:rPr>
        <w:tab/>
      </w:r>
      <w:r>
        <w:rPr>
          <w:b/>
          <w:spacing w:val="-6"/>
          <w:sz w:val="28"/>
        </w:rPr>
        <w:t>介绍</w:t>
      </w:r>
    </w:p>
    <w:p>
      <w:pPr>
        <w:pStyle w:val="BodyText"/>
        <w:spacing w:line="276" w:lineRule="auto" w:before="160"/>
        <w:ind w:right="120" w:firstLine="480"/>
      </w:pPr>
      <w:r>
        <w:rPr>
          <w:spacing w:val="-2"/>
        </w:rPr>
        <w:t>本附录介绍了识别并准确报告潜在海氏法则病例和海氏法则病例需遵守的流程。</w:t>
      </w:r>
      <w:r>
        <w:rPr/>
        <w:t>而不是肝生化指标升高管理的全面指导。有关肝脏异常治疗的具体指南请见 </w:t>
      </w:r>
      <w:r>
        <w:rPr>
          <w:rFonts w:ascii="Times New Roman" w:eastAsia="Times New Roman"/>
        </w:rPr>
        <w:t>CSP</w:t>
      </w:r>
      <w:r>
        <w:rPr>
          <w:rFonts w:ascii="Times New Roman" w:eastAsia="Times New Roman"/>
          <w:spacing w:val="40"/>
        </w:rPr>
        <w:t> </w:t>
      </w:r>
      <w:r>
        <w:rPr/>
        <w:t>第</w:t>
      </w:r>
    </w:p>
    <w:p>
      <w:pPr>
        <w:pStyle w:val="BodyText"/>
        <w:spacing w:line="310" w:lineRule="exact"/>
      </w:pPr>
      <w:hyperlink w:history="true" w:anchor="_bookmark100">
        <w:r>
          <w:rPr>
            <w:rFonts w:ascii="Times New Roman" w:eastAsia="Times New Roman"/>
            <w:color w:val="0000FF"/>
          </w:rPr>
          <w:t>8.3.7</w:t>
        </w:r>
      </w:hyperlink>
      <w:r>
        <w:rPr>
          <w:rFonts w:ascii="Times New Roman" w:eastAsia="Times New Roman"/>
          <w:color w:val="0000FF"/>
          <w:spacing w:val="-12"/>
        </w:rPr>
        <w:t> </w:t>
      </w:r>
      <w:r>
        <w:rPr>
          <w:spacing w:val="-5"/>
        </w:rPr>
        <w:t>节。</w:t>
      </w:r>
    </w:p>
    <w:p>
      <w:pPr>
        <w:pStyle w:val="BodyText"/>
        <w:spacing w:line="276" w:lineRule="auto" w:before="285"/>
        <w:ind w:right="365" w:firstLine="480"/>
      </w:pPr>
      <w:r>
        <w:rPr>
          <w:spacing w:val="-2"/>
        </w:rPr>
        <w:t>本研究期间，研究者将对肝生化指标的升高保持警惕。研究者负责在研究期间的任何时间点确定受试者是否符合潜在海氏法则标准。</w:t>
      </w:r>
    </w:p>
    <w:p>
      <w:pPr>
        <w:pStyle w:val="BodyText"/>
        <w:spacing w:line="276" w:lineRule="auto" w:before="239"/>
        <w:ind w:right="353" w:firstLine="480"/>
        <w:jc w:val="both"/>
      </w:pPr>
      <w:r>
        <w:rPr/>
        <w:t>所有来源的实验室数据均适用于确定潜在海氏法则和 </w:t>
      </w:r>
      <w:r>
        <w:rPr>
          <w:rFonts w:ascii="Times New Roman" w:eastAsia="Times New Roman"/>
        </w:rPr>
        <w:t>HL </w:t>
      </w:r>
      <w:r>
        <w:rPr/>
        <w:t>事件；来源包括计划</w:t>
      </w:r>
      <w:r>
        <w:rPr>
          <w:spacing w:val="-2"/>
        </w:rPr>
        <w:t>研究访视和其他访视时采集的样本，其他访视包含研究中心和所有当地实验室的评</w:t>
      </w:r>
      <w:r>
        <w:rPr>
          <w:spacing w:val="-1"/>
        </w:rPr>
        <w:t>价结果，即使不是在研究访视时收集到的评价结果；例如，中心实验室评价 </w:t>
      </w:r>
      <w:r>
        <w:rPr>
          <w:rFonts w:ascii="Times New Roman" w:eastAsia="Times New Roman"/>
        </w:rPr>
        <w:t>ALT</w:t>
      </w:r>
      <w:r>
        <w:rPr>
          <w:rFonts w:ascii="Times New Roman" w:eastAsia="Times New Roman"/>
          <w:spacing w:val="-15"/>
        </w:rPr>
        <w:t> </w:t>
      </w:r>
      <w:r>
        <w:rPr/>
        <w:t>升高</w:t>
      </w:r>
      <w:r>
        <w:rPr>
          <w:b/>
        </w:rPr>
        <w:t>和</w:t>
      </w:r>
      <w:r>
        <w:rPr>
          <w:rFonts w:ascii="Times New Roman" w:eastAsia="Times New Roman"/>
          <w:b/>
        </w:rPr>
        <w:t>/</w:t>
      </w:r>
      <w:r>
        <w:rPr>
          <w:b/>
        </w:rPr>
        <w:t>或</w:t>
      </w:r>
      <w:r>
        <w:rPr>
          <w:spacing w:val="-3"/>
        </w:rPr>
        <w:t>当地实验室评价 </w:t>
      </w:r>
      <w:r>
        <w:rPr>
          <w:rFonts w:ascii="Times New Roman" w:eastAsia="Times New Roman"/>
        </w:rPr>
        <w:t>TBL </w:t>
      </w:r>
      <w:r>
        <w:rPr/>
        <w:t>升高至满足潜在海氏法则标准。</w:t>
      </w:r>
    </w:p>
    <w:p>
      <w:pPr>
        <w:pStyle w:val="BodyText"/>
        <w:spacing w:line="276" w:lineRule="auto" w:before="237"/>
        <w:ind w:right="357" w:firstLine="480"/>
        <w:jc w:val="both"/>
      </w:pPr>
      <w:r>
        <w:rPr>
          <w:spacing w:val="-6"/>
        </w:rPr>
        <w:t>研究者还将审查 </w:t>
      </w:r>
      <w:r>
        <w:rPr>
          <w:rFonts w:ascii="Times New Roman" w:eastAsia="Times New Roman"/>
          <w:spacing w:val="-2"/>
        </w:rPr>
        <w:t>AE</w:t>
      </w:r>
      <w:r>
        <w:rPr>
          <w:rFonts w:ascii="Times New Roman" w:eastAsia="Times New Roman"/>
          <w:spacing w:val="-3"/>
        </w:rPr>
        <w:t> </w:t>
      </w:r>
      <w:r>
        <w:rPr>
          <w:spacing w:val="-2"/>
        </w:rPr>
        <w:t>数据（</w:t>
      </w:r>
      <w:r>
        <w:rPr>
          <w:spacing w:val="-4"/>
        </w:rPr>
        <w:t>如，可能提示肝脏生化指标升高的 </w:t>
      </w:r>
      <w:r>
        <w:rPr>
          <w:rFonts w:ascii="Times New Roman" w:eastAsia="Times New Roman"/>
          <w:spacing w:val="-2"/>
        </w:rPr>
        <w:t>AE</w:t>
      </w:r>
      <w:r>
        <w:rPr>
          <w:spacing w:val="-2"/>
        </w:rPr>
        <w:t>），以确定可能的潜在海氏法则事件。</w:t>
      </w:r>
    </w:p>
    <w:p>
      <w:pPr>
        <w:pStyle w:val="BodyText"/>
        <w:spacing w:line="276" w:lineRule="auto" w:before="238"/>
        <w:ind w:right="355" w:firstLine="480"/>
        <w:jc w:val="both"/>
      </w:pPr>
      <w:r>
        <w:rPr>
          <w:spacing w:val="-2"/>
        </w:rPr>
        <w:t>研究者与申办者临床项目代表共同参与符合潜在海氏法则标准病例的审查与评估，以对是否符合海氏法则的标准达成一致意见。对于出现的肝生化指标升高，如</w:t>
      </w:r>
      <w:r>
        <w:rPr>
          <w:spacing w:val="-6"/>
        </w:rPr>
        <w:t>果除 </w:t>
      </w:r>
      <w:r>
        <w:rPr>
          <w:rFonts w:ascii="Times New Roman" w:eastAsia="Times New Roman"/>
        </w:rPr>
        <w:t>IP </w:t>
      </w:r>
      <w:r>
        <w:rPr>
          <w:spacing w:val="-6"/>
        </w:rPr>
        <w:t>引起 </w:t>
      </w:r>
      <w:r>
        <w:rPr>
          <w:rFonts w:ascii="Times New Roman" w:eastAsia="Times New Roman"/>
        </w:rPr>
        <w:t>DILI </w:t>
      </w:r>
      <w:r>
        <w:rPr/>
        <w:t>外无其他原因，则认为其符合海氏法则标准。</w:t>
      </w:r>
    </w:p>
    <w:p>
      <w:pPr>
        <w:pStyle w:val="BodyText"/>
        <w:spacing w:before="238"/>
        <w:ind w:left="701"/>
      </w:pPr>
      <w:r>
        <w:rPr>
          <w:spacing w:val="12"/>
        </w:rPr>
        <w:t>研究者负责按照标准安全性报告流程， 根据审查和评估结果， 记录有关</w:t>
      </w:r>
    </w:p>
    <w:p>
      <w:pPr>
        <w:pStyle w:val="BodyText"/>
        <w:spacing w:before="46"/>
      </w:pPr>
      <w:r>
        <w:rPr>
          <w:rFonts w:ascii="Times New Roman" w:eastAsia="Times New Roman"/>
        </w:rPr>
        <w:t>PHL/HL</w:t>
      </w:r>
      <w:r>
        <w:rPr>
          <w:rFonts w:ascii="Times New Roman" w:eastAsia="Times New Roman"/>
          <w:spacing w:val="-15"/>
        </w:rPr>
        <w:t> </w:t>
      </w:r>
      <w:r>
        <w:rPr>
          <w:spacing w:val="-6"/>
        </w:rPr>
        <w:t>病例的数据，并报告 </w:t>
      </w:r>
      <w:r>
        <w:rPr>
          <w:rFonts w:ascii="Times New Roman" w:eastAsia="Times New Roman"/>
        </w:rPr>
        <w:t>SAE</w:t>
      </w:r>
      <w:r>
        <w:rPr>
          <w:rFonts w:ascii="Times New Roman" w:eastAsia="Times New Roman"/>
          <w:spacing w:val="-14"/>
        </w:rPr>
        <w:t> </w:t>
      </w:r>
      <w:r>
        <w:rPr>
          <w:spacing w:val="-30"/>
        </w:rPr>
        <w:t>和 </w:t>
      </w:r>
      <w:r>
        <w:rPr>
          <w:rFonts w:ascii="Times New Roman" w:eastAsia="Times New Roman"/>
        </w:rPr>
        <w:t>AE</w:t>
      </w:r>
      <w:r>
        <w:rPr>
          <w:spacing w:val="-10"/>
        </w:rPr>
        <w:t>。</w:t>
      </w:r>
    </w:p>
    <w:p>
      <w:pPr>
        <w:tabs>
          <w:tab w:pos="1355" w:val="left" w:leader="none"/>
        </w:tabs>
        <w:spacing w:before="286"/>
        <w:ind w:left="221" w:right="0" w:firstLine="0"/>
        <w:jc w:val="left"/>
        <w:rPr>
          <w:b/>
          <w:sz w:val="28"/>
        </w:rPr>
      </w:pPr>
      <w:bookmarkStart w:name="D 2 定义" w:id="317"/>
      <w:bookmarkEnd w:id="317"/>
      <w:r>
        <w:rPr/>
      </w:r>
      <w:bookmarkStart w:name="_bookmark156" w:id="318"/>
      <w:bookmarkEnd w:id="318"/>
      <w:r>
        <w:rPr/>
      </w:r>
      <w:r>
        <w:rPr>
          <w:rFonts w:ascii="Times New Roman" w:eastAsia="Times New Roman"/>
          <w:b/>
          <w:sz w:val="26"/>
        </w:rPr>
        <w:t>D </w:t>
      </w:r>
      <w:r>
        <w:rPr>
          <w:rFonts w:ascii="Times New Roman" w:eastAsia="Times New Roman"/>
          <w:b/>
          <w:spacing w:val="-10"/>
          <w:sz w:val="26"/>
        </w:rPr>
        <w:t>2</w:t>
      </w:r>
      <w:r>
        <w:rPr>
          <w:rFonts w:ascii="Times New Roman" w:eastAsia="Times New Roman"/>
          <w:b/>
          <w:sz w:val="26"/>
        </w:rPr>
        <w:tab/>
      </w:r>
      <w:r>
        <w:rPr>
          <w:b/>
          <w:spacing w:val="-6"/>
          <w:sz w:val="28"/>
        </w:rPr>
        <w:t>定义</w:t>
      </w:r>
    </w:p>
    <w:p>
      <w:pPr>
        <w:pStyle w:val="Heading3"/>
        <w:spacing w:before="159"/>
      </w:pPr>
      <w:r>
        <w:rPr>
          <w:spacing w:val="-5"/>
        </w:rPr>
        <w:t>潜在海氏法则</w:t>
      </w:r>
    </w:p>
    <w:p>
      <w:pPr>
        <w:pStyle w:val="BodyText"/>
        <w:spacing w:before="119"/>
        <w:ind w:left="701"/>
        <w:rPr>
          <w:b/>
        </w:rPr>
      </w:pPr>
      <w:r>
        <w:rPr>
          <w:spacing w:val="34"/>
        </w:rPr>
        <w:t>开始研究药物治疗后研究期间任意时间点的 </w:t>
      </w:r>
      <w:r>
        <w:rPr>
          <w:rFonts w:ascii="Times New Roman" w:hAnsi="Times New Roman" w:eastAsia="Times New Roman"/>
        </w:rPr>
        <w:t>AST</w:t>
      </w:r>
      <w:r>
        <w:rPr>
          <w:rFonts w:ascii="Times New Roman" w:hAnsi="Times New Roman" w:eastAsia="Times New Roman"/>
          <w:spacing w:val="69"/>
        </w:rPr>
        <w:t> </w:t>
      </w:r>
      <w:r>
        <w:rPr>
          <w:spacing w:val="17"/>
        </w:rPr>
        <w:t>或 </w:t>
      </w:r>
      <w:r>
        <w:rPr>
          <w:rFonts w:ascii="Times New Roman" w:hAnsi="Times New Roman" w:eastAsia="Times New Roman"/>
        </w:rPr>
        <w:t>ALT≥3×ULN</w:t>
      </w:r>
      <w:r>
        <w:rPr>
          <w:rFonts w:ascii="Times New Roman" w:hAnsi="Times New Roman" w:eastAsia="Times New Roman"/>
          <w:spacing w:val="-22"/>
        </w:rPr>
        <w:t> </w:t>
      </w:r>
      <w:r>
        <w:rPr>
          <w:spacing w:val="-42"/>
        </w:rPr>
        <w:t>， </w:t>
      </w:r>
      <w:r>
        <w:rPr>
          <w:b/>
          <w:spacing w:val="-10"/>
        </w:rPr>
        <w:t>且</w:t>
      </w:r>
    </w:p>
    <w:p>
      <w:pPr>
        <w:pStyle w:val="BodyText"/>
        <w:spacing w:before="46"/>
      </w:pPr>
      <w:r>
        <w:rPr>
          <w:rFonts w:ascii="Times New Roman" w:hAnsi="Times New Roman" w:eastAsia="Times New Roman"/>
        </w:rPr>
        <w:t>TBL≥2×ULN</w:t>
      </w:r>
      <w:r>
        <w:rPr>
          <w:spacing w:val="-12"/>
        </w:rPr>
        <w:t>，不考虑 </w:t>
      </w:r>
      <w:r>
        <w:rPr>
          <w:rFonts w:ascii="Times New Roman" w:hAnsi="Times New Roman" w:eastAsia="Times New Roman"/>
        </w:rPr>
        <w:t>ALP</w:t>
      </w:r>
      <w:r>
        <w:rPr>
          <w:rFonts w:ascii="Times New Roman" w:hAnsi="Times New Roman" w:eastAsia="Times New Roman"/>
          <w:spacing w:val="-15"/>
        </w:rPr>
        <w:t> </w:t>
      </w:r>
      <w:r>
        <w:rPr>
          <w:spacing w:val="-3"/>
        </w:rPr>
        <w:t>的升高。</w:t>
      </w:r>
    </w:p>
    <w:p>
      <w:pPr>
        <w:pStyle w:val="Heading3"/>
        <w:spacing w:before="286"/>
      </w:pPr>
      <w:r>
        <w:rPr>
          <w:spacing w:val="-4"/>
        </w:rPr>
        <w:t>海氏法则</w:t>
      </w:r>
    </w:p>
    <w:p>
      <w:pPr>
        <w:pStyle w:val="BodyText"/>
        <w:spacing w:line="276" w:lineRule="auto" w:before="119"/>
        <w:ind w:right="358" w:firstLine="480"/>
      </w:pPr>
      <w:r>
        <w:rPr>
          <w:rFonts w:ascii="Times New Roman" w:hAnsi="Times New Roman" w:eastAsia="Times New Roman"/>
        </w:rPr>
        <w:t>AST</w:t>
      </w:r>
      <w:r>
        <w:rPr>
          <w:rFonts w:ascii="Times New Roman" w:hAnsi="Times New Roman" w:eastAsia="Times New Roman"/>
          <w:spacing w:val="-15"/>
        </w:rPr>
        <w:t> </w:t>
      </w:r>
      <w:r>
        <w:rPr>
          <w:spacing w:val="-26"/>
        </w:rPr>
        <w:t>或 </w:t>
      </w:r>
      <w:r>
        <w:rPr>
          <w:rFonts w:ascii="Times New Roman" w:hAnsi="Times New Roman" w:eastAsia="Times New Roman"/>
        </w:rPr>
        <w:t>ALT≥3×ULN</w:t>
      </w:r>
      <w:r>
        <w:rPr>
          <w:rFonts w:ascii="Times New Roman" w:hAnsi="Times New Roman" w:eastAsia="Times New Roman"/>
          <w:spacing w:val="-15"/>
        </w:rPr>
        <w:t> </w:t>
      </w:r>
      <w:r>
        <w:rPr>
          <w:b/>
          <w:spacing w:val="-26"/>
        </w:rPr>
        <w:t>且 </w:t>
      </w:r>
      <w:r>
        <w:rPr>
          <w:rFonts w:ascii="Times New Roman" w:hAnsi="Times New Roman" w:eastAsia="Times New Roman"/>
        </w:rPr>
        <w:t>TBL≥2×ULN</w:t>
      </w:r>
      <w:r>
        <w:rPr>
          <w:spacing w:val="-11"/>
        </w:rPr>
        <w:t>，而且除 </w:t>
      </w:r>
      <w:r>
        <w:rPr>
          <w:rFonts w:ascii="Times New Roman" w:hAnsi="Times New Roman" w:eastAsia="Times New Roman"/>
        </w:rPr>
        <w:t>IP</w:t>
      </w:r>
      <w:r>
        <w:rPr>
          <w:rFonts w:ascii="Times New Roman" w:hAnsi="Times New Roman" w:eastAsia="Times New Roman"/>
          <w:spacing w:val="-15"/>
        </w:rPr>
        <w:t> </w:t>
      </w:r>
      <w:r>
        <w:rPr/>
        <w:t>以外无其他原因（例如，提示</w:t>
      </w:r>
      <w:r>
        <w:rPr>
          <w:spacing w:val="-4"/>
        </w:rPr>
        <w:t>胆汁淤积的 </w:t>
      </w:r>
      <w:r>
        <w:rPr>
          <w:rFonts w:ascii="Times New Roman" w:hAnsi="Times New Roman" w:eastAsia="Times New Roman"/>
        </w:rPr>
        <w:t>ALP </w:t>
      </w:r>
      <w:r>
        <w:rPr/>
        <w:t>升高、病毒性肝炎、其他药物等）可解释二者为何同时升高。</w:t>
      </w:r>
    </w:p>
    <w:p>
      <w:pPr>
        <w:pStyle w:val="BodyText"/>
        <w:spacing w:line="276" w:lineRule="auto" w:before="239"/>
        <w:ind w:right="357" w:firstLine="480"/>
      </w:pPr>
      <w:r>
        <w:rPr>
          <w:spacing w:val="-2"/>
        </w:rPr>
        <w:t>对于潜在海氏法则和海氏法则病例，转氨酶升高一定是在 </w:t>
      </w:r>
      <w:r>
        <w:rPr>
          <w:rFonts w:ascii="Times New Roman" w:eastAsia="Times New Roman"/>
        </w:rPr>
        <w:t>TBL</w:t>
      </w:r>
      <w:r>
        <w:rPr>
          <w:rFonts w:ascii="Times New Roman" w:eastAsia="Times New Roman"/>
          <w:spacing w:val="-15"/>
        </w:rPr>
        <w:t> </w:t>
      </w:r>
      <w:r>
        <w:rPr/>
        <w:t>升高之前或同时升高（即在同一天），</w:t>
      </w:r>
      <w:r>
        <w:rPr>
          <w:spacing w:val="-3"/>
        </w:rPr>
        <w:t>但是，对转氨酶和 </w:t>
      </w:r>
      <w:r>
        <w:rPr>
          <w:rFonts w:ascii="Times New Roman" w:eastAsia="Times New Roman"/>
        </w:rPr>
        <w:t>TBL </w:t>
      </w:r>
      <w:r>
        <w:rPr/>
        <w:t>升高无具体的时间范围限制。</w:t>
      </w:r>
    </w:p>
    <w:p>
      <w:pPr>
        <w:tabs>
          <w:tab w:pos="1355" w:val="left" w:leader="none"/>
        </w:tabs>
        <w:spacing w:before="238"/>
        <w:ind w:left="221" w:right="0" w:firstLine="0"/>
        <w:jc w:val="left"/>
        <w:rPr>
          <w:b/>
          <w:sz w:val="28"/>
        </w:rPr>
      </w:pPr>
      <w:bookmarkStart w:name="D 3 潜在海氏法则病例的识别" w:id="319"/>
      <w:bookmarkEnd w:id="319"/>
      <w:r>
        <w:rPr/>
      </w:r>
      <w:r>
        <w:rPr>
          <w:rFonts w:ascii="Times New Roman" w:eastAsia="Times New Roman"/>
          <w:b/>
          <w:sz w:val="26"/>
        </w:rPr>
        <w:t>D </w:t>
      </w:r>
      <w:r>
        <w:rPr>
          <w:rFonts w:ascii="Times New Roman" w:eastAsia="Times New Roman"/>
          <w:b/>
          <w:spacing w:val="-10"/>
          <w:sz w:val="26"/>
        </w:rPr>
        <w:t>3</w:t>
      </w:r>
      <w:r>
        <w:rPr>
          <w:rFonts w:ascii="Times New Roman" w:eastAsia="Times New Roman"/>
          <w:b/>
          <w:sz w:val="26"/>
        </w:rPr>
        <w:tab/>
      </w:r>
      <w:r>
        <w:rPr>
          <w:b/>
          <w:spacing w:val="-5"/>
          <w:sz w:val="28"/>
        </w:rPr>
        <w:t>潜在海氏法则病例的识别</w:t>
      </w:r>
    </w:p>
    <w:p>
      <w:pPr>
        <w:pStyle w:val="BodyText"/>
        <w:spacing w:line="276" w:lineRule="auto" w:before="159"/>
        <w:ind w:right="363" w:firstLine="480"/>
      </w:pPr>
      <w:r>
        <w:rPr>
          <w:spacing w:val="-2"/>
        </w:rPr>
        <w:t>为识别潜在海氏法则病例，很重要的一点是对符合以下单个指标或综合指标的所有受试者的实验室数据进行全面审核：</w:t>
      </w:r>
    </w:p>
    <w:p>
      <w:pPr>
        <w:spacing w:after="0" w:line="276" w:lineRule="auto"/>
        <w:sectPr>
          <w:pgSz w:w="11910" w:h="16840"/>
          <w:pgMar w:header="590" w:footer="784" w:top="1340" w:bottom="980" w:left="1480" w:right="1080"/>
        </w:sectPr>
      </w:pPr>
    </w:p>
    <w:p>
      <w:pPr>
        <w:pStyle w:val="ListParagraph"/>
        <w:numPr>
          <w:ilvl w:val="0"/>
          <w:numId w:val="56"/>
        </w:numPr>
        <w:tabs>
          <w:tab w:pos="1071" w:val="left" w:leader="none"/>
        </w:tabs>
        <w:spacing w:line="240" w:lineRule="auto" w:before="91" w:after="0"/>
        <w:ind w:left="1071" w:right="0" w:hanging="425"/>
        <w:jc w:val="left"/>
        <w:rPr>
          <w:rFonts w:ascii="Times New Roman" w:hAnsi="Times New Roman"/>
          <w:sz w:val="24"/>
        </w:rPr>
      </w:pPr>
      <w:r>
        <w:rPr>
          <w:rFonts w:ascii="Times New Roman" w:hAnsi="Times New Roman"/>
          <w:sz w:val="24"/>
        </w:rPr>
        <w:t>ALT</w:t>
      </w:r>
      <w:r>
        <w:rPr>
          <w:rFonts w:ascii="Times New Roman" w:hAnsi="Times New Roman"/>
          <w:spacing w:val="-2"/>
          <w:sz w:val="24"/>
        </w:rPr>
        <w:t> </w:t>
      </w:r>
      <w:r>
        <w:rPr>
          <w:rFonts w:ascii="Times New Roman" w:hAnsi="Times New Roman"/>
          <w:sz w:val="24"/>
        </w:rPr>
        <w:t>≥ 3 × </w:t>
      </w:r>
      <w:r>
        <w:rPr>
          <w:rFonts w:ascii="Times New Roman" w:hAnsi="Times New Roman"/>
          <w:spacing w:val="-5"/>
          <w:sz w:val="24"/>
        </w:rPr>
        <w:t>ULN</w:t>
      </w:r>
    </w:p>
    <w:p>
      <w:pPr>
        <w:pStyle w:val="ListParagraph"/>
        <w:numPr>
          <w:ilvl w:val="0"/>
          <w:numId w:val="56"/>
        </w:numPr>
        <w:tabs>
          <w:tab w:pos="1071" w:val="left" w:leader="none"/>
        </w:tabs>
        <w:spacing w:line="240" w:lineRule="auto" w:before="101" w:after="0"/>
        <w:ind w:left="1071" w:right="0" w:hanging="425"/>
        <w:jc w:val="left"/>
        <w:rPr>
          <w:rFonts w:ascii="Times New Roman" w:hAnsi="Times New Roman"/>
          <w:sz w:val="24"/>
        </w:rPr>
      </w:pPr>
      <w:r>
        <w:rPr>
          <w:rFonts w:ascii="Times New Roman" w:hAnsi="Times New Roman"/>
          <w:sz w:val="24"/>
        </w:rPr>
        <w:t>AST</w:t>
      </w:r>
      <w:r>
        <w:rPr>
          <w:rFonts w:ascii="Times New Roman" w:hAnsi="Times New Roman"/>
          <w:spacing w:val="-2"/>
          <w:sz w:val="24"/>
        </w:rPr>
        <w:t> </w:t>
      </w:r>
      <w:r>
        <w:rPr>
          <w:rFonts w:ascii="Times New Roman" w:hAnsi="Times New Roman"/>
          <w:sz w:val="24"/>
        </w:rPr>
        <w:t>≥ 3</w:t>
      </w:r>
      <w:r>
        <w:rPr>
          <w:rFonts w:ascii="Times New Roman" w:hAnsi="Times New Roman"/>
          <w:spacing w:val="-1"/>
          <w:sz w:val="24"/>
        </w:rPr>
        <w:t> </w:t>
      </w:r>
      <w:r>
        <w:rPr>
          <w:rFonts w:ascii="Times New Roman" w:hAnsi="Times New Roman"/>
          <w:sz w:val="24"/>
        </w:rPr>
        <w:t>× </w:t>
      </w:r>
      <w:r>
        <w:rPr>
          <w:rFonts w:ascii="Times New Roman" w:hAnsi="Times New Roman"/>
          <w:spacing w:val="-5"/>
          <w:sz w:val="24"/>
        </w:rPr>
        <w:t>ULN</w:t>
      </w:r>
    </w:p>
    <w:p>
      <w:pPr>
        <w:pStyle w:val="ListParagraph"/>
        <w:numPr>
          <w:ilvl w:val="0"/>
          <w:numId w:val="56"/>
        </w:numPr>
        <w:tabs>
          <w:tab w:pos="1071" w:val="left" w:leader="none"/>
        </w:tabs>
        <w:spacing w:line="240" w:lineRule="auto" w:before="100" w:after="0"/>
        <w:ind w:left="1071" w:right="0" w:hanging="425"/>
        <w:jc w:val="left"/>
        <w:rPr>
          <w:rFonts w:ascii="Times New Roman" w:hAnsi="Times New Roman"/>
          <w:sz w:val="24"/>
        </w:rPr>
      </w:pPr>
      <w:r>
        <w:rPr>
          <w:rFonts w:ascii="Times New Roman" w:hAnsi="Times New Roman"/>
          <w:sz w:val="24"/>
        </w:rPr>
        <w:t>TBL</w:t>
      </w:r>
      <w:r>
        <w:rPr>
          <w:rFonts w:ascii="Times New Roman" w:hAnsi="Times New Roman"/>
          <w:spacing w:val="-1"/>
          <w:sz w:val="24"/>
        </w:rPr>
        <w:t> </w:t>
      </w:r>
      <w:r>
        <w:rPr>
          <w:rFonts w:ascii="Times New Roman" w:hAnsi="Times New Roman"/>
          <w:sz w:val="24"/>
        </w:rPr>
        <w:t>≥ 2 × </w:t>
      </w:r>
      <w:r>
        <w:rPr>
          <w:rFonts w:ascii="Times New Roman" w:hAnsi="Times New Roman"/>
          <w:spacing w:val="-5"/>
          <w:sz w:val="24"/>
        </w:rPr>
        <w:t>ULN</w:t>
      </w:r>
    </w:p>
    <w:p>
      <w:pPr>
        <w:pStyle w:val="BodyText"/>
        <w:spacing w:before="217"/>
        <w:ind w:left="0"/>
        <w:rPr>
          <w:rFonts w:ascii="Times New Roman"/>
        </w:rPr>
      </w:pPr>
    </w:p>
    <w:p>
      <w:pPr>
        <w:pStyle w:val="Heading3"/>
      </w:pPr>
      <w:r>
        <w:rPr>
          <w:spacing w:val="-5"/>
        </w:rPr>
        <w:t>使用中心实验室：</w:t>
      </w:r>
    </w:p>
    <w:p>
      <w:pPr>
        <w:pStyle w:val="BodyText"/>
        <w:spacing w:line="276" w:lineRule="auto" w:before="120"/>
        <w:ind w:right="362" w:firstLine="480"/>
      </w:pPr>
      <w:r>
        <w:rPr>
          <w:spacing w:val="-2"/>
        </w:rPr>
        <w:t>当受试者符合任何潜在海氏法则识别标准时（不管是单个还是综合标准），中心实验室将立即向研究者（包括申办者代表）发出警报。</w:t>
      </w:r>
    </w:p>
    <w:p>
      <w:pPr>
        <w:pStyle w:val="BodyText"/>
        <w:spacing w:line="276" w:lineRule="auto" w:before="238"/>
        <w:ind w:right="360" w:firstLine="480"/>
      </w:pPr>
      <w:r>
        <w:rPr>
          <w:spacing w:val="-2"/>
        </w:rPr>
        <w:t>研究者还将对所有当地实验室符合潜在海氏法则识别标准的报告保持警惕；这种情况下，研究者将：</w:t>
      </w:r>
    </w:p>
    <w:p>
      <w:pPr>
        <w:pStyle w:val="ListParagraph"/>
        <w:numPr>
          <w:ilvl w:val="0"/>
          <w:numId w:val="56"/>
        </w:numPr>
        <w:tabs>
          <w:tab w:pos="1071" w:val="left" w:leader="none"/>
        </w:tabs>
        <w:spacing w:line="240" w:lineRule="auto" w:before="239" w:after="0"/>
        <w:ind w:left="1071" w:right="0" w:hanging="425"/>
        <w:jc w:val="left"/>
        <w:rPr>
          <w:sz w:val="24"/>
        </w:rPr>
      </w:pPr>
      <w:r>
        <w:rPr>
          <w:spacing w:val="-2"/>
          <w:sz w:val="24"/>
        </w:rPr>
        <w:t>通知申办者代表</w:t>
      </w:r>
    </w:p>
    <w:p>
      <w:pPr>
        <w:pStyle w:val="ListParagraph"/>
        <w:numPr>
          <w:ilvl w:val="0"/>
          <w:numId w:val="56"/>
        </w:numPr>
        <w:tabs>
          <w:tab w:pos="1071" w:val="left" w:leader="none"/>
        </w:tabs>
        <w:spacing w:line="240" w:lineRule="auto" w:before="105" w:after="0"/>
        <w:ind w:left="1071" w:right="0" w:hanging="425"/>
        <w:jc w:val="left"/>
        <w:rPr>
          <w:sz w:val="24"/>
        </w:rPr>
      </w:pPr>
      <w:r>
        <w:rPr>
          <w:sz w:val="24"/>
        </w:rPr>
        <w:t>请求中心实验室立即复测（重新抽血</w:t>
      </w:r>
      <w:r>
        <w:rPr>
          <w:spacing w:val="-10"/>
          <w:sz w:val="24"/>
        </w:rPr>
        <w:t>）</w:t>
      </w:r>
    </w:p>
    <w:p>
      <w:pPr>
        <w:pStyle w:val="ListParagraph"/>
        <w:numPr>
          <w:ilvl w:val="0"/>
          <w:numId w:val="56"/>
        </w:numPr>
        <w:tabs>
          <w:tab w:pos="1071" w:val="left" w:leader="none"/>
        </w:tabs>
        <w:spacing w:line="240" w:lineRule="auto" w:before="107" w:after="0"/>
        <w:ind w:left="1071" w:right="0" w:hanging="425"/>
        <w:jc w:val="left"/>
        <w:rPr>
          <w:sz w:val="24"/>
        </w:rPr>
      </w:pPr>
      <w:r>
        <w:rPr>
          <w:spacing w:val="-3"/>
          <w:sz w:val="24"/>
        </w:rPr>
        <w:t>将当地实验室原始检查结果录入相应的计划外实验室 </w:t>
      </w:r>
      <w:r>
        <w:rPr>
          <w:rFonts w:ascii="Times New Roman" w:hAnsi="Times New Roman" w:eastAsia="Times New Roman"/>
          <w:sz w:val="24"/>
        </w:rPr>
        <w:t>eCRF</w:t>
      </w:r>
      <w:r>
        <w:rPr>
          <w:rFonts w:ascii="Times New Roman" w:hAnsi="Times New Roman" w:eastAsia="Times New Roman"/>
          <w:spacing w:val="-15"/>
          <w:sz w:val="24"/>
        </w:rPr>
        <w:t> </w:t>
      </w:r>
      <w:r>
        <w:rPr>
          <w:spacing w:val="-5"/>
          <w:sz w:val="24"/>
        </w:rPr>
        <w:t>模块</w:t>
      </w:r>
    </w:p>
    <w:p>
      <w:pPr>
        <w:pStyle w:val="BodyText"/>
        <w:spacing w:before="69"/>
        <w:ind w:left="0"/>
      </w:pPr>
    </w:p>
    <w:p>
      <w:pPr>
        <w:pStyle w:val="BodyText"/>
        <w:spacing w:before="1"/>
        <w:ind w:left="701"/>
      </w:pPr>
      <w:r>
        <w:rPr>
          <w:spacing w:val="-1"/>
        </w:rPr>
        <w:t>当中心或当地实验室结果符合识别标准时，研究者将立即：</w:t>
      </w:r>
    </w:p>
    <w:p>
      <w:pPr>
        <w:pStyle w:val="ListParagraph"/>
        <w:numPr>
          <w:ilvl w:val="0"/>
          <w:numId w:val="56"/>
        </w:numPr>
        <w:tabs>
          <w:tab w:pos="1071" w:val="left" w:leader="none"/>
        </w:tabs>
        <w:spacing w:line="276" w:lineRule="auto" w:before="285" w:after="0"/>
        <w:ind w:left="1071" w:right="367" w:hanging="426"/>
        <w:jc w:val="left"/>
        <w:rPr>
          <w:sz w:val="24"/>
        </w:rPr>
      </w:pPr>
      <w:r>
        <w:rPr>
          <w:spacing w:val="6"/>
          <w:sz w:val="24"/>
        </w:rPr>
        <w:t>通过审查所有既往访视的实验室报告（包括中心和当地实验室结果</w:t>
      </w:r>
      <w:r>
        <w:rPr>
          <w:spacing w:val="8"/>
          <w:sz w:val="24"/>
        </w:rPr>
        <w:t>），</w:t>
      </w:r>
      <w:r>
        <w:rPr>
          <w:sz w:val="24"/>
        </w:rPr>
        <w:t>确定受试者是否符合潜在海氏法则标准（</w:t>
      </w:r>
      <w:r>
        <w:rPr>
          <w:spacing w:val="-10"/>
          <w:sz w:val="24"/>
        </w:rPr>
        <w:t>定义请见第 </w:t>
      </w:r>
      <w:hyperlink w:history="true" w:anchor="_bookmark156">
        <w:r>
          <w:rPr>
            <w:rFonts w:ascii="Times New Roman" w:hAnsi="Times New Roman" w:eastAsia="Times New Roman"/>
            <w:color w:val="0000FF"/>
            <w:sz w:val="24"/>
          </w:rPr>
          <w:t>D</w:t>
        </w:r>
        <w:r>
          <w:rPr>
            <w:rFonts w:ascii="Times New Roman" w:hAnsi="Times New Roman" w:eastAsia="Times New Roman"/>
            <w:color w:val="0000FF"/>
            <w:spacing w:val="-1"/>
            <w:sz w:val="24"/>
          </w:rPr>
          <w:t> </w:t>
        </w:r>
        <w:r>
          <w:rPr>
            <w:rFonts w:ascii="Times New Roman" w:hAnsi="Times New Roman" w:eastAsia="Times New Roman"/>
            <w:color w:val="0000FF"/>
            <w:sz w:val="24"/>
          </w:rPr>
          <w:t>2</w:t>
        </w:r>
      </w:hyperlink>
      <w:r>
        <w:rPr>
          <w:rFonts w:ascii="Times New Roman" w:hAnsi="Times New Roman" w:eastAsia="Times New Roman"/>
          <w:color w:val="0000FF"/>
          <w:spacing w:val="-12"/>
          <w:sz w:val="24"/>
        </w:rPr>
        <w:t> </w:t>
      </w:r>
      <w:r>
        <w:rPr>
          <w:sz w:val="24"/>
        </w:rPr>
        <w:t>节）</w:t>
      </w:r>
    </w:p>
    <w:p>
      <w:pPr>
        <w:pStyle w:val="BodyText"/>
        <w:spacing w:before="143"/>
        <w:ind w:left="0"/>
      </w:pPr>
    </w:p>
    <w:p>
      <w:pPr>
        <w:pStyle w:val="Heading3"/>
      </w:pPr>
      <w:r>
        <w:rPr>
          <w:spacing w:val="-5"/>
        </w:rPr>
        <w:t>使用当地实验室：</w:t>
      </w:r>
    </w:p>
    <w:p>
      <w:pPr>
        <w:pStyle w:val="BodyText"/>
        <w:spacing w:before="119"/>
        <w:ind w:left="701"/>
      </w:pPr>
      <w:r>
        <w:rPr>
          <w:spacing w:val="-1"/>
        </w:rPr>
        <w:t>研究者将立即审查每份新的实验室报告，如果符合识别标准，则将：</w:t>
      </w:r>
    </w:p>
    <w:p>
      <w:pPr>
        <w:pStyle w:val="ListParagraph"/>
        <w:numPr>
          <w:ilvl w:val="0"/>
          <w:numId w:val="56"/>
        </w:numPr>
        <w:tabs>
          <w:tab w:pos="1071" w:val="left" w:leader="none"/>
        </w:tabs>
        <w:spacing w:line="240" w:lineRule="auto" w:before="286" w:after="0"/>
        <w:ind w:left="1071" w:right="0" w:hanging="425"/>
        <w:jc w:val="left"/>
        <w:rPr>
          <w:sz w:val="24"/>
        </w:rPr>
      </w:pPr>
      <w:r>
        <w:rPr>
          <w:spacing w:val="-2"/>
          <w:sz w:val="24"/>
        </w:rPr>
        <w:t>通知申办者代表</w:t>
      </w:r>
    </w:p>
    <w:p>
      <w:pPr>
        <w:pStyle w:val="ListParagraph"/>
        <w:numPr>
          <w:ilvl w:val="0"/>
          <w:numId w:val="56"/>
        </w:numPr>
        <w:tabs>
          <w:tab w:pos="1071" w:val="left" w:leader="none"/>
        </w:tabs>
        <w:spacing w:line="276" w:lineRule="auto" w:before="107" w:after="0"/>
        <w:ind w:left="1071" w:right="360" w:hanging="426"/>
        <w:jc w:val="left"/>
        <w:rPr>
          <w:sz w:val="24"/>
        </w:rPr>
      </w:pPr>
      <w:r>
        <w:rPr>
          <w:sz w:val="24"/>
        </w:rPr>
        <w:t>通过审查所有既往访视的实验室报告，确定受试者是否符合潜在海氏法则识别标准（</w:t>
      </w:r>
      <w:r>
        <w:rPr>
          <w:spacing w:val="-3"/>
          <w:sz w:val="24"/>
        </w:rPr>
        <w:t>定义请见第 </w:t>
      </w:r>
      <w:hyperlink w:history="true" w:anchor="_bookmark156">
        <w:r>
          <w:rPr>
            <w:rFonts w:ascii="Times New Roman" w:hAnsi="Times New Roman" w:eastAsia="Times New Roman"/>
            <w:color w:val="0000FF"/>
            <w:sz w:val="24"/>
          </w:rPr>
          <w:t>D 2</w:t>
        </w:r>
      </w:hyperlink>
      <w:r>
        <w:rPr>
          <w:rFonts w:ascii="Times New Roman" w:hAnsi="Times New Roman" w:eastAsia="Times New Roman"/>
          <w:color w:val="0000FF"/>
          <w:sz w:val="24"/>
        </w:rPr>
        <w:t> </w:t>
      </w:r>
      <w:r>
        <w:rPr>
          <w:sz w:val="24"/>
        </w:rPr>
        <w:t>节）</w:t>
      </w:r>
    </w:p>
    <w:p>
      <w:pPr>
        <w:pStyle w:val="ListParagraph"/>
        <w:numPr>
          <w:ilvl w:val="0"/>
          <w:numId w:val="56"/>
        </w:numPr>
        <w:tabs>
          <w:tab w:pos="1071" w:val="left" w:leader="none"/>
        </w:tabs>
        <w:spacing w:line="240" w:lineRule="auto" w:before="57" w:after="0"/>
        <w:ind w:left="1071" w:right="0" w:hanging="425"/>
        <w:jc w:val="left"/>
        <w:rPr>
          <w:sz w:val="24"/>
        </w:rPr>
      </w:pPr>
      <w:r>
        <w:rPr>
          <w:spacing w:val="-5"/>
          <w:sz w:val="24"/>
        </w:rPr>
        <w:t>立即将实验室数据录入实验室 </w:t>
      </w:r>
      <w:r>
        <w:rPr>
          <w:rFonts w:ascii="Times New Roman" w:hAnsi="Times New Roman" w:eastAsia="Times New Roman"/>
          <w:sz w:val="24"/>
        </w:rPr>
        <w:t>eCRF</w:t>
      </w:r>
      <w:r>
        <w:rPr>
          <w:rFonts w:ascii="Times New Roman" w:hAnsi="Times New Roman" w:eastAsia="Times New Roman"/>
          <w:spacing w:val="-15"/>
          <w:sz w:val="24"/>
        </w:rPr>
        <w:t> </w:t>
      </w:r>
      <w:r>
        <w:rPr>
          <w:spacing w:val="-10"/>
          <w:sz w:val="24"/>
        </w:rPr>
        <w:t>中</w:t>
      </w:r>
    </w:p>
    <w:p>
      <w:pPr>
        <w:pStyle w:val="BodyText"/>
        <w:spacing w:before="190"/>
        <w:ind w:left="0"/>
      </w:pPr>
    </w:p>
    <w:p>
      <w:pPr>
        <w:tabs>
          <w:tab w:pos="1355" w:val="left" w:leader="none"/>
        </w:tabs>
        <w:spacing w:before="0"/>
        <w:ind w:left="221" w:right="0" w:firstLine="0"/>
        <w:jc w:val="left"/>
        <w:rPr>
          <w:b/>
          <w:sz w:val="28"/>
        </w:rPr>
      </w:pPr>
      <w:bookmarkStart w:name="D 4 随访" w:id="320"/>
      <w:bookmarkEnd w:id="320"/>
      <w:r>
        <w:rPr/>
      </w:r>
      <w:r>
        <w:rPr>
          <w:rFonts w:ascii="Times New Roman" w:eastAsia="Times New Roman"/>
          <w:b/>
          <w:sz w:val="26"/>
        </w:rPr>
        <w:t>D </w:t>
      </w:r>
      <w:r>
        <w:rPr>
          <w:rFonts w:ascii="Times New Roman" w:eastAsia="Times New Roman"/>
          <w:b/>
          <w:spacing w:val="-10"/>
          <w:sz w:val="26"/>
        </w:rPr>
        <w:t>4</w:t>
      </w:r>
      <w:r>
        <w:rPr>
          <w:rFonts w:ascii="Times New Roman" w:eastAsia="Times New Roman"/>
          <w:b/>
          <w:sz w:val="26"/>
        </w:rPr>
        <w:tab/>
      </w:r>
      <w:r>
        <w:rPr>
          <w:b/>
          <w:spacing w:val="-6"/>
          <w:sz w:val="28"/>
        </w:rPr>
        <w:t>随访</w:t>
      </w:r>
    </w:p>
    <w:p>
      <w:pPr>
        <w:tabs>
          <w:tab w:pos="1354" w:val="left" w:leader="none"/>
        </w:tabs>
        <w:spacing w:before="158"/>
        <w:ind w:left="220" w:right="0" w:firstLine="0"/>
        <w:jc w:val="left"/>
        <w:rPr>
          <w:b/>
          <w:sz w:val="26"/>
        </w:rPr>
      </w:pPr>
      <w:bookmarkStart w:name="D 4.1 不符合潜在海氏法则标准" w:id="321"/>
      <w:bookmarkEnd w:id="321"/>
      <w:r>
        <w:rPr/>
      </w:r>
      <w:r>
        <w:rPr>
          <w:rFonts w:ascii="Times New Roman" w:eastAsia="Times New Roman"/>
          <w:b/>
          <w:sz w:val="24"/>
        </w:rPr>
        <w:t>D</w:t>
      </w:r>
      <w:r>
        <w:rPr>
          <w:rFonts w:ascii="Times New Roman" w:eastAsia="Times New Roman"/>
          <w:b/>
          <w:spacing w:val="-1"/>
          <w:sz w:val="24"/>
        </w:rPr>
        <w:t> </w:t>
      </w:r>
      <w:r>
        <w:rPr>
          <w:rFonts w:ascii="Times New Roman" w:eastAsia="Times New Roman"/>
          <w:b/>
          <w:spacing w:val="-5"/>
          <w:sz w:val="24"/>
        </w:rPr>
        <w:t>4.1</w:t>
      </w:r>
      <w:r>
        <w:rPr>
          <w:rFonts w:ascii="Times New Roman" w:eastAsia="Times New Roman"/>
          <w:b/>
          <w:sz w:val="24"/>
        </w:rPr>
        <w:tab/>
      </w:r>
      <w:r>
        <w:rPr>
          <w:b/>
          <w:spacing w:val="-5"/>
          <w:sz w:val="26"/>
        </w:rPr>
        <w:t>不符合潜在海氏法则标准</w:t>
      </w:r>
    </w:p>
    <w:p>
      <w:pPr>
        <w:pStyle w:val="BodyText"/>
        <w:spacing w:before="120"/>
        <w:ind w:left="701"/>
      </w:pPr>
      <w:r>
        <w:rPr>
          <w:spacing w:val="-1"/>
        </w:rPr>
        <w:t>如果受试者不符合潜在海氏法则识别标准，则研究者将：</w:t>
      </w:r>
    </w:p>
    <w:p>
      <w:pPr>
        <w:pStyle w:val="ListParagraph"/>
        <w:numPr>
          <w:ilvl w:val="0"/>
          <w:numId w:val="57"/>
        </w:numPr>
        <w:tabs>
          <w:tab w:pos="646" w:val="left" w:leader="none"/>
        </w:tabs>
        <w:spacing w:line="240" w:lineRule="auto" w:before="287" w:after="0"/>
        <w:ind w:left="646" w:right="0" w:hanging="425"/>
        <w:jc w:val="left"/>
        <w:rPr>
          <w:sz w:val="24"/>
        </w:rPr>
      </w:pPr>
      <w:r>
        <w:rPr>
          <w:spacing w:val="-4"/>
          <w:sz w:val="24"/>
        </w:rPr>
        <w:t>告知申办者代表该受试者不符合 </w:t>
      </w:r>
      <w:r>
        <w:rPr>
          <w:rFonts w:ascii="Times New Roman" w:hAnsi="Times New Roman" w:eastAsia="Times New Roman"/>
          <w:sz w:val="24"/>
        </w:rPr>
        <w:t>PHL</w:t>
      </w:r>
      <w:r>
        <w:rPr>
          <w:rFonts w:ascii="Times New Roman" w:hAnsi="Times New Roman" w:eastAsia="Times New Roman"/>
          <w:spacing w:val="-15"/>
          <w:sz w:val="24"/>
        </w:rPr>
        <w:t> </w:t>
      </w:r>
      <w:r>
        <w:rPr>
          <w:spacing w:val="-4"/>
          <w:sz w:val="24"/>
        </w:rPr>
        <w:t>标准。</w:t>
      </w:r>
    </w:p>
    <w:p>
      <w:pPr>
        <w:pStyle w:val="ListParagraph"/>
        <w:numPr>
          <w:ilvl w:val="0"/>
          <w:numId w:val="57"/>
        </w:numPr>
        <w:tabs>
          <w:tab w:pos="646" w:val="left" w:leader="none"/>
        </w:tabs>
        <w:spacing w:line="240" w:lineRule="auto" w:before="59" w:after="0"/>
        <w:ind w:left="646" w:right="0" w:hanging="425"/>
        <w:jc w:val="left"/>
        <w:rPr>
          <w:sz w:val="24"/>
        </w:rPr>
      </w:pPr>
      <w:r>
        <w:rPr>
          <w:spacing w:val="-20"/>
          <w:sz w:val="24"/>
        </w:rPr>
        <w:t>根据 </w:t>
      </w:r>
      <w:r>
        <w:rPr>
          <w:rFonts w:ascii="Times New Roman" w:hAnsi="Times New Roman" w:eastAsia="Times New Roman"/>
          <w:sz w:val="24"/>
        </w:rPr>
        <w:t>CSP</w:t>
      </w:r>
      <w:r>
        <w:rPr>
          <w:rFonts w:ascii="Times New Roman" w:hAnsi="Times New Roman" w:eastAsia="Times New Roman"/>
          <w:spacing w:val="-14"/>
          <w:sz w:val="24"/>
        </w:rPr>
        <w:t> </w:t>
      </w:r>
      <w:r>
        <w:rPr>
          <w:spacing w:val="-1"/>
          <w:sz w:val="24"/>
        </w:rPr>
        <w:t>中提供的指南对后续实验室结果进行随访。</w:t>
      </w:r>
    </w:p>
    <w:p>
      <w:pPr>
        <w:pStyle w:val="BodyText"/>
        <w:spacing w:before="142"/>
        <w:ind w:left="0"/>
      </w:pPr>
    </w:p>
    <w:p>
      <w:pPr>
        <w:tabs>
          <w:tab w:pos="1354" w:val="left" w:leader="none"/>
        </w:tabs>
        <w:spacing w:before="0"/>
        <w:ind w:left="220" w:right="0" w:firstLine="0"/>
        <w:jc w:val="left"/>
        <w:rPr>
          <w:b/>
          <w:sz w:val="26"/>
        </w:rPr>
      </w:pPr>
      <w:bookmarkStart w:name="D 4.2 符合潜在海氏法则标准" w:id="322"/>
      <w:bookmarkEnd w:id="322"/>
      <w:r>
        <w:rPr/>
      </w:r>
      <w:r>
        <w:rPr>
          <w:rFonts w:ascii="Times New Roman" w:eastAsia="Times New Roman"/>
          <w:b/>
          <w:sz w:val="24"/>
        </w:rPr>
        <w:t>D</w:t>
      </w:r>
      <w:r>
        <w:rPr>
          <w:rFonts w:ascii="Times New Roman" w:eastAsia="Times New Roman"/>
          <w:b/>
          <w:spacing w:val="-1"/>
          <w:sz w:val="24"/>
        </w:rPr>
        <w:t> </w:t>
      </w:r>
      <w:r>
        <w:rPr>
          <w:rFonts w:ascii="Times New Roman" w:eastAsia="Times New Roman"/>
          <w:b/>
          <w:spacing w:val="-5"/>
          <w:sz w:val="24"/>
        </w:rPr>
        <w:t>4.2</w:t>
      </w:r>
      <w:r>
        <w:rPr>
          <w:rFonts w:ascii="Times New Roman" w:eastAsia="Times New Roman"/>
          <w:b/>
          <w:sz w:val="24"/>
        </w:rPr>
        <w:tab/>
      </w:r>
      <w:r>
        <w:rPr>
          <w:b/>
          <w:spacing w:val="-5"/>
          <w:sz w:val="26"/>
        </w:rPr>
        <w:t>符合潜在海氏法则标准</w:t>
      </w:r>
    </w:p>
    <w:p>
      <w:pPr>
        <w:pStyle w:val="BodyText"/>
        <w:spacing w:before="120"/>
        <w:ind w:left="701"/>
      </w:pPr>
      <w:r>
        <w:rPr>
          <w:spacing w:val="-1"/>
        </w:rPr>
        <w:t>如果受试者确实符合潜在海氏法则标准，则研究者将：</w:t>
      </w:r>
    </w:p>
    <w:p>
      <w:pPr>
        <w:spacing w:after="0"/>
        <w:sectPr>
          <w:pgSz w:w="11910" w:h="16840"/>
          <w:pgMar w:header="590" w:footer="784" w:top="1340" w:bottom="980" w:left="1480" w:right="1080"/>
        </w:sectPr>
      </w:pPr>
    </w:p>
    <w:p>
      <w:pPr>
        <w:pStyle w:val="ListParagraph"/>
        <w:numPr>
          <w:ilvl w:val="0"/>
          <w:numId w:val="57"/>
        </w:numPr>
        <w:tabs>
          <w:tab w:pos="645" w:val="left" w:leader="none"/>
        </w:tabs>
        <w:spacing w:line="240" w:lineRule="auto" w:before="88" w:after="0"/>
        <w:ind w:left="645" w:right="0" w:hanging="424"/>
        <w:jc w:val="both"/>
        <w:rPr>
          <w:sz w:val="24"/>
        </w:rPr>
      </w:pPr>
      <w:r>
        <w:rPr>
          <w:spacing w:val="-1"/>
          <w:sz w:val="24"/>
        </w:rPr>
        <w:t>告知申办者代表，申办者代表再通知中心研究小组</w:t>
      </w:r>
    </w:p>
    <w:p>
      <w:pPr>
        <w:pStyle w:val="ListParagraph"/>
        <w:numPr>
          <w:ilvl w:val="0"/>
          <w:numId w:val="57"/>
        </w:numPr>
        <w:tabs>
          <w:tab w:pos="646" w:val="left" w:leader="none"/>
        </w:tabs>
        <w:spacing w:line="240" w:lineRule="auto" w:before="57" w:after="0"/>
        <w:ind w:left="646" w:right="358" w:hanging="425"/>
        <w:jc w:val="both"/>
        <w:rPr>
          <w:sz w:val="24"/>
        </w:rPr>
      </w:pPr>
      <w:r>
        <w:rPr>
          <w:spacing w:val="1"/>
          <w:sz w:val="24"/>
        </w:rPr>
        <w:t>在符合潜在海氏法则标准的</w:t>
      </w:r>
      <w:r>
        <w:rPr>
          <w:rFonts w:ascii="Times New Roman" w:hAnsi="Times New Roman" w:eastAsia="Times New Roman"/>
          <w:sz w:val="24"/>
        </w:rPr>
        <w:t>1</w:t>
      </w:r>
      <w:r>
        <w:rPr>
          <w:rFonts w:ascii="Times New Roman" w:hAnsi="Times New Roman" w:eastAsia="Times New Roman"/>
          <w:spacing w:val="-15"/>
          <w:sz w:val="24"/>
        </w:rPr>
        <w:t> </w:t>
      </w:r>
      <w:r>
        <w:rPr>
          <w:sz w:val="24"/>
        </w:rPr>
        <w:t>天内，研究者将该病例报告为潜在海氏法则</w:t>
      </w:r>
      <w:r>
        <w:rPr>
          <w:rFonts w:ascii="Times New Roman" w:hAnsi="Times New Roman" w:eastAsia="Times New Roman"/>
          <w:sz w:val="24"/>
        </w:rPr>
        <w:t>SAE</w:t>
      </w:r>
      <w:r>
        <w:rPr>
          <w:sz w:val="24"/>
        </w:rPr>
        <w:t>；</w:t>
      </w:r>
      <w:r>
        <w:rPr>
          <w:spacing w:val="-11"/>
          <w:sz w:val="24"/>
        </w:rPr>
        <w:t>按照 </w:t>
      </w:r>
      <w:r>
        <w:rPr>
          <w:rFonts w:ascii="Times New Roman" w:hAnsi="Times New Roman" w:eastAsia="Times New Roman"/>
          <w:spacing w:val="-2"/>
          <w:sz w:val="24"/>
        </w:rPr>
        <w:t>CSP</w:t>
      </w:r>
      <w:r>
        <w:rPr>
          <w:rFonts w:ascii="Times New Roman" w:hAnsi="Times New Roman" w:eastAsia="Times New Roman"/>
          <w:spacing w:val="-13"/>
          <w:sz w:val="24"/>
        </w:rPr>
        <w:t> </w:t>
      </w:r>
      <w:r>
        <w:rPr>
          <w:spacing w:val="-15"/>
          <w:sz w:val="24"/>
        </w:rPr>
        <w:t>中 </w:t>
      </w:r>
      <w:r>
        <w:rPr>
          <w:rFonts w:ascii="Times New Roman" w:hAnsi="Times New Roman" w:eastAsia="Times New Roman"/>
          <w:spacing w:val="-2"/>
          <w:sz w:val="24"/>
        </w:rPr>
        <w:t>SAE</w:t>
      </w:r>
      <w:r>
        <w:rPr>
          <w:rFonts w:ascii="Times New Roman" w:hAnsi="Times New Roman" w:eastAsia="Times New Roman"/>
          <w:spacing w:val="6"/>
          <w:sz w:val="24"/>
        </w:rPr>
        <w:t> </w:t>
      </w:r>
      <w:r>
        <w:rPr>
          <w:spacing w:val="-2"/>
          <w:sz w:val="24"/>
        </w:rPr>
        <w:t>报告流程，严重性标准为“重要医学事件”，因果关系评估为 “是</w:t>
      </w:r>
      <w:r>
        <w:rPr>
          <w:rFonts w:ascii="Times New Roman" w:hAnsi="Times New Roman" w:eastAsia="Times New Roman"/>
          <w:spacing w:val="-2"/>
          <w:sz w:val="24"/>
        </w:rPr>
        <w:t>/</w:t>
      </w:r>
      <w:r>
        <w:rPr>
          <w:spacing w:val="-2"/>
          <w:sz w:val="24"/>
        </w:rPr>
        <w:t>相关”。</w:t>
      </w:r>
    </w:p>
    <w:p>
      <w:pPr>
        <w:pStyle w:val="ListParagraph"/>
        <w:numPr>
          <w:ilvl w:val="0"/>
          <w:numId w:val="57"/>
        </w:numPr>
        <w:tabs>
          <w:tab w:pos="646" w:val="left" w:leader="none"/>
        </w:tabs>
        <w:spacing w:line="240" w:lineRule="auto" w:before="59" w:after="0"/>
        <w:ind w:left="646" w:right="357" w:hanging="425"/>
        <w:jc w:val="both"/>
        <w:rPr>
          <w:rFonts w:ascii="Times New Roman" w:hAnsi="Times New Roman" w:eastAsia="Times New Roman"/>
          <w:sz w:val="24"/>
        </w:rPr>
      </w:pPr>
      <w:r>
        <w:rPr>
          <w:spacing w:val="-4"/>
          <w:sz w:val="24"/>
        </w:rPr>
        <w:t>对于在开始 </w:t>
      </w:r>
      <w:r>
        <w:rPr>
          <w:rFonts w:ascii="Times New Roman" w:hAnsi="Times New Roman" w:eastAsia="Times New Roman"/>
          <w:sz w:val="24"/>
        </w:rPr>
        <w:t>IP </w:t>
      </w:r>
      <w:r>
        <w:rPr>
          <w:sz w:val="24"/>
        </w:rPr>
        <w:t>前符合潜在海氏法则标准的受试者，研究者无需递交潜在海氏法</w:t>
      </w:r>
      <w:r>
        <w:rPr>
          <w:spacing w:val="-21"/>
          <w:sz w:val="24"/>
        </w:rPr>
        <w:t>则 </w:t>
      </w:r>
      <w:r>
        <w:rPr>
          <w:rFonts w:ascii="Times New Roman" w:hAnsi="Times New Roman" w:eastAsia="Times New Roman"/>
          <w:sz w:val="24"/>
        </w:rPr>
        <w:t>SAE</w:t>
      </w:r>
      <w:r>
        <w:rPr>
          <w:sz w:val="24"/>
        </w:rPr>
        <w:t>，除非受试者病症出现显著变化</w:t>
      </w:r>
      <w:hyperlink w:history="true" w:anchor="_bookmark157">
        <w:r>
          <w:rPr>
            <w:rFonts w:ascii="Times New Roman" w:hAnsi="Times New Roman" w:eastAsia="Times New Roman"/>
            <w:color w:val="0000FF"/>
            <w:sz w:val="24"/>
            <w:vertAlign w:val="superscript"/>
          </w:rPr>
          <w:t>a</w:t>
        </w:r>
      </w:hyperlink>
    </w:p>
    <w:p>
      <w:pPr>
        <w:pStyle w:val="ListParagraph"/>
        <w:numPr>
          <w:ilvl w:val="0"/>
          <w:numId w:val="57"/>
        </w:numPr>
        <w:tabs>
          <w:tab w:pos="645" w:val="left" w:leader="none"/>
        </w:tabs>
        <w:spacing w:line="240" w:lineRule="auto" w:before="58" w:after="0"/>
        <w:ind w:left="645" w:right="0" w:hanging="424"/>
        <w:jc w:val="both"/>
        <w:rPr>
          <w:sz w:val="24"/>
        </w:rPr>
      </w:pPr>
      <w:r>
        <w:rPr>
          <w:spacing w:val="-1"/>
          <w:sz w:val="24"/>
        </w:rPr>
        <w:t>申办者研究医生与研究者联系，向其提供指南，讨论并商定研究受试者的随访</w:t>
      </w:r>
    </w:p>
    <w:p>
      <w:pPr>
        <w:pStyle w:val="BodyText"/>
        <w:spacing w:before="1"/>
        <w:ind w:left="526"/>
      </w:pPr>
      <w:r>
        <w:rPr/>
        <w:t>（包括任何进一步的实验室检查）</w:t>
      </w:r>
      <w:r>
        <w:rPr>
          <w:spacing w:val="-1"/>
        </w:rPr>
        <w:t>和连续数据审核的方法</w:t>
      </w:r>
    </w:p>
    <w:p>
      <w:pPr>
        <w:pStyle w:val="ListParagraph"/>
        <w:numPr>
          <w:ilvl w:val="0"/>
          <w:numId w:val="57"/>
        </w:numPr>
        <w:tabs>
          <w:tab w:pos="646" w:val="left" w:leader="none"/>
        </w:tabs>
        <w:spacing w:line="240" w:lineRule="auto" w:before="59" w:after="0"/>
        <w:ind w:left="646" w:right="0" w:hanging="425"/>
        <w:jc w:val="left"/>
        <w:rPr>
          <w:sz w:val="24"/>
        </w:rPr>
      </w:pPr>
      <w:r>
        <w:rPr>
          <w:spacing w:val="-1"/>
          <w:sz w:val="24"/>
        </w:rPr>
        <w:t>此次联系之后，研究者将：</w:t>
      </w:r>
    </w:p>
    <w:p>
      <w:pPr>
        <w:pStyle w:val="ListParagraph"/>
        <w:numPr>
          <w:ilvl w:val="1"/>
          <w:numId w:val="57"/>
        </w:numPr>
        <w:tabs>
          <w:tab w:pos="1071" w:val="left" w:leader="none"/>
        </w:tabs>
        <w:spacing w:line="276" w:lineRule="auto" w:before="59" w:after="0"/>
        <w:ind w:left="1071" w:right="367" w:hanging="426"/>
        <w:jc w:val="left"/>
        <w:rPr>
          <w:sz w:val="24"/>
        </w:rPr>
      </w:pPr>
      <w:r>
        <w:rPr>
          <w:spacing w:val="5"/>
          <w:sz w:val="24"/>
        </w:rPr>
        <w:t>监测受试者，直到肝生化参数和相应的临床体征及症状恢复至正常或基线</w:t>
      </w:r>
      <w:r>
        <w:rPr>
          <w:spacing w:val="1"/>
          <w:sz w:val="24"/>
        </w:rPr>
        <w:t>水平，或直到医学指征消失。按要求填写随访 </w:t>
      </w:r>
      <w:r>
        <w:rPr>
          <w:rFonts w:ascii="Times New Roman" w:hAnsi="Times New Roman" w:eastAsia="Times New Roman"/>
          <w:spacing w:val="-1"/>
          <w:sz w:val="24"/>
        </w:rPr>
        <w:t>SA</w:t>
      </w:r>
      <w:r>
        <w:rPr>
          <w:rFonts w:ascii="Times New Roman" w:hAnsi="Times New Roman" w:eastAsia="Times New Roman"/>
          <w:sz w:val="24"/>
        </w:rPr>
        <w:t>E</w:t>
      </w:r>
      <w:r>
        <w:rPr>
          <w:rFonts w:ascii="Times New Roman" w:hAnsi="Times New Roman" w:eastAsia="Times New Roman"/>
          <w:spacing w:val="-13"/>
          <w:sz w:val="24"/>
        </w:rPr>
        <w:t> </w:t>
      </w:r>
      <w:r>
        <w:rPr>
          <w:spacing w:val="1"/>
          <w:sz w:val="24"/>
        </w:rPr>
        <w:t>表。</w:t>
      </w:r>
    </w:p>
    <w:p>
      <w:pPr>
        <w:pStyle w:val="ListParagraph"/>
        <w:numPr>
          <w:ilvl w:val="1"/>
          <w:numId w:val="57"/>
        </w:numPr>
        <w:tabs>
          <w:tab w:pos="1071" w:val="left" w:leader="none"/>
        </w:tabs>
        <w:spacing w:line="276" w:lineRule="auto" w:before="59" w:after="0"/>
        <w:ind w:left="1071" w:right="367" w:hanging="426"/>
        <w:jc w:val="left"/>
        <w:rPr>
          <w:sz w:val="24"/>
        </w:rPr>
      </w:pPr>
      <w:r>
        <w:rPr>
          <w:spacing w:val="5"/>
          <w:sz w:val="24"/>
        </w:rPr>
        <w:t>研究该事件的病因，进行诊断检查，并与申办者研究医生讨论。这包括决定应使用哪种海氏法则实验室检测试剂盒。</w:t>
      </w:r>
    </w:p>
    <w:p>
      <w:pPr>
        <w:pStyle w:val="ListParagraph"/>
        <w:numPr>
          <w:ilvl w:val="1"/>
          <w:numId w:val="57"/>
        </w:numPr>
        <w:tabs>
          <w:tab w:pos="1071" w:val="left" w:leader="none"/>
        </w:tabs>
        <w:spacing w:line="240" w:lineRule="auto" w:before="58" w:after="0"/>
        <w:ind w:left="1071" w:right="0" w:hanging="425"/>
        <w:jc w:val="left"/>
        <w:rPr>
          <w:sz w:val="24"/>
        </w:rPr>
      </w:pPr>
      <w:r>
        <w:rPr>
          <w:spacing w:val="-6"/>
          <w:sz w:val="24"/>
        </w:rPr>
        <w:t>在获得信息后，填写 </w:t>
      </w:r>
      <w:r>
        <w:rPr>
          <w:rFonts w:ascii="Times New Roman" w:hAnsi="Times New Roman" w:eastAsia="Times New Roman"/>
          <w:sz w:val="24"/>
        </w:rPr>
        <w:t>3</w:t>
      </w:r>
      <w:r>
        <w:rPr>
          <w:rFonts w:ascii="Times New Roman" w:hAnsi="Times New Roman" w:eastAsia="Times New Roman"/>
          <w:spacing w:val="-14"/>
          <w:sz w:val="24"/>
        </w:rPr>
        <w:t> </w:t>
      </w:r>
      <w:r>
        <w:rPr>
          <w:spacing w:val="-15"/>
          <w:sz w:val="24"/>
        </w:rPr>
        <w:t>个肝脏 </w:t>
      </w:r>
      <w:r>
        <w:rPr>
          <w:rFonts w:ascii="Times New Roman" w:hAnsi="Times New Roman" w:eastAsia="Times New Roman"/>
          <w:sz w:val="24"/>
        </w:rPr>
        <w:t>CRF</w:t>
      </w:r>
      <w:r>
        <w:rPr>
          <w:rFonts w:ascii="Times New Roman" w:hAnsi="Times New Roman" w:eastAsia="Times New Roman"/>
          <w:spacing w:val="-12"/>
          <w:sz w:val="24"/>
        </w:rPr>
        <w:t> </w:t>
      </w:r>
      <w:r>
        <w:rPr>
          <w:spacing w:val="-5"/>
          <w:sz w:val="24"/>
        </w:rPr>
        <w:t>模块</w:t>
      </w:r>
    </w:p>
    <w:p>
      <w:pPr>
        <w:pStyle w:val="BodyText"/>
        <w:spacing w:before="190"/>
        <w:ind w:left="0"/>
      </w:pPr>
    </w:p>
    <w:p>
      <w:pPr>
        <w:tabs>
          <w:tab w:pos="1355" w:val="left" w:leader="none"/>
        </w:tabs>
        <w:spacing w:before="0"/>
        <w:ind w:left="221" w:right="0" w:firstLine="0"/>
        <w:jc w:val="left"/>
        <w:rPr>
          <w:b/>
          <w:sz w:val="28"/>
        </w:rPr>
      </w:pPr>
      <w:bookmarkStart w:name="D 5 潜在海氏法则病例的审查和评估" w:id="323"/>
      <w:bookmarkEnd w:id="323"/>
      <w:r>
        <w:rPr/>
      </w:r>
      <w:r>
        <w:rPr>
          <w:rFonts w:ascii="Times New Roman" w:eastAsia="Times New Roman"/>
          <w:b/>
          <w:sz w:val="26"/>
        </w:rPr>
        <w:t>D </w:t>
      </w:r>
      <w:r>
        <w:rPr>
          <w:rFonts w:ascii="Times New Roman" w:eastAsia="Times New Roman"/>
          <w:b/>
          <w:spacing w:val="-10"/>
          <w:sz w:val="26"/>
        </w:rPr>
        <w:t>5</w:t>
      </w:r>
      <w:r>
        <w:rPr>
          <w:rFonts w:ascii="Times New Roman" w:eastAsia="Times New Roman"/>
          <w:b/>
          <w:sz w:val="26"/>
        </w:rPr>
        <w:tab/>
      </w:r>
      <w:r>
        <w:rPr>
          <w:b/>
          <w:spacing w:val="-5"/>
          <w:sz w:val="28"/>
        </w:rPr>
        <w:t>潜在海氏法则病例的审查和评估</w:t>
      </w:r>
    </w:p>
    <w:p>
      <w:pPr>
        <w:pStyle w:val="BodyText"/>
        <w:spacing w:before="159"/>
        <w:ind w:left="701"/>
      </w:pPr>
      <w:r>
        <w:rPr>
          <w:spacing w:val="-1"/>
        </w:rPr>
        <w:t>符合潜在海氏法则标准的所有病例应遵循本节介绍的内容。</w:t>
      </w:r>
    </w:p>
    <w:p>
      <w:pPr>
        <w:pStyle w:val="BodyText"/>
        <w:spacing w:line="276" w:lineRule="auto" w:before="286"/>
        <w:ind w:right="354" w:firstLine="480"/>
        <w:jc w:val="both"/>
      </w:pPr>
      <w:r>
        <w:rPr>
          <w:spacing w:val="-2"/>
        </w:rPr>
        <w:t>在首次检出生化异常后，研究医生应尽快联系研究者，以便审查现有数据，并</w:t>
      </w:r>
      <w:r>
        <w:rPr>
          <w:spacing w:val="-7"/>
        </w:rPr>
        <w:t>就除 </w:t>
      </w:r>
      <w:r>
        <w:rPr>
          <w:rFonts w:ascii="Times New Roman" w:eastAsia="Times New Roman"/>
        </w:rPr>
        <w:t>IP</w:t>
      </w:r>
      <w:r>
        <w:rPr>
          <w:rFonts w:ascii="Times New Roman" w:eastAsia="Times New Roman"/>
          <w:spacing w:val="20"/>
        </w:rPr>
        <w:t> </w:t>
      </w:r>
      <w:r>
        <w:rPr>
          <w:spacing w:val="-5"/>
        </w:rPr>
        <w:t>引起的 </w:t>
      </w:r>
      <w:r>
        <w:rPr>
          <w:rFonts w:ascii="Times New Roman" w:eastAsia="Times New Roman"/>
        </w:rPr>
        <w:t>DILI </w:t>
      </w:r>
      <w:r>
        <w:rPr/>
        <w:t>外，是否存在符合潜在海氏法则标准的替代解释而达成一致，</w:t>
      </w:r>
      <w:r>
        <w:rPr>
          <w:spacing w:val="-2"/>
        </w:rPr>
        <w:t>以确保及时进行分析，并在符合 </w:t>
      </w:r>
      <w:r>
        <w:rPr>
          <w:rFonts w:ascii="Times New Roman" w:eastAsia="Times New Roman"/>
        </w:rPr>
        <w:t>PHL </w:t>
      </w:r>
      <w:r>
        <w:rPr>
          <w:spacing w:val="-4"/>
        </w:rPr>
        <w:t>标准当日起 </w:t>
      </w:r>
      <w:r>
        <w:rPr>
          <w:rFonts w:ascii="Times New Roman" w:eastAsia="Times New Roman"/>
        </w:rPr>
        <w:t>15</w:t>
      </w:r>
      <w:r>
        <w:rPr>
          <w:rFonts w:ascii="Times New Roman" w:eastAsia="Times New Roman"/>
          <w:spacing w:val="20"/>
        </w:rPr>
        <w:t> </w:t>
      </w:r>
      <w:r>
        <w:rPr/>
        <w:t>个日历日内向卫生管理部门报</w:t>
      </w:r>
      <w:r>
        <w:rPr>
          <w:spacing w:val="-2"/>
        </w:rPr>
        <w:t>告。申办者全球临床研究负责人（或同等职级人员）和全球安全医生也将与其他合适的相关专家一同参与此次审查。</w:t>
      </w:r>
    </w:p>
    <w:p>
      <w:pPr>
        <w:pStyle w:val="BodyText"/>
        <w:spacing w:before="235"/>
        <w:ind w:left="701"/>
      </w:pPr>
      <w:r>
        <w:rPr>
          <w:spacing w:val="-1"/>
        </w:rPr>
        <w:t>根据审查和评估结果，研究者将遵循以下操作指南。</w:t>
      </w:r>
    </w:p>
    <w:p>
      <w:pPr>
        <w:pStyle w:val="BodyText"/>
        <w:spacing w:line="276" w:lineRule="auto" w:before="287"/>
        <w:ind w:right="357" w:firstLine="482"/>
        <w:jc w:val="both"/>
      </w:pPr>
      <w:r>
        <w:rPr>
          <w:b/>
        </w:rPr>
        <w:t>如果</w:t>
      </w:r>
      <w:r>
        <w:rPr>
          <w:spacing w:val="-15"/>
        </w:rPr>
        <w:t>对 </w:t>
      </w:r>
      <w:r>
        <w:rPr>
          <w:rFonts w:ascii="Times New Roman" w:eastAsia="Times New Roman"/>
        </w:rPr>
        <w:t>ALT</w:t>
      </w:r>
      <w:r>
        <w:rPr>
          <w:rFonts w:ascii="Times New Roman" w:eastAsia="Times New Roman"/>
          <w:spacing w:val="-15"/>
        </w:rPr>
        <w:t> </w:t>
      </w:r>
      <w:r>
        <w:rPr>
          <w:spacing w:val="-15"/>
        </w:rPr>
        <w:t>或 </w:t>
      </w:r>
      <w:r>
        <w:rPr>
          <w:rFonts w:ascii="Times New Roman" w:eastAsia="Times New Roman"/>
        </w:rPr>
        <w:t>AST</w:t>
      </w:r>
      <w:r>
        <w:rPr>
          <w:rFonts w:ascii="Times New Roman" w:eastAsia="Times New Roman"/>
          <w:spacing w:val="-15"/>
        </w:rPr>
        <w:t> </w:t>
      </w:r>
      <w:r>
        <w:rPr>
          <w:spacing w:val="-15"/>
        </w:rPr>
        <w:t>和 </w:t>
      </w:r>
      <w:r>
        <w:rPr>
          <w:rFonts w:ascii="Times New Roman" w:eastAsia="Times New Roman"/>
        </w:rPr>
        <w:t>TBL</w:t>
      </w:r>
      <w:r>
        <w:rPr>
          <w:rFonts w:ascii="Times New Roman" w:eastAsia="Times New Roman"/>
          <w:spacing w:val="-15"/>
        </w:rPr>
        <w:t> </w:t>
      </w:r>
      <w:r>
        <w:rPr/>
        <w:t>升高</w:t>
      </w:r>
      <w:r>
        <w:rPr>
          <w:b/>
        </w:rPr>
        <w:t>另有公认的其他解释</w:t>
      </w:r>
      <w:r>
        <w:rPr/>
        <w:t>，则需要先确定可替代解</w:t>
      </w:r>
      <w:r>
        <w:rPr>
          <w:spacing w:val="-6"/>
        </w:rPr>
        <w:t>释是否为 </w:t>
      </w:r>
      <w:r>
        <w:rPr>
          <w:rFonts w:ascii="Times New Roman" w:eastAsia="Times New Roman"/>
        </w:rPr>
        <w:t>AE</w:t>
      </w:r>
      <w:r>
        <w:rPr>
          <w:spacing w:val="-3"/>
        </w:rPr>
        <w:t>，如是，之后确定该 </w:t>
      </w:r>
      <w:r>
        <w:rPr>
          <w:rFonts w:ascii="Times New Roman" w:eastAsia="Times New Roman"/>
        </w:rPr>
        <w:t>AE </w:t>
      </w:r>
      <w:r>
        <w:rPr>
          <w:spacing w:val="-6"/>
        </w:rPr>
        <w:t>是否符合 </w:t>
      </w:r>
      <w:r>
        <w:rPr>
          <w:rFonts w:ascii="Times New Roman" w:eastAsia="Times New Roman"/>
        </w:rPr>
        <w:t>SAE </w:t>
      </w:r>
      <w:r>
        <w:rPr/>
        <w:t>标准：</w:t>
      </w:r>
    </w:p>
    <w:p>
      <w:pPr>
        <w:pStyle w:val="ListParagraph"/>
        <w:numPr>
          <w:ilvl w:val="0"/>
          <w:numId w:val="57"/>
        </w:numPr>
        <w:tabs>
          <w:tab w:pos="645" w:val="left" w:leader="none"/>
        </w:tabs>
        <w:spacing w:line="240" w:lineRule="auto" w:before="238" w:after="0"/>
        <w:ind w:left="645" w:right="0" w:hanging="424"/>
        <w:jc w:val="both"/>
        <w:rPr>
          <w:sz w:val="24"/>
        </w:rPr>
      </w:pPr>
      <w:r>
        <w:rPr>
          <w:spacing w:val="-2"/>
          <w:sz w:val="24"/>
        </w:rPr>
        <w:t>如果替代解释</w:t>
      </w:r>
      <w:r>
        <w:rPr>
          <w:b/>
          <w:spacing w:val="-16"/>
          <w:sz w:val="24"/>
        </w:rPr>
        <w:t>不是 </w:t>
      </w:r>
      <w:r>
        <w:rPr>
          <w:rFonts w:ascii="Times New Roman" w:hAnsi="Times New Roman" w:eastAsia="Times New Roman"/>
          <w:spacing w:val="-2"/>
          <w:sz w:val="24"/>
        </w:rPr>
        <w:t>AE</w:t>
      </w:r>
      <w:r>
        <w:rPr>
          <w:spacing w:val="-5"/>
          <w:sz w:val="24"/>
        </w:rPr>
        <w:t>，则将替代解释记录在相应的 </w:t>
      </w:r>
      <w:r>
        <w:rPr>
          <w:rFonts w:ascii="Times New Roman" w:hAnsi="Times New Roman" w:eastAsia="Times New Roman"/>
          <w:spacing w:val="-2"/>
          <w:sz w:val="24"/>
        </w:rPr>
        <w:t>eCRF</w:t>
      </w:r>
      <w:r>
        <w:rPr>
          <w:rFonts w:ascii="Times New Roman" w:hAnsi="Times New Roman" w:eastAsia="Times New Roman"/>
          <w:spacing w:val="1"/>
          <w:sz w:val="24"/>
        </w:rPr>
        <w:t> </w:t>
      </w:r>
      <w:r>
        <w:rPr>
          <w:spacing w:val="-10"/>
          <w:sz w:val="24"/>
        </w:rPr>
        <w:t>中</w:t>
      </w:r>
    </w:p>
    <w:p>
      <w:pPr>
        <w:pStyle w:val="ListParagraph"/>
        <w:numPr>
          <w:ilvl w:val="0"/>
          <w:numId w:val="57"/>
        </w:numPr>
        <w:tabs>
          <w:tab w:pos="646" w:val="left" w:leader="none"/>
        </w:tabs>
        <w:spacing w:line="240" w:lineRule="auto" w:before="59" w:after="0"/>
        <w:ind w:left="646" w:right="357" w:hanging="425"/>
        <w:jc w:val="both"/>
        <w:rPr>
          <w:sz w:val="24"/>
        </w:rPr>
      </w:pPr>
      <w:r>
        <w:rPr>
          <w:spacing w:val="-5"/>
          <w:sz w:val="24"/>
        </w:rPr>
        <w:t>如果替代解释为 </w:t>
      </w:r>
      <w:r>
        <w:rPr>
          <w:rFonts w:ascii="Times New Roman" w:hAnsi="Times New Roman" w:eastAsia="Times New Roman"/>
          <w:spacing w:val="-2"/>
          <w:sz w:val="24"/>
        </w:rPr>
        <w:t>AE/SAE</w:t>
      </w:r>
      <w:r>
        <w:rPr>
          <w:spacing w:val="-2"/>
          <w:sz w:val="24"/>
        </w:rPr>
        <w:t>，则根据申办者标准流程，按照新信息（重新评估的事</w:t>
      </w:r>
      <w:r>
        <w:rPr>
          <w:spacing w:val="-4"/>
          <w:sz w:val="24"/>
        </w:rPr>
        <w:t>件术语；因果关系和严重性标准）</w:t>
      </w:r>
      <w:r>
        <w:rPr>
          <w:spacing w:val="-6"/>
          <w:sz w:val="24"/>
        </w:rPr>
        <w:t>相应更新既往递交的潜在海氏法则 </w:t>
      </w:r>
      <w:r>
        <w:rPr>
          <w:rFonts w:ascii="Times New Roman" w:hAnsi="Times New Roman" w:eastAsia="Times New Roman"/>
          <w:spacing w:val="-4"/>
          <w:sz w:val="24"/>
        </w:rPr>
        <w:t>SAE</w:t>
      </w:r>
      <w:r>
        <w:rPr>
          <w:rFonts w:ascii="Times New Roman" w:hAnsi="Times New Roman" w:eastAsia="Times New Roman"/>
          <w:spacing w:val="-11"/>
          <w:sz w:val="24"/>
        </w:rPr>
        <w:t> </w:t>
      </w:r>
      <w:r>
        <w:rPr>
          <w:spacing w:val="-15"/>
          <w:sz w:val="24"/>
        </w:rPr>
        <w:t>和 </w:t>
      </w:r>
      <w:r>
        <w:rPr>
          <w:rFonts w:ascii="Times New Roman" w:hAnsi="Times New Roman" w:eastAsia="Times New Roman"/>
          <w:spacing w:val="-4"/>
          <w:sz w:val="24"/>
        </w:rPr>
        <w:t>A</w:t>
      </w:r>
      <w:r>
        <w:rPr>
          <w:rFonts w:ascii="Times New Roman" w:hAnsi="Times New Roman" w:eastAsia="Times New Roman"/>
          <w:spacing w:val="-4"/>
          <w:sz w:val="24"/>
        </w:rPr>
        <w:t>E </w:t>
      </w:r>
      <w:r>
        <w:rPr>
          <w:rFonts w:ascii="Times New Roman" w:hAnsi="Times New Roman" w:eastAsia="Times New Roman"/>
          <w:spacing w:val="-2"/>
          <w:sz w:val="24"/>
        </w:rPr>
        <w:t>eCRF</w:t>
      </w:r>
      <w:r>
        <w:rPr>
          <w:spacing w:val="-2"/>
          <w:sz w:val="24"/>
        </w:rPr>
        <w:t>。</w:t>
      </w:r>
    </w:p>
    <w:p>
      <w:pPr>
        <w:pStyle w:val="BodyText"/>
        <w:spacing w:before="22"/>
        <w:ind w:left="0"/>
      </w:pPr>
    </w:p>
    <w:p>
      <w:pPr>
        <w:pStyle w:val="BodyText"/>
        <w:ind w:left="701"/>
      </w:pPr>
      <w:r>
        <w:rPr>
          <w:spacing w:val="-7"/>
        </w:rPr>
        <w:t>如果一致认为除了 </w:t>
      </w:r>
      <w:r>
        <w:rPr>
          <w:rFonts w:ascii="Times New Roman" w:eastAsia="Times New Roman"/>
        </w:rPr>
        <w:t>IP</w:t>
      </w:r>
      <w:r>
        <w:rPr>
          <w:rFonts w:ascii="Times New Roman" w:eastAsia="Times New Roman"/>
          <w:spacing w:val="-15"/>
        </w:rPr>
        <w:t> </w:t>
      </w:r>
      <w:r>
        <w:rPr/>
        <w:t>之外，</w:t>
      </w:r>
      <w:r>
        <w:rPr>
          <w:b/>
        </w:rPr>
        <w:t>没有</w:t>
      </w:r>
      <w:r>
        <w:rPr>
          <w:spacing w:val="-7"/>
        </w:rPr>
        <w:t>其他原因可以解释 </w:t>
      </w:r>
      <w:r>
        <w:rPr>
          <w:rFonts w:ascii="Times New Roman" w:eastAsia="Times New Roman"/>
        </w:rPr>
        <w:t>ALT</w:t>
      </w:r>
      <w:r>
        <w:rPr>
          <w:rFonts w:ascii="Times New Roman" w:eastAsia="Times New Roman"/>
          <w:spacing w:val="-14"/>
        </w:rPr>
        <w:t> </w:t>
      </w:r>
      <w:r>
        <w:rPr>
          <w:spacing w:val="-30"/>
        </w:rPr>
        <w:t>或 </w:t>
      </w:r>
      <w:r>
        <w:rPr>
          <w:rFonts w:ascii="Times New Roman" w:eastAsia="Times New Roman"/>
        </w:rPr>
        <w:t>AST</w:t>
      </w:r>
      <w:r>
        <w:rPr>
          <w:rFonts w:ascii="Times New Roman" w:eastAsia="Times New Roman"/>
          <w:spacing w:val="-12"/>
        </w:rPr>
        <w:t> </w:t>
      </w:r>
      <w:r>
        <w:rPr>
          <w:spacing w:val="-30"/>
        </w:rPr>
        <w:t>和 </w:t>
      </w:r>
      <w:r>
        <w:rPr>
          <w:rFonts w:ascii="Times New Roman" w:eastAsia="Times New Roman"/>
        </w:rPr>
        <w:t>TBL</w:t>
      </w:r>
      <w:r>
        <w:rPr>
          <w:rFonts w:ascii="Times New Roman" w:eastAsia="Times New Roman"/>
          <w:spacing w:val="-13"/>
        </w:rPr>
        <w:t> </w:t>
      </w:r>
      <w:r>
        <w:rPr>
          <w:spacing w:val="-4"/>
        </w:rPr>
        <w:t>升高：</w:t>
      </w:r>
    </w:p>
    <w:p>
      <w:pPr>
        <w:pStyle w:val="BodyText"/>
        <w:ind w:left="0"/>
        <w:rPr>
          <w:sz w:val="20"/>
        </w:rPr>
      </w:pPr>
    </w:p>
    <w:p>
      <w:pPr>
        <w:pStyle w:val="BodyText"/>
        <w:spacing w:before="120"/>
        <w:ind w:left="0"/>
        <w:rPr>
          <w:sz w:val="20"/>
        </w:rPr>
      </w:pPr>
      <w:r>
        <w:rPr/>
        <mc:AlternateContent>
          <mc:Choice Requires="wps">
            <w:drawing>
              <wp:anchor distT="0" distB="0" distL="0" distR="0" allowOverlap="1" layoutInCell="1" locked="0" behindDoc="1" simplePos="0" relativeHeight="487593984">
                <wp:simplePos x="0" y="0"/>
                <wp:positionH relativeFrom="page">
                  <wp:posOffset>1080516</wp:posOffset>
                </wp:positionH>
                <wp:positionV relativeFrom="paragraph">
                  <wp:posOffset>256850</wp:posOffset>
                </wp:positionV>
                <wp:extent cx="1829435" cy="762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0.224474pt;width:144.020pt;height:.599980pt;mso-position-horizontal-relative:page;mso-position-vertical-relative:paragraph;z-index:-15722496;mso-wrap-distance-left:0;mso-wrap-distance-right:0" id="docshape105" filled="true" fillcolor="#000000" stroked="false">
                <v:fill type="solid"/>
                <w10:wrap type="topAndBottom"/>
              </v:rect>
            </w:pict>
          </mc:Fallback>
        </mc:AlternateContent>
      </w:r>
    </w:p>
    <w:p>
      <w:pPr>
        <w:spacing w:line="276" w:lineRule="auto" w:before="99"/>
        <w:ind w:left="641" w:right="472" w:hanging="420"/>
        <w:jc w:val="both"/>
        <w:rPr>
          <w:sz w:val="21"/>
        </w:rPr>
      </w:pPr>
      <w:bookmarkStart w:name="_bookmark157" w:id="324"/>
      <w:bookmarkEnd w:id="324"/>
      <w:r>
        <w:rPr/>
      </w:r>
      <w:r>
        <w:rPr>
          <w:rFonts w:ascii="Times New Roman" w:hAnsi="Times New Roman" w:eastAsia="Times New Roman"/>
          <w:sz w:val="21"/>
          <w:vertAlign w:val="superscript"/>
        </w:rPr>
        <w:t>a</w:t>
      </w:r>
      <w:r>
        <w:rPr>
          <w:rFonts w:ascii="Times New Roman" w:hAnsi="Times New Roman" w:eastAsia="Times New Roman"/>
          <w:spacing w:val="80"/>
          <w:sz w:val="21"/>
          <w:vertAlign w:val="baseline"/>
        </w:rPr>
        <w:t>  </w:t>
      </w:r>
      <w:r>
        <w:rPr>
          <w:sz w:val="21"/>
          <w:vertAlign w:val="baseline"/>
        </w:rPr>
        <w:t>受试者病情的</w:t>
      </w:r>
      <w:r>
        <w:rPr>
          <w:b/>
          <w:sz w:val="21"/>
          <w:vertAlign w:val="baseline"/>
        </w:rPr>
        <w:t>“显著”变化</w:t>
      </w:r>
      <w:r>
        <w:rPr>
          <w:sz w:val="21"/>
          <w:vertAlign w:val="baseline"/>
        </w:rPr>
        <w:t>是指受试者的任何肝生化指标参数（</w:t>
      </w:r>
      <w:r>
        <w:rPr>
          <w:rFonts w:ascii="Times New Roman" w:hAnsi="Times New Roman" w:eastAsia="Times New Roman"/>
          <w:sz w:val="21"/>
          <w:vertAlign w:val="baseline"/>
        </w:rPr>
        <w:t>ALT</w:t>
      </w:r>
      <w:r>
        <w:rPr>
          <w:sz w:val="21"/>
          <w:vertAlign w:val="baseline"/>
        </w:rPr>
        <w:t>、</w:t>
      </w:r>
      <w:r>
        <w:rPr>
          <w:rFonts w:ascii="Times New Roman" w:hAnsi="Times New Roman" w:eastAsia="Times New Roman"/>
          <w:sz w:val="21"/>
          <w:vertAlign w:val="baseline"/>
        </w:rPr>
        <w:t>AST</w:t>
      </w:r>
      <w:r>
        <w:rPr>
          <w:rFonts w:ascii="Times New Roman" w:hAnsi="Times New Roman" w:eastAsia="Times New Roman"/>
          <w:spacing w:val="-14"/>
          <w:sz w:val="21"/>
          <w:vertAlign w:val="baseline"/>
        </w:rPr>
        <w:t> </w:t>
      </w:r>
      <w:r>
        <w:rPr>
          <w:spacing w:val="-13"/>
          <w:sz w:val="21"/>
          <w:vertAlign w:val="baseline"/>
        </w:rPr>
        <w:t>或 </w:t>
      </w:r>
      <w:r>
        <w:rPr>
          <w:rFonts w:ascii="Times New Roman" w:hAnsi="Times New Roman" w:eastAsia="Times New Roman"/>
          <w:sz w:val="21"/>
          <w:vertAlign w:val="baseline"/>
        </w:rPr>
        <w:t>TBL</w:t>
      </w:r>
      <w:r>
        <w:rPr>
          <w:sz w:val="21"/>
          <w:vertAlign w:val="baseline"/>
        </w:rPr>
        <w:t>）单项</w:t>
      </w:r>
      <w:r>
        <w:rPr>
          <w:spacing w:val="-2"/>
          <w:sz w:val="21"/>
          <w:vertAlign w:val="baseline"/>
        </w:rPr>
        <w:t>或多项形式发生具有临床意义的变化，或临床症状发生具有临床意义变化。由研究者自行</w:t>
      </w:r>
      <w:r>
        <w:rPr>
          <w:spacing w:val="-1"/>
          <w:sz w:val="21"/>
          <w:vertAlign w:val="baseline"/>
        </w:rPr>
        <w:t>决定受试者病情是否存在显著变化；当出现任何不确定因素时，可咨询申办者研究医师。</w:t>
      </w:r>
    </w:p>
    <w:p>
      <w:pPr>
        <w:spacing w:after="0" w:line="276" w:lineRule="auto"/>
        <w:jc w:val="both"/>
        <w:rPr>
          <w:sz w:val="21"/>
        </w:rPr>
        <w:sectPr>
          <w:pgSz w:w="11910" w:h="16840"/>
          <w:pgMar w:header="590" w:footer="784" w:top="1340" w:bottom="980" w:left="1480" w:right="1080"/>
        </w:sectPr>
      </w:pPr>
    </w:p>
    <w:p>
      <w:pPr>
        <w:pStyle w:val="ListParagraph"/>
        <w:numPr>
          <w:ilvl w:val="0"/>
          <w:numId w:val="57"/>
        </w:numPr>
        <w:tabs>
          <w:tab w:pos="646" w:val="left" w:leader="none"/>
        </w:tabs>
        <w:spacing w:line="240" w:lineRule="auto" w:before="88" w:after="0"/>
        <w:ind w:left="646" w:right="0" w:hanging="425"/>
        <w:jc w:val="left"/>
        <w:rPr>
          <w:sz w:val="24"/>
        </w:rPr>
      </w:pPr>
      <w:r>
        <w:rPr>
          <w:spacing w:val="-2"/>
          <w:sz w:val="24"/>
        </w:rPr>
        <w:t>根据申办者标准操作规程发送更新版 </w:t>
      </w:r>
      <w:r>
        <w:rPr>
          <w:rFonts w:ascii="Times New Roman" w:hAnsi="Times New Roman" w:eastAsia="Times New Roman"/>
          <w:spacing w:val="-2"/>
          <w:sz w:val="24"/>
        </w:rPr>
        <w:t>SAE</w:t>
      </w:r>
      <w:r>
        <w:rPr>
          <w:spacing w:val="-2"/>
          <w:sz w:val="24"/>
        </w:rPr>
        <w:t>（报告术语“海氏法则”）</w:t>
      </w:r>
      <w:r>
        <w:rPr>
          <w:spacing w:val="-10"/>
          <w:sz w:val="24"/>
        </w:rPr>
        <w:t>。</w:t>
      </w:r>
    </w:p>
    <w:p>
      <w:pPr>
        <w:pStyle w:val="ListParagraph"/>
        <w:numPr>
          <w:ilvl w:val="1"/>
          <w:numId w:val="57"/>
        </w:numPr>
        <w:tabs>
          <w:tab w:pos="1071" w:val="left" w:leader="none"/>
        </w:tabs>
        <w:spacing w:line="240" w:lineRule="auto" w:before="58" w:after="0"/>
        <w:ind w:left="1071" w:right="0" w:hanging="425"/>
        <w:jc w:val="left"/>
        <w:rPr>
          <w:sz w:val="24"/>
        </w:rPr>
      </w:pPr>
      <w:r>
        <w:rPr>
          <w:spacing w:val="-1"/>
          <w:sz w:val="24"/>
        </w:rPr>
        <w:t>若无其他可适用的严重事件标准，则使用“重要医学事件”严重性标准</w:t>
      </w:r>
    </w:p>
    <w:p>
      <w:pPr>
        <w:pStyle w:val="ListParagraph"/>
        <w:numPr>
          <w:ilvl w:val="1"/>
          <w:numId w:val="57"/>
        </w:numPr>
        <w:tabs>
          <w:tab w:pos="1071" w:val="left" w:leader="none"/>
        </w:tabs>
        <w:spacing w:line="240" w:lineRule="auto" w:before="107" w:after="0"/>
        <w:ind w:left="1071" w:right="0" w:hanging="425"/>
        <w:jc w:val="left"/>
        <w:rPr>
          <w:sz w:val="24"/>
        </w:rPr>
      </w:pPr>
      <w:r>
        <w:rPr>
          <w:spacing w:val="-1"/>
          <w:sz w:val="24"/>
        </w:rPr>
        <w:t>由于无任何关于海氏法则病例的替代解释，因果关系应评价为“相关”。</w:t>
      </w:r>
    </w:p>
    <w:p>
      <w:pPr>
        <w:pStyle w:val="BodyText"/>
        <w:spacing w:before="70"/>
        <w:ind w:left="0"/>
      </w:pPr>
    </w:p>
    <w:p>
      <w:pPr>
        <w:pStyle w:val="BodyText"/>
        <w:spacing w:line="276" w:lineRule="auto"/>
        <w:ind w:right="355" w:firstLine="480"/>
        <w:jc w:val="both"/>
      </w:pPr>
      <w:r>
        <w:rPr>
          <w:spacing w:val="-4"/>
        </w:rPr>
        <w:t>如果因不可抗力导致获得必要信息延迟超过 </w:t>
      </w:r>
      <w:r>
        <w:rPr>
          <w:rFonts w:ascii="Times New Roman" w:eastAsia="Times New Roman"/>
          <w:spacing w:val="-2"/>
        </w:rPr>
        <w:t>15</w:t>
      </w:r>
      <w:r>
        <w:rPr>
          <w:rFonts w:ascii="Times New Roman" w:eastAsia="Times New Roman"/>
          <w:spacing w:val="11"/>
        </w:rPr>
        <w:t> </w:t>
      </w:r>
      <w:r>
        <w:rPr>
          <w:spacing w:val="-2"/>
        </w:rPr>
        <w:t>个日历日，从而无法评估病例是</w:t>
      </w:r>
      <w:r>
        <w:rPr>
          <w:spacing w:val="-2"/>
        </w:rPr>
        <w:t>否符合海氏法则识别标准，则假定该事件无替代解释，直至可以做出肯定决策时进</w:t>
      </w:r>
      <w:r>
        <w:rPr>
          <w:spacing w:val="-4"/>
        </w:rPr>
        <w:t>行评估：</w:t>
      </w:r>
    </w:p>
    <w:p>
      <w:pPr>
        <w:pStyle w:val="BodyText"/>
        <w:spacing w:before="238"/>
        <w:ind w:left="701"/>
      </w:pPr>
      <w:r>
        <w:rPr>
          <w:spacing w:val="-16"/>
        </w:rPr>
        <w:t>为报告 </w:t>
      </w:r>
      <w:r>
        <w:rPr>
          <w:rFonts w:ascii="Times New Roman" w:eastAsia="Times New Roman"/>
          <w:spacing w:val="-2"/>
        </w:rPr>
        <w:t>SAE</w:t>
      </w:r>
      <w:r>
        <w:rPr>
          <w:spacing w:val="-16"/>
        </w:rPr>
        <w:t>，按照 </w:t>
      </w:r>
      <w:r>
        <w:rPr>
          <w:rFonts w:ascii="Times New Roman" w:eastAsia="Times New Roman"/>
          <w:spacing w:val="-2"/>
        </w:rPr>
        <w:t>CSP</w:t>
      </w:r>
      <w:r>
        <w:rPr>
          <w:rFonts w:ascii="Times New Roman" w:eastAsia="Times New Roman"/>
          <w:spacing w:val="-8"/>
        </w:rPr>
        <w:t> </w:t>
      </w:r>
      <w:r>
        <w:rPr>
          <w:spacing w:val="-6"/>
        </w:rPr>
        <w:t>流程提供既往递交的潜在海氏法则 </w:t>
      </w:r>
      <w:r>
        <w:rPr>
          <w:rFonts w:ascii="Times New Roman" w:eastAsia="Times New Roman"/>
          <w:spacing w:val="-2"/>
        </w:rPr>
        <w:t>SAE</w:t>
      </w:r>
      <w:r>
        <w:rPr>
          <w:rFonts w:ascii="Times New Roman" w:eastAsia="Times New Roman"/>
          <w:spacing w:val="-8"/>
        </w:rPr>
        <w:t> </w:t>
      </w:r>
      <w:r>
        <w:rPr>
          <w:spacing w:val="-4"/>
        </w:rPr>
        <w:t>的更多更新内容</w:t>
      </w:r>
    </w:p>
    <w:p>
      <w:pPr>
        <w:pStyle w:val="BodyText"/>
        <w:spacing w:line="276" w:lineRule="auto" w:before="45"/>
        <w:ind w:right="359" w:hanging="120"/>
      </w:pPr>
      <w:r>
        <w:rPr/>
        <w:t>（报告术语现为“海氏法则病例”），以确保因果关系评估为与 </w:t>
      </w:r>
      <w:r>
        <w:rPr>
          <w:rFonts w:ascii="Times New Roman" w:hAnsi="Times New Roman" w:eastAsia="Times New Roman"/>
        </w:rPr>
        <w:t>IP</w:t>
      </w:r>
      <w:r>
        <w:rPr>
          <w:rFonts w:ascii="Times New Roman" w:hAnsi="Times New Roman" w:eastAsia="Times New Roman"/>
          <w:spacing w:val="40"/>
        </w:rPr>
        <w:t> </w:t>
      </w:r>
      <w:r>
        <w:rPr/>
        <w:t>相关并且严重性</w:t>
      </w:r>
      <w:r>
        <w:rPr>
          <w:spacing w:val="-2"/>
        </w:rPr>
        <w:t>标准为重要医学事件。</w:t>
      </w:r>
    </w:p>
    <w:p>
      <w:pPr>
        <w:pStyle w:val="BodyText"/>
        <w:spacing w:line="276" w:lineRule="auto" w:before="239"/>
        <w:ind w:right="353" w:firstLine="480"/>
        <w:jc w:val="both"/>
      </w:pPr>
      <w:r>
        <w:rPr>
          <w:spacing w:val="-2"/>
        </w:rPr>
        <w:t>继续进行随访，并按照商定的计划进行审查。一旦获得必要补充信息后，立即重复进行审查和评估，以确定病例是否仍符合海氏法则标准。根据审查结果并遵照 </w:t>
      </w:r>
      <w:r>
        <w:rPr>
          <w:rFonts w:ascii="Times New Roman" w:eastAsia="Times New Roman"/>
        </w:rPr>
        <w:t>CSP</w:t>
      </w:r>
      <w:r>
        <w:rPr>
          <w:rFonts w:ascii="Times New Roman" w:eastAsia="Times New Roman"/>
          <w:spacing w:val="-15"/>
        </w:rPr>
        <w:t> </w:t>
      </w:r>
      <w:r>
        <w:rPr>
          <w:rFonts w:ascii="Times New Roman" w:eastAsia="Times New Roman"/>
        </w:rPr>
        <w:t>SAE</w:t>
      </w:r>
      <w:r>
        <w:rPr>
          <w:rFonts w:ascii="Times New Roman" w:eastAsia="Times New Roman"/>
          <w:spacing w:val="-15"/>
        </w:rPr>
        <w:t> </w:t>
      </w:r>
      <w:r>
        <w:rPr>
          <w:spacing w:val="-2"/>
        </w:rPr>
        <w:t>报告流程更新既往递交的潜在海氏法则 </w:t>
      </w:r>
      <w:r>
        <w:rPr>
          <w:rFonts w:ascii="Times New Roman" w:eastAsia="Times New Roman"/>
        </w:rPr>
        <w:t>SAE</w:t>
      </w:r>
      <w:r>
        <w:rPr>
          <w:rFonts w:ascii="Times New Roman" w:eastAsia="Times New Roman"/>
          <w:spacing w:val="-15"/>
        </w:rPr>
        <w:t> </w:t>
      </w:r>
      <w:r>
        <w:rPr/>
        <w:t>报告，如果确定肝生化指标升</w:t>
      </w:r>
      <w:r>
        <w:rPr>
          <w:spacing w:val="-2"/>
        </w:rPr>
        <w:t>高存在替代解释，则修改报告术语。</w:t>
      </w:r>
    </w:p>
    <w:p>
      <w:pPr>
        <w:tabs>
          <w:tab w:pos="1359" w:val="left" w:leader="none"/>
        </w:tabs>
        <w:spacing w:before="237"/>
        <w:ind w:left="221" w:right="0" w:firstLine="0"/>
        <w:jc w:val="left"/>
        <w:rPr>
          <w:b/>
          <w:sz w:val="28"/>
        </w:rPr>
      </w:pPr>
      <w:bookmarkStart w:name="D 6 实验室检查" w:id="325"/>
      <w:bookmarkEnd w:id="325"/>
      <w:r>
        <w:rPr/>
      </w:r>
      <w:bookmarkStart w:name="_bookmark158" w:id="326"/>
      <w:bookmarkEnd w:id="326"/>
      <w:r>
        <w:rPr/>
      </w:r>
      <w:r>
        <w:rPr>
          <w:rFonts w:ascii="Times New Roman" w:eastAsia="Times New Roman"/>
          <w:b/>
          <w:sz w:val="26"/>
        </w:rPr>
        <w:t>D </w:t>
      </w:r>
      <w:r>
        <w:rPr>
          <w:rFonts w:ascii="Times New Roman" w:eastAsia="Times New Roman"/>
          <w:b/>
          <w:spacing w:val="-10"/>
          <w:sz w:val="26"/>
        </w:rPr>
        <w:t>6</w:t>
      </w:r>
      <w:r>
        <w:rPr>
          <w:rFonts w:ascii="Times New Roman" w:eastAsia="Times New Roman"/>
          <w:b/>
          <w:sz w:val="26"/>
        </w:rPr>
        <w:tab/>
      </w:r>
      <w:r>
        <w:rPr>
          <w:b/>
          <w:spacing w:val="-6"/>
          <w:sz w:val="28"/>
        </w:rPr>
        <w:t>实验室检查</w:t>
      </w:r>
    </w:p>
    <w:p>
      <w:pPr>
        <w:pStyle w:val="Heading3"/>
        <w:spacing w:before="118"/>
      </w:pPr>
      <w:r>
        <w:rPr>
          <w:spacing w:val="-5"/>
        </w:rPr>
        <w:t>中心实验室海氏法则实验室试剂盒</w:t>
      </w:r>
    </w:p>
    <w:p>
      <w:pPr>
        <w:pStyle w:val="BodyText"/>
        <w:spacing w:before="3"/>
        <w:ind w:left="0"/>
        <w:rPr>
          <w:b/>
          <w:sz w:val="9"/>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116"/>
        <w:gridCol w:w="5646"/>
      </w:tblGrid>
      <w:tr>
        <w:trPr>
          <w:trHeight w:val="343" w:hRule="atLeast"/>
        </w:trPr>
        <w:tc>
          <w:tcPr>
            <w:tcW w:w="3116" w:type="dxa"/>
            <w:vMerge w:val="restart"/>
          </w:tcPr>
          <w:p>
            <w:pPr>
              <w:pStyle w:val="TableParagraph"/>
              <w:spacing w:before="38"/>
              <w:ind w:left="106"/>
              <w:rPr>
                <w:sz w:val="21"/>
              </w:rPr>
            </w:pPr>
            <w:r>
              <w:rPr>
                <w:spacing w:val="-1"/>
                <w:sz w:val="21"/>
              </w:rPr>
              <w:t>其他标准生化和凝血检查</w:t>
            </w:r>
          </w:p>
        </w:tc>
        <w:tc>
          <w:tcPr>
            <w:tcW w:w="5646" w:type="dxa"/>
            <w:tcBorders>
              <w:bottom w:val="nil"/>
            </w:tcBorders>
          </w:tcPr>
          <w:p>
            <w:pPr>
              <w:pStyle w:val="TableParagraph"/>
              <w:spacing w:before="39"/>
              <w:ind w:left="106"/>
              <w:rPr>
                <w:rFonts w:ascii="Times New Roman"/>
                <w:sz w:val="21"/>
              </w:rPr>
            </w:pPr>
            <w:r>
              <w:rPr>
                <w:rFonts w:ascii="Times New Roman"/>
                <w:spacing w:val="-5"/>
                <w:sz w:val="21"/>
              </w:rPr>
              <w:t>GGT</w:t>
            </w:r>
          </w:p>
        </w:tc>
      </w:tr>
      <w:tr>
        <w:trPr>
          <w:trHeight w:val="369" w:hRule="atLeast"/>
        </w:trPr>
        <w:tc>
          <w:tcPr>
            <w:tcW w:w="3116" w:type="dxa"/>
            <w:vMerge/>
            <w:tcBorders>
              <w:top w:val="nil"/>
            </w:tcBorders>
          </w:tcPr>
          <w:p>
            <w:pPr>
              <w:rPr>
                <w:sz w:val="2"/>
                <w:szCs w:val="2"/>
              </w:rPr>
            </w:pPr>
          </w:p>
        </w:tc>
        <w:tc>
          <w:tcPr>
            <w:tcW w:w="5646" w:type="dxa"/>
            <w:tcBorders>
              <w:top w:val="nil"/>
              <w:bottom w:val="nil"/>
            </w:tcBorders>
          </w:tcPr>
          <w:p>
            <w:pPr>
              <w:pStyle w:val="TableParagraph"/>
              <w:spacing w:before="53"/>
              <w:ind w:left="106"/>
              <w:rPr>
                <w:rFonts w:ascii="Times New Roman"/>
                <w:sz w:val="21"/>
              </w:rPr>
            </w:pPr>
            <w:r>
              <w:rPr>
                <w:rFonts w:ascii="Times New Roman"/>
                <w:spacing w:val="-5"/>
                <w:sz w:val="21"/>
              </w:rPr>
              <w:t>LDH</w:t>
            </w:r>
          </w:p>
        </w:tc>
      </w:tr>
      <w:tr>
        <w:trPr>
          <w:trHeight w:val="364" w:hRule="atLeast"/>
        </w:trPr>
        <w:tc>
          <w:tcPr>
            <w:tcW w:w="3116" w:type="dxa"/>
            <w:vMerge/>
            <w:tcBorders>
              <w:top w:val="nil"/>
            </w:tcBorders>
          </w:tcPr>
          <w:p>
            <w:pPr>
              <w:rPr>
                <w:sz w:val="2"/>
                <w:szCs w:val="2"/>
              </w:rPr>
            </w:pPr>
          </w:p>
        </w:tc>
        <w:tc>
          <w:tcPr>
            <w:tcW w:w="5646" w:type="dxa"/>
            <w:tcBorders>
              <w:top w:val="nil"/>
              <w:bottom w:val="nil"/>
            </w:tcBorders>
          </w:tcPr>
          <w:p>
            <w:pPr>
              <w:pStyle w:val="TableParagraph"/>
              <w:spacing w:before="40"/>
              <w:ind w:left="106"/>
              <w:rPr>
                <w:sz w:val="21"/>
              </w:rPr>
            </w:pPr>
            <w:r>
              <w:rPr>
                <w:spacing w:val="-2"/>
                <w:sz w:val="21"/>
              </w:rPr>
              <w:t>凝血酶原时间</w:t>
            </w:r>
          </w:p>
        </w:tc>
      </w:tr>
      <w:tr>
        <w:trPr>
          <w:trHeight w:val="389" w:hRule="atLeast"/>
        </w:trPr>
        <w:tc>
          <w:tcPr>
            <w:tcW w:w="3116" w:type="dxa"/>
            <w:vMerge/>
            <w:tcBorders>
              <w:top w:val="nil"/>
            </w:tcBorders>
          </w:tcPr>
          <w:p>
            <w:pPr>
              <w:rPr>
                <w:sz w:val="2"/>
                <w:szCs w:val="2"/>
              </w:rPr>
            </w:pPr>
          </w:p>
        </w:tc>
        <w:tc>
          <w:tcPr>
            <w:tcW w:w="5646" w:type="dxa"/>
            <w:tcBorders>
              <w:top w:val="nil"/>
            </w:tcBorders>
          </w:tcPr>
          <w:p>
            <w:pPr>
              <w:pStyle w:val="TableParagraph"/>
              <w:spacing w:before="71"/>
              <w:ind w:left="106"/>
              <w:rPr>
                <w:rFonts w:ascii="Times New Roman"/>
                <w:sz w:val="21"/>
              </w:rPr>
            </w:pPr>
            <w:r>
              <w:rPr>
                <w:rFonts w:ascii="Times New Roman"/>
                <w:spacing w:val="-5"/>
                <w:sz w:val="21"/>
              </w:rPr>
              <w:t>INR</w:t>
            </w:r>
          </w:p>
        </w:tc>
      </w:tr>
      <w:tr>
        <w:trPr>
          <w:trHeight w:val="393" w:hRule="atLeast"/>
        </w:trPr>
        <w:tc>
          <w:tcPr>
            <w:tcW w:w="3116" w:type="dxa"/>
            <w:vMerge w:val="restart"/>
          </w:tcPr>
          <w:p>
            <w:pPr>
              <w:pStyle w:val="TableParagraph"/>
              <w:spacing w:before="38"/>
              <w:ind w:left="106"/>
              <w:rPr>
                <w:sz w:val="21"/>
              </w:rPr>
            </w:pPr>
            <w:r>
              <w:rPr>
                <w:spacing w:val="-2"/>
                <w:sz w:val="21"/>
              </w:rPr>
              <w:t>病毒性肝炎</w:t>
            </w:r>
          </w:p>
        </w:tc>
        <w:tc>
          <w:tcPr>
            <w:tcW w:w="5646" w:type="dxa"/>
            <w:tcBorders>
              <w:bottom w:val="single" w:sz="4" w:space="0" w:color="000000"/>
            </w:tcBorders>
          </w:tcPr>
          <w:p>
            <w:pPr>
              <w:pStyle w:val="TableParagraph"/>
              <w:spacing w:before="38"/>
              <w:ind w:left="106"/>
              <w:rPr>
                <w:rFonts w:ascii="Times New Roman" w:eastAsia="Times New Roman"/>
                <w:sz w:val="21"/>
              </w:rPr>
            </w:pPr>
            <w:r>
              <w:rPr>
                <w:rFonts w:ascii="Times New Roman" w:eastAsia="Times New Roman"/>
                <w:sz w:val="21"/>
              </w:rPr>
              <w:t>IgM</w:t>
            </w:r>
            <w:r>
              <w:rPr>
                <w:rFonts w:ascii="Times New Roman" w:eastAsia="Times New Roman"/>
                <w:spacing w:val="-12"/>
                <w:sz w:val="21"/>
              </w:rPr>
              <w:t> </w:t>
            </w:r>
            <w:r>
              <w:rPr>
                <w:spacing w:val="-27"/>
                <w:sz w:val="21"/>
              </w:rPr>
              <w:t>抗 </w:t>
            </w:r>
            <w:r>
              <w:rPr>
                <w:rFonts w:ascii="Times New Roman" w:eastAsia="Times New Roman"/>
                <w:spacing w:val="-5"/>
                <w:sz w:val="21"/>
              </w:rPr>
              <w:t>HAV</w:t>
            </w:r>
          </w:p>
        </w:tc>
      </w:tr>
      <w:tr>
        <w:trPr>
          <w:trHeight w:val="678" w:hRule="atLeast"/>
        </w:trPr>
        <w:tc>
          <w:tcPr>
            <w:tcW w:w="3116" w:type="dxa"/>
            <w:vMerge/>
            <w:tcBorders>
              <w:top w:val="nil"/>
            </w:tcBorders>
          </w:tcPr>
          <w:p>
            <w:pPr>
              <w:rPr>
                <w:sz w:val="2"/>
                <w:szCs w:val="2"/>
              </w:rPr>
            </w:pPr>
          </w:p>
        </w:tc>
        <w:tc>
          <w:tcPr>
            <w:tcW w:w="5646" w:type="dxa"/>
            <w:tcBorders>
              <w:top w:val="single" w:sz="4" w:space="0" w:color="000000"/>
              <w:bottom w:val="nil"/>
            </w:tcBorders>
          </w:tcPr>
          <w:p>
            <w:pPr>
              <w:pStyle w:val="TableParagraph"/>
              <w:spacing w:before="39"/>
              <w:ind w:left="106"/>
              <w:rPr>
                <w:rFonts w:ascii="Times New Roman"/>
                <w:sz w:val="21"/>
              </w:rPr>
            </w:pPr>
            <w:r>
              <w:rPr>
                <w:rFonts w:ascii="Times New Roman"/>
                <w:spacing w:val="-2"/>
                <w:sz w:val="21"/>
              </w:rPr>
              <w:t>HbsAg</w:t>
            </w:r>
          </w:p>
          <w:p>
            <w:pPr>
              <w:pStyle w:val="TableParagraph"/>
              <w:spacing w:before="75"/>
              <w:ind w:left="106"/>
              <w:rPr>
                <w:rFonts w:ascii="Times New Roman" w:eastAsia="Times New Roman"/>
                <w:sz w:val="21"/>
              </w:rPr>
            </w:pPr>
            <w:r>
              <w:rPr>
                <w:rFonts w:ascii="Times New Roman" w:eastAsia="Times New Roman"/>
                <w:sz w:val="21"/>
              </w:rPr>
              <w:t>IgM</w:t>
            </w:r>
            <w:r>
              <w:rPr>
                <w:rFonts w:ascii="Times New Roman" w:eastAsia="Times New Roman"/>
                <w:spacing w:val="-14"/>
                <w:sz w:val="21"/>
              </w:rPr>
              <w:t> </w:t>
            </w:r>
            <w:r>
              <w:rPr>
                <w:spacing w:val="-27"/>
                <w:sz w:val="21"/>
              </w:rPr>
              <w:t>和 </w:t>
            </w:r>
            <w:r>
              <w:rPr>
                <w:rFonts w:ascii="Times New Roman" w:eastAsia="Times New Roman"/>
                <w:sz w:val="21"/>
              </w:rPr>
              <w:t>IgG</w:t>
            </w:r>
            <w:r>
              <w:rPr>
                <w:rFonts w:ascii="Times New Roman" w:eastAsia="Times New Roman"/>
                <w:spacing w:val="-12"/>
                <w:sz w:val="21"/>
              </w:rPr>
              <w:t> </w:t>
            </w:r>
            <w:r>
              <w:rPr>
                <w:spacing w:val="-27"/>
                <w:sz w:val="21"/>
              </w:rPr>
              <w:t>抗 </w:t>
            </w:r>
            <w:r>
              <w:rPr>
                <w:rFonts w:ascii="Times New Roman" w:eastAsia="Times New Roman"/>
                <w:spacing w:val="-5"/>
                <w:sz w:val="21"/>
              </w:rPr>
              <w:t>HBc</w:t>
            </w:r>
          </w:p>
        </w:tc>
      </w:tr>
      <w:tr>
        <w:trPr>
          <w:trHeight w:val="384" w:hRule="atLeast"/>
        </w:trPr>
        <w:tc>
          <w:tcPr>
            <w:tcW w:w="3116" w:type="dxa"/>
            <w:vMerge/>
            <w:tcBorders>
              <w:top w:val="nil"/>
            </w:tcBorders>
          </w:tcPr>
          <w:p>
            <w:pPr>
              <w:rPr>
                <w:sz w:val="2"/>
                <w:szCs w:val="2"/>
              </w:rPr>
            </w:pPr>
          </w:p>
        </w:tc>
        <w:tc>
          <w:tcPr>
            <w:tcW w:w="5646" w:type="dxa"/>
            <w:tcBorders>
              <w:top w:val="nil"/>
              <w:bottom w:val="nil"/>
            </w:tcBorders>
          </w:tcPr>
          <w:p>
            <w:pPr>
              <w:pStyle w:val="TableParagraph"/>
              <w:spacing w:before="72"/>
              <w:ind w:left="106"/>
              <w:rPr>
                <w:rFonts w:ascii="Times New Roman"/>
                <w:sz w:val="21"/>
              </w:rPr>
            </w:pPr>
            <w:r>
              <w:rPr>
                <w:rFonts w:ascii="Times New Roman"/>
                <w:sz w:val="21"/>
              </w:rPr>
              <w:t>HBV</w:t>
            </w:r>
            <w:r>
              <w:rPr>
                <w:rFonts w:ascii="Times New Roman"/>
                <w:spacing w:val="-5"/>
                <w:sz w:val="21"/>
              </w:rPr>
              <w:t> </w:t>
            </w:r>
            <w:r>
              <w:rPr>
                <w:rFonts w:ascii="Times New Roman"/>
                <w:sz w:val="21"/>
              </w:rPr>
              <w:t>DNA</w:t>
            </w:r>
            <w:r>
              <w:rPr>
                <w:rFonts w:ascii="Times New Roman"/>
                <w:spacing w:val="-17"/>
                <w:sz w:val="21"/>
              </w:rPr>
              <w:t> </w:t>
            </w:r>
            <w:r>
              <w:rPr>
                <w:rFonts w:ascii="Times New Roman"/>
                <w:spacing w:val="-10"/>
                <w:sz w:val="21"/>
                <w:vertAlign w:val="superscript"/>
              </w:rPr>
              <w:t>a</w:t>
            </w:r>
          </w:p>
        </w:tc>
      </w:tr>
      <w:tr>
        <w:trPr>
          <w:trHeight w:val="366" w:hRule="atLeast"/>
        </w:trPr>
        <w:tc>
          <w:tcPr>
            <w:tcW w:w="3116" w:type="dxa"/>
            <w:vMerge/>
            <w:tcBorders>
              <w:top w:val="nil"/>
            </w:tcBorders>
          </w:tcPr>
          <w:p>
            <w:pPr>
              <w:rPr>
                <w:sz w:val="2"/>
                <w:szCs w:val="2"/>
              </w:rPr>
            </w:pPr>
          </w:p>
        </w:tc>
        <w:tc>
          <w:tcPr>
            <w:tcW w:w="5646" w:type="dxa"/>
            <w:tcBorders>
              <w:top w:val="nil"/>
              <w:bottom w:val="nil"/>
            </w:tcBorders>
          </w:tcPr>
          <w:p>
            <w:pPr>
              <w:pStyle w:val="TableParagraph"/>
              <w:spacing w:before="44"/>
              <w:ind w:left="106"/>
              <w:rPr>
                <w:rFonts w:ascii="Times New Roman" w:eastAsia="Times New Roman"/>
                <w:sz w:val="21"/>
              </w:rPr>
            </w:pPr>
            <w:r>
              <w:rPr>
                <w:rFonts w:ascii="Times New Roman" w:eastAsia="Times New Roman"/>
                <w:sz w:val="21"/>
              </w:rPr>
              <w:t>IgG</w:t>
            </w:r>
            <w:r>
              <w:rPr>
                <w:rFonts w:ascii="Times New Roman" w:eastAsia="Times New Roman"/>
                <w:spacing w:val="-13"/>
                <w:sz w:val="21"/>
              </w:rPr>
              <w:t> </w:t>
            </w:r>
            <w:r>
              <w:rPr>
                <w:spacing w:val="-27"/>
                <w:sz w:val="21"/>
              </w:rPr>
              <w:t>抗 </w:t>
            </w:r>
            <w:r>
              <w:rPr>
                <w:rFonts w:ascii="Times New Roman" w:eastAsia="Times New Roman"/>
                <w:spacing w:val="-5"/>
                <w:sz w:val="21"/>
              </w:rPr>
              <w:t>HCV</w:t>
            </w:r>
          </w:p>
        </w:tc>
      </w:tr>
      <w:tr>
        <w:trPr>
          <w:trHeight w:val="384" w:hRule="atLeast"/>
        </w:trPr>
        <w:tc>
          <w:tcPr>
            <w:tcW w:w="3116" w:type="dxa"/>
            <w:vMerge/>
            <w:tcBorders>
              <w:top w:val="nil"/>
            </w:tcBorders>
          </w:tcPr>
          <w:p>
            <w:pPr>
              <w:rPr>
                <w:sz w:val="2"/>
                <w:szCs w:val="2"/>
              </w:rPr>
            </w:pPr>
          </w:p>
        </w:tc>
        <w:tc>
          <w:tcPr>
            <w:tcW w:w="5646" w:type="dxa"/>
            <w:tcBorders>
              <w:top w:val="nil"/>
              <w:bottom w:val="nil"/>
            </w:tcBorders>
          </w:tcPr>
          <w:p>
            <w:pPr>
              <w:pStyle w:val="TableParagraph"/>
              <w:spacing w:before="72"/>
              <w:ind w:left="106"/>
              <w:rPr>
                <w:rFonts w:ascii="Times New Roman"/>
                <w:sz w:val="21"/>
              </w:rPr>
            </w:pPr>
            <w:r>
              <w:rPr>
                <w:rFonts w:ascii="Times New Roman"/>
                <w:sz w:val="21"/>
              </w:rPr>
              <w:t>HCV</w:t>
            </w:r>
            <w:r>
              <w:rPr>
                <w:rFonts w:ascii="Times New Roman"/>
                <w:spacing w:val="-3"/>
                <w:sz w:val="21"/>
              </w:rPr>
              <w:t> </w:t>
            </w:r>
            <w:r>
              <w:rPr>
                <w:rFonts w:ascii="Times New Roman"/>
                <w:sz w:val="21"/>
              </w:rPr>
              <w:t>RNA</w:t>
            </w:r>
            <w:r>
              <w:rPr>
                <w:rFonts w:ascii="Times New Roman"/>
                <w:spacing w:val="-3"/>
                <w:sz w:val="21"/>
              </w:rPr>
              <w:t> </w:t>
            </w:r>
            <w:r>
              <w:rPr>
                <w:rFonts w:ascii="Times New Roman"/>
                <w:spacing w:val="-10"/>
                <w:sz w:val="21"/>
                <w:vertAlign w:val="superscript"/>
              </w:rPr>
              <w:t>b</w:t>
            </w:r>
          </w:p>
        </w:tc>
      </w:tr>
      <w:tr>
        <w:trPr>
          <w:trHeight w:val="375" w:hRule="atLeast"/>
        </w:trPr>
        <w:tc>
          <w:tcPr>
            <w:tcW w:w="3116" w:type="dxa"/>
            <w:vMerge/>
            <w:tcBorders>
              <w:top w:val="nil"/>
            </w:tcBorders>
          </w:tcPr>
          <w:p>
            <w:pPr>
              <w:rPr>
                <w:sz w:val="2"/>
                <w:szCs w:val="2"/>
              </w:rPr>
            </w:pPr>
          </w:p>
        </w:tc>
        <w:tc>
          <w:tcPr>
            <w:tcW w:w="5646" w:type="dxa"/>
            <w:tcBorders>
              <w:top w:val="nil"/>
              <w:bottom w:val="nil"/>
            </w:tcBorders>
          </w:tcPr>
          <w:p>
            <w:pPr>
              <w:pStyle w:val="TableParagraph"/>
              <w:spacing w:before="44"/>
              <w:ind w:left="106"/>
              <w:rPr>
                <w:rFonts w:ascii="Times New Roman" w:eastAsia="Times New Roman"/>
                <w:sz w:val="21"/>
              </w:rPr>
            </w:pPr>
            <w:r>
              <w:rPr>
                <w:rFonts w:ascii="Times New Roman" w:eastAsia="Times New Roman"/>
                <w:sz w:val="21"/>
              </w:rPr>
              <w:t>IgM</w:t>
            </w:r>
            <w:r>
              <w:rPr>
                <w:rFonts w:ascii="Times New Roman" w:eastAsia="Times New Roman"/>
                <w:spacing w:val="-12"/>
                <w:sz w:val="21"/>
              </w:rPr>
              <w:t> </w:t>
            </w:r>
            <w:r>
              <w:rPr>
                <w:spacing w:val="-27"/>
                <w:sz w:val="21"/>
              </w:rPr>
              <w:t>抗 </w:t>
            </w:r>
            <w:r>
              <w:rPr>
                <w:rFonts w:ascii="Times New Roman" w:eastAsia="Times New Roman"/>
                <w:spacing w:val="-5"/>
                <w:sz w:val="21"/>
              </w:rPr>
              <w:t>HEV</w:t>
            </w:r>
          </w:p>
        </w:tc>
      </w:tr>
      <w:tr>
        <w:trPr>
          <w:trHeight w:val="381" w:hRule="atLeast"/>
        </w:trPr>
        <w:tc>
          <w:tcPr>
            <w:tcW w:w="3116" w:type="dxa"/>
            <w:vMerge/>
            <w:tcBorders>
              <w:top w:val="nil"/>
            </w:tcBorders>
          </w:tcPr>
          <w:p>
            <w:pPr>
              <w:rPr>
                <w:sz w:val="2"/>
                <w:szCs w:val="2"/>
              </w:rPr>
            </w:pPr>
          </w:p>
        </w:tc>
        <w:tc>
          <w:tcPr>
            <w:tcW w:w="5646" w:type="dxa"/>
            <w:tcBorders>
              <w:top w:val="nil"/>
            </w:tcBorders>
          </w:tcPr>
          <w:p>
            <w:pPr>
              <w:pStyle w:val="TableParagraph"/>
              <w:spacing w:before="63"/>
              <w:ind w:left="106"/>
              <w:rPr>
                <w:rFonts w:ascii="Times New Roman"/>
                <w:sz w:val="21"/>
              </w:rPr>
            </w:pPr>
            <w:r>
              <w:rPr>
                <w:rFonts w:ascii="Times New Roman"/>
                <w:sz w:val="21"/>
              </w:rPr>
              <w:t>HEV</w:t>
            </w:r>
            <w:r>
              <w:rPr>
                <w:rFonts w:ascii="Times New Roman"/>
                <w:spacing w:val="-5"/>
                <w:sz w:val="21"/>
              </w:rPr>
              <w:t> RNA</w:t>
            </w:r>
          </w:p>
        </w:tc>
      </w:tr>
      <w:tr>
        <w:trPr>
          <w:trHeight w:val="377" w:hRule="atLeast"/>
        </w:trPr>
        <w:tc>
          <w:tcPr>
            <w:tcW w:w="3116" w:type="dxa"/>
            <w:vMerge w:val="restart"/>
          </w:tcPr>
          <w:p>
            <w:pPr>
              <w:pStyle w:val="TableParagraph"/>
              <w:spacing w:before="38"/>
              <w:ind w:left="106"/>
              <w:rPr>
                <w:sz w:val="21"/>
              </w:rPr>
            </w:pPr>
            <w:r>
              <w:rPr>
                <w:spacing w:val="-2"/>
                <w:sz w:val="21"/>
              </w:rPr>
              <w:t>其他病毒感染</w:t>
            </w:r>
          </w:p>
        </w:tc>
        <w:tc>
          <w:tcPr>
            <w:tcW w:w="5646" w:type="dxa"/>
            <w:tcBorders>
              <w:bottom w:val="nil"/>
            </w:tcBorders>
          </w:tcPr>
          <w:p>
            <w:pPr>
              <w:pStyle w:val="TableParagraph"/>
              <w:spacing w:before="38"/>
              <w:ind w:left="106"/>
              <w:rPr>
                <w:rFonts w:ascii="Times New Roman" w:eastAsia="Times New Roman"/>
                <w:sz w:val="21"/>
              </w:rPr>
            </w:pPr>
            <w:r>
              <w:rPr>
                <w:spacing w:val="-27"/>
                <w:sz w:val="21"/>
              </w:rPr>
              <w:t>抗 </w:t>
            </w:r>
            <w:r>
              <w:rPr>
                <w:rFonts w:ascii="Times New Roman" w:eastAsia="Times New Roman"/>
                <w:sz w:val="21"/>
              </w:rPr>
              <w:t>CMV</w:t>
            </w:r>
            <w:r>
              <w:rPr>
                <w:rFonts w:ascii="Times New Roman" w:eastAsia="Times New Roman"/>
                <w:spacing w:val="-2"/>
                <w:sz w:val="21"/>
              </w:rPr>
              <w:t> </w:t>
            </w:r>
            <w:r>
              <w:rPr>
                <w:rFonts w:ascii="Times New Roman" w:eastAsia="Times New Roman"/>
                <w:sz w:val="21"/>
              </w:rPr>
              <w:t>IgM</w:t>
            </w:r>
            <w:r>
              <w:rPr>
                <w:rFonts w:ascii="Times New Roman" w:eastAsia="Times New Roman"/>
                <w:spacing w:val="-11"/>
                <w:sz w:val="21"/>
              </w:rPr>
              <w:t> </w:t>
            </w:r>
            <w:r>
              <w:rPr>
                <w:spacing w:val="-27"/>
                <w:sz w:val="21"/>
              </w:rPr>
              <w:t>和 </w:t>
            </w:r>
            <w:r>
              <w:rPr>
                <w:rFonts w:ascii="Times New Roman" w:eastAsia="Times New Roman"/>
                <w:spacing w:val="-5"/>
                <w:sz w:val="21"/>
              </w:rPr>
              <w:t>IgG</w:t>
            </w:r>
          </w:p>
        </w:tc>
      </w:tr>
      <w:tr>
        <w:trPr>
          <w:trHeight w:val="393" w:hRule="atLeast"/>
        </w:trPr>
        <w:tc>
          <w:tcPr>
            <w:tcW w:w="3116" w:type="dxa"/>
            <w:vMerge/>
            <w:tcBorders>
              <w:top w:val="nil"/>
            </w:tcBorders>
          </w:tcPr>
          <w:p>
            <w:pPr>
              <w:rPr>
                <w:sz w:val="2"/>
                <w:szCs w:val="2"/>
              </w:rPr>
            </w:pPr>
          </w:p>
        </w:tc>
        <w:tc>
          <w:tcPr>
            <w:tcW w:w="5646" w:type="dxa"/>
            <w:tcBorders>
              <w:top w:val="nil"/>
              <w:bottom w:val="nil"/>
            </w:tcBorders>
          </w:tcPr>
          <w:p>
            <w:pPr>
              <w:pStyle w:val="TableParagraph"/>
              <w:spacing w:before="53"/>
              <w:ind w:left="106"/>
              <w:rPr>
                <w:rFonts w:ascii="Times New Roman" w:eastAsia="Times New Roman"/>
                <w:sz w:val="21"/>
              </w:rPr>
            </w:pPr>
            <w:r>
              <w:rPr>
                <w:spacing w:val="-27"/>
                <w:sz w:val="21"/>
              </w:rPr>
              <w:t>抗 </w:t>
            </w:r>
            <w:r>
              <w:rPr>
                <w:rFonts w:ascii="Times New Roman" w:eastAsia="Times New Roman"/>
                <w:sz w:val="21"/>
              </w:rPr>
              <w:t>HSV</w:t>
            </w:r>
            <w:r>
              <w:rPr>
                <w:rFonts w:ascii="Times New Roman" w:eastAsia="Times New Roman"/>
                <w:spacing w:val="-6"/>
                <w:sz w:val="21"/>
              </w:rPr>
              <w:t> </w:t>
            </w:r>
            <w:r>
              <w:rPr>
                <w:rFonts w:ascii="Times New Roman" w:eastAsia="Times New Roman"/>
                <w:sz w:val="21"/>
              </w:rPr>
              <w:t>IgG</w:t>
            </w:r>
            <w:r>
              <w:rPr>
                <w:rFonts w:ascii="Times New Roman" w:eastAsia="Times New Roman"/>
                <w:spacing w:val="-11"/>
                <w:sz w:val="21"/>
              </w:rPr>
              <w:t> </w:t>
            </w:r>
            <w:r>
              <w:rPr>
                <w:spacing w:val="-27"/>
                <w:sz w:val="21"/>
              </w:rPr>
              <w:t>和 </w:t>
            </w:r>
            <w:r>
              <w:rPr>
                <w:rFonts w:ascii="Times New Roman" w:eastAsia="Times New Roman"/>
                <w:sz w:val="21"/>
              </w:rPr>
              <w:t>HSV</w:t>
            </w:r>
            <w:r>
              <w:rPr>
                <w:rFonts w:ascii="Times New Roman" w:eastAsia="Times New Roman"/>
                <w:spacing w:val="-2"/>
                <w:sz w:val="21"/>
              </w:rPr>
              <w:t> </w:t>
            </w:r>
            <w:r>
              <w:rPr>
                <w:rFonts w:ascii="Times New Roman" w:eastAsia="Times New Roman"/>
                <w:sz w:val="21"/>
              </w:rPr>
              <w:t>1/2</w:t>
            </w:r>
            <w:r>
              <w:rPr>
                <w:rFonts w:ascii="Times New Roman" w:eastAsia="Times New Roman"/>
                <w:spacing w:val="-1"/>
                <w:sz w:val="21"/>
              </w:rPr>
              <w:t> </w:t>
            </w:r>
            <w:r>
              <w:rPr>
                <w:rFonts w:ascii="Times New Roman" w:eastAsia="Times New Roman"/>
                <w:sz w:val="21"/>
              </w:rPr>
              <w:t>IgM</w:t>
            </w:r>
            <w:r>
              <w:rPr>
                <w:rFonts w:ascii="Times New Roman" w:eastAsia="Times New Roman"/>
                <w:spacing w:val="-10"/>
                <w:sz w:val="21"/>
              </w:rPr>
              <w:t> </w:t>
            </w:r>
            <w:r>
              <w:rPr>
                <w:spacing w:val="-27"/>
                <w:sz w:val="21"/>
              </w:rPr>
              <w:t>或 </w:t>
            </w:r>
            <w:r>
              <w:rPr>
                <w:rFonts w:ascii="Times New Roman" w:eastAsia="Times New Roman"/>
                <w:sz w:val="21"/>
              </w:rPr>
              <w:t>HSV</w:t>
            </w:r>
            <w:r>
              <w:rPr>
                <w:rFonts w:ascii="Times New Roman" w:eastAsia="Times New Roman"/>
                <w:spacing w:val="-2"/>
                <w:sz w:val="21"/>
              </w:rPr>
              <w:t> </w:t>
            </w:r>
            <w:r>
              <w:rPr>
                <w:rFonts w:ascii="Times New Roman" w:eastAsia="Times New Roman"/>
                <w:sz w:val="21"/>
              </w:rPr>
              <w:t>PCR</w:t>
            </w:r>
            <w:r>
              <w:rPr>
                <w:rFonts w:ascii="Times New Roman" w:eastAsia="Times New Roman"/>
                <w:spacing w:val="-1"/>
                <w:sz w:val="21"/>
              </w:rPr>
              <w:t> </w:t>
            </w:r>
            <w:r>
              <w:rPr>
                <w:rFonts w:ascii="Times New Roman" w:eastAsia="Times New Roman"/>
                <w:spacing w:val="-10"/>
                <w:sz w:val="21"/>
                <w:vertAlign w:val="superscript"/>
              </w:rPr>
              <w:t>c</w:t>
            </w:r>
          </w:p>
        </w:tc>
      </w:tr>
      <w:tr>
        <w:trPr>
          <w:trHeight w:val="409" w:hRule="atLeast"/>
        </w:trPr>
        <w:tc>
          <w:tcPr>
            <w:tcW w:w="3116" w:type="dxa"/>
            <w:vMerge/>
            <w:tcBorders>
              <w:top w:val="nil"/>
            </w:tcBorders>
          </w:tcPr>
          <w:p>
            <w:pPr>
              <w:rPr>
                <w:sz w:val="2"/>
                <w:szCs w:val="2"/>
              </w:rPr>
            </w:pPr>
          </w:p>
        </w:tc>
        <w:tc>
          <w:tcPr>
            <w:tcW w:w="5646" w:type="dxa"/>
            <w:tcBorders>
              <w:top w:val="nil"/>
            </w:tcBorders>
          </w:tcPr>
          <w:p>
            <w:pPr>
              <w:pStyle w:val="TableParagraph"/>
              <w:spacing w:before="53"/>
              <w:ind w:left="106"/>
              <w:rPr>
                <w:rFonts w:ascii="Times New Roman" w:eastAsia="Times New Roman"/>
                <w:sz w:val="21"/>
              </w:rPr>
            </w:pPr>
            <w:r>
              <w:rPr>
                <w:spacing w:val="-27"/>
                <w:sz w:val="21"/>
              </w:rPr>
              <w:t>抗 </w:t>
            </w:r>
            <w:r>
              <w:rPr>
                <w:rFonts w:ascii="Times New Roman" w:eastAsia="Times New Roman"/>
                <w:sz w:val="21"/>
              </w:rPr>
              <w:t>EBV</w:t>
            </w:r>
            <w:r>
              <w:rPr>
                <w:rFonts w:ascii="Times New Roman" w:eastAsia="Times New Roman"/>
                <w:spacing w:val="-4"/>
                <w:sz w:val="21"/>
              </w:rPr>
              <w:t> </w:t>
            </w:r>
            <w:r>
              <w:rPr>
                <w:rFonts w:ascii="Times New Roman" w:eastAsia="Times New Roman"/>
                <w:sz w:val="21"/>
              </w:rPr>
              <w:t>IgM</w:t>
            </w:r>
            <w:r>
              <w:rPr>
                <w:rFonts w:ascii="Times New Roman" w:eastAsia="Times New Roman"/>
                <w:spacing w:val="-11"/>
                <w:sz w:val="21"/>
              </w:rPr>
              <w:t> </w:t>
            </w:r>
            <w:r>
              <w:rPr>
                <w:spacing w:val="-27"/>
                <w:sz w:val="21"/>
              </w:rPr>
              <w:t>和 </w:t>
            </w:r>
            <w:r>
              <w:rPr>
                <w:rFonts w:ascii="Times New Roman" w:eastAsia="Times New Roman"/>
                <w:spacing w:val="-5"/>
                <w:sz w:val="21"/>
              </w:rPr>
              <w:t>IgG</w:t>
            </w:r>
          </w:p>
        </w:tc>
      </w:tr>
      <w:tr>
        <w:trPr>
          <w:trHeight w:val="393" w:hRule="atLeast"/>
        </w:trPr>
        <w:tc>
          <w:tcPr>
            <w:tcW w:w="3116" w:type="dxa"/>
          </w:tcPr>
          <w:p>
            <w:pPr>
              <w:pStyle w:val="TableParagraph"/>
              <w:spacing w:before="38"/>
              <w:ind w:left="106"/>
              <w:rPr>
                <w:sz w:val="21"/>
              </w:rPr>
            </w:pPr>
            <w:r>
              <w:rPr>
                <w:spacing w:val="-2"/>
                <w:sz w:val="21"/>
              </w:rPr>
              <w:t>酒精性肝炎</w:t>
            </w:r>
          </w:p>
        </w:tc>
        <w:tc>
          <w:tcPr>
            <w:tcW w:w="5646" w:type="dxa"/>
          </w:tcPr>
          <w:p>
            <w:pPr>
              <w:pStyle w:val="TableParagraph"/>
              <w:spacing w:before="38"/>
              <w:ind w:left="106"/>
              <w:rPr>
                <w:sz w:val="21"/>
              </w:rPr>
            </w:pPr>
            <w:r>
              <w:rPr>
                <w:spacing w:val="-2"/>
                <w:sz w:val="21"/>
              </w:rPr>
              <w:t>糖缺失性转铁蛋白（</w:t>
            </w:r>
            <w:r>
              <w:rPr>
                <w:rFonts w:ascii="Times New Roman" w:eastAsia="Times New Roman"/>
                <w:spacing w:val="-2"/>
                <w:sz w:val="21"/>
              </w:rPr>
              <w:t>CD-</w:t>
            </w:r>
            <w:r>
              <w:rPr>
                <w:spacing w:val="-2"/>
                <w:sz w:val="21"/>
              </w:rPr>
              <w:t>转铁蛋白</w:t>
            </w:r>
            <w:r>
              <w:rPr>
                <w:spacing w:val="-10"/>
                <w:sz w:val="21"/>
              </w:rPr>
              <w:t>）</w:t>
            </w:r>
          </w:p>
        </w:tc>
      </w:tr>
      <w:tr>
        <w:trPr>
          <w:trHeight w:val="377" w:hRule="atLeast"/>
        </w:trPr>
        <w:tc>
          <w:tcPr>
            <w:tcW w:w="3116" w:type="dxa"/>
            <w:vMerge w:val="restart"/>
          </w:tcPr>
          <w:p>
            <w:pPr>
              <w:pStyle w:val="TableParagraph"/>
              <w:spacing w:before="38"/>
              <w:ind w:left="106"/>
              <w:rPr>
                <w:sz w:val="21"/>
              </w:rPr>
            </w:pPr>
            <w:r>
              <w:rPr>
                <w:spacing w:val="-2"/>
                <w:sz w:val="21"/>
              </w:rPr>
              <w:t>自身免疫性肝炎</w:t>
            </w:r>
          </w:p>
        </w:tc>
        <w:tc>
          <w:tcPr>
            <w:tcW w:w="5646" w:type="dxa"/>
            <w:tcBorders>
              <w:bottom w:val="nil"/>
            </w:tcBorders>
          </w:tcPr>
          <w:p>
            <w:pPr>
              <w:pStyle w:val="TableParagraph"/>
              <w:spacing w:before="38"/>
              <w:ind w:left="106"/>
              <w:rPr>
                <w:sz w:val="21"/>
              </w:rPr>
            </w:pPr>
            <w:r>
              <w:rPr>
                <w:sz w:val="21"/>
              </w:rPr>
              <w:t>抗核抗体</w:t>
            </w:r>
            <w:r>
              <w:rPr>
                <w:spacing w:val="-2"/>
                <w:sz w:val="21"/>
              </w:rPr>
              <w:t>（</w:t>
            </w:r>
            <w:r>
              <w:rPr>
                <w:rFonts w:ascii="Times New Roman" w:eastAsia="Times New Roman"/>
                <w:spacing w:val="-2"/>
                <w:sz w:val="21"/>
              </w:rPr>
              <w:t>ANA</w:t>
            </w:r>
            <w:r>
              <w:rPr>
                <w:spacing w:val="-2"/>
                <w:sz w:val="21"/>
              </w:rPr>
              <w:t>）</w:t>
            </w:r>
          </w:p>
        </w:tc>
      </w:tr>
      <w:tr>
        <w:trPr>
          <w:trHeight w:val="408" w:hRule="atLeast"/>
        </w:trPr>
        <w:tc>
          <w:tcPr>
            <w:tcW w:w="3116" w:type="dxa"/>
            <w:vMerge/>
            <w:tcBorders>
              <w:top w:val="nil"/>
            </w:tcBorders>
          </w:tcPr>
          <w:p>
            <w:pPr>
              <w:rPr>
                <w:sz w:val="2"/>
                <w:szCs w:val="2"/>
              </w:rPr>
            </w:pPr>
          </w:p>
        </w:tc>
        <w:tc>
          <w:tcPr>
            <w:tcW w:w="5646" w:type="dxa"/>
            <w:tcBorders>
              <w:top w:val="nil"/>
              <w:bottom w:val="single" w:sz="4" w:space="0" w:color="000000"/>
            </w:tcBorders>
          </w:tcPr>
          <w:p>
            <w:pPr>
              <w:pStyle w:val="TableParagraph"/>
              <w:spacing w:before="53"/>
              <w:ind w:left="106"/>
              <w:rPr>
                <w:sz w:val="21"/>
              </w:rPr>
            </w:pPr>
            <w:r>
              <w:rPr>
                <w:spacing w:val="-2"/>
                <w:sz w:val="21"/>
              </w:rPr>
              <w:t>抗肝</w:t>
            </w:r>
            <w:r>
              <w:rPr>
                <w:rFonts w:ascii="Times New Roman" w:eastAsia="Times New Roman"/>
                <w:spacing w:val="-2"/>
                <w:sz w:val="21"/>
              </w:rPr>
              <w:t>/</w:t>
            </w:r>
            <w:r>
              <w:rPr>
                <w:spacing w:val="-11"/>
                <w:sz w:val="21"/>
              </w:rPr>
              <w:t>肾微粒体 </w:t>
            </w:r>
            <w:r>
              <w:rPr>
                <w:rFonts w:ascii="Times New Roman" w:eastAsia="Times New Roman"/>
                <w:spacing w:val="-2"/>
                <w:sz w:val="21"/>
              </w:rPr>
              <w:t>Ab</w:t>
            </w:r>
            <w:r>
              <w:rPr>
                <w:spacing w:val="-2"/>
                <w:sz w:val="21"/>
              </w:rPr>
              <w:t>（</w:t>
            </w:r>
            <w:r>
              <w:rPr>
                <w:spacing w:val="-22"/>
                <w:sz w:val="21"/>
              </w:rPr>
              <w:t>抗 </w:t>
            </w:r>
            <w:r>
              <w:rPr>
                <w:rFonts w:ascii="Times New Roman" w:eastAsia="Times New Roman"/>
                <w:spacing w:val="-4"/>
                <w:sz w:val="21"/>
              </w:rPr>
              <w:t>LKM</w:t>
            </w:r>
            <w:r>
              <w:rPr>
                <w:spacing w:val="-4"/>
                <w:sz w:val="21"/>
              </w:rPr>
              <w:t>）</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114"/>
        <w:gridCol w:w="5646"/>
      </w:tblGrid>
      <w:tr>
        <w:trPr>
          <w:trHeight w:val="393" w:hRule="atLeast"/>
        </w:trPr>
        <w:tc>
          <w:tcPr>
            <w:tcW w:w="3114" w:type="dxa"/>
          </w:tcPr>
          <w:p>
            <w:pPr>
              <w:pStyle w:val="TableParagraph"/>
              <w:rPr>
                <w:rFonts w:ascii="Times New Roman"/>
                <w:sz w:val="20"/>
              </w:rPr>
            </w:pPr>
          </w:p>
        </w:tc>
        <w:tc>
          <w:tcPr>
            <w:tcW w:w="5646" w:type="dxa"/>
            <w:tcBorders>
              <w:top w:val="single" w:sz="4" w:space="0" w:color="000000"/>
            </w:tcBorders>
          </w:tcPr>
          <w:p>
            <w:pPr>
              <w:pStyle w:val="TableParagraph"/>
              <w:spacing w:before="38"/>
              <w:ind w:left="108"/>
              <w:rPr>
                <w:sz w:val="21"/>
              </w:rPr>
            </w:pPr>
            <w:r>
              <w:rPr>
                <w:spacing w:val="-11"/>
                <w:sz w:val="21"/>
              </w:rPr>
              <w:t>抗平滑肌 </w:t>
            </w:r>
            <w:r>
              <w:rPr>
                <w:rFonts w:ascii="Times New Roman" w:eastAsia="Times New Roman"/>
                <w:spacing w:val="-2"/>
                <w:sz w:val="21"/>
              </w:rPr>
              <w:t>Ab</w:t>
            </w:r>
            <w:r>
              <w:rPr>
                <w:spacing w:val="-2"/>
                <w:sz w:val="21"/>
              </w:rPr>
              <w:t>（</w:t>
            </w:r>
            <w:r>
              <w:rPr>
                <w:rFonts w:ascii="Times New Roman" w:eastAsia="Times New Roman"/>
                <w:spacing w:val="-2"/>
                <w:sz w:val="21"/>
              </w:rPr>
              <w:t>ASMA</w:t>
            </w:r>
            <w:r>
              <w:rPr>
                <w:spacing w:val="-2"/>
                <w:sz w:val="21"/>
              </w:rPr>
              <w:t>）</w:t>
            </w:r>
          </w:p>
        </w:tc>
      </w:tr>
      <w:tr>
        <w:trPr>
          <w:trHeight w:val="381" w:hRule="atLeast"/>
        </w:trPr>
        <w:tc>
          <w:tcPr>
            <w:tcW w:w="3114" w:type="dxa"/>
            <w:vMerge w:val="restart"/>
          </w:tcPr>
          <w:p>
            <w:pPr>
              <w:pStyle w:val="TableParagraph"/>
              <w:spacing w:before="38"/>
              <w:ind w:left="106"/>
              <w:rPr>
                <w:sz w:val="21"/>
              </w:rPr>
            </w:pPr>
            <w:r>
              <w:rPr>
                <w:spacing w:val="-2"/>
                <w:sz w:val="21"/>
              </w:rPr>
              <w:t>代谢性疾病</w:t>
            </w:r>
          </w:p>
        </w:tc>
        <w:tc>
          <w:tcPr>
            <w:tcW w:w="5646" w:type="dxa"/>
            <w:tcBorders>
              <w:bottom w:val="nil"/>
            </w:tcBorders>
          </w:tcPr>
          <w:p>
            <w:pPr>
              <w:pStyle w:val="TableParagraph"/>
              <w:spacing w:before="38"/>
              <w:ind w:left="108"/>
              <w:rPr>
                <w:sz w:val="21"/>
              </w:rPr>
            </w:pPr>
            <w:r>
              <w:rPr>
                <w:rFonts w:ascii="Times New Roman" w:eastAsia="Times New Roman"/>
                <w:spacing w:val="-2"/>
                <w:sz w:val="21"/>
              </w:rPr>
              <w:t>Alpha-1-</w:t>
            </w:r>
            <w:r>
              <w:rPr>
                <w:spacing w:val="-4"/>
                <w:sz w:val="21"/>
              </w:rPr>
              <w:t>抗胰蛋白酶</w:t>
            </w:r>
          </w:p>
        </w:tc>
      </w:tr>
      <w:tr>
        <w:trPr>
          <w:trHeight w:val="385" w:hRule="atLeast"/>
        </w:trPr>
        <w:tc>
          <w:tcPr>
            <w:tcW w:w="3114" w:type="dxa"/>
            <w:vMerge/>
            <w:tcBorders>
              <w:top w:val="nil"/>
            </w:tcBorders>
          </w:tcPr>
          <w:p>
            <w:pPr>
              <w:rPr>
                <w:sz w:val="2"/>
                <w:szCs w:val="2"/>
              </w:rPr>
            </w:pPr>
          </w:p>
        </w:tc>
        <w:tc>
          <w:tcPr>
            <w:tcW w:w="5646" w:type="dxa"/>
            <w:tcBorders>
              <w:top w:val="nil"/>
              <w:bottom w:val="nil"/>
            </w:tcBorders>
          </w:tcPr>
          <w:p>
            <w:pPr>
              <w:pStyle w:val="TableParagraph"/>
              <w:spacing w:before="50"/>
              <w:ind w:left="108"/>
              <w:rPr>
                <w:sz w:val="21"/>
              </w:rPr>
            </w:pPr>
            <w:r>
              <w:rPr>
                <w:spacing w:val="-3"/>
                <w:sz w:val="21"/>
              </w:rPr>
              <w:t>铜蓝蛋白</w:t>
            </w:r>
          </w:p>
        </w:tc>
      </w:tr>
      <w:tr>
        <w:trPr>
          <w:trHeight w:val="393" w:hRule="atLeast"/>
        </w:trPr>
        <w:tc>
          <w:tcPr>
            <w:tcW w:w="3114" w:type="dxa"/>
            <w:vMerge/>
            <w:tcBorders>
              <w:top w:val="nil"/>
            </w:tcBorders>
          </w:tcPr>
          <w:p>
            <w:pPr>
              <w:rPr>
                <w:sz w:val="2"/>
                <w:szCs w:val="2"/>
              </w:rPr>
            </w:pPr>
          </w:p>
        </w:tc>
        <w:tc>
          <w:tcPr>
            <w:tcW w:w="5646" w:type="dxa"/>
            <w:tcBorders>
              <w:top w:val="nil"/>
              <w:bottom w:val="nil"/>
            </w:tcBorders>
          </w:tcPr>
          <w:p>
            <w:pPr>
              <w:pStyle w:val="TableParagraph"/>
              <w:spacing w:before="58"/>
              <w:ind w:left="108"/>
              <w:rPr>
                <w:sz w:val="21"/>
              </w:rPr>
            </w:pPr>
            <w:r>
              <w:rPr>
                <w:spacing w:val="-10"/>
                <w:sz w:val="21"/>
              </w:rPr>
              <w:t>铁</w:t>
            </w:r>
          </w:p>
        </w:tc>
      </w:tr>
      <w:tr>
        <w:trPr>
          <w:trHeight w:val="392" w:hRule="atLeast"/>
        </w:trPr>
        <w:tc>
          <w:tcPr>
            <w:tcW w:w="3114" w:type="dxa"/>
            <w:vMerge/>
            <w:tcBorders>
              <w:top w:val="nil"/>
            </w:tcBorders>
          </w:tcPr>
          <w:p>
            <w:pPr>
              <w:rPr>
                <w:sz w:val="2"/>
                <w:szCs w:val="2"/>
              </w:rPr>
            </w:pPr>
          </w:p>
        </w:tc>
        <w:tc>
          <w:tcPr>
            <w:tcW w:w="5646" w:type="dxa"/>
            <w:tcBorders>
              <w:top w:val="nil"/>
              <w:bottom w:val="nil"/>
            </w:tcBorders>
          </w:tcPr>
          <w:p>
            <w:pPr>
              <w:pStyle w:val="TableParagraph"/>
              <w:spacing w:before="58"/>
              <w:ind w:left="108"/>
              <w:rPr>
                <w:sz w:val="21"/>
              </w:rPr>
            </w:pPr>
            <w:r>
              <w:rPr>
                <w:spacing w:val="-4"/>
                <w:sz w:val="21"/>
              </w:rPr>
              <w:t>铁蛋白</w:t>
            </w:r>
          </w:p>
        </w:tc>
      </w:tr>
      <w:tr>
        <w:trPr>
          <w:trHeight w:val="392" w:hRule="atLeast"/>
        </w:trPr>
        <w:tc>
          <w:tcPr>
            <w:tcW w:w="3114" w:type="dxa"/>
            <w:vMerge/>
            <w:tcBorders>
              <w:top w:val="nil"/>
            </w:tcBorders>
          </w:tcPr>
          <w:p>
            <w:pPr>
              <w:rPr>
                <w:sz w:val="2"/>
                <w:szCs w:val="2"/>
              </w:rPr>
            </w:pPr>
          </w:p>
        </w:tc>
        <w:tc>
          <w:tcPr>
            <w:tcW w:w="5646" w:type="dxa"/>
            <w:tcBorders>
              <w:top w:val="nil"/>
              <w:bottom w:val="nil"/>
            </w:tcBorders>
          </w:tcPr>
          <w:p>
            <w:pPr>
              <w:pStyle w:val="TableParagraph"/>
              <w:spacing w:before="57"/>
              <w:ind w:left="108"/>
              <w:rPr>
                <w:sz w:val="21"/>
              </w:rPr>
            </w:pPr>
            <w:r>
              <w:rPr>
                <w:spacing w:val="-3"/>
                <w:sz w:val="21"/>
              </w:rPr>
              <w:t>转铁蛋白</w:t>
            </w:r>
          </w:p>
        </w:tc>
      </w:tr>
      <w:tr>
        <w:trPr>
          <w:trHeight w:val="413" w:hRule="atLeast"/>
        </w:trPr>
        <w:tc>
          <w:tcPr>
            <w:tcW w:w="3114" w:type="dxa"/>
            <w:vMerge/>
            <w:tcBorders>
              <w:top w:val="nil"/>
            </w:tcBorders>
          </w:tcPr>
          <w:p>
            <w:pPr>
              <w:rPr>
                <w:sz w:val="2"/>
                <w:szCs w:val="2"/>
              </w:rPr>
            </w:pPr>
          </w:p>
        </w:tc>
        <w:tc>
          <w:tcPr>
            <w:tcW w:w="5646" w:type="dxa"/>
            <w:tcBorders>
              <w:top w:val="nil"/>
            </w:tcBorders>
          </w:tcPr>
          <w:p>
            <w:pPr>
              <w:pStyle w:val="TableParagraph"/>
              <w:spacing w:before="58"/>
              <w:ind w:left="108"/>
              <w:rPr>
                <w:sz w:val="21"/>
              </w:rPr>
            </w:pPr>
            <w:r>
              <w:rPr>
                <w:spacing w:val="-2"/>
                <w:sz w:val="21"/>
              </w:rPr>
              <w:t>转铁蛋白饱和度</w:t>
            </w:r>
          </w:p>
        </w:tc>
      </w:tr>
    </w:tbl>
    <w:p>
      <w:pPr>
        <w:tabs>
          <w:tab w:pos="646" w:val="left" w:leader="none"/>
        </w:tabs>
        <w:spacing w:before="41"/>
        <w:ind w:left="221" w:right="0" w:firstLine="0"/>
        <w:jc w:val="left"/>
        <w:rPr>
          <w:sz w:val="21"/>
        </w:rPr>
      </w:pPr>
      <w:r>
        <w:rPr>
          <w:rFonts w:ascii="Times New Roman" w:eastAsia="Times New Roman"/>
          <w:spacing w:val="-10"/>
          <w:sz w:val="21"/>
          <w:vertAlign w:val="superscript"/>
        </w:rPr>
        <w:t>a</w:t>
      </w:r>
      <w:r>
        <w:rPr>
          <w:rFonts w:ascii="Times New Roman" w:eastAsia="Times New Roman"/>
          <w:sz w:val="21"/>
          <w:vertAlign w:val="baseline"/>
        </w:rPr>
        <w:tab/>
      </w:r>
      <w:r>
        <w:rPr>
          <w:spacing w:val="-18"/>
          <w:sz w:val="21"/>
          <w:vertAlign w:val="baseline"/>
        </w:rPr>
        <w:t>仅在 </w:t>
      </w:r>
      <w:r>
        <w:rPr>
          <w:rFonts w:ascii="Times New Roman" w:eastAsia="Times New Roman"/>
          <w:sz w:val="21"/>
          <w:vertAlign w:val="baseline"/>
        </w:rPr>
        <w:t>IgG</w:t>
      </w:r>
      <w:r>
        <w:rPr>
          <w:rFonts w:ascii="Times New Roman" w:eastAsia="Times New Roman"/>
          <w:spacing w:val="-14"/>
          <w:sz w:val="21"/>
          <w:vertAlign w:val="baseline"/>
        </w:rPr>
        <w:t> </w:t>
      </w:r>
      <w:r>
        <w:rPr>
          <w:sz w:val="21"/>
          <w:vertAlign w:val="baseline"/>
        </w:rPr>
        <w:t>抗</w:t>
      </w:r>
      <w:r>
        <w:rPr>
          <w:rFonts w:ascii="Times New Roman" w:eastAsia="Times New Roman"/>
          <w:sz w:val="21"/>
          <w:vertAlign w:val="baseline"/>
        </w:rPr>
        <w:t>-HBc</w:t>
      </w:r>
      <w:r>
        <w:rPr>
          <w:rFonts w:ascii="Times New Roman" w:eastAsia="Times New Roman"/>
          <w:spacing w:val="-13"/>
          <w:sz w:val="21"/>
          <w:vertAlign w:val="baseline"/>
        </w:rPr>
        <w:t> </w:t>
      </w:r>
      <w:r>
        <w:rPr>
          <w:spacing w:val="-6"/>
          <w:sz w:val="21"/>
          <w:vertAlign w:val="baseline"/>
        </w:rPr>
        <w:t>呈阳性时，推荐进行 </w:t>
      </w:r>
      <w:r>
        <w:rPr>
          <w:rFonts w:ascii="Times New Roman" w:eastAsia="Times New Roman"/>
          <w:sz w:val="21"/>
          <w:vertAlign w:val="baseline"/>
        </w:rPr>
        <w:t>HBV</w:t>
      </w:r>
      <w:r>
        <w:rPr>
          <w:rFonts w:ascii="Times New Roman" w:eastAsia="Times New Roman"/>
          <w:spacing w:val="-2"/>
          <w:sz w:val="21"/>
          <w:vertAlign w:val="baseline"/>
        </w:rPr>
        <w:t> </w:t>
      </w:r>
      <w:r>
        <w:rPr>
          <w:rFonts w:ascii="Times New Roman" w:eastAsia="Times New Roman"/>
          <w:sz w:val="21"/>
          <w:vertAlign w:val="baseline"/>
        </w:rPr>
        <w:t>DNA</w:t>
      </w:r>
      <w:r>
        <w:rPr>
          <w:rFonts w:ascii="Times New Roman" w:eastAsia="Times New Roman"/>
          <w:spacing w:val="-12"/>
          <w:sz w:val="21"/>
          <w:vertAlign w:val="baseline"/>
        </w:rPr>
        <w:t> </w:t>
      </w:r>
      <w:r>
        <w:rPr>
          <w:spacing w:val="-4"/>
          <w:sz w:val="21"/>
          <w:vertAlign w:val="baseline"/>
        </w:rPr>
        <w:t>检测。</w:t>
      </w:r>
    </w:p>
    <w:p>
      <w:pPr>
        <w:tabs>
          <w:tab w:pos="646" w:val="left" w:leader="none"/>
        </w:tabs>
        <w:spacing w:before="39"/>
        <w:ind w:left="221" w:right="0" w:firstLine="0"/>
        <w:jc w:val="left"/>
        <w:rPr>
          <w:sz w:val="21"/>
        </w:rPr>
      </w:pPr>
      <w:r>
        <w:rPr>
          <w:rFonts w:ascii="Times New Roman" w:eastAsia="Times New Roman"/>
          <w:spacing w:val="-10"/>
          <w:sz w:val="21"/>
          <w:vertAlign w:val="superscript"/>
        </w:rPr>
        <w:t>b</w:t>
      </w:r>
      <w:r>
        <w:rPr>
          <w:rFonts w:ascii="Times New Roman" w:eastAsia="Times New Roman"/>
          <w:sz w:val="21"/>
          <w:vertAlign w:val="baseline"/>
        </w:rPr>
        <w:tab/>
      </w:r>
      <w:r>
        <w:rPr>
          <w:spacing w:val="-18"/>
          <w:sz w:val="21"/>
          <w:vertAlign w:val="baseline"/>
        </w:rPr>
        <w:t>仅在 </w:t>
      </w:r>
      <w:r>
        <w:rPr>
          <w:rFonts w:ascii="Times New Roman" w:eastAsia="Times New Roman"/>
          <w:sz w:val="21"/>
          <w:vertAlign w:val="baseline"/>
        </w:rPr>
        <w:t>IgG</w:t>
      </w:r>
      <w:r>
        <w:rPr>
          <w:rFonts w:ascii="Times New Roman" w:eastAsia="Times New Roman"/>
          <w:spacing w:val="-14"/>
          <w:sz w:val="21"/>
          <w:vertAlign w:val="baseline"/>
        </w:rPr>
        <w:t> </w:t>
      </w:r>
      <w:r>
        <w:rPr>
          <w:sz w:val="21"/>
          <w:vertAlign w:val="baseline"/>
        </w:rPr>
        <w:t>抗</w:t>
      </w:r>
      <w:r>
        <w:rPr>
          <w:rFonts w:ascii="Times New Roman" w:eastAsia="Times New Roman"/>
          <w:sz w:val="21"/>
          <w:vertAlign w:val="baseline"/>
        </w:rPr>
        <w:t>-HCV</w:t>
      </w:r>
      <w:r>
        <w:rPr>
          <w:rFonts w:ascii="Times New Roman" w:eastAsia="Times New Roman"/>
          <w:spacing w:val="-13"/>
          <w:sz w:val="21"/>
          <w:vertAlign w:val="baseline"/>
        </w:rPr>
        <w:t> </w:t>
      </w:r>
      <w:r>
        <w:rPr>
          <w:spacing w:val="-4"/>
          <w:sz w:val="21"/>
          <w:vertAlign w:val="baseline"/>
        </w:rPr>
        <w:t>呈阳性或无法定论时推荐进行 </w:t>
      </w:r>
      <w:r>
        <w:rPr>
          <w:rFonts w:ascii="Times New Roman" w:eastAsia="Times New Roman"/>
          <w:sz w:val="21"/>
          <w:vertAlign w:val="baseline"/>
        </w:rPr>
        <w:t>HCV</w:t>
      </w:r>
      <w:r>
        <w:rPr>
          <w:rFonts w:ascii="Times New Roman" w:eastAsia="Times New Roman"/>
          <w:spacing w:val="-2"/>
          <w:sz w:val="21"/>
          <w:vertAlign w:val="baseline"/>
        </w:rPr>
        <w:t> </w:t>
      </w:r>
      <w:r>
        <w:rPr>
          <w:rFonts w:ascii="Times New Roman" w:eastAsia="Times New Roman"/>
          <w:sz w:val="21"/>
          <w:vertAlign w:val="baseline"/>
        </w:rPr>
        <w:t>RNA</w:t>
      </w:r>
      <w:r>
        <w:rPr>
          <w:rFonts w:ascii="Times New Roman" w:eastAsia="Times New Roman"/>
          <w:spacing w:val="-12"/>
          <w:sz w:val="21"/>
          <w:vertAlign w:val="baseline"/>
        </w:rPr>
        <w:t> </w:t>
      </w:r>
      <w:r>
        <w:rPr>
          <w:spacing w:val="-4"/>
          <w:sz w:val="21"/>
          <w:vertAlign w:val="baseline"/>
        </w:rPr>
        <w:t>检测。</w:t>
      </w:r>
    </w:p>
    <w:p>
      <w:pPr>
        <w:tabs>
          <w:tab w:pos="646" w:val="left" w:leader="none"/>
        </w:tabs>
        <w:spacing w:before="39"/>
        <w:ind w:left="221" w:right="0" w:firstLine="0"/>
        <w:jc w:val="left"/>
        <w:rPr>
          <w:sz w:val="21"/>
        </w:rPr>
      </w:pPr>
      <w:r>
        <w:rPr>
          <w:rFonts w:ascii="Times New Roman" w:eastAsia="Times New Roman"/>
          <w:spacing w:val="-10"/>
          <w:sz w:val="21"/>
          <w:vertAlign w:val="superscript"/>
        </w:rPr>
        <w:t>c</w:t>
      </w:r>
      <w:r>
        <w:rPr>
          <w:rFonts w:ascii="Times New Roman" w:eastAsia="Times New Roman"/>
          <w:sz w:val="21"/>
          <w:vertAlign w:val="baseline"/>
        </w:rPr>
        <w:tab/>
      </w:r>
      <w:r>
        <w:rPr>
          <w:spacing w:val="-5"/>
          <w:sz w:val="21"/>
          <w:vertAlign w:val="baseline"/>
        </w:rPr>
        <w:t>根据地区不同，决定采用 </w:t>
      </w:r>
      <w:r>
        <w:rPr>
          <w:rFonts w:ascii="Times New Roman" w:eastAsia="Times New Roman"/>
          <w:sz w:val="21"/>
          <w:vertAlign w:val="baseline"/>
        </w:rPr>
        <w:t>HSV</w:t>
      </w:r>
      <w:r>
        <w:rPr>
          <w:rFonts w:ascii="Times New Roman" w:eastAsia="Times New Roman"/>
          <w:spacing w:val="-5"/>
          <w:sz w:val="21"/>
          <w:vertAlign w:val="baseline"/>
        </w:rPr>
        <w:t> </w:t>
      </w:r>
      <w:r>
        <w:rPr>
          <w:rFonts w:ascii="Times New Roman" w:eastAsia="Times New Roman"/>
          <w:sz w:val="21"/>
          <w:vertAlign w:val="baseline"/>
        </w:rPr>
        <w:t>1/2</w:t>
      </w:r>
      <w:r>
        <w:rPr>
          <w:rFonts w:ascii="Times New Roman" w:eastAsia="Times New Roman"/>
          <w:spacing w:val="-1"/>
          <w:sz w:val="21"/>
          <w:vertAlign w:val="baseline"/>
        </w:rPr>
        <w:t> </w:t>
      </w:r>
      <w:r>
        <w:rPr>
          <w:rFonts w:ascii="Times New Roman" w:eastAsia="Times New Roman"/>
          <w:sz w:val="21"/>
          <w:vertAlign w:val="baseline"/>
        </w:rPr>
        <w:t>IgM</w:t>
      </w:r>
      <w:r>
        <w:rPr>
          <w:rFonts w:ascii="Times New Roman" w:eastAsia="Times New Roman"/>
          <w:spacing w:val="-10"/>
          <w:sz w:val="21"/>
          <w:vertAlign w:val="baseline"/>
        </w:rPr>
        <w:t> </w:t>
      </w:r>
      <w:r>
        <w:rPr>
          <w:spacing w:val="-14"/>
          <w:sz w:val="21"/>
          <w:vertAlign w:val="baseline"/>
        </w:rPr>
        <w:t>检测或 </w:t>
      </w:r>
      <w:r>
        <w:rPr>
          <w:rFonts w:ascii="Times New Roman" w:eastAsia="Times New Roman"/>
          <w:sz w:val="21"/>
          <w:vertAlign w:val="baseline"/>
        </w:rPr>
        <w:t>HSV</w:t>
      </w:r>
      <w:r>
        <w:rPr>
          <w:rFonts w:ascii="Times New Roman" w:eastAsia="Times New Roman"/>
          <w:spacing w:val="-2"/>
          <w:sz w:val="21"/>
          <w:vertAlign w:val="baseline"/>
        </w:rPr>
        <w:t> </w:t>
      </w:r>
      <w:r>
        <w:rPr>
          <w:rFonts w:ascii="Times New Roman" w:eastAsia="Times New Roman"/>
          <w:sz w:val="21"/>
          <w:vertAlign w:val="baseline"/>
        </w:rPr>
        <w:t>1/2</w:t>
      </w:r>
      <w:r>
        <w:rPr>
          <w:rFonts w:ascii="Times New Roman" w:eastAsia="Times New Roman"/>
          <w:spacing w:val="-1"/>
          <w:sz w:val="21"/>
          <w:vertAlign w:val="baseline"/>
        </w:rPr>
        <w:t> </w:t>
      </w:r>
      <w:r>
        <w:rPr>
          <w:rFonts w:ascii="Times New Roman" w:eastAsia="Times New Roman"/>
          <w:sz w:val="21"/>
          <w:vertAlign w:val="baseline"/>
        </w:rPr>
        <w:t>PCR</w:t>
      </w:r>
      <w:r>
        <w:rPr>
          <w:rFonts w:ascii="Times New Roman" w:eastAsia="Times New Roman"/>
          <w:spacing w:val="-11"/>
          <w:sz w:val="21"/>
          <w:vertAlign w:val="baseline"/>
        </w:rPr>
        <w:t> </w:t>
      </w:r>
      <w:r>
        <w:rPr>
          <w:spacing w:val="-4"/>
          <w:sz w:val="21"/>
          <w:vertAlign w:val="baseline"/>
        </w:rPr>
        <w:t>检测。</w:t>
      </w:r>
    </w:p>
    <w:p>
      <w:pPr>
        <w:spacing w:after="0"/>
        <w:jc w:val="left"/>
        <w:rPr>
          <w:sz w:val="21"/>
        </w:rPr>
        <w:sectPr>
          <w:pgSz w:w="11910" w:h="16840"/>
          <w:pgMar w:header="590" w:footer="784" w:top="1340" w:bottom="980" w:left="1480" w:right="1080"/>
        </w:sectPr>
      </w:pPr>
    </w:p>
    <w:p>
      <w:pPr>
        <w:pStyle w:val="Heading1"/>
        <w:tabs>
          <w:tab w:pos="1921" w:val="left" w:leader="none"/>
        </w:tabs>
        <w:ind w:left="221" w:firstLine="0"/>
      </w:pPr>
      <w:bookmarkStart w:name="附录E 避孕指南" w:id="327"/>
      <w:bookmarkEnd w:id="327"/>
      <w:r>
        <w:rPr>
          <w:b w:val="0"/>
        </w:rPr>
      </w:r>
      <w:r>
        <w:rPr>
          <w:spacing w:val="-2"/>
        </w:rPr>
        <w:t>附录</w:t>
      </w:r>
      <w:r>
        <w:rPr>
          <w:rFonts w:ascii="Times New Roman" w:eastAsia="Times New Roman"/>
          <w:spacing w:val="-10"/>
        </w:rPr>
        <w:t>E</w:t>
      </w:r>
      <w:r>
        <w:rPr>
          <w:rFonts w:ascii="Times New Roman" w:eastAsia="Times New Roman"/>
        </w:rPr>
        <w:tab/>
      </w:r>
      <w:bookmarkStart w:name="_bookmark159" w:id="328"/>
      <w:bookmarkEnd w:id="328"/>
      <w:r>
        <w:rPr>
          <w:rFonts w:ascii="Times New Roman" w:eastAsia="Times New Roman"/>
        </w:rPr>
      </w:r>
      <w:r>
        <w:rPr>
          <w:spacing w:val="-2"/>
        </w:rPr>
        <w:t>避孕指</w:t>
      </w:r>
      <w:r>
        <w:rPr>
          <w:spacing w:val="-10"/>
        </w:rPr>
        <w:t>南</w:t>
      </w:r>
    </w:p>
    <w:p>
      <w:pPr>
        <w:pStyle w:val="BodyText"/>
        <w:spacing w:before="173"/>
        <w:ind w:left="701"/>
      </w:pPr>
      <w:r>
        <w:rPr>
          <w:spacing w:val="-1"/>
        </w:rPr>
        <w:t>无生育能力女性定义为符合以下任一标准，否则均视为有生育能力：</w:t>
      </w:r>
    </w:p>
    <w:p>
      <w:pPr>
        <w:pStyle w:val="ListParagraph"/>
        <w:numPr>
          <w:ilvl w:val="0"/>
          <w:numId w:val="57"/>
        </w:numPr>
        <w:tabs>
          <w:tab w:pos="646" w:val="left" w:leader="none"/>
        </w:tabs>
        <w:spacing w:line="240" w:lineRule="auto" w:before="286" w:after="0"/>
        <w:ind w:left="646" w:right="0" w:hanging="425"/>
        <w:jc w:val="left"/>
        <w:rPr>
          <w:sz w:val="24"/>
        </w:rPr>
      </w:pPr>
      <w:r>
        <w:rPr>
          <w:sz w:val="24"/>
        </w:rPr>
        <w:t>手术绝育（包括双侧输卵管切除术、双侧卵巢切除术或子宫切除术），</w:t>
      </w:r>
      <w:r>
        <w:rPr>
          <w:spacing w:val="-10"/>
          <w:sz w:val="24"/>
        </w:rPr>
        <w:t>或</w:t>
      </w:r>
    </w:p>
    <w:p>
      <w:pPr>
        <w:pStyle w:val="ListParagraph"/>
        <w:numPr>
          <w:ilvl w:val="0"/>
          <w:numId w:val="57"/>
        </w:numPr>
        <w:tabs>
          <w:tab w:pos="646" w:val="left" w:leader="none"/>
        </w:tabs>
        <w:spacing w:line="240" w:lineRule="auto" w:before="60" w:after="0"/>
        <w:ind w:left="646" w:right="0" w:hanging="425"/>
        <w:jc w:val="left"/>
        <w:rPr>
          <w:sz w:val="24"/>
        </w:rPr>
      </w:pPr>
      <w:r>
        <w:rPr>
          <w:spacing w:val="-3"/>
          <w:sz w:val="24"/>
        </w:rPr>
        <w:t>绝经后。</w:t>
      </w:r>
    </w:p>
    <w:p>
      <w:pPr>
        <w:pStyle w:val="BodyText"/>
        <w:spacing w:before="23"/>
        <w:ind w:left="0"/>
      </w:pPr>
    </w:p>
    <w:p>
      <w:pPr>
        <w:pStyle w:val="BodyText"/>
        <w:ind w:left="701"/>
      </w:pPr>
      <w:r>
        <w:rPr/>
        <w:t>对于</w:t>
      </w:r>
      <w:r>
        <w:rPr>
          <w:rFonts w:ascii="Times New Roman" w:eastAsia="Times New Roman"/>
        </w:rPr>
        <w:t>&lt;50</w:t>
      </w:r>
      <w:r>
        <w:rPr>
          <w:rFonts w:ascii="Times New Roman" w:eastAsia="Times New Roman"/>
          <w:spacing w:val="-12"/>
        </w:rPr>
        <w:t> </w:t>
      </w:r>
      <w:r>
        <w:rPr>
          <w:spacing w:val="-1"/>
        </w:rPr>
        <w:t>岁的女性，绝经后定义为以下两种情况：</w:t>
      </w:r>
    </w:p>
    <w:p>
      <w:pPr>
        <w:pStyle w:val="ListParagraph"/>
        <w:numPr>
          <w:ilvl w:val="0"/>
          <w:numId w:val="57"/>
        </w:numPr>
        <w:tabs>
          <w:tab w:pos="646" w:val="left" w:leader="none"/>
        </w:tabs>
        <w:spacing w:line="240" w:lineRule="auto" w:before="286" w:after="0"/>
        <w:ind w:left="646" w:right="0" w:hanging="425"/>
        <w:jc w:val="left"/>
        <w:rPr>
          <w:sz w:val="24"/>
        </w:rPr>
      </w:pPr>
      <w:r>
        <w:rPr>
          <w:sz w:val="24"/>
        </w:rPr>
        <w:t>停止外源性性激素治疗后，有</w:t>
      </w:r>
      <w:r>
        <w:rPr>
          <w:rFonts w:ascii="Times New Roman" w:hAnsi="Times New Roman" w:eastAsia="Times New Roman"/>
          <w:sz w:val="24"/>
        </w:rPr>
        <w:t>≥12</w:t>
      </w:r>
      <w:r>
        <w:rPr>
          <w:rFonts w:ascii="Times New Roman" w:hAnsi="Times New Roman" w:eastAsia="Times New Roman"/>
          <w:spacing w:val="-12"/>
          <w:sz w:val="24"/>
        </w:rPr>
        <w:t> </w:t>
      </w:r>
      <w:r>
        <w:rPr>
          <w:spacing w:val="-1"/>
          <w:sz w:val="24"/>
        </w:rPr>
        <w:t>个月的闭经史，且无替代原因，以及</w:t>
      </w:r>
    </w:p>
    <w:p>
      <w:pPr>
        <w:pStyle w:val="ListParagraph"/>
        <w:numPr>
          <w:ilvl w:val="0"/>
          <w:numId w:val="57"/>
        </w:numPr>
        <w:tabs>
          <w:tab w:pos="646" w:val="left" w:leader="none"/>
        </w:tabs>
        <w:spacing w:line="240" w:lineRule="auto" w:before="60" w:after="0"/>
        <w:ind w:left="646" w:right="0" w:hanging="425"/>
        <w:jc w:val="left"/>
        <w:rPr>
          <w:sz w:val="24"/>
        </w:rPr>
      </w:pPr>
      <w:r>
        <w:rPr>
          <w:rFonts w:ascii="Times New Roman" w:hAnsi="Times New Roman" w:eastAsia="Times New Roman"/>
          <w:sz w:val="24"/>
        </w:rPr>
        <w:t>FSH</w:t>
      </w:r>
      <w:r>
        <w:rPr>
          <w:rFonts w:ascii="Times New Roman" w:hAnsi="Times New Roman" w:eastAsia="Times New Roman"/>
          <w:spacing w:val="-15"/>
          <w:sz w:val="24"/>
        </w:rPr>
        <w:t> </w:t>
      </w:r>
      <w:r>
        <w:rPr>
          <w:spacing w:val="-1"/>
          <w:sz w:val="24"/>
        </w:rPr>
        <w:t>水平在绝经后范围内。</w:t>
      </w:r>
    </w:p>
    <w:p>
      <w:pPr>
        <w:pStyle w:val="BodyText"/>
        <w:spacing w:before="22"/>
        <w:ind w:left="0"/>
      </w:pPr>
    </w:p>
    <w:p>
      <w:pPr>
        <w:pStyle w:val="BodyText"/>
        <w:spacing w:line="276" w:lineRule="auto"/>
        <w:ind w:right="356" w:firstLine="480"/>
        <w:jc w:val="both"/>
      </w:pPr>
      <w:r>
        <w:rPr/>
        <w:t>对于年龄</w:t>
      </w:r>
      <w:r>
        <w:rPr>
          <w:rFonts w:ascii="Times New Roman" w:hAnsi="Times New Roman" w:eastAsia="Times New Roman"/>
        </w:rPr>
        <w:t>≥50</w:t>
      </w:r>
      <w:r>
        <w:rPr>
          <w:rFonts w:ascii="Times New Roman" w:hAnsi="Times New Roman" w:eastAsia="Times New Roman"/>
          <w:spacing w:val="-15"/>
        </w:rPr>
        <w:t> </w:t>
      </w:r>
      <w:r>
        <w:rPr/>
        <w:t>岁的女性，绝经后定义为停止外源性性激素治疗后有</w:t>
      </w:r>
      <w:r>
        <w:rPr>
          <w:rFonts w:ascii="Times New Roman" w:hAnsi="Times New Roman" w:eastAsia="Times New Roman"/>
        </w:rPr>
        <w:t>≥12</w:t>
      </w:r>
      <w:r>
        <w:rPr>
          <w:rFonts w:ascii="Times New Roman" w:hAnsi="Times New Roman" w:eastAsia="Times New Roman"/>
          <w:spacing w:val="-15"/>
        </w:rPr>
        <w:t> </w:t>
      </w:r>
      <w:r>
        <w:rPr/>
        <w:t>个月闭经</w:t>
      </w:r>
      <w:r>
        <w:rPr>
          <w:spacing w:val="-2"/>
        </w:rPr>
        <w:t>史，且无其他闭经原因。</w:t>
      </w:r>
    </w:p>
    <w:p>
      <w:pPr>
        <w:pStyle w:val="BodyText"/>
        <w:spacing w:line="276" w:lineRule="auto" w:before="239"/>
        <w:ind w:right="357" w:firstLine="480"/>
        <w:jc w:val="both"/>
      </w:pPr>
      <w:r>
        <w:rPr>
          <w:spacing w:val="-2"/>
        </w:rPr>
        <w:t>高效避孕方法，定义为持续正确使用时失败率较低（</w:t>
      </w:r>
      <w:r>
        <w:rPr>
          <w:spacing w:val="-5"/>
        </w:rPr>
        <w:t>即，年失败率低于 </w:t>
      </w:r>
      <w:r>
        <w:rPr>
          <w:rFonts w:ascii="Times New Roman" w:eastAsia="Times New Roman"/>
          <w:spacing w:val="-2"/>
        </w:rPr>
        <w:t>1%</w:t>
      </w:r>
      <w:r>
        <w:rPr>
          <w:spacing w:val="-2"/>
        </w:rPr>
        <w:t>）</w:t>
      </w:r>
      <w:r>
        <w:rPr>
          <w:spacing w:val="-2"/>
        </w:rPr>
        <w:t>的</w:t>
      </w:r>
      <w:r>
        <w:rPr/>
        <w:t>避孕方法。可接受的避孕方法请见下文</w:t>
      </w:r>
      <w:hyperlink w:history="true" w:anchor="_bookmark160">
        <w:r>
          <w:rPr>
            <w:color w:val="0000FF"/>
            <w:spacing w:val="-15"/>
          </w:rPr>
          <w:t>表 </w:t>
        </w:r>
        <w:r>
          <w:rPr>
            <w:rFonts w:ascii="Times New Roman" w:eastAsia="Times New Roman"/>
            <w:color w:val="0000FF"/>
          </w:rPr>
          <w:t>E1</w:t>
        </w:r>
      </w:hyperlink>
      <w:r>
        <w:rPr/>
        <w:t>。女性患者必须使用以下非激素或激素</w:t>
      </w:r>
      <w:r>
        <w:rPr>
          <w:spacing w:val="-2"/>
        </w:rPr>
        <w:t>方法之一，同时使用避孕套。</w:t>
      </w:r>
    </w:p>
    <w:p>
      <w:pPr>
        <w:tabs>
          <w:tab w:pos="1923" w:val="left" w:leader="none"/>
        </w:tabs>
        <w:spacing w:line="460" w:lineRule="auto" w:before="237"/>
        <w:ind w:left="221" w:right="2885" w:firstLine="480"/>
        <w:jc w:val="both"/>
        <w:rPr>
          <w:b/>
          <w:sz w:val="24"/>
        </w:rPr>
      </w:pPr>
      <w:r>
        <w:rPr/>
        <mc:AlternateContent>
          <mc:Choice Requires="wps">
            <w:drawing>
              <wp:anchor distT="0" distB="0" distL="0" distR="0" allowOverlap="1" layoutInCell="1" locked="0" behindDoc="0" simplePos="0" relativeHeight="15735296">
                <wp:simplePos x="0" y="0"/>
                <wp:positionH relativeFrom="page">
                  <wp:posOffset>1043177</wp:posOffset>
                </wp:positionH>
                <wp:positionV relativeFrom="paragraph">
                  <wp:posOffset>805871</wp:posOffset>
                </wp:positionV>
                <wp:extent cx="5642610" cy="181991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5642610" cy="1819910"/>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25"/>
                              <w:gridCol w:w="4936"/>
                            </w:tblGrid>
                            <w:tr>
                              <w:trPr>
                                <w:trHeight w:val="352" w:hRule="atLeast"/>
                              </w:trPr>
                              <w:tc>
                                <w:tcPr>
                                  <w:tcW w:w="3825" w:type="dxa"/>
                                </w:tcPr>
                                <w:p>
                                  <w:pPr>
                                    <w:pStyle w:val="TableParagraph"/>
                                    <w:spacing w:before="38"/>
                                    <w:ind w:left="3"/>
                                    <w:jc w:val="center"/>
                                    <w:rPr>
                                      <w:b/>
                                      <w:sz w:val="21"/>
                                    </w:rPr>
                                  </w:pPr>
                                  <w:r>
                                    <w:rPr>
                                      <w:b/>
                                      <w:spacing w:val="-4"/>
                                      <w:sz w:val="21"/>
                                    </w:rPr>
                                    <w:t>非激素法</w:t>
                                  </w:r>
                                </w:p>
                              </w:tc>
                              <w:tc>
                                <w:tcPr>
                                  <w:tcW w:w="4936" w:type="dxa"/>
                                </w:tcPr>
                                <w:p>
                                  <w:pPr>
                                    <w:pStyle w:val="TableParagraph"/>
                                    <w:spacing w:before="38"/>
                                    <w:ind w:left="3"/>
                                    <w:jc w:val="center"/>
                                    <w:rPr>
                                      <w:b/>
                                      <w:sz w:val="21"/>
                                    </w:rPr>
                                  </w:pPr>
                                  <w:r>
                                    <w:rPr>
                                      <w:b/>
                                      <w:spacing w:val="-5"/>
                                      <w:sz w:val="21"/>
                                    </w:rPr>
                                    <w:t>激素法</w:t>
                                  </w:r>
                                </w:p>
                              </w:tc>
                            </w:tr>
                            <w:tr>
                              <w:trPr>
                                <w:trHeight w:val="2499" w:hRule="atLeast"/>
                              </w:trPr>
                              <w:tc>
                                <w:tcPr>
                                  <w:tcW w:w="3825" w:type="dxa"/>
                                </w:tcPr>
                                <w:p>
                                  <w:pPr>
                                    <w:pStyle w:val="TableParagraph"/>
                                    <w:spacing w:before="38"/>
                                    <w:ind w:left="2"/>
                                    <w:jc w:val="center"/>
                                    <w:rPr>
                                      <w:sz w:val="21"/>
                                    </w:rPr>
                                  </w:pPr>
                                  <w:r>
                                    <w:rPr>
                                      <w:spacing w:val="-2"/>
                                      <w:sz w:val="21"/>
                                    </w:rPr>
                                    <w:t>含铜宫内节育器</w:t>
                                  </w:r>
                                </w:p>
                                <w:p>
                                  <w:pPr>
                                    <w:pStyle w:val="TableParagraph"/>
                                    <w:spacing w:line="273" w:lineRule="auto" w:before="39"/>
                                    <w:ind w:left="136" w:right="132"/>
                                    <w:jc w:val="center"/>
                                    <w:rPr>
                                      <w:rFonts w:ascii="Times New Roman" w:eastAsia="Times New Roman"/>
                                      <w:sz w:val="21"/>
                                    </w:rPr>
                                  </w:pPr>
                                  <w:r>
                                    <w:rPr>
                                      <w:spacing w:val="-2"/>
                                      <w:sz w:val="21"/>
                                    </w:rPr>
                                    <w:t>双侧输卵管结扎（警告：失败率</w:t>
                                  </w:r>
                                  <w:r>
                                    <w:rPr>
                                      <w:rFonts w:ascii="Times New Roman" w:eastAsia="Times New Roman"/>
                                      <w:spacing w:val="-2"/>
                                      <w:sz w:val="21"/>
                                    </w:rPr>
                                    <w:t>&gt;1%</w:t>
                                  </w:r>
                                  <w:r>
                                    <w:rPr>
                                      <w:spacing w:val="-2"/>
                                      <w:sz w:val="21"/>
                                    </w:rPr>
                                    <w:t>）</w:t>
                                  </w:r>
                                  <w:r>
                                    <w:rPr>
                                      <w:spacing w:val="-5"/>
                                      <w:sz w:val="21"/>
                                    </w:rPr>
                                    <w:t>伴侣输精管切除术 </w:t>
                                  </w:r>
                                  <w:r>
                                    <w:rPr>
                                      <w:rFonts w:ascii="Times New Roman" w:eastAsia="Times New Roman"/>
                                      <w:sz w:val="21"/>
                                      <w:vertAlign w:val="superscript"/>
                                    </w:rPr>
                                    <w:t>a</w:t>
                                  </w:r>
                                </w:p>
                                <w:p>
                                  <w:pPr>
                                    <w:pStyle w:val="TableParagraph"/>
                                    <w:spacing w:before="1"/>
                                    <w:ind w:left="2"/>
                                    <w:jc w:val="center"/>
                                    <w:rPr>
                                      <w:rFonts w:ascii="Times New Roman" w:eastAsia="Times New Roman"/>
                                      <w:sz w:val="21"/>
                                    </w:rPr>
                                  </w:pPr>
                                  <w:r>
                                    <w:rPr>
                                      <w:spacing w:val="-18"/>
                                      <w:sz w:val="21"/>
                                    </w:rPr>
                                    <w:t>节欲 </w:t>
                                  </w:r>
                                  <w:r>
                                    <w:rPr>
                                      <w:rFonts w:ascii="Times New Roman" w:eastAsia="Times New Roman"/>
                                      <w:spacing w:val="-10"/>
                                      <w:sz w:val="21"/>
                                      <w:vertAlign w:val="superscript"/>
                                    </w:rPr>
                                    <w:t>b</w:t>
                                  </w:r>
                                </w:p>
                              </w:tc>
                              <w:tc>
                                <w:tcPr>
                                  <w:tcW w:w="4936" w:type="dxa"/>
                                </w:tcPr>
                                <w:p>
                                  <w:pPr>
                                    <w:pStyle w:val="TableParagraph"/>
                                    <w:spacing w:before="38"/>
                                    <w:ind w:left="2"/>
                                    <w:jc w:val="center"/>
                                    <w:rPr>
                                      <w:sz w:val="21"/>
                                    </w:rPr>
                                  </w:pPr>
                                  <w:r>
                                    <w:rPr>
                                      <w:sz w:val="21"/>
                                    </w:rPr>
                                    <w:t>联合（含雌激素和孕激素的激素避孕法</w:t>
                                  </w:r>
                                  <w:r>
                                    <w:rPr>
                                      <w:spacing w:val="-10"/>
                                      <w:sz w:val="21"/>
                                    </w:rPr>
                                    <w:t>）</w:t>
                                  </w:r>
                                </w:p>
                                <w:p>
                                  <w:pPr>
                                    <w:pStyle w:val="TableParagraph"/>
                                    <w:spacing w:line="273" w:lineRule="auto" w:before="39"/>
                                    <w:ind w:left="116" w:right="110"/>
                                    <w:jc w:val="center"/>
                                    <w:rPr>
                                      <w:sz w:val="21"/>
                                    </w:rPr>
                                  </w:pPr>
                                  <w:r>
                                    <w:rPr>
                                      <w:spacing w:val="-2"/>
                                      <w:sz w:val="21"/>
                                    </w:rPr>
                                    <w:t>含激素的宫内节育器（</w:t>
                                  </w:r>
                                  <w:r>
                                    <w:rPr>
                                      <w:rFonts w:ascii="Times New Roman" w:eastAsia="Times New Roman"/>
                                      <w:spacing w:val="-2"/>
                                      <w:sz w:val="21"/>
                                    </w:rPr>
                                    <w:t>IUD</w:t>
                                  </w:r>
                                  <w:r>
                                    <w:rPr>
                                      <w:spacing w:val="-2"/>
                                      <w:sz w:val="21"/>
                                    </w:rPr>
                                    <w:t>，例如曼月乐、</w:t>
                                  </w:r>
                                  <w:r>
                                    <w:rPr>
                                      <w:rFonts w:ascii="Times New Roman" w:eastAsia="Times New Roman"/>
                                      <w:spacing w:val="-2"/>
                                      <w:sz w:val="21"/>
                                    </w:rPr>
                                    <w:t>Liletta</w:t>
                                  </w:r>
                                  <w:r>
                                    <w:rPr>
                                      <w:spacing w:val="-2"/>
                                      <w:sz w:val="21"/>
                                    </w:rPr>
                                    <w:t>）口服（复方避孕丸）</w:t>
                                  </w:r>
                                </w:p>
                                <w:p>
                                  <w:pPr>
                                    <w:pStyle w:val="TableParagraph"/>
                                    <w:spacing w:line="276" w:lineRule="auto" w:before="1"/>
                                    <w:ind w:left="695" w:right="691"/>
                                    <w:jc w:val="center"/>
                                    <w:rPr>
                                      <w:sz w:val="21"/>
                                    </w:rPr>
                                  </w:pPr>
                                  <w:r>
                                    <w:rPr>
                                      <w:spacing w:val="-2"/>
                                      <w:sz w:val="21"/>
                                    </w:rPr>
                                    <w:t>甲羟孕酮注射液（</w:t>
                                  </w:r>
                                  <w:r>
                                    <w:rPr>
                                      <w:spacing w:val="-16"/>
                                      <w:sz w:val="21"/>
                                    </w:rPr>
                                    <w:t>例如 </w:t>
                                  </w:r>
                                  <w:r>
                                    <w:rPr>
                                      <w:rFonts w:ascii="Times New Roman" w:eastAsia="Times New Roman"/>
                                      <w:spacing w:val="-2"/>
                                      <w:sz w:val="21"/>
                                    </w:rPr>
                                    <w:t>Depo-Provera</w:t>
                                  </w:r>
                                  <w:r>
                                    <w:rPr>
                                      <w:spacing w:val="-2"/>
                                      <w:sz w:val="21"/>
                                    </w:rPr>
                                    <w:t>）透皮避孕药（贴剂）</w:t>
                                  </w:r>
                                </w:p>
                                <w:p>
                                  <w:pPr>
                                    <w:pStyle w:val="TableParagraph"/>
                                    <w:spacing w:line="270" w:lineRule="exact"/>
                                    <w:ind w:left="1"/>
                                    <w:jc w:val="center"/>
                                    <w:rPr>
                                      <w:sz w:val="21"/>
                                    </w:rPr>
                                  </w:pPr>
                                  <w:r>
                                    <w:rPr>
                                      <w:sz w:val="21"/>
                                    </w:rPr>
                                    <w:t>阴道内避孕装置（</w:t>
                                  </w:r>
                                  <w:r>
                                    <w:rPr>
                                      <w:spacing w:val="-1"/>
                                      <w:sz w:val="21"/>
                                    </w:rPr>
                                    <w:t>例如，炔雌醇和依托孕烯</w:t>
                                  </w:r>
                                </w:p>
                                <w:p>
                                  <w:pPr>
                                    <w:pStyle w:val="TableParagraph"/>
                                    <w:spacing w:line="273" w:lineRule="exact"/>
                                    <w:ind w:left="4"/>
                                    <w:jc w:val="center"/>
                                    <w:rPr>
                                      <w:sz w:val="21"/>
                                    </w:rPr>
                                  </w:pPr>
                                  <w:r>
                                    <w:rPr>
                                      <w:rFonts w:ascii="Times New Roman" w:eastAsia="Times New Roman"/>
                                      <w:spacing w:val="-2"/>
                                      <w:sz w:val="21"/>
                                    </w:rPr>
                                    <w:t>[Nuvaring]</w:t>
                                  </w:r>
                                  <w:r>
                                    <w:rPr>
                                      <w:spacing w:val="-2"/>
                                      <w:sz w:val="21"/>
                                    </w:rPr>
                                    <w:t>）</w:t>
                                  </w:r>
                                </w:p>
                                <w:p>
                                  <w:pPr>
                                    <w:pStyle w:val="TableParagraph"/>
                                    <w:spacing w:before="39"/>
                                    <w:jc w:val="center"/>
                                    <w:rPr>
                                      <w:sz w:val="21"/>
                                    </w:rPr>
                                  </w:pPr>
                                  <w:r>
                                    <w:rPr>
                                      <w:sz w:val="21"/>
                                    </w:rPr>
                                    <w:t>依托孕烯皮下植入剂</w:t>
                                  </w:r>
                                  <w:r>
                                    <w:rPr>
                                      <w:spacing w:val="-2"/>
                                      <w:sz w:val="21"/>
                                    </w:rPr>
                                    <w:t>（</w:t>
                                  </w:r>
                                  <w:r>
                                    <w:rPr>
                                      <w:rFonts w:ascii="Times New Roman" w:eastAsia="Times New Roman"/>
                                      <w:spacing w:val="-2"/>
                                      <w:sz w:val="21"/>
                                    </w:rPr>
                                    <w:t>SDI</w:t>
                                  </w:r>
                                  <w:r>
                                    <w:rPr>
                                      <w:spacing w:val="-2"/>
                                      <w:sz w:val="21"/>
                                    </w:rPr>
                                    <w:t>）</w:t>
                                  </w:r>
                                </w:p>
                              </w:tc>
                            </w:tr>
                          </w:tbl>
                          <w:p>
                            <w:pPr>
                              <w:pStyle w:val="BodyText"/>
                              <w:ind w:left="0"/>
                            </w:pPr>
                          </w:p>
                        </w:txbxContent>
                      </wps:txbx>
                      <wps:bodyPr wrap="square" lIns="0" tIns="0" rIns="0" bIns="0" rtlCol="0">
                        <a:noAutofit/>
                      </wps:bodyPr>
                    </wps:wsp>
                  </a:graphicData>
                </a:graphic>
              </wp:anchor>
            </w:drawing>
          </mc:Choice>
          <mc:Fallback>
            <w:pict>
              <v:shape style="position:absolute;margin-left:82.139999pt;margin-top:63.454464pt;width:444.3pt;height:143.3pt;mso-position-horizontal-relative:page;mso-position-vertical-relative:paragraph;z-index:15735296" type="#_x0000_t202" id="docshape106"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25"/>
                        <w:gridCol w:w="4936"/>
                      </w:tblGrid>
                      <w:tr>
                        <w:trPr>
                          <w:trHeight w:val="352" w:hRule="atLeast"/>
                        </w:trPr>
                        <w:tc>
                          <w:tcPr>
                            <w:tcW w:w="3825" w:type="dxa"/>
                          </w:tcPr>
                          <w:p>
                            <w:pPr>
                              <w:pStyle w:val="TableParagraph"/>
                              <w:spacing w:before="38"/>
                              <w:ind w:left="3"/>
                              <w:jc w:val="center"/>
                              <w:rPr>
                                <w:b/>
                                <w:sz w:val="21"/>
                              </w:rPr>
                            </w:pPr>
                            <w:r>
                              <w:rPr>
                                <w:b/>
                                <w:spacing w:val="-4"/>
                                <w:sz w:val="21"/>
                              </w:rPr>
                              <w:t>非激素法</w:t>
                            </w:r>
                          </w:p>
                        </w:tc>
                        <w:tc>
                          <w:tcPr>
                            <w:tcW w:w="4936" w:type="dxa"/>
                          </w:tcPr>
                          <w:p>
                            <w:pPr>
                              <w:pStyle w:val="TableParagraph"/>
                              <w:spacing w:before="38"/>
                              <w:ind w:left="3"/>
                              <w:jc w:val="center"/>
                              <w:rPr>
                                <w:b/>
                                <w:sz w:val="21"/>
                              </w:rPr>
                            </w:pPr>
                            <w:r>
                              <w:rPr>
                                <w:b/>
                                <w:spacing w:val="-5"/>
                                <w:sz w:val="21"/>
                              </w:rPr>
                              <w:t>激素法</w:t>
                            </w:r>
                          </w:p>
                        </w:tc>
                      </w:tr>
                      <w:tr>
                        <w:trPr>
                          <w:trHeight w:val="2499" w:hRule="atLeast"/>
                        </w:trPr>
                        <w:tc>
                          <w:tcPr>
                            <w:tcW w:w="3825" w:type="dxa"/>
                          </w:tcPr>
                          <w:p>
                            <w:pPr>
                              <w:pStyle w:val="TableParagraph"/>
                              <w:spacing w:before="38"/>
                              <w:ind w:left="2"/>
                              <w:jc w:val="center"/>
                              <w:rPr>
                                <w:sz w:val="21"/>
                              </w:rPr>
                            </w:pPr>
                            <w:r>
                              <w:rPr>
                                <w:spacing w:val="-2"/>
                                <w:sz w:val="21"/>
                              </w:rPr>
                              <w:t>含铜宫内节育器</w:t>
                            </w:r>
                          </w:p>
                          <w:p>
                            <w:pPr>
                              <w:pStyle w:val="TableParagraph"/>
                              <w:spacing w:line="273" w:lineRule="auto" w:before="39"/>
                              <w:ind w:left="136" w:right="132"/>
                              <w:jc w:val="center"/>
                              <w:rPr>
                                <w:rFonts w:ascii="Times New Roman" w:eastAsia="Times New Roman"/>
                                <w:sz w:val="21"/>
                              </w:rPr>
                            </w:pPr>
                            <w:r>
                              <w:rPr>
                                <w:spacing w:val="-2"/>
                                <w:sz w:val="21"/>
                              </w:rPr>
                              <w:t>双侧输卵管结扎（警告：失败率</w:t>
                            </w:r>
                            <w:r>
                              <w:rPr>
                                <w:rFonts w:ascii="Times New Roman" w:eastAsia="Times New Roman"/>
                                <w:spacing w:val="-2"/>
                                <w:sz w:val="21"/>
                              </w:rPr>
                              <w:t>&gt;1%</w:t>
                            </w:r>
                            <w:r>
                              <w:rPr>
                                <w:spacing w:val="-2"/>
                                <w:sz w:val="21"/>
                              </w:rPr>
                              <w:t>）</w:t>
                            </w:r>
                            <w:r>
                              <w:rPr>
                                <w:spacing w:val="-5"/>
                                <w:sz w:val="21"/>
                              </w:rPr>
                              <w:t>伴侣输精管切除术 </w:t>
                            </w:r>
                            <w:r>
                              <w:rPr>
                                <w:rFonts w:ascii="Times New Roman" w:eastAsia="Times New Roman"/>
                                <w:sz w:val="21"/>
                                <w:vertAlign w:val="superscript"/>
                              </w:rPr>
                              <w:t>a</w:t>
                            </w:r>
                          </w:p>
                          <w:p>
                            <w:pPr>
                              <w:pStyle w:val="TableParagraph"/>
                              <w:spacing w:before="1"/>
                              <w:ind w:left="2"/>
                              <w:jc w:val="center"/>
                              <w:rPr>
                                <w:rFonts w:ascii="Times New Roman" w:eastAsia="Times New Roman"/>
                                <w:sz w:val="21"/>
                              </w:rPr>
                            </w:pPr>
                            <w:r>
                              <w:rPr>
                                <w:spacing w:val="-18"/>
                                <w:sz w:val="21"/>
                              </w:rPr>
                              <w:t>节欲 </w:t>
                            </w:r>
                            <w:r>
                              <w:rPr>
                                <w:rFonts w:ascii="Times New Roman" w:eastAsia="Times New Roman"/>
                                <w:spacing w:val="-10"/>
                                <w:sz w:val="21"/>
                                <w:vertAlign w:val="superscript"/>
                              </w:rPr>
                              <w:t>b</w:t>
                            </w:r>
                          </w:p>
                        </w:tc>
                        <w:tc>
                          <w:tcPr>
                            <w:tcW w:w="4936" w:type="dxa"/>
                          </w:tcPr>
                          <w:p>
                            <w:pPr>
                              <w:pStyle w:val="TableParagraph"/>
                              <w:spacing w:before="38"/>
                              <w:ind w:left="2"/>
                              <w:jc w:val="center"/>
                              <w:rPr>
                                <w:sz w:val="21"/>
                              </w:rPr>
                            </w:pPr>
                            <w:r>
                              <w:rPr>
                                <w:sz w:val="21"/>
                              </w:rPr>
                              <w:t>联合（含雌激素和孕激素的激素避孕法</w:t>
                            </w:r>
                            <w:r>
                              <w:rPr>
                                <w:spacing w:val="-10"/>
                                <w:sz w:val="21"/>
                              </w:rPr>
                              <w:t>）</w:t>
                            </w:r>
                          </w:p>
                          <w:p>
                            <w:pPr>
                              <w:pStyle w:val="TableParagraph"/>
                              <w:spacing w:line="273" w:lineRule="auto" w:before="39"/>
                              <w:ind w:left="116" w:right="110"/>
                              <w:jc w:val="center"/>
                              <w:rPr>
                                <w:sz w:val="21"/>
                              </w:rPr>
                            </w:pPr>
                            <w:r>
                              <w:rPr>
                                <w:spacing w:val="-2"/>
                                <w:sz w:val="21"/>
                              </w:rPr>
                              <w:t>含激素的宫内节育器（</w:t>
                            </w:r>
                            <w:r>
                              <w:rPr>
                                <w:rFonts w:ascii="Times New Roman" w:eastAsia="Times New Roman"/>
                                <w:spacing w:val="-2"/>
                                <w:sz w:val="21"/>
                              </w:rPr>
                              <w:t>IUD</w:t>
                            </w:r>
                            <w:r>
                              <w:rPr>
                                <w:spacing w:val="-2"/>
                                <w:sz w:val="21"/>
                              </w:rPr>
                              <w:t>，例如曼月乐、</w:t>
                            </w:r>
                            <w:r>
                              <w:rPr>
                                <w:rFonts w:ascii="Times New Roman" w:eastAsia="Times New Roman"/>
                                <w:spacing w:val="-2"/>
                                <w:sz w:val="21"/>
                              </w:rPr>
                              <w:t>Liletta</w:t>
                            </w:r>
                            <w:r>
                              <w:rPr>
                                <w:spacing w:val="-2"/>
                                <w:sz w:val="21"/>
                              </w:rPr>
                              <w:t>）口服（复方避孕丸）</w:t>
                            </w:r>
                          </w:p>
                          <w:p>
                            <w:pPr>
                              <w:pStyle w:val="TableParagraph"/>
                              <w:spacing w:line="276" w:lineRule="auto" w:before="1"/>
                              <w:ind w:left="695" w:right="691"/>
                              <w:jc w:val="center"/>
                              <w:rPr>
                                <w:sz w:val="21"/>
                              </w:rPr>
                            </w:pPr>
                            <w:r>
                              <w:rPr>
                                <w:spacing w:val="-2"/>
                                <w:sz w:val="21"/>
                              </w:rPr>
                              <w:t>甲羟孕酮注射液（</w:t>
                            </w:r>
                            <w:r>
                              <w:rPr>
                                <w:spacing w:val="-16"/>
                                <w:sz w:val="21"/>
                              </w:rPr>
                              <w:t>例如 </w:t>
                            </w:r>
                            <w:r>
                              <w:rPr>
                                <w:rFonts w:ascii="Times New Roman" w:eastAsia="Times New Roman"/>
                                <w:spacing w:val="-2"/>
                                <w:sz w:val="21"/>
                              </w:rPr>
                              <w:t>Depo-Provera</w:t>
                            </w:r>
                            <w:r>
                              <w:rPr>
                                <w:spacing w:val="-2"/>
                                <w:sz w:val="21"/>
                              </w:rPr>
                              <w:t>）透皮避孕药（贴剂）</w:t>
                            </w:r>
                          </w:p>
                          <w:p>
                            <w:pPr>
                              <w:pStyle w:val="TableParagraph"/>
                              <w:spacing w:line="270" w:lineRule="exact"/>
                              <w:ind w:left="1"/>
                              <w:jc w:val="center"/>
                              <w:rPr>
                                <w:sz w:val="21"/>
                              </w:rPr>
                            </w:pPr>
                            <w:r>
                              <w:rPr>
                                <w:sz w:val="21"/>
                              </w:rPr>
                              <w:t>阴道内避孕装置（</w:t>
                            </w:r>
                            <w:r>
                              <w:rPr>
                                <w:spacing w:val="-1"/>
                                <w:sz w:val="21"/>
                              </w:rPr>
                              <w:t>例如，炔雌醇和依托孕烯</w:t>
                            </w:r>
                          </w:p>
                          <w:p>
                            <w:pPr>
                              <w:pStyle w:val="TableParagraph"/>
                              <w:spacing w:line="273" w:lineRule="exact"/>
                              <w:ind w:left="4"/>
                              <w:jc w:val="center"/>
                              <w:rPr>
                                <w:sz w:val="21"/>
                              </w:rPr>
                            </w:pPr>
                            <w:r>
                              <w:rPr>
                                <w:rFonts w:ascii="Times New Roman" w:eastAsia="Times New Roman"/>
                                <w:spacing w:val="-2"/>
                                <w:sz w:val="21"/>
                              </w:rPr>
                              <w:t>[Nuvaring]</w:t>
                            </w:r>
                            <w:r>
                              <w:rPr>
                                <w:spacing w:val="-2"/>
                                <w:sz w:val="21"/>
                              </w:rPr>
                              <w:t>）</w:t>
                            </w:r>
                          </w:p>
                          <w:p>
                            <w:pPr>
                              <w:pStyle w:val="TableParagraph"/>
                              <w:spacing w:before="39"/>
                              <w:jc w:val="center"/>
                              <w:rPr>
                                <w:sz w:val="21"/>
                              </w:rPr>
                            </w:pPr>
                            <w:r>
                              <w:rPr>
                                <w:sz w:val="21"/>
                              </w:rPr>
                              <w:t>依托孕烯皮下植入剂</w:t>
                            </w:r>
                            <w:r>
                              <w:rPr>
                                <w:spacing w:val="-2"/>
                                <w:sz w:val="21"/>
                              </w:rPr>
                              <w:t>（</w:t>
                            </w:r>
                            <w:r>
                              <w:rPr>
                                <w:rFonts w:ascii="Times New Roman" w:eastAsia="Times New Roman"/>
                                <w:spacing w:val="-2"/>
                                <w:sz w:val="21"/>
                              </w:rPr>
                              <w:t>SDI</w:t>
                            </w:r>
                            <w:r>
                              <w:rPr>
                                <w:spacing w:val="-2"/>
                                <w:sz w:val="21"/>
                              </w:rPr>
                              <w:t>）</w:t>
                            </w:r>
                          </w:p>
                        </w:tc>
                      </w:tr>
                    </w:tbl>
                    <w:p>
                      <w:pPr>
                        <w:pStyle w:val="BodyText"/>
                        <w:ind w:left="0"/>
                      </w:pPr>
                    </w:p>
                  </w:txbxContent>
                </v:textbox>
                <w10:wrap type="none"/>
              </v:shape>
            </w:pict>
          </mc:Fallback>
        </mc:AlternateContent>
      </w:r>
      <w:r>
        <w:rPr>
          <w:spacing w:val="-2"/>
          <w:sz w:val="24"/>
        </w:rPr>
        <w:t>不可采取定期禁欲、安全期避孕和体外射精避孕方法</w:t>
      </w:r>
      <w:r>
        <w:rPr>
          <w:spacing w:val="-2"/>
          <w:sz w:val="24"/>
        </w:rPr>
        <w:t>。</w:t>
      </w:r>
      <w:bookmarkStart w:name="_bookmark160" w:id="329"/>
      <w:bookmarkEnd w:id="329"/>
      <w:r>
        <w:rPr>
          <w:sz w:val="24"/>
        </w:rPr>
      </w:r>
      <w:r>
        <w:rPr>
          <w:b/>
          <w:sz w:val="24"/>
        </w:rPr>
        <w:t>表</w:t>
      </w:r>
      <w:r>
        <w:rPr>
          <w:b/>
          <w:spacing w:val="-40"/>
          <w:sz w:val="24"/>
        </w:rPr>
        <w:t> </w:t>
      </w:r>
      <w:r>
        <w:rPr>
          <w:rFonts w:ascii="Times New Roman" w:eastAsia="Times New Roman"/>
          <w:b/>
          <w:sz w:val="24"/>
        </w:rPr>
        <w:t>E1</w:t>
        <w:tab/>
      </w:r>
      <w:r>
        <w:rPr>
          <w:b/>
          <w:spacing w:val="-2"/>
          <w:sz w:val="24"/>
        </w:rPr>
        <w:t>高效避孕方法</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42"/>
        <w:ind w:left="0"/>
        <w:rPr>
          <w:b/>
        </w:rPr>
      </w:pPr>
    </w:p>
    <w:p>
      <w:pPr>
        <w:tabs>
          <w:tab w:pos="646" w:val="left" w:leader="none"/>
        </w:tabs>
        <w:spacing w:before="1"/>
        <w:ind w:left="221" w:right="0" w:firstLine="0"/>
        <w:jc w:val="left"/>
        <w:rPr>
          <w:sz w:val="21"/>
        </w:rPr>
      </w:pPr>
      <w:r>
        <w:rPr>
          <w:rFonts w:ascii="Times New Roman" w:eastAsia="Times New Roman"/>
          <w:spacing w:val="-10"/>
          <w:sz w:val="21"/>
          <w:vertAlign w:val="superscript"/>
        </w:rPr>
        <w:t>a</w:t>
      </w:r>
      <w:r>
        <w:rPr>
          <w:rFonts w:ascii="Times New Roman" w:eastAsia="Times New Roman"/>
          <w:sz w:val="21"/>
          <w:vertAlign w:val="baseline"/>
        </w:rPr>
        <w:tab/>
      </w:r>
      <w:r>
        <w:rPr>
          <w:sz w:val="21"/>
          <w:vertAlign w:val="baseline"/>
        </w:rPr>
        <w:t>具有表明输精管切除术后手术成功的证据（精液中不存在精子）</w:t>
      </w:r>
      <w:r>
        <w:rPr>
          <w:spacing w:val="-10"/>
          <w:sz w:val="21"/>
          <w:vertAlign w:val="baseline"/>
        </w:rPr>
        <w:t>。</w:t>
      </w:r>
    </w:p>
    <w:p>
      <w:pPr>
        <w:tabs>
          <w:tab w:pos="646" w:val="left" w:leader="none"/>
        </w:tabs>
        <w:spacing w:before="37"/>
        <w:ind w:left="646" w:right="366" w:hanging="425"/>
        <w:jc w:val="left"/>
        <w:rPr>
          <w:sz w:val="21"/>
        </w:rPr>
      </w:pPr>
      <w:r>
        <w:rPr>
          <w:rFonts w:ascii="Times New Roman" w:eastAsia="Times New Roman"/>
          <w:w w:val="92"/>
          <w:sz w:val="21"/>
          <w:vertAlign w:val="superscript"/>
        </w:rPr>
        <w:t>b</w:t>
      </w:r>
      <w:r>
        <w:rPr>
          <w:rFonts w:ascii="Times New Roman" w:eastAsia="Times New Roman"/>
          <w:sz w:val="21"/>
          <w:vertAlign w:val="baseline"/>
        </w:rPr>
        <w:tab/>
      </w:r>
      <w:r>
        <w:rPr>
          <w:spacing w:val="1"/>
          <w:sz w:val="21"/>
          <w:vertAlign w:val="baseline"/>
        </w:rPr>
        <w:t>仅当整个研究期间避免异性性交且受试者将其作为首选的常规生活方式时，才认为节欲是一种高效的方法。</w:t>
      </w:r>
    </w:p>
    <w:p>
      <w:pPr>
        <w:pStyle w:val="BodyText"/>
        <w:spacing w:before="42"/>
        <w:ind w:left="0"/>
        <w:rPr>
          <w:sz w:val="21"/>
        </w:rPr>
      </w:pPr>
    </w:p>
    <w:p>
      <w:pPr>
        <w:pStyle w:val="BodyText"/>
        <w:ind w:left="701"/>
      </w:pPr>
      <w:r>
        <w:rPr>
          <w:spacing w:val="-2"/>
        </w:rPr>
        <w:t>无效避孕方法如下：</w:t>
      </w:r>
    </w:p>
    <w:p>
      <w:pPr>
        <w:pStyle w:val="ListParagraph"/>
        <w:numPr>
          <w:ilvl w:val="0"/>
          <w:numId w:val="57"/>
        </w:numPr>
        <w:tabs>
          <w:tab w:pos="646" w:val="left" w:leader="none"/>
        </w:tabs>
        <w:spacing w:line="240" w:lineRule="auto" w:before="287" w:after="0"/>
        <w:ind w:left="646" w:right="0" w:hanging="425"/>
        <w:jc w:val="left"/>
        <w:rPr>
          <w:sz w:val="24"/>
        </w:rPr>
      </w:pPr>
      <w:r>
        <w:rPr>
          <w:sz w:val="24"/>
        </w:rPr>
        <w:t>定期禁欲（日历法、症状体温法、排卵后法</w:t>
      </w:r>
      <w:r>
        <w:rPr>
          <w:spacing w:val="-10"/>
          <w:sz w:val="24"/>
        </w:rPr>
        <w:t>）</w:t>
      </w:r>
    </w:p>
    <w:p>
      <w:pPr>
        <w:pStyle w:val="ListParagraph"/>
        <w:numPr>
          <w:ilvl w:val="0"/>
          <w:numId w:val="57"/>
        </w:numPr>
        <w:tabs>
          <w:tab w:pos="646" w:val="left" w:leader="none"/>
        </w:tabs>
        <w:spacing w:line="240" w:lineRule="auto" w:before="59" w:after="0"/>
        <w:ind w:left="646" w:right="0" w:hanging="425"/>
        <w:jc w:val="left"/>
        <w:rPr>
          <w:sz w:val="24"/>
        </w:rPr>
      </w:pPr>
      <w:r>
        <w:rPr>
          <w:sz w:val="24"/>
        </w:rPr>
        <w:t>性交中断法（体外射精法</w:t>
      </w:r>
      <w:r>
        <w:rPr>
          <w:spacing w:val="-10"/>
          <w:sz w:val="24"/>
        </w:rPr>
        <w:t>）</w:t>
      </w:r>
    </w:p>
    <w:p>
      <w:pPr>
        <w:pStyle w:val="ListParagraph"/>
        <w:numPr>
          <w:ilvl w:val="0"/>
          <w:numId w:val="57"/>
        </w:numPr>
        <w:tabs>
          <w:tab w:pos="646" w:val="left" w:leader="none"/>
        </w:tabs>
        <w:spacing w:line="240" w:lineRule="auto" w:before="59" w:after="0"/>
        <w:ind w:left="646" w:right="0" w:hanging="425"/>
        <w:jc w:val="left"/>
        <w:rPr>
          <w:sz w:val="24"/>
        </w:rPr>
      </w:pPr>
      <w:r>
        <w:rPr>
          <w:spacing w:val="-4"/>
          <w:sz w:val="24"/>
        </w:rPr>
        <w:t>杀精剂</w:t>
      </w:r>
    </w:p>
    <w:p>
      <w:pPr>
        <w:pStyle w:val="ListParagraph"/>
        <w:numPr>
          <w:ilvl w:val="0"/>
          <w:numId w:val="57"/>
        </w:numPr>
        <w:tabs>
          <w:tab w:pos="646" w:val="left" w:leader="none"/>
        </w:tabs>
        <w:spacing w:line="240" w:lineRule="auto" w:before="60" w:after="0"/>
        <w:ind w:left="646" w:right="0" w:hanging="425"/>
        <w:jc w:val="left"/>
        <w:rPr>
          <w:sz w:val="24"/>
        </w:rPr>
      </w:pPr>
      <w:r>
        <w:rPr>
          <w:spacing w:val="-2"/>
          <w:sz w:val="24"/>
        </w:rPr>
        <w:t>哺乳期闭经</w:t>
      </w:r>
    </w:p>
    <w:p>
      <w:pPr>
        <w:pStyle w:val="ListParagraph"/>
        <w:numPr>
          <w:ilvl w:val="0"/>
          <w:numId w:val="57"/>
        </w:numPr>
        <w:tabs>
          <w:tab w:pos="646" w:val="left" w:leader="none"/>
        </w:tabs>
        <w:spacing w:line="240" w:lineRule="auto" w:before="59" w:after="0"/>
        <w:ind w:left="646" w:right="0" w:hanging="425"/>
        <w:jc w:val="left"/>
        <w:rPr>
          <w:sz w:val="24"/>
        </w:rPr>
      </w:pPr>
      <w:r>
        <w:rPr>
          <w:spacing w:val="-5"/>
          <w:sz w:val="24"/>
        </w:rPr>
        <w:t>其他非含激素或非含铜 </w:t>
      </w:r>
      <w:r>
        <w:rPr>
          <w:rFonts w:ascii="Times New Roman" w:hAnsi="Times New Roman" w:eastAsia="Times New Roman"/>
          <w:spacing w:val="-2"/>
          <w:sz w:val="24"/>
        </w:rPr>
        <w:t>IUD</w:t>
      </w:r>
      <w:r>
        <w:rPr>
          <w:spacing w:val="-2"/>
          <w:sz w:val="24"/>
        </w:rPr>
        <w:t>（</w:t>
      </w:r>
      <w:r>
        <w:rPr>
          <w:spacing w:val="-5"/>
          <w:sz w:val="24"/>
        </w:rPr>
        <w:t>或其他未列入可接受避孕方法的 </w:t>
      </w:r>
      <w:r>
        <w:rPr>
          <w:rFonts w:ascii="Times New Roman" w:hAnsi="Times New Roman" w:eastAsia="Times New Roman"/>
          <w:spacing w:val="-4"/>
          <w:sz w:val="24"/>
        </w:rPr>
        <w:t>IUD</w:t>
      </w:r>
      <w:r>
        <w:rPr>
          <w:spacing w:val="-4"/>
          <w:sz w:val="24"/>
        </w:rPr>
        <w:t>）</w:t>
      </w:r>
    </w:p>
    <w:p>
      <w:pPr>
        <w:pStyle w:val="ListParagraph"/>
        <w:numPr>
          <w:ilvl w:val="0"/>
          <w:numId w:val="57"/>
        </w:numPr>
        <w:tabs>
          <w:tab w:pos="646" w:val="left" w:leader="none"/>
        </w:tabs>
        <w:spacing w:line="240" w:lineRule="auto" w:before="60" w:after="0"/>
        <w:ind w:left="646" w:right="0" w:hanging="425"/>
        <w:jc w:val="left"/>
        <w:rPr>
          <w:sz w:val="24"/>
        </w:rPr>
      </w:pPr>
      <w:r>
        <w:rPr>
          <w:spacing w:val="-2"/>
          <w:sz w:val="24"/>
        </w:rPr>
        <w:t>复方三相口服避孕药</w:t>
      </w:r>
    </w:p>
    <w:p>
      <w:pPr>
        <w:spacing w:after="0" w:line="240" w:lineRule="auto"/>
        <w:jc w:val="left"/>
        <w:rPr>
          <w:sz w:val="24"/>
        </w:rPr>
        <w:sectPr>
          <w:pgSz w:w="11910" w:h="16840"/>
          <w:pgMar w:header="590" w:footer="784" w:top="1340" w:bottom="980" w:left="1480" w:right="1080"/>
        </w:sectPr>
      </w:pPr>
    </w:p>
    <w:p>
      <w:pPr>
        <w:pStyle w:val="ListParagraph"/>
        <w:numPr>
          <w:ilvl w:val="0"/>
          <w:numId w:val="57"/>
        </w:numPr>
        <w:tabs>
          <w:tab w:pos="646" w:val="left" w:leader="none"/>
        </w:tabs>
        <w:spacing w:line="240" w:lineRule="auto" w:before="88" w:after="0"/>
        <w:ind w:left="646" w:right="0" w:hanging="425"/>
        <w:jc w:val="left"/>
        <w:rPr>
          <w:sz w:val="24"/>
        </w:rPr>
      </w:pPr>
      <w:r>
        <w:rPr>
          <w:sz w:val="24"/>
        </w:rPr>
        <w:t>仅含孕激素的口服避孕药（</w:t>
      </w:r>
      <w:r>
        <w:rPr>
          <w:rFonts w:ascii="Times New Roman" w:hAnsi="Times New Roman" w:eastAsia="Times New Roman"/>
          <w:sz w:val="24"/>
        </w:rPr>
        <w:t>Cerazette</w:t>
      </w:r>
      <w:r>
        <w:rPr>
          <w:rFonts w:ascii="Times New Roman" w:hAnsi="Times New Roman" w:eastAsia="Times New Roman"/>
          <w:spacing w:val="-12"/>
          <w:sz w:val="24"/>
        </w:rPr>
        <w:t> </w:t>
      </w:r>
      <w:r>
        <w:rPr>
          <w:sz w:val="24"/>
        </w:rPr>
        <w:t>除外</w:t>
      </w:r>
      <w:r>
        <w:rPr>
          <w:spacing w:val="-10"/>
          <w:sz w:val="24"/>
        </w:rPr>
        <w:t>）</w:t>
      </w:r>
    </w:p>
    <w:p>
      <w:pPr>
        <w:pStyle w:val="ListParagraph"/>
        <w:numPr>
          <w:ilvl w:val="0"/>
          <w:numId w:val="57"/>
        </w:numPr>
        <w:tabs>
          <w:tab w:pos="646" w:val="left" w:leader="none"/>
        </w:tabs>
        <w:spacing w:line="240" w:lineRule="auto" w:before="58" w:after="0"/>
        <w:ind w:left="646" w:right="0" w:hanging="425"/>
        <w:jc w:val="left"/>
        <w:rPr>
          <w:sz w:val="24"/>
        </w:rPr>
      </w:pPr>
      <w:r>
        <w:rPr>
          <w:spacing w:val="-1"/>
          <w:sz w:val="24"/>
        </w:rPr>
        <w:t>避孕海绵、避孕隔膜或男用或女用避孕套，不联合第二种避孕方法</w:t>
      </w:r>
    </w:p>
    <w:p>
      <w:pPr>
        <w:pStyle w:val="ListParagraph"/>
        <w:numPr>
          <w:ilvl w:val="0"/>
          <w:numId w:val="57"/>
        </w:numPr>
        <w:tabs>
          <w:tab w:pos="646" w:val="left" w:leader="none"/>
        </w:tabs>
        <w:spacing w:line="240" w:lineRule="auto" w:before="60" w:after="0"/>
        <w:ind w:left="646" w:right="0" w:hanging="425"/>
        <w:jc w:val="left"/>
        <w:rPr>
          <w:sz w:val="24"/>
        </w:rPr>
      </w:pPr>
      <w:r>
        <w:rPr>
          <w:spacing w:val="-1"/>
          <w:sz w:val="24"/>
        </w:rPr>
        <w:t>输卵管结扎，不联合第二种避孕方法</w:t>
      </w:r>
    </w:p>
    <w:p>
      <w:pPr>
        <w:pStyle w:val="BodyText"/>
        <w:spacing w:before="23"/>
        <w:ind w:left="0"/>
      </w:pPr>
    </w:p>
    <w:p>
      <w:pPr>
        <w:pStyle w:val="BodyText"/>
        <w:spacing w:line="276" w:lineRule="auto" w:before="1"/>
        <w:ind w:right="354" w:firstLine="480"/>
        <w:jc w:val="both"/>
      </w:pPr>
      <w:r>
        <w:rPr>
          <w:spacing w:val="-2"/>
        </w:rPr>
        <w:t>除非男性受试者既往接受过双侧睾丸切除术（应通过医学评估进行确认，并记录在受试者的病历中），否则认为其未绝育。对于接受输精管切除术（应记录在受</w:t>
      </w:r>
      <w:r>
        <w:rPr/>
        <w:t>试者的病历中）</w:t>
      </w:r>
      <w:r>
        <w:rPr>
          <w:spacing w:val="-3"/>
        </w:rPr>
        <w:t>的男性，必须在术后至少 </w:t>
      </w:r>
      <w:r>
        <w:rPr>
          <w:rFonts w:ascii="Times New Roman" w:eastAsia="Times New Roman"/>
        </w:rPr>
        <w:t>30</w:t>
      </w:r>
      <w:r>
        <w:rPr>
          <w:rFonts w:ascii="Times New Roman" w:eastAsia="Times New Roman"/>
          <w:spacing w:val="-10"/>
        </w:rPr>
        <w:t> </w:t>
      </w:r>
      <w:r>
        <w:rPr>
          <w:spacing w:val="-5"/>
        </w:rPr>
        <w:t>天内由其医生 </w:t>
      </w:r>
      <w:r>
        <w:rPr>
          <w:rFonts w:ascii="Times New Roman" w:eastAsia="Times New Roman"/>
        </w:rPr>
        <w:t>2</w:t>
      </w:r>
      <w:r>
        <w:rPr>
          <w:rFonts w:ascii="Times New Roman" w:eastAsia="Times New Roman"/>
          <w:spacing w:val="7"/>
        </w:rPr>
        <w:t> </w:t>
      </w:r>
      <w:r>
        <w:rPr/>
        <w:t>次（</w:t>
      </w:r>
      <w:r>
        <w:rPr>
          <w:spacing w:val="-6"/>
        </w:rPr>
        <w:t>间隔至少 </w:t>
      </w:r>
      <w:r>
        <w:rPr>
          <w:rFonts w:ascii="Times New Roman" w:eastAsia="Times New Roman"/>
        </w:rPr>
        <w:t>30</w:t>
      </w:r>
      <w:r>
        <w:rPr>
          <w:rFonts w:ascii="Times New Roman" w:eastAsia="Times New Roman"/>
          <w:spacing w:val="7"/>
        </w:rPr>
        <w:t> </w:t>
      </w:r>
      <w:r>
        <w:rPr/>
        <w:t>天</w:t>
      </w:r>
      <w:r>
        <w:rPr/>
        <w:t>）</w:t>
      </w:r>
      <w:r>
        <w:rPr>
          <w:spacing w:val="-2"/>
        </w:rPr>
        <w:t>确认其射出的精液中无精子。</w:t>
      </w:r>
    </w:p>
    <w:p>
      <w:pPr>
        <w:spacing w:after="0" w:line="276" w:lineRule="auto"/>
        <w:jc w:val="both"/>
        <w:sectPr>
          <w:pgSz w:w="11910" w:h="16840"/>
          <w:pgMar w:header="590" w:footer="784" w:top="1340" w:bottom="980" w:left="1480" w:right="1080"/>
        </w:sectPr>
      </w:pPr>
    </w:p>
    <w:p>
      <w:pPr>
        <w:pStyle w:val="Heading1"/>
        <w:tabs>
          <w:tab w:pos="1921" w:val="left" w:leader="none"/>
        </w:tabs>
        <w:ind w:left="1921" w:right="399" w:hanging="1700"/>
      </w:pPr>
      <w:bookmarkStart w:name="附录F 美国国立过敏与传染病研究所以及食物过敏和速发严重过敏反应网站的速发严重过" w:id="330"/>
      <w:bookmarkEnd w:id="330"/>
      <w:r>
        <w:rPr>
          <w:b w:val="0"/>
        </w:rPr>
      </w:r>
      <w:bookmarkStart w:name="_bookmark161" w:id="331"/>
      <w:bookmarkEnd w:id="331"/>
      <w:r>
        <w:rPr>
          <w:b w:val="0"/>
        </w:rPr>
      </w:r>
      <w:r>
        <w:rPr>
          <w:spacing w:val="-4"/>
        </w:rPr>
        <w:t>附录</w:t>
      </w:r>
      <w:r>
        <w:rPr>
          <w:rFonts w:ascii="Times New Roman" w:eastAsia="Times New Roman"/>
          <w:spacing w:val="-4"/>
        </w:rPr>
        <w:t>F</w:t>
      </w:r>
      <w:r>
        <w:rPr>
          <w:rFonts w:ascii="Times New Roman" w:eastAsia="Times New Roman"/>
        </w:rPr>
        <w:tab/>
      </w:r>
      <w:r>
        <w:rPr>
          <w:spacing w:val="-2"/>
        </w:rPr>
        <w:t>美国国立过敏与传染病研究所以及食物过敏和速发严重过敏反应网站的速发严重过敏反应诊断指南</w:t>
      </w:r>
    </w:p>
    <w:p>
      <w:pPr>
        <w:pStyle w:val="BodyText"/>
        <w:spacing w:line="276" w:lineRule="auto" w:before="158"/>
        <w:ind w:right="156" w:firstLine="480"/>
      </w:pPr>
      <w:r>
        <w:rPr>
          <w:spacing w:val="2"/>
        </w:rPr>
        <w:t>美国国家过敏与传染病研究所以及食物过敏和速发严重过敏反应网站论坛将速</w:t>
      </w:r>
      <w:r>
        <w:rPr>
          <w:spacing w:val="4"/>
        </w:rPr>
        <w:t>发严重过敏反应定义为严重过敏反应，其起病急骤并可能导致死亡</w:t>
      </w:r>
      <w:r>
        <w:rPr>
          <w:spacing w:val="10"/>
        </w:rPr>
        <w:t>（</w:t>
      </w:r>
      <w:hyperlink w:history="true" w:anchor="_bookmark201">
        <w:r>
          <w:rPr>
            <w:rFonts w:ascii="Times New Roman" w:eastAsia="Times New Roman"/>
            <w:color w:val="0000FF"/>
            <w:spacing w:val="-1"/>
          </w:rPr>
          <w:t>Samp</w:t>
        </w:r>
        <w:r>
          <w:rPr>
            <w:rFonts w:ascii="Times New Roman" w:eastAsia="Times New Roman"/>
            <w:color w:val="0000FF"/>
          </w:rPr>
          <w:t>son</w:t>
        </w:r>
        <w:r>
          <w:rPr>
            <w:rFonts w:ascii="Times New Roman" w:eastAsia="Times New Roman"/>
            <w:color w:val="0000FF"/>
            <w:spacing w:val="-15"/>
          </w:rPr>
          <w:t>  </w:t>
        </w:r>
        <w:r>
          <w:rPr>
            <w:rFonts w:ascii="Times New Roman" w:eastAsia="Times New Roman"/>
            <w:color w:val="0000FF"/>
          </w:rPr>
          <w:t>et</w:t>
        </w:r>
        <w:r>
          <w:rPr>
            <w:rFonts w:ascii="Times New Roman" w:eastAsia="Times New Roman"/>
            <w:color w:val="0000FF"/>
            <w:spacing w:val="-15"/>
          </w:rPr>
          <w:t>  </w:t>
        </w:r>
        <w:r>
          <w:rPr>
            <w:rFonts w:ascii="Times New Roman" w:eastAsia="Times New Roman"/>
            <w:color w:val="0000FF"/>
            <w:spacing w:val="-1"/>
          </w:rPr>
          <w:t>al</w:t>
        </w:r>
      </w:hyperlink>
      <w:r>
        <w:rPr>
          <w:rFonts w:ascii="Times New Roman" w:eastAsia="Times New Roman"/>
          <w:color w:val="0000FF"/>
          <w:spacing w:val="-1"/>
        </w:rPr>
        <w:t> </w:t>
      </w:r>
      <w:hyperlink w:history="true" w:anchor="_bookmark201">
        <w:r>
          <w:rPr>
            <w:rFonts w:ascii="Times New Roman" w:eastAsia="Times New Roman"/>
            <w:color w:val="0000FF"/>
          </w:rPr>
          <w:t>2006</w:t>
        </w:r>
      </w:hyperlink>
      <w:r>
        <w:rPr/>
        <w:t>）</w:t>
      </w:r>
      <w:r>
        <w:rPr>
          <w:spacing w:val="-8"/>
        </w:rPr>
        <w:t>。现已识别 </w:t>
      </w:r>
      <w:r>
        <w:rPr>
          <w:rFonts w:ascii="Times New Roman" w:eastAsia="Times New Roman"/>
        </w:rPr>
        <w:t>3 </w:t>
      </w:r>
      <w:r>
        <w:rPr>
          <w:spacing w:val="-3"/>
        </w:rPr>
        <w:t>类速发严重过敏反应，所规定的标准涵盖了 </w:t>
      </w:r>
      <w:r>
        <w:rPr>
          <w:rFonts w:ascii="Times New Roman" w:eastAsia="Times New Roman"/>
        </w:rPr>
        <w:t>80%</w:t>
      </w:r>
      <w:r>
        <w:rPr/>
        <w:t>（</w:t>
      </w:r>
      <w:r>
        <w:rPr>
          <w:rFonts w:ascii="Times New Roman" w:eastAsia="Times New Roman"/>
        </w:rPr>
        <w:t>1 </w:t>
      </w:r>
      <w:r>
        <w:rPr/>
        <w:t>类）至</w:t>
      </w:r>
      <w:r>
        <w:rPr>
          <w:rFonts w:ascii="Times New Roman" w:eastAsia="Times New Roman"/>
          <w:spacing w:val="-5"/>
        </w:rPr>
        <w:t>&gt;95%</w:t>
      </w:r>
      <w:r>
        <w:rPr/>
        <w:t>的速发严重过敏反应病例（</w:t>
      </w:r>
      <w:r>
        <w:rPr>
          <w:spacing w:val="-20"/>
        </w:rPr>
        <w:t>所有 </w:t>
      </w:r>
      <w:r>
        <w:rPr>
          <w:rFonts w:ascii="Times New Roman" w:eastAsia="Times New Roman"/>
        </w:rPr>
        <w:t>3</w:t>
      </w:r>
      <w:r>
        <w:rPr>
          <w:rFonts w:ascii="Times New Roman" w:eastAsia="Times New Roman"/>
          <w:spacing w:val="-12"/>
        </w:rPr>
        <w:t> </w:t>
      </w:r>
      <w:r>
        <w:rPr/>
        <w:t>类）。</w:t>
      </w:r>
    </w:p>
    <w:p>
      <w:pPr>
        <w:pStyle w:val="ListParagraph"/>
        <w:numPr>
          <w:ilvl w:val="0"/>
          <w:numId w:val="58"/>
        </w:numPr>
        <w:tabs>
          <w:tab w:pos="646" w:val="left" w:leader="none"/>
        </w:tabs>
        <w:spacing w:line="276" w:lineRule="auto" w:before="237" w:after="0"/>
        <w:ind w:left="646" w:right="361" w:hanging="425"/>
        <w:jc w:val="left"/>
        <w:rPr>
          <w:sz w:val="24"/>
        </w:rPr>
      </w:pPr>
      <w:r>
        <w:rPr>
          <w:spacing w:val="4"/>
          <w:sz w:val="24"/>
        </w:rPr>
        <w:t>急性疾病加重</w:t>
      </w:r>
      <w:r>
        <w:rPr>
          <w:spacing w:val="5"/>
          <w:sz w:val="24"/>
        </w:rPr>
        <w:t>（</w:t>
      </w:r>
      <w:r>
        <w:rPr>
          <w:spacing w:val="4"/>
          <w:sz w:val="24"/>
        </w:rPr>
        <w:t>数分钟至几小时），累及皮肤、粘膜组织或二者均累及</w:t>
      </w:r>
      <w:r>
        <w:rPr>
          <w:spacing w:val="5"/>
          <w:sz w:val="24"/>
        </w:rPr>
        <w:t>（</w:t>
      </w:r>
      <w:r>
        <w:rPr>
          <w:spacing w:val="2"/>
          <w:sz w:val="24"/>
        </w:rPr>
        <w:t>如全身性荨麻疹、瘙痒症或潮红、唇</w:t>
      </w:r>
      <w:r>
        <w:rPr>
          <w:rFonts w:ascii="Times New Roman" w:eastAsia="Times New Roman"/>
          <w:spacing w:val="2"/>
          <w:sz w:val="24"/>
        </w:rPr>
        <w:t>-</w:t>
      </w:r>
      <w:r>
        <w:rPr>
          <w:spacing w:val="2"/>
          <w:sz w:val="24"/>
        </w:rPr>
        <w:t>舌</w:t>
      </w:r>
      <w:r>
        <w:rPr>
          <w:rFonts w:ascii="Times New Roman" w:eastAsia="Times New Roman"/>
          <w:spacing w:val="2"/>
          <w:sz w:val="24"/>
        </w:rPr>
        <w:t>-</w:t>
      </w:r>
      <w:r>
        <w:rPr>
          <w:spacing w:val="2"/>
          <w:sz w:val="24"/>
        </w:rPr>
        <w:t>悬雍垂肿涨），且出现至少一种下列症状：</w:t>
      </w:r>
    </w:p>
    <w:p>
      <w:pPr>
        <w:pStyle w:val="ListParagraph"/>
        <w:numPr>
          <w:ilvl w:val="1"/>
          <w:numId w:val="58"/>
        </w:numPr>
        <w:tabs>
          <w:tab w:pos="1071" w:val="left" w:leader="none"/>
        </w:tabs>
        <w:spacing w:line="276" w:lineRule="auto" w:before="58" w:after="0"/>
        <w:ind w:left="1071" w:right="364" w:hanging="426"/>
        <w:jc w:val="left"/>
        <w:rPr>
          <w:sz w:val="24"/>
        </w:rPr>
      </w:pPr>
      <w:r>
        <w:rPr>
          <w:spacing w:val="14"/>
          <w:sz w:val="24"/>
        </w:rPr>
        <w:t>呼吸功能受损（</w:t>
      </w:r>
      <w:r>
        <w:rPr>
          <w:spacing w:val="13"/>
          <w:sz w:val="24"/>
        </w:rPr>
        <w:t>例如，呼吸困难、哮鸣音、支气管痉挛、喘鸣、低氧血</w:t>
      </w:r>
      <w:r>
        <w:rPr>
          <w:spacing w:val="-4"/>
          <w:sz w:val="24"/>
        </w:rPr>
        <w:t>症）。</w:t>
      </w:r>
    </w:p>
    <w:p>
      <w:pPr>
        <w:pStyle w:val="ListParagraph"/>
        <w:numPr>
          <w:ilvl w:val="1"/>
          <w:numId w:val="58"/>
        </w:numPr>
        <w:tabs>
          <w:tab w:pos="1071" w:val="left" w:leader="none"/>
        </w:tabs>
        <w:spacing w:line="276" w:lineRule="auto" w:before="59" w:after="0"/>
        <w:ind w:left="1071" w:right="359" w:hanging="426"/>
        <w:jc w:val="left"/>
        <w:rPr>
          <w:sz w:val="24"/>
        </w:rPr>
      </w:pPr>
      <w:r>
        <w:rPr>
          <w:rFonts w:ascii="Times New Roman" w:hAnsi="Times New Roman" w:eastAsia="Times New Roman"/>
          <w:sz w:val="24"/>
        </w:rPr>
        <w:t>BP</w:t>
      </w:r>
      <w:r>
        <w:rPr>
          <w:rFonts w:ascii="Times New Roman" w:hAnsi="Times New Roman" w:eastAsia="Times New Roman"/>
          <w:spacing w:val="12"/>
          <w:sz w:val="24"/>
        </w:rPr>
        <w:t> </w:t>
      </w:r>
      <w:r>
        <w:rPr>
          <w:spacing w:val="12"/>
          <w:sz w:val="24"/>
        </w:rPr>
        <w:t>下降或终末器官功能障碍相关症状（</w:t>
      </w:r>
      <w:r>
        <w:rPr>
          <w:spacing w:val="13"/>
          <w:sz w:val="24"/>
        </w:rPr>
        <w:t>如张力减低</w:t>
      </w:r>
      <w:r>
        <w:rPr>
          <w:rFonts w:ascii="Times New Roman" w:hAnsi="Times New Roman" w:eastAsia="Times New Roman"/>
          <w:spacing w:val="12"/>
          <w:sz w:val="24"/>
        </w:rPr>
        <w:t>[</w:t>
      </w:r>
      <w:r>
        <w:rPr>
          <w:spacing w:val="13"/>
          <w:sz w:val="24"/>
        </w:rPr>
        <w:t>虚脱</w:t>
      </w:r>
      <w:r>
        <w:rPr>
          <w:rFonts w:ascii="Times New Roman" w:hAnsi="Times New Roman" w:eastAsia="Times New Roman"/>
          <w:spacing w:val="12"/>
          <w:sz w:val="24"/>
        </w:rPr>
        <w:t>]</w:t>
      </w:r>
      <w:r>
        <w:rPr>
          <w:spacing w:val="10"/>
          <w:sz w:val="24"/>
        </w:rPr>
        <w:t>、晕厥、尿失</w:t>
      </w:r>
      <w:r>
        <w:rPr>
          <w:spacing w:val="-4"/>
          <w:sz w:val="24"/>
        </w:rPr>
        <w:t>禁）。</w:t>
      </w:r>
    </w:p>
    <w:p>
      <w:pPr>
        <w:pStyle w:val="ListParagraph"/>
        <w:numPr>
          <w:ilvl w:val="0"/>
          <w:numId w:val="58"/>
        </w:numPr>
        <w:tabs>
          <w:tab w:pos="646" w:val="left" w:leader="none"/>
        </w:tabs>
        <w:spacing w:line="276" w:lineRule="auto" w:before="57" w:after="0"/>
        <w:ind w:left="646" w:right="343" w:hanging="425"/>
        <w:jc w:val="left"/>
        <w:rPr>
          <w:sz w:val="24"/>
        </w:rPr>
      </w:pPr>
      <w:r>
        <w:rPr>
          <w:spacing w:val="11"/>
          <w:sz w:val="24"/>
        </w:rPr>
        <w:t>受试者暴露于可能的过敏原后迅速出现以下两项或多项变化（</w:t>
      </w:r>
      <w:r>
        <w:rPr>
          <w:spacing w:val="9"/>
          <w:sz w:val="24"/>
        </w:rPr>
        <w:t>数分钟至数小</w:t>
      </w:r>
      <w:r>
        <w:rPr>
          <w:spacing w:val="-4"/>
          <w:sz w:val="24"/>
        </w:rPr>
        <w:t>时）：</w:t>
      </w:r>
    </w:p>
    <w:p>
      <w:pPr>
        <w:pStyle w:val="ListParagraph"/>
        <w:numPr>
          <w:ilvl w:val="1"/>
          <w:numId w:val="58"/>
        </w:numPr>
        <w:tabs>
          <w:tab w:pos="1071" w:val="left" w:leader="none"/>
        </w:tabs>
        <w:spacing w:line="276" w:lineRule="auto" w:before="59" w:after="0"/>
        <w:ind w:left="1071" w:right="357" w:hanging="426"/>
        <w:jc w:val="left"/>
        <w:rPr>
          <w:sz w:val="24"/>
        </w:rPr>
      </w:pPr>
      <w:r>
        <w:rPr>
          <w:spacing w:val="13"/>
          <w:sz w:val="24"/>
        </w:rPr>
        <w:t>累及皮肤</w:t>
      </w:r>
      <w:r>
        <w:rPr>
          <w:rFonts w:ascii="Times New Roman" w:hAnsi="Times New Roman" w:eastAsia="Times New Roman"/>
          <w:spacing w:val="13"/>
          <w:sz w:val="24"/>
        </w:rPr>
        <w:t>-</w:t>
      </w:r>
      <w:r>
        <w:rPr>
          <w:spacing w:val="13"/>
          <w:sz w:val="24"/>
        </w:rPr>
        <w:t>粘膜组织（如，全身性荨麻疹、瘙痒、潮红、唇</w:t>
      </w:r>
      <w:r>
        <w:rPr>
          <w:rFonts w:ascii="Times New Roman" w:hAnsi="Times New Roman" w:eastAsia="Times New Roman"/>
          <w:spacing w:val="13"/>
          <w:sz w:val="24"/>
        </w:rPr>
        <w:t>-</w:t>
      </w:r>
      <w:r>
        <w:rPr>
          <w:spacing w:val="13"/>
          <w:sz w:val="24"/>
        </w:rPr>
        <w:t>舌</w:t>
      </w:r>
      <w:r>
        <w:rPr>
          <w:rFonts w:ascii="Times New Roman" w:hAnsi="Times New Roman" w:eastAsia="Times New Roman"/>
          <w:spacing w:val="13"/>
          <w:sz w:val="24"/>
        </w:rPr>
        <w:t>-</w:t>
      </w:r>
      <w:r>
        <w:rPr>
          <w:spacing w:val="9"/>
          <w:sz w:val="24"/>
        </w:rPr>
        <w:t>悬雍垂肿</w:t>
      </w:r>
      <w:r>
        <w:rPr>
          <w:spacing w:val="-4"/>
          <w:sz w:val="24"/>
        </w:rPr>
        <w:t>涨）。</w:t>
      </w:r>
    </w:p>
    <w:p>
      <w:pPr>
        <w:pStyle w:val="ListParagraph"/>
        <w:numPr>
          <w:ilvl w:val="1"/>
          <w:numId w:val="58"/>
        </w:numPr>
        <w:tabs>
          <w:tab w:pos="1071" w:val="left" w:leader="none"/>
        </w:tabs>
        <w:spacing w:line="276" w:lineRule="auto" w:before="59" w:after="0"/>
        <w:ind w:left="1071" w:right="364" w:hanging="426"/>
        <w:jc w:val="left"/>
        <w:rPr>
          <w:sz w:val="24"/>
        </w:rPr>
      </w:pPr>
      <w:r>
        <w:rPr>
          <w:spacing w:val="14"/>
          <w:sz w:val="24"/>
        </w:rPr>
        <w:t>呼吸功能受损（</w:t>
      </w:r>
      <w:r>
        <w:rPr>
          <w:spacing w:val="13"/>
          <w:sz w:val="24"/>
        </w:rPr>
        <w:t>例如，呼吸困难、哮鸣音、支气管痉挛、喘鸣、低氧血</w:t>
      </w:r>
      <w:r>
        <w:rPr>
          <w:spacing w:val="-4"/>
          <w:sz w:val="24"/>
        </w:rPr>
        <w:t>症）。</w:t>
      </w:r>
    </w:p>
    <w:p>
      <w:pPr>
        <w:pStyle w:val="ListParagraph"/>
        <w:numPr>
          <w:ilvl w:val="1"/>
          <w:numId w:val="58"/>
        </w:numPr>
        <w:tabs>
          <w:tab w:pos="1071" w:val="left" w:leader="none"/>
        </w:tabs>
        <w:spacing w:line="240" w:lineRule="auto" w:before="58" w:after="0"/>
        <w:ind w:left="1071" w:right="0" w:hanging="425"/>
        <w:jc w:val="left"/>
        <w:rPr>
          <w:sz w:val="24"/>
        </w:rPr>
      </w:pPr>
      <w:r>
        <w:rPr>
          <w:rFonts w:ascii="Times New Roman" w:hAnsi="Times New Roman" w:eastAsia="Times New Roman"/>
          <w:spacing w:val="-2"/>
          <w:sz w:val="24"/>
        </w:rPr>
        <w:t>BP</w:t>
      </w:r>
      <w:r>
        <w:rPr>
          <w:rFonts w:ascii="Times New Roman" w:hAnsi="Times New Roman" w:eastAsia="Times New Roman"/>
          <w:spacing w:val="38"/>
          <w:sz w:val="24"/>
        </w:rPr>
        <w:t> </w:t>
      </w:r>
      <w:r>
        <w:rPr>
          <w:spacing w:val="-2"/>
          <w:sz w:val="24"/>
        </w:rPr>
        <w:t>下降或相关症状（如张力减低</w:t>
      </w:r>
      <w:r>
        <w:rPr>
          <w:rFonts w:ascii="Times New Roman" w:hAnsi="Times New Roman" w:eastAsia="Times New Roman"/>
          <w:spacing w:val="-2"/>
          <w:sz w:val="24"/>
        </w:rPr>
        <w:t>[</w:t>
      </w:r>
      <w:r>
        <w:rPr>
          <w:spacing w:val="-2"/>
          <w:sz w:val="24"/>
        </w:rPr>
        <w:t>虚脱</w:t>
      </w:r>
      <w:r>
        <w:rPr>
          <w:rFonts w:ascii="Times New Roman" w:hAnsi="Times New Roman" w:eastAsia="Times New Roman"/>
          <w:spacing w:val="-2"/>
          <w:sz w:val="24"/>
        </w:rPr>
        <w:t>]</w:t>
      </w:r>
      <w:r>
        <w:rPr>
          <w:spacing w:val="-2"/>
          <w:sz w:val="24"/>
        </w:rPr>
        <w:t>、晕厥、尿失禁）</w:t>
      </w:r>
      <w:r>
        <w:rPr>
          <w:spacing w:val="-10"/>
          <w:sz w:val="24"/>
        </w:rPr>
        <w:t>。</w:t>
      </w:r>
    </w:p>
    <w:p>
      <w:pPr>
        <w:pStyle w:val="ListParagraph"/>
        <w:numPr>
          <w:ilvl w:val="1"/>
          <w:numId w:val="58"/>
        </w:numPr>
        <w:tabs>
          <w:tab w:pos="1071" w:val="left" w:leader="none"/>
        </w:tabs>
        <w:spacing w:line="240" w:lineRule="auto" w:before="105" w:after="0"/>
        <w:ind w:left="1071" w:right="0" w:hanging="425"/>
        <w:jc w:val="left"/>
        <w:rPr>
          <w:sz w:val="24"/>
        </w:rPr>
      </w:pPr>
      <w:r>
        <w:rPr>
          <w:sz w:val="24"/>
        </w:rPr>
        <w:t>持续性胃肠道症状（如痉挛性腹痛、呕吐）</w:t>
      </w:r>
      <w:r>
        <w:rPr>
          <w:spacing w:val="-10"/>
          <w:sz w:val="24"/>
        </w:rPr>
        <w:t>。</w:t>
      </w:r>
    </w:p>
    <w:p>
      <w:pPr>
        <w:pStyle w:val="ListParagraph"/>
        <w:numPr>
          <w:ilvl w:val="0"/>
          <w:numId w:val="58"/>
        </w:numPr>
        <w:tabs>
          <w:tab w:pos="646" w:val="left" w:leader="none"/>
        </w:tabs>
        <w:spacing w:line="240" w:lineRule="auto" w:before="107" w:after="0"/>
        <w:ind w:left="646" w:right="0" w:hanging="425"/>
        <w:jc w:val="left"/>
        <w:rPr>
          <w:sz w:val="24"/>
        </w:rPr>
      </w:pPr>
      <w:r>
        <w:rPr>
          <w:sz w:val="24"/>
        </w:rPr>
        <w:t>受试者暴露已知过敏原后，</w:t>
      </w:r>
      <w:r>
        <w:rPr>
          <w:rFonts w:ascii="Times New Roman" w:eastAsia="Times New Roman"/>
          <w:sz w:val="24"/>
        </w:rPr>
        <w:t>BP</w:t>
      </w:r>
      <w:r>
        <w:rPr>
          <w:rFonts w:ascii="Times New Roman" w:eastAsia="Times New Roman"/>
          <w:spacing w:val="-16"/>
          <w:sz w:val="24"/>
        </w:rPr>
        <w:t> </w:t>
      </w:r>
      <w:r>
        <w:rPr>
          <w:sz w:val="24"/>
        </w:rPr>
        <w:t>下降（几分钟至几小时</w:t>
      </w:r>
      <w:r>
        <w:rPr>
          <w:spacing w:val="-5"/>
          <w:sz w:val="24"/>
        </w:rPr>
        <w:t>）：</w:t>
      </w:r>
    </w:p>
    <w:p>
      <w:pPr>
        <w:pStyle w:val="ListParagraph"/>
        <w:numPr>
          <w:ilvl w:val="1"/>
          <w:numId w:val="58"/>
        </w:numPr>
        <w:tabs>
          <w:tab w:pos="1071" w:val="left" w:leader="none"/>
        </w:tabs>
        <w:spacing w:line="240" w:lineRule="auto" w:before="106" w:after="0"/>
        <w:ind w:left="1071" w:right="0" w:hanging="425"/>
        <w:jc w:val="left"/>
        <w:rPr>
          <w:sz w:val="24"/>
        </w:rPr>
      </w:pPr>
      <w:r>
        <w:rPr>
          <w:spacing w:val="-7"/>
          <w:sz w:val="24"/>
        </w:rPr>
        <w:t>成人：收缩压低于 </w:t>
      </w:r>
      <w:r>
        <w:rPr>
          <w:rFonts w:ascii="Times New Roman" w:hAnsi="Times New Roman" w:eastAsia="Times New Roman"/>
          <w:sz w:val="24"/>
        </w:rPr>
        <w:t>90</w:t>
      </w:r>
      <w:r>
        <w:rPr>
          <w:rFonts w:ascii="Times New Roman" w:hAnsi="Times New Roman" w:eastAsia="Times New Roman"/>
          <w:spacing w:val="-1"/>
          <w:sz w:val="24"/>
        </w:rPr>
        <w:t> </w:t>
      </w:r>
      <w:r>
        <w:rPr>
          <w:rFonts w:ascii="Times New Roman" w:hAnsi="Times New Roman" w:eastAsia="Times New Roman"/>
          <w:sz w:val="24"/>
        </w:rPr>
        <w:t>mmHg</w:t>
      </w:r>
      <w:r>
        <w:rPr>
          <w:spacing w:val="-5"/>
          <w:sz w:val="24"/>
        </w:rPr>
        <w:t>，或下降超过该受试者基线值 </w:t>
      </w:r>
      <w:r>
        <w:rPr>
          <w:rFonts w:ascii="Times New Roman" w:hAnsi="Times New Roman" w:eastAsia="Times New Roman"/>
          <w:sz w:val="24"/>
        </w:rPr>
        <w:t>30%</w:t>
      </w:r>
      <w:r>
        <w:rPr>
          <w:spacing w:val="-10"/>
          <w:sz w:val="24"/>
        </w:rPr>
        <w:t>。</w:t>
      </w:r>
    </w:p>
    <w:p>
      <w:pPr>
        <w:pStyle w:val="BodyText"/>
        <w:spacing w:before="69"/>
        <w:ind w:left="0"/>
      </w:pPr>
    </w:p>
    <w:p>
      <w:pPr>
        <w:pStyle w:val="BodyText"/>
        <w:spacing w:line="276" w:lineRule="auto"/>
        <w:ind w:right="356" w:firstLine="480"/>
      </w:pPr>
      <w:r>
        <w:rPr/>
        <w:t>出于 </w:t>
      </w:r>
      <w:r>
        <w:rPr>
          <w:rFonts w:ascii="Times New Roman" w:eastAsia="Times New Roman"/>
        </w:rPr>
        <w:t>AE</w:t>
      </w:r>
      <w:r>
        <w:rPr>
          <w:rFonts w:ascii="Times New Roman" w:eastAsia="Times New Roman"/>
          <w:spacing w:val="40"/>
        </w:rPr>
        <w:t> </w:t>
      </w:r>
      <w:r>
        <w:rPr/>
        <w:t>报告目的，应使用上述标准来指导回顾性判断该事件是否为真正的速发严重过敏反应。事件发生时识别潜在速发严重过敏反应的指南请见</w:t>
      </w:r>
      <w:hyperlink w:history="true" w:anchor="_bookmark162">
        <w:r>
          <w:rPr>
            <w:color w:val="0000FF"/>
            <w:spacing w:val="-14"/>
          </w:rPr>
          <w:t>附录 </w:t>
        </w:r>
        <w:r>
          <w:rPr>
            <w:rFonts w:ascii="Times New Roman" w:eastAsia="Times New Roman"/>
            <w:color w:val="0000FF"/>
          </w:rPr>
          <w:t>G</w:t>
        </w:r>
      </w:hyperlink>
      <w:r>
        <w:rPr/>
        <w:t>。</w:t>
      </w:r>
    </w:p>
    <w:p>
      <w:pPr>
        <w:spacing w:after="0" w:line="276" w:lineRule="auto"/>
        <w:sectPr>
          <w:pgSz w:w="11910" w:h="16840"/>
          <w:pgMar w:header="590" w:footer="784" w:top="1340" w:bottom="980" w:left="1480" w:right="1080"/>
        </w:sectPr>
      </w:pPr>
    </w:p>
    <w:p>
      <w:pPr>
        <w:pStyle w:val="Heading1"/>
        <w:tabs>
          <w:tab w:pos="1921" w:val="left" w:leader="none"/>
        </w:tabs>
        <w:ind w:left="221" w:firstLine="0"/>
      </w:pPr>
      <w:bookmarkStart w:name="附录G 急性速发严重过敏反应体征和症状及管理" w:id="332"/>
      <w:bookmarkEnd w:id="332"/>
      <w:r>
        <w:rPr>
          <w:b w:val="0"/>
        </w:rPr>
      </w:r>
      <w:bookmarkStart w:name="_bookmark162" w:id="333"/>
      <w:bookmarkEnd w:id="333"/>
      <w:r>
        <w:rPr>
          <w:b w:val="0"/>
        </w:rPr>
      </w:r>
      <w:r>
        <w:rPr>
          <w:spacing w:val="-2"/>
        </w:rPr>
        <w:t>附录</w:t>
      </w:r>
      <w:r>
        <w:rPr>
          <w:rFonts w:ascii="Times New Roman" w:eastAsia="Times New Roman"/>
          <w:spacing w:val="-10"/>
        </w:rPr>
        <w:t>G</w:t>
      </w:r>
      <w:r>
        <w:rPr>
          <w:rFonts w:ascii="Times New Roman" w:eastAsia="Times New Roman"/>
        </w:rPr>
        <w:tab/>
      </w:r>
      <w:r>
        <w:rPr>
          <w:spacing w:val="-4"/>
        </w:rPr>
        <w:t>急性速发严重过敏反应体征和症状及管</w:t>
      </w:r>
      <w:r>
        <w:rPr>
          <w:spacing w:val="-10"/>
        </w:rPr>
        <w:t>理</w:t>
      </w:r>
    </w:p>
    <w:p>
      <w:pPr>
        <w:pStyle w:val="BodyText"/>
        <w:spacing w:line="276" w:lineRule="auto" w:before="173"/>
        <w:ind w:right="119" w:firstLine="480"/>
      </w:pPr>
      <w:r>
        <w:rPr>
          <w:spacing w:val="-2"/>
        </w:rPr>
        <w:t>研究中心必须备有治疗速发严重过敏反应的适当药物（如肾上腺素、抗组胺药、皮质类固醇等）和医疗设备，并随时可用，且应培训研究工作人员认识和治疗速发</w:t>
      </w:r>
      <w:r>
        <w:rPr>
          <w:spacing w:val="80"/>
          <w:w w:val="150"/>
        </w:rPr>
        <w:t> </w:t>
      </w:r>
      <w:r>
        <w:rPr>
          <w:spacing w:val="-2"/>
        </w:rPr>
        <w:t>严重过敏反应。如适用，应遵循当地或国家关于急性速发严重过敏反应识别和管理的指南。如无，请参考以下指南。</w:t>
      </w:r>
    </w:p>
    <w:p>
      <w:pPr>
        <w:tabs>
          <w:tab w:pos="1355" w:val="left" w:leader="none"/>
        </w:tabs>
        <w:spacing w:before="237"/>
        <w:ind w:left="221" w:right="0" w:firstLine="0"/>
        <w:jc w:val="left"/>
        <w:rPr>
          <w:b/>
          <w:sz w:val="28"/>
        </w:rPr>
      </w:pPr>
      <w:bookmarkStart w:name="G 1 急性速发严重过敏反应体征和症状" w:id="334"/>
      <w:bookmarkEnd w:id="334"/>
      <w:r>
        <w:rPr/>
      </w:r>
      <w:r>
        <w:rPr>
          <w:rFonts w:ascii="Times New Roman" w:eastAsia="Times New Roman"/>
          <w:b/>
          <w:sz w:val="26"/>
        </w:rPr>
        <w:t>G </w:t>
      </w:r>
      <w:r>
        <w:rPr>
          <w:rFonts w:ascii="Times New Roman" w:eastAsia="Times New Roman"/>
          <w:b/>
          <w:spacing w:val="-10"/>
          <w:sz w:val="26"/>
        </w:rPr>
        <w:t>1</w:t>
      </w:r>
      <w:r>
        <w:rPr>
          <w:rFonts w:ascii="Times New Roman" w:eastAsia="Times New Roman"/>
          <w:b/>
          <w:sz w:val="26"/>
        </w:rPr>
        <w:tab/>
      </w:r>
      <w:r>
        <w:rPr>
          <w:b/>
          <w:spacing w:val="-5"/>
          <w:sz w:val="28"/>
        </w:rPr>
        <w:t>急性速发严重过敏反应体征和症状</w:t>
      </w:r>
    </w:p>
    <w:p>
      <w:pPr>
        <w:pStyle w:val="BodyText"/>
        <w:spacing w:line="276" w:lineRule="auto" w:before="159"/>
        <w:ind w:right="359" w:firstLine="480"/>
      </w:pPr>
      <w:r>
        <w:rPr>
          <w:spacing w:val="-2"/>
        </w:rPr>
        <w:t>速发严重过敏反应是一种急性、潜在致命性多系统过敏反应，可能会出现以下部分或所有体征和症状：</w:t>
      </w:r>
    </w:p>
    <w:p>
      <w:pPr>
        <w:pStyle w:val="ListParagraph"/>
        <w:numPr>
          <w:ilvl w:val="1"/>
          <w:numId w:val="58"/>
        </w:numPr>
        <w:tabs>
          <w:tab w:pos="1071" w:val="left" w:leader="none"/>
        </w:tabs>
        <w:spacing w:line="240" w:lineRule="auto" w:before="239" w:after="0"/>
        <w:ind w:left="1071" w:right="0" w:hanging="425"/>
        <w:jc w:val="left"/>
        <w:rPr>
          <w:sz w:val="24"/>
        </w:rPr>
      </w:pPr>
      <w:r>
        <w:rPr>
          <w:spacing w:val="-2"/>
          <w:sz w:val="24"/>
        </w:rPr>
        <w:t>弥漫性红斑。</w:t>
      </w:r>
    </w:p>
    <w:p>
      <w:pPr>
        <w:pStyle w:val="ListParagraph"/>
        <w:numPr>
          <w:ilvl w:val="1"/>
          <w:numId w:val="58"/>
        </w:numPr>
        <w:tabs>
          <w:tab w:pos="1071" w:val="left" w:leader="none"/>
        </w:tabs>
        <w:spacing w:line="240" w:lineRule="auto" w:before="106" w:after="0"/>
        <w:ind w:left="1071" w:right="0" w:hanging="425"/>
        <w:jc w:val="left"/>
        <w:rPr>
          <w:sz w:val="24"/>
        </w:rPr>
      </w:pPr>
      <w:r>
        <w:rPr>
          <w:spacing w:val="-3"/>
          <w:sz w:val="24"/>
        </w:rPr>
        <w:t>瘙痒症。</w:t>
      </w:r>
    </w:p>
    <w:p>
      <w:pPr>
        <w:pStyle w:val="ListParagraph"/>
        <w:numPr>
          <w:ilvl w:val="1"/>
          <w:numId w:val="58"/>
        </w:numPr>
        <w:tabs>
          <w:tab w:pos="1071" w:val="left" w:leader="none"/>
        </w:tabs>
        <w:spacing w:line="240" w:lineRule="auto" w:before="105" w:after="0"/>
        <w:ind w:left="1071" w:right="0" w:hanging="425"/>
        <w:jc w:val="left"/>
        <w:rPr>
          <w:sz w:val="24"/>
        </w:rPr>
      </w:pPr>
      <w:r>
        <w:rPr>
          <w:sz w:val="24"/>
        </w:rPr>
        <w:t>荨麻疹和</w:t>
      </w:r>
      <w:r>
        <w:rPr>
          <w:rFonts w:ascii="Times New Roman" w:hAnsi="Times New Roman" w:eastAsia="Times New Roman"/>
          <w:sz w:val="24"/>
        </w:rPr>
        <w:t>/</w:t>
      </w:r>
      <w:r>
        <w:rPr>
          <w:spacing w:val="-2"/>
          <w:sz w:val="24"/>
        </w:rPr>
        <w:t>或血管性水肿。</w:t>
      </w:r>
    </w:p>
    <w:p>
      <w:pPr>
        <w:pStyle w:val="ListParagraph"/>
        <w:numPr>
          <w:ilvl w:val="1"/>
          <w:numId w:val="58"/>
        </w:numPr>
        <w:tabs>
          <w:tab w:pos="1071" w:val="left" w:leader="none"/>
        </w:tabs>
        <w:spacing w:line="240" w:lineRule="auto" w:before="106" w:after="0"/>
        <w:ind w:left="1071" w:right="0" w:hanging="425"/>
        <w:jc w:val="left"/>
        <w:rPr>
          <w:sz w:val="24"/>
        </w:rPr>
      </w:pPr>
      <w:r>
        <w:rPr>
          <w:spacing w:val="-2"/>
          <w:sz w:val="24"/>
        </w:rPr>
        <w:t>支气管痉挛。</w:t>
      </w:r>
    </w:p>
    <w:p>
      <w:pPr>
        <w:pStyle w:val="ListParagraph"/>
        <w:numPr>
          <w:ilvl w:val="1"/>
          <w:numId w:val="58"/>
        </w:numPr>
        <w:tabs>
          <w:tab w:pos="1071" w:val="left" w:leader="none"/>
        </w:tabs>
        <w:spacing w:line="240" w:lineRule="auto" w:before="107" w:after="0"/>
        <w:ind w:left="1071" w:right="0" w:hanging="425"/>
        <w:jc w:val="left"/>
        <w:rPr>
          <w:sz w:val="24"/>
        </w:rPr>
      </w:pPr>
      <w:r>
        <w:rPr>
          <w:spacing w:val="-2"/>
          <w:sz w:val="24"/>
        </w:rPr>
        <w:t>喉部水肿。</w:t>
      </w:r>
    </w:p>
    <w:p>
      <w:pPr>
        <w:pStyle w:val="ListParagraph"/>
        <w:numPr>
          <w:ilvl w:val="1"/>
          <w:numId w:val="58"/>
        </w:numPr>
        <w:tabs>
          <w:tab w:pos="1071" w:val="left" w:leader="none"/>
        </w:tabs>
        <w:spacing w:line="240" w:lineRule="auto" w:before="105" w:after="0"/>
        <w:ind w:left="1071" w:right="0" w:hanging="425"/>
        <w:jc w:val="left"/>
        <w:rPr>
          <w:sz w:val="24"/>
        </w:rPr>
      </w:pPr>
      <w:r>
        <w:rPr>
          <w:spacing w:val="-3"/>
          <w:sz w:val="24"/>
        </w:rPr>
        <w:t>低血压。</w:t>
      </w:r>
    </w:p>
    <w:p>
      <w:pPr>
        <w:pStyle w:val="ListParagraph"/>
        <w:numPr>
          <w:ilvl w:val="1"/>
          <w:numId w:val="58"/>
        </w:numPr>
        <w:tabs>
          <w:tab w:pos="1071" w:val="left" w:leader="none"/>
        </w:tabs>
        <w:spacing w:line="240" w:lineRule="auto" w:before="106" w:after="0"/>
        <w:ind w:left="1071" w:right="0" w:hanging="425"/>
        <w:jc w:val="left"/>
        <w:rPr>
          <w:sz w:val="24"/>
        </w:rPr>
      </w:pPr>
      <w:r>
        <w:rPr>
          <w:spacing w:val="-2"/>
          <w:sz w:val="24"/>
        </w:rPr>
        <w:t>心律失常。</w:t>
      </w:r>
    </w:p>
    <w:p>
      <w:pPr>
        <w:pStyle w:val="ListParagraph"/>
        <w:numPr>
          <w:ilvl w:val="1"/>
          <w:numId w:val="58"/>
        </w:numPr>
        <w:tabs>
          <w:tab w:pos="1071" w:val="left" w:leader="none"/>
        </w:tabs>
        <w:spacing w:line="240" w:lineRule="auto" w:before="107" w:after="0"/>
        <w:ind w:left="1071" w:right="0" w:hanging="425"/>
        <w:jc w:val="left"/>
        <w:rPr>
          <w:sz w:val="24"/>
        </w:rPr>
      </w:pPr>
      <w:r>
        <w:rPr>
          <w:spacing w:val="-2"/>
          <w:sz w:val="24"/>
        </w:rPr>
        <w:t>垂死状态。</w:t>
      </w:r>
    </w:p>
    <w:p>
      <w:pPr>
        <w:pStyle w:val="ListParagraph"/>
        <w:numPr>
          <w:ilvl w:val="1"/>
          <w:numId w:val="58"/>
        </w:numPr>
        <w:tabs>
          <w:tab w:pos="1071" w:val="left" w:leader="none"/>
        </w:tabs>
        <w:spacing w:line="240" w:lineRule="auto" w:before="106" w:after="0"/>
        <w:ind w:left="1071" w:right="0" w:hanging="425"/>
        <w:jc w:val="left"/>
        <w:rPr>
          <w:sz w:val="24"/>
        </w:rPr>
      </w:pPr>
      <w:r>
        <w:rPr>
          <w:spacing w:val="-2"/>
          <w:sz w:val="24"/>
        </w:rPr>
        <w:t>失去知觉。</w:t>
      </w:r>
    </w:p>
    <w:p>
      <w:pPr>
        <w:pStyle w:val="ListParagraph"/>
        <w:numPr>
          <w:ilvl w:val="1"/>
          <w:numId w:val="58"/>
        </w:numPr>
        <w:tabs>
          <w:tab w:pos="1071" w:val="left" w:leader="none"/>
        </w:tabs>
        <w:spacing w:line="240" w:lineRule="auto" w:before="105" w:after="0"/>
        <w:ind w:left="1071" w:right="0" w:hanging="425"/>
        <w:jc w:val="left"/>
        <w:rPr>
          <w:sz w:val="24"/>
        </w:rPr>
      </w:pPr>
      <w:r>
        <w:rPr>
          <w:spacing w:val="-4"/>
          <w:sz w:val="24"/>
        </w:rPr>
        <w:t>休克。</w:t>
      </w:r>
    </w:p>
    <w:p>
      <w:pPr>
        <w:pStyle w:val="BodyText"/>
        <w:spacing w:before="70"/>
        <w:ind w:left="0"/>
      </w:pPr>
    </w:p>
    <w:p>
      <w:pPr>
        <w:pStyle w:val="BodyText"/>
        <w:ind w:left="701"/>
      </w:pPr>
      <w:r>
        <w:rPr>
          <w:spacing w:val="-1"/>
        </w:rPr>
        <w:t>其他早期或并发体征和症状可包括：</w:t>
      </w:r>
    </w:p>
    <w:p>
      <w:pPr>
        <w:pStyle w:val="ListParagraph"/>
        <w:numPr>
          <w:ilvl w:val="1"/>
          <w:numId w:val="58"/>
        </w:numPr>
        <w:tabs>
          <w:tab w:pos="1071" w:val="left" w:leader="none"/>
        </w:tabs>
        <w:spacing w:line="240" w:lineRule="auto" w:before="287" w:after="0"/>
        <w:ind w:left="1071" w:right="0" w:hanging="425"/>
        <w:jc w:val="left"/>
        <w:rPr>
          <w:sz w:val="24"/>
        </w:rPr>
      </w:pPr>
      <w:r>
        <w:rPr>
          <w:spacing w:val="-1"/>
          <w:sz w:val="24"/>
        </w:rPr>
        <w:t>鼻、眼、咽喉、生殖器、手掌和足底发痒。</w:t>
      </w:r>
    </w:p>
    <w:p>
      <w:pPr>
        <w:pStyle w:val="ListParagraph"/>
        <w:numPr>
          <w:ilvl w:val="1"/>
          <w:numId w:val="58"/>
        </w:numPr>
        <w:tabs>
          <w:tab w:pos="1071" w:val="left" w:leader="none"/>
        </w:tabs>
        <w:spacing w:line="240" w:lineRule="auto" w:before="105" w:after="0"/>
        <w:ind w:left="1071" w:right="0" w:hanging="425"/>
        <w:jc w:val="left"/>
        <w:rPr>
          <w:sz w:val="24"/>
        </w:rPr>
      </w:pPr>
      <w:r>
        <w:rPr>
          <w:spacing w:val="-4"/>
          <w:sz w:val="24"/>
        </w:rPr>
        <w:t>流涕。</w:t>
      </w:r>
    </w:p>
    <w:p>
      <w:pPr>
        <w:pStyle w:val="ListParagraph"/>
        <w:numPr>
          <w:ilvl w:val="1"/>
          <w:numId w:val="58"/>
        </w:numPr>
        <w:tabs>
          <w:tab w:pos="1071" w:val="left" w:leader="none"/>
        </w:tabs>
        <w:spacing w:line="240" w:lineRule="auto" w:before="106" w:after="0"/>
        <w:ind w:left="1071" w:right="0" w:hanging="425"/>
        <w:jc w:val="left"/>
        <w:rPr>
          <w:sz w:val="24"/>
        </w:rPr>
      </w:pPr>
      <w:r>
        <w:rPr>
          <w:spacing w:val="-2"/>
          <w:sz w:val="24"/>
        </w:rPr>
        <w:t>声音改变。</w:t>
      </w:r>
    </w:p>
    <w:p>
      <w:pPr>
        <w:pStyle w:val="ListParagraph"/>
        <w:numPr>
          <w:ilvl w:val="1"/>
          <w:numId w:val="58"/>
        </w:numPr>
        <w:tabs>
          <w:tab w:pos="1071" w:val="left" w:leader="none"/>
        </w:tabs>
        <w:spacing w:line="240" w:lineRule="auto" w:before="107" w:after="0"/>
        <w:ind w:left="1071" w:right="0" w:hanging="425"/>
        <w:jc w:val="left"/>
        <w:rPr>
          <w:sz w:val="24"/>
        </w:rPr>
      </w:pPr>
      <w:r>
        <w:rPr>
          <w:spacing w:val="-2"/>
          <w:sz w:val="24"/>
        </w:rPr>
        <w:t>口中金属味。</w:t>
      </w:r>
    </w:p>
    <w:p>
      <w:pPr>
        <w:pStyle w:val="ListParagraph"/>
        <w:numPr>
          <w:ilvl w:val="1"/>
          <w:numId w:val="58"/>
        </w:numPr>
        <w:tabs>
          <w:tab w:pos="1071" w:val="left" w:leader="none"/>
        </w:tabs>
        <w:spacing w:line="240" w:lineRule="auto" w:before="105" w:after="0"/>
        <w:ind w:left="1071" w:right="0" w:hanging="425"/>
        <w:jc w:val="left"/>
        <w:rPr>
          <w:sz w:val="24"/>
        </w:rPr>
      </w:pPr>
      <w:r>
        <w:rPr>
          <w:spacing w:val="-1"/>
          <w:sz w:val="24"/>
        </w:rPr>
        <w:t>恶心、呕吐、腹泻、腹部痉挛性绞痛和腹胀。</w:t>
      </w:r>
    </w:p>
    <w:p>
      <w:pPr>
        <w:pStyle w:val="ListParagraph"/>
        <w:numPr>
          <w:ilvl w:val="1"/>
          <w:numId w:val="58"/>
        </w:numPr>
        <w:tabs>
          <w:tab w:pos="1071" w:val="left" w:leader="none"/>
        </w:tabs>
        <w:spacing w:line="240" w:lineRule="auto" w:before="106" w:after="0"/>
        <w:ind w:left="1071" w:right="0" w:hanging="425"/>
        <w:jc w:val="left"/>
        <w:rPr>
          <w:sz w:val="24"/>
        </w:rPr>
      </w:pPr>
      <w:r>
        <w:rPr>
          <w:spacing w:val="-2"/>
          <w:sz w:val="24"/>
        </w:rPr>
        <w:t>头晕眼花。</w:t>
      </w:r>
    </w:p>
    <w:p>
      <w:pPr>
        <w:pStyle w:val="ListParagraph"/>
        <w:numPr>
          <w:ilvl w:val="1"/>
          <w:numId w:val="58"/>
        </w:numPr>
        <w:tabs>
          <w:tab w:pos="1071" w:val="left" w:leader="none"/>
        </w:tabs>
        <w:spacing w:line="240" w:lineRule="auto" w:before="105" w:after="0"/>
        <w:ind w:left="1071" w:right="0" w:hanging="425"/>
        <w:jc w:val="left"/>
        <w:rPr>
          <w:sz w:val="24"/>
        </w:rPr>
      </w:pPr>
      <w:r>
        <w:rPr>
          <w:spacing w:val="-4"/>
          <w:sz w:val="24"/>
        </w:rPr>
        <w:t>头痛。</w:t>
      </w:r>
    </w:p>
    <w:p>
      <w:pPr>
        <w:pStyle w:val="ListParagraph"/>
        <w:numPr>
          <w:ilvl w:val="1"/>
          <w:numId w:val="58"/>
        </w:numPr>
        <w:tabs>
          <w:tab w:pos="1071" w:val="left" w:leader="none"/>
        </w:tabs>
        <w:spacing w:line="240" w:lineRule="auto" w:before="107" w:after="0"/>
        <w:ind w:left="1071" w:right="0" w:hanging="425"/>
        <w:jc w:val="left"/>
        <w:rPr>
          <w:sz w:val="24"/>
        </w:rPr>
      </w:pPr>
      <w:r>
        <w:rPr>
          <w:spacing w:val="-2"/>
          <w:sz w:val="24"/>
        </w:rPr>
        <w:t>子宫痉挛。</w:t>
      </w:r>
    </w:p>
    <w:p>
      <w:pPr>
        <w:pStyle w:val="ListParagraph"/>
        <w:numPr>
          <w:ilvl w:val="1"/>
          <w:numId w:val="58"/>
        </w:numPr>
        <w:tabs>
          <w:tab w:pos="1071" w:val="left" w:leader="none"/>
        </w:tabs>
        <w:spacing w:line="240" w:lineRule="auto" w:before="106" w:after="0"/>
        <w:ind w:left="1071" w:right="0" w:hanging="425"/>
        <w:jc w:val="left"/>
        <w:rPr>
          <w:sz w:val="24"/>
        </w:rPr>
      </w:pPr>
      <w:r>
        <w:rPr>
          <w:spacing w:val="-2"/>
          <w:sz w:val="24"/>
        </w:rPr>
        <w:t>全身温热。</w:t>
      </w:r>
    </w:p>
    <w:p>
      <w:pPr>
        <w:spacing w:after="0" w:line="240" w:lineRule="auto"/>
        <w:jc w:val="left"/>
        <w:rPr>
          <w:sz w:val="24"/>
        </w:rPr>
        <w:sectPr>
          <w:pgSz w:w="11910" w:h="16840"/>
          <w:pgMar w:header="590" w:footer="784" w:top="1340" w:bottom="980" w:left="1480" w:right="1080"/>
        </w:sectPr>
      </w:pPr>
    </w:p>
    <w:p>
      <w:pPr>
        <w:tabs>
          <w:tab w:pos="1355" w:val="left" w:leader="none"/>
        </w:tabs>
        <w:spacing w:before="88"/>
        <w:ind w:left="221" w:right="0" w:firstLine="0"/>
        <w:jc w:val="left"/>
        <w:rPr>
          <w:b/>
          <w:sz w:val="28"/>
        </w:rPr>
      </w:pPr>
      <w:bookmarkStart w:name="G 2 急性速发严重过敏反应管理" w:id="335"/>
      <w:bookmarkEnd w:id="335"/>
      <w:r>
        <w:rPr/>
      </w:r>
      <w:r>
        <w:rPr>
          <w:rFonts w:ascii="Times New Roman" w:eastAsia="Times New Roman"/>
          <w:b/>
          <w:sz w:val="26"/>
        </w:rPr>
        <w:t>G </w:t>
      </w:r>
      <w:r>
        <w:rPr>
          <w:rFonts w:ascii="Times New Roman" w:eastAsia="Times New Roman"/>
          <w:b/>
          <w:spacing w:val="-10"/>
          <w:sz w:val="26"/>
        </w:rPr>
        <w:t>2</w:t>
      </w:r>
      <w:r>
        <w:rPr>
          <w:rFonts w:ascii="Times New Roman" w:eastAsia="Times New Roman"/>
          <w:b/>
          <w:sz w:val="26"/>
        </w:rPr>
        <w:tab/>
      </w:r>
      <w:r>
        <w:rPr>
          <w:b/>
          <w:spacing w:val="-3"/>
          <w:sz w:val="28"/>
        </w:rPr>
        <w:t>急性速发严重过敏反应管理</w:t>
      </w:r>
    </w:p>
    <w:p>
      <w:pPr>
        <w:tabs>
          <w:tab w:pos="1354" w:val="left" w:leader="none"/>
        </w:tabs>
        <w:spacing w:before="158"/>
        <w:ind w:left="220" w:right="0" w:firstLine="0"/>
        <w:jc w:val="left"/>
        <w:rPr>
          <w:b/>
          <w:sz w:val="26"/>
        </w:rPr>
      </w:pPr>
      <w:bookmarkStart w:name="G 2.1 立即干预治疗" w:id="336"/>
      <w:bookmarkEnd w:id="336"/>
      <w:r>
        <w:rPr/>
      </w:r>
      <w:r>
        <w:rPr>
          <w:rFonts w:ascii="Times New Roman" w:eastAsia="Times New Roman"/>
          <w:b/>
          <w:sz w:val="24"/>
        </w:rPr>
        <w:t>G </w:t>
      </w:r>
      <w:r>
        <w:rPr>
          <w:rFonts w:ascii="Times New Roman" w:eastAsia="Times New Roman"/>
          <w:b/>
          <w:spacing w:val="-5"/>
          <w:sz w:val="24"/>
        </w:rPr>
        <w:t>2.1</w:t>
      </w:r>
      <w:r>
        <w:rPr>
          <w:rFonts w:ascii="Times New Roman" w:eastAsia="Times New Roman"/>
          <w:b/>
          <w:sz w:val="24"/>
        </w:rPr>
        <w:tab/>
      </w:r>
      <w:r>
        <w:rPr>
          <w:b/>
          <w:spacing w:val="-6"/>
          <w:sz w:val="26"/>
        </w:rPr>
        <w:t>立即干预治疗</w:t>
      </w:r>
    </w:p>
    <w:p>
      <w:pPr>
        <w:pStyle w:val="ListParagraph"/>
        <w:numPr>
          <w:ilvl w:val="0"/>
          <w:numId w:val="59"/>
        </w:numPr>
        <w:tabs>
          <w:tab w:pos="646" w:val="left" w:leader="none"/>
        </w:tabs>
        <w:spacing w:line="240" w:lineRule="auto" w:before="120" w:after="0"/>
        <w:ind w:left="646" w:right="0" w:hanging="425"/>
        <w:jc w:val="left"/>
        <w:rPr>
          <w:sz w:val="24"/>
        </w:rPr>
      </w:pPr>
      <w:r>
        <w:rPr>
          <w:spacing w:val="-1"/>
          <w:sz w:val="24"/>
        </w:rPr>
        <w:t>评估气道、呼吸、循环系统和意识的清晰度。</w:t>
      </w:r>
    </w:p>
    <w:p>
      <w:pPr>
        <w:pStyle w:val="ListParagraph"/>
        <w:numPr>
          <w:ilvl w:val="0"/>
          <w:numId w:val="59"/>
        </w:numPr>
        <w:tabs>
          <w:tab w:pos="646" w:val="left" w:leader="none"/>
        </w:tabs>
        <w:spacing w:line="276" w:lineRule="auto" w:before="106" w:after="0"/>
        <w:ind w:left="646" w:right="122" w:hanging="425"/>
        <w:jc w:val="left"/>
        <w:rPr>
          <w:sz w:val="24"/>
        </w:rPr>
      </w:pPr>
      <w:r>
        <w:rPr>
          <w:spacing w:val="-1"/>
          <w:sz w:val="24"/>
        </w:rPr>
        <w:t>需要时，根据当前的速发严重过敏反应体征和症状，每隔 </w:t>
      </w:r>
      <w:r>
        <w:rPr>
          <w:rFonts w:ascii="Times New Roman" w:eastAsia="Times New Roman"/>
          <w:sz w:val="24"/>
        </w:rPr>
        <w:t>5</w:t>
      </w:r>
      <w:r>
        <w:rPr>
          <w:rFonts w:ascii="Times New Roman" w:eastAsia="Times New Roman"/>
          <w:spacing w:val="-1"/>
          <w:sz w:val="24"/>
        </w:rPr>
        <w:t>~</w:t>
      </w:r>
      <w:r>
        <w:rPr>
          <w:rFonts w:ascii="Times New Roman" w:eastAsia="Times New Roman"/>
          <w:sz w:val="24"/>
        </w:rPr>
        <w:t>15</w:t>
      </w:r>
      <w:r>
        <w:rPr>
          <w:rFonts w:ascii="Times New Roman" w:eastAsia="Times New Roman"/>
          <w:spacing w:val="19"/>
          <w:sz w:val="24"/>
        </w:rPr>
        <w:t> </w:t>
      </w:r>
      <w:r>
        <w:rPr>
          <w:spacing w:val="-7"/>
          <w:sz w:val="24"/>
        </w:rPr>
        <w:t>分钟 </w:t>
      </w:r>
      <w:r>
        <w:rPr>
          <w:rFonts w:ascii="Times New Roman" w:eastAsia="Times New Roman"/>
          <w:sz w:val="24"/>
        </w:rPr>
        <w:t>IM</w:t>
      </w:r>
      <w:r>
        <w:rPr>
          <w:rFonts w:ascii="Times New Roman" w:eastAsia="Times New Roman"/>
          <w:spacing w:val="19"/>
          <w:sz w:val="24"/>
        </w:rPr>
        <w:t> </w:t>
      </w:r>
      <w:r>
        <w:rPr>
          <w:spacing w:val="-1"/>
          <w:sz w:val="24"/>
        </w:rPr>
        <w:t>适当剂</w:t>
      </w:r>
      <w:r>
        <w:rPr>
          <w:spacing w:val="-1"/>
          <w:sz w:val="24"/>
        </w:rPr>
        <w:t> </w:t>
      </w:r>
      <w:r>
        <w:rPr>
          <w:spacing w:val="3"/>
          <w:sz w:val="24"/>
        </w:rPr>
        <w:t>量的肾上腺素，以控制体征和症状，并防止进展为更严重的症状，如呼吸窘迫、低血压、休克和失去知觉。</w:t>
      </w:r>
    </w:p>
    <w:p>
      <w:pPr>
        <w:pStyle w:val="BodyText"/>
        <w:spacing w:before="140"/>
        <w:ind w:left="0"/>
      </w:pPr>
    </w:p>
    <w:p>
      <w:pPr>
        <w:tabs>
          <w:tab w:pos="1354" w:val="left" w:leader="none"/>
        </w:tabs>
        <w:spacing w:before="1"/>
        <w:ind w:left="220" w:right="0" w:firstLine="0"/>
        <w:jc w:val="left"/>
        <w:rPr>
          <w:b/>
          <w:sz w:val="26"/>
        </w:rPr>
      </w:pPr>
      <w:bookmarkStart w:name="G 2.2 适当时，可根据肾上腺素的应答反应采取后续措施" w:id="337"/>
      <w:bookmarkEnd w:id="337"/>
      <w:r>
        <w:rPr/>
      </w:r>
      <w:r>
        <w:rPr>
          <w:rFonts w:ascii="Times New Roman" w:eastAsia="Times New Roman"/>
          <w:b/>
          <w:sz w:val="24"/>
        </w:rPr>
        <w:t>G </w:t>
      </w:r>
      <w:r>
        <w:rPr>
          <w:rFonts w:ascii="Times New Roman" w:eastAsia="Times New Roman"/>
          <w:b/>
          <w:spacing w:val="-5"/>
          <w:sz w:val="24"/>
        </w:rPr>
        <w:t>2.2</w:t>
      </w:r>
      <w:r>
        <w:rPr>
          <w:rFonts w:ascii="Times New Roman" w:eastAsia="Times New Roman"/>
          <w:b/>
          <w:sz w:val="24"/>
        </w:rPr>
        <w:tab/>
      </w:r>
      <w:r>
        <w:rPr>
          <w:b/>
          <w:spacing w:val="-5"/>
          <w:sz w:val="26"/>
        </w:rPr>
        <w:t>适当时，可根据肾上腺素的应答反应采取后续措施</w:t>
      </w:r>
    </w:p>
    <w:p>
      <w:pPr>
        <w:pStyle w:val="ListParagraph"/>
        <w:numPr>
          <w:ilvl w:val="0"/>
          <w:numId w:val="60"/>
        </w:numPr>
        <w:tabs>
          <w:tab w:pos="646" w:val="left" w:leader="none"/>
        </w:tabs>
        <w:spacing w:line="240" w:lineRule="auto" w:before="120" w:after="0"/>
        <w:ind w:left="646" w:right="0" w:hanging="425"/>
        <w:jc w:val="left"/>
        <w:rPr>
          <w:sz w:val="24"/>
        </w:rPr>
      </w:pPr>
      <w:r>
        <w:rPr>
          <w:spacing w:val="-1"/>
          <w:sz w:val="24"/>
        </w:rPr>
        <w:t>让受试者平躺，并抬起下肢。</w:t>
      </w:r>
    </w:p>
    <w:p>
      <w:pPr>
        <w:pStyle w:val="ListParagraph"/>
        <w:numPr>
          <w:ilvl w:val="0"/>
          <w:numId w:val="60"/>
        </w:numPr>
        <w:tabs>
          <w:tab w:pos="646" w:val="left" w:leader="none"/>
        </w:tabs>
        <w:spacing w:line="240" w:lineRule="auto" w:before="105" w:after="0"/>
        <w:ind w:left="646" w:right="0" w:hanging="425"/>
        <w:jc w:val="left"/>
        <w:rPr>
          <w:sz w:val="24"/>
        </w:rPr>
      </w:pPr>
      <w:r>
        <w:rPr>
          <w:spacing w:val="-1"/>
          <w:sz w:val="24"/>
        </w:rPr>
        <w:t>建立和保持气道通畅。</w:t>
      </w:r>
    </w:p>
    <w:p>
      <w:pPr>
        <w:pStyle w:val="ListParagraph"/>
        <w:numPr>
          <w:ilvl w:val="0"/>
          <w:numId w:val="60"/>
        </w:numPr>
        <w:tabs>
          <w:tab w:pos="646" w:val="left" w:leader="none"/>
        </w:tabs>
        <w:spacing w:line="240" w:lineRule="auto" w:before="107" w:after="0"/>
        <w:ind w:left="646" w:right="0" w:hanging="425"/>
        <w:jc w:val="left"/>
        <w:rPr>
          <w:sz w:val="24"/>
        </w:rPr>
      </w:pPr>
      <w:r>
        <w:rPr>
          <w:spacing w:val="-4"/>
          <w:sz w:val="24"/>
        </w:rPr>
        <w:t>吸氧。</w:t>
      </w:r>
    </w:p>
    <w:p>
      <w:pPr>
        <w:pStyle w:val="ListParagraph"/>
        <w:numPr>
          <w:ilvl w:val="0"/>
          <w:numId w:val="60"/>
        </w:numPr>
        <w:tabs>
          <w:tab w:pos="646" w:val="left" w:leader="none"/>
        </w:tabs>
        <w:spacing w:line="240" w:lineRule="auto" w:before="106" w:after="0"/>
        <w:ind w:left="646" w:right="0" w:hanging="425"/>
        <w:jc w:val="left"/>
        <w:rPr>
          <w:sz w:val="24"/>
        </w:rPr>
      </w:pPr>
      <w:r>
        <w:rPr>
          <w:spacing w:val="-2"/>
          <w:sz w:val="24"/>
        </w:rPr>
        <w:t>建立静脉通路。</w:t>
      </w:r>
    </w:p>
    <w:p>
      <w:pPr>
        <w:pStyle w:val="ListParagraph"/>
        <w:numPr>
          <w:ilvl w:val="0"/>
          <w:numId w:val="60"/>
        </w:numPr>
        <w:tabs>
          <w:tab w:pos="646" w:val="left" w:leader="none"/>
        </w:tabs>
        <w:spacing w:line="240" w:lineRule="auto" w:before="105" w:after="0"/>
        <w:ind w:left="646" w:right="0" w:hanging="425"/>
        <w:jc w:val="left"/>
        <w:rPr>
          <w:sz w:val="24"/>
        </w:rPr>
      </w:pPr>
      <w:r>
        <w:rPr>
          <w:rFonts w:ascii="Times New Roman" w:eastAsia="Times New Roman"/>
          <w:sz w:val="24"/>
        </w:rPr>
        <w:t>IV</w:t>
      </w:r>
      <w:r>
        <w:rPr>
          <w:rFonts w:ascii="Times New Roman" w:eastAsia="Times New Roman"/>
          <w:spacing w:val="-13"/>
          <w:sz w:val="24"/>
        </w:rPr>
        <w:t> </w:t>
      </w:r>
      <w:r>
        <w:rPr>
          <w:spacing w:val="-1"/>
          <w:sz w:val="24"/>
        </w:rPr>
        <w:t>注射生理盐水进行补液治疗。</w:t>
      </w:r>
    </w:p>
    <w:p>
      <w:pPr>
        <w:pStyle w:val="BodyText"/>
        <w:spacing w:before="189"/>
        <w:ind w:left="0"/>
      </w:pPr>
    </w:p>
    <w:p>
      <w:pPr>
        <w:tabs>
          <w:tab w:pos="1354" w:val="left" w:leader="none"/>
        </w:tabs>
        <w:spacing w:before="0"/>
        <w:ind w:left="220" w:right="0" w:firstLine="0"/>
        <w:jc w:val="left"/>
        <w:rPr>
          <w:b/>
          <w:sz w:val="26"/>
        </w:rPr>
      </w:pPr>
      <w:bookmarkStart w:name="G 2.3 注射肾上腺素后考虑采取的特殊措施（适当时）" w:id="338"/>
      <w:bookmarkEnd w:id="338"/>
      <w:r>
        <w:rPr/>
      </w:r>
      <w:r>
        <w:rPr>
          <w:rFonts w:ascii="Times New Roman" w:eastAsia="Times New Roman"/>
          <w:b/>
          <w:sz w:val="24"/>
        </w:rPr>
        <w:t>G </w:t>
      </w:r>
      <w:r>
        <w:rPr>
          <w:rFonts w:ascii="Times New Roman" w:eastAsia="Times New Roman"/>
          <w:b/>
          <w:spacing w:val="-5"/>
          <w:sz w:val="24"/>
        </w:rPr>
        <w:t>2.3</w:t>
      </w:r>
      <w:r>
        <w:rPr>
          <w:rFonts w:ascii="Times New Roman" w:eastAsia="Times New Roman"/>
          <w:b/>
          <w:sz w:val="24"/>
        </w:rPr>
        <w:tab/>
      </w:r>
      <w:r>
        <w:rPr>
          <w:b/>
          <w:spacing w:val="-4"/>
          <w:sz w:val="26"/>
        </w:rPr>
        <w:t>注射肾上腺素后考虑采取的特殊措施（适当时</w:t>
      </w:r>
      <w:r>
        <w:rPr>
          <w:b/>
          <w:spacing w:val="-10"/>
          <w:sz w:val="26"/>
        </w:rPr>
        <w:t>）</w:t>
      </w:r>
    </w:p>
    <w:p>
      <w:pPr>
        <w:pStyle w:val="ListParagraph"/>
        <w:numPr>
          <w:ilvl w:val="0"/>
          <w:numId w:val="61"/>
        </w:numPr>
        <w:tabs>
          <w:tab w:pos="646" w:val="left" w:leader="none"/>
        </w:tabs>
        <w:spacing w:line="240" w:lineRule="auto" w:before="120" w:after="0"/>
        <w:ind w:left="646" w:right="0" w:hanging="425"/>
        <w:jc w:val="left"/>
        <w:rPr>
          <w:sz w:val="24"/>
        </w:rPr>
      </w:pPr>
      <w:r>
        <w:rPr>
          <w:spacing w:val="-2"/>
          <w:sz w:val="24"/>
        </w:rPr>
        <w:t>考虑输注肾上腺素。</w:t>
      </w:r>
    </w:p>
    <w:p>
      <w:pPr>
        <w:pStyle w:val="ListParagraph"/>
        <w:numPr>
          <w:ilvl w:val="0"/>
          <w:numId w:val="61"/>
        </w:numPr>
        <w:tabs>
          <w:tab w:pos="646" w:val="left" w:leader="none"/>
        </w:tabs>
        <w:spacing w:line="240" w:lineRule="auto" w:before="107" w:after="0"/>
        <w:ind w:left="646" w:right="0" w:hanging="425"/>
        <w:jc w:val="left"/>
        <w:rPr>
          <w:sz w:val="24"/>
        </w:rPr>
      </w:pPr>
      <w:r>
        <w:rPr>
          <w:spacing w:val="-12"/>
          <w:sz w:val="24"/>
        </w:rPr>
        <w:t>考虑给予 </w:t>
      </w:r>
      <w:r>
        <w:rPr>
          <w:rFonts w:ascii="Times New Roman" w:eastAsia="Times New Roman"/>
          <w:sz w:val="24"/>
        </w:rPr>
        <w:t>H1</w:t>
      </w:r>
      <w:r>
        <w:rPr>
          <w:rFonts w:ascii="Times New Roman" w:eastAsia="Times New Roman"/>
          <w:spacing w:val="-15"/>
          <w:sz w:val="24"/>
        </w:rPr>
        <w:t> </w:t>
      </w:r>
      <w:r>
        <w:rPr>
          <w:spacing w:val="-30"/>
          <w:sz w:val="24"/>
        </w:rPr>
        <w:t>和 </w:t>
      </w:r>
      <w:r>
        <w:rPr>
          <w:rFonts w:ascii="Times New Roman" w:eastAsia="Times New Roman"/>
          <w:sz w:val="24"/>
        </w:rPr>
        <w:t>H2</w:t>
      </w:r>
      <w:r>
        <w:rPr>
          <w:rFonts w:ascii="Times New Roman" w:eastAsia="Times New Roman"/>
          <w:spacing w:val="-13"/>
          <w:sz w:val="24"/>
        </w:rPr>
        <w:t> </w:t>
      </w:r>
      <w:r>
        <w:rPr>
          <w:spacing w:val="-2"/>
          <w:sz w:val="24"/>
        </w:rPr>
        <w:t>抗组胺药。</w:t>
      </w:r>
    </w:p>
    <w:p>
      <w:pPr>
        <w:pStyle w:val="ListParagraph"/>
        <w:numPr>
          <w:ilvl w:val="0"/>
          <w:numId w:val="61"/>
        </w:numPr>
        <w:tabs>
          <w:tab w:pos="646" w:val="left" w:leader="none"/>
        </w:tabs>
        <w:spacing w:line="276" w:lineRule="auto" w:before="106" w:after="0"/>
        <w:ind w:left="646" w:right="357" w:hanging="425"/>
        <w:jc w:val="left"/>
        <w:rPr>
          <w:sz w:val="24"/>
        </w:rPr>
      </w:pPr>
      <w:r>
        <w:rPr>
          <w:spacing w:val="-4"/>
          <w:sz w:val="24"/>
        </w:rPr>
        <w:t>考虑给予雾化 </w:t>
      </w:r>
      <w:r>
        <w:rPr>
          <w:rFonts w:ascii="Times New Roman" w:hAnsi="Times New Roman" w:eastAsia="Times New Roman"/>
          <w:sz w:val="24"/>
        </w:rPr>
        <w:t>β2</w:t>
      </w:r>
      <w:r>
        <w:rPr>
          <w:rFonts w:ascii="Times New Roman" w:hAnsi="Times New Roman" w:eastAsia="Times New Roman"/>
          <w:spacing w:val="15"/>
          <w:sz w:val="24"/>
        </w:rPr>
        <w:t> </w:t>
      </w:r>
      <w:r>
        <w:rPr>
          <w:sz w:val="24"/>
        </w:rPr>
        <w:t>激动剂（</w:t>
      </w:r>
      <w:r>
        <w:rPr>
          <w:spacing w:val="-13"/>
          <w:sz w:val="24"/>
        </w:rPr>
        <w:t>如 </w:t>
      </w:r>
      <w:r>
        <w:rPr>
          <w:rFonts w:ascii="Times New Roman" w:hAnsi="Times New Roman" w:eastAsia="Times New Roman"/>
          <w:sz w:val="24"/>
        </w:rPr>
        <w:t>Albuterol[</w:t>
      </w:r>
      <w:r>
        <w:rPr>
          <w:sz w:val="24"/>
        </w:rPr>
        <w:t>沙丁胺醇</w:t>
      </w:r>
      <w:r>
        <w:rPr>
          <w:rFonts w:ascii="Times New Roman" w:hAnsi="Times New Roman" w:eastAsia="Times New Roman"/>
          <w:sz w:val="24"/>
        </w:rPr>
        <w:t>]</w:t>
      </w:r>
      <w:r>
        <w:rPr>
          <w:sz w:val="24"/>
        </w:rPr>
        <w:t>）以治疗对肾上腺素耐药的支</w:t>
      </w:r>
      <w:r>
        <w:rPr>
          <w:spacing w:val="-2"/>
          <w:sz w:val="24"/>
        </w:rPr>
        <w:t>气管痉挛。</w:t>
      </w:r>
    </w:p>
    <w:p>
      <w:pPr>
        <w:pStyle w:val="ListParagraph"/>
        <w:numPr>
          <w:ilvl w:val="0"/>
          <w:numId w:val="61"/>
        </w:numPr>
        <w:tabs>
          <w:tab w:pos="646" w:val="left" w:leader="none"/>
        </w:tabs>
        <w:spacing w:line="240" w:lineRule="auto" w:before="59" w:after="0"/>
        <w:ind w:left="646" w:right="0" w:hanging="425"/>
        <w:jc w:val="left"/>
        <w:rPr>
          <w:sz w:val="24"/>
        </w:rPr>
      </w:pPr>
      <w:r>
        <w:rPr>
          <w:spacing w:val="-1"/>
          <w:sz w:val="24"/>
        </w:rPr>
        <w:t>考虑给予全身性皮质类固醇。</w:t>
      </w:r>
    </w:p>
    <w:p>
      <w:pPr>
        <w:pStyle w:val="ListParagraph"/>
        <w:numPr>
          <w:ilvl w:val="0"/>
          <w:numId w:val="61"/>
        </w:numPr>
        <w:tabs>
          <w:tab w:pos="646" w:val="left" w:leader="none"/>
        </w:tabs>
        <w:spacing w:line="240" w:lineRule="auto" w:before="105" w:after="0"/>
        <w:ind w:left="646" w:right="0" w:hanging="425"/>
        <w:jc w:val="left"/>
        <w:rPr>
          <w:sz w:val="24"/>
        </w:rPr>
      </w:pPr>
      <w:r>
        <w:rPr>
          <w:sz w:val="24"/>
        </w:rPr>
        <w:t>考虑给予血管升压类药物（如多巴胺）</w:t>
      </w:r>
      <w:r>
        <w:rPr>
          <w:spacing w:val="-10"/>
          <w:sz w:val="24"/>
        </w:rPr>
        <w:t>。</w:t>
      </w:r>
    </w:p>
    <w:p>
      <w:pPr>
        <w:pStyle w:val="ListParagraph"/>
        <w:numPr>
          <w:ilvl w:val="0"/>
          <w:numId w:val="61"/>
        </w:numPr>
        <w:tabs>
          <w:tab w:pos="646" w:val="left" w:leader="none"/>
        </w:tabs>
        <w:spacing w:line="240" w:lineRule="auto" w:before="106" w:after="0"/>
        <w:ind w:left="646" w:right="0" w:hanging="425"/>
        <w:jc w:val="left"/>
        <w:rPr>
          <w:sz w:val="24"/>
        </w:rPr>
      </w:pPr>
      <w:r>
        <w:rPr>
          <w:spacing w:val="-8"/>
          <w:sz w:val="24"/>
        </w:rPr>
        <w:t>考虑对正在服用 </w:t>
      </w:r>
      <w:r>
        <w:rPr>
          <w:rFonts w:ascii="Times New Roman" w:hAnsi="Times New Roman" w:eastAsia="Times New Roman"/>
          <w:sz w:val="24"/>
        </w:rPr>
        <w:t>β</w:t>
      </w:r>
      <w:r>
        <w:rPr>
          <w:rFonts w:ascii="Times New Roman" w:hAnsi="Times New Roman" w:eastAsia="Times New Roman"/>
          <w:spacing w:val="-12"/>
          <w:sz w:val="24"/>
        </w:rPr>
        <w:t> </w:t>
      </w:r>
      <w:r>
        <w:rPr>
          <w:spacing w:val="-1"/>
          <w:sz w:val="24"/>
        </w:rPr>
        <w:t>阻滞剂的受试者给予胰高血糖素。</w:t>
      </w:r>
    </w:p>
    <w:p>
      <w:pPr>
        <w:pStyle w:val="ListParagraph"/>
        <w:numPr>
          <w:ilvl w:val="0"/>
          <w:numId w:val="61"/>
        </w:numPr>
        <w:tabs>
          <w:tab w:pos="646" w:val="left" w:leader="none"/>
        </w:tabs>
        <w:spacing w:line="240" w:lineRule="auto" w:before="106" w:after="0"/>
        <w:ind w:left="646" w:right="0" w:hanging="425"/>
        <w:jc w:val="left"/>
        <w:rPr>
          <w:sz w:val="24"/>
        </w:rPr>
      </w:pPr>
      <w:r>
        <w:rPr>
          <w:spacing w:val="-1"/>
          <w:sz w:val="24"/>
        </w:rPr>
        <w:t>考虑给予阿托品，以治疗症状性心动过缓。</w:t>
      </w:r>
    </w:p>
    <w:p>
      <w:pPr>
        <w:pStyle w:val="ListParagraph"/>
        <w:numPr>
          <w:ilvl w:val="0"/>
          <w:numId w:val="61"/>
        </w:numPr>
        <w:tabs>
          <w:tab w:pos="646" w:val="left" w:leader="none"/>
        </w:tabs>
        <w:spacing w:line="240" w:lineRule="auto" w:before="106" w:after="0"/>
        <w:ind w:left="646" w:right="0" w:hanging="425"/>
        <w:jc w:val="left"/>
        <w:rPr>
          <w:sz w:val="24"/>
        </w:rPr>
      </w:pPr>
      <w:r>
        <w:rPr>
          <w:spacing w:val="-10"/>
          <w:sz w:val="24"/>
        </w:rPr>
        <w:t>考虑转移至 </w:t>
      </w:r>
      <w:r>
        <w:rPr>
          <w:rFonts w:ascii="Times New Roman" w:eastAsia="Times New Roman"/>
          <w:sz w:val="24"/>
        </w:rPr>
        <w:t>ED</w:t>
      </w:r>
      <w:r>
        <w:rPr>
          <w:rFonts w:ascii="Times New Roman" w:eastAsia="Times New Roman"/>
          <w:spacing w:val="-14"/>
          <w:sz w:val="24"/>
        </w:rPr>
        <w:t> </w:t>
      </w:r>
      <w:r>
        <w:rPr>
          <w:spacing w:val="-2"/>
          <w:sz w:val="24"/>
        </w:rPr>
        <w:t>或重症监护病房。</w:t>
      </w:r>
    </w:p>
    <w:p>
      <w:pPr>
        <w:pStyle w:val="ListParagraph"/>
        <w:numPr>
          <w:ilvl w:val="0"/>
          <w:numId w:val="61"/>
        </w:numPr>
        <w:tabs>
          <w:tab w:pos="646" w:val="left" w:leader="none"/>
        </w:tabs>
        <w:spacing w:line="276" w:lineRule="auto" w:before="106" w:after="0"/>
        <w:ind w:left="646" w:right="360" w:hanging="425"/>
        <w:jc w:val="left"/>
        <w:rPr>
          <w:sz w:val="24"/>
        </w:rPr>
      </w:pPr>
      <w:r>
        <w:rPr>
          <w:spacing w:val="3"/>
          <w:sz w:val="24"/>
        </w:rPr>
        <w:t>若速发严重过敏反应期间出现心肺骤停，建议注射高剂量肾上腺素并延长复苏时间（如有必要）。</w:t>
      </w:r>
    </w:p>
    <w:p>
      <w:pPr>
        <w:pStyle w:val="BodyText"/>
        <w:spacing w:before="23"/>
        <w:ind w:left="0"/>
      </w:pPr>
    </w:p>
    <w:p>
      <w:pPr>
        <w:pStyle w:val="BodyText"/>
        <w:spacing w:line="276" w:lineRule="auto"/>
        <w:ind w:right="354" w:firstLine="480"/>
        <w:jc w:val="both"/>
      </w:pPr>
      <w:r>
        <w:rPr>
          <w:spacing w:val="-5"/>
        </w:rPr>
        <w:t>如果在 </w:t>
      </w:r>
      <w:r>
        <w:rPr>
          <w:rFonts w:ascii="Times New Roman" w:hAnsi="Times New Roman" w:eastAsia="Times New Roman"/>
        </w:rPr>
        <w:t>IP </w:t>
      </w:r>
      <w:r>
        <w:rPr>
          <w:spacing w:val="-3"/>
        </w:rPr>
        <w:t>给药期间或给药后 </w:t>
      </w:r>
      <w:r>
        <w:rPr>
          <w:rFonts w:ascii="Times New Roman" w:hAnsi="Times New Roman" w:eastAsia="Times New Roman"/>
        </w:rPr>
        <w:t>24</w:t>
      </w:r>
      <w:r>
        <w:rPr>
          <w:rFonts w:ascii="Times New Roman" w:hAnsi="Times New Roman" w:eastAsia="Times New Roman"/>
          <w:spacing w:val="20"/>
        </w:rPr>
        <w:t> </w:t>
      </w:r>
      <w:r>
        <w:rPr/>
        <w:t>小时内疑似出现速发严重过敏反应，应在事件</w:t>
      </w:r>
      <w:r>
        <w:rPr>
          <w:spacing w:val="-3"/>
        </w:rPr>
        <w:t>发生后尽快、事件发生后 </w:t>
      </w:r>
      <w:r>
        <w:rPr>
          <w:rFonts w:ascii="Times New Roman" w:hAnsi="Times New Roman" w:eastAsia="Times New Roman"/>
        </w:rPr>
        <w:t>60±30</w:t>
      </w:r>
      <w:r>
        <w:rPr>
          <w:rFonts w:ascii="Times New Roman" w:hAnsi="Times New Roman" w:eastAsia="Times New Roman"/>
          <w:spacing w:val="-15"/>
        </w:rPr>
        <w:t> </w:t>
      </w:r>
      <w:r>
        <w:rPr>
          <w:spacing w:val="-3"/>
        </w:rPr>
        <w:t>分钟、出院时以及出院后 </w:t>
      </w:r>
      <w:r>
        <w:rPr>
          <w:rFonts w:ascii="Times New Roman" w:hAnsi="Times New Roman" w:eastAsia="Times New Roman"/>
        </w:rPr>
        <w:t>2</w:t>
      </w:r>
      <w:r>
        <w:rPr>
          <w:rFonts w:ascii="Times New Roman" w:hAnsi="Times New Roman" w:eastAsia="Times New Roman"/>
          <w:spacing w:val="3"/>
        </w:rPr>
        <w:t> </w:t>
      </w:r>
      <w:r>
        <w:rPr>
          <w:spacing w:val="-15"/>
        </w:rPr>
        <w:t>至 </w:t>
      </w:r>
      <w:r>
        <w:rPr>
          <w:rFonts w:ascii="Times New Roman" w:hAnsi="Times New Roman" w:eastAsia="Times New Roman"/>
        </w:rPr>
        <w:t>4 </w:t>
      </w:r>
      <w:r>
        <w:rPr/>
        <w:t>周采集血清样本用</w:t>
      </w:r>
      <w:r>
        <w:rPr>
          <w:spacing w:val="-2"/>
        </w:rPr>
        <w:t>于血清类胰蛋白酶检测。采集血样前应优先对受试者进行紧急护理和对反应进行治</w:t>
      </w:r>
      <w:r>
        <w:rPr>
          <w:spacing w:val="-6"/>
        </w:rPr>
        <w:t>疗。</w:t>
      </w:r>
    </w:p>
    <w:p>
      <w:pPr>
        <w:pStyle w:val="BodyText"/>
        <w:spacing w:before="237"/>
        <w:ind w:left="701"/>
      </w:pPr>
      <w:r>
        <w:rPr>
          <w:spacing w:val="-15"/>
        </w:rPr>
        <w:t>改编自 </w:t>
      </w:r>
      <w:hyperlink w:history="true" w:anchor="_bookmark184">
        <w:r>
          <w:rPr>
            <w:rFonts w:ascii="Times New Roman" w:eastAsia="Times New Roman"/>
            <w:color w:val="0000FF"/>
          </w:rPr>
          <w:t>Kemp</w:t>
        </w:r>
        <w:r>
          <w:rPr>
            <w:rFonts w:ascii="Times New Roman" w:eastAsia="Times New Roman"/>
            <w:color w:val="0000FF"/>
            <w:spacing w:val="-2"/>
          </w:rPr>
          <w:t> </w:t>
        </w:r>
        <w:r>
          <w:rPr>
            <w:rFonts w:ascii="Times New Roman" w:eastAsia="Times New Roman"/>
            <w:color w:val="0000FF"/>
          </w:rPr>
          <w:t>et</w:t>
        </w:r>
        <w:r>
          <w:rPr>
            <w:rFonts w:ascii="Times New Roman" w:eastAsia="Times New Roman"/>
            <w:color w:val="0000FF"/>
            <w:spacing w:val="-1"/>
          </w:rPr>
          <w:t> </w:t>
        </w:r>
        <w:r>
          <w:rPr>
            <w:rFonts w:ascii="Times New Roman" w:eastAsia="Times New Roman"/>
            <w:color w:val="0000FF"/>
          </w:rPr>
          <w:t>al 2008</w:t>
        </w:r>
      </w:hyperlink>
      <w:r>
        <w:rPr>
          <w:spacing w:val="-10"/>
        </w:rPr>
        <w:t>。</w:t>
      </w:r>
    </w:p>
    <w:p>
      <w:pPr>
        <w:spacing w:after="0"/>
        <w:sectPr>
          <w:pgSz w:w="11910" w:h="16840"/>
          <w:pgMar w:header="590" w:footer="784" w:top="1340" w:bottom="980" w:left="1480" w:right="1080"/>
        </w:sectPr>
      </w:pPr>
    </w:p>
    <w:p>
      <w:pPr>
        <w:pStyle w:val="Heading1"/>
        <w:tabs>
          <w:tab w:pos="1921" w:val="left" w:leader="none"/>
        </w:tabs>
        <w:ind w:left="1921" w:right="405" w:hanging="1700"/>
      </w:pPr>
      <w:bookmarkStart w:name="附录H 由于内战、自然灾害或公共卫生危机导致研究中断的风险规避相关变化" w:id="339"/>
      <w:bookmarkEnd w:id="339"/>
      <w:r>
        <w:rPr>
          <w:b w:val="0"/>
        </w:rPr>
      </w:r>
      <w:bookmarkStart w:name="_bookmark163" w:id="340"/>
      <w:bookmarkEnd w:id="340"/>
      <w:r>
        <w:rPr>
          <w:b w:val="0"/>
        </w:rPr>
      </w:r>
      <w:r>
        <w:rPr>
          <w:spacing w:val="-4"/>
        </w:rPr>
        <w:t>附录</w:t>
      </w:r>
      <w:r>
        <w:rPr>
          <w:rFonts w:ascii="Times New Roman" w:eastAsia="Times New Roman"/>
          <w:spacing w:val="-4"/>
        </w:rPr>
        <w:t>H</w:t>
      </w:r>
      <w:r>
        <w:rPr>
          <w:rFonts w:ascii="Times New Roman" w:eastAsia="Times New Roman"/>
        </w:rPr>
        <w:tab/>
      </w:r>
      <w:r>
        <w:rPr>
          <w:spacing w:val="-2"/>
        </w:rPr>
        <w:t>由于内战、自然灾害或公共卫生危机导致研究中断的风险规避相关变化</w:t>
      </w:r>
    </w:p>
    <w:p>
      <w:pPr>
        <w:pStyle w:val="BodyText"/>
        <w:spacing w:before="158"/>
        <w:ind w:left="701"/>
      </w:pPr>
      <w:r>
        <w:rPr>
          <w:spacing w:val="-1"/>
        </w:rPr>
        <w:t>只有在因任何一种或多种内战、自然灾害或公共卫生危机导致的研究中断期间</w:t>
      </w:r>
    </w:p>
    <w:p>
      <w:pPr>
        <w:pStyle w:val="BodyText"/>
        <w:spacing w:line="276" w:lineRule="auto" w:before="46"/>
        <w:ind w:right="354" w:hanging="120"/>
        <w:jc w:val="both"/>
      </w:pPr>
      <w:r>
        <w:rPr>
          <w:spacing w:val="-2"/>
        </w:rPr>
        <w:t>（例如，隔离期间以及由此导致的研究中心关闭、区域旅行限制以及研究中心人员或研究受试者感染 </w:t>
      </w:r>
      <w:r>
        <w:rPr>
          <w:rFonts w:ascii="Times New Roman" w:eastAsia="Times New Roman"/>
        </w:rPr>
        <w:t>SARS-CoV-2 </w:t>
      </w:r>
      <w:r>
        <w:rPr/>
        <w:t>或出现类似的大流行病感染时的考虑因素）才会进行</w:t>
      </w:r>
      <w:r>
        <w:rPr>
          <w:spacing w:val="-2"/>
        </w:rPr>
        <w:t>以下变更，期间受试者可能不愿意或可能无法前往研究中心进行研究访视。只有在当地</w:t>
      </w:r>
      <w:r>
        <w:rPr>
          <w:rFonts w:ascii="Times New Roman" w:eastAsia="Times New Roman"/>
          <w:spacing w:val="-2"/>
        </w:rPr>
        <w:t>/</w:t>
      </w:r>
      <w:r>
        <w:rPr>
          <w:spacing w:val="-2"/>
        </w:rPr>
        <w:t>地区指南允许且收到申办者通知的情况下，才能实施这些变更，并且将在实施时提供如何执行这些程序的说明。</w:t>
      </w:r>
    </w:p>
    <w:p>
      <w:pPr>
        <w:pStyle w:val="BodyText"/>
        <w:spacing w:line="276" w:lineRule="auto" w:before="236"/>
        <w:ind w:right="119" w:firstLine="480"/>
      </w:pPr>
      <w:r>
        <w:rPr>
          <w:spacing w:val="-2"/>
        </w:rPr>
        <w:t>在出现内战、自然灾害或公共卫生危机期间，由于国际或地方政策或指导原则、医院或诊所限制以及为确保患者安全而采取的其他措施，可能无法进行一些研究评</w:t>
      </w:r>
      <w:r>
        <w:rPr>
          <w:spacing w:val="80"/>
          <w:w w:val="150"/>
        </w:rPr>
        <w:t> </w:t>
      </w:r>
      <w:r>
        <w:rPr>
          <w:spacing w:val="-2"/>
        </w:rPr>
        <w:t>估和程序。如果存有疑问，请联系申办者研究医生。</w:t>
      </w:r>
    </w:p>
    <w:p>
      <w:pPr>
        <w:pStyle w:val="Heading1"/>
        <w:tabs>
          <w:tab w:pos="1355" w:val="left" w:leader="none"/>
        </w:tabs>
        <w:spacing w:before="237"/>
        <w:ind w:left="221" w:firstLine="0"/>
      </w:pPr>
      <w:bookmarkStart w:name="H 1 研究中断期间研究受试者的知情同意" w:id="341"/>
      <w:bookmarkEnd w:id="341"/>
      <w:r>
        <w:rPr>
          <w:b w:val="0"/>
        </w:rPr>
      </w:r>
      <w:r>
        <w:rPr>
          <w:rFonts w:ascii="Times New Roman" w:eastAsia="Times New Roman"/>
          <w:sz w:val="26"/>
        </w:rPr>
        <w:t>H </w:t>
      </w:r>
      <w:r>
        <w:rPr>
          <w:rFonts w:ascii="Times New Roman" w:eastAsia="Times New Roman"/>
          <w:spacing w:val="-10"/>
          <w:sz w:val="26"/>
        </w:rPr>
        <w:t>1</w:t>
      </w:r>
      <w:r>
        <w:rPr>
          <w:rFonts w:ascii="Times New Roman" w:eastAsia="Times New Roman"/>
          <w:sz w:val="26"/>
        </w:rPr>
        <w:tab/>
      </w:r>
      <w:r>
        <w:rPr>
          <w:spacing w:val="-5"/>
        </w:rPr>
        <w:t>研究中断期间研究受试者的知情同意</w:t>
      </w:r>
    </w:p>
    <w:p>
      <w:pPr>
        <w:pStyle w:val="BodyText"/>
        <w:spacing w:line="276" w:lineRule="auto" w:before="159"/>
        <w:ind w:right="116" w:firstLine="480"/>
      </w:pPr>
      <w:r>
        <w:rPr>
          <w:spacing w:val="-2"/>
        </w:rPr>
        <w:t>在研究中断期间，受试者可能无法在研究中心完成研究访视和评估，并且可能</w:t>
      </w:r>
      <w:r>
        <w:rPr>
          <w:spacing w:val="80"/>
          <w:w w:val="150"/>
        </w:rPr>
        <w:t> </w:t>
      </w:r>
      <w:r>
        <w:rPr>
          <w:spacing w:val="-2"/>
        </w:rPr>
        <w:t>需要以替代方法进行访视和评估，例如远程访视。对于进行访视和评估的替代方法，应获得知情同意，并应在进行第 </w:t>
      </w:r>
      <w:hyperlink w:history="true" w:anchor="_bookmark164">
        <w:r>
          <w:rPr>
            <w:rFonts w:ascii="Times New Roman" w:eastAsia="Times New Roman"/>
            <w:color w:val="0000FF"/>
          </w:rPr>
          <w:t>H</w:t>
        </w:r>
        <w:r>
          <w:rPr>
            <w:rFonts w:ascii="Times New Roman" w:eastAsia="Times New Roman"/>
            <w:color w:val="0000FF"/>
            <w:spacing w:val="-5"/>
          </w:rPr>
          <w:t> </w:t>
        </w:r>
        <w:r>
          <w:rPr>
            <w:rFonts w:ascii="Times New Roman" w:eastAsia="Times New Roman"/>
            <w:color w:val="0000FF"/>
          </w:rPr>
          <w:t>2</w:t>
        </w:r>
      </w:hyperlink>
      <w:r>
        <w:rPr>
          <w:rFonts w:ascii="Times New Roman" w:eastAsia="Times New Roman"/>
          <w:color w:val="0000FF"/>
          <w:spacing w:val="18"/>
        </w:rPr>
        <w:t> </w:t>
      </w:r>
      <w:r>
        <w:rPr>
          <w:spacing w:val="-6"/>
        </w:rPr>
        <w:t>节至第 </w:t>
      </w:r>
      <w:hyperlink w:history="true" w:anchor="_bookmark166">
        <w:r>
          <w:rPr>
            <w:rFonts w:ascii="Times New Roman" w:eastAsia="Times New Roman"/>
            <w:color w:val="0000FF"/>
          </w:rPr>
          <w:t>H</w:t>
        </w:r>
        <w:r>
          <w:rPr>
            <w:rFonts w:ascii="Times New Roman" w:eastAsia="Times New Roman"/>
            <w:color w:val="0000FF"/>
            <w:spacing w:val="-5"/>
          </w:rPr>
          <w:t> </w:t>
        </w:r>
        <w:r>
          <w:rPr>
            <w:rFonts w:ascii="Times New Roman" w:eastAsia="Times New Roman"/>
            <w:color w:val="0000FF"/>
          </w:rPr>
          <w:t>6</w:t>
        </w:r>
      </w:hyperlink>
      <w:r>
        <w:rPr>
          <w:rFonts w:ascii="Times New Roman" w:eastAsia="Times New Roman"/>
          <w:color w:val="0000FF"/>
          <w:spacing w:val="18"/>
        </w:rPr>
        <w:t> </w:t>
      </w:r>
      <w:r>
        <w:rPr/>
        <w:t>节描述的程序之前获得。应检查并遵</w:t>
      </w:r>
      <w:r>
        <w:rPr>
          <w:spacing w:val="-2"/>
        </w:rPr>
        <w:t>守当地和区域法规和</w:t>
      </w:r>
      <w:r>
        <w:rPr>
          <w:rFonts w:ascii="Times New Roman" w:eastAsia="Times New Roman"/>
          <w:spacing w:val="-2"/>
        </w:rPr>
        <w:t>/</w:t>
      </w:r>
      <w:r>
        <w:rPr>
          <w:spacing w:val="-2"/>
        </w:rPr>
        <w:t>或关于研究受试者重新同意的指导原则。如果当地和区域指导原则允许，可采用口头形式进行知情同意（注意，如果口头知情同意，应在受试者下次</w:t>
      </w:r>
      <w:r>
        <w:rPr/>
        <w:t>与研究中心联系时签署 </w:t>
      </w:r>
      <w:r>
        <w:rPr>
          <w:rFonts w:ascii="Times New Roman" w:eastAsia="Times New Roman"/>
        </w:rPr>
        <w:t>ICF</w:t>
      </w:r>
      <w:r>
        <w:rPr/>
        <w:t>）。应避免仅仅为了获得同意书而进行研究中心访视。</w:t>
      </w:r>
    </w:p>
    <w:p>
      <w:pPr>
        <w:pStyle w:val="Heading1"/>
        <w:tabs>
          <w:tab w:pos="1355" w:val="left" w:leader="none"/>
        </w:tabs>
        <w:spacing w:before="235"/>
        <w:ind w:left="221" w:firstLine="0"/>
      </w:pPr>
      <w:bookmarkStart w:name="H 2 为了重新确认研究资格而对受试者进行的重新入选程序" w:id="342"/>
      <w:bookmarkEnd w:id="342"/>
      <w:r>
        <w:rPr>
          <w:b w:val="0"/>
        </w:rPr>
      </w:r>
      <w:bookmarkStart w:name="_bookmark164" w:id="343"/>
      <w:bookmarkEnd w:id="343"/>
      <w:r>
        <w:rPr>
          <w:b w:val="0"/>
        </w:rPr>
      </w:r>
      <w:r>
        <w:rPr>
          <w:rFonts w:ascii="Times New Roman" w:eastAsia="Times New Roman"/>
          <w:sz w:val="26"/>
        </w:rPr>
        <w:t>H </w:t>
      </w:r>
      <w:r>
        <w:rPr>
          <w:rFonts w:ascii="Times New Roman" w:eastAsia="Times New Roman"/>
          <w:spacing w:val="-10"/>
          <w:sz w:val="26"/>
        </w:rPr>
        <w:t>2</w:t>
      </w:r>
      <w:r>
        <w:rPr>
          <w:rFonts w:ascii="Times New Roman" w:eastAsia="Times New Roman"/>
          <w:sz w:val="26"/>
        </w:rPr>
        <w:tab/>
      </w:r>
      <w:r>
        <w:rPr>
          <w:spacing w:val="-5"/>
        </w:rPr>
        <w:t>为了重新确认研究资格而对受试者进行的重新入选程序</w:t>
      </w:r>
    </w:p>
    <w:p>
      <w:pPr>
        <w:pStyle w:val="BodyText"/>
        <w:spacing w:line="276" w:lineRule="auto" w:before="159"/>
        <w:ind w:right="365" w:firstLine="480"/>
      </w:pPr>
      <w:r>
        <w:rPr>
          <w:spacing w:val="-2"/>
        </w:rPr>
        <w:t>对于因研究中断而入选失败的情况，可在既往接受过入选程序的受试者中进行额外的重新入选程序。研究者应与指定的申办者研究医生确认。</w:t>
      </w:r>
    </w:p>
    <w:p>
      <w:pPr>
        <w:pStyle w:val="BodyText"/>
        <w:spacing w:line="276" w:lineRule="auto" w:before="239"/>
        <w:ind w:right="355" w:firstLine="480"/>
        <w:jc w:val="both"/>
      </w:pPr>
      <w:r>
        <w:rPr>
          <w:spacing w:val="-2"/>
        </w:rPr>
        <w:t>此外，在研究中断期间，确认受试者的合格性与入选研究或开始 </w:t>
      </w:r>
      <w:r>
        <w:rPr>
          <w:rFonts w:ascii="Times New Roman" w:eastAsia="Times New Roman"/>
        </w:rPr>
        <w:t>IP</w:t>
      </w:r>
      <w:r>
        <w:rPr>
          <w:rFonts w:ascii="Times New Roman" w:eastAsia="Times New Roman"/>
          <w:spacing w:val="-15"/>
        </w:rPr>
        <w:t> </w:t>
      </w:r>
      <w:r>
        <w:rPr/>
        <w:t>给药之间可</w:t>
      </w:r>
      <w:r>
        <w:rPr>
          <w:spacing w:val="-2"/>
        </w:rPr>
        <w:t>能存在延迟。如果发生该延迟，则受试者需要重新接受入选程序，以在开始研究程</w:t>
      </w:r>
      <w:r>
        <w:rPr>
          <w:spacing w:val="1"/>
        </w:rPr>
        <w:t>序之前重新确认合格性。除第</w:t>
      </w:r>
      <w:hyperlink w:history="true" w:anchor="_bookmark45">
        <w:r>
          <w:rPr>
            <w:rFonts w:ascii="Times New Roman" w:eastAsia="Times New Roman"/>
            <w:color w:val="0000FF"/>
          </w:rPr>
          <w:t>5.4</w:t>
        </w:r>
        <w:r>
          <w:rPr>
            <w:rFonts w:ascii="Times New Roman" w:eastAsia="Times New Roman"/>
            <w:color w:val="0000FF"/>
            <w:spacing w:val="-15"/>
          </w:rPr>
          <w:t> </w:t>
        </w:r>
      </w:hyperlink>
      <w:r>
        <w:rPr/>
        <w:t>节中详述的内容外，这将为入选失败的受试者提供再次进行入选程序的机会。必须使用与受试者相同的随机化编号进行第 </w:t>
      </w:r>
      <w:hyperlink w:history="true" w:anchor="_bookmark36">
        <w:r>
          <w:rPr>
            <w:rFonts w:ascii="Times New Roman" w:eastAsia="Times New Roman"/>
            <w:color w:val="0000FF"/>
          </w:rPr>
          <w:t>5</w:t>
        </w:r>
      </w:hyperlink>
      <w:r>
        <w:rPr>
          <w:rFonts w:ascii="Times New Roman" w:eastAsia="Times New Roman"/>
          <w:color w:val="0000FF"/>
        </w:rPr>
        <w:t> </w:t>
      </w:r>
      <w:r>
        <w:rPr/>
        <w:t>节中详述</w:t>
      </w:r>
      <w:r>
        <w:rPr>
          <w:spacing w:val="-2"/>
        </w:rPr>
        <w:t>的程序，以确认合格性。</w:t>
      </w:r>
    </w:p>
    <w:p>
      <w:pPr>
        <w:pStyle w:val="Heading1"/>
        <w:tabs>
          <w:tab w:pos="1355" w:val="left" w:leader="none"/>
        </w:tabs>
        <w:spacing w:before="235"/>
        <w:ind w:left="221" w:firstLine="0"/>
        <w:jc w:val="both"/>
      </w:pPr>
      <w:bookmarkStart w:name="H 3 代替现场访视的家庭或远程访视（如适用）" w:id="344"/>
      <w:bookmarkEnd w:id="344"/>
      <w:r>
        <w:rPr>
          <w:b w:val="0"/>
        </w:rPr>
      </w:r>
      <w:r>
        <w:rPr>
          <w:rFonts w:ascii="Times New Roman" w:eastAsia="Times New Roman"/>
          <w:sz w:val="26"/>
        </w:rPr>
        <w:t>H </w:t>
      </w:r>
      <w:r>
        <w:rPr>
          <w:rFonts w:ascii="Times New Roman" w:eastAsia="Times New Roman"/>
          <w:spacing w:val="-10"/>
          <w:sz w:val="26"/>
        </w:rPr>
        <w:t>3</w:t>
      </w:r>
      <w:r>
        <w:rPr>
          <w:rFonts w:ascii="Times New Roman" w:eastAsia="Times New Roman"/>
          <w:sz w:val="26"/>
        </w:rPr>
        <w:tab/>
      </w:r>
      <w:r>
        <w:rPr>
          <w:spacing w:val="-4"/>
        </w:rPr>
        <w:t>代替现场访视的家庭或远程访视（如适用</w:t>
      </w:r>
      <w:r>
        <w:rPr>
          <w:spacing w:val="-10"/>
        </w:rPr>
        <w:t>）</w:t>
      </w:r>
    </w:p>
    <w:p>
      <w:pPr>
        <w:pStyle w:val="BodyText"/>
        <w:spacing w:line="276" w:lineRule="auto" w:before="159"/>
        <w:ind w:right="354" w:firstLine="480"/>
        <w:jc w:val="both"/>
      </w:pPr>
      <w:r>
        <w:rPr>
          <w:spacing w:val="-7"/>
        </w:rPr>
        <w:t>来自研究中心的合格 </w:t>
      </w:r>
      <w:r>
        <w:rPr>
          <w:rFonts w:ascii="Times New Roman" w:eastAsia="Times New Roman"/>
          <w:spacing w:val="-4"/>
        </w:rPr>
        <w:t>HCP</w:t>
      </w:r>
      <w:r>
        <w:rPr>
          <w:rFonts w:ascii="Times New Roman" w:eastAsia="Times New Roman"/>
          <w:spacing w:val="-11"/>
        </w:rPr>
        <w:t> </w:t>
      </w:r>
      <w:r>
        <w:rPr>
          <w:spacing w:val="-15"/>
        </w:rPr>
        <w:t>或 </w:t>
      </w:r>
      <w:r>
        <w:rPr>
          <w:rFonts w:ascii="Times New Roman" w:eastAsia="Times New Roman"/>
          <w:spacing w:val="-4"/>
        </w:rPr>
        <w:t>TPV</w:t>
      </w:r>
      <w:r>
        <w:rPr>
          <w:rFonts w:ascii="Times New Roman" w:eastAsia="Times New Roman"/>
          <w:spacing w:val="-11"/>
        </w:rPr>
        <w:t> </w:t>
      </w:r>
      <w:r>
        <w:rPr>
          <w:spacing w:val="-4"/>
        </w:rPr>
        <w:t>服务人员将根据当地标准操作规程（如适用）</w:t>
      </w:r>
      <w:r>
        <w:rPr>
          <w:spacing w:val="-2"/>
        </w:rPr>
        <w:t>对受试者进行居家访视或其他远程访视。将提供安全有效的访视所需的供应品。预</w:t>
      </w:r>
      <w:r>
        <w:rPr>
          <w:spacing w:val="-5"/>
        </w:rPr>
        <w:t>期合格 </w:t>
      </w:r>
      <w:r>
        <w:rPr>
          <w:rFonts w:ascii="Times New Roman" w:eastAsia="Times New Roman"/>
        </w:rPr>
        <w:t>HCP </w:t>
      </w:r>
      <w:r>
        <w:rPr>
          <w:spacing w:val="-5"/>
        </w:rPr>
        <w:t>将根据 </w:t>
      </w:r>
      <w:r>
        <w:rPr>
          <w:rFonts w:ascii="Times New Roman" w:eastAsia="Times New Roman"/>
        </w:rPr>
        <w:t>CSP </w:t>
      </w:r>
      <w:r>
        <w:rPr/>
        <w:t>收集信息。</w:t>
      </w:r>
    </w:p>
    <w:p>
      <w:pPr>
        <w:pStyle w:val="BodyText"/>
        <w:spacing w:line="276" w:lineRule="auto" w:before="238"/>
        <w:ind w:right="363" w:firstLine="480"/>
      </w:pPr>
      <w:r>
        <w:rPr>
          <w:spacing w:val="-2"/>
        </w:rPr>
        <w:t>如适用，可根据“关于因内战、自然灾害或公共卫生危机导致的缓解的研究说</w:t>
      </w:r>
      <w:r>
        <w:rPr>
          <w:spacing w:val="-4"/>
        </w:rPr>
        <w:t>明”中修订的 </w:t>
      </w:r>
      <w:r>
        <w:rPr>
          <w:rFonts w:ascii="Times New Roman" w:hAnsi="Times New Roman" w:eastAsia="Times New Roman"/>
        </w:rPr>
        <w:t>SoA </w:t>
      </w:r>
      <w:r>
        <w:rPr/>
        <w:t>进行安全程序和样本采集。</w:t>
      </w:r>
    </w:p>
    <w:p>
      <w:pPr>
        <w:spacing w:after="0" w:line="276" w:lineRule="auto"/>
        <w:sectPr>
          <w:pgSz w:w="11910" w:h="16840"/>
          <w:pgMar w:header="590" w:footer="784" w:top="1340" w:bottom="980" w:left="1480" w:right="1080"/>
        </w:sectPr>
      </w:pPr>
    </w:p>
    <w:p>
      <w:pPr>
        <w:pStyle w:val="Heading1"/>
        <w:tabs>
          <w:tab w:pos="1355" w:val="left" w:leader="none"/>
        </w:tabs>
        <w:ind w:left="221" w:firstLine="0"/>
        <w:jc w:val="both"/>
      </w:pPr>
      <w:bookmarkStart w:name="H 4 远程医疗访视代替现场访视（如适用）" w:id="345"/>
      <w:bookmarkEnd w:id="345"/>
      <w:r>
        <w:rPr>
          <w:b w:val="0"/>
        </w:rPr>
      </w:r>
      <w:r>
        <w:rPr>
          <w:rFonts w:ascii="Times New Roman" w:eastAsia="Times New Roman"/>
          <w:sz w:val="26"/>
        </w:rPr>
        <w:t>H </w:t>
      </w:r>
      <w:r>
        <w:rPr>
          <w:rFonts w:ascii="Times New Roman" w:eastAsia="Times New Roman"/>
          <w:spacing w:val="-10"/>
          <w:sz w:val="26"/>
        </w:rPr>
        <w:t>4</w:t>
      </w:r>
      <w:r>
        <w:rPr>
          <w:rFonts w:ascii="Times New Roman" w:eastAsia="Times New Roman"/>
          <w:sz w:val="26"/>
        </w:rPr>
        <w:tab/>
      </w:r>
      <w:r>
        <w:rPr>
          <w:spacing w:val="-4"/>
        </w:rPr>
        <w:t>远程医疗访视代替现场访视（如适用</w:t>
      </w:r>
      <w:r>
        <w:rPr>
          <w:spacing w:val="-10"/>
        </w:rPr>
        <w:t>）</w:t>
      </w:r>
    </w:p>
    <w:p>
      <w:pPr>
        <w:pStyle w:val="BodyText"/>
        <w:spacing w:line="276" w:lineRule="auto" w:before="159"/>
        <w:ind w:right="365" w:firstLine="480"/>
      </w:pPr>
      <w:r>
        <w:rPr>
          <w:spacing w:val="-2"/>
        </w:rPr>
        <w:t>在本附录中，术语远程医疗访视是指使用电信技术（包括电话、虚拟或视频访视和移动健康设备）与受试者的远程联系。</w:t>
      </w:r>
    </w:p>
    <w:p>
      <w:pPr>
        <w:pStyle w:val="BodyText"/>
        <w:spacing w:line="276" w:lineRule="auto" w:before="239"/>
        <w:ind w:right="357" w:firstLine="480"/>
        <w:jc w:val="both"/>
      </w:pPr>
      <w:r>
        <w:rPr>
          <w:spacing w:val="-2"/>
        </w:rPr>
        <w:t>在出现内战、自然灾害或公共卫生危机期间，如果当地</w:t>
      </w:r>
      <w:r>
        <w:rPr>
          <w:rFonts w:ascii="Times New Roman" w:eastAsia="Times New Roman"/>
          <w:spacing w:val="-2"/>
        </w:rPr>
        <w:t>/</w:t>
      </w:r>
      <w:r>
        <w:rPr>
          <w:spacing w:val="-2"/>
        </w:rPr>
        <w:t>地区指导原则允许，远</w:t>
      </w:r>
      <w:r>
        <w:rPr>
          <w:spacing w:val="-3"/>
        </w:rPr>
        <w:t>程医疗访视可替换现场访视。通过远程医疗与受试者联系可获知 </w:t>
      </w:r>
      <w:r>
        <w:rPr>
          <w:rFonts w:ascii="Times New Roman" w:eastAsia="Times New Roman"/>
          <w:spacing w:val="-2"/>
        </w:rPr>
        <w:t>AE</w:t>
      </w:r>
      <w:r>
        <w:rPr>
          <w:spacing w:val="-2"/>
        </w:rPr>
        <w:t>、合并用药、病</w:t>
      </w:r>
      <w:r>
        <w:rPr>
          <w:spacing w:val="-10"/>
        </w:rPr>
        <w:t>史和 </w:t>
      </w:r>
      <w:r>
        <w:rPr>
          <w:rFonts w:ascii="Times New Roman" w:eastAsia="Times New Roman"/>
        </w:rPr>
        <w:t>COPD</w:t>
      </w:r>
      <w:r>
        <w:rPr>
          <w:rFonts w:ascii="Times New Roman" w:eastAsia="Times New Roman"/>
          <w:spacing w:val="-15"/>
        </w:rPr>
        <w:t> </w:t>
      </w:r>
      <w:r>
        <w:rPr/>
        <w:t>史、</w:t>
      </w:r>
      <w:r>
        <w:rPr>
          <w:rFonts w:ascii="Times New Roman" w:eastAsia="Times New Roman"/>
        </w:rPr>
        <w:t>COPD</w:t>
      </w:r>
      <w:r>
        <w:rPr>
          <w:rFonts w:ascii="Times New Roman" w:eastAsia="Times New Roman"/>
          <w:spacing w:val="-7"/>
        </w:rPr>
        <w:t> </w:t>
      </w:r>
      <w:r>
        <w:rPr/>
        <w:t>治疗、</w:t>
      </w:r>
      <w:r>
        <w:rPr>
          <w:rFonts w:ascii="Times New Roman" w:eastAsia="Times New Roman"/>
        </w:rPr>
        <w:t>COPD</w:t>
      </w:r>
      <w:r>
        <w:rPr>
          <w:rFonts w:ascii="Times New Roman" w:eastAsia="Times New Roman"/>
          <w:spacing w:val="-2"/>
        </w:rPr>
        <w:t> </w:t>
      </w:r>
      <w:r>
        <w:rPr/>
        <w:t>急性加重、吸烟状况、吸氧状态、</w:t>
      </w:r>
      <w:r>
        <w:rPr>
          <w:rFonts w:ascii="Times New Roman" w:eastAsia="Times New Roman"/>
        </w:rPr>
        <w:t>HRU</w:t>
      </w:r>
      <w:r>
        <w:rPr>
          <w:rFonts w:ascii="Times New Roman" w:eastAsia="Times New Roman"/>
          <w:spacing w:val="-2"/>
        </w:rPr>
        <w:t> </w:t>
      </w:r>
      <w:r>
        <w:rPr/>
        <w:t>以及研</w:t>
      </w:r>
      <w:r>
        <w:rPr>
          <w:spacing w:val="-2"/>
        </w:rPr>
        <w:t>究者认为需要报告并记录的其他信息。</w:t>
      </w:r>
    </w:p>
    <w:p>
      <w:pPr>
        <w:tabs>
          <w:tab w:pos="1355" w:val="left" w:leader="none"/>
        </w:tabs>
        <w:spacing w:before="237"/>
        <w:ind w:left="221" w:right="0" w:firstLine="0"/>
        <w:jc w:val="both"/>
        <w:rPr>
          <w:b/>
          <w:sz w:val="28"/>
        </w:rPr>
      </w:pPr>
      <w:bookmarkStart w:name="H 5 居家或远程IP给药说明" w:id="346"/>
      <w:bookmarkEnd w:id="346"/>
      <w:r>
        <w:rPr/>
      </w:r>
      <w:r>
        <w:rPr>
          <w:rFonts w:ascii="Times New Roman" w:eastAsia="Times New Roman"/>
          <w:b/>
          <w:sz w:val="26"/>
        </w:rPr>
        <w:t>H </w:t>
      </w:r>
      <w:r>
        <w:rPr>
          <w:rFonts w:ascii="Times New Roman" w:eastAsia="Times New Roman"/>
          <w:b/>
          <w:spacing w:val="-10"/>
          <w:sz w:val="26"/>
        </w:rPr>
        <w:t>5</w:t>
      </w:r>
      <w:r>
        <w:rPr>
          <w:rFonts w:ascii="Times New Roman" w:eastAsia="Times New Roman"/>
          <w:b/>
          <w:sz w:val="26"/>
        </w:rPr>
        <w:tab/>
      </w:r>
      <w:r>
        <w:rPr>
          <w:b/>
          <w:spacing w:val="-13"/>
          <w:sz w:val="28"/>
        </w:rPr>
        <w:t>居家或远程 </w:t>
      </w:r>
      <w:r>
        <w:rPr>
          <w:rFonts w:ascii="Times New Roman" w:eastAsia="Times New Roman"/>
          <w:b/>
          <w:spacing w:val="-2"/>
          <w:sz w:val="28"/>
        </w:rPr>
        <w:t>IP</w:t>
      </w:r>
      <w:r>
        <w:rPr>
          <w:rFonts w:ascii="Times New Roman" w:eastAsia="Times New Roman"/>
          <w:b/>
          <w:spacing w:val="-12"/>
          <w:sz w:val="28"/>
        </w:rPr>
        <w:t> </w:t>
      </w:r>
      <w:r>
        <w:rPr>
          <w:b/>
          <w:spacing w:val="-4"/>
          <w:sz w:val="28"/>
        </w:rPr>
        <w:t>给药说明</w:t>
      </w:r>
    </w:p>
    <w:p>
      <w:pPr>
        <w:pStyle w:val="BodyText"/>
        <w:spacing w:line="276" w:lineRule="auto" w:before="159"/>
        <w:ind w:right="357" w:firstLine="480"/>
        <w:jc w:val="both"/>
      </w:pPr>
      <w:r>
        <w:rPr>
          <w:spacing w:val="-4"/>
        </w:rPr>
        <w:t>如果无法进行现场访视，可由合格 </w:t>
      </w:r>
      <w:r>
        <w:rPr>
          <w:rFonts w:ascii="Times New Roman" w:eastAsia="Times New Roman"/>
          <w:spacing w:val="-2"/>
        </w:rPr>
        <w:t>HCP</w:t>
      </w:r>
      <w:r>
        <w:rPr>
          <w:rFonts w:ascii="Times New Roman" w:eastAsia="Times New Roman"/>
          <w:spacing w:val="-11"/>
        </w:rPr>
        <w:t> </w:t>
      </w:r>
      <w:r>
        <w:rPr>
          <w:spacing w:val="-2"/>
        </w:rPr>
        <w:t>进行居家或远程</w:t>
      </w:r>
      <w:r>
        <w:rPr>
          <w:rFonts w:ascii="Times New Roman" w:eastAsia="Times New Roman"/>
          <w:spacing w:val="-2"/>
        </w:rPr>
        <w:t>IP </w:t>
      </w:r>
      <w:r>
        <w:rPr>
          <w:spacing w:val="-2"/>
        </w:rPr>
        <w:t>给药，前提是在当地</w:t>
      </w:r>
      <w:r>
        <w:rPr/>
        <w:t>法规</w:t>
      </w:r>
      <w:r>
        <w:rPr>
          <w:rFonts w:ascii="Times New Roman" w:eastAsia="Times New Roman"/>
        </w:rPr>
        <w:t>/</w:t>
      </w:r>
      <w:r>
        <w:rPr/>
        <w:t>指南范围内可以接受。在大流行的情况下，如果受试者前往研究中心</w:t>
      </w:r>
      <w:r>
        <w:rPr>
          <w:rFonts w:ascii="Times New Roman" w:eastAsia="Times New Roman"/>
        </w:rPr>
        <w:t>/</w:t>
      </w:r>
      <w:r>
        <w:rPr/>
        <w:t>门诊的</w:t>
      </w:r>
      <w:r>
        <w:rPr>
          <w:spacing w:val="-2"/>
        </w:rPr>
        <w:t>风险可能增加，则选择居家或远程 </w:t>
      </w:r>
      <w:r>
        <w:rPr>
          <w:rFonts w:ascii="Times New Roman" w:eastAsia="Times New Roman"/>
        </w:rPr>
        <w:t>IP</w:t>
      </w:r>
      <w:r>
        <w:rPr>
          <w:rFonts w:ascii="Times New Roman" w:eastAsia="Times New Roman"/>
          <w:spacing w:val="-15"/>
        </w:rPr>
        <w:t> </w:t>
      </w:r>
      <w:r>
        <w:rPr/>
        <w:t>给药可确保受试者的安全性。这也将尽可能减</w:t>
      </w:r>
      <w:r>
        <w:rPr>
          <w:spacing w:val="-3"/>
        </w:rPr>
        <w:t>少在其他研究中断期间 </w:t>
      </w:r>
      <w:r>
        <w:rPr>
          <w:rFonts w:ascii="Times New Roman" w:eastAsia="Times New Roman"/>
        </w:rPr>
        <w:t>IP </w:t>
      </w:r>
      <w:r>
        <w:rPr/>
        <w:t>给药中断（例如由于自然灾害导致的研究中心关闭）。</w:t>
      </w:r>
    </w:p>
    <w:p>
      <w:pPr>
        <w:pStyle w:val="BodyText"/>
        <w:spacing w:before="236"/>
        <w:ind w:left="701"/>
      </w:pPr>
      <w:r>
        <w:rPr>
          <w:spacing w:val="-30"/>
        </w:rPr>
        <w:t>第 </w:t>
      </w:r>
      <w:hyperlink w:history="true" w:anchor="_bookmark165">
        <w:r>
          <w:rPr>
            <w:rFonts w:ascii="Times New Roman" w:eastAsia="Times New Roman"/>
            <w:color w:val="0000FF"/>
          </w:rPr>
          <w:t>H</w:t>
        </w:r>
        <w:r>
          <w:rPr>
            <w:rFonts w:ascii="Times New Roman" w:eastAsia="Times New Roman"/>
            <w:color w:val="0000FF"/>
            <w:spacing w:val="-1"/>
          </w:rPr>
          <w:t> </w:t>
        </w:r>
        <w:r>
          <w:rPr>
            <w:rFonts w:ascii="Times New Roman" w:eastAsia="Times New Roman"/>
            <w:color w:val="0000FF"/>
          </w:rPr>
          <w:t>5.1</w:t>
        </w:r>
      </w:hyperlink>
      <w:r>
        <w:rPr>
          <w:rFonts w:ascii="Times New Roman" w:eastAsia="Times New Roman"/>
          <w:color w:val="0000FF"/>
          <w:spacing w:val="-12"/>
        </w:rPr>
        <w:t> </w:t>
      </w:r>
      <w:r>
        <w:rPr>
          <w:spacing w:val="-6"/>
        </w:rPr>
        <w:t>节仅适用于正在使用的 </w:t>
      </w:r>
      <w:r>
        <w:rPr>
          <w:rFonts w:ascii="Times New Roman" w:eastAsia="Times New Roman"/>
        </w:rPr>
        <w:t>IP</w:t>
      </w:r>
      <w:r>
        <w:rPr>
          <w:rFonts w:ascii="Times New Roman" w:eastAsia="Times New Roman"/>
          <w:spacing w:val="-13"/>
        </w:rPr>
        <w:t> </w:t>
      </w:r>
      <w:r>
        <w:rPr>
          <w:spacing w:val="-1"/>
        </w:rPr>
        <w:t>制剂，如注射用生物制品。</w:t>
      </w:r>
    </w:p>
    <w:p>
      <w:pPr>
        <w:pStyle w:val="Heading2"/>
        <w:tabs>
          <w:tab w:pos="1354" w:val="left" w:leader="none"/>
        </w:tabs>
        <w:spacing w:before="285"/>
        <w:ind w:left="220" w:firstLine="0"/>
      </w:pPr>
      <w:bookmarkStart w:name="H 5.1 合格HCP或TPV服务人员进行居家或远程IP给药" w:id="347"/>
      <w:bookmarkEnd w:id="347"/>
      <w:r>
        <w:rPr>
          <w:b w:val="0"/>
        </w:rPr>
      </w:r>
      <w:bookmarkStart w:name="_bookmark165" w:id="348"/>
      <w:bookmarkEnd w:id="348"/>
      <w:r>
        <w:rPr>
          <w:b w:val="0"/>
        </w:rPr>
      </w:r>
      <w:r>
        <w:rPr>
          <w:rFonts w:ascii="Times New Roman" w:eastAsia="Times New Roman"/>
          <w:sz w:val="24"/>
        </w:rPr>
        <w:t>H </w:t>
      </w:r>
      <w:r>
        <w:rPr>
          <w:rFonts w:ascii="Times New Roman" w:eastAsia="Times New Roman"/>
          <w:spacing w:val="-5"/>
          <w:sz w:val="24"/>
        </w:rPr>
        <w:t>5.1</w:t>
      </w:r>
      <w:r>
        <w:rPr>
          <w:rFonts w:ascii="Times New Roman" w:eastAsia="Times New Roman"/>
          <w:sz w:val="24"/>
        </w:rPr>
        <w:tab/>
      </w:r>
      <w:r>
        <w:rPr>
          <w:spacing w:val="-24"/>
        </w:rPr>
        <w:t>合格 </w:t>
      </w:r>
      <w:r>
        <w:rPr>
          <w:rFonts w:ascii="Times New Roman" w:eastAsia="Times New Roman"/>
          <w:spacing w:val="-2"/>
        </w:rPr>
        <w:t>HCP</w:t>
      </w:r>
      <w:r>
        <w:rPr>
          <w:rFonts w:ascii="Times New Roman" w:eastAsia="Times New Roman"/>
          <w:spacing w:val="-10"/>
        </w:rPr>
        <w:t> </w:t>
      </w:r>
      <w:r>
        <w:rPr>
          <w:spacing w:val="-33"/>
        </w:rPr>
        <w:t>或 </w:t>
      </w:r>
      <w:r>
        <w:rPr>
          <w:rFonts w:ascii="Times New Roman" w:eastAsia="Times New Roman"/>
          <w:spacing w:val="-2"/>
        </w:rPr>
        <w:t>TPV</w:t>
      </w:r>
      <w:r>
        <w:rPr>
          <w:rFonts w:ascii="Times New Roman" w:eastAsia="Times New Roman"/>
          <w:spacing w:val="-9"/>
        </w:rPr>
        <w:t> </w:t>
      </w:r>
      <w:r>
        <w:rPr>
          <w:spacing w:val="-7"/>
        </w:rPr>
        <w:t>服务人员进行居家或远程 </w:t>
      </w:r>
      <w:r>
        <w:rPr>
          <w:rFonts w:ascii="Times New Roman" w:eastAsia="Times New Roman"/>
          <w:spacing w:val="-2"/>
        </w:rPr>
        <w:t>IP</w:t>
      </w:r>
      <w:r>
        <w:rPr>
          <w:rFonts w:ascii="Times New Roman" w:eastAsia="Times New Roman"/>
          <w:spacing w:val="-9"/>
        </w:rPr>
        <w:t> </w:t>
      </w:r>
      <w:r>
        <w:rPr>
          <w:spacing w:val="-6"/>
        </w:rPr>
        <w:t>给药</w:t>
      </w:r>
    </w:p>
    <w:p>
      <w:pPr>
        <w:pStyle w:val="BodyText"/>
        <w:spacing w:line="276" w:lineRule="auto" w:before="159"/>
        <w:ind w:right="358" w:firstLine="480"/>
        <w:jc w:val="both"/>
      </w:pPr>
      <w:r>
        <w:rPr>
          <w:spacing w:val="-12"/>
        </w:rPr>
        <w:t>根据 </w:t>
      </w:r>
      <w:r>
        <w:rPr>
          <w:rFonts w:ascii="Times New Roman" w:eastAsia="Times New Roman"/>
          <w:spacing w:val="-6"/>
        </w:rPr>
        <w:t>CSP</w:t>
      </w:r>
      <w:r>
        <w:rPr>
          <w:spacing w:val="-8"/>
        </w:rPr>
        <w:t>，来自研究中心的合格 </w:t>
      </w:r>
      <w:r>
        <w:rPr>
          <w:rFonts w:ascii="Times New Roman" w:eastAsia="Times New Roman"/>
          <w:spacing w:val="-6"/>
        </w:rPr>
        <w:t>HCP</w:t>
      </w:r>
      <w:r>
        <w:rPr>
          <w:rFonts w:ascii="Times New Roman" w:eastAsia="Times New Roman"/>
          <w:spacing w:val="-9"/>
        </w:rPr>
        <w:t> </w:t>
      </w:r>
      <w:r>
        <w:rPr>
          <w:spacing w:val="-15"/>
        </w:rPr>
        <w:t>或 </w:t>
      </w:r>
      <w:r>
        <w:rPr>
          <w:rFonts w:ascii="Times New Roman" w:eastAsia="Times New Roman"/>
          <w:spacing w:val="-6"/>
        </w:rPr>
        <w:t>TPV</w:t>
      </w:r>
      <w:r>
        <w:rPr>
          <w:rFonts w:ascii="Times New Roman" w:eastAsia="Times New Roman"/>
          <w:spacing w:val="6"/>
        </w:rPr>
        <w:t> </w:t>
      </w:r>
      <w:r>
        <w:rPr>
          <w:spacing w:val="-6"/>
        </w:rPr>
        <w:t>服务人员可对受试者进行居家或其</w:t>
      </w:r>
      <w:r>
        <w:rPr>
          <w:spacing w:val="13"/>
        </w:rPr>
        <w:t>他远程</w:t>
      </w:r>
      <w:r>
        <w:rPr>
          <w:rFonts w:ascii="Times New Roman" w:eastAsia="Times New Roman"/>
        </w:rPr>
        <w:t>IP</w:t>
      </w:r>
      <w:r>
        <w:rPr>
          <w:rFonts w:ascii="Times New Roman" w:eastAsia="Times New Roman"/>
          <w:spacing w:val="-15"/>
        </w:rPr>
        <w:t> </w:t>
      </w:r>
      <w:r>
        <w:rPr>
          <w:spacing w:val="1"/>
        </w:rPr>
        <w:t>给药。将提供所有必要的供应品和给药说明以及</w:t>
      </w:r>
      <w:r>
        <w:rPr>
          <w:rFonts w:ascii="Times New Roman" w:eastAsia="Times New Roman"/>
        </w:rPr>
        <w:t>IP</w:t>
      </w:r>
      <w:r>
        <w:rPr>
          <w:rFonts w:ascii="Times New Roman" w:eastAsia="Times New Roman"/>
          <w:spacing w:val="-15"/>
        </w:rPr>
        <w:t> </w:t>
      </w:r>
      <w:r>
        <w:rPr/>
        <w:t>给药记录。可通过远程</w:t>
      </w:r>
      <w:r>
        <w:rPr>
          <w:spacing w:val="-2"/>
        </w:rPr>
        <w:t>医疗或居家访视获得与访视相关的补充信息。</w:t>
      </w:r>
    </w:p>
    <w:p>
      <w:pPr>
        <w:pStyle w:val="Heading1"/>
        <w:tabs>
          <w:tab w:pos="1355" w:val="left" w:leader="none"/>
        </w:tabs>
        <w:spacing w:before="239"/>
        <w:ind w:left="221" w:firstLine="0"/>
      </w:pPr>
      <w:bookmarkStart w:name="H 6 远程医疗或居家/远程访视期间的数据采集" w:id="349"/>
      <w:bookmarkEnd w:id="349"/>
      <w:r>
        <w:rPr>
          <w:b w:val="0"/>
        </w:rPr>
      </w:r>
      <w:bookmarkStart w:name="_bookmark166" w:id="350"/>
      <w:bookmarkEnd w:id="350"/>
      <w:r>
        <w:rPr>
          <w:b w:val="0"/>
        </w:rPr>
      </w:r>
      <w:r>
        <w:rPr>
          <w:rFonts w:ascii="Times New Roman" w:eastAsia="Times New Roman"/>
          <w:sz w:val="26"/>
        </w:rPr>
        <w:t>H </w:t>
      </w:r>
      <w:r>
        <w:rPr>
          <w:rFonts w:ascii="Times New Roman" w:eastAsia="Times New Roman"/>
          <w:spacing w:val="-10"/>
          <w:sz w:val="26"/>
        </w:rPr>
        <w:t>6</w:t>
      </w:r>
      <w:r>
        <w:rPr>
          <w:rFonts w:ascii="Times New Roman" w:eastAsia="Times New Roman"/>
          <w:sz w:val="26"/>
        </w:rPr>
        <w:tab/>
      </w:r>
      <w:r>
        <w:rPr>
          <w:spacing w:val="-4"/>
        </w:rPr>
        <w:t>远程医疗或居家</w:t>
      </w:r>
      <w:r>
        <w:rPr>
          <w:rFonts w:ascii="Times New Roman" w:eastAsia="Times New Roman"/>
          <w:spacing w:val="-4"/>
        </w:rPr>
        <w:t>/</w:t>
      </w:r>
      <w:r>
        <w:rPr>
          <w:spacing w:val="-5"/>
        </w:rPr>
        <w:t>远程访视期间的数据采集</w:t>
      </w:r>
    </w:p>
    <w:p>
      <w:pPr>
        <w:pStyle w:val="BodyText"/>
        <w:spacing w:line="276" w:lineRule="auto" w:before="159"/>
        <w:ind w:right="357" w:firstLine="480"/>
        <w:jc w:val="both"/>
      </w:pPr>
      <w:r>
        <w:rPr/>
        <w:t>远程医疗或居家</w:t>
      </w:r>
      <w:r>
        <w:rPr>
          <w:rFonts w:ascii="Times New Roman" w:eastAsia="Times New Roman"/>
        </w:rPr>
        <w:t>/</w:t>
      </w:r>
      <w:r>
        <w:rPr>
          <w:spacing w:val="-2"/>
        </w:rPr>
        <w:t>远程访视期间采集的数据将由研究中心的合格 </w:t>
      </w:r>
      <w:r>
        <w:rPr>
          <w:rFonts w:ascii="Times New Roman" w:eastAsia="Times New Roman"/>
        </w:rPr>
        <w:t>HCP</w:t>
      </w:r>
      <w:r>
        <w:rPr>
          <w:rFonts w:ascii="Times New Roman" w:eastAsia="Times New Roman"/>
          <w:spacing w:val="-4"/>
        </w:rPr>
        <w:t> </w:t>
      </w:r>
      <w:r>
        <w:rPr>
          <w:spacing w:val="-15"/>
        </w:rPr>
        <w:t>或 </w:t>
      </w:r>
      <w:r>
        <w:rPr>
          <w:rFonts w:ascii="Times New Roman" w:eastAsia="Times New Roman"/>
        </w:rPr>
        <w:t>TPV</w:t>
      </w:r>
      <w:r>
        <w:rPr>
          <w:rFonts w:ascii="Times New Roman" w:eastAsia="Times New Roman"/>
          <w:spacing w:val="8"/>
        </w:rPr>
        <w:t> </w:t>
      </w:r>
      <w:r>
        <w:rPr/>
        <w:t>服</w:t>
      </w:r>
      <w:r>
        <w:rPr>
          <w:spacing w:val="-2"/>
        </w:rPr>
        <w:t>务人员采集。</w:t>
      </w:r>
    </w:p>
    <w:p>
      <w:pPr>
        <w:spacing w:after="0" w:line="276" w:lineRule="auto"/>
        <w:jc w:val="both"/>
        <w:sectPr>
          <w:pgSz w:w="11910" w:h="16840"/>
          <w:pgMar w:header="590" w:footer="784" w:top="1340" w:bottom="980" w:left="1480" w:right="1080"/>
        </w:sectPr>
      </w:pPr>
    </w:p>
    <w:p>
      <w:pPr>
        <w:pStyle w:val="Heading1"/>
        <w:tabs>
          <w:tab w:pos="1921" w:val="left" w:leader="none"/>
        </w:tabs>
        <w:ind w:left="221" w:firstLine="0"/>
      </w:pPr>
      <w:bookmarkStart w:name="附录I 吸入性皮质类固醇等效剂量的示例" w:id="351"/>
      <w:bookmarkEnd w:id="351"/>
      <w:r>
        <w:rPr>
          <w:b w:val="0"/>
        </w:rPr>
      </w:r>
      <w:bookmarkStart w:name="_bookmark167" w:id="352"/>
      <w:bookmarkEnd w:id="352"/>
      <w:r>
        <w:rPr>
          <w:b w:val="0"/>
        </w:rPr>
      </w:r>
      <w:r>
        <w:rPr>
          <w:spacing w:val="-2"/>
        </w:rPr>
        <w:t>附录</w:t>
      </w:r>
      <w:r>
        <w:rPr>
          <w:rFonts w:ascii="Times New Roman" w:eastAsia="Times New Roman"/>
          <w:spacing w:val="-10"/>
        </w:rPr>
        <w:t>I</w:t>
      </w:r>
      <w:r>
        <w:rPr>
          <w:rFonts w:ascii="Times New Roman" w:eastAsia="Times New Roman"/>
        </w:rPr>
        <w:tab/>
      </w:r>
      <w:r>
        <w:rPr>
          <w:spacing w:val="-4"/>
        </w:rPr>
        <w:t>吸入性皮质类固醇等效剂量的示</w:t>
      </w:r>
      <w:r>
        <w:rPr>
          <w:spacing w:val="-10"/>
        </w:rPr>
        <w:t>例</w:t>
      </w:r>
    </w:p>
    <w:p>
      <w:pPr>
        <w:pStyle w:val="BodyText"/>
        <w:spacing w:before="6"/>
        <w:ind w:left="0"/>
        <w:rPr>
          <w:b/>
          <w:sz w:val="13"/>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059"/>
        <w:gridCol w:w="2201"/>
        <w:gridCol w:w="2501"/>
      </w:tblGrid>
      <w:tr>
        <w:trPr>
          <w:trHeight w:val="664" w:hRule="atLeast"/>
        </w:trPr>
        <w:tc>
          <w:tcPr>
            <w:tcW w:w="4059" w:type="dxa"/>
          </w:tcPr>
          <w:p>
            <w:pPr>
              <w:pStyle w:val="TableParagraph"/>
              <w:spacing w:before="76"/>
              <w:rPr>
                <w:b/>
                <w:sz w:val="21"/>
              </w:rPr>
            </w:pPr>
          </w:p>
          <w:p>
            <w:pPr>
              <w:pStyle w:val="TableParagraph"/>
              <w:spacing w:before="1"/>
              <w:ind w:left="2"/>
              <w:jc w:val="center"/>
              <w:rPr>
                <w:b/>
                <w:sz w:val="21"/>
              </w:rPr>
            </w:pPr>
            <w:r>
              <w:rPr>
                <w:rFonts w:ascii="Times New Roman" w:eastAsia="Times New Roman"/>
                <w:b/>
                <w:sz w:val="21"/>
              </w:rPr>
              <w:t>ICS</w:t>
            </w:r>
            <w:r>
              <w:rPr>
                <w:rFonts w:ascii="Times New Roman" w:eastAsia="Times New Roman"/>
                <w:b/>
                <w:spacing w:val="-13"/>
                <w:sz w:val="21"/>
              </w:rPr>
              <w:t> </w:t>
            </w:r>
            <w:r>
              <w:rPr>
                <w:b/>
                <w:spacing w:val="-5"/>
                <w:sz w:val="21"/>
              </w:rPr>
              <w:t>组分</w:t>
            </w:r>
          </w:p>
        </w:tc>
        <w:tc>
          <w:tcPr>
            <w:tcW w:w="2201" w:type="dxa"/>
          </w:tcPr>
          <w:p>
            <w:pPr>
              <w:pStyle w:val="TableParagraph"/>
              <w:spacing w:before="38"/>
              <w:ind w:left="677"/>
              <w:rPr>
                <w:b/>
                <w:sz w:val="21"/>
              </w:rPr>
            </w:pPr>
            <w:r>
              <w:rPr>
                <w:b/>
                <w:spacing w:val="-4"/>
                <w:sz w:val="21"/>
              </w:rPr>
              <w:t>换算系数</w:t>
            </w:r>
          </w:p>
          <w:p>
            <w:pPr>
              <w:pStyle w:val="TableParagraph"/>
              <w:spacing w:before="39"/>
              <w:ind w:left="207"/>
              <w:rPr>
                <w:b/>
                <w:sz w:val="21"/>
              </w:rPr>
            </w:pPr>
            <w:r>
              <w:rPr>
                <w:b/>
                <w:spacing w:val="-2"/>
                <w:sz w:val="21"/>
              </w:rPr>
              <w:t>（</w:t>
            </w:r>
            <w:r>
              <w:rPr>
                <w:b/>
                <w:spacing w:val="-10"/>
                <w:sz w:val="21"/>
              </w:rPr>
              <w:t>即剂量乘以 </w:t>
            </w:r>
            <w:r>
              <w:rPr>
                <w:rFonts w:ascii="Times New Roman" w:eastAsia="Times New Roman"/>
                <w:b/>
                <w:spacing w:val="-5"/>
                <w:sz w:val="21"/>
              </w:rPr>
              <w:t>X</w:t>
            </w:r>
            <w:r>
              <w:rPr>
                <w:b/>
                <w:spacing w:val="-5"/>
                <w:sz w:val="21"/>
              </w:rPr>
              <w:t>）</w:t>
            </w:r>
          </w:p>
        </w:tc>
        <w:tc>
          <w:tcPr>
            <w:tcW w:w="2501" w:type="dxa"/>
          </w:tcPr>
          <w:p>
            <w:pPr>
              <w:pStyle w:val="TableParagraph"/>
              <w:spacing w:before="76"/>
              <w:ind w:left="301"/>
              <w:rPr>
                <w:b/>
                <w:sz w:val="21"/>
              </w:rPr>
            </w:pPr>
            <w:r>
              <w:rPr>
                <w:b/>
                <w:spacing w:val="-3"/>
                <w:sz w:val="21"/>
              </w:rPr>
              <w:t>相当于丙酸氟替卡松</w:t>
            </w:r>
          </w:p>
          <w:p>
            <w:pPr>
              <w:pStyle w:val="TableParagraph"/>
              <w:spacing w:before="1"/>
              <w:ind w:left="314"/>
              <w:rPr>
                <w:b/>
                <w:sz w:val="21"/>
              </w:rPr>
            </w:pPr>
            <w:r>
              <w:rPr>
                <w:rFonts w:ascii="Times New Roman" w:hAnsi="Times New Roman" w:eastAsia="Times New Roman"/>
                <w:b/>
                <w:sz w:val="21"/>
              </w:rPr>
              <w:t>250</w:t>
            </w:r>
            <w:r>
              <w:rPr>
                <w:rFonts w:ascii="Times New Roman" w:hAnsi="Times New Roman" w:eastAsia="Times New Roman"/>
                <w:b/>
                <w:spacing w:val="-9"/>
                <w:sz w:val="21"/>
              </w:rPr>
              <w:t> </w:t>
            </w:r>
            <w:r>
              <w:rPr>
                <w:rFonts w:ascii="Times New Roman" w:hAnsi="Times New Roman" w:eastAsia="Times New Roman"/>
                <w:b/>
                <w:sz w:val="21"/>
              </w:rPr>
              <w:t>μg</w:t>
            </w:r>
            <w:r>
              <w:rPr>
                <w:b/>
                <w:sz w:val="21"/>
              </w:rPr>
              <w:t>（</w:t>
            </w:r>
            <w:r>
              <w:rPr>
                <w:rFonts w:ascii="Times New Roman" w:hAnsi="Times New Roman" w:eastAsia="Times New Roman"/>
                <w:b/>
                <w:sz w:val="21"/>
              </w:rPr>
              <w:t>μg</w:t>
            </w:r>
            <w:r>
              <w:rPr>
                <w:b/>
                <w:sz w:val="21"/>
              </w:rPr>
              <w:t>）</w:t>
            </w:r>
            <w:r>
              <w:rPr>
                <w:b/>
                <w:spacing w:val="-4"/>
                <w:sz w:val="21"/>
              </w:rPr>
              <w:t>的剂量</w:t>
            </w:r>
          </w:p>
        </w:tc>
      </w:tr>
      <w:tr>
        <w:trPr>
          <w:trHeight w:val="352" w:hRule="atLeast"/>
        </w:trPr>
        <w:tc>
          <w:tcPr>
            <w:tcW w:w="4059" w:type="dxa"/>
            <w:shd w:val="clear" w:color="auto" w:fill="F1F1F1"/>
          </w:tcPr>
          <w:p>
            <w:pPr>
              <w:pStyle w:val="TableParagraph"/>
              <w:spacing w:before="38"/>
              <w:ind w:left="2"/>
              <w:jc w:val="center"/>
              <w:rPr>
                <w:sz w:val="21"/>
              </w:rPr>
            </w:pPr>
            <w:r>
              <w:rPr>
                <w:spacing w:val="-2"/>
                <w:sz w:val="21"/>
              </w:rPr>
              <w:t>丙酸氟替卡松</w:t>
            </w:r>
          </w:p>
        </w:tc>
        <w:tc>
          <w:tcPr>
            <w:tcW w:w="2201" w:type="dxa"/>
            <w:shd w:val="clear" w:color="auto" w:fill="F1F1F1"/>
          </w:tcPr>
          <w:p>
            <w:pPr>
              <w:pStyle w:val="TableParagraph"/>
              <w:spacing w:before="40"/>
              <w:ind w:left="5" w:right="2"/>
              <w:jc w:val="center"/>
              <w:rPr>
                <w:rFonts w:ascii="Times New Roman"/>
                <w:sz w:val="21"/>
              </w:rPr>
            </w:pPr>
            <w:r>
              <w:rPr>
                <w:rFonts w:ascii="Times New Roman"/>
                <w:spacing w:val="-10"/>
                <w:sz w:val="21"/>
              </w:rPr>
              <w:t>1</w:t>
            </w:r>
          </w:p>
        </w:tc>
        <w:tc>
          <w:tcPr>
            <w:tcW w:w="2501" w:type="dxa"/>
            <w:shd w:val="clear" w:color="auto" w:fill="F1F1F1"/>
          </w:tcPr>
          <w:p>
            <w:pPr>
              <w:pStyle w:val="TableParagraph"/>
              <w:spacing w:before="40"/>
              <w:ind w:left="4" w:right="2"/>
              <w:jc w:val="center"/>
              <w:rPr>
                <w:rFonts w:ascii="Times New Roman"/>
                <w:sz w:val="21"/>
              </w:rPr>
            </w:pPr>
            <w:r>
              <w:rPr>
                <w:rFonts w:ascii="Times New Roman"/>
                <w:spacing w:val="-5"/>
                <w:sz w:val="21"/>
              </w:rPr>
              <w:t>250</w:t>
            </w:r>
          </w:p>
        </w:tc>
      </w:tr>
      <w:tr>
        <w:trPr>
          <w:trHeight w:val="352" w:hRule="atLeast"/>
        </w:trPr>
        <w:tc>
          <w:tcPr>
            <w:tcW w:w="4059" w:type="dxa"/>
          </w:tcPr>
          <w:p>
            <w:pPr>
              <w:pStyle w:val="TableParagraph"/>
              <w:spacing w:before="38"/>
              <w:ind w:left="2"/>
              <w:jc w:val="center"/>
              <w:rPr>
                <w:sz w:val="21"/>
              </w:rPr>
            </w:pPr>
            <w:r>
              <w:rPr>
                <w:spacing w:val="-8"/>
                <w:sz w:val="21"/>
              </w:rPr>
              <w:t>丙酸氟替卡松 </w:t>
            </w:r>
            <w:r>
              <w:rPr>
                <w:rFonts w:ascii="Times New Roman" w:eastAsia="Times New Roman"/>
                <w:sz w:val="21"/>
              </w:rPr>
              <w:t>HFA</w:t>
            </w:r>
            <w:r>
              <w:rPr>
                <w:sz w:val="21"/>
              </w:rPr>
              <w:t>（</w:t>
            </w:r>
            <w:r>
              <w:rPr>
                <w:rFonts w:ascii="Times New Roman" w:eastAsia="Times New Roman"/>
                <w:sz w:val="21"/>
              </w:rPr>
              <w:t>Flovent</w:t>
            </w:r>
            <w:r>
              <w:rPr>
                <w:rFonts w:ascii="Times New Roman" w:eastAsia="Times New Roman"/>
                <w:spacing w:val="-3"/>
                <w:sz w:val="21"/>
              </w:rPr>
              <w:t> </w:t>
            </w:r>
            <w:r>
              <w:rPr>
                <w:rFonts w:ascii="Times New Roman" w:eastAsia="Times New Roman"/>
                <w:spacing w:val="-4"/>
                <w:sz w:val="21"/>
              </w:rPr>
              <w:t>HFA</w:t>
            </w:r>
            <w:r>
              <w:rPr>
                <w:spacing w:val="-4"/>
                <w:sz w:val="21"/>
              </w:rPr>
              <w:t>）</w:t>
            </w:r>
          </w:p>
        </w:tc>
        <w:tc>
          <w:tcPr>
            <w:tcW w:w="2201" w:type="dxa"/>
          </w:tcPr>
          <w:p>
            <w:pPr>
              <w:pStyle w:val="TableParagraph"/>
              <w:spacing w:before="40"/>
              <w:ind w:left="5"/>
              <w:jc w:val="center"/>
              <w:rPr>
                <w:rFonts w:ascii="Times New Roman"/>
                <w:sz w:val="21"/>
              </w:rPr>
            </w:pPr>
            <w:r>
              <w:rPr>
                <w:rFonts w:ascii="Times New Roman"/>
                <w:spacing w:val="-4"/>
                <w:sz w:val="21"/>
              </w:rPr>
              <w:t>1.14</w:t>
            </w:r>
          </w:p>
        </w:tc>
        <w:tc>
          <w:tcPr>
            <w:tcW w:w="2501" w:type="dxa"/>
          </w:tcPr>
          <w:p>
            <w:pPr>
              <w:pStyle w:val="TableParagraph"/>
              <w:spacing w:before="38"/>
              <w:ind w:left="4" w:right="1"/>
              <w:jc w:val="center"/>
              <w:rPr>
                <w:sz w:val="21"/>
              </w:rPr>
            </w:pPr>
            <w:r>
              <w:rPr>
                <w:rFonts w:ascii="Times New Roman" w:eastAsia="Times New Roman"/>
                <w:sz w:val="21"/>
              </w:rPr>
              <w:t>220</w:t>
            </w:r>
            <w:r>
              <w:rPr>
                <w:sz w:val="21"/>
              </w:rPr>
              <w:t>（每揿</w:t>
            </w:r>
            <w:r>
              <w:rPr>
                <w:spacing w:val="-10"/>
                <w:sz w:val="21"/>
              </w:rPr>
              <w:t>）</w:t>
            </w:r>
          </w:p>
        </w:tc>
      </w:tr>
      <w:tr>
        <w:trPr>
          <w:trHeight w:val="623" w:hRule="atLeast"/>
        </w:trPr>
        <w:tc>
          <w:tcPr>
            <w:tcW w:w="4059" w:type="dxa"/>
            <w:shd w:val="clear" w:color="auto" w:fill="F1F1F1"/>
          </w:tcPr>
          <w:p>
            <w:pPr>
              <w:pStyle w:val="TableParagraph"/>
              <w:spacing w:before="38"/>
              <w:ind w:left="2"/>
              <w:jc w:val="center"/>
              <w:rPr>
                <w:rFonts w:ascii="Times New Roman" w:eastAsia="Times New Roman"/>
                <w:sz w:val="21"/>
              </w:rPr>
            </w:pPr>
            <w:r>
              <w:rPr>
                <w:spacing w:val="-8"/>
                <w:sz w:val="21"/>
              </w:rPr>
              <w:t>糠酸氟替卡松 </w:t>
            </w:r>
            <w:r>
              <w:rPr>
                <w:rFonts w:ascii="Times New Roman" w:eastAsia="Times New Roman"/>
                <w:spacing w:val="-10"/>
                <w:sz w:val="21"/>
                <w:vertAlign w:val="superscript"/>
              </w:rPr>
              <w:t>a</w:t>
            </w:r>
          </w:p>
        </w:tc>
        <w:tc>
          <w:tcPr>
            <w:tcW w:w="2201" w:type="dxa"/>
            <w:shd w:val="clear" w:color="auto" w:fill="F1F1F1"/>
          </w:tcPr>
          <w:p>
            <w:pPr>
              <w:pStyle w:val="TableParagraph"/>
              <w:spacing w:before="40"/>
              <w:ind w:left="5" w:right="2"/>
              <w:jc w:val="center"/>
              <w:rPr>
                <w:rFonts w:ascii="Times New Roman"/>
                <w:sz w:val="21"/>
              </w:rPr>
            </w:pPr>
            <w:r>
              <w:rPr>
                <w:rFonts w:ascii="Times New Roman"/>
                <w:spacing w:val="-5"/>
                <w:sz w:val="21"/>
              </w:rPr>
              <w:t>2.5</w:t>
            </w:r>
          </w:p>
        </w:tc>
        <w:tc>
          <w:tcPr>
            <w:tcW w:w="2501" w:type="dxa"/>
            <w:shd w:val="clear" w:color="auto" w:fill="F1F1F1"/>
          </w:tcPr>
          <w:p>
            <w:pPr>
              <w:pStyle w:val="TableParagraph"/>
              <w:spacing w:line="273" w:lineRule="exact" w:before="36"/>
              <w:ind w:left="4"/>
              <w:jc w:val="center"/>
              <w:rPr>
                <w:rFonts w:ascii="Times New Roman" w:eastAsia="Times New Roman"/>
                <w:sz w:val="21"/>
              </w:rPr>
            </w:pPr>
            <w:r>
              <w:rPr>
                <w:rFonts w:ascii="Times New Roman" w:eastAsia="Times New Roman"/>
                <w:sz w:val="21"/>
              </w:rPr>
              <w:t>100</w:t>
            </w:r>
            <w:r>
              <w:rPr>
                <w:sz w:val="21"/>
              </w:rPr>
              <w:t>（定量</w:t>
            </w:r>
            <w:r>
              <w:rPr>
                <w:spacing w:val="-5"/>
                <w:sz w:val="21"/>
              </w:rPr>
              <w:t>）</w:t>
            </w:r>
            <w:r>
              <w:rPr>
                <w:rFonts w:ascii="Times New Roman" w:eastAsia="Times New Roman"/>
                <w:spacing w:val="-5"/>
                <w:sz w:val="21"/>
              </w:rPr>
              <w:t>/</w:t>
            </w:r>
          </w:p>
          <w:p>
            <w:pPr>
              <w:pStyle w:val="TableParagraph"/>
              <w:spacing w:line="273" w:lineRule="exact"/>
              <w:ind w:left="4" w:right="1"/>
              <w:jc w:val="center"/>
              <w:rPr>
                <w:sz w:val="21"/>
              </w:rPr>
            </w:pPr>
            <w:r>
              <w:rPr>
                <w:rFonts w:ascii="Times New Roman" w:eastAsia="Times New Roman"/>
                <w:spacing w:val="-2"/>
                <w:sz w:val="21"/>
              </w:rPr>
              <w:t>92</w:t>
            </w:r>
            <w:r>
              <w:rPr>
                <w:spacing w:val="-2"/>
                <w:sz w:val="21"/>
              </w:rPr>
              <w:t>（释药剂量</w:t>
            </w:r>
            <w:r>
              <w:rPr>
                <w:spacing w:val="-10"/>
                <w:sz w:val="21"/>
              </w:rPr>
              <w:t>）</w:t>
            </w:r>
          </w:p>
        </w:tc>
      </w:tr>
      <w:tr>
        <w:trPr>
          <w:trHeight w:val="625" w:hRule="atLeast"/>
        </w:trPr>
        <w:tc>
          <w:tcPr>
            <w:tcW w:w="4059" w:type="dxa"/>
          </w:tcPr>
          <w:p>
            <w:pPr>
              <w:pStyle w:val="TableParagraph"/>
              <w:spacing w:before="39"/>
              <w:ind w:left="2"/>
              <w:jc w:val="center"/>
              <w:rPr>
                <w:sz w:val="21"/>
              </w:rPr>
            </w:pPr>
            <w:r>
              <w:rPr>
                <w:spacing w:val="-3"/>
                <w:sz w:val="21"/>
              </w:rPr>
              <w:t>布地奈德</w:t>
            </w:r>
          </w:p>
        </w:tc>
        <w:tc>
          <w:tcPr>
            <w:tcW w:w="2201" w:type="dxa"/>
          </w:tcPr>
          <w:p>
            <w:pPr>
              <w:pStyle w:val="TableParagraph"/>
              <w:spacing w:before="41"/>
              <w:ind w:left="5" w:right="2"/>
              <w:jc w:val="center"/>
              <w:rPr>
                <w:rFonts w:ascii="Times New Roman"/>
                <w:sz w:val="21"/>
              </w:rPr>
            </w:pPr>
            <w:r>
              <w:rPr>
                <w:rFonts w:ascii="Times New Roman"/>
                <w:spacing w:val="-2"/>
                <w:sz w:val="21"/>
              </w:rPr>
              <w:t>0.63/0.78</w:t>
            </w:r>
          </w:p>
        </w:tc>
        <w:tc>
          <w:tcPr>
            <w:tcW w:w="2501" w:type="dxa"/>
          </w:tcPr>
          <w:p>
            <w:pPr>
              <w:pStyle w:val="TableParagraph"/>
              <w:spacing w:line="273" w:lineRule="exact" w:before="38"/>
              <w:ind w:left="4"/>
              <w:jc w:val="center"/>
              <w:rPr>
                <w:rFonts w:ascii="Times New Roman" w:eastAsia="Times New Roman"/>
                <w:sz w:val="21"/>
              </w:rPr>
            </w:pPr>
            <w:r>
              <w:rPr>
                <w:rFonts w:ascii="Times New Roman" w:eastAsia="Times New Roman"/>
                <w:sz w:val="21"/>
              </w:rPr>
              <w:t>400</w:t>
            </w:r>
            <w:r>
              <w:rPr>
                <w:sz w:val="21"/>
              </w:rPr>
              <w:t>（定量</w:t>
            </w:r>
            <w:r>
              <w:rPr>
                <w:spacing w:val="-5"/>
                <w:sz w:val="21"/>
              </w:rPr>
              <w:t>）</w:t>
            </w:r>
            <w:r>
              <w:rPr>
                <w:rFonts w:ascii="Times New Roman" w:eastAsia="Times New Roman"/>
                <w:spacing w:val="-5"/>
                <w:sz w:val="21"/>
              </w:rPr>
              <w:t>/</w:t>
            </w:r>
          </w:p>
          <w:p>
            <w:pPr>
              <w:pStyle w:val="TableParagraph"/>
              <w:spacing w:line="273" w:lineRule="exact"/>
              <w:ind w:left="4" w:right="2"/>
              <w:jc w:val="center"/>
              <w:rPr>
                <w:sz w:val="21"/>
              </w:rPr>
            </w:pPr>
            <w:r>
              <w:rPr>
                <w:rFonts w:ascii="Times New Roman" w:eastAsia="Times New Roman"/>
                <w:spacing w:val="-2"/>
                <w:sz w:val="21"/>
              </w:rPr>
              <w:t>320</w:t>
            </w:r>
            <w:r>
              <w:rPr>
                <w:spacing w:val="-2"/>
                <w:sz w:val="21"/>
              </w:rPr>
              <w:t>（释药剂量</w:t>
            </w:r>
            <w:r>
              <w:rPr>
                <w:spacing w:val="-10"/>
                <w:sz w:val="21"/>
              </w:rPr>
              <w:t>）</w:t>
            </w:r>
          </w:p>
        </w:tc>
      </w:tr>
      <w:tr>
        <w:trPr>
          <w:trHeight w:val="352" w:hRule="atLeast"/>
        </w:trPr>
        <w:tc>
          <w:tcPr>
            <w:tcW w:w="4059" w:type="dxa"/>
            <w:shd w:val="clear" w:color="auto" w:fill="F1F1F1"/>
          </w:tcPr>
          <w:p>
            <w:pPr>
              <w:pStyle w:val="TableParagraph"/>
              <w:spacing w:before="38"/>
              <w:ind w:left="2"/>
              <w:jc w:val="center"/>
              <w:rPr>
                <w:sz w:val="21"/>
              </w:rPr>
            </w:pPr>
            <w:r>
              <w:rPr>
                <w:sz w:val="21"/>
              </w:rPr>
              <w:t>布地奈德（雾化</w:t>
            </w:r>
            <w:r>
              <w:rPr>
                <w:spacing w:val="-10"/>
                <w:sz w:val="21"/>
              </w:rPr>
              <w:t>）</w:t>
            </w:r>
          </w:p>
        </w:tc>
        <w:tc>
          <w:tcPr>
            <w:tcW w:w="2201" w:type="dxa"/>
            <w:shd w:val="clear" w:color="auto" w:fill="F1F1F1"/>
          </w:tcPr>
          <w:p>
            <w:pPr>
              <w:pStyle w:val="TableParagraph"/>
              <w:spacing w:before="40"/>
              <w:ind w:left="5" w:right="2"/>
              <w:jc w:val="center"/>
              <w:rPr>
                <w:rFonts w:ascii="Times New Roman"/>
                <w:sz w:val="21"/>
              </w:rPr>
            </w:pPr>
            <w:r>
              <w:rPr>
                <w:rFonts w:ascii="Times New Roman"/>
                <w:spacing w:val="-5"/>
                <w:sz w:val="21"/>
              </w:rPr>
              <w:t>0.5</w:t>
            </w:r>
          </w:p>
        </w:tc>
        <w:tc>
          <w:tcPr>
            <w:tcW w:w="2501" w:type="dxa"/>
            <w:shd w:val="clear" w:color="auto" w:fill="F1F1F1"/>
          </w:tcPr>
          <w:p>
            <w:pPr>
              <w:pStyle w:val="TableParagraph"/>
              <w:spacing w:before="38"/>
              <w:ind w:left="523"/>
              <w:rPr>
                <w:sz w:val="21"/>
              </w:rPr>
            </w:pPr>
            <w:r>
              <w:rPr>
                <w:rFonts w:ascii="Times New Roman" w:eastAsia="Times New Roman"/>
                <w:sz w:val="21"/>
              </w:rPr>
              <w:t>0.5</w:t>
            </w:r>
            <w:r>
              <w:rPr>
                <w:rFonts w:ascii="Times New Roman" w:eastAsia="Times New Roman"/>
                <w:spacing w:val="-2"/>
                <w:sz w:val="21"/>
              </w:rPr>
              <w:t> </w:t>
            </w:r>
            <w:r>
              <w:rPr>
                <w:rFonts w:ascii="Times New Roman" w:eastAsia="Times New Roman"/>
                <w:sz w:val="21"/>
              </w:rPr>
              <w:t>mg</w:t>
            </w:r>
            <w:r>
              <w:rPr>
                <w:sz w:val="21"/>
              </w:rPr>
              <w:t>（</w:t>
            </w:r>
            <w:r>
              <w:rPr>
                <w:rFonts w:ascii="Times New Roman" w:eastAsia="Times New Roman"/>
                <w:sz w:val="21"/>
              </w:rPr>
              <w:t>1</w:t>
            </w:r>
            <w:r>
              <w:rPr>
                <w:rFonts w:ascii="Times New Roman" w:eastAsia="Times New Roman"/>
                <w:spacing w:val="-1"/>
                <w:sz w:val="21"/>
              </w:rPr>
              <w:t> </w:t>
            </w:r>
            <w:r>
              <w:rPr>
                <w:rFonts w:ascii="Times New Roman" w:eastAsia="Times New Roman"/>
                <w:spacing w:val="-5"/>
                <w:sz w:val="21"/>
              </w:rPr>
              <w:t>mL</w:t>
            </w:r>
            <w:r>
              <w:rPr>
                <w:spacing w:val="-5"/>
                <w:sz w:val="21"/>
              </w:rPr>
              <w:t>）</w:t>
            </w:r>
          </w:p>
        </w:tc>
      </w:tr>
      <w:tr>
        <w:trPr>
          <w:trHeight w:val="352" w:hRule="atLeast"/>
        </w:trPr>
        <w:tc>
          <w:tcPr>
            <w:tcW w:w="4059" w:type="dxa"/>
          </w:tcPr>
          <w:p>
            <w:pPr>
              <w:pStyle w:val="TableParagraph"/>
              <w:spacing w:before="38"/>
              <w:ind w:left="2"/>
              <w:jc w:val="center"/>
              <w:rPr>
                <w:sz w:val="21"/>
              </w:rPr>
            </w:pPr>
            <w:r>
              <w:rPr>
                <w:spacing w:val="-3"/>
                <w:sz w:val="21"/>
              </w:rPr>
              <w:t>倍氯米松</w:t>
            </w:r>
          </w:p>
        </w:tc>
        <w:tc>
          <w:tcPr>
            <w:tcW w:w="2201" w:type="dxa"/>
          </w:tcPr>
          <w:p>
            <w:pPr>
              <w:pStyle w:val="TableParagraph"/>
              <w:spacing w:before="40"/>
              <w:ind w:left="5" w:right="2"/>
              <w:jc w:val="center"/>
              <w:rPr>
                <w:rFonts w:ascii="Times New Roman"/>
                <w:sz w:val="21"/>
              </w:rPr>
            </w:pPr>
            <w:r>
              <w:rPr>
                <w:rFonts w:ascii="Times New Roman"/>
                <w:spacing w:val="-5"/>
                <w:sz w:val="21"/>
              </w:rPr>
              <w:t>0.5</w:t>
            </w:r>
          </w:p>
        </w:tc>
        <w:tc>
          <w:tcPr>
            <w:tcW w:w="2501" w:type="dxa"/>
          </w:tcPr>
          <w:p>
            <w:pPr>
              <w:pStyle w:val="TableParagraph"/>
              <w:spacing w:before="40"/>
              <w:ind w:left="4" w:right="2"/>
              <w:jc w:val="center"/>
              <w:rPr>
                <w:rFonts w:ascii="Times New Roman"/>
                <w:sz w:val="21"/>
              </w:rPr>
            </w:pPr>
            <w:r>
              <w:rPr>
                <w:rFonts w:ascii="Times New Roman"/>
                <w:spacing w:val="-5"/>
                <w:sz w:val="21"/>
              </w:rPr>
              <w:t>500</w:t>
            </w:r>
          </w:p>
        </w:tc>
      </w:tr>
      <w:tr>
        <w:trPr>
          <w:trHeight w:val="623" w:hRule="atLeast"/>
        </w:trPr>
        <w:tc>
          <w:tcPr>
            <w:tcW w:w="4059" w:type="dxa"/>
            <w:shd w:val="clear" w:color="auto" w:fill="F1F1F1"/>
          </w:tcPr>
          <w:p>
            <w:pPr>
              <w:pStyle w:val="TableParagraph"/>
              <w:spacing w:before="38"/>
              <w:ind w:left="2"/>
              <w:jc w:val="center"/>
              <w:rPr>
                <w:sz w:val="21"/>
              </w:rPr>
            </w:pPr>
            <w:r>
              <w:rPr>
                <w:sz w:val="21"/>
              </w:rPr>
              <w:t>倍氯米松</w:t>
            </w:r>
            <w:r>
              <w:rPr>
                <w:spacing w:val="-2"/>
                <w:sz w:val="21"/>
              </w:rPr>
              <w:t>（</w:t>
            </w:r>
            <w:r>
              <w:rPr>
                <w:rFonts w:ascii="Times New Roman" w:eastAsia="Times New Roman"/>
                <w:spacing w:val="-2"/>
                <w:sz w:val="21"/>
              </w:rPr>
              <w:t>Trimbow</w:t>
            </w:r>
            <w:r>
              <w:rPr>
                <w:spacing w:val="-2"/>
                <w:sz w:val="21"/>
              </w:rPr>
              <w:t>）</w:t>
            </w:r>
          </w:p>
        </w:tc>
        <w:tc>
          <w:tcPr>
            <w:tcW w:w="2201" w:type="dxa"/>
            <w:shd w:val="clear" w:color="auto" w:fill="F1F1F1"/>
          </w:tcPr>
          <w:p>
            <w:pPr>
              <w:pStyle w:val="TableParagraph"/>
              <w:spacing w:before="40"/>
              <w:ind w:left="5"/>
              <w:jc w:val="center"/>
              <w:rPr>
                <w:rFonts w:ascii="Times New Roman"/>
                <w:sz w:val="21"/>
              </w:rPr>
            </w:pPr>
            <w:r>
              <w:rPr>
                <w:rFonts w:ascii="Times New Roman"/>
                <w:spacing w:val="-4"/>
                <w:sz w:val="21"/>
              </w:rPr>
              <w:t>1.25</w:t>
            </w:r>
          </w:p>
        </w:tc>
        <w:tc>
          <w:tcPr>
            <w:tcW w:w="2501" w:type="dxa"/>
            <w:shd w:val="clear" w:color="auto" w:fill="F1F1F1"/>
          </w:tcPr>
          <w:p>
            <w:pPr>
              <w:pStyle w:val="TableParagraph"/>
              <w:spacing w:line="273" w:lineRule="exact" w:before="36"/>
              <w:ind w:left="4"/>
              <w:jc w:val="center"/>
              <w:rPr>
                <w:rFonts w:ascii="Times New Roman" w:eastAsia="Times New Roman"/>
                <w:sz w:val="21"/>
              </w:rPr>
            </w:pPr>
            <w:r>
              <w:rPr>
                <w:rFonts w:ascii="Times New Roman" w:eastAsia="Times New Roman"/>
                <w:sz w:val="21"/>
              </w:rPr>
              <w:t>200</w:t>
            </w:r>
            <w:r>
              <w:rPr>
                <w:sz w:val="21"/>
              </w:rPr>
              <w:t>（定量</w:t>
            </w:r>
            <w:r>
              <w:rPr>
                <w:spacing w:val="-5"/>
                <w:sz w:val="21"/>
              </w:rPr>
              <w:t>）</w:t>
            </w:r>
            <w:r>
              <w:rPr>
                <w:rFonts w:ascii="Times New Roman" w:eastAsia="Times New Roman"/>
                <w:spacing w:val="-5"/>
                <w:sz w:val="21"/>
              </w:rPr>
              <w:t>/</w:t>
            </w:r>
          </w:p>
          <w:p>
            <w:pPr>
              <w:pStyle w:val="TableParagraph"/>
              <w:spacing w:line="273" w:lineRule="exact"/>
              <w:ind w:left="4" w:right="2"/>
              <w:jc w:val="center"/>
              <w:rPr>
                <w:sz w:val="21"/>
              </w:rPr>
            </w:pPr>
            <w:r>
              <w:rPr>
                <w:rFonts w:ascii="Times New Roman" w:eastAsia="Times New Roman"/>
                <w:spacing w:val="-2"/>
                <w:sz w:val="21"/>
              </w:rPr>
              <w:t>174</w:t>
            </w:r>
            <w:r>
              <w:rPr>
                <w:spacing w:val="-2"/>
                <w:sz w:val="21"/>
              </w:rPr>
              <w:t>（释药剂量</w:t>
            </w:r>
            <w:r>
              <w:rPr>
                <w:spacing w:val="-10"/>
                <w:sz w:val="21"/>
              </w:rPr>
              <w:t>）</w:t>
            </w:r>
          </w:p>
        </w:tc>
      </w:tr>
      <w:tr>
        <w:trPr>
          <w:trHeight w:val="625" w:hRule="atLeast"/>
        </w:trPr>
        <w:tc>
          <w:tcPr>
            <w:tcW w:w="4059" w:type="dxa"/>
          </w:tcPr>
          <w:p>
            <w:pPr>
              <w:pStyle w:val="TableParagraph"/>
              <w:spacing w:before="38"/>
              <w:ind w:left="1625" w:hanging="1280"/>
              <w:rPr>
                <w:sz w:val="21"/>
              </w:rPr>
            </w:pPr>
            <w:r>
              <w:rPr>
                <w:spacing w:val="-7"/>
                <w:sz w:val="21"/>
              </w:rPr>
              <w:t>倍氯米松超细颗粒和 </w:t>
            </w:r>
            <w:r>
              <w:rPr>
                <w:rFonts w:ascii="Times New Roman" w:eastAsia="Times New Roman"/>
                <w:spacing w:val="-2"/>
                <w:sz w:val="21"/>
              </w:rPr>
              <w:t>HFA</w:t>
            </w:r>
            <w:r>
              <w:rPr>
                <w:spacing w:val="-2"/>
                <w:sz w:val="21"/>
              </w:rPr>
              <w:t>（</w:t>
            </w:r>
            <w:r>
              <w:rPr>
                <w:rFonts w:ascii="Times New Roman" w:eastAsia="Times New Roman"/>
                <w:spacing w:val="-2"/>
                <w:sz w:val="21"/>
              </w:rPr>
              <w:t>Fostair</w:t>
            </w:r>
            <w:r>
              <w:rPr>
                <w:spacing w:val="-2"/>
                <w:sz w:val="21"/>
              </w:rPr>
              <w:t>， </w:t>
            </w:r>
            <w:r>
              <w:rPr>
                <w:rFonts w:ascii="Times New Roman" w:eastAsia="Times New Roman"/>
                <w:spacing w:val="-4"/>
                <w:sz w:val="21"/>
              </w:rPr>
              <w:t>QVAR</w:t>
            </w:r>
            <w:r>
              <w:rPr>
                <w:spacing w:val="-4"/>
                <w:sz w:val="21"/>
              </w:rPr>
              <w:t>）</w:t>
            </w:r>
          </w:p>
        </w:tc>
        <w:tc>
          <w:tcPr>
            <w:tcW w:w="2201" w:type="dxa"/>
          </w:tcPr>
          <w:p>
            <w:pPr>
              <w:pStyle w:val="TableParagraph"/>
              <w:spacing w:before="41"/>
              <w:ind w:left="5" w:right="2"/>
              <w:jc w:val="center"/>
              <w:rPr>
                <w:rFonts w:ascii="Times New Roman"/>
                <w:sz w:val="21"/>
              </w:rPr>
            </w:pPr>
            <w:r>
              <w:rPr>
                <w:rFonts w:ascii="Times New Roman"/>
                <w:spacing w:val="-2"/>
                <w:sz w:val="21"/>
              </w:rPr>
              <w:t>1.04/1.25</w:t>
            </w:r>
          </w:p>
        </w:tc>
        <w:tc>
          <w:tcPr>
            <w:tcW w:w="2501" w:type="dxa"/>
          </w:tcPr>
          <w:p>
            <w:pPr>
              <w:pStyle w:val="TableParagraph"/>
              <w:spacing w:line="273" w:lineRule="exact" w:before="38"/>
              <w:ind w:left="643"/>
              <w:rPr>
                <w:rFonts w:ascii="Times New Roman" w:eastAsia="Times New Roman"/>
                <w:sz w:val="21"/>
              </w:rPr>
            </w:pPr>
            <w:r>
              <w:rPr>
                <w:rFonts w:ascii="Times New Roman" w:eastAsia="Times New Roman"/>
                <w:sz w:val="21"/>
              </w:rPr>
              <w:t>250</w:t>
            </w:r>
            <w:r>
              <w:rPr>
                <w:sz w:val="21"/>
              </w:rPr>
              <w:t>（定量</w:t>
            </w:r>
            <w:r>
              <w:rPr>
                <w:spacing w:val="-5"/>
                <w:sz w:val="21"/>
              </w:rPr>
              <w:t>）</w:t>
            </w:r>
            <w:r>
              <w:rPr>
                <w:rFonts w:ascii="Times New Roman" w:eastAsia="Times New Roman"/>
                <w:spacing w:val="-5"/>
                <w:sz w:val="21"/>
              </w:rPr>
              <w:t>/</w:t>
            </w:r>
          </w:p>
          <w:p>
            <w:pPr>
              <w:pStyle w:val="TableParagraph"/>
              <w:spacing w:line="273" w:lineRule="exact"/>
              <w:ind w:left="671"/>
              <w:rPr>
                <w:sz w:val="21"/>
              </w:rPr>
            </w:pPr>
            <w:r>
              <w:rPr>
                <w:rFonts w:ascii="Times New Roman" w:eastAsia="Times New Roman"/>
                <w:sz w:val="21"/>
              </w:rPr>
              <w:t>200</w:t>
            </w:r>
            <w:r>
              <w:rPr>
                <w:sz w:val="21"/>
              </w:rPr>
              <w:t>（每揿</w:t>
            </w:r>
            <w:r>
              <w:rPr>
                <w:spacing w:val="-10"/>
                <w:sz w:val="21"/>
              </w:rPr>
              <w:t>）</w:t>
            </w:r>
          </w:p>
        </w:tc>
      </w:tr>
      <w:tr>
        <w:trPr>
          <w:trHeight w:val="352" w:hRule="atLeast"/>
        </w:trPr>
        <w:tc>
          <w:tcPr>
            <w:tcW w:w="4059" w:type="dxa"/>
            <w:shd w:val="clear" w:color="auto" w:fill="F1F1F1"/>
          </w:tcPr>
          <w:p>
            <w:pPr>
              <w:pStyle w:val="TableParagraph"/>
              <w:spacing w:before="38"/>
              <w:ind w:left="2"/>
              <w:jc w:val="center"/>
              <w:rPr>
                <w:sz w:val="21"/>
              </w:rPr>
            </w:pPr>
            <w:r>
              <w:rPr>
                <w:spacing w:val="-3"/>
                <w:sz w:val="21"/>
              </w:rPr>
              <w:t>环索奈德</w:t>
            </w:r>
          </w:p>
        </w:tc>
        <w:tc>
          <w:tcPr>
            <w:tcW w:w="2201" w:type="dxa"/>
            <w:shd w:val="clear" w:color="auto" w:fill="F1F1F1"/>
          </w:tcPr>
          <w:p>
            <w:pPr>
              <w:pStyle w:val="TableParagraph"/>
              <w:spacing w:before="40"/>
              <w:ind w:left="5"/>
              <w:jc w:val="center"/>
              <w:rPr>
                <w:rFonts w:ascii="Times New Roman"/>
                <w:sz w:val="21"/>
              </w:rPr>
            </w:pPr>
            <w:r>
              <w:rPr>
                <w:rFonts w:ascii="Times New Roman"/>
                <w:spacing w:val="-4"/>
                <w:sz w:val="21"/>
              </w:rPr>
              <w:t>1.56</w:t>
            </w:r>
          </w:p>
        </w:tc>
        <w:tc>
          <w:tcPr>
            <w:tcW w:w="2501" w:type="dxa"/>
            <w:shd w:val="clear" w:color="auto" w:fill="F1F1F1"/>
          </w:tcPr>
          <w:p>
            <w:pPr>
              <w:pStyle w:val="TableParagraph"/>
              <w:spacing w:before="40"/>
              <w:ind w:left="4" w:right="2"/>
              <w:jc w:val="center"/>
              <w:rPr>
                <w:rFonts w:ascii="Times New Roman"/>
                <w:sz w:val="21"/>
              </w:rPr>
            </w:pPr>
            <w:r>
              <w:rPr>
                <w:rFonts w:ascii="Times New Roman"/>
                <w:spacing w:val="-5"/>
                <w:sz w:val="21"/>
              </w:rPr>
              <w:t>160</w:t>
            </w:r>
          </w:p>
        </w:tc>
      </w:tr>
      <w:tr>
        <w:trPr>
          <w:trHeight w:val="625" w:hRule="atLeast"/>
        </w:trPr>
        <w:tc>
          <w:tcPr>
            <w:tcW w:w="4059" w:type="dxa"/>
          </w:tcPr>
          <w:p>
            <w:pPr>
              <w:pStyle w:val="TableParagraph"/>
              <w:spacing w:before="38"/>
              <w:ind w:left="2" w:right="1"/>
              <w:jc w:val="center"/>
              <w:rPr>
                <w:sz w:val="21"/>
              </w:rPr>
            </w:pPr>
            <w:r>
              <w:rPr>
                <w:spacing w:val="-4"/>
                <w:sz w:val="21"/>
              </w:rPr>
              <w:t>莫米松</w:t>
            </w:r>
          </w:p>
        </w:tc>
        <w:tc>
          <w:tcPr>
            <w:tcW w:w="2201" w:type="dxa"/>
          </w:tcPr>
          <w:p>
            <w:pPr>
              <w:pStyle w:val="TableParagraph"/>
              <w:spacing w:before="40"/>
              <w:ind w:left="5"/>
              <w:jc w:val="center"/>
              <w:rPr>
                <w:rFonts w:ascii="Times New Roman"/>
                <w:sz w:val="21"/>
              </w:rPr>
            </w:pPr>
            <w:r>
              <w:rPr>
                <w:rFonts w:ascii="Times New Roman"/>
                <w:spacing w:val="-4"/>
                <w:sz w:val="21"/>
              </w:rPr>
              <w:t>1.14</w:t>
            </w:r>
          </w:p>
        </w:tc>
        <w:tc>
          <w:tcPr>
            <w:tcW w:w="2501" w:type="dxa"/>
          </w:tcPr>
          <w:p>
            <w:pPr>
              <w:pStyle w:val="TableParagraph"/>
              <w:spacing w:line="273" w:lineRule="exact" w:before="36"/>
              <w:ind w:left="671"/>
              <w:rPr>
                <w:sz w:val="21"/>
              </w:rPr>
            </w:pPr>
            <w:r>
              <w:rPr>
                <w:rFonts w:ascii="Times New Roman" w:eastAsia="Times New Roman"/>
                <w:sz w:val="21"/>
              </w:rPr>
              <w:t>220</w:t>
            </w:r>
            <w:r>
              <w:rPr>
                <w:sz w:val="21"/>
              </w:rPr>
              <w:t>（定量</w:t>
            </w:r>
            <w:r>
              <w:rPr>
                <w:spacing w:val="-10"/>
                <w:sz w:val="21"/>
              </w:rPr>
              <w:t>）</w:t>
            </w:r>
          </w:p>
          <w:p>
            <w:pPr>
              <w:pStyle w:val="TableParagraph"/>
              <w:spacing w:line="273" w:lineRule="exact"/>
              <w:ind w:left="671"/>
              <w:rPr>
                <w:sz w:val="21"/>
              </w:rPr>
            </w:pPr>
            <w:r>
              <w:rPr>
                <w:rFonts w:ascii="Times New Roman" w:eastAsia="Times New Roman"/>
                <w:sz w:val="21"/>
              </w:rPr>
              <w:t>200</w:t>
            </w:r>
            <w:r>
              <w:rPr>
                <w:sz w:val="21"/>
              </w:rPr>
              <w:t>（每揿</w:t>
            </w:r>
            <w:r>
              <w:rPr>
                <w:spacing w:val="-10"/>
                <w:sz w:val="21"/>
              </w:rPr>
              <w:t>）</w:t>
            </w:r>
          </w:p>
        </w:tc>
      </w:tr>
      <w:tr>
        <w:trPr>
          <w:trHeight w:val="351" w:hRule="atLeast"/>
        </w:trPr>
        <w:tc>
          <w:tcPr>
            <w:tcW w:w="4059" w:type="dxa"/>
            <w:shd w:val="clear" w:color="auto" w:fill="F1F1F1"/>
          </w:tcPr>
          <w:p>
            <w:pPr>
              <w:pStyle w:val="TableParagraph"/>
              <w:spacing w:before="38"/>
              <w:ind w:left="2"/>
              <w:jc w:val="center"/>
              <w:rPr>
                <w:sz w:val="21"/>
              </w:rPr>
            </w:pPr>
            <w:r>
              <w:rPr>
                <w:spacing w:val="-3"/>
                <w:sz w:val="21"/>
              </w:rPr>
              <w:t>氟尼缩松</w:t>
            </w:r>
          </w:p>
        </w:tc>
        <w:tc>
          <w:tcPr>
            <w:tcW w:w="2201" w:type="dxa"/>
            <w:shd w:val="clear" w:color="auto" w:fill="F1F1F1"/>
          </w:tcPr>
          <w:p>
            <w:pPr>
              <w:pStyle w:val="TableParagraph"/>
              <w:spacing w:before="40"/>
              <w:ind w:left="5"/>
              <w:jc w:val="center"/>
              <w:rPr>
                <w:rFonts w:ascii="Times New Roman"/>
                <w:sz w:val="21"/>
              </w:rPr>
            </w:pPr>
            <w:r>
              <w:rPr>
                <w:rFonts w:ascii="Times New Roman"/>
                <w:spacing w:val="-4"/>
                <w:sz w:val="21"/>
              </w:rPr>
              <w:t>0.25</w:t>
            </w:r>
          </w:p>
        </w:tc>
        <w:tc>
          <w:tcPr>
            <w:tcW w:w="2501" w:type="dxa"/>
            <w:shd w:val="clear" w:color="auto" w:fill="F1F1F1"/>
          </w:tcPr>
          <w:p>
            <w:pPr>
              <w:pStyle w:val="TableParagraph"/>
              <w:spacing w:before="40"/>
              <w:ind w:left="4" w:right="2"/>
              <w:jc w:val="center"/>
              <w:rPr>
                <w:rFonts w:ascii="Times New Roman"/>
                <w:sz w:val="21"/>
              </w:rPr>
            </w:pPr>
            <w:r>
              <w:rPr>
                <w:rFonts w:ascii="Times New Roman"/>
                <w:spacing w:val="-4"/>
                <w:sz w:val="21"/>
              </w:rPr>
              <w:t>1000</w:t>
            </w:r>
          </w:p>
        </w:tc>
      </w:tr>
      <w:tr>
        <w:trPr>
          <w:trHeight w:val="353" w:hRule="atLeast"/>
        </w:trPr>
        <w:tc>
          <w:tcPr>
            <w:tcW w:w="4059" w:type="dxa"/>
          </w:tcPr>
          <w:p>
            <w:pPr>
              <w:pStyle w:val="TableParagraph"/>
              <w:spacing w:before="39"/>
              <w:ind w:left="2"/>
              <w:jc w:val="center"/>
              <w:rPr>
                <w:sz w:val="21"/>
              </w:rPr>
            </w:pPr>
            <w:r>
              <w:rPr>
                <w:spacing w:val="-3"/>
                <w:sz w:val="21"/>
              </w:rPr>
              <w:t>曲安奈德</w:t>
            </w:r>
          </w:p>
        </w:tc>
        <w:tc>
          <w:tcPr>
            <w:tcW w:w="2201" w:type="dxa"/>
          </w:tcPr>
          <w:p>
            <w:pPr>
              <w:pStyle w:val="TableParagraph"/>
              <w:spacing w:before="41"/>
              <w:ind w:left="5"/>
              <w:jc w:val="center"/>
              <w:rPr>
                <w:rFonts w:ascii="Times New Roman"/>
                <w:sz w:val="21"/>
              </w:rPr>
            </w:pPr>
            <w:r>
              <w:rPr>
                <w:rFonts w:ascii="Times New Roman"/>
                <w:spacing w:val="-4"/>
                <w:sz w:val="21"/>
              </w:rPr>
              <w:t>0.25</w:t>
            </w:r>
          </w:p>
        </w:tc>
        <w:tc>
          <w:tcPr>
            <w:tcW w:w="2501" w:type="dxa"/>
          </w:tcPr>
          <w:p>
            <w:pPr>
              <w:pStyle w:val="TableParagraph"/>
              <w:spacing w:before="41"/>
              <w:ind w:left="4" w:right="2"/>
              <w:jc w:val="center"/>
              <w:rPr>
                <w:rFonts w:ascii="Times New Roman"/>
                <w:sz w:val="21"/>
              </w:rPr>
            </w:pPr>
            <w:r>
              <w:rPr>
                <w:rFonts w:ascii="Times New Roman"/>
                <w:spacing w:val="-4"/>
                <w:sz w:val="21"/>
              </w:rPr>
              <w:t>1000</w:t>
            </w:r>
          </w:p>
        </w:tc>
      </w:tr>
    </w:tbl>
    <w:p>
      <w:pPr>
        <w:tabs>
          <w:tab w:pos="646" w:val="left" w:leader="none"/>
        </w:tabs>
        <w:spacing w:before="42"/>
        <w:ind w:left="646" w:right="357" w:hanging="425"/>
        <w:jc w:val="left"/>
        <w:rPr>
          <w:sz w:val="21"/>
        </w:rPr>
      </w:pPr>
      <w:r>
        <w:rPr>
          <w:rFonts w:ascii="Times New Roman" w:eastAsia="Times New Roman"/>
          <w:spacing w:val="-10"/>
          <w:sz w:val="21"/>
          <w:vertAlign w:val="superscript"/>
        </w:rPr>
        <w:t>a</w:t>
      </w:r>
      <w:r>
        <w:rPr>
          <w:rFonts w:ascii="Times New Roman" w:eastAsia="Times New Roman"/>
          <w:sz w:val="21"/>
          <w:vertAlign w:val="baseline"/>
        </w:rPr>
        <w:tab/>
      </w:r>
      <w:r>
        <w:rPr>
          <w:spacing w:val="-6"/>
          <w:sz w:val="21"/>
          <w:vertAlign w:val="baseline"/>
        </w:rPr>
        <w:t>如果任何联合治疗仅有一种 </w:t>
      </w:r>
      <w:r>
        <w:rPr>
          <w:rFonts w:ascii="Times New Roman" w:eastAsia="Times New Roman"/>
          <w:sz w:val="21"/>
          <w:vertAlign w:val="baseline"/>
        </w:rPr>
        <w:t>ICS</w:t>
      </w:r>
      <w:r>
        <w:rPr>
          <w:rFonts w:ascii="Times New Roman" w:eastAsia="Times New Roman"/>
          <w:spacing w:val="-23"/>
          <w:sz w:val="21"/>
          <w:vertAlign w:val="baseline"/>
        </w:rPr>
        <w:t> </w:t>
      </w:r>
      <w:r>
        <w:rPr>
          <w:spacing w:val="3"/>
          <w:sz w:val="21"/>
          <w:vertAlign w:val="baseline"/>
        </w:rPr>
        <w:t>给药方案获批用于治疗</w:t>
      </w:r>
      <w:r>
        <w:rPr>
          <w:rFonts w:ascii="Times New Roman" w:eastAsia="Times New Roman"/>
          <w:sz w:val="21"/>
          <w:vertAlign w:val="baseline"/>
        </w:rPr>
        <w:t>COPD</w:t>
      </w:r>
      <w:r>
        <w:rPr>
          <w:sz w:val="21"/>
          <w:vertAlign w:val="baseline"/>
        </w:rPr>
        <w:t>，则可将其视为与本研究中任</w:t>
      </w:r>
      <w:r>
        <w:rPr>
          <w:spacing w:val="-3"/>
          <w:sz w:val="21"/>
          <w:vertAlign w:val="baseline"/>
        </w:rPr>
        <w:t>何其他 </w:t>
      </w:r>
      <w:r>
        <w:rPr>
          <w:rFonts w:ascii="Times New Roman" w:eastAsia="Times New Roman"/>
          <w:sz w:val="21"/>
          <w:vertAlign w:val="baseline"/>
        </w:rPr>
        <w:t>ICS </w:t>
      </w:r>
      <w:r>
        <w:rPr>
          <w:spacing w:val="-3"/>
          <w:sz w:val="21"/>
          <w:vertAlign w:val="baseline"/>
        </w:rPr>
        <w:t>疗法相当的 </w:t>
      </w:r>
      <w:r>
        <w:rPr>
          <w:rFonts w:ascii="Times New Roman" w:eastAsia="Times New Roman"/>
          <w:sz w:val="21"/>
          <w:vertAlign w:val="baseline"/>
        </w:rPr>
        <w:t>ICS </w:t>
      </w:r>
      <w:r>
        <w:rPr>
          <w:sz w:val="21"/>
          <w:vertAlign w:val="baseline"/>
        </w:rPr>
        <w:t>剂量。</w:t>
      </w:r>
    </w:p>
    <w:p>
      <w:pPr>
        <w:pStyle w:val="BodyText"/>
        <w:spacing w:before="163"/>
        <w:ind w:left="0"/>
        <w:rPr>
          <w:sz w:val="21"/>
        </w:rPr>
      </w:pPr>
    </w:p>
    <w:p>
      <w:pPr>
        <w:pStyle w:val="BodyText"/>
        <w:spacing w:before="1"/>
      </w:pPr>
      <w:r>
        <w:rPr>
          <w:spacing w:val="-3"/>
          <w:u w:val="single"/>
        </w:rPr>
        <w:t>转换示例</w:t>
      </w:r>
    </w:p>
    <w:p>
      <w:pPr>
        <w:pStyle w:val="BodyText"/>
        <w:spacing w:line="276" w:lineRule="auto" w:before="118"/>
        <w:ind w:right="357" w:firstLine="480"/>
      </w:pPr>
      <w:r>
        <w:rPr/>
        <w:t>将布地奈德（释药剂量）转换为丙酸氟替卡松（</w:t>
      </w:r>
      <w:r>
        <w:rPr>
          <w:spacing w:val="-30"/>
        </w:rPr>
        <w:t>以 </w:t>
      </w:r>
      <w:r>
        <w:rPr>
          <w:rFonts w:ascii="Times New Roman" w:hAnsi="Times New Roman" w:eastAsia="Times New Roman"/>
        </w:rPr>
        <w:t>mcg</w:t>
      </w:r>
      <w:r>
        <w:rPr>
          <w:rFonts w:ascii="Times New Roman" w:hAnsi="Times New Roman" w:eastAsia="Times New Roman"/>
          <w:spacing w:val="-15"/>
        </w:rPr>
        <w:t> </w:t>
      </w:r>
      <w:r>
        <w:rPr/>
        <w:t>计）：</w:t>
      </w:r>
      <w:r>
        <w:rPr>
          <w:spacing w:val="-20"/>
        </w:rPr>
        <w:t>对于 </w:t>
      </w:r>
      <w:r>
        <w:rPr>
          <w:rFonts w:ascii="Times New Roman" w:hAnsi="Times New Roman" w:eastAsia="Times New Roman"/>
        </w:rPr>
        <w:t>160</w:t>
      </w:r>
      <w:r>
        <w:rPr>
          <w:rFonts w:ascii="Times New Roman" w:hAnsi="Times New Roman" w:eastAsia="Times New Roman"/>
          <w:spacing w:val="-10"/>
        </w:rPr>
        <w:t> </w:t>
      </w:r>
      <w:r>
        <w:rPr>
          <w:rFonts w:ascii="Times New Roman" w:hAnsi="Times New Roman" w:eastAsia="Times New Roman"/>
        </w:rPr>
        <w:t>µg</w:t>
      </w:r>
      <w:r>
        <w:rPr>
          <w:rFonts w:ascii="Times New Roman" w:hAnsi="Times New Roman" w:eastAsia="Times New Roman"/>
          <w:spacing w:val="-15"/>
        </w:rPr>
        <w:t> </w:t>
      </w:r>
      <w:r>
        <w:rPr/>
        <w:t>的布</w:t>
      </w:r>
      <w:r>
        <w:rPr>
          <w:spacing w:val="-3"/>
        </w:rPr>
        <w:t>地奈德剂量，使用 </w:t>
      </w:r>
      <w:r>
        <w:rPr>
          <w:rFonts w:ascii="Times New Roman" w:hAnsi="Times New Roman" w:eastAsia="Times New Roman"/>
        </w:rPr>
        <w:t>0.78 </w:t>
      </w:r>
      <w:r>
        <w:rPr/>
        <w:t>的换算系数</w:t>
      </w:r>
    </w:p>
    <w:p>
      <w:pPr>
        <w:pStyle w:val="BodyText"/>
        <w:spacing w:before="239"/>
        <w:ind w:left="701"/>
      </w:pPr>
      <w:r>
        <w:rPr>
          <w:rFonts w:ascii="Times New Roman" w:hAnsi="Times New Roman" w:eastAsia="Times New Roman"/>
        </w:rPr>
        <w:t>160</w:t>
      </w:r>
      <w:r>
        <w:rPr>
          <w:rFonts w:ascii="Times New Roman" w:hAnsi="Times New Roman" w:eastAsia="Times New Roman"/>
          <w:spacing w:val="-1"/>
        </w:rPr>
        <w:t> </w:t>
      </w:r>
      <w:r>
        <w:rPr>
          <w:rFonts w:ascii="Times New Roman" w:hAnsi="Times New Roman" w:eastAsia="Times New Roman"/>
        </w:rPr>
        <w:t>μg</w:t>
      </w:r>
      <w:r>
        <w:rPr>
          <w:rFonts w:ascii="Times New Roman" w:hAnsi="Times New Roman" w:eastAsia="Times New Roman"/>
          <w:spacing w:val="-13"/>
        </w:rPr>
        <w:t> </w:t>
      </w:r>
      <w:r>
        <w:rPr/>
        <w:t>布地奈德</w:t>
      </w:r>
      <w:r>
        <w:rPr>
          <w:rFonts w:ascii="Times New Roman" w:hAnsi="Times New Roman" w:eastAsia="Times New Roman"/>
        </w:rPr>
        <w:t>×0.78</w:t>
      </w:r>
      <w:r>
        <w:rPr>
          <w:rFonts w:ascii="Times New Roman" w:hAnsi="Times New Roman" w:eastAsia="Times New Roman"/>
          <w:spacing w:val="-1"/>
        </w:rPr>
        <w:t> = </w:t>
      </w:r>
      <w:r>
        <w:rPr>
          <w:rFonts w:ascii="Times New Roman" w:hAnsi="Times New Roman" w:eastAsia="Times New Roman"/>
        </w:rPr>
        <w:t>124.8 μg</w:t>
      </w:r>
      <w:r>
        <w:rPr>
          <w:rFonts w:ascii="Times New Roman" w:hAnsi="Times New Roman" w:eastAsia="Times New Roman"/>
          <w:spacing w:val="-13"/>
        </w:rPr>
        <w:t> </w:t>
      </w:r>
      <w:r>
        <w:rPr>
          <w:spacing w:val="-2"/>
        </w:rPr>
        <w:t>氟替卡松当量</w:t>
      </w:r>
    </w:p>
    <w:p>
      <w:pPr>
        <w:spacing w:after="0"/>
        <w:sectPr>
          <w:pgSz w:w="11910" w:h="16840"/>
          <w:pgMar w:header="590" w:footer="784" w:top="1340" w:bottom="980" w:left="1480" w:right="1080"/>
        </w:sectPr>
      </w:pPr>
    </w:p>
    <w:p>
      <w:pPr>
        <w:pStyle w:val="Heading1"/>
        <w:tabs>
          <w:tab w:pos="2215" w:val="left" w:leader="none"/>
        </w:tabs>
        <w:ind w:left="221" w:firstLine="0"/>
        <w:jc w:val="both"/>
      </w:pPr>
      <w:bookmarkStart w:name="附录J 国家特定要求" w:id="353"/>
      <w:bookmarkEnd w:id="353"/>
      <w:r>
        <w:rPr>
          <w:b w:val="0"/>
        </w:rPr>
      </w:r>
      <w:bookmarkStart w:name="_bookmark168" w:id="354"/>
      <w:bookmarkEnd w:id="354"/>
      <w:r>
        <w:rPr>
          <w:b w:val="0"/>
        </w:rPr>
      </w:r>
      <w:r>
        <w:rPr>
          <w:spacing w:val="-2"/>
        </w:rPr>
        <w:t>附录</w:t>
      </w:r>
      <w:r>
        <w:rPr>
          <w:rFonts w:ascii="Times New Roman" w:eastAsia="Times New Roman"/>
          <w:spacing w:val="-10"/>
        </w:rPr>
        <w:t>J</w:t>
      </w:r>
      <w:r>
        <w:rPr>
          <w:rFonts w:ascii="Times New Roman" w:eastAsia="Times New Roman"/>
        </w:rPr>
        <w:tab/>
      </w:r>
      <w:r>
        <w:rPr>
          <w:spacing w:val="-4"/>
        </w:rPr>
        <w:t>国家特定要</w:t>
      </w:r>
      <w:r>
        <w:rPr>
          <w:spacing w:val="-10"/>
        </w:rPr>
        <w:t>求</w:t>
      </w:r>
    </w:p>
    <w:p>
      <w:pPr>
        <w:pStyle w:val="Heading3"/>
        <w:spacing w:before="159"/>
      </w:pPr>
      <w:r>
        <w:rPr>
          <w:spacing w:val="-4"/>
        </w:rPr>
        <w:t>欧盟市场</w:t>
      </w:r>
    </w:p>
    <w:p>
      <w:pPr>
        <w:pStyle w:val="BodyText"/>
        <w:spacing w:before="119"/>
      </w:pPr>
      <w:r>
        <w:rPr>
          <w:u w:val="single"/>
        </w:rPr>
        <w:t>第</w:t>
      </w:r>
      <w:r>
        <w:rPr>
          <w:spacing w:val="-60"/>
        </w:rPr>
        <w:t> </w:t>
      </w:r>
      <w:hyperlink w:history="true" w:anchor="_bookmark64">
        <w:r>
          <w:rPr>
            <w:rFonts w:ascii="Times New Roman" w:eastAsia="Times New Roman"/>
            <w:color w:val="0000FF"/>
            <w:u w:val="single" w:color="0000FF"/>
          </w:rPr>
          <w:t>6.5</w:t>
        </w:r>
      </w:hyperlink>
      <w:r>
        <w:rPr>
          <w:rFonts w:ascii="Times New Roman" w:eastAsia="Times New Roman"/>
          <w:color w:val="0000FF"/>
          <w:spacing w:val="-12"/>
        </w:rPr>
        <w:t> </w:t>
      </w:r>
      <w:r>
        <w:rPr>
          <w:spacing w:val="-2"/>
          <w:u w:val="single"/>
        </w:rPr>
        <w:t>节，合并治疗</w:t>
      </w:r>
    </w:p>
    <w:p>
      <w:pPr>
        <w:pStyle w:val="BodyText"/>
        <w:spacing w:line="276" w:lineRule="auto" w:before="120"/>
        <w:ind w:right="357" w:firstLine="480"/>
        <w:jc w:val="both"/>
      </w:pPr>
      <w:r>
        <w:rPr>
          <w:spacing w:val="-12"/>
        </w:rPr>
        <w:t>根据 </w:t>
      </w:r>
      <w:r>
        <w:rPr>
          <w:rFonts w:ascii="Times New Roman" w:eastAsia="Times New Roman"/>
          <w:spacing w:val="-4"/>
        </w:rPr>
        <w:t>CSP</w:t>
      </w:r>
      <w:r>
        <w:rPr>
          <w:rFonts w:ascii="Times New Roman" w:eastAsia="Times New Roman"/>
          <w:spacing w:val="-11"/>
        </w:rPr>
        <w:t> </w:t>
      </w:r>
      <w:r>
        <w:rPr>
          <w:spacing w:val="-15"/>
        </w:rPr>
        <w:t>第 </w:t>
      </w:r>
      <w:hyperlink w:history="true" w:anchor="_bookmark66">
        <w:r>
          <w:rPr>
            <w:rFonts w:ascii="Times New Roman" w:eastAsia="Times New Roman"/>
            <w:color w:val="0000FF"/>
            <w:spacing w:val="-4"/>
          </w:rPr>
          <w:t>6.5.2</w:t>
        </w:r>
      </w:hyperlink>
      <w:r>
        <w:rPr>
          <w:rFonts w:ascii="Times New Roman" w:eastAsia="Times New Roman"/>
          <w:color w:val="0000FF"/>
          <w:spacing w:val="-1"/>
        </w:rPr>
        <w:t> </w:t>
      </w:r>
      <w:r>
        <w:rPr>
          <w:spacing w:val="-4"/>
        </w:rPr>
        <w:t>节，研究期间所有受试者均需要接受稳定的优化背景维持吸入</w:t>
      </w:r>
      <w:r>
        <w:rPr/>
        <w:t>治疗（</w:t>
      </w:r>
      <w:r>
        <w:rPr>
          <w:rFonts w:ascii="Times New Roman" w:eastAsia="Times New Roman"/>
        </w:rPr>
        <w:t>ICS/LABA/LAMA </w:t>
      </w:r>
      <w:r>
        <w:rPr/>
        <w:t>三联治疗，或二联治疗（如果认为不适合三联治疗）。二</w:t>
      </w:r>
      <w:r>
        <w:rPr>
          <w:spacing w:val="-2"/>
        </w:rPr>
        <w:t>联和三联治疗均可采用单独吸入器（</w:t>
      </w:r>
      <w:r>
        <w:rPr>
          <w:rFonts w:ascii="Times New Roman" w:eastAsia="Times New Roman"/>
          <w:spacing w:val="-2"/>
        </w:rPr>
        <w:t>ATC</w:t>
      </w:r>
      <w:r>
        <w:rPr>
          <w:rFonts w:ascii="Times New Roman" w:eastAsia="Times New Roman"/>
          <w:spacing w:val="12"/>
        </w:rPr>
        <w:t> </w:t>
      </w:r>
      <w:r>
        <w:rPr>
          <w:spacing w:val="-11"/>
        </w:rPr>
        <w:t>代码 </w:t>
      </w:r>
      <w:r>
        <w:rPr>
          <w:rFonts w:ascii="Times New Roman" w:eastAsia="Times New Roman"/>
          <w:spacing w:val="-2"/>
        </w:rPr>
        <w:t>R03AL</w:t>
      </w:r>
      <w:r>
        <w:rPr>
          <w:spacing w:val="-2"/>
        </w:rPr>
        <w:t>、</w:t>
      </w:r>
      <w:r>
        <w:rPr>
          <w:rFonts w:ascii="Times New Roman" w:eastAsia="Times New Roman"/>
          <w:spacing w:val="-2"/>
        </w:rPr>
        <w:t>R03BB</w:t>
      </w:r>
      <w:r>
        <w:rPr>
          <w:spacing w:val="-2"/>
        </w:rPr>
        <w:t>、</w:t>
      </w:r>
      <w:r>
        <w:rPr>
          <w:rFonts w:ascii="Times New Roman" w:eastAsia="Times New Roman"/>
          <w:spacing w:val="-2"/>
        </w:rPr>
        <w:t>R03BA</w:t>
      </w:r>
      <w:r>
        <w:rPr>
          <w:spacing w:val="-2"/>
        </w:rPr>
        <w:t>）或固定剂</w:t>
      </w:r>
      <w:r>
        <w:rPr/>
        <w:t>量复方吸入器（</w:t>
      </w:r>
      <w:r>
        <w:rPr>
          <w:rFonts w:ascii="Times New Roman" w:eastAsia="Times New Roman"/>
        </w:rPr>
        <w:t>ATC </w:t>
      </w:r>
      <w:r>
        <w:rPr>
          <w:spacing w:val="-7"/>
        </w:rPr>
        <w:t>代码 </w:t>
      </w:r>
      <w:r>
        <w:rPr>
          <w:rFonts w:ascii="Times New Roman" w:eastAsia="Times New Roman"/>
        </w:rPr>
        <w:t>R03AL </w:t>
      </w:r>
      <w:r>
        <w:rPr>
          <w:spacing w:val="-9"/>
        </w:rPr>
        <w:t>或 </w:t>
      </w:r>
      <w:r>
        <w:rPr>
          <w:rFonts w:ascii="Times New Roman" w:eastAsia="Times New Roman"/>
        </w:rPr>
        <w:t>R03AK</w:t>
      </w:r>
      <w:r>
        <w:rPr/>
        <w:t>）。</w:t>
      </w:r>
    </w:p>
    <w:p>
      <w:pPr>
        <w:pStyle w:val="BodyText"/>
        <w:spacing w:line="276" w:lineRule="auto" w:before="236"/>
        <w:ind w:right="321" w:firstLine="480"/>
        <w:jc w:val="both"/>
      </w:pPr>
      <w:r>
        <w:rPr>
          <w:spacing w:val="14"/>
        </w:rPr>
        <w:t>根据当地 </w:t>
      </w:r>
      <w:r>
        <w:rPr>
          <w:rFonts w:ascii="Times New Roman" w:hAnsi="Times New Roman" w:eastAsia="Times New Roman"/>
        </w:rPr>
        <w:t>SoC</w:t>
      </w:r>
      <w:r>
        <w:rPr>
          <w:rFonts w:ascii="Times New Roman" w:hAnsi="Times New Roman" w:eastAsia="Times New Roman"/>
          <w:spacing w:val="-15"/>
        </w:rPr>
        <w:t> </w:t>
      </w:r>
      <w:r>
        <w:rPr>
          <w:spacing w:val="-6"/>
        </w:rPr>
        <w:t>， 短效 </w:t>
      </w:r>
      <w:r>
        <w:rPr>
          <w:rFonts w:ascii="Times New Roman" w:hAnsi="Times New Roman" w:eastAsia="Times New Roman"/>
        </w:rPr>
        <w:t>β2</w:t>
      </w:r>
      <w:r>
        <w:rPr>
          <w:rFonts w:ascii="Times New Roman" w:hAnsi="Times New Roman" w:eastAsia="Times New Roman"/>
          <w:spacing w:val="-15"/>
        </w:rPr>
        <w:t> </w:t>
      </w:r>
      <w:r>
        <w:rPr>
          <w:spacing w:val="34"/>
        </w:rPr>
        <w:t>受体激动剂</w:t>
      </w:r>
      <w:r>
        <w:rPr/>
        <w:t>（</w:t>
      </w:r>
      <w:r>
        <w:rPr>
          <w:spacing w:val="-30"/>
        </w:rPr>
        <w:t> </w:t>
      </w:r>
      <w:r>
        <w:rPr>
          <w:rFonts w:ascii="Times New Roman" w:hAnsi="Times New Roman" w:eastAsia="Times New Roman"/>
        </w:rPr>
        <w:t>SABA</w:t>
      </w:r>
      <w:r>
        <w:rPr>
          <w:rFonts w:ascii="Times New Roman" w:hAnsi="Times New Roman" w:eastAsia="Times New Roman"/>
          <w:spacing w:val="-15"/>
        </w:rPr>
        <w:t> </w:t>
      </w:r>
      <w:r>
        <w:rPr>
          <w:spacing w:val="-15"/>
        </w:rPr>
        <w:t>， </w:t>
      </w:r>
      <w:r>
        <w:rPr>
          <w:rFonts w:ascii="Times New Roman" w:hAnsi="Times New Roman" w:eastAsia="Times New Roman"/>
        </w:rPr>
        <w:t>[ATC</w:t>
      </w:r>
      <w:r>
        <w:rPr>
          <w:rFonts w:ascii="Times New Roman" w:hAnsi="Times New Roman" w:eastAsia="Times New Roman"/>
          <w:spacing w:val="50"/>
        </w:rPr>
        <w:t> </w:t>
      </w:r>
      <w:r>
        <w:rPr>
          <w:spacing w:val="21"/>
        </w:rPr>
        <w:t>代码 </w:t>
      </w:r>
      <w:r>
        <w:rPr>
          <w:rFonts w:ascii="Times New Roman" w:hAnsi="Times New Roman" w:eastAsia="Times New Roman"/>
        </w:rPr>
        <w:t>R03AC]</w:t>
      </w:r>
      <w:r>
        <w:rPr>
          <w:rFonts w:ascii="Times New Roman" w:hAnsi="Times New Roman" w:eastAsia="Times New Roman"/>
          <w:spacing w:val="-15"/>
        </w:rPr>
        <w:t> </w:t>
      </w:r>
      <w:r>
        <w:rPr>
          <w:spacing w:val="34"/>
        </w:rPr>
        <w:t>）、 </w:t>
      </w:r>
      <w:r>
        <w:rPr>
          <w:rFonts w:ascii="Times New Roman" w:hAnsi="Times New Roman" w:eastAsia="Times New Roman"/>
        </w:rPr>
        <w:t>SAMA[ATC </w:t>
      </w:r>
      <w:r>
        <w:rPr>
          <w:spacing w:val="-8"/>
        </w:rPr>
        <w:t>代码 </w:t>
      </w:r>
      <w:r>
        <w:rPr>
          <w:rFonts w:ascii="Times New Roman" w:hAnsi="Times New Roman" w:eastAsia="Times New Roman"/>
        </w:rPr>
        <w:t>R03BB]</w:t>
      </w:r>
      <w:r>
        <w:rPr/>
        <w:t>、</w:t>
      </w:r>
      <w:r>
        <w:rPr>
          <w:rFonts w:ascii="Times New Roman" w:hAnsi="Times New Roman" w:eastAsia="Times New Roman"/>
        </w:rPr>
        <w:t>SABA/SAMA[ATC </w:t>
      </w:r>
      <w:r>
        <w:rPr>
          <w:spacing w:val="-7"/>
        </w:rPr>
        <w:t>代码 </w:t>
      </w:r>
      <w:r>
        <w:rPr>
          <w:rFonts w:ascii="Times New Roman" w:hAnsi="Times New Roman" w:eastAsia="Times New Roman"/>
        </w:rPr>
        <w:t>R03AL]</w:t>
      </w:r>
      <w:r>
        <w:rPr/>
        <w:t>）复方制剂或替代症状</w:t>
      </w:r>
      <w:r>
        <w:rPr>
          <w:spacing w:val="-1"/>
        </w:rPr>
        <w:t>缓解药物可在研究期间用于 </w:t>
      </w:r>
      <w:r>
        <w:rPr>
          <w:rFonts w:ascii="Times New Roman" w:hAnsi="Times New Roman" w:eastAsia="Times New Roman"/>
        </w:rPr>
        <w:t>COPD </w:t>
      </w:r>
      <w:r>
        <w:rPr/>
        <w:t>症状恶化的情况，并在整个方案中称为“补救药</w:t>
      </w:r>
      <w:r>
        <w:rPr>
          <w:spacing w:val="-1"/>
        </w:rPr>
        <w:t>物”。预期 </w:t>
      </w:r>
      <w:r>
        <w:rPr>
          <w:rFonts w:ascii="Times New Roman" w:hAnsi="Times New Roman" w:eastAsia="Times New Roman"/>
        </w:rPr>
        <w:t>COPD</w:t>
      </w:r>
      <w:r>
        <w:rPr>
          <w:rFonts w:ascii="Times New Roman" w:hAnsi="Times New Roman" w:eastAsia="Times New Roman"/>
          <w:spacing w:val="32"/>
        </w:rPr>
        <w:t> </w:t>
      </w:r>
      <w:r>
        <w:rPr/>
        <w:t>患者中需要使用症状缓解（补救）药物的症状会存在日间差异，</w:t>
      </w:r>
      <w:r>
        <w:rPr>
          <w:spacing w:val="-2"/>
        </w:rPr>
        <w:t>使用此类药物不一定能反映 </w:t>
      </w:r>
      <w:r>
        <w:rPr>
          <w:rFonts w:ascii="Times New Roman" w:hAnsi="Times New Roman" w:eastAsia="Times New Roman"/>
        </w:rPr>
        <w:t>IMP </w:t>
      </w:r>
      <w:r>
        <w:rPr/>
        <w:t>的有效性。</w:t>
      </w:r>
    </w:p>
    <w:p>
      <w:pPr>
        <w:pStyle w:val="BodyText"/>
        <w:spacing w:line="460" w:lineRule="auto" w:before="236"/>
        <w:ind w:left="701" w:right="1601"/>
        <w:jc w:val="both"/>
      </w:pPr>
      <w:r>
        <w:rPr>
          <w:spacing w:val="-4"/>
        </w:rPr>
        <w:t>沙丁胺醇（</w:t>
      </w:r>
      <w:r>
        <w:rPr>
          <w:rFonts w:ascii="Times New Roman" w:eastAsia="Times New Roman"/>
          <w:spacing w:val="-4"/>
        </w:rPr>
        <w:t>ATC </w:t>
      </w:r>
      <w:r>
        <w:rPr>
          <w:spacing w:val="-12"/>
        </w:rPr>
        <w:t>代码 </w:t>
      </w:r>
      <w:r>
        <w:rPr>
          <w:rFonts w:ascii="Times New Roman" w:eastAsia="Times New Roman"/>
          <w:spacing w:val="-4"/>
        </w:rPr>
        <w:t>R03AC02</w:t>
      </w:r>
      <w:r>
        <w:rPr>
          <w:spacing w:val="-4"/>
        </w:rPr>
        <w:t>）</w:t>
      </w:r>
      <w:r>
        <w:rPr>
          <w:spacing w:val="-9"/>
        </w:rPr>
        <w:t>也将用于 </w:t>
      </w:r>
      <w:r>
        <w:rPr>
          <w:rFonts w:ascii="Times New Roman" w:eastAsia="Times New Roman"/>
          <w:spacing w:val="-4"/>
        </w:rPr>
        <w:t>BD</w:t>
      </w:r>
      <w:r>
        <w:rPr>
          <w:rFonts w:ascii="Times New Roman" w:eastAsia="Times New Roman"/>
          <w:spacing w:val="8"/>
        </w:rPr>
        <w:t> </w:t>
      </w:r>
      <w:r>
        <w:rPr>
          <w:spacing w:val="-4"/>
        </w:rPr>
        <w:t>给药后肺量计测定。</w:t>
      </w:r>
      <w:r>
        <w:rPr>
          <w:spacing w:val="-2"/>
        </w:rPr>
        <w:t>此处提及的辅助药品应在当地获得批准，并按照处方信息给药。</w:t>
      </w:r>
    </w:p>
    <w:p>
      <w:pPr>
        <w:pStyle w:val="BodyText"/>
        <w:spacing w:line="310" w:lineRule="exact"/>
        <w:jc w:val="both"/>
      </w:pPr>
      <w:r>
        <w:rPr>
          <w:u w:val="single"/>
        </w:rPr>
        <w:t>第</w:t>
      </w:r>
      <w:r>
        <w:rPr>
          <w:spacing w:val="-60"/>
        </w:rPr>
        <w:t> </w:t>
      </w:r>
      <w:hyperlink w:history="true" w:anchor="_bookmark91">
        <w:r>
          <w:rPr>
            <w:rFonts w:ascii="Times New Roman" w:eastAsia="Times New Roman"/>
            <w:color w:val="0000FF"/>
            <w:u w:val="single" w:color="0000FF"/>
          </w:rPr>
          <w:t>8.2.6</w:t>
        </w:r>
      </w:hyperlink>
      <w:r>
        <w:rPr>
          <w:rFonts w:ascii="Times New Roman" w:eastAsia="Times New Roman"/>
          <w:color w:val="0000FF"/>
          <w:spacing w:val="-12"/>
        </w:rPr>
        <w:t> </w:t>
      </w:r>
      <w:r>
        <w:rPr>
          <w:spacing w:val="-1"/>
          <w:u w:val="single"/>
        </w:rPr>
        <w:t>节，临床安全性实验室评估</w:t>
      </w:r>
    </w:p>
    <w:p>
      <w:pPr>
        <w:pStyle w:val="BodyText"/>
        <w:spacing w:line="276" w:lineRule="auto" w:before="119"/>
        <w:ind w:right="354" w:firstLine="480"/>
        <w:jc w:val="both"/>
      </w:pPr>
      <w:r>
        <w:rPr/>
        <w:t>对于在强制避孕期（</w:t>
      </w:r>
      <w:r>
        <w:rPr>
          <w:spacing w:val="-3"/>
        </w:rPr>
        <w:t>本研究中，为直至 </w:t>
      </w:r>
      <w:r>
        <w:rPr>
          <w:rFonts w:ascii="Times New Roman" w:eastAsia="Times New Roman"/>
        </w:rPr>
        <w:t>IP </w:t>
      </w:r>
      <w:r>
        <w:rPr>
          <w:spacing w:val="-4"/>
        </w:rPr>
        <w:t>末次给药后 </w:t>
      </w:r>
      <w:r>
        <w:rPr>
          <w:rFonts w:ascii="Times New Roman" w:eastAsia="Times New Roman"/>
        </w:rPr>
        <w:t>14 </w:t>
      </w:r>
      <w:r>
        <w:rPr/>
        <w:t>周）必须每月进行一</w:t>
      </w:r>
      <w:r>
        <w:rPr>
          <w:spacing w:val="-6"/>
        </w:rPr>
        <w:t>次妊娠试验的国家，将在第 </w:t>
      </w:r>
      <w:r>
        <w:rPr>
          <w:rFonts w:ascii="Times New Roman" w:eastAsia="Times New Roman"/>
          <w:spacing w:val="-4"/>
        </w:rPr>
        <w:t>56</w:t>
      </w:r>
      <w:r>
        <w:rPr>
          <w:rFonts w:ascii="Times New Roman" w:eastAsia="Times New Roman"/>
          <w:spacing w:val="-11"/>
        </w:rPr>
        <w:t> </w:t>
      </w:r>
      <w:r>
        <w:rPr>
          <w:spacing w:val="-10"/>
        </w:rPr>
        <w:t>周和第 </w:t>
      </w:r>
      <w:r>
        <w:rPr>
          <w:rFonts w:ascii="Times New Roman" w:eastAsia="Times New Roman"/>
          <w:spacing w:val="-4"/>
        </w:rPr>
        <w:t>62</w:t>
      </w:r>
      <w:r>
        <w:rPr>
          <w:rFonts w:ascii="Times New Roman" w:eastAsia="Times New Roman"/>
          <w:spacing w:val="-9"/>
        </w:rPr>
        <w:t> </w:t>
      </w:r>
      <w:r>
        <w:rPr>
          <w:spacing w:val="-12"/>
        </w:rPr>
        <w:t>周对 </w:t>
      </w:r>
      <w:r>
        <w:rPr>
          <w:rFonts w:ascii="Times New Roman" w:eastAsia="Times New Roman"/>
          <w:spacing w:val="-4"/>
        </w:rPr>
        <w:t>FOCBP</w:t>
      </w:r>
      <w:r>
        <w:rPr>
          <w:rFonts w:ascii="Times New Roman" w:eastAsia="Times New Roman"/>
          <w:spacing w:val="8"/>
        </w:rPr>
        <w:t> </w:t>
      </w:r>
      <w:r>
        <w:rPr>
          <w:spacing w:val="-4"/>
        </w:rPr>
        <w:t>进行两次额外妊娠试验。受试</w:t>
      </w:r>
      <w:r>
        <w:rPr>
          <w:spacing w:val="-2"/>
        </w:rPr>
        <w:t>者可在家中进行该试验，并通过与研究中心工作人员电话联系</w:t>
      </w:r>
      <w:r>
        <w:rPr>
          <w:rFonts w:ascii="Times New Roman" w:eastAsia="Times New Roman"/>
          <w:spacing w:val="-2"/>
        </w:rPr>
        <w:t>/</w:t>
      </w:r>
      <w:r>
        <w:rPr>
          <w:spacing w:val="-2"/>
        </w:rPr>
        <w:t>虚拟电话联系确认试验结果。或者，如果需要，受试者可以前往研究中心进行这项试验。如果受试者提</w:t>
      </w:r>
      <w:r>
        <w:rPr>
          <w:spacing w:val="-8"/>
        </w:rPr>
        <w:t>前终止 </w:t>
      </w:r>
      <w:r>
        <w:rPr>
          <w:rFonts w:ascii="Times New Roman" w:eastAsia="Times New Roman"/>
        </w:rPr>
        <w:t>IP</w:t>
      </w:r>
      <w:r>
        <w:rPr>
          <w:rFonts w:ascii="Times New Roman" w:eastAsia="Times New Roman"/>
          <w:spacing w:val="-15"/>
        </w:rPr>
        <w:t> </w:t>
      </w:r>
      <w:r>
        <w:rPr>
          <w:spacing w:val="-2"/>
        </w:rPr>
        <w:t>治疗，则每月进行一次妊娠试验，直至 </w:t>
      </w:r>
      <w:r>
        <w:rPr>
          <w:rFonts w:ascii="Times New Roman" w:eastAsia="Times New Roman"/>
        </w:rPr>
        <w:t>IP</w:t>
      </w:r>
      <w:r>
        <w:rPr>
          <w:rFonts w:ascii="Times New Roman" w:eastAsia="Times New Roman"/>
          <w:spacing w:val="-15"/>
        </w:rPr>
        <w:t> </w:t>
      </w:r>
      <w:r>
        <w:rPr>
          <w:spacing w:val="-5"/>
        </w:rPr>
        <w:t>末次给药后 </w:t>
      </w:r>
      <w:r>
        <w:rPr>
          <w:rFonts w:ascii="Times New Roman" w:eastAsia="Times New Roman"/>
        </w:rPr>
        <w:t>14</w:t>
      </w:r>
      <w:r>
        <w:rPr>
          <w:rFonts w:ascii="Times New Roman" w:eastAsia="Times New Roman"/>
          <w:spacing w:val="-15"/>
        </w:rPr>
        <w:t> </w:t>
      </w:r>
      <w:r>
        <w:rPr/>
        <w:t>周。如果受试者</w:t>
      </w:r>
      <w:r>
        <w:rPr>
          <w:spacing w:val="-10"/>
        </w:rPr>
        <w:t>终止 </w:t>
      </w:r>
      <w:r>
        <w:rPr>
          <w:rFonts w:ascii="Times New Roman" w:eastAsia="Times New Roman"/>
        </w:rPr>
        <w:t>IP</w:t>
      </w:r>
      <w:r>
        <w:rPr>
          <w:rFonts w:ascii="Times New Roman" w:eastAsia="Times New Roman"/>
          <w:spacing w:val="-15"/>
        </w:rPr>
        <w:t> </w:t>
      </w:r>
      <w:r>
        <w:rPr>
          <w:spacing w:val="-2"/>
        </w:rPr>
        <w:t>治疗，则必须每月完成一次妊娠试验，直至 </w:t>
      </w:r>
      <w:r>
        <w:rPr>
          <w:rFonts w:ascii="Times New Roman" w:eastAsia="Times New Roman"/>
        </w:rPr>
        <w:t>IP</w:t>
      </w:r>
      <w:r>
        <w:rPr>
          <w:rFonts w:ascii="Times New Roman" w:eastAsia="Times New Roman"/>
          <w:spacing w:val="-15"/>
        </w:rPr>
        <w:t> </w:t>
      </w:r>
      <w:r>
        <w:rPr>
          <w:spacing w:val="-5"/>
        </w:rPr>
        <w:t>末次给药后 </w:t>
      </w:r>
      <w:r>
        <w:rPr>
          <w:rFonts w:ascii="Times New Roman" w:eastAsia="Times New Roman"/>
        </w:rPr>
        <w:t>14</w:t>
      </w:r>
      <w:r>
        <w:rPr>
          <w:rFonts w:ascii="Times New Roman" w:eastAsia="Times New Roman"/>
          <w:spacing w:val="-15"/>
        </w:rPr>
        <w:t> </w:t>
      </w:r>
      <w:r>
        <w:rPr/>
        <w:t>周。妊娠结果</w:t>
      </w:r>
      <w:r>
        <w:rPr>
          <w:spacing w:val="-4"/>
        </w:rPr>
        <w:t>必须记录在 </w:t>
      </w:r>
      <w:r>
        <w:rPr>
          <w:rFonts w:ascii="Times New Roman" w:eastAsia="Times New Roman"/>
        </w:rPr>
        <w:t>eCRF </w:t>
      </w:r>
      <w:r>
        <w:rPr/>
        <w:t>中。</w:t>
      </w:r>
    </w:p>
    <w:p>
      <w:pPr>
        <w:pStyle w:val="BodyText"/>
        <w:spacing w:line="598" w:lineRule="exact"/>
        <w:ind w:right="1088" w:firstLine="480"/>
        <w:rPr>
          <w:b/>
        </w:rPr>
      </w:pPr>
      <w:r>
        <w:rPr>
          <w:spacing w:val="-30"/>
        </w:rPr>
        <w:t>第 </w:t>
      </w:r>
      <w:r>
        <w:rPr>
          <w:rFonts w:ascii="Times New Roman" w:eastAsia="Times New Roman"/>
        </w:rPr>
        <w:t>56</w:t>
      </w:r>
      <w:r>
        <w:rPr>
          <w:rFonts w:ascii="Times New Roman" w:eastAsia="Times New Roman"/>
          <w:spacing w:val="-15"/>
        </w:rPr>
        <w:t> </w:t>
      </w:r>
      <w:r>
        <w:rPr>
          <w:spacing w:val="-15"/>
        </w:rPr>
        <w:t>周和第 </w:t>
      </w:r>
      <w:r>
        <w:rPr>
          <w:rFonts w:ascii="Times New Roman" w:eastAsia="Times New Roman"/>
        </w:rPr>
        <w:t>62</w:t>
      </w:r>
      <w:r>
        <w:rPr>
          <w:rFonts w:ascii="Times New Roman" w:eastAsia="Times New Roman"/>
          <w:spacing w:val="-15"/>
        </w:rPr>
        <w:t> </w:t>
      </w:r>
      <w:r>
        <w:rPr>
          <w:spacing w:val="-3"/>
        </w:rPr>
        <w:t>周的妊娠试验结果应作为计划外访视的结果录入 </w:t>
      </w:r>
      <w:r>
        <w:rPr>
          <w:rFonts w:ascii="Times New Roman" w:eastAsia="Times New Roman"/>
        </w:rPr>
        <w:t>eCRF</w:t>
      </w:r>
      <w:r>
        <w:rPr/>
        <w:t>。</w:t>
      </w:r>
      <w:r>
        <w:rPr>
          <w:b/>
          <w:spacing w:val="-6"/>
        </w:rPr>
        <w:t>中国</w:t>
      </w:r>
    </w:p>
    <w:p>
      <w:pPr>
        <w:pStyle w:val="BodyText"/>
        <w:spacing w:line="276" w:lineRule="auto" w:before="67"/>
        <w:ind w:right="357" w:firstLine="480"/>
      </w:pPr>
      <w:r>
        <w:rPr>
          <w:spacing w:val="-9"/>
        </w:rPr>
        <w:t>参见附录 </w:t>
      </w:r>
      <w:hyperlink w:history="true" w:anchor="_bookmark158">
        <w:r>
          <w:rPr>
            <w:rFonts w:ascii="Times New Roman" w:eastAsia="Times New Roman"/>
            <w:color w:val="0000FF"/>
          </w:rPr>
          <w:t>D</w:t>
        </w:r>
        <w:r>
          <w:rPr>
            <w:rFonts w:ascii="Times New Roman" w:eastAsia="Times New Roman"/>
            <w:color w:val="0000FF"/>
            <w:spacing w:val="-15"/>
          </w:rPr>
          <w:t> </w:t>
        </w:r>
        <w:r>
          <w:rPr>
            <w:rFonts w:ascii="Times New Roman" w:eastAsia="Times New Roman"/>
            <w:color w:val="0000FF"/>
          </w:rPr>
          <w:t>6</w:t>
        </w:r>
      </w:hyperlink>
      <w:r>
        <w:rPr/>
        <w:t>，</w:t>
      </w:r>
      <w:r>
        <w:rPr>
          <w:rFonts w:ascii="Times New Roman" w:eastAsia="Times New Roman"/>
        </w:rPr>
        <w:t>CD-</w:t>
      </w:r>
      <w:r>
        <w:rPr/>
        <w:t>转铁蛋白和转铁蛋白在中国不可用。当地研究小组将对用于</w:t>
      </w:r>
      <w:r>
        <w:rPr>
          <w:spacing w:val="-2"/>
        </w:rPr>
        <w:t>中心实验室检测的海氏法则实验室试剂盒进行相应修订。</w:t>
      </w:r>
    </w:p>
    <w:p>
      <w:pPr>
        <w:pStyle w:val="BodyText"/>
        <w:spacing w:line="598" w:lineRule="exact" w:before="4"/>
        <w:ind w:right="4728" w:firstLine="480"/>
        <w:rPr>
          <w:b/>
        </w:rPr>
      </w:pPr>
      <w:r>
        <w:rPr/>
        <w:t>对于中国，</w:t>
      </w:r>
      <w:r>
        <w:rPr>
          <w:rFonts w:ascii="Times New Roman" w:eastAsia="Times New Roman"/>
        </w:rPr>
        <w:t>ADA</w:t>
      </w:r>
      <w:r>
        <w:rPr>
          <w:rFonts w:ascii="Times New Roman" w:eastAsia="Times New Roman"/>
          <w:spacing w:val="-15"/>
        </w:rPr>
        <w:t> </w:t>
      </w:r>
      <w:r>
        <w:rPr>
          <w:spacing w:val="-9"/>
        </w:rPr>
        <w:t>样本最多保留 </w:t>
      </w:r>
      <w:r>
        <w:rPr>
          <w:rFonts w:ascii="Times New Roman" w:eastAsia="Times New Roman"/>
        </w:rPr>
        <w:t>1</w:t>
      </w:r>
      <w:r>
        <w:rPr>
          <w:rFonts w:ascii="Times New Roman" w:eastAsia="Times New Roman"/>
          <w:spacing w:val="-15"/>
        </w:rPr>
        <w:t> </w:t>
      </w:r>
      <w:r>
        <w:rPr/>
        <w:t>年。</w:t>
      </w:r>
      <w:r>
        <w:rPr>
          <w:b/>
          <w:spacing w:val="-2"/>
        </w:rPr>
        <w:t>捷克共和国</w:t>
      </w:r>
    </w:p>
    <w:p>
      <w:pPr>
        <w:pStyle w:val="BodyText"/>
        <w:spacing w:before="68"/>
      </w:pPr>
      <w:r>
        <w:rPr>
          <w:u w:val="single"/>
        </w:rPr>
        <w:t>第</w:t>
      </w:r>
      <w:r>
        <w:rPr>
          <w:spacing w:val="-60"/>
        </w:rPr>
        <w:t> </w:t>
      </w:r>
      <w:hyperlink w:history="true" w:anchor="_bookmark57">
        <w:r>
          <w:rPr>
            <w:rFonts w:ascii="Times New Roman" w:eastAsia="Times New Roman"/>
            <w:color w:val="0000FF"/>
            <w:u w:val="single" w:color="0000FF"/>
          </w:rPr>
          <w:t>6.2.2.4</w:t>
        </w:r>
      </w:hyperlink>
      <w:r>
        <w:rPr>
          <w:rFonts w:ascii="Times New Roman" w:eastAsia="Times New Roman"/>
          <w:color w:val="0000FF"/>
          <w:spacing w:val="-12"/>
        </w:rPr>
        <w:t> </w:t>
      </w:r>
      <w:r>
        <w:rPr>
          <w:spacing w:val="-2"/>
          <w:u w:val="single"/>
        </w:rPr>
        <w:t>节，给药监测</w:t>
      </w:r>
    </w:p>
    <w:p>
      <w:pPr>
        <w:pStyle w:val="BodyText"/>
        <w:spacing w:line="276" w:lineRule="auto" w:before="119"/>
        <w:ind w:right="117" w:firstLine="480"/>
      </w:pPr>
      <w:r>
        <w:rPr>
          <w:spacing w:val="-5"/>
        </w:rPr>
        <w:t>参见 </w:t>
      </w:r>
      <w:r>
        <w:rPr>
          <w:rFonts w:ascii="Times New Roman" w:hAnsi="Times New Roman" w:eastAsia="Times New Roman"/>
        </w:rPr>
        <w:t>CSP </w:t>
      </w:r>
      <w:r>
        <w:rPr>
          <w:spacing w:val="-7"/>
        </w:rPr>
        <w:t>第 </w:t>
      </w:r>
      <w:hyperlink w:history="true" w:anchor="_bookmark57">
        <w:r>
          <w:rPr>
            <w:rFonts w:ascii="Times New Roman" w:hAnsi="Times New Roman" w:eastAsia="Times New Roman"/>
            <w:color w:val="0000FF"/>
          </w:rPr>
          <w:t>6.2.2.4</w:t>
        </w:r>
      </w:hyperlink>
      <w:r>
        <w:rPr>
          <w:rFonts w:ascii="Times New Roman" w:hAnsi="Times New Roman" w:eastAsia="Times New Roman"/>
          <w:color w:val="0000FF"/>
        </w:rPr>
        <w:t> </w:t>
      </w:r>
      <w:r>
        <w:rPr/>
        <w:t>节。</w:t>
      </w:r>
      <w:r>
        <w:rPr>
          <w:rFonts w:ascii="Times New Roman" w:hAnsi="Times New Roman" w:eastAsia="Times New Roman"/>
        </w:rPr>
        <w:t>IP </w:t>
      </w:r>
      <w:r>
        <w:rPr>
          <w:spacing w:val="-2"/>
        </w:rPr>
        <w:t>给药后，应根据当地针对 </w:t>
      </w:r>
      <w:r>
        <w:rPr>
          <w:rFonts w:ascii="Times New Roman" w:hAnsi="Times New Roman" w:eastAsia="Times New Roman"/>
        </w:rPr>
        <w:t>mAb </w:t>
      </w:r>
      <w:r>
        <w:rPr/>
        <w:t>的临床实践观察受试</w:t>
      </w:r>
      <w:r>
        <w:rPr/>
        <w:t> </w:t>
      </w:r>
      <w:r>
        <w:rPr>
          <w:spacing w:val="-3"/>
        </w:rPr>
        <w:t>者潜在的急性反应。在需要规定 </w:t>
      </w:r>
      <w:r>
        <w:rPr>
          <w:rFonts w:ascii="Times New Roman" w:hAnsi="Times New Roman" w:eastAsia="Times New Roman"/>
        </w:rPr>
        <w:t>IP</w:t>
      </w:r>
      <w:r>
        <w:rPr>
          <w:rFonts w:ascii="Times New Roman" w:hAnsi="Times New Roman" w:eastAsia="Times New Roman"/>
          <w:spacing w:val="-15"/>
        </w:rPr>
        <w:t> </w:t>
      </w:r>
      <w:r>
        <w:rPr/>
        <w:t>给药后观察潜在急性反应的特定时间段的国家中，对于前 </w:t>
      </w:r>
      <w:r>
        <w:rPr>
          <w:rFonts w:ascii="Times New Roman" w:hAnsi="Times New Roman" w:eastAsia="Times New Roman"/>
        </w:rPr>
        <w:t>2 </w:t>
      </w:r>
      <w:r>
        <w:rPr/>
        <w:t>剂研究干预，受试者接受研究干预药物给药后在研究中心停留</w:t>
      </w:r>
      <w:r>
        <w:rPr>
          <w:rFonts w:ascii="Times New Roman" w:hAnsi="Times New Roman" w:eastAsia="Times New Roman"/>
        </w:rPr>
        <w:t>≥2 </w:t>
      </w:r>
      <w:r>
        <w:rPr/>
        <w:t>小时，由</w:t>
      </w:r>
    </w:p>
    <w:p>
      <w:pPr>
        <w:spacing w:after="0" w:line="276" w:lineRule="auto"/>
        <w:sectPr>
          <w:pgSz w:w="11910" w:h="16840"/>
          <w:pgMar w:header="590" w:footer="784" w:top="1340" w:bottom="980" w:left="1480" w:right="1080"/>
        </w:sectPr>
      </w:pPr>
    </w:p>
    <w:p>
      <w:pPr>
        <w:pStyle w:val="BodyText"/>
        <w:spacing w:line="276" w:lineRule="auto" w:before="88"/>
        <w:ind w:right="357"/>
        <w:jc w:val="both"/>
      </w:pPr>
      <w:r>
        <w:rPr>
          <w:spacing w:val="-5"/>
        </w:rPr>
        <w:t>具有资质的 </w:t>
      </w:r>
      <w:r>
        <w:rPr>
          <w:rFonts w:ascii="Times New Roman" w:hAnsi="Times New Roman" w:eastAsia="Times New Roman"/>
        </w:rPr>
        <w:t>HCP</w:t>
      </w:r>
      <w:r>
        <w:rPr>
          <w:rFonts w:ascii="Times New Roman" w:hAnsi="Times New Roman" w:eastAsia="Times New Roman"/>
          <w:spacing w:val="-15"/>
        </w:rPr>
        <w:t> </w:t>
      </w:r>
      <w:r>
        <w:rPr/>
        <w:t>进行观察。对于研究干预药物的后续给药，受试者将在研究干预后</w:t>
      </w:r>
      <w:r>
        <w:rPr>
          <w:spacing w:val="-2"/>
        </w:rPr>
        <w:t>在研究中心停留</w:t>
      </w:r>
      <w:r>
        <w:rPr>
          <w:rFonts w:ascii="Times New Roman" w:hAnsi="Times New Roman" w:eastAsia="Times New Roman"/>
          <w:spacing w:val="-2"/>
        </w:rPr>
        <w:t>≥1</w:t>
      </w:r>
      <w:r>
        <w:rPr>
          <w:rFonts w:ascii="Times New Roman" w:hAnsi="Times New Roman" w:eastAsia="Times New Roman"/>
          <w:spacing w:val="-13"/>
        </w:rPr>
        <w:t> </w:t>
      </w:r>
      <w:r>
        <w:rPr>
          <w:spacing w:val="-5"/>
        </w:rPr>
        <w:t>小时，由具有资质的 </w:t>
      </w:r>
      <w:r>
        <w:rPr>
          <w:rFonts w:ascii="Times New Roman" w:hAnsi="Times New Roman" w:eastAsia="Times New Roman"/>
          <w:spacing w:val="-2"/>
        </w:rPr>
        <w:t>HCP</w:t>
      </w:r>
      <w:r>
        <w:rPr>
          <w:rFonts w:ascii="Times New Roman" w:hAnsi="Times New Roman" w:eastAsia="Times New Roman"/>
          <w:spacing w:val="-13"/>
        </w:rPr>
        <w:t> </w:t>
      </w:r>
      <w:r>
        <w:rPr>
          <w:spacing w:val="-2"/>
        </w:rPr>
        <w:t>进行观察。在捷克共和国，受试者或其</w:t>
      </w:r>
      <w:r>
        <w:rPr>
          <w:spacing w:val="-3"/>
        </w:rPr>
        <w:t>护理者在家自行给予 </w:t>
      </w:r>
      <w:r>
        <w:rPr>
          <w:rFonts w:ascii="Times New Roman" w:hAnsi="Times New Roman" w:eastAsia="Times New Roman"/>
        </w:rPr>
        <w:t>IP </w:t>
      </w:r>
      <w:r>
        <w:rPr/>
        <w:t>不适用。</w:t>
      </w:r>
    </w:p>
    <w:p>
      <w:pPr>
        <w:pStyle w:val="BodyText"/>
        <w:spacing w:before="238"/>
      </w:pPr>
      <w:hyperlink w:history="true" w:anchor="_bookmark155">
        <w:r>
          <w:rPr>
            <w:color w:val="0000FF"/>
            <w:spacing w:val="-5"/>
            <w:u w:val="single" w:color="0000FF"/>
          </w:rPr>
          <w:t>附录 </w:t>
        </w:r>
        <w:r>
          <w:rPr>
            <w:rFonts w:ascii="Times New Roman" w:eastAsia="Times New Roman"/>
            <w:color w:val="0000FF"/>
            <w:spacing w:val="-2"/>
            <w:u w:val="single" w:color="0000FF"/>
          </w:rPr>
          <w:t>D</w:t>
        </w:r>
      </w:hyperlink>
      <w:r>
        <w:rPr>
          <w:spacing w:val="-3"/>
          <w:u w:val="single" w:color="0000FF"/>
        </w:rPr>
        <w:t>，肝生化指标升高及海氏法则评价所需采取的措施。</w:t>
      </w:r>
    </w:p>
    <w:p>
      <w:pPr>
        <w:pStyle w:val="BodyText"/>
        <w:spacing w:line="276" w:lineRule="auto" w:before="118"/>
        <w:ind w:right="358" w:firstLine="480"/>
      </w:pPr>
      <w:r>
        <w:rPr/>
        <w:t>参见</w:t>
      </w:r>
      <w:hyperlink w:history="true" w:anchor="_bookmark155">
        <w:r>
          <w:rPr>
            <w:color w:val="0000FF"/>
            <w:spacing w:val="-16"/>
          </w:rPr>
          <w:t>附录 </w:t>
        </w:r>
        <w:r>
          <w:rPr>
            <w:rFonts w:ascii="Times New Roman" w:eastAsia="Times New Roman"/>
            <w:color w:val="0000FF"/>
          </w:rPr>
          <w:t>D</w:t>
        </w:r>
      </w:hyperlink>
      <w:r>
        <w:rPr>
          <w:rFonts w:ascii="Times New Roman" w:eastAsia="Times New Roman"/>
          <w:color w:val="0000FF"/>
          <w:spacing w:val="-15"/>
        </w:rPr>
        <w:t> </w:t>
      </w:r>
      <w:r>
        <w:rPr/>
        <w:t>肝生化指标升高及海氏法则评价所需采取的措施。除</w:t>
      </w:r>
      <w:hyperlink w:history="true" w:anchor="_bookmark155">
        <w:r>
          <w:rPr>
            <w:color w:val="0000FF"/>
            <w:spacing w:val="-16"/>
          </w:rPr>
          <w:t>附录 </w:t>
        </w:r>
        <w:r>
          <w:rPr>
            <w:rFonts w:ascii="Times New Roman" w:eastAsia="Times New Roman"/>
            <w:color w:val="0000FF"/>
          </w:rPr>
          <w:t>D</w:t>
        </w:r>
      </w:hyperlink>
      <w:r>
        <w:rPr>
          <w:rFonts w:ascii="Times New Roman" w:eastAsia="Times New Roman"/>
          <w:color w:val="0000FF"/>
          <w:spacing w:val="-15"/>
        </w:rPr>
        <w:t> </w:t>
      </w:r>
      <w:r>
        <w:rPr/>
        <w:t>外，还</w:t>
      </w:r>
      <w:r>
        <w:rPr>
          <w:spacing w:val="-2"/>
        </w:rPr>
        <w:t>向研究者提供了进一步说明。</w:t>
      </w:r>
    </w:p>
    <w:p>
      <w:pPr>
        <w:pStyle w:val="BodyText"/>
        <w:spacing w:line="276" w:lineRule="auto" w:before="239"/>
        <w:ind w:right="354" w:firstLine="480"/>
        <w:jc w:val="both"/>
      </w:pPr>
      <w:r>
        <w:rPr>
          <w:spacing w:val="-6"/>
        </w:rPr>
        <w:t>如果肝酶 </w:t>
      </w:r>
      <w:r>
        <w:rPr>
          <w:rFonts w:ascii="Times New Roman" w:hAnsi="Times New Roman" w:eastAsia="Times New Roman"/>
        </w:rPr>
        <w:t>AST</w:t>
      </w:r>
      <w:r>
        <w:rPr>
          <w:rFonts w:ascii="Times New Roman" w:hAnsi="Times New Roman" w:eastAsia="Times New Roman"/>
          <w:spacing w:val="-15"/>
        </w:rPr>
        <w:t> </w:t>
      </w:r>
      <w:r>
        <w:rPr/>
        <w:t>和</w:t>
      </w:r>
      <w:r>
        <w:rPr>
          <w:rFonts w:ascii="Times New Roman" w:hAnsi="Times New Roman" w:eastAsia="Times New Roman"/>
        </w:rPr>
        <w:t>/</w:t>
      </w:r>
      <w:r>
        <w:rPr>
          <w:spacing w:val="-15"/>
        </w:rPr>
        <w:t>或 </w:t>
      </w:r>
      <w:r>
        <w:rPr>
          <w:rFonts w:ascii="Times New Roman" w:hAnsi="Times New Roman" w:eastAsia="Times New Roman"/>
        </w:rPr>
        <w:t>ALT</w:t>
      </w:r>
      <w:r>
        <w:rPr>
          <w:rFonts w:ascii="Times New Roman" w:hAnsi="Times New Roman" w:eastAsia="Times New Roman"/>
          <w:spacing w:val="-8"/>
        </w:rPr>
        <w:t> </w:t>
      </w:r>
      <w:r>
        <w:rPr/>
        <w:t>升高</w:t>
      </w:r>
      <w:r>
        <w:rPr>
          <w:rFonts w:ascii="Times New Roman" w:hAnsi="Times New Roman" w:eastAsia="Times New Roman"/>
        </w:rPr>
        <w:t>≥3×ULN </w:t>
      </w:r>
      <w:r>
        <w:rPr>
          <w:spacing w:val="-15"/>
        </w:rPr>
        <w:t>且 </w:t>
      </w:r>
      <w:r>
        <w:rPr>
          <w:rFonts w:ascii="Times New Roman" w:hAnsi="Times New Roman" w:eastAsia="Times New Roman"/>
        </w:rPr>
        <w:t>TBL≥2×ULN </w:t>
      </w:r>
      <w:r>
        <w:rPr/>
        <w:t>且无其他解释，研究者</w:t>
      </w:r>
      <w:r>
        <w:rPr>
          <w:spacing w:val="-2"/>
        </w:rPr>
        <w:t>确信符合海氏法则标准且异常由</w:t>
      </w:r>
      <w:r>
        <w:rPr>
          <w:rFonts w:ascii="Times New Roman" w:hAnsi="Times New Roman" w:eastAsia="Times New Roman"/>
          <w:spacing w:val="-2"/>
        </w:rPr>
        <w:t>IP </w:t>
      </w:r>
      <w:r>
        <w:rPr>
          <w:spacing w:val="-7"/>
        </w:rPr>
        <w:t>所致，如果 </w:t>
      </w:r>
      <w:r>
        <w:rPr>
          <w:rFonts w:ascii="Times New Roman" w:hAnsi="Times New Roman" w:eastAsia="Times New Roman"/>
          <w:spacing w:val="-2"/>
        </w:rPr>
        <w:t>PI</w:t>
      </w:r>
      <w:r>
        <w:rPr>
          <w:rFonts w:ascii="Times New Roman" w:hAnsi="Times New Roman" w:eastAsia="Times New Roman"/>
        </w:rPr>
        <w:t> </w:t>
      </w:r>
      <w:r>
        <w:rPr>
          <w:spacing w:val="-2"/>
        </w:rPr>
        <w:t>认为符合受试者的最佳利益，则应</w:t>
      </w:r>
      <w:r>
        <w:rPr>
          <w:spacing w:val="-6"/>
        </w:rPr>
        <w:t>立即暂停 </w:t>
      </w:r>
      <w:r>
        <w:rPr>
          <w:rFonts w:ascii="Times New Roman" w:hAnsi="Times New Roman" w:eastAsia="Times New Roman"/>
        </w:rPr>
        <w:t>IP</w:t>
      </w:r>
      <w:r>
        <w:rPr>
          <w:rFonts w:ascii="Times New Roman" w:hAnsi="Times New Roman" w:eastAsia="Times New Roman"/>
          <w:spacing w:val="-15"/>
        </w:rPr>
        <w:t> </w:t>
      </w:r>
      <w:r>
        <w:rPr/>
        <w:t>给药，直至所有肝脏检查结果均恢复至正常范围内。研究者应安排所需</w:t>
      </w:r>
      <w:r>
        <w:rPr>
          <w:spacing w:val="-2"/>
        </w:rPr>
        <w:t>的任何进一步适当检查，且必须通知医学监查员。根据标准安全性报告程序，将这</w:t>
      </w:r>
      <w:r>
        <w:rPr>
          <w:spacing w:val="-6"/>
        </w:rPr>
        <w:t>种情况记录为 </w:t>
      </w:r>
      <w:r>
        <w:rPr>
          <w:rFonts w:ascii="Times New Roman" w:hAnsi="Times New Roman" w:eastAsia="Times New Roman"/>
        </w:rPr>
        <w:t>SAE</w:t>
      </w:r>
      <w:r>
        <w:rPr/>
        <w:t>。</w:t>
      </w:r>
    </w:p>
    <w:p>
      <w:pPr>
        <w:pStyle w:val="BodyText"/>
        <w:spacing w:line="276" w:lineRule="auto" w:before="235"/>
        <w:ind w:right="117" w:firstLine="480"/>
      </w:pPr>
      <w:r>
        <w:rPr/>
        <w:t>如果在研究者、受试者和申办者同意的情况下开始继续使用 </w:t>
      </w:r>
      <w:r>
        <w:rPr>
          <w:rFonts w:ascii="Times New Roman" w:eastAsia="Times New Roman"/>
        </w:rPr>
        <w:t>IP</w:t>
      </w:r>
      <w:r>
        <w:rPr/>
        <w:t>，并且在重新给</w:t>
      </w:r>
      <w:r>
        <w:rPr/>
        <w:t> </w:t>
      </w:r>
      <w:r>
        <w:rPr>
          <w:spacing w:val="2"/>
        </w:rPr>
        <w:t>药后肝酶进一步升高，则受试者将确定退出</w:t>
      </w:r>
      <w:r>
        <w:rPr>
          <w:rFonts w:ascii="Times New Roman" w:eastAsia="Times New Roman"/>
        </w:rPr>
        <w:t>IP</w:t>
      </w:r>
      <w:r>
        <w:rPr>
          <w:rFonts w:ascii="Times New Roman" w:eastAsia="Times New Roman"/>
          <w:spacing w:val="-21"/>
        </w:rPr>
        <w:t> </w:t>
      </w:r>
      <w:r>
        <w:rPr>
          <w:spacing w:val="9"/>
        </w:rPr>
        <w:t>给药。终止</w:t>
      </w:r>
      <w:r>
        <w:rPr>
          <w:rFonts w:ascii="Times New Roman" w:eastAsia="Times New Roman"/>
        </w:rPr>
        <w:t>IP</w:t>
      </w:r>
      <w:r>
        <w:rPr>
          <w:rFonts w:ascii="Times New Roman" w:eastAsia="Times New Roman"/>
          <w:spacing w:val="-21"/>
        </w:rPr>
        <w:t> </w:t>
      </w:r>
      <w:r>
        <w:rPr/>
        <w:t>治疗不会自动导致完全退出研究。强烈建议终止 </w:t>
      </w:r>
      <w:r>
        <w:rPr>
          <w:rFonts w:ascii="Times New Roman" w:eastAsia="Times New Roman"/>
        </w:rPr>
        <w:t>IP </w:t>
      </w:r>
      <w:r>
        <w:rPr/>
        <w:t>治疗的受试者继续参与研究，以收集安全性和临床数据。</w:t>
      </w:r>
    </w:p>
    <w:p>
      <w:pPr>
        <w:pStyle w:val="Heading3"/>
        <w:spacing w:before="238"/>
      </w:pPr>
      <w:r>
        <w:rPr>
          <w:spacing w:val="-6"/>
        </w:rPr>
        <w:t>德国</w:t>
      </w:r>
    </w:p>
    <w:p>
      <w:pPr>
        <w:pStyle w:val="ListParagraph"/>
        <w:numPr>
          <w:ilvl w:val="0"/>
          <w:numId w:val="62"/>
        </w:numPr>
        <w:tabs>
          <w:tab w:pos="1069" w:val="left" w:leader="none"/>
          <w:tab w:pos="1071" w:val="left" w:leader="none"/>
        </w:tabs>
        <w:spacing w:line="276" w:lineRule="auto" w:before="119" w:after="0"/>
        <w:ind w:left="1071" w:right="358" w:hanging="426"/>
        <w:jc w:val="both"/>
        <w:rPr>
          <w:sz w:val="24"/>
        </w:rPr>
      </w:pPr>
      <w:r>
        <w:rPr>
          <w:spacing w:val="-4"/>
          <w:sz w:val="24"/>
        </w:rPr>
        <w:t>根据（欧盟）</w:t>
      </w:r>
      <w:r>
        <w:rPr>
          <w:spacing w:val="-15"/>
          <w:sz w:val="24"/>
        </w:rPr>
        <w:t>第 </w:t>
      </w:r>
      <w:r>
        <w:rPr>
          <w:rFonts w:ascii="Times New Roman" w:eastAsia="Times New Roman"/>
          <w:spacing w:val="-4"/>
          <w:sz w:val="24"/>
        </w:rPr>
        <w:t>536/2014</w:t>
      </w:r>
      <w:r>
        <w:rPr>
          <w:rFonts w:ascii="Times New Roman" w:eastAsia="Times New Roman"/>
          <w:spacing w:val="-11"/>
          <w:sz w:val="24"/>
        </w:rPr>
        <w:t> </w:t>
      </w:r>
      <w:r>
        <w:rPr>
          <w:spacing w:val="-9"/>
          <w:sz w:val="24"/>
        </w:rPr>
        <w:t>号法规第 </w:t>
      </w:r>
      <w:r>
        <w:rPr>
          <w:rFonts w:ascii="Times New Roman" w:eastAsia="Times New Roman"/>
          <w:spacing w:val="-4"/>
          <w:sz w:val="24"/>
        </w:rPr>
        <w:t>77</w:t>
      </w:r>
      <w:r>
        <w:rPr>
          <w:rFonts w:ascii="Times New Roman" w:eastAsia="Times New Roman"/>
          <w:spacing w:val="-11"/>
          <w:sz w:val="24"/>
        </w:rPr>
        <w:t> </w:t>
      </w:r>
      <w:r>
        <w:rPr>
          <w:spacing w:val="-9"/>
          <w:sz w:val="24"/>
        </w:rPr>
        <w:t>条结合第 </w:t>
      </w:r>
      <w:r>
        <w:rPr>
          <w:rFonts w:ascii="Times New Roman" w:eastAsia="Times New Roman"/>
          <w:spacing w:val="-4"/>
          <w:sz w:val="24"/>
        </w:rPr>
        <w:t>42</w:t>
      </w:r>
      <w:r>
        <w:rPr>
          <w:rFonts w:ascii="Times New Roman" w:eastAsia="Times New Roman"/>
          <w:spacing w:val="-7"/>
          <w:sz w:val="24"/>
        </w:rPr>
        <w:t> </w:t>
      </w:r>
      <w:r>
        <w:rPr>
          <w:spacing w:val="-12"/>
          <w:sz w:val="24"/>
        </w:rPr>
        <w:t>节第 </w:t>
      </w:r>
      <w:r>
        <w:rPr>
          <w:rFonts w:ascii="Times New Roman" w:eastAsia="Times New Roman"/>
          <w:spacing w:val="-4"/>
          <w:sz w:val="24"/>
        </w:rPr>
        <w:t>6</w:t>
      </w:r>
      <w:r>
        <w:rPr>
          <w:rFonts w:ascii="Times New Roman" w:eastAsia="Times New Roman"/>
          <w:spacing w:val="7"/>
          <w:sz w:val="24"/>
        </w:rPr>
        <w:t> </w:t>
      </w:r>
      <w:r>
        <w:rPr>
          <w:spacing w:val="-12"/>
          <w:sz w:val="24"/>
        </w:rPr>
        <w:t>部分 </w:t>
      </w:r>
      <w:r>
        <w:rPr>
          <w:rFonts w:ascii="Times New Roman" w:eastAsia="Times New Roman"/>
          <w:spacing w:val="-4"/>
          <w:sz w:val="24"/>
        </w:rPr>
        <w:t>AMG</w:t>
      </w:r>
      <w:r>
        <w:rPr>
          <w:spacing w:val="-4"/>
          <w:sz w:val="24"/>
        </w:rPr>
        <w:t>，如果</w:t>
      </w:r>
      <w:r>
        <w:rPr>
          <w:spacing w:val="-2"/>
          <w:sz w:val="24"/>
        </w:rPr>
        <w:t>国家监管机构撤销批准，将终止在德国的该项研究。</w:t>
      </w:r>
    </w:p>
    <w:p>
      <w:pPr>
        <w:pStyle w:val="ListParagraph"/>
        <w:numPr>
          <w:ilvl w:val="0"/>
          <w:numId w:val="62"/>
        </w:numPr>
        <w:tabs>
          <w:tab w:pos="1069" w:val="left" w:leader="none"/>
          <w:tab w:pos="1071" w:val="left" w:leader="none"/>
        </w:tabs>
        <w:spacing w:line="276" w:lineRule="auto" w:before="59" w:after="0"/>
        <w:ind w:left="1071" w:right="356" w:hanging="426"/>
        <w:jc w:val="both"/>
        <w:rPr>
          <w:sz w:val="24"/>
        </w:rPr>
      </w:pPr>
      <w:r>
        <w:rPr>
          <w:sz w:val="24"/>
        </w:rPr>
        <w:t>根据（欧盟）</w:t>
      </w:r>
      <w:r>
        <w:rPr>
          <w:spacing w:val="-15"/>
          <w:sz w:val="24"/>
        </w:rPr>
        <w:t>第 </w:t>
      </w:r>
      <w:r>
        <w:rPr>
          <w:rFonts w:ascii="Times New Roman" w:eastAsia="Times New Roman"/>
          <w:sz w:val="24"/>
        </w:rPr>
        <w:t>536/2014</w:t>
      </w:r>
      <w:r>
        <w:rPr>
          <w:rFonts w:ascii="Times New Roman" w:eastAsia="Times New Roman"/>
          <w:spacing w:val="-15"/>
          <w:sz w:val="24"/>
        </w:rPr>
        <w:t> </w:t>
      </w:r>
      <w:r>
        <w:rPr>
          <w:spacing w:val="-6"/>
          <w:sz w:val="24"/>
        </w:rPr>
        <w:t>号法规第 </w:t>
      </w:r>
      <w:r>
        <w:rPr>
          <w:rFonts w:ascii="Times New Roman" w:eastAsia="Times New Roman"/>
          <w:sz w:val="24"/>
        </w:rPr>
        <w:t>76</w:t>
      </w:r>
      <w:r>
        <w:rPr>
          <w:rFonts w:ascii="Times New Roman" w:eastAsia="Times New Roman"/>
          <w:spacing w:val="-15"/>
          <w:sz w:val="24"/>
        </w:rPr>
        <w:t> </w:t>
      </w:r>
      <w:r>
        <w:rPr>
          <w:spacing w:val="-6"/>
          <w:sz w:val="24"/>
        </w:rPr>
        <w:t>条结合第 </w:t>
      </w:r>
      <w:r>
        <w:rPr>
          <w:rFonts w:ascii="Times New Roman" w:eastAsia="Times New Roman"/>
          <w:sz w:val="24"/>
        </w:rPr>
        <w:t>40a</w:t>
      </w:r>
      <w:r>
        <w:rPr>
          <w:rFonts w:ascii="Times New Roman" w:eastAsia="Times New Roman"/>
          <w:spacing w:val="-15"/>
          <w:sz w:val="24"/>
        </w:rPr>
        <w:t> </w:t>
      </w:r>
      <w:r>
        <w:rPr>
          <w:rFonts w:ascii="Times New Roman" w:eastAsia="Times New Roman"/>
          <w:sz w:val="24"/>
        </w:rPr>
        <w:t>S.</w:t>
      </w:r>
      <w:r>
        <w:rPr>
          <w:rFonts w:ascii="Times New Roman" w:eastAsia="Times New Roman"/>
          <w:spacing w:val="-15"/>
          <w:sz w:val="24"/>
        </w:rPr>
        <w:t> </w:t>
      </w:r>
      <w:r>
        <w:rPr>
          <w:rFonts w:ascii="Times New Roman" w:eastAsia="Times New Roman"/>
          <w:sz w:val="24"/>
        </w:rPr>
        <w:t>1</w:t>
      </w:r>
      <w:r>
        <w:rPr>
          <w:rFonts w:ascii="Times New Roman" w:eastAsia="Times New Roman"/>
          <w:spacing w:val="-15"/>
          <w:sz w:val="24"/>
        </w:rPr>
        <w:t> </w:t>
      </w:r>
      <w:r>
        <w:rPr>
          <w:spacing w:val="-15"/>
          <w:sz w:val="24"/>
        </w:rPr>
        <w:t>节 </w:t>
      </w:r>
      <w:r>
        <w:rPr>
          <w:rFonts w:ascii="Times New Roman" w:eastAsia="Times New Roman"/>
          <w:sz w:val="24"/>
        </w:rPr>
        <w:t>3</w:t>
      </w:r>
      <w:r>
        <w:rPr>
          <w:rFonts w:ascii="Times New Roman" w:eastAsia="Times New Roman"/>
          <w:spacing w:val="26"/>
          <w:sz w:val="24"/>
        </w:rPr>
        <w:t> </w:t>
      </w:r>
      <w:r>
        <w:rPr>
          <w:rFonts w:ascii="Times New Roman" w:eastAsia="Times New Roman"/>
          <w:sz w:val="24"/>
        </w:rPr>
        <w:t>lit</w:t>
      </w:r>
      <w:r>
        <w:rPr>
          <w:rFonts w:ascii="Times New Roman" w:eastAsia="Times New Roman"/>
          <w:spacing w:val="26"/>
          <w:sz w:val="24"/>
        </w:rPr>
        <w:t> </w:t>
      </w:r>
      <w:r>
        <w:rPr>
          <w:rFonts w:ascii="Times New Roman" w:eastAsia="Times New Roman"/>
          <w:sz w:val="24"/>
        </w:rPr>
        <w:t>b</w:t>
      </w:r>
      <w:r>
        <w:rPr>
          <w:sz w:val="24"/>
        </w:rPr>
        <w:t>）</w:t>
      </w:r>
      <w:r>
        <w:rPr>
          <w:rFonts w:ascii="Times New Roman" w:eastAsia="Times New Roman"/>
          <w:sz w:val="24"/>
        </w:rPr>
        <w:t>AMG</w:t>
      </w:r>
      <w:r>
        <w:rPr>
          <w:sz w:val="24"/>
        </w:rPr>
        <w:t>。如果根据 </w:t>
      </w:r>
      <w:r>
        <w:rPr>
          <w:rFonts w:ascii="Times New Roman" w:eastAsia="Times New Roman"/>
          <w:sz w:val="24"/>
        </w:rPr>
        <w:t>IDMC </w:t>
      </w:r>
      <w:r>
        <w:rPr>
          <w:sz w:val="24"/>
        </w:rPr>
        <w:t>的建议，风险</w:t>
      </w:r>
      <w:r>
        <w:rPr>
          <w:rFonts w:ascii="Times New Roman" w:eastAsia="Times New Roman"/>
          <w:sz w:val="24"/>
        </w:rPr>
        <w:t>-</w:t>
      </w:r>
      <w:r>
        <w:rPr>
          <w:sz w:val="24"/>
        </w:rPr>
        <w:t>获益比发生变化，则可相应调整最大投保金</w:t>
      </w:r>
      <w:r>
        <w:rPr>
          <w:spacing w:val="-6"/>
          <w:sz w:val="24"/>
        </w:rPr>
        <w:t>额。</w:t>
      </w:r>
    </w:p>
    <w:p>
      <w:pPr>
        <w:spacing w:after="0" w:line="276" w:lineRule="auto"/>
        <w:jc w:val="both"/>
        <w:rPr>
          <w:sz w:val="24"/>
        </w:rPr>
        <w:sectPr>
          <w:pgSz w:w="11910" w:h="16840"/>
          <w:pgMar w:header="590" w:footer="784" w:top="1340" w:bottom="980" w:left="1480" w:right="1080"/>
        </w:sectPr>
      </w:pPr>
    </w:p>
    <w:p>
      <w:pPr>
        <w:pStyle w:val="Heading1"/>
        <w:tabs>
          <w:tab w:pos="1921" w:val="left" w:leader="none"/>
        </w:tabs>
        <w:ind w:left="221" w:firstLine="0"/>
      </w:pPr>
      <w:bookmarkStart w:name="附录K 缩略语" w:id="355"/>
      <w:bookmarkEnd w:id="355"/>
      <w:r>
        <w:rPr>
          <w:b w:val="0"/>
        </w:rPr>
      </w:r>
      <w:bookmarkStart w:name="_bookmark169" w:id="356"/>
      <w:bookmarkEnd w:id="356"/>
      <w:r>
        <w:rPr>
          <w:b w:val="0"/>
        </w:rPr>
      </w:r>
      <w:r>
        <w:rPr>
          <w:spacing w:val="-2"/>
        </w:rPr>
        <w:t>附录</w:t>
      </w:r>
      <w:r>
        <w:rPr>
          <w:rFonts w:ascii="Times New Roman" w:eastAsia="Times New Roman"/>
          <w:spacing w:val="-10"/>
        </w:rPr>
        <w:t>K</w:t>
      </w:r>
      <w:r>
        <w:rPr>
          <w:rFonts w:ascii="Times New Roman" w:eastAsia="Times New Roman"/>
        </w:rPr>
        <w:tab/>
      </w:r>
      <w:r>
        <w:rPr>
          <w:spacing w:val="-2"/>
        </w:rPr>
        <w:t>缩略</w:t>
      </w:r>
      <w:r>
        <w:rPr>
          <w:spacing w:val="-10"/>
        </w:rPr>
        <w:t>语</w:t>
      </w:r>
    </w:p>
    <w:p>
      <w:pPr>
        <w:pStyle w:val="BodyText"/>
        <w:spacing w:before="5"/>
        <w:ind w:left="0"/>
        <w:rPr>
          <w:b/>
          <w:sz w:val="12"/>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4"/>
        <w:gridCol w:w="6366"/>
      </w:tblGrid>
      <w:tr>
        <w:trPr>
          <w:trHeight w:val="352" w:hRule="atLeast"/>
        </w:trPr>
        <w:tc>
          <w:tcPr>
            <w:tcW w:w="2394" w:type="dxa"/>
          </w:tcPr>
          <w:p>
            <w:pPr>
              <w:pStyle w:val="TableParagraph"/>
              <w:spacing w:before="38"/>
              <w:ind w:left="352"/>
              <w:rPr>
                <w:b/>
                <w:sz w:val="21"/>
              </w:rPr>
            </w:pPr>
            <w:r>
              <w:rPr>
                <w:b/>
                <w:spacing w:val="-4"/>
                <w:sz w:val="21"/>
              </w:rPr>
              <w:t>缩略语或专业术语</w:t>
            </w:r>
          </w:p>
        </w:tc>
        <w:tc>
          <w:tcPr>
            <w:tcW w:w="6366" w:type="dxa"/>
          </w:tcPr>
          <w:p>
            <w:pPr>
              <w:pStyle w:val="TableParagraph"/>
              <w:spacing w:before="38"/>
              <w:ind w:left="4"/>
              <w:jc w:val="center"/>
              <w:rPr>
                <w:b/>
                <w:sz w:val="21"/>
              </w:rPr>
            </w:pPr>
            <w:r>
              <w:rPr>
                <w:b/>
                <w:spacing w:val="-6"/>
                <w:sz w:val="21"/>
              </w:rPr>
              <w:t>解释</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ADA</w:t>
            </w:r>
          </w:p>
        </w:tc>
        <w:tc>
          <w:tcPr>
            <w:tcW w:w="6366" w:type="dxa"/>
          </w:tcPr>
          <w:p>
            <w:pPr>
              <w:pStyle w:val="TableParagraph"/>
              <w:spacing w:before="38"/>
              <w:ind w:left="108"/>
              <w:rPr>
                <w:sz w:val="21"/>
              </w:rPr>
            </w:pPr>
            <w:r>
              <w:rPr>
                <w:spacing w:val="-3"/>
                <w:sz w:val="21"/>
              </w:rPr>
              <w:t>抗药抗体</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AE</w:t>
            </w:r>
          </w:p>
        </w:tc>
        <w:tc>
          <w:tcPr>
            <w:tcW w:w="6366" w:type="dxa"/>
          </w:tcPr>
          <w:p>
            <w:pPr>
              <w:pStyle w:val="TableParagraph"/>
              <w:spacing w:before="38"/>
              <w:ind w:left="108"/>
              <w:rPr>
                <w:sz w:val="21"/>
              </w:rPr>
            </w:pPr>
            <w:r>
              <w:rPr>
                <w:spacing w:val="-3"/>
                <w:sz w:val="21"/>
              </w:rPr>
              <w:t>不良事件</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AESI</w:t>
            </w:r>
          </w:p>
        </w:tc>
        <w:tc>
          <w:tcPr>
            <w:tcW w:w="6366" w:type="dxa"/>
          </w:tcPr>
          <w:p>
            <w:pPr>
              <w:pStyle w:val="TableParagraph"/>
              <w:spacing w:before="39"/>
              <w:ind w:left="108"/>
              <w:rPr>
                <w:sz w:val="21"/>
              </w:rPr>
            </w:pPr>
            <w:r>
              <w:rPr>
                <w:spacing w:val="-2"/>
                <w:sz w:val="21"/>
              </w:rPr>
              <w:t>特别关注的不良事件</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ALP</w:t>
            </w:r>
          </w:p>
        </w:tc>
        <w:tc>
          <w:tcPr>
            <w:tcW w:w="6366" w:type="dxa"/>
          </w:tcPr>
          <w:p>
            <w:pPr>
              <w:pStyle w:val="TableParagraph"/>
              <w:spacing w:before="38"/>
              <w:ind w:left="108"/>
              <w:rPr>
                <w:sz w:val="21"/>
              </w:rPr>
            </w:pPr>
            <w:r>
              <w:rPr>
                <w:spacing w:val="-2"/>
                <w:sz w:val="21"/>
              </w:rPr>
              <w:t>碱性磷酸酶</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ALT</w:t>
            </w:r>
          </w:p>
        </w:tc>
        <w:tc>
          <w:tcPr>
            <w:tcW w:w="6366" w:type="dxa"/>
          </w:tcPr>
          <w:p>
            <w:pPr>
              <w:pStyle w:val="TableParagraph"/>
              <w:spacing w:before="38"/>
              <w:ind w:left="108"/>
              <w:rPr>
                <w:sz w:val="21"/>
              </w:rPr>
            </w:pPr>
            <w:r>
              <w:rPr>
                <w:sz w:val="21"/>
              </w:rPr>
              <w:t>丙氨酸氨基转移酶</w:t>
            </w:r>
            <w:r>
              <w:rPr>
                <w:rFonts w:ascii="Times New Roman" w:eastAsia="Times New Roman"/>
                <w:sz w:val="21"/>
              </w:rPr>
              <w:t>/</w:t>
            </w:r>
            <w:r>
              <w:rPr>
                <w:spacing w:val="-4"/>
                <w:sz w:val="21"/>
              </w:rPr>
              <w:t>转氨酶</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APFS</w:t>
            </w:r>
          </w:p>
        </w:tc>
        <w:tc>
          <w:tcPr>
            <w:tcW w:w="6366" w:type="dxa"/>
          </w:tcPr>
          <w:p>
            <w:pPr>
              <w:pStyle w:val="TableParagraph"/>
              <w:spacing w:before="38"/>
              <w:ind w:left="108"/>
              <w:rPr>
                <w:sz w:val="21"/>
              </w:rPr>
            </w:pPr>
            <w:r>
              <w:rPr>
                <w:spacing w:val="-1"/>
                <w:sz w:val="21"/>
              </w:rPr>
              <w:t>带配件的预充式注射器</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AST</w:t>
            </w:r>
          </w:p>
        </w:tc>
        <w:tc>
          <w:tcPr>
            <w:tcW w:w="6366" w:type="dxa"/>
          </w:tcPr>
          <w:p>
            <w:pPr>
              <w:pStyle w:val="TableParagraph"/>
              <w:spacing w:before="38"/>
              <w:ind w:left="108"/>
              <w:rPr>
                <w:sz w:val="21"/>
              </w:rPr>
            </w:pPr>
            <w:r>
              <w:rPr>
                <w:sz w:val="21"/>
              </w:rPr>
              <w:t>天门冬氨酸氨基转移酶</w:t>
            </w:r>
            <w:r>
              <w:rPr>
                <w:rFonts w:ascii="Times New Roman" w:eastAsia="Times New Roman"/>
                <w:sz w:val="21"/>
              </w:rPr>
              <w:t>/</w:t>
            </w:r>
            <w:r>
              <w:rPr>
                <w:spacing w:val="-4"/>
                <w:sz w:val="21"/>
              </w:rPr>
              <w:t>转氨酶</w:t>
            </w:r>
          </w:p>
        </w:tc>
      </w:tr>
      <w:tr>
        <w:trPr>
          <w:trHeight w:val="392" w:hRule="atLeast"/>
        </w:trPr>
        <w:tc>
          <w:tcPr>
            <w:tcW w:w="2394" w:type="dxa"/>
          </w:tcPr>
          <w:p>
            <w:pPr>
              <w:pStyle w:val="TableParagraph"/>
              <w:spacing w:before="56"/>
              <w:ind w:left="106"/>
              <w:rPr>
                <w:rFonts w:ascii="Times New Roman"/>
                <w:sz w:val="21"/>
              </w:rPr>
            </w:pPr>
            <w:r>
              <w:rPr>
                <w:rFonts w:ascii="Times New Roman"/>
                <w:spacing w:val="-5"/>
                <w:sz w:val="21"/>
              </w:rPr>
              <w:t>BCR</w:t>
            </w:r>
          </w:p>
        </w:tc>
        <w:tc>
          <w:tcPr>
            <w:tcW w:w="6366" w:type="dxa"/>
          </w:tcPr>
          <w:p>
            <w:pPr>
              <w:pStyle w:val="TableParagraph"/>
              <w:spacing w:before="38"/>
              <w:ind w:left="108"/>
              <w:rPr>
                <w:sz w:val="21"/>
              </w:rPr>
            </w:pPr>
            <w:r>
              <w:rPr>
                <w:spacing w:val="-2"/>
                <w:sz w:val="21"/>
              </w:rPr>
              <w:t>约束性企业规则</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BD</w:t>
            </w:r>
          </w:p>
        </w:tc>
        <w:tc>
          <w:tcPr>
            <w:tcW w:w="6366" w:type="dxa"/>
          </w:tcPr>
          <w:p>
            <w:pPr>
              <w:pStyle w:val="TableParagraph"/>
              <w:spacing w:before="39"/>
              <w:ind w:left="108"/>
              <w:rPr>
                <w:sz w:val="21"/>
              </w:rPr>
            </w:pPr>
            <w:r>
              <w:rPr>
                <w:spacing w:val="-2"/>
                <w:sz w:val="21"/>
              </w:rPr>
              <w:t>支气管扩张剂</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CI</w:t>
            </w:r>
          </w:p>
        </w:tc>
        <w:tc>
          <w:tcPr>
            <w:tcW w:w="6366" w:type="dxa"/>
          </w:tcPr>
          <w:p>
            <w:pPr>
              <w:pStyle w:val="TableParagraph"/>
              <w:spacing w:before="38"/>
              <w:ind w:left="108"/>
              <w:rPr>
                <w:sz w:val="21"/>
              </w:rPr>
            </w:pPr>
            <w:r>
              <w:rPr>
                <w:spacing w:val="-3"/>
                <w:sz w:val="21"/>
              </w:rPr>
              <w:t>置信区间</w:t>
            </w:r>
          </w:p>
        </w:tc>
      </w:tr>
      <w:tr>
        <w:trPr>
          <w:trHeight w:val="393" w:hRule="atLeast"/>
        </w:trPr>
        <w:tc>
          <w:tcPr>
            <w:tcW w:w="2394" w:type="dxa"/>
          </w:tcPr>
          <w:p>
            <w:pPr>
              <w:pStyle w:val="TableParagraph"/>
              <w:spacing w:before="57"/>
              <w:ind w:left="106"/>
              <w:rPr>
                <w:rFonts w:ascii="Times New Roman"/>
                <w:sz w:val="21"/>
              </w:rPr>
            </w:pPr>
            <w:r>
              <w:rPr>
                <w:rFonts w:ascii="Times New Roman"/>
                <w:spacing w:val="-2"/>
                <w:sz w:val="21"/>
              </w:rPr>
              <w:t>CONSORT</w:t>
            </w:r>
          </w:p>
        </w:tc>
        <w:tc>
          <w:tcPr>
            <w:tcW w:w="6366" w:type="dxa"/>
          </w:tcPr>
          <w:p>
            <w:pPr>
              <w:pStyle w:val="TableParagraph"/>
              <w:spacing w:before="38"/>
              <w:ind w:left="108"/>
              <w:rPr>
                <w:sz w:val="21"/>
              </w:rPr>
            </w:pPr>
            <w:r>
              <w:rPr>
                <w:spacing w:val="-1"/>
                <w:sz w:val="21"/>
              </w:rPr>
              <w:t>临床试验报告统一标准</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COPD</w:t>
            </w:r>
          </w:p>
        </w:tc>
        <w:tc>
          <w:tcPr>
            <w:tcW w:w="6366" w:type="dxa"/>
          </w:tcPr>
          <w:p>
            <w:pPr>
              <w:pStyle w:val="TableParagraph"/>
              <w:spacing w:before="38"/>
              <w:ind w:left="108"/>
              <w:rPr>
                <w:sz w:val="21"/>
              </w:rPr>
            </w:pPr>
            <w:r>
              <w:rPr>
                <w:spacing w:val="-2"/>
                <w:sz w:val="21"/>
              </w:rPr>
              <w:t>慢性阻塞性肺疾病</w:t>
            </w:r>
          </w:p>
        </w:tc>
      </w:tr>
      <w:tr>
        <w:trPr>
          <w:trHeight w:val="392" w:hRule="atLeast"/>
        </w:trPr>
        <w:tc>
          <w:tcPr>
            <w:tcW w:w="2394" w:type="dxa"/>
          </w:tcPr>
          <w:p>
            <w:pPr>
              <w:pStyle w:val="TableParagraph"/>
              <w:spacing w:before="57"/>
              <w:ind w:left="106"/>
              <w:rPr>
                <w:rFonts w:ascii="Times New Roman"/>
                <w:sz w:val="21"/>
              </w:rPr>
            </w:pPr>
            <w:r>
              <w:rPr>
                <w:rFonts w:ascii="Times New Roman"/>
                <w:spacing w:val="-2"/>
                <w:sz w:val="21"/>
              </w:rPr>
              <w:t>COVID-</w:t>
            </w:r>
            <w:r>
              <w:rPr>
                <w:rFonts w:ascii="Times New Roman"/>
                <w:spacing w:val="-5"/>
                <w:sz w:val="21"/>
              </w:rPr>
              <w:t>19</w:t>
            </w:r>
          </w:p>
        </w:tc>
        <w:tc>
          <w:tcPr>
            <w:tcW w:w="6366" w:type="dxa"/>
          </w:tcPr>
          <w:p>
            <w:pPr>
              <w:pStyle w:val="TableParagraph"/>
              <w:spacing w:before="38"/>
              <w:ind w:left="108"/>
              <w:rPr>
                <w:sz w:val="21"/>
              </w:rPr>
            </w:pPr>
            <w:r>
              <w:rPr>
                <w:rFonts w:ascii="Times New Roman" w:eastAsia="Times New Roman"/>
                <w:sz w:val="21"/>
              </w:rPr>
              <w:t>2019</w:t>
            </w:r>
            <w:r>
              <w:rPr>
                <w:rFonts w:ascii="Times New Roman" w:eastAsia="Times New Roman"/>
                <w:spacing w:val="-12"/>
                <w:sz w:val="21"/>
              </w:rPr>
              <w:t> </w:t>
            </w:r>
            <w:r>
              <w:rPr>
                <w:spacing w:val="-2"/>
                <w:sz w:val="21"/>
              </w:rPr>
              <w:t>冠状病毒疾病</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CSP</w:t>
            </w:r>
          </w:p>
        </w:tc>
        <w:tc>
          <w:tcPr>
            <w:tcW w:w="6366" w:type="dxa"/>
          </w:tcPr>
          <w:p>
            <w:pPr>
              <w:pStyle w:val="TableParagraph"/>
              <w:spacing w:before="39"/>
              <w:ind w:left="108"/>
              <w:rPr>
                <w:sz w:val="21"/>
              </w:rPr>
            </w:pPr>
            <w:r>
              <w:rPr>
                <w:spacing w:val="-2"/>
                <w:sz w:val="21"/>
              </w:rPr>
              <w:t>临床研究方案</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CSR</w:t>
            </w:r>
          </w:p>
        </w:tc>
        <w:tc>
          <w:tcPr>
            <w:tcW w:w="6366" w:type="dxa"/>
          </w:tcPr>
          <w:p>
            <w:pPr>
              <w:pStyle w:val="TableParagraph"/>
              <w:spacing w:before="38"/>
              <w:ind w:left="108"/>
              <w:rPr>
                <w:sz w:val="21"/>
              </w:rPr>
            </w:pPr>
            <w:r>
              <w:rPr>
                <w:spacing w:val="-2"/>
                <w:sz w:val="21"/>
              </w:rPr>
              <w:t>临床研究报告</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CT</w:t>
            </w:r>
          </w:p>
        </w:tc>
        <w:tc>
          <w:tcPr>
            <w:tcW w:w="6366" w:type="dxa"/>
          </w:tcPr>
          <w:p>
            <w:pPr>
              <w:pStyle w:val="TableParagraph"/>
              <w:spacing w:before="38"/>
              <w:ind w:left="108"/>
              <w:rPr>
                <w:sz w:val="21"/>
              </w:rPr>
            </w:pPr>
            <w:r>
              <w:rPr>
                <w:spacing w:val="-2"/>
                <w:sz w:val="21"/>
              </w:rPr>
              <w:t>计算机断层扫描</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CTR</w:t>
            </w:r>
          </w:p>
        </w:tc>
        <w:tc>
          <w:tcPr>
            <w:tcW w:w="6366" w:type="dxa"/>
          </w:tcPr>
          <w:p>
            <w:pPr>
              <w:pStyle w:val="TableParagraph"/>
              <w:spacing w:before="38"/>
              <w:ind w:left="108"/>
              <w:rPr>
                <w:sz w:val="21"/>
              </w:rPr>
            </w:pPr>
            <w:r>
              <w:rPr>
                <w:spacing w:val="-2"/>
                <w:sz w:val="21"/>
              </w:rPr>
              <w:t>临床试验法规</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CTIS</w:t>
            </w:r>
          </w:p>
        </w:tc>
        <w:tc>
          <w:tcPr>
            <w:tcW w:w="6366" w:type="dxa"/>
          </w:tcPr>
          <w:p>
            <w:pPr>
              <w:pStyle w:val="TableParagraph"/>
              <w:spacing w:before="38"/>
              <w:ind w:left="108"/>
              <w:rPr>
                <w:sz w:val="21"/>
              </w:rPr>
            </w:pPr>
            <w:r>
              <w:rPr>
                <w:spacing w:val="-2"/>
                <w:sz w:val="21"/>
              </w:rPr>
              <w:t>临床试验信息系统</w:t>
            </w:r>
          </w:p>
        </w:tc>
      </w:tr>
      <w:tr>
        <w:trPr>
          <w:trHeight w:val="392" w:hRule="atLeast"/>
        </w:trPr>
        <w:tc>
          <w:tcPr>
            <w:tcW w:w="2394" w:type="dxa"/>
          </w:tcPr>
          <w:p>
            <w:pPr>
              <w:pStyle w:val="TableParagraph"/>
              <w:spacing w:before="57"/>
              <w:ind w:left="106"/>
              <w:rPr>
                <w:rFonts w:ascii="Times New Roman"/>
                <w:sz w:val="21"/>
              </w:rPr>
            </w:pPr>
            <w:r>
              <w:rPr>
                <w:rFonts w:ascii="Times New Roman"/>
                <w:spacing w:val="-4"/>
                <w:sz w:val="21"/>
              </w:rPr>
              <w:t>DILI</w:t>
            </w:r>
          </w:p>
        </w:tc>
        <w:tc>
          <w:tcPr>
            <w:tcW w:w="6366" w:type="dxa"/>
          </w:tcPr>
          <w:p>
            <w:pPr>
              <w:pStyle w:val="TableParagraph"/>
              <w:spacing w:before="38"/>
              <w:ind w:left="108"/>
              <w:rPr>
                <w:sz w:val="21"/>
              </w:rPr>
            </w:pPr>
            <w:r>
              <w:rPr>
                <w:spacing w:val="-2"/>
                <w:sz w:val="21"/>
              </w:rPr>
              <w:t>药物诱导的肝损伤</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ECG</w:t>
            </w:r>
          </w:p>
        </w:tc>
        <w:tc>
          <w:tcPr>
            <w:tcW w:w="6366" w:type="dxa"/>
          </w:tcPr>
          <w:p>
            <w:pPr>
              <w:pStyle w:val="TableParagraph"/>
              <w:spacing w:before="39"/>
              <w:ind w:left="108"/>
              <w:rPr>
                <w:sz w:val="21"/>
              </w:rPr>
            </w:pPr>
            <w:r>
              <w:rPr>
                <w:spacing w:val="-4"/>
                <w:sz w:val="21"/>
              </w:rPr>
              <w:t>心电图</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eCRF</w:t>
            </w:r>
          </w:p>
        </w:tc>
        <w:tc>
          <w:tcPr>
            <w:tcW w:w="6366" w:type="dxa"/>
          </w:tcPr>
          <w:p>
            <w:pPr>
              <w:pStyle w:val="TableParagraph"/>
              <w:spacing w:before="38"/>
              <w:ind w:left="108"/>
              <w:rPr>
                <w:sz w:val="21"/>
              </w:rPr>
            </w:pPr>
            <w:r>
              <w:rPr>
                <w:spacing w:val="-2"/>
                <w:sz w:val="21"/>
              </w:rPr>
              <w:t>电子病例报告表</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ED</w:t>
            </w:r>
          </w:p>
        </w:tc>
        <w:tc>
          <w:tcPr>
            <w:tcW w:w="6366" w:type="dxa"/>
          </w:tcPr>
          <w:p>
            <w:pPr>
              <w:pStyle w:val="TableParagraph"/>
              <w:spacing w:before="38"/>
              <w:ind w:left="108"/>
              <w:rPr>
                <w:sz w:val="21"/>
              </w:rPr>
            </w:pPr>
            <w:r>
              <w:rPr>
                <w:spacing w:val="-4"/>
                <w:sz w:val="21"/>
              </w:rPr>
              <w:t>急诊科</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E/D</w:t>
            </w:r>
          </w:p>
        </w:tc>
        <w:tc>
          <w:tcPr>
            <w:tcW w:w="6366" w:type="dxa"/>
          </w:tcPr>
          <w:p>
            <w:pPr>
              <w:pStyle w:val="TableParagraph"/>
              <w:spacing w:before="38"/>
              <w:ind w:left="108"/>
              <w:rPr>
                <w:sz w:val="21"/>
              </w:rPr>
            </w:pPr>
            <w:r>
              <w:rPr>
                <w:spacing w:val="-3"/>
                <w:sz w:val="21"/>
              </w:rPr>
              <w:t>提前终止</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EDC</w:t>
            </w:r>
          </w:p>
        </w:tc>
        <w:tc>
          <w:tcPr>
            <w:tcW w:w="6366" w:type="dxa"/>
          </w:tcPr>
          <w:p>
            <w:pPr>
              <w:pStyle w:val="TableParagraph"/>
              <w:spacing w:before="38"/>
              <w:ind w:left="108"/>
              <w:rPr>
                <w:sz w:val="21"/>
              </w:rPr>
            </w:pPr>
            <w:r>
              <w:rPr>
                <w:spacing w:val="-2"/>
                <w:sz w:val="21"/>
              </w:rPr>
              <w:t>电子数据采集</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ER</w:t>
            </w:r>
          </w:p>
        </w:tc>
        <w:tc>
          <w:tcPr>
            <w:tcW w:w="6366" w:type="dxa"/>
          </w:tcPr>
          <w:p>
            <w:pPr>
              <w:pStyle w:val="TableParagraph"/>
              <w:spacing w:before="38"/>
              <w:ind w:left="108"/>
              <w:rPr>
                <w:sz w:val="21"/>
              </w:rPr>
            </w:pPr>
            <w:r>
              <w:rPr>
                <w:spacing w:val="-4"/>
                <w:sz w:val="21"/>
              </w:rPr>
              <w:t>急诊室</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EU</w:t>
            </w:r>
          </w:p>
        </w:tc>
        <w:tc>
          <w:tcPr>
            <w:tcW w:w="6366" w:type="dxa"/>
          </w:tcPr>
          <w:p>
            <w:pPr>
              <w:pStyle w:val="TableParagraph"/>
              <w:spacing w:before="39"/>
              <w:ind w:left="108"/>
              <w:rPr>
                <w:sz w:val="21"/>
              </w:rPr>
            </w:pPr>
            <w:r>
              <w:rPr>
                <w:spacing w:val="-5"/>
                <w:sz w:val="21"/>
              </w:rPr>
              <w:t>欧盟</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FAS</w:t>
            </w:r>
          </w:p>
        </w:tc>
        <w:tc>
          <w:tcPr>
            <w:tcW w:w="6366" w:type="dxa"/>
          </w:tcPr>
          <w:p>
            <w:pPr>
              <w:pStyle w:val="TableParagraph"/>
              <w:spacing w:before="38"/>
              <w:ind w:left="108"/>
              <w:rPr>
                <w:sz w:val="21"/>
              </w:rPr>
            </w:pPr>
            <w:r>
              <w:rPr>
                <w:spacing w:val="-3"/>
                <w:sz w:val="21"/>
              </w:rPr>
              <w:t>全分析集</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FEV</w:t>
            </w:r>
            <w:r>
              <w:rPr>
                <w:rFonts w:ascii="Times New Roman"/>
                <w:spacing w:val="-4"/>
                <w:sz w:val="21"/>
                <w:vertAlign w:val="subscript"/>
              </w:rPr>
              <w:t>1</w:t>
            </w:r>
          </w:p>
        </w:tc>
        <w:tc>
          <w:tcPr>
            <w:tcW w:w="6366" w:type="dxa"/>
          </w:tcPr>
          <w:p>
            <w:pPr>
              <w:pStyle w:val="TableParagraph"/>
              <w:spacing w:before="38"/>
              <w:ind w:left="108"/>
              <w:rPr>
                <w:sz w:val="21"/>
              </w:rPr>
            </w:pPr>
            <w:r>
              <w:rPr>
                <w:spacing w:val="-27"/>
                <w:sz w:val="21"/>
              </w:rPr>
              <w:t>第 </w:t>
            </w:r>
            <w:r>
              <w:rPr>
                <w:rFonts w:ascii="Times New Roman" w:eastAsia="Times New Roman"/>
                <w:sz w:val="21"/>
              </w:rPr>
              <w:t>1</w:t>
            </w:r>
            <w:r>
              <w:rPr>
                <w:rFonts w:ascii="Times New Roman" w:eastAsia="Times New Roman"/>
                <w:spacing w:val="-12"/>
                <w:sz w:val="21"/>
              </w:rPr>
              <w:t> </w:t>
            </w:r>
            <w:r>
              <w:rPr>
                <w:spacing w:val="-2"/>
                <w:sz w:val="21"/>
              </w:rPr>
              <w:t>秒用力呼气容积</w:t>
            </w:r>
          </w:p>
        </w:tc>
      </w:tr>
      <w:tr>
        <w:trPr>
          <w:trHeight w:val="393" w:hRule="atLeast"/>
        </w:trPr>
        <w:tc>
          <w:tcPr>
            <w:tcW w:w="2394" w:type="dxa"/>
          </w:tcPr>
          <w:p>
            <w:pPr>
              <w:pStyle w:val="TableParagraph"/>
              <w:spacing w:before="57"/>
              <w:ind w:left="106"/>
              <w:rPr>
                <w:rFonts w:ascii="Times New Roman"/>
                <w:sz w:val="21"/>
              </w:rPr>
            </w:pPr>
            <w:r>
              <w:rPr>
                <w:rFonts w:ascii="Times New Roman"/>
                <w:spacing w:val="-2"/>
                <w:sz w:val="21"/>
              </w:rPr>
              <w:t>FOCBP</w:t>
            </w:r>
          </w:p>
        </w:tc>
        <w:tc>
          <w:tcPr>
            <w:tcW w:w="6366" w:type="dxa"/>
          </w:tcPr>
          <w:p>
            <w:pPr>
              <w:pStyle w:val="TableParagraph"/>
              <w:spacing w:before="38"/>
              <w:ind w:left="108"/>
              <w:rPr>
                <w:sz w:val="21"/>
              </w:rPr>
            </w:pPr>
            <w:r>
              <w:rPr>
                <w:spacing w:val="-2"/>
                <w:sz w:val="21"/>
              </w:rPr>
              <w:t>有生育能力的女性</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FSH</w:t>
            </w:r>
          </w:p>
        </w:tc>
        <w:tc>
          <w:tcPr>
            <w:tcW w:w="6366" w:type="dxa"/>
          </w:tcPr>
          <w:p>
            <w:pPr>
              <w:pStyle w:val="TableParagraph"/>
              <w:spacing w:before="38"/>
              <w:ind w:left="108"/>
              <w:rPr>
                <w:sz w:val="21"/>
              </w:rPr>
            </w:pPr>
            <w:r>
              <w:rPr>
                <w:spacing w:val="-2"/>
                <w:sz w:val="21"/>
              </w:rPr>
              <w:t>卵泡刺激素</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FVC</w:t>
            </w:r>
          </w:p>
        </w:tc>
        <w:tc>
          <w:tcPr>
            <w:tcW w:w="6366" w:type="dxa"/>
          </w:tcPr>
          <w:p>
            <w:pPr>
              <w:pStyle w:val="TableParagraph"/>
              <w:spacing w:before="38"/>
              <w:ind w:left="108"/>
              <w:rPr>
                <w:sz w:val="21"/>
              </w:rPr>
            </w:pPr>
            <w:r>
              <w:rPr>
                <w:spacing w:val="-2"/>
                <w:sz w:val="21"/>
              </w:rPr>
              <w:t>用力肺活量</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GCP</w:t>
            </w:r>
          </w:p>
        </w:tc>
        <w:tc>
          <w:tcPr>
            <w:tcW w:w="6366" w:type="dxa"/>
          </w:tcPr>
          <w:p>
            <w:pPr>
              <w:pStyle w:val="TableParagraph"/>
              <w:spacing w:before="39"/>
              <w:ind w:left="108"/>
              <w:rPr>
                <w:sz w:val="21"/>
              </w:rPr>
            </w:pPr>
            <w:r>
              <w:rPr>
                <w:spacing w:val="-1"/>
                <w:sz w:val="21"/>
              </w:rPr>
              <w:t>药物临床试验质量管理规范</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4"/>
        <w:gridCol w:w="6366"/>
      </w:tblGrid>
      <w:tr>
        <w:trPr>
          <w:trHeight w:val="352" w:hRule="atLeast"/>
        </w:trPr>
        <w:tc>
          <w:tcPr>
            <w:tcW w:w="2394" w:type="dxa"/>
          </w:tcPr>
          <w:p>
            <w:pPr>
              <w:pStyle w:val="TableParagraph"/>
              <w:spacing w:before="38"/>
              <w:ind w:left="352"/>
              <w:rPr>
                <w:b/>
                <w:sz w:val="21"/>
              </w:rPr>
            </w:pPr>
            <w:r>
              <w:rPr>
                <w:b/>
                <w:spacing w:val="-4"/>
                <w:sz w:val="21"/>
              </w:rPr>
              <w:t>缩略语或专业术语</w:t>
            </w:r>
          </w:p>
        </w:tc>
        <w:tc>
          <w:tcPr>
            <w:tcW w:w="6366" w:type="dxa"/>
          </w:tcPr>
          <w:p>
            <w:pPr>
              <w:pStyle w:val="TableParagraph"/>
              <w:spacing w:before="38"/>
              <w:ind w:left="4"/>
              <w:jc w:val="center"/>
              <w:rPr>
                <w:b/>
                <w:sz w:val="21"/>
              </w:rPr>
            </w:pPr>
            <w:r>
              <w:rPr>
                <w:b/>
                <w:spacing w:val="-6"/>
                <w:sz w:val="21"/>
              </w:rPr>
              <w:t>解释</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GRAD</w:t>
            </w:r>
          </w:p>
        </w:tc>
        <w:tc>
          <w:tcPr>
            <w:tcW w:w="6366" w:type="dxa"/>
          </w:tcPr>
          <w:p>
            <w:pPr>
              <w:pStyle w:val="TableParagraph"/>
              <w:spacing w:before="38"/>
              <w:ind w:left="108"/>
              <w:rPr>
                <w:sz w:val="21"/>
              </w:rPr>
            </w:pPr>
            <w:r>
              <w:rPr>
                <w:spacing w:val="-2"/>
                <w:sz w:val="21"/>
              </w:rPr>
              <w:t>全球保留和处置</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HBc</w:t>
            </w:r>
          </w:p>
        </w:tc>
        <w:tc>
          <w:tcPr>
            <w:tcW w:w="6366" w:type="dxa"/>
          </w:tcPr>
          <w:p>
            <w:pPr>
              <w:pStyle w:val="TableParagraph"/>
              <w:spacing w:before="38"/>
              <w:ind w:left="108"/>
              <w:rPr>
                <w:sz w:val="21"/>
              </w:rPr>
            </w:pPr>
            <w:r>
              <w:rPr>
                <w:spacing w:val="-2"/>
                <w:sz w:val="21"/>
              </w:rPr>
              <w:t>乙型肝炎核心</w:t>
            </w:r>
          </w:p>
        </w:tc>
      </w:tr>
      <w:tr>
        <w:trPr>
          <w:trHeight w:val="393" w:hRule="atLeast"/>
        </w:trPr>
        <w:tc>
          <w:tcPr>
            <w:tcW w:w="2394" w:type="dxa"/>
          </w:tcPr>
          <w:p>
            <w:pPr>
              <w:pStyle w:val="TableParagraph"/>
              <w:spacing w:before="57"/>
              <w:ind w:left="106"/>
              <w:rPr>
                <w:rFonts w:ascii="Times New Roman"/>
                <w:sz w:val="21"/>
              </w:rPr>
            </w:pPr>
            <w:r>
              <w:rPr>
                <w:rFonts w:ascii="Times New Roman"/>
                <w:spacing w:val="-2"/>
                <w:sz w:val="21"/>
              </w:rPr>
              <w:t>HBsAg</w:t>
            </w:r>
          </w:p>
        </w:tc>
        <w:tc>
          <w:tcPr>
            <w:tcW w:w="6366" w:type="dxa"/>
          </w:tcPr>
          <w:p>
            <w:pPr>
              <w:pStyle w:val="TableParagraph"/>
              <w:spacing w:before="39"/>
              <w:ind w:left="108"/>
              <w:rPr>
                <w:sz w:val="21"/>
              </w:rPr>
            </w:pPr>
            <w:r>
              <w:rPr>
                <w:spacing w:val="-2"/>
                <w:sz w:val="21"/>
              </w:rPr>
              <w:t>乙型肝炎表面抗原</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HCG</w:t>
            </w:r>
          </w:p>
        </w:tc>
        <w:tc>
          <w:tcPr>
            <w:tcW w:w="6366" w:type="dxa"/>
          </w:tcPr>
          <w:p>
            <w:pPr>
              <w:pStyle w:val="TableParagraph"/>
              <w:spacing w:before="38"/>
              <w:ind w:left="108"/>
              <w:rPr>
                <w:sz w:val="21"/>
              </w:rPr>
            </w:pPr>
            <w:r>
              <w:rPr>
                <w:spacing w:val="-2"/>
                <w:sz w:val="21"/>
              </w:rPr>
              <w:t>人绒毛膜促性腺激素</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HCP</w:t>
            </w:r>
          </w:p>
        </w:tc>
        <w:tc>
          <w:tcPr>
            <w:tcW w:w="6366" w:type="dxa"/>
          </w:tcPr>
          <w:p>
            <w:pPr>
              <w:pStyle w:val="TableParagraph"/>
              <w:spacing w:before="38"/>
              <w:ind w:left="108"/>
              <w:rPr>
                <w:sz w:val="21"/>
              </w:rPr>
            </w:pPr>
            <w:r>
              <w:rPr>
                <w:spacing w:val="-2"/>
                <w:sz w:val="21"/>
              </w:rPr>
              <w:t>专业医疗保健人员</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HIV</w:t>
            </w:r>
          </w:p>
        </w:tc>
        <w:tc>
          <w:tcPr>
            <w:tcW w:w="6366" w:type="dxa"/>
          </w:tcPr>
          <w:p>
            <w:pPr>
              <w:pStyle w:val="TableParagraph"/>
              <w:spacing w:before="38"/>
              <w:ind w:left="108"/>
              <w:rPr>
                <w:sz w:val="21"/>
              </w:rPr>
            </w:pPr>
            <w:r>
              <w:rPr>
                <w:spacing w:val="-2"/>
                <w:sz w:val="21"/>
              </w:rPr>
              <w:t>人类免疫缺陷病毒</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HRU</w:t>
            </w:r>
          </w:p>
        </w:tc>
        <w:tc>
          <w:tcPr>
            <w:tcW w:w="6366" w:type="dxa"/>
          </w:tcPr>
          <w:p>
            <w:pPr>
              <w:pStyle w:val="TableParagraph"/>
              <w:spacing w:before="38"/>
              <w:ind w:left="108"/>
              <w:rPr>
                <w:sz w:val="21"/>
              </w:rPr>
            </w:pPr>
            <w:r>
              <w:rPr>
                <w:spacing w:val="-2"/>
                <w:sz w:val="21"/>
              </w:rPr>
              <w:t>医疗保健资源使用</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IB</w:t>
            </w:r>
          </w:p>
        </w:tc>
        <w:tc>
          <w:tcPr>
            <w:tcW w:w="6366" w:type="dxa"/>
          </w:tcPr>
          <w:p>
            <w:pPr>
              <w:pStyle w:val="TableParagraph"/>
              <w:spacing w:before="38"/>
              <w:ind w:left="108"/>
              <w:rPr>
                <w:sz w:val="21"/>
              </w:rPr>
            </w:pPr>
            <w:r>
              <w:rPr>
                <w:spacing w:val="-2"/>
                <w:sz w:val="21"/>
              </w:rPr>
              <w:t>研究者手册</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ICF</w:t>
            </w:r>
          </w:p>
        </w:tc>
        <w:tc>
          <w:tcPr>
            <w:tcW w:w="6366" w:type="dxa"/>
          </w:tcPr>
          <w:p>
            <w:pPr>
              <w:pStyle w:val="TableParagraph"/>
              <w:spacing w:before="39"/>
              <w:ind w:left="108"/>
              <w:rPr>
                <w:sz w:val="21"/>
              </w:rPr>
            </w:pPr>
            <w:r>
              <w:rPr>
                <w:spacing w:val="-2"/>
                <w:sz w:val="21"/>
              </w:rPr>
              <w:t>知情同意书</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ICH</w:t>
            </w:r>
          </w:p>
        </w:tc>
        <w:tc>
          <w:tcPr>
            <w:tcW w:w="6366" w:type="dxa"/>
          </w:tcPr>
          <w:p>
            <w:pPr>
              <w:pStyle w:val="TableParagraph"/>
              <w:spacing w:before="38"/>
              <w:ind w:left="108"/>
              <w:rPr>
                <w:sz w:val="21"/>
              </w:rPr>
            </w:pPr>
            <w:r>
              <w:rPr>
                <w:spacing w:val="-1"/>
                <w:sz w:val="21"/>
              </w:rPr>
              <w:t>人用药品注册技术要求国际协调会</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ICS</w:t>
            </w:r>
          </w:p>
        </w:tc>
        <w:tc>
          <w:tcPr>
            <w:tcW w:w="6366" w:type="dxa"/>
          </w:tcPr>
          <w:p>
            <w:pPr>
              <w:pStyle w:val="TableParagraph"/>
              <w:spacing w:before="38"/>
              <w:ind w:left="108"/>
              <w:rPr>
                <w:sz w:val="21"/>
              </w:rPr>
            </w:pPr>
            <w:r>
              <w:rPr>
                <w:spacing w:val="-2"/>
                <w:sz w:val="21"/>
              </w:rPr>
              <w:t>吸入性皮质类固醇</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IDMC</w:t>
            </w:r>
          </w:p>
        </w:tc>
        <w:tc>
          <w:tcPr>
            <w:tcW w:w="6366" w:type="dxa"/>
          </w:tcPr>
          <w:p>
            <w:pPr>
              <w:pStyle w:val="TableParagraph"/>
              <w:spacing w:before="38"/>
              <w:ind w:left="108"/>
              <w:rPr>
                <w:sz w:val="21"/>
              </w:rPr>
            </w:pPr>
            <w:r>
              <w:rPr>
                <w:spacing w:val="-2"/>
                <w:sz w:val="21"/>
              </w:rPr>
              <w:t>独立数据监查委员会</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IEC</w:t>
            </w:r>
          </w:p>
        </w:tc>
        <w:tc>
          <w:tcPr>
            <w:tcW w:w="6366" w:type="dxa"/>
          </w:tcPr>
          <w:p>
            <w:pPr>
              <w:pStyle w:val="TableParagraph"/>
              <w:spacing w:before="38"/>
              <w:ind w:left="108"/>
              <w:rPr>
                <w:sz w:val="21"/>
              </w:rPr>
            </w:pPr>
            <w:r>
              <w:rPr>
                <w:spacing w:val="-2"/>
                <w:sz w:val="21"/>
              </w:rPr>
              <w:t>独立伦理委员会</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IL</w:t>
            </w:r>
          </w:p>
        </w:tc>
        <w:tc>
          <w:tcPr>
            <w:tcW w:w="6366" w:type="dxa"/>
          </w:tcPr>
          <w:p>
            <w:pPr>
              <w:pStyle w:val="TableParagraph"/>
              <w:spacing w:before="38"/>
              <w:ind w:left="108"/>
              <w:rPr>
                <w:sz w:val="21"/>
              </w:rPr>
            </w:pPr>
            <w:r>
              <w:rPr>
                <w:spacing w:val="-2"/>
                <w:sz w:val="21"/>
              </w:rPr>
              <w:t>白细胞介素</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IM</w:t>
            </w:r>
          </w:p>
        </w:tc>
        <w:tc>
          <w:tcPr>
            <w:tcW w:w="6366" w:type="dxa"/>
          </w:tcPr>
          <w:p>
            <w:pPr>
              <w:pStyle w:val="TableParagraph"/>
              <w:spacing w:before="39"/>
              <w:ind w:left="108"/>
              <w:rPr>
                <w:sz w:val="21"/>
              </w:rPr>
            </w:pPr>
            <w:r>
              <w:rPr>
                <w:spacing w:val="-3"/>
                <w:sz w:val="21"/>
              </w:rPr>
              <w:t>肌内给药</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IMP</w:t>
            </w:r>
          </w:p>
        </w:tc>
        <w:tc>
          <w:tcPr>
            <w:tcW w:w="6366" w:type="dxa"/>
          </w:tcPr>
          <w:p>
            <w:pPr>
              <w:pStyle w:val="TableParagraph"/>
              <w:spacing w:before="38"/>
              <w:ind w:left="108"/>
              <w:rPr>
                <w:sz w:val="21"/>
              </w:rPr>
            </w:pPr>
            <w:r>
              <w:rPr>
                <w:spacing w:val="-3"/>
                <w:sz w:val="21"/>
              </w:rPr>
              <w:t>研究药物</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IP</w:t>
            </w:r>
          </w:p>
        </w:tc>
        <w:tc>
          <w:tcPr>
            <w:tcW w:w="6366" w:type="dxa"/>
          </w:tcPr>
          <w:p>
            <w:pPr>
              <w:pStyle w:val="TableParagraph"/>
              <w:spacing w:before="38"/>
              <w:ind w:left="108"/>
              <w:rPr>
                <w:sz w:val="21"/>
              </w:rPr>
            </w:pPr>
            <w:r>
              <w:rPr>
                <w:spacing w:val="-3"/>
                <w:sz w:val="21"/>
              </w:rPr>
              <w:t>研究药物</w:t>
            </w:r>
          </w:p>
        </w:tc>
      </w:tr>
      <w:tr>
        <w:trPr>
          <w:trHeight w:val="393" w:hRule="atLeast"/>
        </w:trPr>
        <w:tc>
          <w:tcPr>
            <w:tcW w:w="2394" w:type="dxa"/>
          </w:tcPr>
          <w:p>
            <w:pPr>
              <w:pStyle w:val="TableParagraph"/>
              <w:spacing w:before="57"/>
              <w:ind w:left="106"/>
              <w:rPr>
                <w:rFonts w:ascii="Times New Roman"/>
                <w:sz w:val="21"/>
              </w:rPr>
            </w:pPr>
            <w:r>
              <w:rPr>
                <w:rFonts w:ascii="Times New Roman"/>
                <w:spacing w:val="-2"/>
                <w:sz w:val="21"/>
              </w:rPr>
              <w:t>IQRMP</w:t>
            </w:r>
          </w:p>
        </w:tc>
        <w:tc>
          <w:tcPr>
            <w:tcW w:w="6366" w:type="dxa"/>
          </w:tcPr>
          <w:p>
            <w:pPr>
              <w:pStyle w:val="TableParagraph"/>
              <w:spacing w:before="38"/>
              <w:ind w:left="108"/>
              <w:rPr>
                <w:sz w:val="21"/>
              </w:rPr>
            </w:pPr>
            <w:r>
              <w:rPr>
                <w:spacing w:val="-1"/>
                <w:sz w:val="21"/>
              </w:rPr>
              <w:t>综合质量与风险管理计划</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IRB</w:t>
            </w:r>
          </w:p>
        </w:tc>
        <w:tc>
          <w:tcPr>
            <w:tcW w:w="6366" w:type="dxa"/>
          </w:tcPr>
          <w:p>
            <w:pPr>
              <w:pStyle w:val="TableParagraph"/>
              <w:spacing w:before="38"/>
              <w:ind w:left="108"/>
              <w:rPr>
                <w:sz w:val="21"/>
              </w:rPr>
            </w:pPr>
            <w:r>
              <w:rPr>
                <w:spacing w:val="-2"/>
                <w:sz w:val="21"/>
              </w:rPr>
              <w:t>机构审查委员会</w:t>
            </w:r>
          </w:p>
        </w:tc>
      </w:tr>
      <w:tr>
        <w:trPr>
          <w:trHeight w:val="392" w:hRule="atLeast"/>
        </w:trPr>
        <w:tc>
          <w:tcPr>
            <w:tcW w:w="2394" w:type="dxa"/>
          </w:tcPr>
          <w:p>
            <w:pPr>
              <w:pStyle w:val="TableParagraph"/>
              <w:spacing w:before="56"/>
              <w:ind w:left="106"/>
              <w:rPr>
                <w:rFonts w:ascii="Times New Roman"/>
                <w:sz w:val="21"/>
              </w:rPr>
            </w:pPr>
            <w:r>
              <w:rPr>
                <w:rFonts w:ascii="Times New Roman"/>
                <w:spacing w:val="-5"/>
                <w:sz w:val="21"/>
              </w:rPr>
              <w:t>IRT</w:t>
            </w:r>
          </w:p>
        </w:tc>
        <w:tc>
          <w:tcPr>
            <w:tcW w:w="6366" w:type="dxa"/>
          </w:tcPr>
          <w:p>
            <w:pPr>
              <w:pStyle w:val="TableParagraph"/>
              <w:spacing w:before="38"/>
              <w:ind w:left="108"/>
              <w:rPr>
                <w:sz w:val="21"/>
              </w:rPr>
            </w:pPr>
            <w:r>
              <w:rPr>
                <w:spacing w:val="-2"/>
                <w:sz w:val="21"/>
              </w:rPr>
              <w:t>交互式应答技术</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LABA</w:t>
            </w:r>
          </w:p>
        </w:tc>
        <w:tc>
          <w:tcPr>
            <w:tcW w:w="6366" w:type="dxa"/>
          </w:tcPr>
          <w:p>
            <w:pPr>
              <w:pStyle w:val="TableParagraph"/>
              <w:spacing w:before="39"/>
              <w:ind w:left="108"/>
              <w:rPr>
                <w:sz w:val="21"/>
              </w:rPr>
            </w:pPr>
            <w:r>
              <w:rPr>
                <w:spacing w:val="-18"/>
                <w:sz w:val="21"/>
              </w:rPr>
              <w:t>长效 </w:t>
            </w:r>
            <w:r>
              <w:rPr>
                <w:rFonts w:ascii="Times New Roman" w:hAnsi="Times New Roman" w:eastAsia="Times New Roman"/>
                <w:sz w:val="21"/>
              </w:rPr>
              <w:t>β</w:t>
            </w:r>
            <w:r>
              <w:rPr>
                <w:rFonts w:ascii="Times New Roman" w:hAnsi="Times New Roman" w:eastAsia="Times New Roman"/>
                <w:spacing w:val="-11"/>
                <w:sz w:val="21"/>
              </w:rPr>
              <w:t> </w:t>
            </w:r>
            <w:r>
              <w:rPr>
                <w:spacing w:val="-2"/>
                <w:sz w:val="21"/>
              </w:rPr>
              <w:t>受体激动剂</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LAMA</w:t>
            </w:r>
          </w:p>
        </w:tc>
        <w:tc>
          <w:tcPr>
            <w:tcW w:w="6366" w:type="dxa"/>
          </w:tcPr>
          <w:p>
            <w:pPr>
              <w:pStyle w:val="TableParagraph"/>
              <w:spacing w:before="38"/>
              <w:ind w:left="108"/>
              <w:rPr>
                <w:sz w:val="21"/>
              </w:rPr>
            </w:pPr>
            <w:r>
              <w:rPr>
                <w:spacing w:val="-2"/>
                <w:sz w:val="21"/>
              </w:rPr>
              <w:t>长效毒蕈碱拮抗剂</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LTE</w:t>
            </w:r>
          </w:p>
        </w:tc>
        <w:tc>
          <w:tcPr>
            <w:tcW w:w="6366" w:type="dxa"/>
          </w:tcPr>
          <w:p>
            <w:pPr>
              <w:pStyle w:val="TableParagraph"/>
              <w:spacing w:before="38"/>
              <w:ind w:left="108"/>
              <w:rPr>
                <w:sz w:val="21"/>
              </w:rPr>
            </w:pPr>
            <w:r>
              <w:rPr>
                <w:spacing w:val="-3"/>
                <w:sz w:val="21"/>
              </w:rPr>
              <w:t>长期扩展</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LVEF</w:t>
            </w:r>
          </w:p>
        </w:tc>
        <w:tc>
          <w:tcPr>
            <w:tcW w:w="6366" w:type="dxa"/>
          </w:tcPr>
          <w:p>
            <w:pPr>
              <w:pStyle w:val="TableParagraph"/>
              <w:spacing w:before="38"/>
              <w:ind w:left="108"/>
              <w:rPr>
                <w:sz w:val="21"/>
              </w:rPr>
            </w:pPr>
            <w:r>
              <w:rPr>
                <w:spacing w:val="-2"/>
                <w:sz w:val="21"/>
              </w:rPr>
              <w:t>左心室射血分数</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mAb</w:t>
            </w:r>
          </w:p>
        </w:tc>
        <w:tc>
          <w:tcPr>
            <w:tcW w:w="6366" w:type="dxa"/>
          </w:tcPr>
          <w:p>
            <w:pPr>
              <w:pStyle w:val="TableParagraph"/>
              <w:spacing w:before="38"/>
              <w:ind w:left="108"/>
              <w:rPr>
                <w:sz w:val="21"/>
              </w:rPr>
            </w:pPr>
            <w:r>
              <w:rPr>
                <w:spacing w:val="-2"/>
                <w:sz w:val="21"/>
              </w:rPr>
              <w:t>单克隆抗体</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MACE</w:t>
            </w:r>
          </w:p>
        </w:tc>
        <w:tc>
          <w:tcPr>
            <w:tcW w:w="6366" w:type="dxa"/>
          </w:tcPr>
          <w:p>
            <w:pPr>
              <w:pStyle w:val="TableParagraph"/>
              <w:spacing w:before="39"/>
              <w:ind w:left="108"/>
              <w:rPr>
                <w:sz w:val="21"/>
              </w:rPr>
            </w:pPr>
            <w:r>
              <w:rPr>
                <w:spacing w:val="-2"/>
                <w:sz w:val="21"/>
              </w:rPr>
              <w:t>主要急性心血管事件</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NIMP</w:t>
            </w:r>
          </w:p>
        </w:tc>
        <w:tc>
          <w:tcPr>
            <w:tcW w:w="6366" w:type="dxa"/>
          </w:tcPr>
          <w:p>
            <w:pPr>
              <w:pStyle w:val="TableParagraph"/>
              <w:spacing w:before="38"/>
              <w:ind w:left="108"/>
              <w:rPr>
                <w:sz w:val="21"/>
              </w:rPr>
            </w:pPr>
            <w:r>
              <w:rPr>
                <w:spacing w:val="-2"/>
                <w:sz w:val="21"/>
              </w:rPr>
              <w:t>非研究药物</w:t>
            </w:r>
          </w:p>
        </w:tc>
      </w:tr>
      <w:tr>
        <w:trPr>
          <w:trHeight w:val="393" w:hRule="atLeast"/>
        </w:trPr>
        <w:tc>
          <w:tcPr>
            <w:tcW w:w="2394" w:type="dxa"/>
          </w:tcPr>
          <w:p>
            <w:pPr>
              <w:pStyle w:val="TableParagraph"/>
              <w:spacing w:before="57"/>
              <w:ind w:left="106"/>
              <w:rPr>
                <w:rFonts w:ascii="Times New Roman"/>
                <w:sz w:val="21"/>
              </w:rPr>
            </w:pPr>
            <w:r>
              <w:rPr>
                <w:rFonts w:ascii="Times New Roman"/>
                <w:spacing w:val="-2"/>
                <w:sz w:val="21"/>
              </w:rPr>
              <w:t>NT-proBNP</w:t>
            </w:r>
          </w:p>
        </w:tc>
        <w:tc>
          <w:tcPr>
            <w:tcW w:w="6366" w:type="dxa"/>
          </w:tcPr>
          <w:p>
            <w:pPr>
              <w:pStyle w:val="TableParagraph"/>
              <w:spacing w:before="38"/>
              <w:ind w:left="108"/>
              <w:rPr>
                <w:sz w:val="21"/>
              </w:rPr>
            </w:pPr>
            <w:r>
              <w:rPr>
                <w:rFonts w:ascii="Times New Roman" w:eastAsia="Times New Roman"/>
                <w:spacing w:val="-2"/>
                <w:sz w:val="21"/>
              </w:rPr>
              <w:t>N-</w:t>
            </w:r>
            <w:r>
              <w:rPr>
                <w:spacing w:val="-4"/>
                <w:sz w:val="21"/>
              </w:rPr>
              <w:t>末端脑钠肽前体</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NYHA</w:t>
            </w:r>
          </w:p>
        </w:tc>
        <w:tc>
          <w:tcPr>
            <w:tcW w:w="6366" w:type="dxa"/>
          </w:tcPr>
          <w:p>
            <w:pPr>
              <w:pStyle w:val="TableParagraph"/>
              <w:spacing w:before="38"/>
              <w:ind w:left="108"/>
              <w:rPr>
                <w:sz w:val="21"/>
              </w:rPr>
            </w:pPr>
            <w:r>
              <w:rPr>
                <w:spacing w:val="-2"/>
                <w:sz w:val="21"/>
              </w:rPr>
              <w:t>纽约心脏病学会</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PD</w:t>
            </w:r>
          </w:p>
        </w:tc>
        <w:tc>
          <w:tcPr>
            <w:tcW w:w="6366" w:type="dxa"/>
          </w:tcPr>
          <w:p>
            <w:pPr>
              <w:pStyle w:val="TableParagraph"/>
              <w:spacing w:before="38"/>
              <w:ind w:left="108"/>
              <w:rPr>
                <w:sz w:val="21"/>
              </w:rPr>
            </w:pPr>
            <w:r>
              <w:rPr>
                <w:spacing w:val="-4"/>
                <w:sz w:val="21"/>
              </w:rPr>
              <w:t>药效学</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PHL</w:t>
            </w:r>
          </w:p>
        </w:tc>
        <w:tc>
          <w:tcPr>
            <w:tcW w:w="6366" w:type="dxa"/>
          </w:tcPr>
          <w:p>
            <w:pPr>
              <w:pStyle w:val="TableParagraph"/>
              <w:spacing w:before="38"/>
              <w:ind w:left="108"/>
              <w:rPr>
                <w:sz w:val="21"/>
              </w:rPr>
            </w:pPr>
            <w:r>
              <w:rPr>
                <w:spacing w:val="-2"/>
                <w:sz w:val="21"/>
              </w:rPr>
              <w:t>潜在海氏法则</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PK</w:t>
            </w:r>
          </w:p>
        </w:tc>
        <w:tc>
          <w:tcPr>
            <w:tcW w:w="6366" w:type="dxa"/>
          </w:tcPr>
          <w:p>
            <w:pPr>
              <w:pStyle w:val="TableParagraph"/>
              <w:spacing w:before="39"/>
              <w:ind w:left="108"/>
              <w:rPr>
                <w:sz w:val="21"/>
              </w:rPr>
            </w:pPr>
            <w:r>
              <w:rPr>
                <w:spacing w:val="-2"/>
                <w:sz w:val="21"/>
              </w:rPr>
              <w:t>药代动力学</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Q2W</w:t>
            </w:r>
          </w:p>
        </w:tc>
        <w:tc>
          <w:tcPr>
            <w:tcW w:w="6366" w:type="dxa"/>
          </w:tcPr>
          <w:p>
            <w:pPr>
              <w:pStyle w:val="TableParagraph"/>
              <w:spacing w:before="38"/>
              <w:ind w:left="108"/>
              <w:rPr>
                <w:sz w:val="21"/>
              </w:rPr>
            </w:pPr>
            <w:r>
              <w:rPr>
                <w:spacing w:val="-27"/>
                <w:sz w:val="21"/>
              </w:rPr>
              <w:t>每 </w:t>
            </w:r>
            <w:r>
              <w:rPr>
                <w:rFonts w:ascii="Times New Roman" w:eastAsia="Times New Roman"/>
                <w:sz w:val="21"/>
              </w:rPr>
              <w:t>2</w:t>
            </w:r>
            <w:r>
              <w:rPr>
                <w:rFonts w:ascii="Times New Roman" w:eastAsia="Times New Roman"/>
                <w:spacing w:val="-10"/>
                <w:sz w:val="21"/>
              </w:rPr>
              <w:t> </w:t>
            </w:r>
            <w:r>
              <w:rPr>
                <w:spacing w:val="-4"/>
                <w:sz w:val="21"/>
              </w:rPr>
              <w:t>周一次</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Q4W</w:t>
            </w:r>
          </w:p>
        </w:tc>
        <w:tc>
          <w:tcPr>
            <w:tcW w:w="6366" w:type="dxa"/>
          </w:tcPr>
          <w:p>
            <w:pPr>
              <w:pStyle w:val="TableParagraph"/>
              <w:spacing w:before="38"/>
              <w:ind w:left="108"/>
              <w:rPr>
                <w:sz w:val="21"/>
              </w:rPr>
            </w:pPr>
            <w:r>
              <w:rPr>
                <w:spacing w:val="-27"/>
                <w:sz w:val="21"/>
              </w:rPr>
              <w:t>每 </w:t>
            </w:r>
            <w:r>
              <w:rPr>
                <w:rFonts w:ascii="Times New Roman" w:eastAsia="Times New Roman"/>
                <w:sz w:val="21"/>
              </w:rPr>
              <w:t>4</w:t>
            </w:r>
            <w:r>
              <w:rPr>
                <w:rFonts w:ascii="Times New Roman" w:eastAsia="Times New Roman"/>
                <w:spacing w:val="-10"/>
                <w:sz w:val="21"/>
              </w:rPr>
              <w:t> </w:t>
            </w:r>
            <w:r>
              <w:rPr>
                <w:spacing w:val="-4"/>
                <w:sz w:val="21"/>
              </w:rPr>
              <w:t>周一次</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94"/>
        <w:gridCol w:w="6366"/>
      </w:tblGrid>
      <w:tr>
        <w:trPr>
          <w:trHeight w:val="352" w:hRule="atLeast"/>
        </w:trPr>
        <w:tc>
          <w:tcPr>
            <w:tcW w:w="2394" w:type="dxa"/>
          </w:tcPr>
          <w:p>
            <w:pPr>
              <w:pStyle w:val="TableParagraph"/>
              <w:spacing w:before="38"/>
              <w:ind w:left="352"/>
              <w:rPr>
                <w:b/>
                <w:sz w:val="21"/>
              </w:rPr>
            </w:pPr>
            <w:r>
              <w:rPr>
                <w:b/>
                <w:spacing w:val="-4"/>
                <w:sz w:val="21"/>
              </w:rPr>
              <w:t>缩略语或专业术语</w:t>
            </w:r>
          </w:p>
        </w:tc>
        <w:tc>
          <w:tcPr>
            <w:tcW w:w="6366" w:type="dxa"/>
          </w:tcPr>
          <w:p>
            <w:pPr>
              <w:pStyle w:val="TableParagraph"/>
              <w:spacing w:before="38"/>
              <w:ind w:left="4"/>
              <w:jc w:val="center"/>
              <w:rPr>
                <w:b/>
                <w:sz w:val="21"/>
              </w:rPr>
            </w:pPr>
            <w:r>
              <w:rPr>
                <w:b/>
                <w:spacing w:val="-6"/>
                <w:sz w:val="21"/>
              </w:rPr>
              <w:t>解释</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Q8W</w:t>
            </w:r>
          </w:p>
        </w:tc>
        <w:tc>
          <w:tcPr>
            <w:tcW w:w="6366" w:type="dxa"/>
          </w:tcPr>
          <w:p>
            <w:pPr>
              <w:pStyle w:val="TableParagraph"/>
              <w:spacing w:before="38"/>
              <w:ind w:left="108"/>
              <w:rPr>
                <w:sz w:val="21"/>
              </w:rPr>
            </w:pPr>
            <w:r>
              <w:rPr>
                <w:spacing w:val="-27"/>
                <w:sz w:val="21"/>
              </w:rPr>
              <w:t>每 </w:t>
            </w:r>
            <w:r>
              <w:rPr>
                <w:rFonts w:ascii="Times New Roman" w:eastAsia="Times New Roman"/>
                <w:sz w:val="21"/>
              </w:rPr>
              <w:t>8</w:t>
            </w:r>
            <w:r>
              <w:rPr>
                <w:rFonts w:ascii="Times New Roman" w:eastAsia="Times New Roman"/>
                <w:spacing w:val="-10"/>
                <w:sz w:val="21"/>
              </w:rPr>
              <w:t> </w:t>
            </w:r>
            <w:r>
              <w:rPr>
                <w:spacing w:val="-4"/>
                <w:sz w:val="21"/>
              </w:rPr>
              <w:t>周一次</w:t>
            </w:r>
          </w:p>
        </w:tc>
      </w:tr>
      <w:tr>
        <w:trPr>
          <w:trHeight w:val="392" w:hRule="atLeast"/>
        </w:trPr>
        <w:tc>
          <w:tcPr>
            <w:tcW w:w="2394" w:type="dxa"/>
          </w:tcPr>
          <w:p>
            <w:pPr>
              <w:pStyle w:val="TableParagraph"/>
              <w:spacing w:before="57"/>
              <w:ind w:left="106"/>
              <w:rPr>
                <w:rFonts w:ascii="Times New Roman"/>
                <w:sz w:val="21"/>
              </w:rPr>
            </w:pPr>
            <w:r>
              <w:rPr>
                <w:rFonts w:ascii="Times New Roman"/>
                <w:spacing w:val="-4"/>
                <w:sz w:val="21"/>
              </w:rPr>
              <w:t>RTSM</w:t>
            </w:r>
          </w:p>
        </w:tc>
        <w:tc>
          <w:tcPr>
            <w:tcW w:w="6366" w:type="dxa"/>
          </w:tcPr>
          <w:p>
            <w:pPr>
              <w:pStyle w:val="TableParagraph"/>
              <w:spacing w:before="38"/>
              <w:ind w:left="108"/>
              <w:rPr>
                <w:sz w:val="21"/>
              </w:rPr>
            </w:pPr>
            <w:r>
              <w:rPr>
                <w:spacing w:val="-1"/>
                <w:sz w:val="21"/>
              </w:rPr>
              <w:t>随机化和试验供应管理系统</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SABA</w:t>
            </w:r>
          </w:p>
        </w:tc>
        <w:tc>
          <w:tcPr>
            <w:tcW w:w="6366" w:type="dxa"/>
          </w:tcPr>
          <w:p>
            <w:pPr>
              <w:pStyle w:val="TableParagraph"/>
              <w:spacing w:before="39"/>
              <w:ind w:left="108"/>
              <w:rPr>
                <w:sz w:val="21"/>
              </w:rPr>
            </w:pPr>
            <w:r>
              <w:rPr>
                <w:spacing w:val="-18"/>
                <w:sz w:val="21"/>
              </w:rPr>
              <w:t>短效 </w:t>
            </w:r>
            <w:r>
              <w:rPr>
                <w:rFonts w:ascii="Times New Roman" w:hAnsi="Times New Roman" w:eastAsia="Times New Roman"/>
                <w:sz w:val="21"/>
              </w:rPr>
              <w:t>β</w:t>
            </w:r>
            <w:r>
              <w:rPr>
                <w:rFonts w:ascii="Times New Roman" w:hAnsi="Times New Roman" w:eastAsia="Times New Roman"/>
                <w:spacing w:val="-11"/>
                <w:sz w:val="21"/>
              </w:rPr>
              <w:t> </w:t>
            </w:r>
            <w:r>
              <w:rPr>
                <w:spacing w:val="-2"/>
                <w:sz w:val="21"/>
              </w:rPr>
              <w:t>受体激动剂</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SAE</w:t>
            </w:r>
          </w:p>
        </w:tc>
        <w:tc>
          <w:tcPr>
            <w:tcW w:w="6366" w:type="dxa"/>
          </w:tcPr>
          <w:p>
            <w:pPr>
              <w:pStyle w:val="TableParagraph"/>
              <w:spacing w:before="38"/>
              <w:ind w:left="108"/>
              <w:rPr>
                <w:sz w:val="21"/>
              </w:rPr>
            </w:pPr>
            <w:r>
              <w:rPr>
                <w:spacing w:val="-2"/>
                <w:sz w:val="21"/>
              </w:rPr>
              <w:t>严重不良事件</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SAF</w:t>
            </w:r>
          </w:p>
        </w:tc>
        <w:tc>
          <w:tcPr>
            <w:tcW w:w="6366" w:type="dxa"/>
          </w:tcPr>
          <w:p>
            <w:pPr>
              <w:pStyle w:val="TableParagraph"/>
              <w:spacing w:before="38"/>
              <w:ind w:left="108"/>
              <w:rPr>
                <w:sz w:val="21"/>
              </w:rPr>
            </w:pPr>
            <w:r>
              <w:rPr>
                <w:spacing w:val="-2"/>
                <w:sz w:val="21"/>
              </w:rPr>
              <w:t>安全性分析集</w:t>
            </w:r>
          </w:p>
        </w:tc>
      </w:tr>
      <w:tr>
        <w:trPr>
          <w:trHeight w:val="393" w:hRule="atLeast"/>
        </w:trPr>
        <w:tc>
          <w:tcPr>
            <w:tcW w:w="2394" w:type="dxa"/>
          </w:tcPr>
          <w:p>
            <w:pPr>
              <w:pStyle w:val="TableParagraph"/>
              <w:spacing w:before="57"/>
              <w:ind w:left="106"/>
              <w:rPr>
                <w:rFonts w:ascii="Times New Roman"/>
                <w:sz w:val="21"/>
              </w:rPr>
            </w:pPr>
            <w:r>
              <w:rPr>
                <w:rFonts w:ascii="Times New Roman"/>
                <w:spacing w:val="-4"/>
                <w:sz w:val="21"/>
              </w:rPr>
              <w:t>SAMA</w:t>
            </w:r>
          </w:p>
        </w:tc>
        <w:tc>
          <w:tcPr>
            <w:tcW w:w="6366" w:type="dxa"/>
          </w:tcPr>
          <w:p>
            <w:pPr>
              <w:pStyle w:val="TableParagraph"/>
              <w:spacing w:before="38"/>
              <w:ind w:left="108"/>
              <w:rPr>
                <w:sz w:val="21"/>
              </w:rPr>
            </w:pPr>
            <w:r>
              <w:rPr>
                <w:spacing w:val="-2"/>
                <w:sz w:val="21"/>
              </w:rPr>
              <w:t>短效毒蕈碱拮抗剂</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SAP</w:t>
            </w:r>
          </w:p>
        </w:tc>
        <w:tc>
          <w:tcPr>
            <w:tcW w:w="6366" w:type="dxa"/>
          </w:tcPr>
          <w:p>
            <w:pPr>
              <w:pStyle w:val="TableParagraph"/>
              <w:spacing w:before="38"/>
              <w:ind w:left="108"/>
              <w:rPr>
                <w:sz w:val="21"/>
              </w:rPr>
            </w:pPr>
            <w:r>
              <w:rPr>
                <w:spacing w:val="-2"/>
                <w:sz w:val="21"/>
              </w:rPr>
              <w:t>统计分析计划</w:t>
            </w:r>
          </w:p>
        </w:tc>
      </w:tr>
      <w:tr>
        <w:trPr>
          <w:trHeight w:val="392" w:hRule="atLeast"/>
        </w:trPr>
        <w:tc>
          <w:tcPr>
            <w:tcW w:w="2394" w:type="dxa"/>
          </w:tcPr>
          <w:p>
            <w:pPr>
              <w:pStyle w:val="TableParagraph"/>
              <w:spacing w:before="57"/>
              <w:ind w:left="106"/>
              <w:rPr>
                <w:rFonts w:ascii="Times New Roman"/>
                <w:sz w:val="21"/>
              </w:rPr>
            </w:pPr>
            <w:r>
              <w:rPr>
                <w:rFonts w:ascii="Times New Roman"/>
                <w:spacing w:val="-2"/>
                <w:sz w:val="21"/>
              </w:rPr>
              <w:t>SARS-CoV-</w:t>
            </w:r>
            <w:r>
              <w:rPr>
                <w:rFonts w:ascii="Times New Roman"/>
                <w:spacing w:val="-10"/>
                <w:sz w:val="21"/>
              </w:rPr>
              <w:t>2</w:t>
            </w:r>
          </w:p>
        </w:tc>
        <w:tc>
          <w:tcPr>
            <w:tcW w:w="6366" w:type="dxa"/>
          </w:tcPr>
          <w:p>
            <w:pPr>
              <w:pStyle w:val="TableParagraph"/>
              <w:spacing w:before="38"/>
              <w:ind w:left="108"/>
              <w:rPr>
                <w:sz w:val="21"/>
              </w:rPr>
            </w:pPr>
            <w:r>
              <w:rPr>
                <w:spacing w:val="-4"/>
                <w:sz w:val="21"/>
              </w:rPr>
              <w:t>严重急性呼吸综合征冠状病毒 </w:t>
            </w:r>
            <w:r>
              <w:rPr>
                <w:rFonts w:ascii="Times New Roman" w:eastAsia="Times New Roman"/>
                <w:sz w:val="21"/>
              </w:rPr>
              <w:t>2</w:t>
            </w:r>
            <w:r>
              <w:rPr>
                <w:rFonts w:ascii="Times New Roman" w:eastAsia="Times New Roman"/>
                <w:spacing w:val="-10"/>
                <w:sz w:val="21"/>
              </w:rPr>
              <w:t> </w:t>
            </w:r>
            <w:r>
              <w:rPr>
                <w:spacing w:val="-10"/>
                <w:sz w:val="21"/>
              </w:rPr>
              <w:t>型</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SC</w:t>
            </w:r>
          </w:p>
        </w:tc>
        <w:tc>
          <w:tcPr>
            <w:tcW w:w="6366" w:type="dxa"/>
          </w:tcPr>
          <w:p>
            <w:pPr>
              <w:pStyle w:val="TableParagraph"/>
              <w:spacing w:before="39"/>
              <w:ind w:left="108"/>
              <w:rPr>
                <w:sz w:val="21"/>
              </w:rPr>
            </w:pPr>
            <w:r>
              <w:rPr>
                <w:spacing w:val="-5"/>
                <w:sz w:val="21"/>
              </w:rPr>
              <w:t>皮下</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SoA</w:t>
            </w:r>
          </w:p>
        </w:tc>
        <w:tc>
          <w:tcPr>
            <w:tcW w:w="6366" w:type="dxa"/>
          </w:tcPr>
          <w:p>
            <w:pPr>
              <w:pStyle w:val="TableParagraph"/>
              <w:spacing w:before="38"/>
              <w:ind w:left="108"/>
              <w:rPr>
                <w:sz w:val="21"/>
              </w:rPr>
            </w:pPr>
            <w:r>
              <w:rPr>
                <w:spacing w:val="-2"/>
                <w:sz w:val="21"/>
              </w:rPr>
              <w:t>研究活动时间表</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SoC</w:t>
            </w:r>
          </w:p>
        </w:tc>
        <w:tc>
          <w:tcPr>
            <w:tcW w:w="6366" w:type="dxa"/>
          </w:tcPr>
          <w:p>
            <w:pPr>
              <w:pStyle w:val="TableParagraph"/>
              <w:spacing w:before="38"/>
              <w:ind w:left="108"/>
              <w:rPr>
                <w:sz w:val="21"/>
              </w:rPr>
            </w:pPr>
            <w:r>
              <w:rPr>
                <w:spacing w:val="-3"/>
                <w:sz w:val="21"/>
              </w:rPr>
              <w:t>标准治疗</w:t>
            </w:r>
          </w:p>
        </w:tc>
      </w:tr>
      <w:tr>
        <w:trPr>
          <w:trHeight w:val="393" w:hRule="atLeast"/>
        </w:trPr>
        <w:tc>
          <w:tcPr>
            <w:tcW w:w="2394" w:type="dxa"/>
          </w:tcPr>
          <w:p>
            <w:pPr>
              <w:pStyle w:val="TableParagraph"/>
              <w:spacing w:before="57"/>
              <w:ind w:left="106"/>
              <w:rPr>
                <w:rFonts w:ascii="Times New Roman"/>
                <w:sz w:val="21"/>
              </w:rPr>
            </w:pPr>
            <w:r>
              <w:rPr>
                <w:rFonts w:ascii="Times New Roman"/>
                <w:spacing w:val="-2"/>
                <w:sz w:val="21"/>
              </w:rPr>
              <w:t>SUSAR</w:t>
            </w:r>
          </w:p>
        </w:tc>
        <w:tc>
          <w:tcPr>
            <w:tcW w:w="6366" w:type="dxa"/>
          </w:tcPr>
          <w:p>
            <w:pPr>
              <w:pStyle w:val="TableParagraph"/>
              <w:spacing w:before="38"/>
              <w:ind w:left="108"/>
              <w:rPr>
                <w:sz w:val="21"/>
              </w:rPr>
            </w:pPr>
            <w:r>
              <w:rPr>
                <w:spacing w:val="-1"/>
                <w:sz w:val="21"/>
              </w:rPr>
              <w:t>可疑非预期严重不良反应</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TBL</w:t>
            </w:r>
          </w:p>
        </w:tc>
        <w:tc>
          <w:tcPr>
            <w:tcW w:w="6366" w:type="dxa"/>
          </w:tcPr>
          <w:p>
            <w:pPr>
              <w:pStyle w:val="TableParagraph"/>
              <w:spacing w:before="38"/>
              <w:ind w:left="108"/>
              <w:rPr>
                <w:sz w:val="21"/>
              </w:rPr>
            </w:pPr>
            <w:r>
              <w:rPr>
                <w:spacing w:val="-3"/>
                <w:sz w:val="21"/>
              </w:rPr>
              <w:t>总胆红素</w:t>
            </w:r>
          </w:p>
        </w:tc>
      </w:tr>
      <w:tr>
        <w:trPr>
          <w:trHeight w:val="392" w:hRule="atLeast"/>
        </w:trPr>
        <w:tc>
          <w:tcPr>
            <w:tcW w:w="2394" w:type="dxa"/>
          </w:tcPr>
          <w:p>
            <w:pPr>
              <w:pStyle w:val="TableParagraph"/>
              <w:spacing w:before="57"/>
              <w:ind w:left="106"/>
              <w:rPr>
                <w:rFonts w:ascii="Times New Roman"/>
                <w:sz w:val="21"/>
              </w:rPr>
            </w:pPr>
            <w:r>
              <w:rPr>
                <w:rFonts w:ascii="Times New Roman"/>
                <w:spacing w:val="-5"/>
                <w:sz w:val="21"/>
              </w:rPr>
              <w:t>THC</w:t>
            </w:r>
          </w:p>
        </w:tc>
        <w:tc>
          <w:tcPr>
            <w:tcW w:w="6366" w:type="dxa"/>
          </w:tcPr>
          <w:p>
            <w:pPr>
              <w:pStyle w:val="TableParagraph"/>
              <w:spacing w:before="38"/>
              <w:ind w:left="108"/>
              <w:rPr>
                <w:sz w:val="21"/>
              </w:rPr>
            </w:pPr>
            <w:r>
              <w:rPr>
                <w:spacing w:val="-2"/>
                <w:sz w:val="21"/>
              </w:rPr>
              <w:t>四氢大麻酚</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TPV</w:t>
            </w:r>
          </w:p>
        </w:tc>
        <w:tc>
          <w:tcPr>
            <w:tcW w:w="6366" w:type="dxa"/>
          </w:tcPr>
          <w:p>
            <w:pPr>
              <w:pStyle w:val="TableParagraph"/>
              <w:spacing w:before="39"/>
              <w:ind w:left="108"/>
              <w:rPr>
                <w:sz w:val="21"/>
              </w:rPr>
            </w:pPr>
            <w:r>
              <w:rPr>
                <w:spacing w:val="-2"/>
                <w:sz w:val="21"/>
              </w:rPr>
              <w:t>第三方供应商</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ULN</w:t>
            </w:r>
          </w:p>
        </w:tc>
        <w:tc>
          <w:tcPr>
            <w:tcW w:w="6366" w:type="dxa"/>
          </w:tcPr>
          <w:p>
            <w:pPr>
              <w:pStyle w:val="TableParagraph"/>
              <w:spacing w:before="38"/>
              <w:ind w:left="108"/>
              <w:rPr>
                <w:sz w:val="21"/>
              </w:rPr>
            </w:pPr>
            <w:r>
              <w:rPr>
                <w:spacing w:val="-2"/>
                <w:sz w:val="21"/>
              </w:rPr>
              <w:t>正常值上限</w:t>
            </w:r>
          </w:p>
        </w:tc>
      </w:tr>
      <w:tr>
        <w:trPr>
          <w:trHeight w:val="393" w:hRule="atLeast"/>
        </w:trPr>
        <w:tc>
          <w:tcPr>
            <w:tcW w:w="2394" w:type="dxa"/>
          </w:tcPr>
          <w:p>
            <w:pPr>
              <w:pStyle w:val="TableParagraph"/>
              <w:spacing w:before="57"/>
              <w:ind w:left="106"/>
              <w:rPr>
                <w:rFonts w:ascii="Times New Roman"/>
                <w:sz w:val="21"/>
              </w:rPr>
            </w:pPr>
            <w:r>
              <w:rPr>
                <w:rFonts w:ascii="Times New Roman"/>
                <w:spacing w:val="-5"/>
                <w:sz w:val="21"/>
              </w:rPr>
              <w:t>w/v</w:t>
            </w:r>
          </w:p>
        </w:tc>
        <w:tc>
          <w:tcPr>
            <w:tcW w:w="6366" w:type="dxa"/>
          </w:tcPr>
          <w:p>
            <w:pPr>
              <w:pStyle w:val="TableParagraph"/>
              <w:spacing w:before="38"/>
              <w:ind w:left="108"/>
              <w:rPr>
                <w:sz w:val="21"/>
              </w:rPr>
            </w:pPr>
            <w:r>
              <w:rPr>
                <w:spacing w:val="-2"/>
                <w:sz w:val="21"/>
              </w:rPr>
              <w:t>重量体积比</w:t>
            </w:r>
          </w:p>
        </w:tc>
      </w:tr>
    </w:tbl>
    <w:p>
      <w:pPr>
        <w:spacing w:after="0"/>
        <w:rPr>
          <w:sz w:val="21"/>
        </w:rPr>
        <w:sectPr>
          <w:pgSz w:w="11910" w:h="16840"/>
          <w:pgMar w:header="590" w:footer="784" w:top="1340" w:bottom="980" w:left="1480" w:right="1080"/>
        </w:sectPr>
      </w:pPr>
    </w:p>
    <w:p>
      <w:pPr>
        <w:tabs>
          <w:tab w:pos="1921" w:val="left" w:leader="none"/>
        </w:tabs>
        <w:spacing w:before="88"/>
        <w:ind w:left="221" w:right="0" w:firstLine="0"/>
        <w:jc w:val="left"/>
        <w:rPr>
          <w:b/>
          <w:sz w:val="28"/>
        </w:rPr>
      </w:pPr>
      <w:bookmarkStart w:name="附录L 方案版本历史" w:id="357"/>
      <w:bookmarkEnd w:id="357"/>
      <w:r>
        <w:rPr/>
      </w:r>
      <w:bookmarkStart w:name="_bookmark170" w:id="358"/>
      <w:bookmarkEnd w:id="358"/>
      <w:r>
        <w:rPr/>
      </w:r>
      <w:r>
        <w:rPr>
          <w:b/>
          <w:spacing w:val="-2"/>
          <w:sz w:val="28"/>
        </w:rPr>
        <w:t>附录</w:t>
      </w:r>
      <w:r>
        <w:rPr>
          <w:rFonts w:ascii="Times New Roman" w:eastAsia="Times New Roman"/>
          <w:b/>
          <w:spacing w:val="-10"/>
          <w:sz w:val="28"/>
        </w:rPr>
        <w:t>L</w:t>
      </w:r>
      <w:r>
        <w:rPr>
          <w:rFonts w:ascii="Times New Roman" w:eastAsia="Times New Roman"/>
          <w:b/>
          <w:sz w:val="28"/>
        </w:rPr>
        <w:tab/>
      </w:r>
      <w:r>
        <w:rPr>
          <w:b/>
          <w:spacing w:val="-4"/>
          <w:sz w:val="28"/>
        </w:rPr>
        <w:t>方案版本历</w:t>
      </w:r>
      <w:r>
        <w:rPr>
          <w:b/>
          <w:spacing w:val="-10"/>
          <w:sz w:val="28"/>
        </w:rPr>
        <w:t>史</w:t>
      </w:r>
    </w:p>
    <w:p>
      <w:pPr>
        <w:pStyle w:val="BodyText"/>
        <w:spacing w:before="159"/>
        <w:ind w:left="701"/>
      </w:pPr>
      <w:r>
        <w:rPr>
          <w:spacing w:val="-1"/>
        </w:rPr>
        <w:t>本修订案的变更总结表直接位于目录之前。</w:t>
      </w:r>
    </w:p>
    <w:p>
      <w:pPr>
        <w:pStyle w:val="Heading3"/>
        <w:spacing w:before="286"/>
      </w:pPr>
      <w:r>
        <w:rPr>
          <w:rFonts w:ascii="Times New Roman" w:eastAsia="Times New Roman"/>
        </w:rPr>
        <w:t>CSP</w:t>
      </w:r>
      <w:r>
        <w:rPr>
          <w:rFonts w:ascii="Times New Roman" w:eastAsia="Times New Roman"/>
          <w:spacing w:val="-15"/>
        </w:rPr>
        <w:t> </w:t>
      </w:r>
      <w:r>
        <w:rPr>
          <w:spacing w:val="-12"/>
        </w:rPr>
        <w:t>版本：第 </w:t>
      </w:r>
      <w:r>
        <w:rPr>
          <w:rFonts w:ascii="Times New Roman" w:eastAsia="Times New Roman"/>
        </w:rPr>
        <w:t>3.0</w:t>
      </w:r>
      <w:r>
        <w:rPr>
          <w:rFonts w:ascii="Times New Roman" w:eastAsia="Times New Roman"/>
          <w:spacing w:val="-15"/>
        </w:rPr>
        <w:t> </w:t>
      </w:r>
      <w:r>
        <w:rPr/>
        <w:t>版，</w:t>
      </w:r>
      <w:r>
        <w:rPr>
          <w:rFonts w:ascii="Times New Roman" w:eastAsia="Times New Roman"/>
        </w:rPr>
        <w:t>2024</w:t>
      </w:r>
      <w:r>
        <w:rPr>
          <w:rFonts w:ascii="Times New Roman" w:eastAsia="Times New Roman"/>
          <w:spacing w:val="-11"/>
        </w:rPr>
        <w:t> </w:t>
      </w:r>
      <w:r>
        <w:rPr>
          <w:spacing w:val="-30"/>
        </w:rPr>
        <w:t>年 </w:t>
      </w:r>
      <w:r>
        <w:rPr>
          <w:rFonts w:ascii="Times New Roman" w:eastAsia="Times New Roman"/>
        </w:rPr>
        <w:t>3</w:t>
      </w:r>
      <w:r>
        <w:rPr>
          <w:rFonts w:ascii="Times New Roman" w:eastAsia="Times New Roman"/>
          <w:spacing w:val="-12"/>
        </w:rPr>
        <w:t> </w:t>
      </w:r>
      <w:r>
        <w:rPr>
          <w:spacing w:val="-30"/>
        </w:rPr>
        <w:t>月 </w:t>
      </w:r>
      <w:r>
        <w:rPr>
          <w:rFonts w:ascii="Times New Roman" w:eastAsia="Times New Roman"/>
        </w:rPr>
        <w:t>26</w:t>
      </w:r>
      <w:r>
        <w:rPr>
          <w:rFonts w:ascii="Times New Roman" w:eastAsia="Times New Roman"/>
          <w:spacing w:val="-11"/>
        </w:rPr>
        <w:t> </w:t>
      </w:r>
      <w:r>
        <w:rPr>
          <w:spacing w:val="-10"/>
        </w:rPr>
        <w:t>日</w:t>
      </w:r>
    </w:p>
    <w:p>
      <w:pPr>
        <w:pStyle w:val="BodyText"/>
        <w:spacing w:before="120"/>
        <w:ind w:left="701"/>
        <w:rPr>
          <w:rFonts w:ascii="Times New Roman" w:eastAsia="Times New Roman"/>
        </w:rPr>
      </w:pPr>
      <w:r>
        <w:rPr>
          <w:spacing w:val="-4"/>
        </w:rPr>
        <w:t>根据欧洲议会和欧盟理事会指令 </w:t>
      </w:r>
      <w:r>
        <w:rPr>
          <w:rFonts w:ascii="Times New Roman" w:eastAsia="Times New Roman"/>
        </w:rPr>
        <w:t>2001/20/EC</w:t>
      </w:r>
      <w:r>
        <w:rPr>
          <w:rFonts w:ascii="Times New Roman" w:eastAsia="Times New Roman"/>
          <w:spacing w:val="-8"/>
        </w:rPr>
        <w:t> </w:t>
      </w:r>
      <w:r>
        <w:rPr>
          <w:spacing w:val="-26"/>
        </w:rPr>
        <w:t>第 </w:t>
      </w:r>
      <w:r>
        <w:rPr>
          <w:rFonts w:ascii="Times New Roman" w:eastAsia="Times New Roman"/>
        </w:rPr>
        <w:t>10</w:t>
      </w:r>
      <w:r>
        <w:rPr/>
        <w:t>（</w:t>
      </w:r>
      <w:r>
        <w:rPr>
          <w:rFonts w:ascii="Times New Roman" w:eastAsia="Times New Roman"/>
        </w:rPr>
        <w:t>a</w:t>
      </w:r>
      <w:r>
        <w:rPr/>
        <w:t>）</w:t>
      </w:r>
      <w:r>
        <w:rPr>
          <w:spacing w:val="-13"/>
        </w:rPr>
        <w:t>条以及 </w:t>
      </w:r>
      <w:r>
        <w:rPr>
          <w:rFonts w:ascii="Times New Roman" w:eastAsia="Times New Roman"/>
        </w:rPr>
        <w:t>EU</w:t>
      </w:r>
      <w:r>
        <w:rPr>
          <w:rFonts w:ascii="Times New Roman" w:eastAsia="Times New Roman"/>
          <w:spacing w:val="29"/>
        </w:rPr>
        <w:t> </w:t>
      </w:r>
      <w:r>
        <w:rPr>
          <w:rFonts w:ascii="Times New Roman" w:eastAsia="Times New Roman"/>
        </w:rPr>
        <w:t>CTR</w:t>
      </w:r>
      <w:r>
        <w:rPr>
          <w:rFonts w:ascii="Times New Roman" w:eastAsia="Times New Roman"/>
          <w:spacing w:val="-6"/>
        </w:rPr>
        <w:t> </w:t>
      </w:r>
      <w:r>
        <w:rPr>
          <w:spacing w:val="-26"/>
        </w:rPr>
        <w:t>第 </w:t>
      </w:r>
      <w:r>
        <w:rPr>
          <w:rFonts w:ascii="Times New Roman" w:eastAsia="Times New Roman"/>
        </w:rPr>
        <w:t>2</w:t>
      </w:r>
      <w:r>
        <w:rPr/>
        <w:t>、</w:t>
      </w:r>
      <w:r>
        <w:rPr>
          <w:rFonts w:ascii="Times New Roman" w:eastAsia="Times New Roman"/>
          <w:spacing w:val="-10"/>
        </w:rPr>
        <w:t>2</w:t>
      </w:r>
    </w:p>
    <w:p>
      <w:pPr>
        <w:pStyle w:val="BodyText"/>
        <w:spacing w:before="45"/>
        <w:ind w:left="101"/>
      </w:pPr>
      <w:r>
        <w:rPr/>
        <w:t>（</w:t>
      </w:r>
      <w:r>
        <w:rPr>
          <w:rFonts w:ascii="Times New Roman" w:eastAsia="Times New Roman"/>
        </w:rPr>
        <w:t>13</w:t>
      </w:r>
      <w:r>
        <w:rPr/>
        <w:t>）</w:t>
      </w:r>
      <w:r>
        <w:rPr>
          <w:spacing w:val="-1"/>
        </w:rPr>
        <w:t>条规定的标准，认为该修订案属于实质性变更。</w:t>
      </w:r>
    </w:p>
    <w:p>
      <w:pPr>
        <w:pStyle w:val="Heading3"/>
        <w:spacing w:before="286"/>
      </w:pPr>
      <w:r>
        <w:rPr>
          <w:spacing w:val="-5"/>
        </w:rPr>
        <w:t>修订的总体依据：</w:t>
      </w:r>
    </w:p>
    <w:p>
      <w:pPr>
        <w:pStyle w:val="BodyText"/>
        <w:spacing w:line="276" w:lineRule="auto" w:before="120"/>
        <w:ind w:right="357" w:firstLine="480"/>
        <w:jc w:val="both"/>
      </w:pPr>
      <w:r>
        <w:rPr>
          <w:spacing w:val="-1"/>
        </w:rPr>
        <w:t>本修订案的主要目的是将主要终点由主要人群中至首次重度 </w:t>
      </w:r>
      <w:r>
        <w:rPr>
          <w:rFonts w:ascii="Times New Roman" w:eastAsia="Times New Roman"/>
        </w:rPr>
        <w:t>COPD</w:t>
      </w:r>
      <w:r>
        <w:rPr>
          <w:rFonts w:ascii="Times New Roman" w:eastAsia="Times New Roman"/>
          <w:spacing w:val="16"/>
        </w:rPr>
        <w:t> </w:t>
      </w:r>
      <w:r>
        <w:rPr/>
        <w:t>急性加重的时间（先前为关键次要终点）</w:t>
      </w:r>
      <w:r>
        <w:rPr>
          <w:spacing w:val="-5"/>
        </w:rPr>
        <w:t>变更为重度 </w:t>
      </w:r>
      <w:r>
        <w:rPr>
          <w:rFonts w:ascii="Times New Roman" w:eastAsia="Times New Roman"/>
        </w:rPr>
        <w:t>COPD </w:t>
      </w:r>
      <w:r>
        <w:rPr/>
        <w:t>急性加重的年发生率。因此，对关</w:t>
      </w:r>
      <w:r>
        <w:rPr>
          <w:spacing w:val="-2"/>
        </w:rPr>
        <w:t>键次要终点也做出相应变更，由重度 </w:t>
      </w:r>
      <w:r>
        <w:rPr>
          <w:rFonts w:ascii="Times New Roman" w:eastAsia="Times New Roman"/>
        </w:rPr>
        <w:t>COPD</w:t>
      </w:r>
      <w:r>
        <w:rPr>
          <w:rFonts w:ascii="Times New Roman" w:eastAsia="Times New Roman"/>
          <w:spacing w:val="16"/>
        </w:rPr>
        <w:t> </w:t>
      </w:r>
      <w:r>
        <w:rPr/>
        <w:t>急性加重的年发生率变更为至首次重度 </w:t>
      </w:r>
      <w:r>
        <w:rPr>
          <w:rFonts w:ascii="Times New Roman" w:eastAsia="Times New Roman"/>
        </w:rPr>
        <w:t>COPD</w:t>
      </w:r>
      <w:r>
        <w:rPr>
          <w:rFonts w:ascii="Times New Roman" w:eastAsia="Times New Roman"/>
          <w:spacing w:val="-5"/>
        </w:rPr>
        <w:t> </w:t>
      </w:r>
      <w:r>
        <w:rPr/>
        <w:t>急性加重的时间。</w:t>
      </w:r>
    </w:p>
    <w:p>
      <w:pPr>
        <w:pStyle w:val="BodyText"/>
        <w:spacing w:line="276" w:lineRule="auto" w:before="236"/>
        <w:ind w:right="116" w:firstLine="480"/>
      </w:pPr>
      <w:r>
        <w:rPr/>
        <w:t>急性加重发生率是 </w:t>
      </w:r>
      <w:r>
        <w:rPr>
          <w:rFonts w:ascii="Times New Roman" w:eastAsia="Times New Roman"/>
        </w:rPr>
        <w:t>COPD</w:t>
      </w:r>
      <w:r>
        <w:rPr>
          <w:rFonts w:ascii="Times New Roman" w:eastAsia="Times New Roman"/>
          <w:spacing w:val="40"/>
        </w:rPr>
        <w:t> </w:t>
      </w:r>
      <w:r>
        <w:rPr/>
        <w:t>临床试验中的一个十分成熟的临床相关终点。根据对</w:t>
      </w:r>
      <w:r>
        <w:rPr/>
        <w:t> 盲态汇总数据的审查，与研究启动时的预测相比，前身研究 </w:t>
      </w:r>
      <w:r>
        <w:rPr>
          <w:rFonts w:ascii="Times New Roman" w:eastAsia="Times New Roman"/>
        </w:rPr>
        <w:t>OBERON</w:t>
      </w:r>
      <w:r>
        <w:rPr>
          <w:rFonts w:ascii="Times New Roman" w:eastAsia="Times New Roman"/>
          <w:spacing w:val="40"/>
        </w:rPr>
        <w:t> </w:t>
      </w:r>
      <w:r>
        <w:rPr/>
        <w:t>和 </w:t>
      </w:r>
      <w:r>
        <w:rPr>
          <w:rFonts w:ascii="Times New Roman" w:eastAsia="Times New Roman"/>
        </w:rPr>
        <w:t>TITANIA </w:t>
      </w:r>
      <w:r>
        <w:rPr>
          <w:spacing w:val="-12"/>
        </w:rPr>
        <w:t>以及本项 </w:t>
      </w:r>
      <w:r>
        <w:rPr>
          <w:rFonts w:ascii="Times New Roman" w:eastAsia="Times New Roman"/>
        </w:rPr>
        <w:t>LTE</w:t>
      </w:r>
      <w:r>
        <w:rPr>
          <w:rFonts w:ascii="Times New Roman" w:eastAsia="Times New Roman"/>
          <w:spacing w:val="-16"/>
        </w:rPr>
        <w:t> </w:t>
      </w:r>
      <w:r>
        <w:rPr>
          <w:rFonts w:ascii="Times New Roman" w:eastAsia="Times New Roman"/>
        </w:rPr>
        <w:t>PROSPERO</w:t>
      </w:r>
      <w:r>
        <w:rPr>
          <w:rFonts w:ascii="Times New Roman" w:eastAsia="Times New Roman"/>
          <w:spacing w:val="-15"/>
        </w:rPr>
        <w:t> </w:t>
      </w:r>
      <w:r>
        <w:rPr/>
        <w:t>研究过程中，重度急性加重事件发生率更高，分布更广，同</w:t>
      </w:r>
      <w:r>
        <w:rPr>
          <w:spacing w:val="-2"/>
        </w:rPr>
        <w:t>时停药率也更低。在这些背景下，至事件发生时间的分析所反映的治疗效应可能弱于基于发生率的分析，因此，预计基于发生率的分析将具有更高的统计学把握度。</w:t>
      </w:r>
    </w:p>
    <w:p>
      <w:pPr>
        <w:spacing w:before="236"/>
        <w:ind w:left="221" w:right="0" w:firstLine="0"/>
        <w:jc w:val="left"/>
        <w:rPr>
          <w:b/>
          <w:sz w:val="24"/>
        </w:rPr>
      </w:pPr>
      <w:r>
        <w:rPr>
          <w:b/>
          <w:spacing w:val="-4"/>
          <w:sz w:val="24"/>
        </w:rPr>
        <w:t>变更总结：</w:t>
      </w:r>
    </w:p>
    <w:p>
      <w:pPr>
        <w:spacing w:before="119"/>
        <w:ind w:left="221" w:right="0" w:firstLine="0"/>
        <w:jc w:val="left"/>
        <w:rPr>
          <w:b/>
          <w:sz w:val="24"/>
        </w:rPr>
      </w:pPr>
      <w:r>
        <w:rPr>
          <w:b/>
          <w:spacing w:val="-5"/>
          <w:sz w:val="24"/>
        </w:rPr>
        <w:t>实质性修订列表</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03"/>
        <w:gridCol w:w="3163"/>
      </w:tblGrid>
      <w:tr>
        <w:trPr>
          <w:trHeight w:val="352" w:hRule="atLeast"/>
        </w:trPr>
        <w:tc>
          <w:tcPr>
            <w:tcW w:w="2591" w:type="dxa"/>
          </w:tcPr>
          <w:p>
            <w:pPr>
              <w:pStyle w:val="TableParagraph"/>
              <w:spacing w:before="38"/>
              <w:ind w:left="345"/>
              <w:rPr>
                <w:b/>
                <w:sz w:val="21"/>
              </w:rPr>
            </w:pPr>
            <w:r>
              <w:rPr>
                <w:b/>
                <w:spacing w:val="-3"/>
                <w:sz w:val="21"/>
              </w:rPr>
              <w:t>章节编号和标题名称</w:t>
            </w:r>
          </w:p>
        </w:tc>
        <w:tc>
          <w:tcPr>
            <w:tcW w:w="3003" w:type="dxa"/>
          </w:tcPr>
          <w:p>
            <w:pPr>
              <w:pStyle w:val="TableParagraph"/>
              <w:spacing w:before="38"/>
              <w:ind w:left="9"/>
              <w:jc w:val="center"/>
              <w:rPr>
                <w:b/>
                <w:sz w:val="21"/>
              </w:rPr>
            </w:pPr>
            <w:r>
              <w:rPr>
                <w:b/>
                <w:spacing w:val="-4"/>
                <w:sz w:val="21"/>
              </w:rPr>
              <w:t>变更描述</w:t>
            </w:r>
          </w:p>
        </w:tc>
        <w:tc>
          <w:tcPr>
            <w:tcW w:w="3163" w:type="dxa"/>
          </w:tcPr>
          <w:p>
            <w:pPr>
              <w:pStyle w:val="TableParagraph"/>
              <w:spacing w:before="38"/>
              <w:ind w:left="7"/>
              <w:jc w:val="center"/>
              <w:rPr>
                <w:b/>
                <w:sz w:val="21"/>
              </w:rPr>
            </w:pPr>
            <w:r>
              <w:rPr>
                <w:b/>
                <w:spacing w:val="-4"/>
                <w:sz w:val="21"/>
              </w:rPr>
              <w:t>简要依据</w:t>
            </w:r>
          </w:p>
        </w:tc>
      </w:tr>
      <w:tr>
        <w:trPr>
          <w:trHeight w:val="5725" w:hRule="atLeast"/>
        </w:trPr>
        <w:tc>
          <w:tcPr>
            <w:tcW w:w="2591" w:type="dxa"/>
          </w:tcPr>
          <w:p>
            <w:pPr>
              <w:pStyle w:val="TableParagraph"/>
              <w:spacing w:line="276" w:lineRule="auto" w:before="36"/>
              <w:ind w:left="107" w:right="161"/>
              <w:jc w:val="both"/>
              <w:rPr>
                <w:sz w:val="21"/>
              </w:rPr>
            </w:pPr>
            <w:r>
              <w:rPr>
                <w:spacing w:val="-14"/>
                <w:sz w:val="21"/>
              </w:rPr>
              <w:t>第 </w:t>
            </w:r>
            <w:r>
              <w:rPr>
                <w:rFonts w:ascii="Times New Roman" w:eastAsia="Times New Roman"/>
                <w:sz w:val="21"/>
              </w:rPr>
              <w:t>1.1</w:t>
            </w:r>
            <w:r>
              <w:rPr>
                <w:rFonts w:ascii="Times New Roman" w:eastAsia="Times New Roman"/>
                <w:spacing w:val="-11"/>
                <w:sz w:val="21"/>
              </w:rPr>
              <w:t> </w:t>
            </w:r>
            <w:r>
              <w:rPr>
                <w:sz w:val="21"/>
              </w:rPr>
              <w:t>节，研究概要（研</w:t>
            </w:r>
            <w:r>
              <w:rPr>
                <w:spacing w:val="-2"/>
                <w:sz w:val="21"/>
              </w:rPr>
              <w:t>究目的和终点；主要终点</w:t>
            </w:r>
            <w:r>
              <w:rPr>
                <w:spacing w:val="-4"/>
                <w:sz w:val="21"/>
              </w:rPr>
              <w:t>分析）</w:t>
            </w:r>
          </w:p>
          <w:p>
            <w:pPr>
              <w:pStyle w:val="TableParagraph"/>
              <w:spacing w:before="39"/>
              <w:ind w:left="107"/>
              <w:jc w:val="both"/>
              <w:rPr>
                <w:sz w:val="21"/>
              </w:rPr>
            </w:pPr>
            <w:r>
              <w:rPr>
                <w:spacing w:val="-27"/>
                <w:sz w:val="21"/>
              </w:rPr>
              <w:t>第 </w:t>
            </w:r>
            <w:r>
              <w:rPr>
                <w:rFonts w:ascii="Times New Roman" w:eastAsia="Times New Roman"/>
                <w:sz w:val="21"/>
              </w:rPr>
              <w:t>3</w:t>
            </w:r>
            <w:r>
              <w:rPr>
                <w:rFonts w:ascii="Times New Roman" w:eastAsia="Times New Roman"/>
                <w:spacing w:val="-12"/>
                <w:sz w:val="21"/>
              </w:rPr>
              <w:t> </w:t>
            </w:r>
            <w:r>
              <w:rPr>
                <w:spacing w:val="-2"/>
                <w:sz w:val="21"/>
              </w:rPr>
              <w:t>节，研究目的和终点</w:t>
            </w:r>
          </w:p>
          <w:p>
            <w:pPr>
              <w:pStyle w:val="TableParagraph"/>
              <w:spacing w:line="276" w:lineRule="auto" w:before="80"/>
              <w:ind w:left="107" w:right="276"/>
              <w:jc w:val="both"/>
              <w:rPr>
                <w:sz w:val="21"/>
              </w:rPr>
            </w:pPr>
            <w:r>
              <w:rPr>
                <w:spacing w:val="-14"/>
                <w:sz w:val="21"/>
              </w:rPr>
              <w:t>第 </w:t>
            </w:r>
            <w:r>
              <w:rPr>
                <w:rFonts w:ascii="Times New Roman" w:eastAsia="Times New Roman"/>
                <w:spacing w:val="-4"/>
                <w:sz w:val="21"/>
              </w:rPr>
              <w:t>4.2.2</w:t>
            </w:r>
            <w:r>
              <w:rPr>
                <w:rFonts w:ascii="Times New Roman" w:eastAsia="Times New Roman"/>
                <w:spacing w:val="-9"/>
                <w:sz w:val="21"/>
              </w:rPr>
              <w:t> </w:t>
            </w:r>
            <w:r>
              <w:rPr>
                <w:spacing w:val="-4"/>
                <w:sz w:val="21"/>
              </w:rPr>
              <w:t>节，主要终点的选择依据</w:t>
            </w:r>
          </w:p>
          <w:p>
            <w:pPr>
              <w:pStyle w:val="TableParagraph"/>
              <w:spacing w:before="38"/>
              <w:ind w:left="107"/>
              <w:jc w:val="both"/>
              <w:rPr>
                <w:sz w:val="21"/>
              </w:rPr>
            </w:pPr>
            <w:r>
              <w:rPr>
                <w:spacing w:val="-27"/>
                <w:sz w:val="21"/>
              </w:rPr>
              <w:t>第 </w:t>
            </w:r>
            <w:r>
              <w:rPr>
                <w:rFonts w:ascii="Times New Roman" w:eastAsia="Times New Roman"/>
                <w:sz w:val="21"/>
              </w:rPr>
              <w:t>9.1</w:t>
            </w:r>
            <w:r>
              <w:rPr>
                <w:rFonts w:ascii="Times New Roman" w:eastAsia="Times New Roman"/>
                <w:spacing w:val="-12"/>
                <w:sz w:val="21"/>
              </w:rPr>
              <w:t> </w:t>
            </w:r>
            <w:r>
              <w:rPr>
                <w:spacing w:val="-2"/>
                <w:sz w:val="21"/>
              </w:rPr>
              <w:t>节，统计假设</w:t>
            </w:r>
          </w:p>
          <w:p>
            <w:pPr>
              <w:pStyle w:val="TableParagraph"/>
              <w:spacing w:line="276" w:lineRule="auto" w:before="81"/>
              <w:ind w:left="107" w:right="96"/>
              <w:jc w:val="both"/>
              <w:rPr>
                <w:sz w:val="21"/>
              </w:rPr>
            </w:pPr>
            <w:r>
              <w:rPr>
                <w:spacing w:val="-14"/>
                <w:sz w:val="21"/>
              </w:rPr>
              <w:t>第 </w:t>
            </w:r>
            <w:r>
              <w:rPr>
                <w:rFonts w:ascii="Times New Roman" w:eastAsia="Times New Roman"/>
                <w:sz w:val="21"/>
              </w:rPr>
              <w:t>9.1.2</w:t>
            </w:r>
            <w:r>
              <w:rPr>
                <w:rFonts w:ascii="Times New Roman" w:eastAsia="Times New Roman"/>
                <w:spacing w:val="7"/>
                <w:sz w:val="21"/>
              </w:rPr>
              <w:t> </w:t>
            </w:r>
            <w:r>
              <w:rPr>
                <w:spacing w:val="-3"/>
                <w:sz w:val="21"/>
              </w:rPr>
              <w:t>节， </w:t>
            </w:r>
            <w:r>
              <w:rPr>
                <w:rFonts w:ascii="Times New Roman" w:eastAsia="Times New Roman"/>
                <w:sz w:val="21"/>
              </w:rPr>
              <w:t>I</w:t>
            </w:r>
            <w:r>
              <w:rPr>
                <w:rFonts w:ascii="Times New Roman" w:eastAsia="Times New Roman"/>
                <w:spacing w:val="18"/>
                <w:sz w:val="21"/>
              </w:rPr>
              <w:t> </w:t>
            </w:r>
            <w:r>
              <w:rPr>
                <w:spacing w:val="12"/>
                <w:sz w:val="21"/>
              </w:rPr>
              <w:t>类错误控</w:t>
            </w:r>
            <w:r>
              <w:rPr>
                <w:spacing w:val="-8"/>
                <w:sz w:val="21"/>
              </w:rPr>
              <w:t>制，以及图 </w:t>
            </w:r>
            <w:r>
              <w:rPr>
                <w:rFonts w:ascii="Times New Roman" w:eastAsia="Times New Roman"/>
                <w:spacing w:val="-4"/>
                <w:sz w:val="21"/>
              </w:rPr>
              <w:t>3</w:t>
            </w:r>
            <w:r>
              <w:rPr>
                <w:rFonts w:ascii="Times New Roman" w:eastAsia="Times New Roman"/>
                <w:spacing w:val="-9"/>
                <w:sz w:val="21"/>
              </w:rPr>
              <w:t> </w:t>
            </w:r>
            <w:r>
              <w:rPr>
                <w:spacing w:val="-10"/>
                <w:sz w:val="21"/>
              </w:rPr>
              <w:t>比较 </w:t>
            </w:r>
            <w:r>
              <w:rPr>
                <w:rFonts w:ascii="Times New Roman" w:eastAsia="Times New Roman"/>
                <w:spacing w:val="-4"/>
                <w:sz w:val="21"/>
              </w:rPr>
              <w:t>300</w:t>
            </w:r>
            <w:r>
              <w:rPr>
                <w:rFonts w:ascii="Times New Roman" w:eastAsia="Times New Roman"/>
                <w:spacing w:val="-9"/>
                <w:sz w:val="21"/>
              </w:rPr>
              <w:t> </w:t>
            </w:r>
            <w:r>
              <w:rPr>
                <w:rFonts w:ascii="Times New Roman" w:eastAsia="Times New Roman"/>
                <w:spacing w:val="-4"/>
                <w:sz w:val="21"/>
              </w:rPr>
              <w:t>mg </w:t>
            </w:r>
            <w:r>
              <w:rPr>
                <w:rFonts w:ascii="Times New Roman" w:eastAsia="Times New Roman"/>
                <w:sz w:val="21"/>
              </w:rPr>
              <w:t>Q4W</w:t>
            </w:r>
            <w:r>
              <w:rPr>
                <w:rFonts w:ascii="Times New Roman" w:eastAsia="Times New Roman"/>
                <w:spacing w:val="-14"/>
                <w:sz w:val="21"/>
              </w:rPr>
              <w:t> </w:t>
            </w:r>
            <w:r>
              <w:rPr>
                <w:spacing w:val="-5"/>
                <w:sz w:val="21"/>
              </w:rPr>
              <w:t>与安慰剂的 </w:t>
            </w:r>
            <w:r>
              <w:rPr>
                <w:rFonts w:ascii="Times New Roman" w:eastAsia="Times New Roman"/>
                <w:sz w:val="21"/>
              </w:rPr>
              <w:t>I</w:t>
            </w:r>
            <w:r>
              <w:rPr>
                <w:rFonts w:ascii="Times New Roman" w:eastAsia="Times New Roman"/>
                <w:spacing w:val="-13"/>
                <w:sz w:val="21"/>
              </w:rPr>
              <w:t> </w:t>
            </w:r>
            <w:r>
              <w:rPr>
                <w:sz w:val="21"/>
              </w:rPr>
              <w:t>类错误</w:t>
            </w:r>
            <w:r>
              <w:rPr>
                <w:spacing w:val="-4"/>
                <w:sz w:val="21"/>
              </w:rPr>
              <w:t>率控制</w:t>
            </w:r>
          </w:p>
          <w:p>
            <w:pPr>
              <w:pStyle w:val="TableParagraph"/>
              <w:spacing w:line="276" w:lineRule="auto" w:before="36"/>
              <w:ind w:left="107" w:right="276"/>
              <w:rPr>
                <w:sz w:val="21"/>
              </w:rPr>
            </w:pPr>
            <w:r>
              <w:rPr>
                <w:spacing w:val="-28"/>
                <w:sz w:val="21"/>
              </w:rPr>
              <w:t>第 </w:t>
            </w:r>
            <w:r>
              <w:rPr>
                <w:rFonts w:ascii="Times New Roman" w:eastAsia="Times New Roman"/>
                <w:spacing w:val="-2"/>
                <w:sz w:val="21"/>
              </w:rPr>
              <w:t>9.3.1</w:t>
            </w:r>
            <w:r>
              <w:rPr>
                <w:rFonts w:ascii="Times New Roman" w:eastAsia="Times New Roman"/>
                <w:spacing w:val="-12"/>
                <w:sz w:val="21"/>
              </w:rPr>
              <w:t> </w:t>
            </w:r>
            <w:r>
              <w:rPr>
                <w:spacing w:val="-2"/>
                <w:sz w:val="21"/>
              </w:rPr>
              <w:t>节，用于分析的</w:t>
            </w:r>
            <w:r>
              <w:rPr>
                <w:spacing w:val="-4"/>
                <w:sz w:val="21"/>
              </w:rPr>
              <w:t>治疗组</w:t>
            </w:r>
          </w:p>
          <w:p>
            <w:pPr>
              <w:pStyle w:val="TableParagraph"/>
              <w:spacing w:line="276" w:lineRule="auto" w:before="39"/>
              <w:ind w:left="107" w:right="276"/>
              <w:rPr>
                <w:sz w:val="21"/>
              </w:rPr>
            </w:pPr>
            <w:r>
              <w:rPr>
                <w:spacing w:val="-28"/>
                <w:sz w:val="21"/>
              </w:rPr>
              <w:t>第 </w:t>
            </w:r>
            <w:r>
              <w:rPr>
                <w:rFonts w:ascii="Times New Roman" w:eastAsia="Times New Roman"/>
                <w:spacing w:val="-2"/>
                <w:sz w:val="21"/>
              </w:rPr>
              <w:t>9.4.1</w:t>
            </w:r>
            <w:r>
              <w:rPr>
                <w:rFonts w:ascii="Times New Roman" w:eastAsia="Times New Roman"/>
                <w:spacing w:val="-12"/>
                <w:sz w:val="21"/>
              </w:rPr>
              <w:t> </w:t>
            </w:r>
            <w:r>
              <w:rPr>
                <w:spacing w:val="-2"/>
                <w:sz w:val="21"/>
              </w:rPr>
              <w:t>节，一般考察因</w:t>
            </w:r>
            <w:r>
              <w:rPr>
                <w:spacing w:val="-10"/>
                <w:sz w:val="21"/>
              </w:rPr>
              <w:t>素</w:t>
            </w:r>
          </w:p>
          <w:p>
            <w:pPr>
              <w:pStyle w:val="TableParagraph"/>
              <w:spacing w:before="39"/>
              <w:ind w:left="107"/>
              <w:rPr>
                <w:sz w:val="21"/>
              </w:rPr>
            </w:pPr>
            <w:r>
              <w:rPr>
                <w:spacing w:val="-27"/>
                <w:sz w:val="21"/>
              </w:rPr>
              <w:t>第 </w:t>
            </w:r>
            <w:r>
              <w:rPr>
                <w:rFonts w:ascii="Times New Roman" w:eastAsia="Times New Roman"/>
                <w:sz w:val="21"/>
              </w:rPr>
              <w:t>9.4.2.1</w:t>
            </w:r>
            <w:r>
              <w:rPr>
                <w:rFonts w:ascii="Times New Roman" w:eastAsia="Times New Roman"/>
                <w:spacing w:val="-12"/>
                <w:sz w:val="21"/>
              </w:rPr>
              <w:t> </w:t>
            </w:r>
            <w:r>
              <w:rPr>
                <w:spacing w:val="-2"/>
                <w:sz w:val="21"/>
              </w:rPr>
              <w:t>节，主要终点</w:t>
            </w:r>
          </w:p>
          <w:p>
            <w:pPr>
              <w:pStyle w:val="TableParagraph"/>
              <w:spacing w:before="80"/>
              <w:ind w:left="107"/>
              <w:rPr>
                <w:sz w:val="21"/>
              </w:rPr>
            </w:pPr>
            <w:r>
              <w:rPr>
                <w:spacing w:val="-27"/>
                <w:sz w:val="21"/>
              </w:rPr>
              <w:t>第 </w:t>
            </w:r>
            <w:r>
              <w:rPr>
                <w:rFonts w:ascii="Times New Roman" w:eastAsia="Times New Roman"/>
                <w:sz w:val="21"/>
              </w:rPr>
              <w:t>9.4.2.2</w:t>
            </w:r>
            <w:r>
              <w:rPr>
                <w:rFonts w:ascii="Times New Roman" w:eastAsia="Times New Roman"/>
                <w:spacing w:val="-12"/>
                <w:sz w:val="21"/>
              </w:rPr>
              <w:t> </w:t>
            </w:r>
            <w:r>
              <w:rPr>
                <w:spacing w:val="-2"/>
                <w:sz w:val="21"/>
              </w:rPr>
              <w:t>节，次要终点</w:t>
            </w:r>
          </w:p>
        </w:tc>
        <w:tc>
          <w:tcPr>
            <w:tcW w:w="3003" w:type="dxa"/>
          </w:tcPr>
          <w:p>
            <w:pPr>
              <w:pStyle w:val="TableParagraph"/>
              <w:spacing w:before="36"/>
              <w:ind w:left="106"/>
              <w:rPr>
                <w:sz w:val="21"/>
              </w:rPr>
            </w:pPr>
            <w:r>
              <w:rPr>
                <w:spacing w:val="-1"/>
                <w:sz w:val="21"/>
              </w:rPr>
              <w:t>主要终点修订为戒烟者中重度</w:t>
            </w:r>
          </w:p>
          <w:p>
            <w:pPr>
              <w:pStyle w:val="TableParagraph"/>
              <w:spacing w:before="41"/>
              <w:ind w:left="106"/>
              <w:rPr>
                <w:sz w:val="21"/>
              </w:rPr>
            </w:pPr>
            <w:r>
              <w:rPr>
                <w:rFonts w:ascii="Times New Roman" w:eastAsia="Times New Roman"/>
                <w:sz w:val="21"/>
              </w:rPr>
              <w:t>COPD</w:t>
            </w:r>
            <w:r>
              <w:rPr>
                <w:rFonts w:ascii="Times New Roman" w:eastAsia="Times New Roman"/>
                <w:spacing w:val="52"/>
                <w:sz w:val="21"/>
              </w:rPr>
              <w:t> </w:t>
            </w:r>
            <w:r>
              <w:rPr>
                <w:spacing w:val="22"/>
                <w:sz w:val="21"/>
              </w:rPr>
              <w:t>急性加重的年发生率</w:t>
            </w:r>
          </w:p>
          <w:p>
            <w:pPr>
              <w:pStyle w:val="TableParagraph"/>
              <w:spacing w:line="276" w:lineRule="auto" w:before="40"/>
              <w:ind w:left="106" w:right="97" w:hanging="105"/>
              <w:jc w:val="both"/>
              <w:rPr>
                <w:sz w:val="21"/>
              </w:rPr>
            </w:pPr>
            <w:r>
              <w:rPr>
                <w:sz w:val="21"/>
              </w:rPr>
              <w:t>（先前为至首次重度 </w:t>
            </w:r>
            <w:r>
              <w:rPr>
                <w:rFonts w:ascii="Times New Roman" w:eastAsia="Times New Roman"/>
                <w:sz w:val="21"/>
              </w:rPr>
              <w:t>COPD </w:t>
            </w:r>
            <w:r>
              <w:rPr>
                <w:sz w:val="21"/>
              </w:rPr>
              <w:t>急</w:t>
            </w:r>
            <w:r>
              <w:rPr>
                <w:spacing w:val="-2"/>
                <w:sz w:val="21"/>
              </w:rPr>
              <w:t>性加重的时间）。</w:t>
            </w:r>
          </w:p>
          <w:p>
            <w:pPr>
              <w:pStyle w:val="TableParagraph"/>
              <w:spacing w:line="276" w:lineRule="auto" w:before="39"/>
              <w:ind w:left="106" w:right="91"/>
              <w:jc w:val="both"/>
              <w:rPr>
                <w:sz w:val="21"/>
              </w:rPr>
            </w:pPr>
            <w:r>
              <w:rPr>
                <w:spacing w:val="-2"/>
                <w:sz w:val="21"/>
              </w:rPr>
              <w:t>第一关键次要终点修订为戒烟</w:t>
            </w:r>
            <w:r>
              <w:rPr>
                <w:spacing w:val="-4"/>
                <w:sz w:val="21"/>
              </w:rPr>
              <w:t>者或吸烟者中重度 </w:t>
            </w:r>
            <w:r>
              <w:rPr>
                <w:rFonts w:ascii="Times New Roman" w:eastAsia="Times New Roman"/>
                <w:sz w:val="21"/>
              </w:rPr>
              <w:t>COPD</w:t>
            </w:r>
            <w:r>
              <w:rPr>
                <w:rFonts w:ascii="Times New Roman" w:eastAsia="Times New Roman"/>
                <w:spacing w:val="-13"/>
                <w:sz w:val="21"/>
              </w:rPr>
              <w:t> </w:t>
            </w:r>
            <w:r>
              <w:rPr>
                <w:sz w:val="21"/>
              </w:rPr>
              <w:t>急性</w:t>
            </w:r>
            <w:r>
              <w:rPr>
                <w:spacing w:val="-2"/>
                <w:sz w:val="21"/>
              </w:rPr>
              <w:t>加重的年发生率（先前为至首</w:t>
            </w:r>
            <w:r>
              <w:rPr>
                <w:spacing w:val="7"/>
                <w:sz w:val="21"/>
              </w:rPr>
              <w:t>次重度 </w:t>
            </w:r>
            <w:r>
              <w:rPr>
                <w:rFonts w:ascii="Times New Roman" w:eastAsia="Times New Roman"/>
                <w:sz w:val="21"/>
              </w:rPr>
              <w:t>COPD</w:t>
            </w:r>
            <w:r>
              <w:rPr>
                <w:rFonts w:ascii="Times New Roman" w:eastAsia="Times New Roman"/>
                <w:spacing w:val="16"/>
                <w:sz w:val="21"/>
              </w:rPr>
              <w:t> </w:t>
            </w:r>
            <w:r>
              <w:rPr>
                <w:spacing w:val="13"/>
                <w:sz w:val="21"/>
              </w:rPr>
              <w:t>急性加重的时</w:t>
            </w:r>
            <w:r>
              <w:rPr>
                <w:spacing w:val="-4"/>
                <w:sz w:val="21"/>
              </w:rPr>
              <w:t>间）。</w:t>
            </w:r>
          </w:p>
          <w:p>
            <w:pPr>
              <w:pStyle w:val="TableParagraph"/>
              <w:spacing w:line="276" w:lineRule="auto" w:before="36"/>
              <w:ind w:left="106" w:right="91"/>
              <w:jc w:val="both"/>
              <w:rPr>
                <w:sz w:val="21"/>
              </w:rPr>
            </w:pPr>
            <w:r>
              <w:rPr>
                <w:spacing w:val="-2"/>
                <w:sz w:val="21"/>
              </w:rPr>
              <w:t>第二关键次要终点修订为戒烟</w:t>
            </w:r>
            <w:r>
              <w:rPr>
                <w:spacing w:val="-1"/>
                <w:sz w:val="21"/>
              </w:rPr>
              <w:t>者或吸烟者至首次重度 </w:t>
            </w:r>
            <w:r>
              <w:rPr>
                <w:rFonts w:ascii="Times New Roman" w:eastAsia="Times New Roman"/>
                <w:sz w:val="21"/>
              </w:rPr>
              <w:t>COPD</w:t>
            </w:r>
            <w:r>
              <w:rPr>
                <w:spacing w:val="-2"/>
                <w:sz w:val="21"/>
              </w:rPr>
              <w:t>急性加重的时间（先前为重度 </w:t>
            </w:r>
            <w:r>
              <w:rPr>
                <w:rFonts w:ascii="Times New Roman" w:eastAsia="Times New Roman"/>
                <w:spacing w:val="-12"/>
                <w:sz w:val="21"/>
              </w:rPr>
              <w:t>COPD</w:t>
            </w:r>
            <w:r>
              <w:rPr>
                <w:rFonts w:ascii="Times New Roman" w:eastAsia="Times New Roman"/>
                <w:spacing w:val="-2"/>
                <w:sz w:val="21"/>
              </w:rPr>
              <w:t> </w:t>
            </w:r>
            <w:r>
              <w:rPr>
                <w:spacing w:val="-15"/>
                <w:sz w:val="21"/>
              </w:rPr>
              <w:t>急 性 加 重 的 年 发 生</w:t>
            </w:r>
            <w:r>
              <w:rPr>
                <w:spacing w:val="-4"/>
                <w:sz w:val="21"/>
              </w:rPr>
              <w:t>率）。</w:t>
            </w:r>
          </w:p>
          <w:p>
            <w:pPr>
              <w:pStyle w:val="TableParagraph"/>
              <w:spacing w:line="276" w:lineRule="auto" w:before="36"/>
              <w:ind w:left="106" w:right="97"/>
              <w:jc w:val="both"/>
              <w:rPr>
                <w:sz w:val="21"/>
              </w:rPr>
            </w:pPr>
            <w:r>
              <w:rPr>
                <w:spacing w:val="-9"/>
                <w:sz w:val="21"/>
              </w:rPr>
              <w:t>在第 </w:t>
            </w:r>
            <w:r>
              <w:rPr>
                <w:rFonts w:ascii="Times New Roman" w:eastAsia="Times New Roman"/>
                <w:sz w:val="21"/>
              </w:rPr>
              <w:t>9</w:t>
            </w:r>
            <w:r>
              <w:rPr>
                <w:rFonts w:ascii="Times New Roman" w:eastAsia="Times New Roman"/>
                <w:spacing w:val="-6"/>
                <w:sz w:val="21"/>
              </w:rPr>
              <w:t> </w:t>
            </w:r>
            <w:r>
              <w:rPr>
                <w:sz w:val="21"/>
              </w:rPr>
              <w:t>节中相应修订了终点的</w:t>
            </w:r>
            <w:r>
              <w:rPr>
                <w:spacing w:val="-2"/>
                <w:sz w:val="21"/>
              </w:rPr>
              <w:t>统计分析详情。</w:t>
            </w:r>
          </w:p>
        </w:tc>
        <w:tc>
          <w:tcPr>
            <w:tcW w:w="3163" w:type="dxa"/>
          </w:tcPr>
          <w:p>
            <w:pPr>
              <w:pStyle w:val="TableParagraph"/>
              <w:spacing w:before="38"/>
              <w:ind w:left="106"/>
              <w:rPr>
                <w:sz w:val="21"/>
              </w:rPr>
            </w:pPr>
            <w:r>
              <w:rPr>
                <w:spacing w:val="-1"/>
                <w:sz w:val="21"/>
              </w:rPr>
              <w:t>参见上文中修订的总体依据。</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03"/>
        <w:gridCol w:w="3163"/>
      </w:tblGrid>
      <w:tr>
        <w:trPr>
          <w:trHeight w:val="352" w:hRule="atLeast"/>
        </w:trPr>
        <w:tc>
          <w:tcPr>
            <w:tcW w:w="2591" w:type="dxa"/>
          </w:tcPr>
          <w:p>
            <w:pPr>
              <w:pStyle w:val="TableParagraph"/>
              <w:spacing w:before="38"/>
              <w:ind w:left="345"/>
              <w:rPr>
                <w:b/>
                <w:sz w:val="21"/>
              </w:rPr>
            </w:pPr>
            <w:r>
              <w:rPr>
                <w:b/>
                <w:spacing w:val="-3"/>
                <w:sz w:val="21"/>
              </w:rPr>
              <w:t>章节编号和标题名称</w:t>
            </w:r>
          </w:p>
        </w:tc>
        <w:tc>
          <w:tcPr>
            <w:tcW w:w="3003" w:type="dxa"/>
          </w:tcPr>
          <w:p>
            <w:pPr>
              <w:pStyle w:val="TableParagraph"/>
              <w:spacing w:before="38"/>
              <w:ind w:left="9"/>
              <w:jc w:val="center"/>
              <w:rPr>
                <w:b/>
                <w:sz w:val="21"/>
              </w:rPr>
            </w:pPr>
            <w:r>
              <w:rPr>
                <w:b/>
                <w:spacing w:val="-4"/>
                <w:sz w:val="21"/>
              </w:rPr>
              <w:t>变更描述</w:t>
            </w:r>
          </w:p>
        </w:tc>
        <w:tc>
          <w:tcPr>
            <w:tcW w:w="3163" w:type="dxa"/>
          </w:tcPr>
          <w:p>
            <w:pPr>
              <w:pStyle w:val="TableParagraph"/>
              <w:spacing w:before="38"/>
              <w:ind w:left="7"/>
              <w:jc w:val="center"/>
              <w:rPr>
                <w:b/>
                <w:sz w:val="21"/>
              </w:rPr>
            </w:pPr>
            <w:r>
              <w:rPr>
                <w:b/>
                <w:spacing w:val="-4"/>
                <w:sz w:val="21"/>
              </w:rPr>
              <w:t>简要依据</w:t>
            </w:r>
          </w:p>
        </w:tc>
      </w:tr>
      <w:tr>
        <w:trPr>
          <w:trHeight w:val="1020" w:hRule="atLeast"/>
        </w:trPr>
        <w:tc>
          <w:tcPr>
            <w:tcW w:w="2591" w:type="dxa"/>
          </w:tcPr>
          <w:p>
            <w:pPr>
              <w:pStyle w:val="TableParagraph"/>
              <w:spacing w:before="38"/>
              <w:ind w:left="107"/>
              <w:rPr>
                <w:sz w:val="21"/>
              </w:rPr>
            </w:pPr>
            <w:r>
              <w:rPr>
                <w:spacing w:val="-27"/>
                <w:sz w:val="21"/>
              </w:rPr>
              <w:t>第 </w:t>
            </w:r>
            <w:r>
              <w:rPr>
                <w:rFonts w:ascii="Times New Roman" w:eastAsia="Times New Roman"/>
                <w:sz w:val="21"/>
              </w:rPr>
              <w:t>9.2</w:t>
            </w:r>
            <w:r>
              <w:rPr>
                <w:rFonts w:ascii="Times New Roman" w:eastAsia="Times New Roman"/>
                <w:spacing w:val="-12"/>
                <w:sz w:val="21"/>
              </w:rPr>
              <w:t> </w:t>
            </w:r>
            <w:r>
              <w:rPr>
                <w:spacing w:val="-2"/>
                <w:sz w:val="21"/>
              </w:rPr>
              <w:t>节，样本量确定</w:t>
            </w:r>
          </w:p>
        </w:tc>
        <w:tc>
          <w:tcPr>
            <w:tcW w:w="3003" w:type="dxa"/>
          </w:tcPr>
          <w:p>
            <w:pPr>
              <w:pStyle w:val="TableParagraph"/>
              <w:spacing w:line="276" w:lineRule="auto" w:before="36"/>
              <w:ind w:left="106" w:right="91"/>
              <w:rPr>
                <w:sz w:val="21"/>
              </w:rPr>
            </w:pPr>
            <w:r>
              <w:rPr>
                <w:spacing w:val="-2"/>
                <w:sz w:val="21"/>
              </w:rPr>
              <w:t>依照基于发生率的终点，修订了样本量的依据。</w:t>
            </w:r>
          </w:p>
        </w:tc>
        <w:tc>
          <w:tcPr>
            <w:tcW w:w="3163" w:type="dxa"/>
          </w:tcPr>
          <w:p>
            <w:pPr>
              <w:pStyle w:val="TableParagraph"/>
              <w:spacing w:line="276" w:lineRule="auto" w:before="36"/>
              <w:ind w:left="106" w:right="80"/>
              <w:jc w:val="both"/>
              <w:rPr>
                <w:sz w:val="21"/>
              </w:rPr>
            </w:pPr>
            <w:r>
              <w:rPr>
                <w:spacing w:val="-8"/>
                <w:sz w:val="21"/>
              </w:rPr>
              <w:t>依照重度 </w:t>
            </w:r>
            <w:r>
              <w:rPr>
                <w:rFonts w:ascii="Times New Roman" w:eastAsia="Times New Roman"/>
                <w:spacing w:val="-4"/>
                <w:sz w:val="21"/>
              </w:rPr>
              <w:t>COPD</w:t>
            </w:r>
            <w:r>
              <w:rPr>
                <w:rFonts w:ascii="Times New Roman" w:eastAsia="Times New Roman"/>
                <w:spacing w:val="-9"/>
                <w:sz w:val="21"/>
              </w:rPr>
              <w:t> </w:t>
            </w:r>
            <w:r>
              <w:rPr>
                <w:spacing w:val="-4"/>
                <w:sz w:val="21"/>
              </w:rPr>
              <w:t>急性加重的年发</w:t>
            </w:r>
            <w:r>
              <w:rPr>
                <w:spacing w:val="14"/>
                <w:sz w:val="21"/>
              </w:rPr>
              <w:t>生率主要终点，进行了相应更</w:t>
            </w:r>
            <w:r>
              <w:rPr>
                <w:spacing w:val="-6"/>
                <w:sz w:val="21"/>
              </w:rPr>
              <w:t>新。</w:t>
            </w:r>
          </w:p>
        </w:tc>
      </w:tr>
      <w:tr>
        <w:trPr>
          <w:trHeight w:val="3212" w:hRule="atLeast"/>
        </w:trPr>
        <w:tc>
          <w:tcPr>
            <w:tcW w:w="2591" w:type="dxa"/>
          </w:tcPr>
          <w:p>
            <w:pPr>
              <w:pStyle w:val="TableParagraph"/>
              <w:spacing w:line="276" w:lineRule="auto" w:before="36"/>
              <w:ind w:left="107" w:right="223"/>
              <w:rPr>
                <w:sz w:val="21"/>
              </w:rPr>
            </w:pPr>
            <w:r>
              <w:rPr>
                <w:spacing w:val="-28"/>
                <w:sz w:val="21"/>
              </w:rPr>
              <w:t>第 </w:t>
            </w:r>
            <w:r>
              <w:rPr>
                <w:rFonts w:ascii="Times New Roman" w:eastAsia="Times New Roman"/>
                <w:spacing w:val="-2"/>
                <w:sz w:val="21"/>
              </w:rPr>
              <w:t>1.1</w:t>
            </w:r>
            <w:r>
              <w:rPr>
                <w:rFonts w:ascii="Times New Roman" w:eastAsia="Times New Roman"/>
                <w:spacing w:val="-12"/>
                <w:sz w:val="21"/>
              </w:rPr>
              <w:t> </w:t>
            </w:r>
            <w:r>
              <w:rPr>
                <w:spacing w:val="-2"/>
                <w:sz w:val="21"/>
              </w:rPr>
              <w:t>节，研究概要（</w:t>
            </w:r>
            <w:r>
              <w:rPr>
                <w:spacing w:val="-2"/>
                <w:sz w:val="21"/>
              </w:rPr>
              <w:t>中</w:t>
            </w:r>
            <w:r>
              <w:rPr>
                <w:spacing w:val="-4"/>
                <w:sz w:val="21"/>
              </w:rPr>
              <w:t>期分析）</w:t>
            </w:r>
          </w:p>
          <w:p>
            <w:pPr>
              <w:pStyle w:val="TableParagraph"/>
              <w:spacing w:before="40"/>
              <w:ind w:left="107"/>
              <w:rPr>
                <w:sz w:val="21"/>
              </w:rPr>
            </w:pPr>
            <w:r>
              <w:rPr>
                <w:spacing w:val="-27"/>
                <w:sz w:val="21"/>
              </w:rPr>
              <w:t>第 </w:t>
            </w:r>
            <w:r>
              <w:rPr>
                <w:rFonts w:ascii="Times New Roman" w:eastAsia="Times New Roman"/>
                <w:sz w:val="21"/>
              </w:rPr>
              <w:t>9.5</w:t>
            </w:r>
            <w:r>
              <w:rPr>
                <w:rFonts w:ascii="Times New Roman" w:eastAsia="Times New Roman"/>
                <w:spacing w:val="-12"/>
                <w:sz w:val="21"/>
              </w:rPr>
              <w:t> </w:t>
            </w:r>
            <w:r>
              <w:rPr>
                <w:spacing w:val="-2"/>
                <w:sz w:val="21"/>
              </w:rPr>
              <w:t>节，中期分析</w:t>
            </w:r>
          </w:p>
        </w:tc>
        <w:tc>
          <w:tcPr>
            <w:tcW w:w="3003" w:type="dxa"/>
          </w:tcPr>
          <w:p>
            <w:pPr>
              <w:pStyle w:val="TableParagraph"/>
              <w:spacing w:line="276" w:lineRule="auto" w:before="36"/>
              <w:ind w:left="106" w:right="91"/>
              <w:jc w:val="both"/>
              <w:rPr>
                <w:sz w:val="21"/>
              </w:rPr>
            </w:pPr>
            <w:r>
              <w:rPr>
                <w:spacing w:val="-2"/>
                <w:sz w:val="21"/>
              </w:rPr>
              <w:t>依照基于发生率的终点，对文本进行了如下修订（粗体表示新增文本；删除线表示删除文</w:t>
            </w:r>
            <w:r>
              <w:rPr>
                <w:sz w:val="21"/>
              </w:rPr>
              <w:t>本）：</w:t>
            </w:r>
            <w:r>
              <w:rPr>
                <w:spacing w:val="-5"/>
                <w:sz w:val="21"/>
              </w:rPr>
              <w:t>在本研究和 </w:t>
            </w:r>
            <w:r>
              <w:rPr>
                <w:rFonts w:ascii="Times New Roman" w:eastAsia="Times New Roman"/>
                <w:sz w:val="21"/>
              </w:rPr>
              <w:t>2 </w:t>
            </w:r>
            <w:r>
              <w:rPr>
                <w:sz w:val="21"/>
              </w:rPr>
              <w:t>项前身研</w:t>
            </w:r>
            <w:r>
              <w:rPr>
                <w:spacing w:val="-2"/>
                <w:sz w:val="21"/>
              </w:rPr>
              <w:t>究的汇总分析中，</w:t>
            </w:r>
            <w:r>
              <w:rPr>
                <w:strike/>
                <w:spacing w:val="-2"/>
                <w:sz w:val="21"/>
              </w:rPr>
              <w:t>受试者出现</w:t>
            </w:r>
            <w:r>
              <w:rPr>
                <w:strike w:val="0"/>
                <w:spacing w:val="-2"/>
                <w:sz w:val="21"/>
              </w:rPr>
              <w:t>重度急性加重</w:t>
            </w:r>
            <w:r>
              <w:rPr>
                <w:b/>
                <w:strike w:val="0"/>
                <w:spacing w:val="-2"/>
                <w:sz w:val="21"/>
              </w:rPr>
              <w:t>发生率的试验信息比例至少</w:t>
            </w:r>
            <w:r>
              <w:rPr>
                <w:strike w:val="0"/>
                <w:spacing w:val="-2"/>
                <w:sz w:val="21"/>
              </w:rPr>
              <w:t>，</w:t>
            </w:r>
            <w:r>
              <w:rPr>
                <w:strike/>
                <w:spacing w:val="-2"/>
                <w:sz w:val="21"/>
              </w:rPr>
              <w:t>其中受试者人数</w:t>
            </w:r>
            <w:r>
              <w:rPr>
                <w:strike/>
                <w:spacing w:val="40"/>
                <w:sz w:val="21"/>
              </w:rPr>
              <w:t> </w:t>
            </w:r>
            <w:r>
              <w:rPr>
                <w:strike/>
                <w:spacing w:val="-4"/>
                <w:sz w:val="21"/>
              </w:rPr>
              <w:t>的预期值将基于 </w:t>
            </w:r>
            <w:r>
              <w:rPr>
                <w:rFonts w:ascii="Times New Roman" w:eastAsia="Times New Roman"/>
                <w:strike/>
                <w:sz w:val="21"/>
              </w:rPr>
              <w:t>CSP</w:t>
            </w:r>
            <w:r>
              <w:rPr>
                <w:rFonts w:ascii="Times New Roman" w:eastAsia="Times New Roman"/>
                <w:strike/>
                <w:spacing w:val="-13"/>
                <w:sz w:val="21"/>
              </w:rPr>
              <w:t> </w:t>
            </w:r>
            <w:r>
              <w:rPr>
                <w:strike/>
                <w:spacing w:val="-13"/>
                <w:sz w:val="21"/>
              </w:rPr>
              <w:t>第 </w:t>
            </w:r>
            <w:r>
              <w:rPr>
                <w:rFonts w:ascii="Times New Roman" w:eastAsia="Times New Roman"/>
                <w:strike/>
                <w:sz w:val="21"/>
              </w:rPr>
              <w:t>2.0</w:t>
            </w:r>
            <w:r>
              <w:rPr>
                <w:rFonts w:ascii="Times New Roman" w:eastAsia="Times New Roman"/>
                <w:strike/>
                <w:spacing w:val="-13"/>
                <w:sz w:val="21"/>
              </w:rPr>
              <w:t> </w:t>
            </w:r>
            <w:r>
              <w:rPr>
                <w:strike/>
                <w:sz w:val="21"/>
              </w:rPr>
              <w:t>版</w:t>
            </w:r>
            <w:r>
              <w:rPr>
                <w:strike/>
                <w:spacing w:val="-2"/>
                <w:sz w:val="21"/>
              </w:rPr>
              <w:t>在所有国家批准后才可获知，</w:t>
            </w:r>
            <w:r>
              <w:rPr>
                <w:strike w:val="0"/>
                <w:spacing w:val="-10"/>
                <w:sz w:val="21"/>
              </w:rPr>
              <w:t>且</w:t>
            </w:r>
          </w:p>
        </w:tc>
        <w:tc>
          <w:tcPr>
            <w:tcW w:w="3163" w:type="dxa"/>
          </w:tcPr>
          <w:p>
            <w:pPr>
              <w:pStyle w:val="TableParagraph"/>
              <w:spacing w:line="276" w:lineRule="auto" w:before="36"/>
              <w:ind w:left="106" w:right="80"/>
              <w:jc w:val="both"/>
              <w:rPr>
                <w:sz w:val="21"/>
              </w:rPr>
            </w:pPr>
            <w:r>
              <w:rPr>
                <w:spacing w:val="-8"/>
                <w:sz w:val="21"/>
              </w:rPr>
              <w:t>依照重度 </w:t>
            </w:r>
            <w:r>
              <w:rPr>
                <w:rFonts w:ascii="Times New Roman" w:eastAsia="Times New Roman"/>
                <w:spacing w:val="-4"/>
                <w:sz w:val="21"/>
              </w:rPr>
              <w:t>COPD</w:t>
            </w:r>
            <w:r>
              <w:rPr>
                <w:rFonts w:ascii="Times New Roman" w:eastAsia="Times New Roman"/>
                <w:spacing w:val="-9"/>
                <w:sz w:val="21"/>
              </w:rPr>
              <w:t> </w:t>
            </w:r>
            <w:r>
              <w:rPr>
                <w:spacing w:val="-4"/>
                <w:sz w:val="21"/>
              </w:rPr>
              <w:t>急性加重的年发</w:t>
            </w:r>
            <w:r>
              <w:rPr>
                <w:spacing w:val="14"/>
                <w:sz w:val="21"/>
              </w:rPr>
              <w:t>生率主要终点，进行了相应更</w:t>
            </w:r>
            <w:r>
              <w:rPr>
                <w:spacing w:val="-2"/>
                <w:sz w:val="21"/>
              </w:rPr>
              <w:t>新，其中信息分数不再根据发生事件的受试者数进行定义。</w:t>
            </w:r>
          </w:p>
        </w:tc>
      </w:tr>
    </w:tbl>
    <w:p>
      <w:pPr>
        <w:pStyle w:val="BodyText"/>
        <w:spacing w:before="81"/>
        <w:ind w:left="0"/>
        <w:rPr>
          <w:b/>
        </w:rPr>
      </w:pPr>
    </w:p>
    <w:p>
      <w:pPr>
        <w:spacing w:before="1"/>
        <w:ind w:left="221" w:right="0" w:firstLine="0"/>
        <w:jc w:val="left"/>
        <w:rPr>
          <w:b/>
          <w:sz w:val="24"/>
        </w:rPr>
      </w:pPr>
      <w:r>
        <w:rPr>
          <w:b/>
          <w:spacing w:val="-5"/>
          <w:sz w:val="24"/>
        </w:rPr>
        <w:t>非实质性修订列表</w:t>
      </w:r>
    </w:p>
    <w:p>
      <w:pPr>
        <w:pStyle w:val="BodyText"/>
        <w:spacing w:before="5"/>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1"/>
        <w:gridCol w:w="3021"/>
        <w:gridCol w:w="3145"/>
      </w:tblGrid>
      <w:tr>
        <w:trPr>
          <w:trHeight w:val="352" w:hRule="atLeast"/>
        </w:trPr>
        <w:tc>
          <w:tcPr>
            <w:tcW w:w="2591" w:type="dxa"/>
          </w:tcPr>
          <w:p>
            <w:pPr>
              <w:pStyle w:val="TableParagraph"/>
              <w:spacing w:before="38"/>
              <w:ind w:left="345"/>
              <w:rPr>
                <w:b/>
                <w:sz w:val="21"/>
              </w:rPr>
            </w:pPr>
            <w:r>
              <w:rPr>
                <w:b/>
                <w:spacing w:val="-3"/>
                <w:sz w:val="21"/>
              </w:rPr>
              <w:t>章节编号和标题名称</w:t>
            </w:r>
          </w:p>
        </w:tc>
        <w:tc>
          <w:tcPr>
            <w:tcW w:w="3021" w:type="dxa"/>
          </w:tcPr>
          <w:p>
            <w:pPr>
              <w:pStyle w:val="TableParagraph"/>
              <w:spacing w:before="38"/>
              <w:ind w:left="8"/>
              <w:jc w:val="center"/>
              <w:rPr>
                <w:b/>
                <w:sz w:val="21"/>
              </w:rPr>
            </w:pPr>
            <w:r>
              <w:rPr>
                <w:b/>
                <w:spacing w:val="-4"/>
                <w:sz w:val="21"/>
              </w:rPr>
              <w:t>变更描述</w:t>
            </w:r>
          </w:p>
        </w:tc>
        <w:tc>
          <w:tcPr>
            <w:tcW w:w="3145" w:type="dxa"/>
          </w:tcPr>
          <w:p>
            <w:pPr>
              <w:pStyle w:val="TableParagraph"/>
              <w:spacing w:before="38"/>
              <w:ind w:left="11"/>
              <w:jc w:val="center"/>
              <w:rPr>
                <w:b/>
                <w:sz w:val="21"/>
              </w:rPr>
            </w:pPr>
            <w:r>
              <w:rPr>
                <w:b/>
                <w:spacing w:val="-4"/>
                <w:sz w:val="21"/>
              </w:rPr>
              <w:t>简要依据</w:t>
            </w:r>
          </w:p>
        </w:tc>
      </w:tr>
      <w:tr>
        <w:trPr>
          <w:trHeight w:val="895" w:hRule="atLeast"/>
        </w:trPr>
        <w:tc>
          <w:tcPr>
            <w:tcW w:w="2591" w:type="dxa"/>
          </w:tcPr>
          <w:p>
            <w:pPr>
              <w:pStyle w:val="TableParagraph"/>
              <w:spacing w:before="36"/>
              <w:ind w:left="107" w:right="91"/>
              <w:jc w:val="both"/>
              <w:rPr>
                <w:sz w:val="21"/>
              </w:rPr>
            </w:pPr>
            <w:r>
              <w:rPr>
                <w:spacing w:val="-14"/>
                <w:sz w:val="21"/>
              </w:rPr>
              <w:t>第 </w:t>
            </w:r>
            <w:r>
              <w:rPr>
                <w:rFonts w:ascii="Times New Roman" w:eastAsia="Times New Roman"/>
                <w:sz w:val="21"/>
              </w:rPr>
              <w:t>8.4</w:t>
            </w:r>
            <w:r>
              <w:rPr>
                <w:rFonts w:ascii="Times New Roman" w:eastAsia="Times New Roman"/>
                <w:spacing w:val="31"/>
                <w:sz w:val="21"/>
              </w:rPr>
              <w:t> </w:t>
            </w:r>
            <w:r>
              <w:rPr>
                <w:spacing w:val="14"/>
                <w:sz w:val="21"/>
              </w:rPr>
              <w:t>节， 人体生物样</w:t>
            </w:r>
            <w:r>
              <w:rPr>
                <w:sz w:val="21"/>
              </w:rPr>
              <w:t>本，附录 </w:t>
            </w:r>
            <w:r>
              <w:rPr>
                <w:rFonts w:ascii="Times New Roman" w:eastAsia="Times New Roman"/>
                <w:sz w:val="21"/>
              </w:rPr>
              <w:t>A3 </w:t>
            </w:r>
            <w:r>
              <w:rPr>
                <w:sz w:val="21"/>
              </w:rPr>
              <w:t>知情同意流</w:t>
            </w:r>
            <w:r>
              <w:rPr>
                <w:spacing w:val="-10"/>
                <w:sz w:val="21"/>
              </w:rPr>
              <w:t>程</w:t>
            </w:r>
          </w:p>
        </w:tc>
        <w:tc>
          <w:tcPr>
            <w:tcW w:w="3021" w:type="dxa"/>
          </w:tcPr>
          <w:p>
            <w:pPr>
              <w:pStyle w:val="TableParagraph"/>
              <w:spacing w:before="36"/>
              <w:ind w:left="106" w:right="98"/>
              <w:jc w:val="both"/>
              <w:rPr>
                <w:sz w:val="21"/>
              </w:rPr>
            </w:pPr>
            <w:r>
              <w:rPr>
                <w:spacing w:val="-2"/>
                <w:sz w:val="21"/>
              </w:rPr>
              <w:t>删除了关于未来研究和可选样</w:t>
            </w:r>
            <w:r>
              <w:rPr>
                <w:spacing w:val="9"/>
                <w:sz w:val="21"/>
              </w:rPr>
              <w:t>本的文本， 因为本研究不适</w:t>
            </w:r>
            <w:r>
              <w:rPr>
                <w:spacing w:val="-6"/>
                <w:sz w:val="21"/>
              </w:rPr>
              <w:t>用。</w:t>
            </w:r>
          </w:p>
        </w:tc>
        <w:tc>
          <w:tcPr>
            <w:tcW w:w="3145" w:type="dxa"/>
          </w:tcPr>
          <w:p>
            <w:pPr>
              <w:pStyle w:val="TableParagraph"/>
              <w:spacing w:before="38"/>
              <w:ind w:left="107"/>
              <w:rPr>
                <w:sz w:val="21"/>
              </w:rPr>
            </w:pPr>
            <w:r>
              <w:rPr>
                <w:spacing w:val="-2"/>
                <w:sz w:val="21"/>
              </w:rPr>
              <w:t>澄清说明。</w:t>
            </w:r>
          </w:p>
        </w:tc>
      </w:tr>
      <w:tr>
        <w:trPr>
          <w:trHeight w:val="1442" w:hRule="atLeast"/>
        </w:trPr>
        <w:tc>
          <w:tcPr>
            <w:tcW w:w="2591" w:type="dxa"/>
          </w:tcPr>
          <w:p>
            <w:pPr>
              <w:pStyle w:val="TableParagraph"/>
              <w:spacing w:before="39"/>
              <w:ind w:left="107"/>
              <w:rPr>
                <w:sz w:val="21"/>
              </w:rPr>
            </w:pPr>
            <w:r>
              <w:rPr>
                <w:spacing w:val="-27"/>
                <w:sz w:val="21"/>
              </w:rPr>
              <w:t>第 </w:t>
            </w:r>
            <w:r>
              <w:rPr>
                <w:rFonts w:ascii="Times New Roman" w:eastAsia="Times New Roman"/>
                <w:sz w:val="21"/>
              </w:rPr>
              <w:t>9.4.2.2</w:t>
            </w:r>
            <w:r>
              <w:rPr>
                <w:rFonts w:ascii="Times New Roman" w:eastAsia="Times New Roman"/>
                <w:spacing w:val="-12"/>
                <w:sz w:val="21"/>
              </w:rPr>
              <w:t> </w:t>
            </w:r>
            <w:r>
              <w:rPr>
                <w:spacing w:val="-2"/>
                <w:sz w:val="21"/>
              </w:rPr>
              <w:t>节，次要终点</w:t>
            </w:r>
          </w:p>
        </w:tc>
        <w:tc>
          <w:tcPr>
            <w:tcW w:w="3021" w:type="dxa"/>
          </w:tcPr>
          <w:p>
            <w:pPr>
              <w:pStyle w:val="TableParagraph"/>
              <w:spacing w:before="38"/>
              <w:ind w:left="106" w:right="97"/>
              <w:jc w:val="both"/>
              <w:rPr>
                <w:sz w:val="21"/>
              </w:rPr>
            </w:pPr>
            <w:r>
              <w:rPr>
                <w:spacing w:val="-5"/>
                <w:sz w:val="21"/>
              </w:rPr>
              <w:t>针对中重度 </w:t>
            </w:r>
            <w:r>
              <w:rPr>
                <w:rFonts w:ascii="Times New Roman" w:hAnsi="Times New Roman" w:eastAsia="Times New Roman"/>
                <w:sz w:val="21"/>
              </w:rPr>
              <w:t>COPD</w:t>
            </w:r>
            <w:r>
              <w:rPr>
                <w:rFonts w:ascii="Times New Roman" w:hAnsi="Times New Roman" w:eastAsia="Times New Roman"/>
                <w:spacing w:val="-13"/>
                <w:sz w:val="21"/>
              </w:rPr>
              <w:t> </w:t>
            </w:r>
            <w:r>
              <w:rPr>
                <w:sz w:val="21"/>
              </w:rPr>
              <w:t>急性加重的</w:t>
            </w:r>
            <w:r>
              <w:rPr>
                <w:spacing w:val="-2"/>
                <w:sz w:val="21"/>
              </w:rPr>
              <w:t>年发生率次要终点，新增“在所有受试者人群（即戒烟者或吸烟者）中，吸烟状态将作为协变量纳入分析”。</w:t>
            </w:r>
          </w:p>
        </w:tc>
        <w:tc>
          <w:tcPr>
            <w:tcW w:w="3145" w:type="dxa"/>
          </w:tcPr>
          <w:p>
            <w:pPr>
              <w:pStyle w:val="TableParagraph"/>
              <w:spacing w:before="38"/>
              <w:ind w:left="107" w:right="98"/>
              <w:rPr>
                <w:sz w:val="21"/>
              </w:rPr>
            </w:pPr>
            <w:r>
              <w:rPr>
                <w:spacing w:val="12"/>
                <w:sz w:val="21"/>
              </w:rPr>
              <w:t>针对所有受试者人群澄清说明</w:t>
            </w:r>
            <w:r>
              <w:rPr>
                <w:spacing w:val="-2"/>
                <w:sz w:val="21"/>
              </w:rPr>
              <w:t>分析详情。</w:t>
            </w:r>
          </w:p>
        </w:tc>
      </w:tr>
      <w:tr>
        <w:trPr>
          <w:trHeight w:val="624" w:hRule="atLeast"/>
        </w:trPr>
        <w:tc>
          <w:tcPr>
            <w:tcW w:w="2591" w:type="dxa"/>
          </w:tcPr>
          <w:p>
            <w:pPr>
              <w:pStyle w:val="TableParagraph"/>
              <w:spacing w:before="38"/>
              <w:ind w:left="107"/>
              <w:rPr>
                <w:sz w:val="21"/>
              </w:rPr>
            </w:pPr>
            <w:r>
              <w:rPr>
                <w:spacing w:val="-33"/>
                <w:sz w:val="21"/>
              </w:rPr>
              <w:t>第 </w:t>
            </w:r>
            <w:r>
              <w:rPr>
                <w:rFonts w:ascii="Times New Roman" w:eastAsia="Times New Roman"/>
                <w:sz w:val="21"/>
              </w:rPr>
              <w:t>10</w:t>
            </w:r>
            <w:r>
              <w:rPr>
                <w:rFonts w:ascii="Times New Roman" w:eastAsia="Times New Roman"/>
                <w:spacing w:val="-20"/>
                <w:sz w:val="21"/>
              </w:rPr>
              <w:t> </w:t>
            </w:r>
            <w:r>
              <w:rPr>
                <w:spacing w:val="9"/>
                <w:sz w:val="21"/>
              </w:rPr>
              <w:t>节，附录</w:t>
            </w:r>
            <w:r>
              <w:rPr>
                <w:rFonts w:ascii="Times New Roman" w:eastAsia="Times New Roman"/>
                <w:sz w:val="21"/>
              </w:rPr>
              <w:t>E</w:t>
            </w:r>
            <w:r>
              <w:rPr>
                <w:rFonts w:ascii="Times New Roman" w:eastAsia="Times New Roman"/>
                <w:spacing w:val="-20"/>
                <w:sz w:val="21"/>
              </w:rPr>
              <w:t> </w:t>
            </w:r>
            <w:r>
              <w:rPr>
                <w:spacing w:val="-3"/>
                <w:sz w:val="21"/>
              </w:rPr>
              <w:t>避孕指南</w:t>
            </w:r>
          </w:p>
        </w:tc>
        <w:tc>
          <w:tcPr>
            <w:tcW w:w="3021" w:type="dxa"/>
          </w:tcPr>
          <w:p>
            <w:pPr>
              <w:pStyle w:val="TableParagraph"/>
              <w:spacing w:before="36"/>
              <w:ind w:left="106" w:right="99"/>
              <w:rPr>
                <w:sz w:val="21"/>
              </w:rPr>
            </w:pPr>
            <w:r>
              <w:rPr>
                <w:spacing w:val="-2"/>
                <w:sz w:val="21"/>
              </w:rPr>
              <w:t>由于印刷错误，绝经后的定义中月份（</w:t>
            </w:r>
            <w:r>
              <w:rPr>
                <w:rFonts w:ascii="Times New Roman" w:eastAsia="Times New Roman"/>
                <w:spacing w:val="-2"/>
                <w:sz w:val="21"/>
              </w:rPr>
              <w:t>12</w:t>
            </w:r>
            <w:r>
              <w:rPr>
                <w:spacing w:val="-2"/>
                <w:sz w:val="21"/>
              </w:rPr>
              <w:t>）缺失。</w:t>
            </w:r>
          </w:p>
        </w:tc>
        <w:tc>
          <w:tcPr>
            <w:tcW w:w="3145" w:type="dxa"/>
          </w:tcPr>
          <w:p>
            <w:pPr>
              <w:pStyle w:val="TableParagraph"/>
              <w:spacing w:before="38"/>
              <w:ind w:left="107"/>
              <w:rPr>
                <w:sz w:val="21"/>
              </w:rPr>
            </w:pPr>
            <w:r>
              <w:rPr>
                <w:spacing w:val="-2"/>
                <w:sz w:val="21"/>
              </w:rPr>
              <w:t>纠正印刷错误。</w:t>
            </w:r>
          </w:p>
        </w:tc>
      </w:tr>
      <w:tr>
        <w:trPr>
          <w:trHeight w:val="624" w:hRule="atLeast"/>
        </w:trPr>
        <w:tc>
          <w:tcPr>
            <w:tcW w:w="2591" w:type="dxa"/>
          </w:tcPr>
          <w:p>
            <w:pPr>
              <w:pStyle w:val="TableParagraph"/>
              <w:spacing w:before="36"/>
              <w:ind w:left="107" w:right="97"/>
              <w:rPr>
                <w:sz w:val="21"/>
              </w:rPr>
            </w:pPr>
            <w:r>
              <w:rPr>
                <w:spacing w:val="-33"/>
                <w:sz w:val="21"/>
              </w:rPr>
              <w:t>第 </w:t>
            </w:r>
            <w:r>
              <w:rPr>
                <w:rFonts w:ascii="Times New Roman" w:eastAsia="Times New Roman"/>
                <w:sz w:val="21"/>
              </w:rPr>
              <w:t>10</w:t>
            </w:r>
            <w:r>
              <w:rPr>
                <w:rFonts w:ascii="Times New Roman" w:eastAsia="Times New Roman"/>
                <w:spacing w:val="-20"/>
                <w:sz w:val="21"/>
              </w:rPr>
              <w:t> </w:t>
            </w:r>
            <w:r>
              <w:rPr>
                <w:spacing w:val="8"/>
                <w:sz w:val="21"/>
              </w:rPr>
              <w:t>节，附录</w:t>
            </w:r>
            <w:r>
              <w:rPr>
                <w:rFonts w:ascii="Times New Roman" w:eastAsia="Times New Roman"/>
                <w:sz w:val="21"/>
              </w:rPr>
              <w:t>L</w:t>
            </w:r>
            <w:r>
              <w:rPr>
                <w:rFonts w:ascii="Times New Roman" w:eastAsia="Times New Roman"/>
                <w:spacing w:val="-20"/>
                <w:sz w:val="21"/>
              </w:rPr>
              <w:t> </w:t>
            </w:r>
            <w:r>
              <w:rPr>
                <w:sz w:val="21"/>
              </w:rPr>
              <w:t>方案版本</w:t>
            </w:r>
            <w:r>
              <w:rPr>
                <w:spacing w:val="-6"/>
                <w:sz w:val="21"/>
              </w:rPr>
              <w:t>历史</w:t>
            </w:r>
          </w:p>
        </w:tc>
        <w:tc>
          <w:tcPr>
            <w:tcW w:w="3021" w:type="dxa"/>
          </w:tcPr>
          <w:p>
            <w:pPr>
              <w:pStyle w:val="TableParagraph"/>
              <w:spacing w:before="36"/>
              <w:ind w:left="106"/>
              <w:rPr>
                <w:rFonts w:ascii="Times New Roman" w:eastAsia="Times New Roman"/>
                <w:sz w:val="21"/>
              </w:rPr>
            </w:pPr>
            <w:r>
              <w:rPr>
                <w:spacing w:val="-30"/>
                <w:sz w:val="21"/>
              </w:rPr>
              <w:t>将 </w:t>
            </w:r>
            <w:r>
              <w:rPr>
                <w:rFonts w:ascii="Times New Roman" w:eastAsia="Times New Roman"/>
                <w:spacing w:val="-2"/>
                <w:sz w:val="21"/>
              </w:rPr>
              <w:t>CSP</w:t>
            </w:r>
            <w:r>
              <w:rPr>
                <w:rFonts w:ascii="Times New Roman" w:eastAsia="Times New Roman"/>
                <w:spacing w:val="-13"/>
                <w:sz w:val="21"/>
              </w:rPr>
              <w:t> </w:t>
            </w:r>
            <w:r>
              <w:rPr>
                <w:spacing w:val="-29"/>
                <w:sz w:val="21"/>
              </w:rPr>
              <w:t>第 </w:t>
            </w:r>
            <w:r>
              <w:rPr>
                <w:rFonts w:ascii="Times New Roman" w:eastAsia="Times New Roman"/>
                <w:spacing w:val="-2"/>
                <w:sz w:val="21"/>
              </w:rPr>
              <w:t>2</w:t>
            </w:r>
            <w:r>
              <w:rPr>
                <w:rFonts w:ascii="Times New Roman" w:eastAsia="Times New Roman"/>
                <w:spacing w:val="-11"/>
                <w:sz w:val="21"/>
              </w:rPr>
              <w:t> </w:t>
            </w:r>
            <w:r>
              <w:rPr>
                <w:spacing w:val="-2"/>
                <w:sz w:val="21"/>
              </w:rPr>
              <w:t>版（</w:t>
            </w:r>
            <w:r>
              <w:rPr>
                <w:rFonts w:ascii="Times New Roman" w:eastAsia="Times New Roman"/>
                <w:spacing w:val="-2"/>
                <w:sz w:val="21"/>
              </w:rPr>
              <w:t>2023</w:t>
            </w:r>
            <w:r>
              <w:rPr>
                <w:rFonts w:ascii="Times New Roman" w:eastAsia="Times New Roman"/>
                <w:spacing w:val="-12"/>
                <w:sz w:val="21"/>
              </w:rPr>
              <w:t> </w:t>
            </w:r>
            <w:r>
              <w:rPr>
                <w:spacing w:val="-30"/>
                <w:sz w:val="21"/>
              </w:rPr>
              <w:t>年 </w:t>
            </w:r>
            <w:r>
              <w:rPr>
                <w:rFonts w:ascii="Times New Roman" w:eastAsia="Times New Roman"/>
                <w:spacing w:val="-2"/>
                <w:sz w:val="21"/>
              </w:rPr>
              <w:t>7</w:t>
            </w:r>
            <w:r>
              <w:rPr>
                <w:rFonts w:ascii="Times New Roman" w:eastAsia="Times New Roman"/>
                <w:spacing w:val="-11"/>
                <w:sz w:val="21"/>
              </w:rPr>
              <w:t> </w:t>
            </w:r>
            <w:r>
              <w:rPr>
                <w:spacing w:val="-29"/>
                <w:sz w:val="21"/>
              </w:rPr>
              <w:t>月 </w:t>
            </w:r>
            <w:r>
              <w:rPr>
                <w:rFonts w:ascii="Times New Roman" w:eastAsia="Times New Roman"/>
                <w:spacing w:val="-5"/>
                <w:sz w:val="21"/>
              </w:rPr>
              <w:t>27</w:t>
            </w:r>
          </w:p>
          <w:p>
            <w:pPr>
              <w:pStyle w:val="TableParagraph"/>
              <w:spacing w:before="1"/>
              <w:ind w:left="106"/>
              <w:rPr>
                <w:sz w:val="21"/>
              </w:rPr>
            </w:pPr>
            <w:r>
              <w:rPr>
                <w:sz w:val="21"/>
              </w:rPr>
              <w:t>日）</w:t>
            </w:r>
            <w:r>
              <w:rPr>
                <w:spacing w:val="-1"/>
                <w:sz w:val="21"/>
              </w:rPr>
              <w:t>中的变更总结移至附录。</w:t>
            </w:r>
          </w:p>
        </w:tc>
        <w:tc>
          <w:tcPr>
            <w:tcW w:w="3145" w:type="dxa"/>
          </w:tcPr>
          <w:p>
            <w:pPr>
              <w:pStyle w:val="TableParagraph"/>
              <w:spacing w:before="36"/>
              <w:ind w:left="107" w:right="98"/>
              <w:rPr>
                <w:sz w:val="21"/>
              </w:rPr>
            </w:pPr>
            <w:r>
              <w:rPr>
                <w:spacing w:val="12"/>
                <w:sz w:val="21"/>
              </w:rPr>
              <w:t>将研究方案的既往版本新增为</w:t>
            </w:r>
            <w:r>
              <w:rPr>
                <w:spacing w:val="-4"/>
                <w:sz w:val="21"/>
              </w:rPr>
              <w:t>附录。</w:t>
            </w:r>
          </w:p>
        </w:tc>
      </w:tr>
      <w:tr>
        <w:trPr>
          <w:trHeight w:val="1481" w:hRule="atLeast"/>
        </w:trPr>
        <w:tc>
          <w:tcPr>
            <w:tcW w:w="2591" w:type="dxa"/>
          </w:tcPr>
          <w:p>
            <w:pPr>
              <w:pStyle w:val="TableParagraph"/>
              <w:spacing w:before="38"/>
              <w:ind w:left="107"/>
              <w:rPr>
                <w:sz w:val="21"/>
              </w:rPr>
            </w:pPr>
            <w:r>
              <w:rPr>
                <w:spacing w:val="-27"/>
                <w:sz w:val="21"/>
              </w:rPr>
              <w:t>第 </w:t>
            </w:r>
            <w:r>
              <w:rPr>
                <w:rFonts w:ascii="Times New Roman" w:eastAsia="Times New Roman"/>
                <w:sz w:val="21"/>
              </w:rPr>
              <w:t>11</w:t>
            </w:r>
            <w:r>
              <w:rPr>
                <w:rFonts w:ascii="Times New Roman" w:eastAsia="Times New Roman"/>
                <w:spacing w:val="-12"/>
                <w:sz w:val="21"/>
              </w:rPr>
              <w:t> </w:t>
            </w:r>
            <w:r>
              <w:rPr>
                <w:spacing w:val="-2"/>
                <w:sz w:val="21"/>
              </w:rPr>
              <w:t>节，参考文献</w:t>
            </w:r>
          </w:p>
        </w:tc>
        <w:tc>
          <w:tcPr>
            <w:tcW w:w="3021" w:type="dxa"/>
          </w:tcPr>
          <w:p>
            <w:pPr>
              <w:pStyle w:val="TableParagraph"/>
              <w:spacing w:before="36"/>
              <w:ind w:left="106" w:right="97"/>
              <w:jc w:val="both"/>
              <w:rPr>
                <w:sz w:val="21"/>
              </w:rPr>
            </w:pPr>
            <w:r>
              <w:rPr>
                <w:spacing w:val="8"/>
                <w:sz w:val="21"/>
              </w:rPr>
              <w:t>增加参考文献：</w:t>
            </w:r>
            <w:r>
              <w:rPr>
                <w:rFonts w:ascii="Times New Roman" w:eastAsia="Times New Roman"/>
                <w:sz w:val="21"/>
              </w:rPr>
              <w:t>Fleming </w:t>
            </w:r>
            <w:r>
              <w:rPr>
                <w:rFonts w:ascii="Times New Roman" w:eastAsia="Times New Roman"/>
                <w:sz w:val="21"/>
              </w:rPr>
              <w:t>2011, Gottlow</w:t>
            </w:r>
            <w:r>
              <w:rPr>
                <w:rFonts w:ascii="Times New Roman" w:eastAsia="Times New Roman"/>
                <w:spacing w:val="-5"/>
                <w:sz w:val="21"/>
              </w:rPr>
              <w:t> </w:t>
            </w:r>
            <w:r>
              <w:rPr>
                <w:rFonts w:ascii="Times New Roman" w:eastAsia="Times New Roman"/>
                <w:sz w:val="21"/>
              </w:rPr>
              <w:t>et</w:t>
            </w:r>
            <w:r>
              <w:rPr>
                <w:rFonts w:ascii="Times New Roman" w:eastAsia="Times New Roman"/>
                <w:spacing w:val="-5"/>
                <w:sz w:val="21"/>
              </w:rPr>
              <w:t> </w:t>
            </w:r>
            <w:r>
              <w:rPr>
                <w:rFonts w:ascii="Times New Roman" w:eastAsia="Times New Roman"/>
                <w:sz w:val="21"/>
              </w:rPr>
              <w:t>al</w:t>
            </w:r>
            <w:r>
              <w:rPr>
                <w:rFonts w:ascii="Times New Roman" w:eastAsia="Times New Roman"/>
                <w:spacing w:val="-6"/>
                <w:sz w:val="21"/>
              </w:rPr>
              <w:t> </w:t>
            </w:r>
            <w:r>
              <w:rPr>
                <w:rFonts w:ascii="Times New Roman" w:eastAsia="Times New Roman"/>
                <w:sz w:val="21"/>
              </w:rPr>
              <w:t>2015</w:t>
            </w:r>
            <w:r>
              <w:rPr>
                <w:sz w:val="21"/>
              </w:rPr>
              <w:t>，</w:t>
            </w:r>
            <w:r>
              <w:rPr>
                <w:rFonts w:ascii="Times New Roman" w:eastAsia="Times New Roman"/>
                <w:sz w:val="21"/>
              </w:rPr>
              <w:t>Ratitch</w:t>
            </w:r>
            <w:r>
              <w:rPr>
                <w:rFonts w:ascii="Times New Roman" w:eastAsia="Times New Roman"/>
                <w:spacing w:val="-5"/>
                <w:sz w:val="21"/>
              </w:rPr>
              <w:t> </w:t>
            </w:r>
            <w:r>
              <w:rPr>
                <w:rFonts w:ascii="Times New Roman" w:eastAsia="Times New Roman"/>
                <w:sz w:val="21"/>
              </w:rPr>
              <w:t>et</w:t>
            </w:r>
            <w:r>
              <w:rPr>
                <w:rFonts w:ascii="Times New Roman" w:eastAsia="Times New Roman"/>
                <w:spacing w:val="-5"/>
                <w:sz w:val="21"/>
              </w:rPr>
              <w:t> </w:t>
            </w:r>
            <w:r>
              <w:rPr>
                <w:rFonts w:ascii="Times New Roman" w:eastAsia="Times New Roman"/>
                <w:sz w:val="21"/>
              </w:rPr>
              <w:t>al 2013, </w:t>
            </w:r>
            <w:r>
              <w:rPr>
                <w:spacing w:val="-8"/>
                <w:sz w:val="21"/>
              </w:rPr>
              <w:t>以及 </w:t>
            </w:r>
            <w:r>
              <w:rPr>
                <w:rFonts w:ascii="Times New Roman" w:eastAsia="Times New Roman"/>
                <w:sz w:val="21"/>
              </w:rPr>
              <w:t>Wan et al 2015</w:t>
            </w:r>
            <w:r>
              <w:rPr>
                <w:sz w:val="21"/>
              </w:rPr>
              <w:t>。</w:t>
            </w:r>
          </w:p>
          <w:p>
            <w:pPr>
              <w:pStyle w:val="TableParagraph"/>
              <w:spacing w:line="273" w:lineRule="exact" w:before="39"/>
              <w:ind w:left="106"/>
              <w:jc w:val="both"/>
              <w:rPr>
                <w:sz w:val="21"/>
              </w:rPr>
            </w:pPr>
            <w:r>
              <w:rPr>
                <w:spacing w:val="-9"/>
                <w:sz w:val="21"/>
              </w:rPr>
              <w:t>删除 </w:t>
            </w:r>
            <w:r>
              <w:rPr>
                <w:rFonts w:ascii="Times New Roman" w:eastAsia="Times New Roman"/>
                <w:sz w:val="21"/>
              </w:rPr>
              <w:t>Lipkovich</w:t>
            </w:r>
            <w:r>
              <w:rPr>
                <w:rFonts w:ascii="Times New Roman" w:eastAsia="Times New Roman"/>
                <w:spacing w:val="25"/>
                <w:sz w:val="21"/>
              </w:rPr>
              <w:t> </w:t>
            </w:r>
            <w:r>
              <w:rPr>
                <w:rFonts w:ascii="Times New Roman" w:eastAsia="Times New Roman"/>
                <w:sz w:val="21"/>
              </w:rPr>
              <w:t>et</w:t>
            </w:r>
            <w:r>
              <w:rPr>
                <w:rFonts w:ascii="Times New Roman" w:eastAsia="Times New Roman"/>
                <w:spacing w:val="25"/>
                <w:sz w:val="21"/>
              </w:rPr>
              <w:t> </w:t>
            </w:r>
            <w:r>
              <w:rPr>
                <w:rFonts w:ascii="Times New Roman" w:eastAsia="Times New Roman"/>
                <w:sz w:val="21"/>
              </w:rPr>
              <w:t>al</w:t>
            </w:r>
            <w:r>
              <w:rPr>
                <w:rFonts w:ascii="Times New Roman" w:eastAsia="Times New Roman"/>
                <w:spacing w:val="25"/>
                <w:sz w:val="21"/>
              </w:rPr>
              <w:t> </w:t>
            </w:r>
            <w:r>
              <w:rPr>
                <w:rFonts w:ascii="Times New Roman" w:eastAsia="Times New Roman"/>
                <w:sz w:val="21"/>
              </w:rPr>
              <w:t>2016</w:t>
            </w:r>
            <w:r>
              <w:rPr>
                <w:rFonts w:ascii="Times New Roman" w:eastAsia="Times New Roman"/>
                <w:spacing w:val="11"/>
                <w:sz w:val="21"/>
              </w:rPr>
              <w:t> </w:t>
            </w:r>
            <w:r>
              <w:rPr>
                <w:spacing w:val="-5"/>
                <w:sz w:val="21"/>
              </w:rPr>
              <w:t>以及</w:t>
            </w:r>
          </w:p>
          <w:p>
            <w:pPr>
              <w:pStyle w:val="TableParagraph"/>
              <w:spacing w:line="273" w:lineRule="exact"/>
              <w:ind w:left="106"/>
              <w:jc w:val="both"/>
              <w:rPr>
                <w:sz w:val="21"/>
              </w:rPr>
            </w:pPr>
            <w:r>
              <w:rPr>
                <w:rFonts w:ascii="Times New Roman" w:eastAsia="Times New Roman"/>
                <w:sz w:val="21"/>
              </w:rPr>
              <w:t>Moscovici</w:t>
            </w:r>
            <w:r>
              <w:rPr>
                <w:rFonts w:ascii="Times New Roman" w:eastAsia="Times New Roman"/>
                <w:spacing w:val="-1"/>
                <w:sz w:val="21"/>
              </w:rPr>
              <w:t> </w:t>
            </w:r>
            <w:r>
              <w:rPr>
                <w:rFonts w:ascii="Times New Roman" w:eastAsia="Times New Roman"/>
                <w:sz w:val="21"/>
              </w:rPr>
              <w:t>et al 2017</w:t>
            </w:r>
            <w:r>
              <w:rPr>
                <w:spacing w:val="-10"/>
                <w:sz w:val="21"/>
              </w:rPr>
              <w:t>。</w:t>
            </w:r>
          </w:p>
        </w:tc>
        <w:tc>
          <w:tcPr>
            <w:tcW w:w="3145" w:type="dxa"/>
          </w:tcPr>
          <w:p>
            <w:pPr>
              <w:pStyle w:val="TableParagraph"/>
              <w:spacing w:before="38"/>
              <w:ind w:left="107"/>
              <w:rPr>
                <w:sz w:val="21"/>
              </w:rPr>
            </w:pPr>
            <w:r>
              <w:rPr>
                <w:spacing w:val="-2"/>
                <w:sz w:val="21"/>
              </w:rPr>
              <w:t>更新参考文献。</w:t>
            </w:r>
          </w:p>
        </w:tc>
      </w:tr>
    </w:tbl>
    <w:p>
      <w:pPr>
        <w:pStyle w:val="BodyText"/>
        <w:spacing w:before="85"/>
        <w:ind w:left="0"/>
        <w:rPr>
          <w:b/>
        </w:rPr>
      </w:pPr>
    </w:p>
    <w:p>
      <w:pPr>
        <w:spacing w:before="0"/>
        <w:ind w:left="221" w:right="0" w:firstLine="0"/>
        <w:jc w:val="left"/>
        <w:rPr>
          <w:b/>
          <w:sz w:val="24"/>
        </w:rPr>
      </w:pPr>
      <w:r>
        <w:rPr>
          <w:rFonts w:ascii="Times New Roman" w:eastAsia="Times New Roman"/>
          <w:b/>
          <w:sz w:val="24"/>
        </w:rPr>
        <w:t>CSP</w:t>
      </w:r>
      <w:r>
        <w:rPr>
          <w:rFonts w:ascii="Times New Roman" w:eastAsia="Times New Roman"/>
          <w:b/>
          <w:spacing w:val="-15"/>
          <w:sz w:val="24"/>
        </w:rPr>
        <w:t> </w:t>
      </w:r>
      <w:r>
        <w:rPr>
          <w:b/>
          <w:spacing w:val="-12"/>
          <w:sz w:val="24"/>
        </w:rPr>
        <w:t>版本：第 </w:t>
      </w:r>
      <w:r>
        <w:rPr>
          <w:rFonts w:ascii="Times New Roman" w:eastAsia="Times New Roman"/>
          <w:b/>
          <w:sz w:val="24"/>
        </w:rPr>
        <w:t>2.0</w:t>
      </w:r>
      <w:r>
        <w:rPr>
          <w:rFonts w:ascii="Times New Roman" w:eastAsia="Times New Roman"/>
          <w:b/>
          <w:spacing w:val="-15"/>
          <w:sz w:val="24"/>
        </w:rPr>
        <w:t> </w:t>
      </w:r>
      <w:r>
        <w:rPr>
          <w:b/>
          <w:sz w:val="24"/>
        </w:rPr>
        <w:t>版，</w:t>
      </w:r>
      <w:r>
        <w:rPr>
          <w:rFonts w:ascii="Times New Roman" w:eastAsia="Times New Roman"/>
          <w:b/>
          <w:sz w:val="24"/>
        </w:rPr>
        <w:t>2023</w:t>
      </w:r>
      <w:r>
        <w:rPr>
          <w:rFonts w:ascii="Times New Roman" w:eastAsia="Times New Roman"/>
          <w:b/>
          <w:spacing w:val="-11"/>
          <w:sz w:val="24"/>
        </w:rPr>
        <w:t> </w:t>
      </w:r>
      <w:r>
        <w:rPr>
          <w:b/>
          <w:spacing w:val="-30"/>
          <w:sz w:val="24"/>
        </w:rPr>
        <w:t>年 </w:t>
      </w:r>
      <w:r>
        <w:rPr>
          <w:rFonts w:ascii="Times New Roman" w:eastAsia="Times New Roman"/>
          <w:b/>
          <w:sz w:val="24"/>
        </w:rPr>
        <w:t>7</w:t>
      </w:r>
      <w:r>
        <w:rPr>
          <w:rFonts w:ascii="Times New Roman" w:eastAsia="Times New Roman"/>
          <w:b/>
          <w:spacing w:val="-12"/>
          <w:sz w:val="24"/>
        </w:rPr>
        <w:t> </w:t>
      </w:r>
      <w:r>
        <w:rPr>
          <w:b/>
          <w:spacing w:val="-30"/>
          <w:sz w:val="24"/>
        </w:rPr>
        <w:t>月 </w:t>
      </w:r>
      <w:r>
        <w:rPr>
          <w:rFonts w:ascii="Times New Roman" w:eastAsia="Times New Roman"/>
          <w:b/>
          <w:sz w:val="24"/>
        </w:rPr>
        <w:t>27</w:t>
      </w:r>
      <w:r>
        <w:rPr>
          <w:rFonts w:ascii="Times New Roman" w:eastAsia="Times New Roman"/>
          <w:b/>
          <w:spacing w:val="-11"/>
          <w:sz w:val="24"/>
        </w:rPr>
        <w:t> </w:t>
      </w:r>
      <w:r>
        <w:rPr>
          <w:b/>
          <w:spacing w:val="-10"/>
          <w:sz w:val="24"/>
        </w:rPr>
        <w:t>日</w:t>
      </w:r>
    </w:p>
    <w:p>
      <w:pPr>
        <w:pStyle w:val="BodyText"/>
        <w:spacing w:before="120"/>
        <w:ind w:left="701"/>
        <w:rPr>
          <w:rFonts w:ascii="Times New Roman" w:eastAsia="Times New Roman"/>
        </w:rPr>
      </w:pPr>
      <w:r>
        <w:rPr>
          <w:spacing w:val="-4"/>
        </w:rPr>
        <w:t>根据欧洲议会和欧盟理事会指令 </w:t>
      </w:r>
      <w:r>
        <w:rPr>
          <w:rFonts w:ascii="Times New Roman" w:eastAsia="Times New Roman"/>
        </w:rPr>
        <w:t>2001/20/EC</w:t>
      </w:r>
      <w:r>
        <w:rPr>
          <w:rFonts w:ascii="Times New Roman" w:eastAsia="Times New Roman"/>
          <w:spacing w:val="-8"/>
        </w:rPr>
        <w:t> </w:t>
      </w:r>
      <w:r>
        <w:rPr>
          <w:spacing w:val="-26"/>
        </w:rPr>
        <w:t>第 </w:t>
      </w:r>
      <w:r>
        <w:rPr>
          <w:rFonts w:ascii="Times New Roman" w:eastAsia="Times New Roman"/>
        </w:rPr>
        <w:t>10</w:t>
      </w:r>
      <w:r>
        <w:rPr/>
        <w:t>（</w:t>
      </w:r>
      <w:r>
        <w:rPr>
          <w:rFonts w:ascii="Times New Roman" w:eastAsia="Times New Roman"/>
        </w:rPr>
        <w:t>a</w:t>
      </w:r>
      <w:r>
        <w:rPr/>
        <w:t>）</w:t>
      </w:r>
      <w:r>
        <w:rPr>
          <w:spacing w:val="-13"/>
        </w:rPr>
        <w:t>条以及 </w:t>
      </w:r>
      <w:r>
        <w:rPr>
          <w:rFonts w:ascii="Times New Roman" w:eastAsia="Times New Roman"/>
        </w:rPr>
        <w:t>EU</w:t>
      </w:r>
      <w:r>
        <w:rPr>
          <w:rFonts w:ascii="Times New Roman" w:eastAsia="Times New Roman"/>
          <w:spacing w:val="29"/>
        </w:rPr>
        <w:t> </w:t>
      </w:r>
      <w:r>
        <w:rPr>
          <w:rFonts w:ascii="Times New Roman" w:eastAsia="Times New Roman"/>
        </w:rPr>
        <w:t>CTR</w:t>
      </w:r>
      <w:r>
        <w:rPr>
          <w:rFonts w:ascii="Times New Roman" w:eastAsia="Times New Roman"/>
          <w:spacing w:val="-6"/>
        </w:rPr>
        <w:t> </w:t>
      </w:r>
      <w:r>
        <w:rPr>
          <w:spacing w:val="-26"/>
        </w:rPr>
        <w:t>第 </w:t>
      </w:r>
      <w:r>
        <w:rPr>
          <w:rFonts w:ascii="Times New Roman" w:eastAsia="Times New Roman"/>
        </w:rPr>
        <w:t>2</w:t>
      </w:r>
      <w:r>
        <w:rPr/>
        <w:t>、</w:t>
      </w:r>
      <w:r>
        <w:rPr>
          <w:rFonts w:ascii="Times New Roman" w:eastAsia="Times New Roman"/>
          <w:spacing w:val="-10"/>
        </w:rPr>
        <w:t>2</w:t>
      </w:r>
    </w:p>
    <w:p>
      <w:pPr>
        <w:pStyle w:val="BodyText"/>
        <w:spacing w:before="46"/>
        <w:ind w:left="101"/>
      </w:pPr>
      <w:r>
        <w:rPr/>
        <w:t>（</w:t>
      </w:r>
      <w:r>
        <w:rPr>
          <w:rFonts w:ascii="Times New Roman" w:eastAsia="Times New Roman"/>
        </w:rPr>
        <w:t>13</w:t>
      </w:r>
      <w:r>
        <w:rPr/>
        <w:t>）</w:t>
      </w:r>
      <w:r>
        <w:rPr>
          <w:spacing w:val="-1"/>
        </w:rPr>
        <w:t>条规定的标准，认为该修订案属于实质性变更。</w:t>
      </w:r>
    </w:p>
    <w:p>
      <w:pPr>
        <w:pStyle w:val="Heading3"/>
        <w:spacing w:before="286"/>
      </w:pPr>
      <w:r>
        <w:rPr>
          <w:spacing w:val="-5"/>
        </w:rPr>
        <w:t>修订的总体依据：</w:t>
      </w:r>
    </w:p>
    <w:p>
      <w:pPr>
        <w:pStyle w:val="BodyText"/>
        <w:spacing w:before="120"/>
        <w:ind w:left="701"/>
        <w:rPr>
          <w:rFonts w:ascii="Times New Roman" w:eastAsia="Times New Roman"/>
        </w:rPr>
      </w:pPr>
      <w:r>
        <w:rPr>
          <w:spacing w:val="-1"/>
        </w:rPr>
        <w:t>本修订案的主要目的是解释前身研究的更新，以减少 </w:t>
      </w:r>
      <w:r>
        <w:rPr>
          <w:rFonts w:ascii="Times New Roman" w:eastAsia="Times New Roman"/>
        </w:rPr>
        <w:t>tozorakimab</w:t>
      </w:r>
      <w:r>
        <w:rPr>
          <w:rFonts w:ascii="Times New Roman" w:eastAsia="Times New Roman"/>
          <w:spacing w:val="29"/>
        </w:rPr>
        <w:t> </w:t>
      </w:r>
      <w:r>
        <w:rPr>
          <w:rFonts w:ascii="Times New Roman" w:eastAsia="Times New Roman"/>
        </w:rPr>
        <w:t>300</w:t>
      </w:r>
      <w:r>
        <w:rPr>
          <w:rFonts w:ascii="Times New Roman" w:eastAsia="Times New Roman"/>
          <w:spacing w:val="29"/>
        </w:rPr>
        <w:t> </w:t>
      </w:r>
      <w:r>
        <w:rPr>
          <w:rFonts w:ascii="Times New Roman" w:eastAsia="Times New Roman"/>
        </w:rPr>
        <w:t>mg</w:t>
      </w:r>
      <w:r>
        <w:rPr>
          <w:rFonts w:ascii="Times New Roman" w:eastAsia="Times New Roman"/>
          <w:spacing w:val="30"/>
        </w:rPr>
        <w:t> </w:t>
      </w:r>
      <w:r>
        <w:rPr>
          <w:rFonts w:ascii="Times New Roman" w:eastAsia="Times New Roman"/>
          <w:spacing w:val="-5"/>
        </w:rPr>
        <w:t>Q8W</w:t>
      </w:r>
    </w:p>
    <w:p>
      <w:pPr>
        <w:pStyle w:val="BodyText"/>
        <w:spacing w:before="45"/>
      </w:pPr>
      <w:r>
        <w:rPr>
          <w:spacing w:val="-1"/>
        </w:rPr>
        <w:t>组的样本量，并更新治疗期的持续时间。</w:t>
      </w:r>
    </w:p>
    <w:p>
      <w:pPr>
        <w:spacing w:after="0"/>
        <w:sectPr>
          <w:pgSz w:w="11910" w:h="16840"/>
          <w:pgMar w:header="590" w:footer="784" w:top="1340" w:bottom="980" w:left="1480" w:right="1080"/>
        </w:sectPr>
      </w:pPr>
    </w:p>
    <w:p>
      <w:pPr>
        <w:pStyle w:val="BodyText"/>
        <w:spacing w:line="276" w:lineRule="auto" w:before="88"/>
        <w:ind w:right="356" w:firstLine="480"/>
        <w:jc w:val="both"/>
      </w:pPr>
      <w:r>
        <w:rPr>
          <w:spacing w:val="-1"/>
        </w:rPr>
        <w:t>该变更的依据是在中度至重度特应性皮炎和哮喘患者中开展的 </w:t>
      </w:r>
      <w:r>
        <w:rPr>
          <w:rFonts w:ascii="Times New Roman" w:eastAsia="Times New Roman"/>
        </w:rPr>
        <w:t>II </w:t>
      </w:r>
      <w:r>
        <w:rPr/>
        <w:t>期研究近期数</w:t>
      </w:r>
      <w:r>
        <w:rPr>
          <w:spacing w:val="-7"/>
        </w:rPr>
        <w:t>据，观察到 </w:t>
      </w:r>
      <w:r>
        <w:rPr>
          <w:rFonts w:ascii="Times New Roman" w:eastAsia="Times New Roman"/>
          <w:spacing w:val="-2"/>
        </w:rPr>
        <w:t>PK</w:t>
      </w:r>
      <w:r>
        <w:rPr>
          <w:rFonts w:ascii="Times New Roman" w:eastAsia="Times New Roman"/>
          <w:spacing w:val="-13"/>
        </w:rPr>
        <w:t> </w:t>
      </w:r>
      <w:r>
        <w:rPr>
          <w:spacing w:val="-7"/>
        </w:rPr>
        <w:t>谷浓度低于 </w:t>
      </w:r>
      <w:r>
        <w:rPr>
          <w:rFonts w:ascii="Times New Roman" w:eastAsia="Times New Roman"/>
          <w:spacing w:val="-2"/>
        </w:rPr>
        <w:t>I</w:t>
      </w:r>
      <w:r>
        <w:rPr>
          <w:rFonts w:ascii="Times New Roman" w:eastAsia="Times New Roman"/>
          <w:spacing w:val="-13"/>
        </w:rPr>
        <w:t> </w:t>
      </w:r>
      <w:r>
        <w:rPr>
          <w:spacing w:val="-2"/>
        </w:rPr>
        <w:t>期健康志愿者研究的结果（</w:t>
      </w:r>
      <w:r>
        <w:rPr>
          <w:rFonts w:ascii="Times New Roman" w:eastAsia="Times New Roman"/>
          <w:spacing w:val="-2"/>
        </w:rPr>
        <w:t>30%</w:t>
      </w:r>
      <w:r>
        <w:rPr>
          <w:spacing w:val="-15"/>
        </w:rPr>
        <w:t>至 </w:t>
      </w:r>
      <w:r>
        <w:rPr>
          <w:rFonts w:ascii="Times New Roman" w:eastAsia="Times New Roman"/>
          <w:spacing w:val="-2"/>
        </w:rPr>
        <w:t>35%</w:t>
      </w:r>
      <w:r>
        <w:rPr>
          <w:spacing w:val="-2"/>
        </w:rPr>
        <w:t>）。根据该更新</w:t>
      </w:r>
      <w:r>
        <w:rPr>
          <w:spacing w:val="-5"/>
        </w:rPr>
        <w:t>药物暴露量数据，预测 </w:t>
      </w:r>
      <w:r>
        <w:rPr>
          <w:rFonts w:ascii="Times New Roman" w:eastAsia="Times New Roman"/>
          <w:spacing w:val="-2"/>
        </w:rPr>
        <w:t>300</w:t>
      </w:r>
      <w:r>
        <w:rPr>
          <w:rFonts w:ascii="Times New Roman" w:eastAsia="Times New Roman"/>
          <w:spacing w:val="-13"/>
        </w:rPr>
        <w:t> </w:t>
      </w:r>
      <w:r>
        <w:rPr>
          <w:rFonts w:ascii="Times New Roman" w:eastAsia="Times New Roman"/>
          <w:spacing w:val="-2"/>
        </w:rPr>
        <w:t>mg</w:t>
      </w:r>
      <w:r>
        <w:rPr>
          <w:rFonts w:ascii="Times New Roman" w:eastAsia="Times New Roman"/>
          <w:spacing w:val="-13"/>
        </w:rPr>
        <w:t> </w:t>
      </w:r>
      <w:r>
        <w:rPr>
          <w:rFonts w:ascii="Times New Roman" w:eastAsia="Times New Roman"/>
          <w:spacing w:val="-2"/>
        </w:rPr>
        <w:t>Q4W</w:t>
      </w:r>
      <w:r>
        <w:rPr>
          <w:rFonts w:ascii="Times New Roman" w:eastAsia="Times New Roman"/>
          <w:spacing w:val="-13"/>
        </w:rPr>
        <w:t> </w:t>
      </w:r>
      <w:r>
        <w:rPr>
          <w:spacing w:val="-2"/>
        </w:rPr>
        <w:t>方案肺部</w:t>
      </w:r>
      <w:r>
        <w:rPr>
          <w:rFonts w:ascii="Times New Roman" w:eastAsia="Times New Roman"/>
          <w:spacing w:val="-2"/>
        </w:rPr>
        <w:t>IL-33</w:t>
      </w:r>
      <w:r>
        <w:rPr>
          <w:rFonts w:ascii="Times New Roman" w:eastAsia="Times New Roman"/>
          <w:spacing w:val="-13"/>
        </w:rPr>
        <w:t> </w:t>
      </w:r>
      <w:r>
        <w:rPr>
          <w:spacing w:val="-7"/>
        </w:rPr>
        <w:t>抑制作用从 </w:t>
      </w:r>
      <w:r>
        <w:rPr>
          <w:rFonts w:ascii="Times New Roman" w:eastAsia="Times New Roman"/>
          <w:spacing w:val="-2"/>
        </w:rPr>
        <w:t>94%</w:t>
      </w:r>
      <w:r>
        <w:rPr>
          <w:spacing w:val="-11"/>
        </w:rPr>
        <w:t>降至 </w:t>
      </w:r>
      <w:r>
        <w:rPr>
          <w:rFonts w:ascii="Times New Roman" w:eastAsia="Times New Roman"/>
          <w:spacing w:val="-2"/>
        </w:rPr>
        <w:t>92%</w:t>
      </w:r>
      <w:r>
        <w:rPr>
          <w:spacing w:val="-2"/>
        </w:rPr>
        <w:t>，但仍</w:t>
      </w:r>
      <w:r>
        <w:rPr>
          <w:spacing w:val="-11"/>
        </w:rPr>
        <w:t>高于 </w:t>
      </w:r>
      <w:r>
        <w:rPr>
          <w:rFonts w:ascii="Times New Roman" w:eastAsia="Times New Roman"/>
          <w:spacing w:val="-2"/>
        </w:rPr>
        <w:t>90%</w:t>
      </w:r>
      <w:r>
        <w:rPr>
          <w:spacing w:val="-9"/>
        </w:rPr>
        <w:t>；下降 </w:t>
      </w:r>
      <w:r>
        <w:rPr>
          <w:rFonts w:ascii="Times New Roman" w:eastAsia="Times New Roman"/>
          <w:spacing w:val="-2"/>
        </w:rPr>
        <w:t>2%</w:t>
      </w:r>
      <w:r>
        <w:rPr>
          <w:spacing w:val="-2"/>
        </w:rPr>
        <w:t>表明该剂量处于剂量</w:t>
      </w:r>
      <w:r>
        <w:rPr>
          <w:rFonts w:ascii="Times New Roman" w:eastAsia="Times New Roman"/>
          <w:spacing w:val="-2"/>
        </w:rPr>
        <w:t>-</w:t>
      </w:r>
      <w:r>
        <w:rPr>
          <w:spacing w:val="-2"/>
        </w:rPr>
        <w:t>效应曲线的平坦部分。然而，</w:t>
      </w:r>
      <w:r>
        <w:rPr>
          <w:rFonts w:ascii="Times New Roman" w:eastAsia="Times New Roman"/>
          <w:spacing w:val="-2"/>
        </w:rPr>
        <w:t>300</w:t>
      </w:r>
      <w:r>
        <w:rPr>
          <w:rFonts w:ascii="Times New Roman" w:eastAsia="Times New Roman"/>
          <w:spacing w:val="-13"/>
        </w:rPr>
        <w:t> </w:t>
      </w:r>
      <w:r>
        <w:rPr>
          <w:rFonts w:ascii="Times New Roman" w:eastAsia="Times New Roman"/>
          <w:spacing w:val="-2"/>
        </w:rPr>
        <w:t>mg</w:t>
      </w:r>
      <w:r>
        <w:rPr>
          <w:rFonts w:ascii="Times New Roman" w:eastAsia="Times New Roman"/>
          <w:spacing w:val="17"/>
        </w:rPr>
        <w:t> </w:t>
      </w:r>
      <w:r>
        <w:rPr>
          <w:rFonts w:ascii="Times New Roman" w:eastAsia="Times New Roman"/>
          <w:spacing w:val="-2"/>
        </w:rPr>
        <w:t>Q8</w:t>
      </w:r>
      <w:r>
        <w:rPr>
          <w:rFonts w:ascii="Times New Roman" w:eastAsia="Times New Roman"/>
          <w:spacing w:val="-2"/>
        </w:rPr>
        <w:t>W</w:t>
      </w:r>
      <w:r>
        <w:rPr>
          <w:spacing w:val="-4"/>
        </w:rPr>
        <w:t>方案的预测 </w:t>
      </w:r>
      <w:r>
        <w:rPr>
          <w:rFonts w:ascii="Times New Roman" w:eastAsia="Times New Roman"/>
        </w:rPr>
        <w:t>IL-33 </w:t>
      </w:r>
      <w:r>
        <w:rPr>
          <w:spacing w:val="-3"/>
        </w:rPr>
        <w:t>抑制作用约降低了 </w:t>
      </w:r>
      <w:r>
        <w:rPr>
          <w:rFonts w:ascii="Times New Roman" w:eastAsia="Times New Roman"/>
        </w:rPr>
        <w:t>5%</w:t>
      </w:r>
      <w:r>
        <w:rPr>
          <w:spacing w:val="-5"/>
        </w:rPr>
        <w:t>，降至 </w:t>
      </w:r>
      <w:r>
        <w:rPr>
          <w:rFonts w:ascii="Times New Roman" w:eastAsia="Times New Roman"/>
        </w:rPr>
        <w:t>80%</w:t>
      </w:r>
      <w:r>
        <w:rPr/>
        <w:t>以下。</w:t>
      </w:r>
    </w:p>
    <w:p>
      <w:pPr>
        <w:pStyle w:val="BodyText"/>
        <w:spacing w:line="276" w:lineRule="auto" w:before="235"/>
        <w:ind w:right="357" w:firstLine="480"/>
        <w:jc w:val="both"/>
      </w:pPr>
      <w:r>
        <w:rPr>
          <w:spacing w:val="-6"/>
        </w:rPr>
        <w:t>基于此，结合 </w:t>
      </w:r>
      <w:r>
        <w:rPr>
          <w:rFonts w:ascii="Times New Roman" w:eastAsia="Times New Roman"/>
          <w:spacing w:val="-2"/>
        </w:rPr>
        <w:t>tozorakimab</w:t>
      </w:r>
      <w:r>
        <w:rPr>
          <w:rFonts w:ascii="Times New Roman" w:eastAsia="Times New Roman"/>
          <w:spacing w:val="17"/>
        </w:rPr>
        <w:t> </w:t>
      </w:r>
      <w:r>
        <w:rPr>
          <w:spacing w:val="-2"/>
        </w:rPr>
        <w:t>所有给药方案均具有可接受的安全性特征，在前身研</w:t>
      </w:r>
      <w:r>
        <w:rPr>
          <w:spacing w:val="-15"/>
        </w:rPr>
        <w:t>究 </w:t>
      </w:r>
      <w:r>
        <w:rPr>
          <w:rFonts w:ascii="Times New Roman" w:eastAsia="Times New Roman"/>
        </w:rPr>
        <w:t>OBERON</w:t>
      </w:r>
      <w:r>
        <w:rPr>
          <w:rFonts w:ascii="Times New Roman" w:eastAsia="Times New Roman"/>
          <w:spacing w:val="-15"/>
        </w:rPr>
        <w:t> </w:t>
      </w:r>
      <w:r>
        <w:rPr>
          <w:spacing w:val="-15"/>
        </w:rPr>
        <w:t>和 </w:t>
      </w:r>
      <w:r>
        <w:rPr>
          <w:rFonts w:ascii="Times New Roman" w:eastAsia="Times New Roman"/>
        </w:rPr>
        <w:t>TITANIA</w:t>
      </w:r>
      <w:r>
        <w:rPr>
          <w:rFonts w:ascii="Times New Roman" w:eastAsia="Times New Roman"/>
          <w:spacing w:val="-15"/>
        </w:rPr>
        <w:t> </w:t>
      </w:r>
      <w:r>
        <w:rPr>
          <w:spacing w:val="-5"/>
        </w:rPr>
        <w:t>中，将停止 </w:t>
      </w: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5"/>
        </w:rPr>
        <w:t> </w:t>
      </w:r>
      <w:r>
        <w:rPr>
          <w:rFonts w:ascii="Times New Roman" w:eastAsia="Times New Roman"/>
        </w:rPr>
        <w:t>mg</w:t>
      </w:r>
      <w:r>
        <w:rPr>
          <w:rFonts w:ascii="Times New Roman" w:eastAsia="Times New Roman"/>
          <w:spacing w:val="-11"/>
        </w:rPr>
        <w:t> </w:t>
      </w:r>
      <w:r>
        <w:rPr>
          <w:rFonts w:ascii="Times New Roman" w:eastAsia="Times New Roman"/>
        </w:rPr>
        <w:t>Q8W</w:t>
      </w:r>
      <w:r>
        <w:rPr>
          <w:rFonts w:ascii="Times New Roman" w:eastAsia="Times New Roman"/>
          <w:spacing w:val="-13"/>
        </w:rPr>
        <w:t> </w:t>
      </w:r>
      <w:r>
        <w:rPr/>
        <w:t>组随机分配受试者。</w:t>
      </w:r>
      <w:r>
        <w:rPr>
          <w:spacing w:val="-2"/>
        </w:rPr>
        <w:t>因此，在 </w:t>
      </w:r>
      <w:r>
        <w:rPr>
          <w:rFonts w:ascii="Times New Roman" w:eastAsia="Times New Roman"/>
        </w:rPr>
        <w:t>PROSPERO</w:t>
      </w:r>
      <w:r>
        <w:rPr>
          <w:rFonts w:ascii="Times New Roman" w:eastAsia="Times New Roman"/>
          <w:spacing w:val="30"/>
        </w:rPr>
        <w:t> </w:t>
      </w:r>
      <w:r>
        <w:rPr>
          <w:spacing w:val="-1"/>
        </w:rPr>
        <w:t>方案修订后，本研究中没有新的受试者被分配至 </w:t>
      </w:r>
      <w:r>
        <w:rPr>
          <w:rFonts w:ascii="Times New Roman" w:eastAsia="Times New Roman"/>
        </w:rPr>
        <w:t>tozorakimab 300 mg Q8W </w:t>
      </w:r>
      <w:r>
        <w:rPr/>
        <w:t>组。</w:t>
      </w:r>
    </w:p>
    <w:p>
      <w:pPr>
        <w:pStyle w:val="BodyText"/>
        <w:spacing w:line="276" w:lineRule="auto" w:before="238"/>
        <w:ind w:right="357" w:firstLine="480"/>
        <w:jc w:val="both"/>
      </w:pPr>
      <w:r>
        <w:rPr>
          <w:spacing w:val="-5"/>
        </w:rPr>
        <w:t>本研究的治疗期缩短至 </w:t>
      </w:r>
      <w:r>
        <w:rPr>
          <w:rFonts w:ascii="Times New Roman" w:eastAsia="Times New Roman"/>
          <w:spacing w:val="-2"/>
        </w:rPr>
        <w:t>28</w:t>
      </w:r>
      <w:r>
        <w:rPr>
          <w:rFonts w:ascii="Times New Roman" w:eastAsia="Times New Roman"/>
          <w:spacing w:val="9"/>
        </w:rPr>
        <w:t> </w:t>
      </w:r>
      <w:r>
        <w:rPr>
          <w:spacing w:val="-2"/>
        </w:rPr>
        <w:t>周，因为合并前身研究，这个治疗期足以收集有效性和长期安全性数据，并及时完成研究。根据 </w:t>
      </w:r>
      <w:r>
        <w:rPr>
          <w:rFonts w:ascii="Times New Roman" w:eastAsia="Times New Roman"/>
        </w:rPr>
        <w:t>CSP</w:t>
      </w:r>
      <w:r>
        <w:rPr>
          <w:rFonts w:ascii="Times New Roman" w:eastAsia="Times New Roman"/>
          <w:spacing w:val="12"/>
        </w:rPr>
        <w:t> </w:t>
      </w:r>
      <w:r>
        <w:rPr>
          <w:spacing w:val="-15"/>
        </w:rPr>
        <w:t>第 </w:t>
      </w:r>
      <w:r>
        <w:rPr>
          <w:rFonts w:ascii="Times New Roman" w:eastAsia="Times New Roman"/>
        </w:rPr>
        <w:t>1.0</w:t>
      </w:r>
      <w:r>
        <w:rPr>
          <w:rFonts w:ascii="Times New Roman" w:eastAsia="Times New Roman"/>
          <w:spacing w:val="12"/>
        </w:rPr>
        <w:t> </w:t>
      </w:r>
      <w:r>
        <w:rPr/>
        <w:t>版已入组的受试者可在本修</w:t>
      </w:r>
      <w:r>
        <w:rPr>
          <w:spacing w:val="-1"/>
        </w:rPr>
        <w:t>订案发布后继续完成研究，治疗方案与分配的治疗方案相同，治疗期为 </w:t>
      </w:r>
      <w:r>
        <w:rPr>
          <w:rFonts w:ascii="Times New Roman" w:eastAsia="Times New Roman"/>
        </w:rPr>
        <w:t>52 </w:t>
      </w:r>
      <w:r>
        <w:rPr/>
        <w:t>周。</w:t>
      </w:r>
    </w:p>
    <w:p>
      <w:pPr>
        <w:pStyle w:val="BodyText"/>
        <w:spacing w:line="276" w:lineRule="auto" w:before="236"/>
        <w:ind w:right="357" w:firstLine="480"/>
        <w:jc w:val="both"/>
      </w:pPr>
      <w:r>
        <w:rPr>
          <w:spacing w:val="-6"/>
        </w:rPr>
        <w:t>因此，受试者将按照修订前 </w:t>
      </w:r>
      <w:r>
        <w:rPr>
          <w:rFonts w:ascii="Times New Roman" w:eastAsia="Times New Roman"/>
          <w:spacing w:val="-4"/>
        </w:rPr>
        <w:t>CSP</w:t>
      </w:r>
      <w:r>
        <w:rPr>
          <w:rFonts w:ascii="Times New Roman" w:eastAsia="Times New Roman"/>
          <w:spacing w:val="-11"/>
        </w:rPr>
        <w:t> </w:t>
      </w:r>
      <w:r>
        <w:rPr>
          <w:spacing w:val="-15"/>
        </w:rPr>
        <w:t>第 </w:t>
      </w:r>
      <w:r>
        <w:rPr>
          <w:rFonts w:ascii="Times New Roman" w:eastAsia="Times New Roman"/>
          <w:spacing w:val="-4"/>
        </w:rPr>
        <w:t>1.0</w:t>
      </w:r>
      <w:r>
        <w:rPr>
          <w:rFonts w:ascii="Times New Roman" w:eastAsia="Times New Roman"/>
          <w:spacing w:val="-11"/>
        </w:rPr>
        <w:t> </w:t>
      </w:r>
      <w:r>
        <w:rPr>
          <w:spacing w:val="-4"/>
        </w:rPr>
        <w:t>版或修订版本（</w:t>
      </w:r>
      <w:r>
        <w:rPr>
          <w:spacing w:val="-15"/>
        </w:rPr>
        <w:t>第 </w:t>
      </w:r>
      <w:r>
        <w:rPr>
          <w:rFonts w:ascii="Times New Roman" w:eastAsia="Times New Roman"/>
          <w:spacing w:val="-4"/>
        </w:rPr>
        <w:t>2.0</w:t>
      </w:r>
      <w:r>
        <w:rPr>
          <w:rFonts w:ascii="Times New Roman" w:eastAsia="Times New Roman"/>
          <w:spacing w:val="-11"/>
        </w:rPr>
        <w:t> </w:t>
      </w:r>
      <w:r>
        <w:rPr>
          <w:spacing w:val="-4"/>
        </w:rPr>
        <w:t>版）入组研究，如下所示：</w:t>
      </w:r>
    </w:p>
    <w:p>
      <w:pPr>
        <w:pStyle w:val="ListParagraph"/>
        <w:numPr>
          <w:ilvl w:val="0"/>
          <w:numId w:val="63"/>
        </w:numPr>
        <w:tabs>
          <w:tab w:pos="1071" w:val="left" w:leader="none"/>
        </w:tabs>
        <w:spacing w:line="276" w:lineRule="auto" w:before="239" w:after="0"/>
        <w:ind w:left="1071" w:right="324" w:hanging="424"/>
        <w:jc w:val="both"/>
        <w:rPr>
          <w:sz w:val="24"/>
        </w:rPr>
      </w:pPr>
      <w:r>
        <w:rPr>
          <w:rFonts w:ascii="Times New Roman" w:hAnsi="Times New Roman" w:eastAsia="Times New Roman"/>
          <w:spacing w:val="-2"/>
          <w:sz w:val="24"/>
        </w:rPr>
        <w:t>CSP</w:t>
      </w:r>
      <w:r>
        <w:rPr>
          <w:rFonts w:ascii="Times New Roman" w:hAnsi="Times New Roman" w:eastAsia="Times New Roman"/>
          <w:spacing w:val="-13"/>
          <w:sz w:val="24"/>
        </w:rPr>
        <w:t> </w:t>
      </w:r>
      <w:r>
        <w:rPr>
          <w:spacing w:val="-15"/>
          <w:sz w:val="24"/>
        </w:rPr>
        <w:t>第 </w:t>
      </w:r>
      <w:r>
        <w:rPr>
          <w:rFonts w:ascii="Times New Roman" w:hAnsi="Times New Roman" w:eastAsia="Times New Roman"/>
          <w:spacing w:val="-2"/>
          <w:sz w:val="24"/>
        </w:rPr>
        <w:t>1.0</w:t>
      </w:r>
      <w:r>
        <w:rPr>
          <w:rFonts w:ascii="Times New Roman" w:hAnsi="Times New Roman" w:eastAsia="Times New Roman"/>
          <w:spacing w:val="-13"/>
          <w:sz w:val="24"/>
        </w:rPr>
        <w:t> </w:t>
      </w:r>
      <w:r>
        <w:rPr>
          <w:spacing w:val="-5"/>
          <w:sz w:val="24"/>
        </w:rPr>
        <w:t>版：前身研究中接受 </w:t>
      </w:r>
      <w:r>
        <w:rPr>
          <w:rFonts w:ascii="Times New Roman" w:hAnsi="Times New Roman" w:eastAsia="Times New Roman"/>
          <w:spacing w:val="-2"/>
          <w:sz w:val="24"/>
        </w:rPr>
        <w:t>tozorakimab</w:t>
      </w:r>
      <w:r>
        <w:rPr>
          <w:rFonts w:ascii="Times New Roman" w:hAnsi="Times New Roman" w:eastAsia="Times New Roman"/>
          <w:spacing w:val="-13"/>
          <w:sz w:val="24"/>
        </w:rPr>
        <w:t> </w:t>
      </w:r>
      <w:r>
        <w:rPr>
          <w:spacing w:val="-2"/>
          <w:sz w:val="24"/>
        </w:rPr>
        <w:t>给药的受试者将被分配至与前身</w:t>
      </w:r>
      <w:r>
        <w:rPr>
          <w:sz w:val="24"/>
        </w:rPr>
        <w:t>研究相同的活性药物治疗方案组。前身研究安慰剂组的受试者将以 </w:t>
      </w:r>
      <w:r>
        <w:rPr>
          <w:rFonts w:ascii="Times New Roman" w:hAnsi="Times New Roman" w:eastAsia="Times New Roman"/>
          <w:sz w:val="24"/>
        </w:rPr>
        <w:t>1:1:2 </w:t>
      </w:r>
      <w:r>
        <w:rPr>
          <w:sz w:val="24"/>
        </w:rPr>
        <w:t>的</w:t>
      </w:r>
      <w:r>
        <w:rPr>
          <w:spacing w:val="22"/>
          <w:sz w:val="24"/>
        </w:rPr>
        <w:t>比例重新随机分配至 </w:t>
      </w:r>
      <w:r>
        <w:rPr>
          <w:rFonts w:ascii="Times New Roman" w:hAnsi="Times New Roman" w:eastAsia="Times New Roman"/>
          <w:sz w:val="24"/>
        </w:rPr>
        <w:t>PROSPERO </w:t>
      </w:r>
      <w:r>
        <w:rPr>
          <w:spacing w:val="10"/>
          <w:sz w:val="24"/>
        </w:rPr>
        <w:t>中的 </w:t>
      </w:r>
      <w:r>
        <w:rPr>
          <w:rFonts w:ascii="Times New Roman" w:hAnsi="Times New Roman" w:eastAsia="Times New Roman"/>
          <w:sz w:val="24"/>
        </w:rPr>
        <w:t>tozorakimab 300 mg Q4W </w:t>
      </w:r>
      <w:r>
        <w:rPr>
          <w:spacing w:val="31"/>
          <w:sz w:val="24"/>
        </w:rPr>
        <w:t>组、 </w:t>
      </w:r>
      <w:r>
        <w:rPr>
          <w:rFonts w:ascii="Times New Roman" w:hAnsi="Times New Roman" w:eastAsia="Times New Roman"/>
          <w:sz w:val="24"/>
        </w:rPr>
        <w:t>tozorakimab 300 mg Q8W </w:t>
      </w:r>
      <w:r>
        <w:rPr>
          <w:spacing w:val="-3"/>
          <w:sz w:val="24"/>
        </w:rPr>
        <w:t>组和安慰剂组，治疗期为 </w:t>
      </w:r>
      <w:r>
        <w:rPr>
          <w:rFonts w:ascii="Times New Roman" w:hAnsi="Times New Roman" w:eastAsia="Times New Roman"/>
          <w:sz w:val="24"/>
        </w:rPr>
        <w:t>52 </w:t>
      </w:r>
      <w:r>
        <w:rPr>
          <w:sz w:val="24"/>
        </w:rPr>
        <w:t>周。</w:t>
      </w:r>
    </w:p>
    <w:p>
      <w:pPr>
        <w:pStyle w:val="ListParagraph"/>
        <w:numPr>
          <w:ilvl w:val="0"/>
          <w:numId w:val="63"/>
        </w:numPr>
        <w:tabs>
          <w:tab w:pos="1071" w:val="left" w:leader="none"/>
        </w:tabs>
        <w:spacing w:line="276" w:lineRule="auto" w:before="57" w:after="0"/>
        <w:ind w:left="1071" w:right="356" w:hanging="424"/>
        <w:jc w:val="both"/>
        <w:rPr>
          <w:sz w:val="24"/>
        </w:rPr>
      </w:pPr>
      <w:r>
        <w:rPr>
          <w:rFonts w:ascii="Times New Roman" w:hAnsi="Times New Roman" w:eastAsia="Times New Roman"/>
          <w:sz w:val="24"/>
        </w:rPr>
        <w:t>CSP</w:t>
      </w:r>
      <w:r>
        <w:rPr>
          <w:rFonts w:ascii="Times New Roman" w:hAnsi="Times New Roman" w:eastAsia="Times New Roman"/>
          <w:spacing w:val="-15"/>
          <w:sz w:val="24"/>
        </w:rPr>
        <w:t> </w:t>
      </w:r>
      <w:r>
        <w:rPr>
          <w:spacing w:val="-15"/>
          <w:sz w:val="24"/>
        </w:rPr>
        <w:t>第 </w:t>
      </w:r>
      <w:r>
        <w:rPr>
          <w:rFonts w:ascii="Times New Roman" w:hAnsi="Times New Roman" w:eastAsia="Times New Roman"/>
          <w:sz w:val="24"/>
        </w:rPr>
        <w:t>2.0</w:t>
      </w:r>
      <w:r>
        <w:rPr>
          <w:rFonts w:ascii="Times New Roman" w:hAnsi="Times New Roman" w:eastAsia="Times New Roman"/>
          <w:spacing w:val="-15"/>
          <w:sz w:val="24"/>
        </w:rPr>
        <w:t> </w:t>
      </w:r>
      <w:r>
        <w:rPr>
          <w:spacing w:val="-3"/>
          <w:sz w:val="24"/>
        </w:rPr>
        <w:t>版：前身研究中接受 </w:t>
      </w:r>
      <w:r>
        <w:rPr>
          <w:rFonts w:ascii="Times New Roman" w:hAnsi="Times New Roman" w:eastAsia="Times New Roman"/>
          <w:sz w:val="24"/>
        </w:rPr>
        <w:t>300</w:t>
      </w:r>
      <w:r>
        <w:rPr>
          <w:rFonts w:ascii="Times New Roman" w:hAnsi="Times New Roman" w:eastAsia="Times New Roman"/>
          <w:spacing w:val="-15"/>
          <w:sz w:val="24"/>
        </w:rPr>
        <w:t> </w:t>
      </w:r>
      <w:r>
        <w:rPr>
          <w:rFonts w:ascii="Times New Roman" w:hAnsi="Times New Roman" w:eastAsia="Times New Roman"/>
          <w:sz w:val="24"/>
        </w:rPr>
        <w:t>mg</w:t>
      </w:r>
      <w:r>
        <w:rPr>
          <w:rFonts w:ascii="Times New Roman" w:hAnsi="Times New Roman" w:eastAsia="Times New Roman"/>
          <w:spacing w:val="22"/>
          <w:sz w:val="24"/>
        </w:rPr>
        <w:t> </w:t>
      </w:r>
      <w:r>
        <w:rPr>
          <w:rFonts w:ascii="Times New Roman" w:hAnsi="Times New Roman" w:eastAsia="Times New Roman"/>
          <w:sz w:val="24"/>
        </w:rPr>
        <w:t>Q4W</w:t>
      </w:r>
      <w:r>
        <w:rPr>
          <w:rFonts w:ascii="Times New Roman" w:hAnsi="Times New Roman" w:eastAsia="Times New Roman"/>
          <w:spacing w:val="-9"/>
          <w:sz w:val="24"/>
        </w:rPr>
        <w:t> </w:t>
      </w:r>
      <w:r>
        <w:rPr>
          <w:sz w:val="24"/>
        </w:rPr>
        <w:t>给药的受试者将继续接受相同</w:t>
      </w:r>
      <w:r>
        <w:rPr>
          <w:spacing w:val="-3"/>
          <w:sz w:val="24"/>
        </w:rPr>
        <w:t>治疗。前身研究中接受 </w:t>
      </w:r>
      <w:r>
        <w:rPr>
          <w:rFonts w:ascii="Times New Roman" w:hAnsi="Times New Roman" w:eastAsia="Times New Roman"/>
          <w:sz w:val="24"/>
        </w:rPr>
        <w:t>300</w:t>
      </w:r>
      <w:r>
        <w:rPr>
          <w:rFonts w:ascii="Times New Roman" w:hAnsi="Times New Roman" w:eastAsia="Times New Roman"/>
          <w:spacing w:val="-5"/>
          <w:sz w:val="24"/>
        </w:rPr>
        <w:t> </w:t>
      </w:r>
      <w:r>
        <w:rPr>
          <w:rFonts w:ascii="Times New Roman" w:hAnsi="Times New Roman" w:eastAsia="Times New Roman"/>
          <w:sz w:val="24"/>
        </w:rPr>
        <w:t>mg</w:t>
      </w:r>
      <w:r>
        <w:rPr>
          <w:rFonts w:ascii="Times New Roman" w:hAnsi="Times New Roman" w:eastAsia="Times New Roman"/>
          <w:spacing w:val="24"/>
          <w:sz w:val="24"/>
        </w:rPr>
        <w:t> </w:t>
      </w:r>
      <w:r>
        <w:rPr>
          <w:rFonts w:ascii="Times New Roman" w:hAnsi="Times New Roman" w:eastAsia="Times New Roman"/>
          <w:sz w:val="24"/>
        </w:rPr>
        <w:t>Q8W </w:t>
      </w:r>
      <w:r>
        <w:rPr>
          <w:spacing w:val="-3"/>
          <w:sz w:val="24"/>
        </w:rPr>
        <w:t>治疗的受试者将分配至 </w:t>
      </w:r>
      <w:r>
        <w:rPr>
          <w:rFonts w:ascii="Times New Roman" w:hAnsi="Times New Roman" w:eastAsia="Times New Roman"/>
          <w:sz w:val="24"/>
        </w:rPr>
        <w:t>PROSPERO </w:t>
      </w:r>
      <w:r>
        <w:rPr>
          <w:sz w:val="24"/>
        </w:rPr>
        <w:t>研</w:t>
      </w:r>
      <w:r>
        <w:rPr>
          <w:spacing w:val="-10"/>
          <w:sz w:val="24"/>
        </w:rPr>
        <w:t>究的 </w:t>
      </w:r>
      <w:r>
        <w:rPr>
          <w:rFonts w:ascii="Times New Roman" w:hAnsi="Times New Roman" w:eastAsia="Times New Roman"/>
          <w:sz w:val="24"/>
        </w:rPr>
        <w:t>300</w:t>
      </w:r>
      <w:r>
        <w:rPr>
          <w:rFonts w:ascii="Times New Roman" w:hAnsi="Times New Roman" w:eastAsia="Times New Roman"/>
          <w:spacing w:val="-15"/>
          <w:sz w:val="24"/>
        </w:rPr>
        <w:t> </w:t>
      </w:r>
      <w:r>
        <w:rPr>
          <w:rFonts w:ascii="Times New Roman" w:hAnsi="Times New Roman" w:eastAsia="Times New Roman"/>
          <w:sz w:val="24"/>
        </w:rPr>
        <w:t>mg</w:t>
      </w:r>
      <w:r>
        <w:rPr>
          <w:rFonts w:ascii="Times New Roman" w:hAnsi="Times New Roman" w:eastAsia="Times New Roman"/>
          <w:spacing w:val="4"/>
          <w:sz w:val="24"/>
        </w:rPr>
        <w:t> </w:t>
      </w:r>
      <w:r>
        <w:rPr>
          <w:rFonts w:ascii="Times New Roman" w:hAnsi="Times New Roman" w:eastAsia="Times New Roman"/>
          <w:sz w:val="24"/>
        </w:rPr>
        <w:t>Q4W</w:t>
      </w:r>
      <w:r>
        <w:rPr>
          <w:rFonts w:ascii="Times New Roman" w:hAnsi="Times New Roman" w:eastAsia="Times New Roman"/>
          <w:spacing w:val="-10"/>
          <w:sz w:val="24"/>
        </w:rPr>
        <w:t> </w:t>
      </w:r>
      <w:r>
        <w:rPr>
          <w:spacing w:val="-2"/>
          <w:sz w:val="24"/>
        </w:rPr>
        <w:t>组，前身研究中接受安慰剂治疗的受试者将以 </w:t>
      </w:r>
      <w:r>
        <w:rPr>
          <w:rFonts w:ascii="Times New Roman" w:hAnsi="Times New Roman" w:eastAsia="Times New Roman"/>
          <w:sz w:val="24"/>
        </w:rPr>
        <w:t>1:1</w:t>
      </w:r>
      <w:r>
        <w:rPr>
          <w:rFonts w:ascii="Times New Roman" w:hAnsi="Times New Roman" w:eastAsia="Times New Roman"/>
          <w:spacing w:val="-11"/>
          <w:sz w:val="24"/>
        </w:rPr>
        <w:t> </w:t>
      </w:r>
      <w:r>
        <w:rPr>
          <w:sz w:val="24"/>
        </w:rPr>
        <w:t>的比例</w:t>
      </w:r>
      <w:r>
        <w:rPr>
          <w:spacing w:val="-4"/>
          <w:sz w:val="24"/>
        </w:rPr>
        <w:t>重新随机分配至 </w:t>
      </w:r>
      <w:r>
        <w:rPr>
          <w:rFonts w:ascii="Times New Roman" w:hAnsi="Times New Roman" w:eastAsia="Times New Roman"/>
          <w:sz w:val="24"/>
        </w:rPr>
        <w:t>tozorakimab</w:t>
      </w:r>
      <w:r>
        <w:rPr>
          <w:rFonts w:ascii="Times New Roman" w:hAnsi="Times New Roman" w:eastAsia="Times New Roman"/>
          <w:spacing w:val="-15"/>
          <w:sz w:val="24"/>
        </w:rPr>
        <w:t> </w:t>
      </w:r>
      <w:r>
        <w:rPr>
          <w:rFonts w:ascii="Times New Roman" w:hAnsi="Times New Roman" w:eastAsia="Times New Roman"/>
          <w:sz w:val="24"/>
        </w:rPr>
        <w:t>300</w:t>
      </w:r>
      <w:r>
        <w:rPr>
          <w:rFonts w:ascii="Times New Roman" w:hAnsi="Times New Roman" w:eastAsia="Times New Roman"/>
          <w:spacing w:val="-5"/>
          <w:sz w:val="24"/>
        </w:rPr>
        <w:t> </w:t>
      </w:r>
      <w:r>
        <w:rPr>
          <w:rFonts w:ascii="Times New Roman" w:hAnsi="Times New Roman" w:eastAsia="Times New Roman"/>
          <w:sz w:val="24"/>
        </w:rPr>
        <w:t>mg</w:t>
      </w:r>
      <w:r>
        <w:rPr>
          <w:rFonts w:ascii="Times New Roman" w:hAnsi="Times New Roman" w:eastAsia="Times New Roman"/>
          <w:spacing w:val="24"/>
          <w:sz w:val="24"/>
        </w:rPr>
        <w:t> </w:t>
      </w:r>
      <w:r>
        <w:rPr>
          <w:rFonts w:ascii="Times New Roman" w:hAnsi="Times New Roman" w:eastAsia="Times New Roman"/>
          <w:sz w:val="24"/>
        </w:rPr>
        <w:t>Q4W</w:t>
      </w:r>
      <w:r>
        <w:rPr>
          <w:rFonts w:ascii="Times New Roman" w:hAnsi="Times New Roman" w:eastAsia="Times New Roman"/>
          <w:spacing w:val="-14"/>
          <w:sz w:val="24"/>
        </w:rPr>
        <w:t> </w:t>
      </w:r>
      <w:r>
        <w:rPr>
          <w:spacing w:val="-3"/>
          <w:sz w:val="24"/>
        </w:rPr>
        <w:t>组或安慰剂组，治疗期为 </w:t>
      </w:r>
      <w:r>
        <w:rPr>
          <w:rFonts w:ascii="Times New Roman" w:hAnsi="Times New Roman" w:eastAsia="Times New Roman"/>
          <w:sz w:val="24"/>
        </w:rPr>
        <w:t>28</w:t>
      </w:r>
      <w:r>
        <w:rPr>
          <w:rFonts w:ascii="Times New Roman" w:hAnsi="Times New Roman" w:eastAsia="Times New Roman"/>
          <w:spacing w:val="-15"/>
          <w:sz w:val="24"/>
        </w:rPr>
        <w:t> </w:t>
      </w:r>
      <w:r>
        <w:rPr>
          <w:sz w:val="24"/>
        </w:rPr>
        <w:t>周。</w:t>
      </w:r>
      <w:r>
        <w:rPr>
          <w:spacing w:val="-9"/>
          <w:sz w:val="24"/>
        </w:rPr>
        <w:t>已根据 </w:t>
      </w:r>
      <w:r>
        <w:rPr>
          <w:rFonts w:ascii="Times New Roman" w:hAnsi="Times New Roman" w:eastAsia="Times New Roman"/>
          <w:spacing w:val="-2"/>
          <w:sz w:val="24"/>
        </w:rPr>
        <w:t>CSP</w:t>
      </w:r>
      <w:r>
        <w:rPr>
          <w:rFonts w:ascii="Times New Roman" w:hAnsi="Times New Roman" w:eastAsia="Times New Roman"/>
          <w:spacing w:val="-13"/>
          <w:sz w:val="24"/>
        </w:rPr>
        <w:t> </w:t>
      </w:r>
      <w:r>
        <w:rPr>
          <w:spacing w:val="-15"/>
          <w:sz w:val="24"/>
        </w:rPr>
        <w:t>第 </w:t>
      </w:r>
      <w:r>
        <w:rPr>
          <w:rFonts w:ascii="Times New Roman" w:hAnsi="Times New Roman" w:eastAsia="Times New Roman"/>
          <w:spacing w:val="-2"/>
          <w:sz w:val="24"/>
        </w:rPr>
        <w:t>1.0</w:t>
      </w:r>
      <w:r>
        <w:rPr>
          <w:rFonts w:ascii="Times New Roman" w:hAnsi="Times New Roman" w:eastAsia="Times New Roman"/>
          <w:spacing w:val="-13"/>
          <w:sz w:val="24"/>
        </w:rPr>
        <w:t> </w:t>
      </w:r>
      <w:r>
        <w:rPr>
          <w:spacing w:val="-2"/>
          <w:sz w:val="24"/>
        </w:rPr>
        <w:t>版入组的受试者可按照相同治疗方案在本修订案发布后继</w:t>
      </w:r>
      <w:r>
        <w:rPr>
          <w:spacing w:val="-3"/>
          <w:sz w:val="24"/>
        </w:rPr>
        <w:t>续完成研究，治疗期为 </w:t>
      </w:r>
      <w:r>
        <w:rPr>
          <w:rFonts w:ascii="Times New Roman" w:hAnsi="Times New Roman" w:eastAsia="Times New Roman"/>
          <w:sz w:val="24"/>
        </w:rPr>
        <w:t>52 </w:t>
      </w:r>
      <w:r>
        <w:rPr>
          <w:sz w:val="24"/>
        </w:rPr>
        <w:t>周。</w:t>
      </w:r>
    </w:p>
    <w:p>
      <w:pPr>
        <w:pStyle w:val="BodyText"/>
        <w:spacing w:before="19"/>
        <w:ind w:left="0"/>
      </w:pPr>
    </w:p>
    <w:p>
      <w:pPr>
        <w:pStyle w:val="BodyText"/>
        <w:ind w:left="701"/>
        <w:rPr>
          <w:rFonts w:ascii="Times New Roman" w:eastAsia="Times New Roman"/>
        </w:rPr>
      </w:pPr>
      <w:r>
        <w:rPr>
          <w:spacing w:val="-5"/>
        </w:rPr>
        <w:t>因此，根据 </w:t>
      </w:r>
      <w:r>
        <w:rPr>
          <w:rFonts w:ascii="Times New Roman" w:eastAsia="Times New Roman"/>
        </w:rPr>
        <w:t>CSP</w:t>
      </w:r>
      <w:r>
        <w:rPr>
          <w:rFonts w:ascii="Times New Roman" w:eastAsia="Times New Roman"/>
          <w:spacing w:val="15"/>
        </w:rPr>
        <w:t> </w:t>
      </w:r>
      <w:r>
        <w:rPr>
          <w:spacing w:val="-13"/>
        </w:rPr>
        <w:t>第 </w:t>
      </w:r>
      <w:r>
        <w:rPr>
          <w:rFonts w:ascii="Times New Roman" w:eastAsia="Times New Roman"/>
        </w:rPr>
        <w:t>2.0</w:t>
      </w:r>
      <w:r>
        <w:rPr>
          <w:rFonts w:ascii="Times New Roman" w:eastAsia="Times New Roman"/>
          <w:spacing w:val="14"/>
        </w:rPr>
        <w:t> </w:t>
      </w:r>
      <w:r>
        <w:rPr>
          <w:spacing w:val="-2"/>
        </w:rPr>
        <w:t>版，前身研究中没有新的受试者被分配至 </w:t>
      </w:r>
      <w:r>
        <w:rPr>
          <w:rFonts w:ascii="Times New Roman" w:eastAsia="Times New Roman"/>
        </w:rPr>
        <w:t>300</w:t>
      </w:r>
      <w:r>
        <w:rPr>
          <w:rFonts w:ascii="Times New Roman" w:eastAsia="Times New Roman"/>
          <w:spacing w:val="29"/>
        </w:rPr>
        <w:t> </w:t>
      </w:r>
      <w:r>
        <w:rPr>
          <w:rFonts w:ascii="Times New Roman" w:eastAsia="Times New Roman"/>
        </w:rPr>
        <w:t>mg</w:t>
      </w:r>
      <w:r>
        <w:rPr>
          <w:rFonts w:ascii="Times New Roman" w:eastAsia="Times New Roman"/>
          <w:spacing w:val="30"/>
        </w:rPr>
        <w:t> </w:t>
      </w:r>
      <w:r>
        <w:rPr>
          <w:rFonts w:ascii="Times New Roman" w:eastAsia="Times New Roman"/>
          <w:spacing w:val="-5"/>
        </w:rPr>
        <w:t>Q8W</w:t>
      </w:r>
    </w:p>
    <w:p>
      <w:pPr>
        <w:pStyle w:val="BodyText"/>
        <w:spacing w:before="46"/>
      </w:pPr>
      <w:r>
        <w:rPr>
          <w:spacing w:val="-5"/>
        </w:rPr>
        <w:t>组。</w:t>
      </w:r>
    </w:p>
    <w:p>
      <w:pPr>
        <w:pStyle w:val="BodyText"/>
        <w:spacing w:line="276" w:lineRule="auto" w:before="285"/>
        <w:ind w:right="357" w:firstLine="480"/>
        <w:jc w:val="both"/>
      </w:pPr>
      <w:r>
        <w:rPr>
          <w:rFonts w:ascii="Times New Roman" w:eastAsia="Times New Roman"/>
        </w:rPr>
        <w:t>Tozorakimab</w:t>
      </w:r>
      <w:r>
        <w:rPr>
          <w:rFonts w:ascii="Times New Roman" w:eastAsia="Times New Roman"/>
          <w:spacing w:val="-15"/>
        </w:rPr>
        <w:t> </w:t>
      </w:r>
      <w:r>
        <w:rPr>
          <w:rFonts w:ascii="Times New Roman" w:eastAsia="Times New Roman"/>
        </w:rPr>
        <w:t>300</w:t>
      </w:r>
      <w:r>
        <w:rPr>
          <w:rFonts w:ascii="Times New Roman" w:eastAsia="Times New Roman"/>
          <w:spacing w:val="-14"/>
        </w:rPr>
        <w:t> </w:t>
      </w:r>
      <w:r>
        <w:rPr>
          <w:rFonts w:ascii="Times New Roman" w:eastAsia="Times New Roman"/>
        </w:rPr>
        <w:t>mg</w:t>
      </w:r>
      <w:r>
        <w:rPr>
          <w:rFonts w:ascii="Times New Roman" w:eastAsia="Times New Roman"/>
          <w:spacing w:val="-11"/>
        </w:rPr>
        <w:t> </w:t>
      </w:r>
      <w:r>
        <w:rPr>
          <w:rFonts w:ascii="Times New Roman" w:eastAsia="Times New Roman"/>
        </w:rPr>
        <w:t>Q8W</w:t>
      </w:r>
      <w:r>
        <w:rPr>
          <w:rFonts w:ascii="Times New Roman" w:eastAsia="Times New Roman"/>
          <w:spacing w:val="-15"/>
        </w:rPr>
        <w:t> </w:t>
      </w:r>
      <w:r>
        <w:rPr/>
        <w:t>组收集的数据仅用于描述剂量</w:t>
      </w:r>
      <w:r>
        <w:rPr>
          <w:rFonts w:ascii="Times New Roman" w:eastAsia="Times New Roman"/>
        </w:rPr>
        <w:t>-</w:t>
      </w:r>
      <w:r>
        <w:rPr/>
        <w:t>效应曲线，而不用于确</w:t>
      </w:r>
      <w:r>
        <w:rPr>
          <w:spacing w:val="-2"/>
        </w:rPr>
        <w:t>证性假设检验。对总体样本量和多重检验程序进行了相应修订。</w:t>
      </w:r>
    </w:p>
    <w:p>
      <w:pPr>
        <w:pStyle w:val="BodyText"/>
        <w:spacing w:line="276" w:lineRule="auto" w:before="239"/>
        <w:ind w:right="357" w:firstLine="480"/>
        <w:jc w:val="both"/>
      </w:pPr>
      <w:r>
        <w:rPr>
          <w:spacing w:val="-2"/>
        </w:rPr>
        <w:t>还进行了其他非实质性更新：为了阿斯利康全球 </w:t>
      </w:r>
      <w:r>
        <w:rPr>
          <w:rFonts w:ascii="Times New Roman" w:eastAsia="Times New Roman"/>
        </w:rPr>
        <w:t>CSP</w:t>
      </w:r>
      <w:r>
        <w:rPr>
          <w:rFonts w:ascii="Times New Roman" w:eastAsia="Times New Roman"/>
          <w:spacing w:val="-6"/>
        </w:rPr>
        <w:t> </w:t>
      </w:r>
      <w:r>
        <w:rPr/>
        <w:t>模板与行业标准保持一致</w:t>
      </w:r>
      <w:r>
        <w:rPr>
          <w:spacing w:val="-3"/>
        </w:rPr>
        <w:t>而实施的必要变更；根据 </w:t>
      </w:r>
      <w:r>
        <w:rPr>
          <w:rFonts w:ascii="Times New Roman" w:eastAsia="Times New Roman"/>
        </w:rPr>
        <w:t>EU</w:t>
      </w:r>
      <w:r>
        <w:rPr>
          <w:rFonts w:ascii="Times New Roman" w:eastAsia="Times New Roman"/>
          <w:spacing w:val="10"/>
        </w:rPr>
        <w:t> </w:t>
      </w:r>
      <w:r>
        <w:rPr>
          <w:rFonts w:ascii="Times New Roman" w:eastAsia="Times New Roman"/>
        </w:rPr>
        <w:t>CTR </w:t>
      </w:r>
      <w:r>
        <w:rPr>
          <w:spacing w:val="-2"/>
        </w:rPr>
        <w:t>要求进行的更新；阐明程序、统计分析以及 </w:t>
      </w:r>
      <w:r>
        <w:rPr>
          <w:rFonts w:ascii="Times New Roman" w:eastAsia="Times New Roman"/>
        </w:rPr>
        <w:t>CSP</w:t>
      </w:r>
      <w:r>
        <w:rPr>
          <w:spacing w:val="-2"/>
        </w:rPr>
        <w:t>和附录的措辞。</w:t>
      </w:r>
    </w:p>
    <w:p>
      <w:pPr>
        <w:spacing w:after="0" w:line="276" w:lineRule="auto"/>
        <w:jc w:val="both"/>
        <w:sectPr>
          <w:pgSz w:w="11910" w:h="16840"/>
          <w:pgMar w:header="590" w:footer="784" w:top="1340" w:bottom="980" w:left="1480" w:right="1080"/>
        </w:sectPr>
      </w:pPr>
    </w:p>
    <w:p>
      <w:pPr>
        <w:spacing w:before="88"/>
        <w:ind w:left="221" w:right="0" w:firstLine="0"/>
        <w:jc w:val="left"/>
        <w:rPr>
          <w:b/>
          <w:sz w:val="24"/>
        </w:rPr>
      </w:pPr>
      <w:r>
        <w:rPr>
          <w:b/>
          <w:spacing w:val="-4"/>
          <w:sz w:val="24"/>
        </w:rPr>
        <w:t>变更总结：</w:t>
      </w:r>
    </w:p>
    <w:p>
      <w:pPr>
        <w:spacing w:before="118"/>
        <w:ind w:left="221" w:right="0" w:firstLine="0"/>
        <w:jc w:val="left"/>
        <w:rPr>
          <w:b/>
          <w:sz w:val="24"/>
        </w:rPr>
      </w:pPr>
      <w:r>
        <w:rPr>
          <w:b/>
          <w:spacing w:val="-5"/>
          <w:sz w:val="24"/>
        </w:rPr>
        <w:t>实质性修订列表</w:t>
      </w:r>
    </w:p>
    <w:p>
      <w:pPr>
        <w:pStyle w:val="BodyText"/>
        <w:spacing w:before="5"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9"/>
        <w:gridCol w:w="3135"/>
        <w:gridCol w:w="3163"/>
      </w:tblGrid>
      <w:tr>
        <w:trPr>
          <w:trHeight w:val="352" w:hRule="atLeast"/>
        </w:trPr>
        <w:tc>
          <w:tcPr>
            <w:tcW w:w="2459" w:type="dxa"/>
          </w:tcPr>
          <w:p>
            <w:pPr>
              <w:pStyle w:val="TableParagraph"/>
              <w:spacing w:before="38"/>
              <w:ind w:left="107"/>
              <w:rPr>
                <w:b/>
                <w:sz w:val="21"/>
              </w:rPr>
            </w:pPr>
            <w:r>
              <w:rPr>
                <w:b/>
                <w:spacing w:val="-4"/>
                <w:sz w:val="21"/>
              </w:rPr>
              <w:t>章节编号</w:t>
            </w:r>
          </w:p>
        </w:tc>
        <w:tc>
          <w:tcPr>
            <w:tcW w:w="3135" w:type="dxa"/>
          </w:tcPr>
          <w:p>
            <w:pPr>
              <w:pStyle w:val="TableParagraph"/>
              <w:spacing w:before="38"/>
              <w:ind w:left="7"/>
              <w:jc w:val="center"/>
              <w:rPr>
                <w:b/>
                <w:sz w:val="21"/>
              </w:rPr>
            </w:pPr>
            <w:r>
              <w:rPr>
                <w:b/>
                <w:spacing w:val="-4"/>
                <w:sz w:val="21"/>
              </w:rPr>
              <w:t>变更描述</w:t>
            </w:r>
          </w:p>
        </w:tc>
        <w:tc>
          <w:tcPr>
            <w:tcW w:w="3163" w:type="dxa"/>
          </w:tcPr>
          <w:p>
            <w:pPr>
              <w:pStyle w:val="TableParagraph"/>
              <w:spacing w:before="38"/>
              <w:ind w:left="7"/>
              <w:jc w:val="center"/>
              <w:rPr>
                <w:b/>
                <w:sz w:val="21"/>
              </w:rPr>
            </w:pPr>
            <w:r>
              <w:rPr>
                <w:b/>
                <w:spacing w:val="-4"/>
                <w:sz w:val="21"/>
              </w:rPr>
              <w:t>简要依据</w:t>
            </w:r>
          </w:p>
        </w:tc>
      </w:tr>
      <w:tr>
        <w:trPr>
          <w:trHeight w:val="3251" w:hRule="atLeast"/>
        </w:trPr>
        <w:tc>
          <w:tcPr>
            <w:tcW w:w="2459" w:type="dxa"/>
          </w:tcPr>
          <w:p>
            <w:pPr>
              <w:pStyle w:val="TableParagraph"/>
              <w:spacing w:before="36"/>
              <w:ind w:left="107"/>
              <w:rPr>
                <w:sz w:val="21"/>
              </w:rPr>
            </w:pPr>
            <w:r>
              <w:rPr>
                <w:spacing w:val="-27"/>
                <w:sz w:val="21"/>
              </w:rPr>
              <w:t>第 </w:t>
            </w:r>
            <w:r>
              <w:rPr>
                <w:rFonts w:ascii="Times New Roman" w:eastAsia="Times New Roman"/>
                <w:sz w:val="21"/>
              </w:rPr>
              <w:t>1</w:t>
            </w:r>
            <w:r>
              <w:rPr>
                <w:rFonts w:ascii="Times New Roman" w:eastAsia="Times New Roman"/>
                <w:spacing w:val="-11"/>
                <w:sz w:val="21"/>
              </w:rPr>
              <w:t> </w:t>
            </w:r>
            <w:r>
              <w:rPr>
                <w:sz w:val="21"/>
              </w:rPr>
              <w:t>节（</w:t>
            </w:r>
            <w:r>
              <w:rPr>
                <w:rFonts w:ascii="Times New Roman" w:eastAsia="Times New Roman"/>
                <w:sz w:val="21"/>
              </w:rPr>
              <w:t>1.1</w:t>
            </w:r>
            <w:r>
              <w:rPr>
                <w:sz w:val="21"/>
              </w:rPr>
              <w:t>、</w:t>
            </w:r>
            <w:r>
              <w:rPr>
                <w:rFonts w:ascii="Times New Roman" w:eastAsia="Times New Roman"/>
                <w:sz w:val="21"/>
              </w:rPr>
              <w:t>1.2</w:t>
            </w:r>
            <w:r>
              <w:rPr>
                <w:spacing w:val="-10"/>
                <w:sz w:val="21"/>
              </w:rPr>
              <w:t>、</w:t>
            </w:r>
          </w:p>
          <w:p>
            <w:pPr>
              <w:pStyle w:val="TableParagraph"/>
              <w:spacing w:before="41"/>
              <w:ind w:left="107"/>
              <w:rPr>
                <w:sz w:val="21"/>
              </w:rPr>
            </w:pPr>
            <w:r>
              <w:rPr>
                <w:rFonts w:ascii="Times New Roman" w:eastAsia="Times New Roman"/>
                <w:spacing w:val="-2"/>
                <w:sz w:val="21"/>
              </w:rPr>
              <w:t>1.3</w:t>
            </w:r>
            <w:r>
              <w:rPr>
                <w:spacing w:val="-2"/>
                <w:sz w:val="21"/>
              </w:rPr>
              <w:t>）</w:t>
            </w:r>
            <w:r>
              <w:rPr>
                <w:spacing w:val="-15"/>
                <w:sz w:val="21"/>
              </w:rPr>
              <w:t>、第 </w:t>
            </w:r>
            <w:r>
              <w:rPr>
                <w:rFonts w:ascii="Times New Roman" w:eastAsia="Times New Roman"/>
                <w:spacing w:val="-2"/>
                <w:sz w:val="21"/>
              </w:rPr>
              <w:t>4 </w:t>
            </w:r>
            <w:r>
              <w:rPr>
                <w:spacing w:val="-2"/>
                <w:sz w:val="21"/>
              </w:rPr>
              <w:t>节（</w:t>
            </w:r>
            <w:r>
              <w:rPr>
                <w:rFonts w:ascii="Times New Roman" w:eastAsia="Times New Roman"/>
                <w:spacing w:val="-2"/>
                <w:sz w:val="21"/>
              </w:rPr>
              <w:t>4.1</w:t>
            </w:r>
            <w:r>
              <w:rPr>
                <w:spacing w:val="-10"/>
                <w:sz w:val="21"/>
              </w:rPr>
              <w:t>、</w:t>
            </w:r>
          </w:p>
          <w:p>
            <w:pPr>
              <w:pStyle w:val="TableParagraph"/>
              <w:spacing w:before="40"/>
              <w:ind w:left="107"/>
              <w:rPr>
                <w:sz w:val="21"/>
              </w:rPr>
            </w:pPr>
            <w:r>
              <w:rPr>
                <w:rFonts w:ascii="Times New Roman" w:eastAsia="Times New Roman"/>
                <w:spacing w:val="-2"/>
                <w:sz w:val="21"/>
              </w:rPr>
              <w:t>4.1.2</w:t>
            </w:r>
            <w:r>
              <w:rPr>
                <w:spacing w:val="-2"/>
                <w:sz w:val="21"/>
              </w:rPr>
              <w:t>、</w:t>
            </w:r>
            <w:r>
              <w:rPr>
                <w:rFonts w:ascii="Times New Roman" w:eastAsia="Times New Roman"/>
                <w:spacing w:val="-2"/>
                <w:sz w:val="21"/>
              </w:rPr>
              <w:t>4.2.3</w:t>
            </w:r>
            <w:r>
              <w:rPr>
                <w:spacing w:val="-2"/>
                <w:sz w:val="21"/>
              </w:rPr>
              <w:t>、</w:t>
            </w:r>
            <w:r>
              <w:rPr>
                <w:rFonts w:ascii="Times New Roman" w:eastAsia="Times New Roman"/>
                <w:spacing w:val="-2"/>
                <w:sz w:val="21"/>
              </w:rPr>
              <w:t>4.3</w:t>
            </w:r>
            <w:r>
              <w:rPr>
                <w:spacing w:val="-2"/>
                <w:sz w:val="21"/>
              </w:rPr>
              <w:t>）</w:t>
            </w:r>
            <w:r>
              <w:rPr>
                <w:spacing w:val="-6"/>
                <w:sz w:val="21"/>
              </w:rPr>
              <w:t>、第</w:t>
            </w:r>
          </w:p>
          <w:p>
            <w:pPr>
              <w:pStyle w:val="TableParagraph"/>
              <w:spacing w:before="40"/>
              <w:ind w:left="107"/>
              <w:rPr>
                <w:sz w:val="21"/>
              </w:rPr>
            </w:pPr>
            <w:r>
              <w:rPr>
                <w:rFonts w:ascii="Times New Roman" w:eastAsia="Times New Roman"/>
                <w:sz w:val="21"/>
              </w:rPr>
              <w:t>6.3.1</w:t>
            </w:r>
            <w:r>
              <w:rPr>
                <w:rFonts w:ascii="Times New Roman" w:eastAsia="Times New Roman"/>
                <w:spacing w:val="-10"/>
                <w:sz w:val="21"/>
              </w:rPr>
              <w:t> </w:t>
            </w:r>
            <w:r>
              <w:rPr>
                <w:spacing w:val="-14"/>
                <w:sz w:val="21"/>
              </w:rPr>
              <w:t>节、第 </w:t>
            </w:r>
            <w:r>
              <w:rPr>
                <w:rFonts w:ascii="Times New Roman" w:eastAsia="Times New Roman"/>
                <w:sz w:val="21"/>
              </w:rPr>
              <w:t>9</w:t>
            </w:r>
            <w:r>
              <w:rPr>
                <w:rFonts w:ascii="Times New Roman" w:eastAsia="Times New Roman"/>
                <w:spacing w:val="-10"/>
                <w:sz w:val="21"/>
              </w:rPr>
              <w:t> </w:t>
            </w:r>
            <w:r>
              <w:rPr>
                <w:sz w:val="21"/>
              </w:rPr>
              <w:t>节（</w:t>
            </w:r>
            <w:r>
              <w:rPr>
                <w:rFonts w:ascii="Times New Roman" w:eastAsia="Times New Roman"/>
                <w:sz w:val="21"/>
              </w:rPr>
              <w:t>9.1</w:t>
            </w:r>
            <w:r>
              <w:rPr>
                <w:spacing w:val="-10"/>
                <w:sz w:val="21"/>
              </w:rPr>
              <w:t>、</w:t>
            </w:r>
          </w:p>
          <w:p>
            <w:pPr>
              <w:pStyle w:val="TableParagraph"/>
              <w:spacing w:before="40"/>
              <w:ind w:left="107"/>
              <w:rPr>
                <w:sz w:val="21"/>
              </w:rPr>
            </w:pPr>
            <w:r>
              <w:rPr>
                <w:rFonts w:ascii="Times New Roman" w:eastAsia="Times New Roman"/>
                <w:spacing w:val="-2"/>
                <w:sz w:val="21"/>
              </w:rPr>
              <w:t>9.1.1</w:t>
            </w:r>
            <w:r>
              <w:rPr>
                <w:spacing w:val="-2"/>
                <w:sz w:val="21"/>
              </w:rPr>
              <w:t>、</w:t>
            </w:r>
            <w:r>
              <w:rPr>
                <w:rFonts w:ascii="Times New Roman" w:eastAsia="Times New Roman"/>
                <w:spacing w:val="-2"/>
                <w:sz w:val="21"/>
              </w:rPr>
              <w:t>9.2</w:t>
            </w:r>
            <w:r>
              <w:rPr>
                <w:spacing w:val="-2"/>
                <w:sz w:val="21"/>
              </w:rPr>
              <w:t>、</w:t>
            </w:r>
            <w:r>
              <w:rPr>
                <w:rFonts w:ascii="Times New Roman" w:eastAsia="Times New Roman"/>
                <w:spacing w:val="-2"/>
                <w:sz w:val="21"/>
              </w:rPr>
              <w:t>9.3.1</w:t>
            </w:r>
            <w:r>
              <w:rPr>
                <w:spacing w:val="-10"/>
                <w:sz w:val="21"/>
              </w:rPr>
              <w:t>、</w:t>
            </w:r>
          </w:p>
          <w:p>
            <w:pPr>
              <w:pStyle w:val="TableParagraph"/>
              <w:spacing w:before="40"/>
              <w:ind w:left="107"/>
              <w:rPr>
                <w:sz w:val="21"/>
              </w:rPr>
            </w:pPr>
            <w:r>
              <w:rPr>
                <w:rFonts w:ascii="Times New Roman" w:eastAsia="Times New Roman"/>
                <w:sz w:val="21"/>
              </w:rPr>
              <w:t>9.4.2.1</w:t>
            </w:r>
            <w:r>
              <w:rPr>
                <w:sz w:val="21"/>
              </w:rPr>
              <w:t>、</w:t>
            </w:r>
            <w:r>
              <w:rPr>
                <w:rFonts w:ascii="Times New Roman" w:eastAsia="Times New Roman"/>
                <w:spacing w:val="-4"/>
                <w:sz w:val="21"/>
              </w:rPr>
              <w:t>9.5</w:t>
            </w:r>
            <w:r>
              <w:rPr>
                <w:spacing w:val="-4"/>
                <w:sz w:val="21"/>
              </w:rPr>
              <w:t>）</w:t>
            </w:r>
          </w:p>
        </w:tc>
        <w:tc>
          <w:tcPr>
            <w:tcW w:w="3135" w:type="dxa"/>
          </w:tcPr>
          <w:p>
            <w:pPr>
              <w:pStyle w:val="TableParagraph"/>
              <w:spacing w:line="276" w:lineRule="auto" w:before="36"/>
              <w:ind w:left="106" w:right="97"/>
              <w:jc w:val="both"/>
              <w:rPr>
                <w:sz w:val="21"/>
              </w:rPr>
            </w:pPr>
            <w:r>
              <w:rPr>
                <w:spacing w:val="12"/>
                <w:sz w:val="21"/>
              </w:rPr>
              <w:t>在修订后，前身研究中没有新</w:t>
            </w:r>
            <w:r>
              <w:rPr>
                <w:spacing w:val="-4"/>
                <w:sz w:val="21"/>
              </w:rPr>
              <w:t>的受试者被分配至 </w:t>
            </w:r>
            <w:r>
              <w:rPr>
                <w:rFonts w:ascii="Times New Roman" w:eastAsia="Times New Roman"/>
                <w:sz w:val="21"/>
              </w:rPr>
              <w:t>300</w:t>
            </w:r>
            <w:r>
              <w:rPr>
                <w:rFonts w:ascii="Times New Roman" w:eastAsia="Times New Roman"/>
                <w:spacing w:val="-13"/>
                <w:sz w:val="21"/>
              </w:rPr>
              <w:t> </w:t>
            </w:r>
            <w:r>
              <w:rPr>
                <w:rFonts w:ascii="Times New Roman" w:eastAsia="Times New Roman"/>
                <w:sz w:val="21"/>
              </w:rPr>
              <w:t>mg</w:t>
            </w:r>
            <w:r>
              <w:rPr>
                <w:rFonts w:ascii="Times New Roman" w:eastAsia="Times New Roman"/>
                <w:spacing w:val="-7"/>
                <w:sz w:val="21"/>
              </w:rPr>
              <w:t> </w:t>
            </w:r>
            <w:r>
              <w:rPr>
                <w:rFonts w:ascii="Times New Roman" w:eastAsia="Times New Roman"/>
                <w:sz w:val="21"/>
              </w:rPr>
              <w:t>Q8</w:t>
            </w:r>
            <w:r>
              <w:rPr>
                <w:rFonts w:ascii="Times New Roman" w:eastAsia="Times New Roman"/>
                <w:sz w:val="21"/>
              </w:rPr>
              <w:t>W</w:t>
            </w:r>
            <w:r>
              <w:rPr>
                <w:sz w:val="21"/>
              </w:rPr>
              <w:t>组， </w:t>
            </w:r>
            <w:r>
              <w:rPr>
                <w:rFonts w:ascii="Times New Roman" w:eastAsia="Times New Roman"/>
                <w:sz w:val="21"/>
              </w:rPr>
              <w:t>Q8W</w:t>
            </w:r>
            <w:r>
              <w:rPr>
                <w:rFonts w:ascii="Times New Roman" w:eastAsia="Times New Roman"/>
                <w:spacing w:val="-13"/>
                <w:sz w:val="21"/>
              </w:rPr>
              <w:t> </w:t>
            </w:r>
            <w:r>
              <w:rPr>
                <w:spacing w:val="23"/>
                <w:sz w:val="21"/>
              </w:rPr>
              <w:t>组的样本量因此减</w:t>
            </w:r>
            <w:r>
              <w:rPr>
                <w:spacing w:val="12"/>
                <w:sz w:val="21"/>
              </w:rPr>
              <w:t>少。更新了研究设计、样本量</w:t>
            </w:r>
            <w:r>
              <w:rPr>
                <w:spacing w:val="14"/>
                <w:sz w:val="21"/>
              </w:rPr>
              <w:t>和统计分析（</w:t>
            </w:r>
            <w:r>
              <w:rPr>
                <w:spacing w:val="11"/>
                <w:sz w:val="21"/>
              </w:rPr>
              <w:t>包括确证性假设</w:t>
            </w:r>
            <w:r>
              <w:rPr>
                <w:spacing w:val="14"/>
                <w:sz w:val="21"/>
              </w:rPr>
              <w:t>检验和多重检验程序）</w:t>
            </w:r>
            <w:r>
              <w:rPr>
                <w:spacing w:val="9"/>
                <w:sz w:val="21"/>
              </w:rPr>
              <w:t>，以反</w:t>
            </w:r>
            <w:r>
              <w:rPr>
                <w:spacing w:val="-2"/>
                <w:sz w:val="21"/>
              </w:rPr>
              <w:t>映该变更。</w:t>
            </w:r>
          </w:p>
          <w:p>
            <w:pPr>
              <w:pStyle w:val="TableParagraph"/>
              <w:spacing w:line="276" w:lineRule="auto" w:before="36"/>
              <w:ind w:left="106" w:right="98"/>
              <w:jc w:val="both"/>
              <w:rPr>
                <w:sz w:val="21"/>
              </w:rPr>
            </w:pPr>
            <w:r>
              <w:rPr>
                <w:sz w:val="21"/>
              </w:rPr>
              <w:t>根据最新 </w:t>
            </w:r>
            <w:r>
              <w:rPr>
                <w:rFonts w:ascii="Times New Roman" w:eastAsia="Times New Roman"/>
                <w:sz w:val="21"/>
              </w:rPr>
              <w:t>II</w:t>
            </w:r>
            <w:r>
              <w:rPr>
                <w:rFonts w:ascii="Times New Roman" w:eastAsia="Times New Roman"/>
                <w:spacing w:val="40"/>
                <w:sz w:val="21"/>
              </w:rPr>
              <w:t> </w:t>
            </w:r>
            <w:r>
              <w:rPr>
                <w:sz w:val="21"/>
              </w:rPr>
              <w:t>期数据，更新两种 </w:t>
            </w:r>
            <w:r>
              <w:rPr>
                <w:rFonts w:ascii="Times New Roman" w:eastAsia="Times New Roman"/>
                <w:sz w:val="21"/>
              </w:rPr>
              <w:t>tozorakimab </w:t>
            </w:r>
            <w:r>
              <w:rPr>
                <w:spacing w:val="11"/>
                <w:sz w:val="21"/>
              </w:rPr>
              <w:t>给药方案谷浓度下</w:t>
            </w:r>
            <w:r>
              <w:rPr>
                <w:spacing w:val="-8"/>
                <w:sz w:val="21"/>
              </w:rPr>
              <w:t>肺中 </w:t>
            </w:r>
            <w:r>
              <w:rPr>
                <w:rFonts w:ascii="Times New Roman" w:eastAsia="Times New Roman"/>
                <w:sz w:val="21"/>
              </w:rPr>
              <w:t>IL33:ST2 </w:t>
            </w:r>
            <w:r>
              <w:rPr>
                <w:sz w:val="21"/>
              </w:rPr>
              <w:t>的抑制百分比。</w:t>
            </w:r>
          </w:p>
        </w:tc>
        <w:tc>
          <w:tcPr>
            <w:tcW w:w="3163" w:type="dxa"/>
          </w:tcPr>
          <w:p>
            <w:pPr>
              <w:pStyle w:val="TableParagraph"/>
              <w:spacing w:line="276" w:lineRule="auto" w:before="36"/>
              <w:ind w:left="106" w:right="97"/>
              <w:jc w:val="both"/>
              <w:rPr>
                <w:sz w:val="21"/>
              </w:rPr>
            </w:pPr>
            <w:r>
              <w:rPr>
                <w:spacing w:val="-2"/>
                <w:sz w:val="21"/>
              </w:rPr>
              <w:t>该变更的依据是近期在中度至重</w:t>
            </w:r>
            <w:r>
              <w:rPr>
                <w:spacing w:val="-2"/>
                <w:sz w:val="21"/>
              </w:rPr>
              <w:t>度特应性皮炎（</w:t>
            </w:r>
            <w:r>
              <w:rPr>
                <w:rFonts w:ascii="Times New Roman" w:eastAsia="Times New Roman"/>
                <w:spacing w:val="-2"/>
                <w:sz w:val="21"/>
              </w:rPr>
              <w:t>D9182C00001</w:t>
            </w:r>
            <w:r>
              <w:rPr>
                <w:spacing w:val="-2"/>
                <w:sz w:val="21"/>
              </w:rPr>
              <w:t>）</w:t>
            </w:r>
            <w:r>
              <w:rPr>
                <w:spacing w:val="-6"/>
                <w:sz w:val="21"/>
              </w:rPr>
              <w:t>和哮喘患者中开展的 </w:t>
            </w:r>
            <w:r>
              <w:rPr>
                <w:rFonts w:ascii="Times New Roman" w:eastAsia="Times New Roman"/>
                <w:spacing w:val="-4"/>
                <w:sz w:val="21"/>
              </w:rPr>
              <w:t>II</w:t>
            </w:r>
            <w:r>
              <w:rPr>
                <w:rFonts w:ascii="Times New Roman" w:eastAsia="Times New Roman"/>
                <w:spacing w:val="-9"/>
                <w:sz w:val="21"/>
              </w:rPr>
              <w:t> </w:t>
            </w:r>
            <w:r>
              <w:rPr>
                <w:spacing w:val="-4"/>
                <w:sz w:val="21"/>
              </w:rPr>
              <w:t>期研究的</w:t>
            </w:r>
            <w:r>
              <w:rPr>
                <w:spacing w:val="-2"/>
                <w:sz w:val="21"/>
              </w:rPr>
              <w:t>数据中观察到 </w:t>
            </w:r>
            <w:r>
              <w:rPr>
                <w:rFonts w:ascii="Times New Roman" w:eastAsia="Times New Roman"/>
                <w:sz w:val="21"/>
              </w:rPr>
              <w:t>PK</w:t>
            </w:r>
            <w:r>
              <w:rPr>
                <w:rFonts w:ascii="Times New Roman" w:eastAsia="Times New Roman"/>
                <w:spacing w:val="22"/>
                <w:sz w:val="21"/>
              </w:rPr>
              <w:t> </w:t>
            </w:r>
            <w:r>
              <w:rPr>
                <w:spacing w:val="-2"/>
                <w:sz w:val="21"/>
              </w:rPr>
              <w:t>谷浓度低于 </w:t>
            </w:r>
            <w:r>
              <w:rPr>
                <w:rFonts w:ascii="Times New Roman" w:eastAsia="Times New Roman"/>
                <w:sz w:val="21"/>
              </w:rPr>
              <w:t>I</w:t>
            </w:r>
            <w:r>
              <w:rPr>
                <w:spacing w:val="31"/>
                <w:sz w:val="21"/>
              </w:rPr>
              <w:t>期 健 康 志 愿 者 研 究</w:t>
            </w:r>
          </w:p>
          <w:p>
            <w:pPr>
              <w:pStyle w:val="TableParagraph"/>
              <w:spacing w:line="276" w:lineRule="auto"/>
              <w:ind w:left="106" w:right="96" w:hanging="105"/>
              <w:jc w:val="both"/>
              <w:rPr>
                <w:sz w:val="21"/>
              </w:rPr>
            </w:pPr>
            <w:r>
              <w:rPr>
                <w:spacing w:val="-2"/>
                <w:sz w:val="21"/>
              </w:rPr>
              <w:t>（</w:t>
            </w:r>
            <w:r>
              <w:rPr>
                <w:spacing w:val="-25"/>
                <w:sz w:val="21"/>
              </w:rPr>
              <w:t> </w:t>
            </w:r>
            <w:r>
              <w:rPr>
                <w:rFonts w:ascii="Times New Roman" w:eastAsia="Times New Roman"/>
                <w:spacing w:val="-2"/>
                <w:sz w:val="21"/>
              </w:rPr>
              <w:t>D9182C00001</w:t>
            </w:r>
            <w:r>
              <w:rPr>
                <w:rFonts w:ascii="Times New Roman" w:eastAsia="Times New Roman"/>
                <w:spacing w:val="-11"/>
                <w:sz w:val="21"/>
              </w:rPr>
              <w:t> </w:t>
            </w:r>
            <w:r>
              <w:rPr>
                <w:spacing w:val="-2"/>
                <w:sz w:val="21"/>
              </w:rPr>
              <w:t>）的结果（</w:t>
            </w:r>
            <w:r>
              <w:rPr>
                <w:spacing w:val="-24"/>
                <w:sz w:val="21"/>
              </w:rPr>
              <w:t> </w:t>
            </w:r>
            <w:r>
              <w:rPr>
                <w:rFonts w:ascii="Times New Roman" w:eastAsia="Times New Roman"/>
                <w:spacing w:val="-2"/>
                <w:sz w:val="21"/>
              </w:rPr>
              <w:t>30%</w:t>
            </w:r>
            <w:r>
              <w:rPr>
                <w:spacing w:val="-21"/>
                <w:sz w:val="21"/>
              </w:rPr>
              <w:t>至 </w:t>
            </w:r>
            <w:r>
              <w:rPr>
                <w:rFonts w:ascii="Times New Roman" w:eastAsia="Times New Roman"/>
                <w:sz w:val="21"/>
              </w:rPr>
              <w:t>35%</w:t>
            </w:r>
            <w:r>
              <w:rPr>
                <w:sz w:val="21"/>
              </w:rPr>
              <w:t>）。</w:t>
            </w:r>
          </w:p>
          <w:p>
            <w:pPr>
              <w:pStyle w:val="TableParagraph"/>
              <w:spacing w:line="276" w:lineRule="auto" w:before="36"/>
              <w:ind w:left="106" w:right="99"/>
              <w:jc w:val="both"/>
              <w:rPr>
                <w:sz w:val="21"/>
              </w:rPr>
            </w:pPr>
            <w:r>
              <w:rPr>
                <w:spacing w:val="-2"/>
                <w:sz w:val="21"/>
              </w:rPr>
              <w:t>本研究遵循前身研究的方法，没</w:t>
            </w:r>
            <w:r>
              <w:rPr>
                <w:spacing w:val="-14"/>
                <w:sz w:val="21"/>
              </w:rPr>
              <w:t>有 新 的 受 试 者 被 分 配 至</w:t>
            </w:r>
            <w:r>
              <w:rPr>
                <w:sz w:val="21"/>
              </w:rPr>
              <w:t> </w:t>
            </w:r>
            <w:r>
              <w:rPr>
                <w:rFonts w:ascii="Times New Roman" w:eastAsia="Times New Roman"/>
                <w:sz w:val="21"/>
              </w:rPr>
              <w:t>tozorakimab 300 mg Q8W </w:t>
            </w:r>
            <w:r>
              <w:rPr>
                <w:sz w:val="21"/>
              </w:rPr>
              <w:t>组。</w:t>
            </w:r>
          </w:p>
        </w:tc>
      </w:tr>
      <w:tr>
        <w:trPr>
          <w:trHeight w:val="2272" w:hRule="atLeast"/>
        </w:trPr>
        <w:tc>
          <w:tcPr>
            <w:tcW w:w="2459" w:type="dxa"/>
          </w:tcPr>
          <w:p>
            <w:pPr>
              <w:pStyle w:val="TableParagraph"/>
              <w:spacing w:before="36"/>
              <w:ind w:left="107"/>
              <w:rPr>
                <w:sz w:val="21"/>
              </w:rPr>
            </w:pPr>
            <w:r>
              <w:rPr>
                <w:spacing w:val="-27"/>
                <w:sz w:val="21"/>
              </w:rPr>
              <w:t>第 </w:t>
            </w:r>
            <w:r>
              <w:rPr>
                <w:rFonts w:ascii="Times New Roman" w:eastAsia="Times New Roman"/>
                <w:sz w:val="21"/>
              </w:rPr>
              <w:t>1</w:t>
            </w:r>
            <w:r>
              <w:rPr>
                <w:rFonts w:ascii="Times New Roman" w:eastAsia="Times New Roman"/>
                <w:spacing w:val="-11"/>
                <w:sz w:val="21"/>
              </w:rPr>
              <w:t> </w:t>
            </w:r>
            <w:r>
              <w:rPr>
                <w:sz w:val="21"/>
              </w:rPr>
              <w:t>节（</w:t>
            </w:r>
            <w:r>
              <w:rPr>
                <w:rFonts w:ascii="Times New Roman" w:eastAsia="Times New Roman"/>
                <w:sz w:val="21"/>
              </w:rPr>
              <w:t>1.1</w:t>
            </w:r>
            <w:r>
              <w:rPr>
                <w:sz w:val="21"/>
              </w:rPr>
              <w:t>、</w:t>
            </w:r>
            <w:r>
              <w:rPr>
                <w:rFonts w:ascii="Times New Roman" w:eastAsia="Times New Roman"/>
                <w:sz w:val="21"/>
              </w:rPr>
              <w:t>1.2</w:t>
            </w:r>
            <w:r>
              <w:rPr>
                <w:spacing w:val="-10"/>
                <w:sz w:val="21"/>
              </w:rPr>
              <w:t>、</w:t>
            </w:r>
          </w:p>
          <w:p>
            <w:pPr>
              <w:pStyle w:val="TableParagraph"/>
              <w:spacing w:before="42"/>
              <w:ind w:left="107"/>
              <w:rPr>
                <w:sz w:val="21"/>
              </w:rPr>
            </w:pPr>
            <w:r>
              <w:rPr>
                <w:rFonts w:ascii="Times New Roman" w:eastAsia="Times New Roman"/>
                <w:spacing w:val="-2"/>
                <w:sz w:val="21"/>
              </w:rPr>
              <w:t>1.3</w:t>
            </w:r>
            <w:r>
              <w:rPr>
                <w:spacing w:val="-2"/>
                <w:sz w:val="21"/>
              </w:rPr>
              <w:t>、</w:t>
            </w:r>
            <w:r>
              <w:rPr>
                <w:rFonts w:ascii="Times New Roman" w:eastAsia="Times New Roman"/>
                <w:spacing w:val="-2"/>
                <w:sz w:val="21"/>
              </w:rPr>
              <w:t>1.3.1</w:t>
            </w:r>
            <w:r>
              <w:rPr>
                <w:spacing w:val="-2"/>
                <w:sz w:val="21"/>
              </w:rPr>
              <w:t>、</w:t>
            </w:r>
            <w:r>
              <w:rPr>
                <w:rFonts w:ascii="Times New Roman" w:eastAsia="Times New Roman"/>
                <w:spacing w:val="-2"/>
                <w:sz w:val="21"/>
              </w:rPr>
              <w:t>1.3.2</w:t>
            </w:r>
            <w:r>
              <w:rPr>
                <w:spacing w:val="-2"/>
                <w:sz w:val="21"/>
              </w:rPr>
              <w:t>）</w:t>
            </w:r>
            <w:r>
              <w:rPr>
                <w:spacing w:val="-6"/>
                <w:sz w:val="21"/>
              </w:rPr>
              <w:t>、第</w:t>
            </w:r>
          </w:p>
          <w:p>
            <w:pPr>
              <w:pStyle w:val="TableParagraph"/>
              <w:spacing w:before="40"/>
              <w:ind w:left="107"/>
              <w:rPr>
                <w:sz w:val="21"/>
              </w:rPr>
            </w:pPr>
            <w:r>
              <w:rPr>
                <w:rFonts w:ascii="Times New Roman" w:eastAsia="Times New Roman"/>
                <w:sz w:val="21"/>
              </w:rPr>
              <w:t>4</w:t>
            </w:r>
            <w:r>
              <w:rPr>
                <w:rFonts w:ascii="Times New Roman" w:eastAsia="Times New Roman"/>
                <w:spacing w:val="-9"/>
                <w:sz w:val="21"/>
              </w:rPr>
              <w:t> </w:t>
            </w:r>
            <w:r>
              <w:rPr>
                <w:sz w:val="21"/>
              </w:rPr>
              <w:t>节（</w:t>
            </w:r>
            <w:r>
              <w:rPr>
                <w:rFonts w:ascii="Times New Roman" w:eastAsia="Times New Roman"/>
                <w:sz w:val="21"/>
              </w:rPr>
              <w:t>4.1</w:t>
            </w:r>
            <w:r>
              <w:rPr>
                <w:sz w:val="21"/>
              </w:rPr>
              <w:t>、</w:t>
            </w:r>
            <w:r>
              <w:rPr>
                <w:rFonts w:ascii="Times New Roman" w:eastAsia="Times New Roman"/>
                <w:sz w:val="21"/>
              </w:rPr>
              <w:t>4.1.2</w:t>
            </w:r>
            <w:r>
              <w:rPr>
                <w:spacing w:val="-10"/>
                <w:sz w:val="21"/>
              </w:rPr>
              <w:t>、</w:t>
            </w:r>
          </w:p>
          <w:p>
            <w:pPr>
              <w:pStyle w:val="TableParagraph"/>
              <w:spacing w:before="40"/>
              <w:ind w:left="107"/>
              <w:rPr>
                <w:rFonts w:ascii="Times New Roman" w:eastAsia="Times New Roman"/>
                <w:sz w:val="21"/>
              </w:rPr>
            </w:pPr>
            <w:r>
              <w:rPr>
                <w:rFonts w:ascii="Times New Roman" w:eastAsia="Times New Roman"/>
                <w:spacing w:val="-2"/>
                <w:sz w:val="21"/>
              </w:rPr>
              <w:t>4.2.4</w:t>
            </w:r>
            <w:r>
              <w:rPr>
                <w:spacing w:val="-2"/>
                <w:sz w:val="21"/>
              </w:rPr>
              <w:t>、</w:t>
            </w:r>
            <w:r>
              <w:rPr>
                <w:rFonts w:ascii="Times New Roman" w:eastAsia="Times New Roman"/>
                <w:spacing w:val="-2"/>
                <w:sz w:val="21"/>
              </w:rPr>
              <w:t>4.4</w:t>
            </w:r>
            <w:r>
              <w:rPr>
                <w:spacing w:val="-2"/>
                <w:sz w:val="21"/>
              </w:rPr>
              <w:t>）</w:t>
            </w:r>
            <w:r>
              <w:rPr>
                <w:spacing w:val="-13"/>
                <w:sz w:val="21"/>
              </w:rPr>
              <w:t>、第 </w:t>
            </w:r>
            <w:r>
              <w:rPr>
                <w:rFonts w:ascii="Times New Roman" w:eastAsia="Times New Roman"/>
                <w:spacing w:val="-2"/>
                <w:sz w:val="21"/>
              </w:rPr>
              <w:t>6.1.1</w:t>
            </w:r>
          </w:p>
          <w:p>
            <w:pPr>
              <w:pStyle w:val="TableParagraph"/>
              <w:spacing w:before="40"/>
              <w:ind w:left="107"/>
              <w:rPr>
                <w:sz w:val="21"/>
              </w:rPr>
            </w:pPr>
            <w:r>
              <w:rPr>
                <w:spacing w:val="-13"/>
                <w:sz w:val="21"/>
              </w:rPr>
              <w:t>节、第 </w:t>
            </w:r>
            <w:r>
              <w:rPr>
                <w:rFonts w:ascii="Times New Roman" w:eastAsia="Times New Roman"/>
                <w:sz w:val="21"/>
              </w:rPr>
              <w:t>7.1.1</w:t>
            </w:r>
            <w:r>
              <w:rPr>
                <w:rFonts w:ascii="Times New Roman" w:eastAsia="Times New Roman"/>
                <w:spacing w:val="-11"/>
                <w:sz w:val="21"/>
              </w:rPr>
              <w:t> </w:t>
            </w:r>
            <w:r>
              <w:rPr>
                <w:spacing w:val="-4"/>
                <w:sz w:val="21"/>
              </w:rPr>
              <w:t>节、第</w:t>
            </w:r>
          </w:p>
          <w:p>
            <w:pPr>
              <w:pStyle w:val="TableParagraph"/>
              <w:spacing w:before="41"/>
              <w:ind w:left="107"/>
              <w:rPr>
                <w:sz w:val="21"/>
              </w:rPr>
            </w:pPr>
            <w:r>
              <w:rPr>
                <w:rFonts w:ascii="Times New Roman" w:eastAsia="Times New Roman"/>
                <w:sz w:val="21"/>
              </w:rPr>
              <w:t>8.1.4</w:t>
            </w:r>
            <w:r>
              <w:rPr>
                <w:rFonts w:ascii="Times New Roman" w:eastAsia="Times New Roman"/>
                <w:spacing w:val="-10"/>
                <w:sz w:val="21"/>
              </w:rPr>
              <w:t> </w:t>
            </w:r>
            <w:r>
              <w:rPr>
                <w:spacing w:val="-14"/>
                <w:sz w:val="21"/>
              </w:rPr>
              <w:t>节、第 </w:t>
            </w:r>
            <w:r>
              <w:rPr>
                <w:rFonts w:ascii="Times New Roman" w:eastAsia="Times New Roman"/>
                <w:sz w:val="21"/>
              </w:rPr>
              <w:t>9</w:t>
            </w:r>
            <w:r>
              <w:rPr>
                <w:rFonts w:ascii="Times New Roman" w:eastAsia="Times New Roman"/>
                <w:spacing w:val="-10"/>
                <w:sz w:val="21"/>
              </w:rPr>
              <w:t> </w:t>
            </w:r>
            <w:r>
              <w:rPr>
                <w:sz w:val="21"/>
              </w:rPr>
              <w:t>节（</w:t>
            </w:r>
            <w:r>
              <w:rPr>
                <w:rFonts w:ascii="Times New Roman" w:eastAsia="Times New Roman"/>
                <w:sz w:val="21"/>
              </w:rPr>
              <w:t>9.2</w:t>
            </w:r>
            <w:r>
              <w:rPr>
                <w:spacing w:val="-10"/>
                <w:sz w:val="21"/>
              </w:rPr>
              <w:t>、</w:t>
            </w:r>
          </w:p>
          <w:p>
            <w:pPr>
              <w:pStyle w:val="TableParagraph"/>
              <w:spacing w:before="40"/>
              <w:ind w:left="107"/>
              <w:rPr>
                <w:sz w:val="21"/>
              </w:rPr>
            </w:pPr>
            <w:r>
              <w:rPr>
                <w:rFonts w:ascii="Times New Roman" w:eastAsia="Times New Roman"/>
                <w:spacing w:val="-2"/>
                <w:sz w:val="21"/>
              </w:rPr>
              <w:t>9.3.1</w:t>
            </w:r>
            <w:r>
              <w:rPr>
                <w:spacing w:val="-2"/>
                <w:sz w:val="21"/>
              </w:rPr>
              <w:t>）</w:t>
            </w:r>
          </w:p>
        </w:tc>
        <w:tc>
          <w:tcPr>
            <w:tcW w:w="3135" w:type="dxa"/>
          </w:tcPr>
          <w:p>
            <w:pPr>
              <w:pStyle w:val="TableParagraph"/>
              <w:spacing w:before="36"/>
              <w:ind w:left="106" w:right="97"/>
              <w:jc w:val="both"/>
              <w:rPr>
                <w:sz w:val="21"/>
              </w:rPr>
            </w:pPr>
            <w:r>
              <w:rPr>
                <w:rFonts w:ascii="Times New Roman" w:eastAsia="Times New Roman"/>
                <w:sz w:val="21"/>
              </w:rPr>
              <w:t>CSP</w:t>
            </w:r>
            <w:r>
              <w:rPr>
                <w:rFonts w:ascii="Times New Roman" w:eastAsia="Times New Roman"/>
                <w:spacing w:val="-14"/>
                <w:sz w:val="21"/>
              </w:rPr>
              <w:t> </w:t>
            </w:r>
            <w:r>
              <w:rPr>
                <w:spacing w:val="-13"/>
                <w:sz w:val="21"/>
              </w:rPr>
              <w:t>第 </w:t>
            </w:r>
            <w:r>
              <w:rPr>
                <w:rFonts w:ascii="Times New Roman" w:eastAsia="Times New Roman"/>
                <w:sz w:val="21"/>
              </w:rPr>
              <w:t>2.0</w:t>
            </w:r>
            <w:r>
              <w:rPr>
                <w:rFonts w:ascii="Times New Roman" w:eastAsia="Times New Roman"/>
                <w:spacing w:val="-13"/>
                <w:sz w:val="21"/>
              </w:rPr>
              <w:t> </w:t>
            </w:r>
            <w:r>
              <w:rPr>
                <w:sz w:val="21"/>
              </w:rPr>
              <w:t>版招募的受试者的治</w:t>
            </w:r>
            <w:r>
              <w:rPr>
                <w:spacing w:val="-3"/>
                <w:sz w:val="21"/>
              </w:rPr>
              <w:t>疗期将缩短至 </w:t>
            </w:r>
            <w:r>
              <w:rPr>
                <w:rFonts w:ascii="Times New Roman" w:eastAsia="Times New Roman"/>
                <w:sz w:val="21"/>
              </w:rPr>
              <w:t>28</w:t>
            </w:r>
            <w:r>
              <w:rPr>
                <w:rFonts w:ascii="Times New Roman" w:eastAsia="Times New Roman"/>
                <w:spacing w:val="15"/>
                <w:sz w:val="21"/>
              </w:rPr>
              <w:t> </w:t>
            </w:r>
            <w:r>
              <w:rPr>
                <w:sz w:val="21"/>
              </w:rPr>
              <w:t>周，研究设计</w:t>
            </w:r>
            <w:r>
              <w:rPr>
                <w:spacing w:val="31"/>
                <w:sz w:val="21"/>
              </w:rPr>
              <w:t>方案、研究活动时间表、依</w:t>
            </w:r>
            <w:r>
              <w:rPr>
                <w:spacing w:val="12"/>
                <w:sz w:val="21"/>
              </w:rPr>
              <w:t>据、治疗期和统计分析进行了</w:t>
            </w:r>
            <w:r>
              <w:rPr>
                <w:spacing w:val="-2"/>
                <w:sz w:val="21"/>
              </w:rPr>
              <w:t>相应更新。</w:t>
            </w:r>
          </w:p>
        </w:tc>
        <w:tc>
          <w:tcPr>
            <w:tcW w:w="3163" w:type="dxa"/>
          </w:tcPr>
          <w:p>
            <w:pPr>
              <w:pStyle w:val="TableParagraph"/>
              <w:spacing w:before="36"/>
              <w:ind w:left="106" w:right="87"/>
              <w:jc w:val="both"/>
              <w:rPr>
                <w:sz w:val="21"/>
              </w:rPr>
            </w:pPr>
            <w:r>
              <w:rPr>
                <w:spacing w:val="8"/>
                <w:sz w:val="21"/>
              </w:rPr>
              <w:t>因为合并前身研究，</w:t>
            </w:r>
            <w:r>
              <w:rPr>
                <w:rFonts w:ascii="Times New Roman" w:eastAsia="Times New Roman"/>
                <w:sz w:val="21"/>
              </w:rPr>
              <w:t>28 </w:t>
            </w:r>
            <w:r>
              <w:rPr>
                <w:spacing w:val="10"/>
                <w:sz w:val="21"/>
              </w:rPr>
              <w:t>周持续</w:t>
            </w:r>
            <w:r>
              <w:rPr>
                <w:spacing w:val="-2"/>
                <w:sz w:val="21"/>
              </w:rPr>
              <w:t>时间足以收集长期有效性和安全</w:t>
            </w:r>
            <w:r>
              <w:rPr>
                <w:spacing w:val="-4"/>
                <w:sz w:val="21"/>
              </w:rPr>
              <w:t>性数据。</w:t>
            </w:r>
          </w:p>
        </w:tc>
      </w:tr>
    </w:tbl>
    <w:p>
      <w:pPr>
        <w:pStyle w:val="BodyText"/>
        <w:spacing w:before="83"/>
        <w:ind w:left="0"/>
        <w:rPr>
          <w:b/>
        </w:rPr>
      </w:pPr>
    </w:p>
    <w:p>
      <w:pPr>
        <w:spacing w:before="0"/>
        <w:ind w:left="221" w:right="0" w:firstLine="0"/>
        <w:jc w:val="left"/>
        <w:rPr>
          <w:b/>
          <w:sz w:val="24"/>
        </w:rPr>
      </w:pPr>
      <w:r>
        <w:rPr>
          <w:b/>
          <w:spacing w:val="-5"/>
          <w:sz w:val="24"/>
        </w:rPr>
        <w:t>非实质性修订列表</w:t>
      </w:r>
    </w:p>
    <w:p>
      <w:pPr>
        <w:pStyle w:val="BodyText"/>
        <w:spacing w:before="5" w:after="1"/>
        <w:ind w:left="0"/>
        <w:rPr>
          <w:b/>
          <w:sz w:val="9"/>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TableParagraph"/>
              <w:spacing w:before="38"/>
              <w:ind w:left="107"/>
              <w:rPr>
                <w:b/>
                <w:sz w:val="21"/>
              </w:rPr>
            </w:pPr>
            <w:r>
              <w:rPr>
                <w:b/>
                <w:spacing w:val="-3"/>
                <w:sz w:val="21"/>
              </w:rPr>
              <w:t>章节编号和标题名称</w:t>
            </w:r>
          </w:p>
        </w:tc>
        <w:tc>
          <w:tcPr>
            <w:tcW w:w="3184" w:type="dxa"/>
          </w:tcPr>
          <w:p>
            <w:pPr>
              <w:pStyle w:val="TableParagraph"/>
              <w:spacing w:before="38"/>
              <w:ind w:left="8"/>
              <w:jc w:val="center"/>
              <w:rPr>
                <w:b/>
                <w:sz w:val="21"/>
              </w:rPr>
            </w:pPr>
            <w:r>
              <w:rPr>
                <w:b/>
                <w:spacing w:val="-4"/>
                <w:sz w:val="21"/>
              </w:rPr>
              <w:t>变更描述</w:t>
            </w:r>
          </w:p>
        </w:tc>
        <w:tc>
          <w:tcPr>
            <w:tcW w:w="3145" w:type="dxa"/>
          </w:tcPr>
          <w:p>
            <w:pPr>
              <w:pStyle w:val="TableParagraph"/>
              <w:spacing w:before="38"/>
              <w:ind w:left="11"/>
              <w:jc w:val="center"/>
              <w:rPr>
                <w:b/>
                <w:sz w:val="21"/>
              </w:rPr>
            </w:pPr>
            <w:r>
              <w:rPr>
                <w:b/>
                <w:spacing w:val="-4"/>
                <w:sz w:val="21"/>
              </w:rPr>
              <w:t>简要依据</w:t>
            </w:r>
          </w:p>
        </w:tc>
      </w:tr>
      <w:tr>
        <w:trPr>
          <w:trHeight w:val="623" w:hRule="atLeast"/>
        </w:trPr>
        <w:tc>
          <w:tcPr>
            <w:tcW w:w="2428" w:type="dxa"/>
          </w:tcPr>
          <w:p>
            <w:pPr>
              <w:pStyle w:val="TableParagraph"/>
              <w:spacing w:before="38"/>
              <w:ind w:left="107"/>
              <w:rPr>
                <w:sz w:val="21"/>
              </w:rPr>
            </w:pPr>
            <w:r>
              <w:rPr>
                <w:spacing w:val="-4"/>
                <w:sz w:val="21"/>
              </w:rPr>
              <w:t>标题页</w:t>
            </w:r>
          </w:p>
        </w:tc>
        <w:tc>
          <w:tcPr>
            <w:tcW w:w="3184" w:type="dxa"/>
          </w:tcPr>
          <w:p>
            <w:pPr>
              <w:pStyle w:val="TableParagraph"/>
              <w:spacing w:before="38"/>
              <w:ind w:left="106"/>
              <w:rPr>
                <w:sz w:val="21"/>
              </w:rPr>
            </w:pPr>
            <w:r>
              <w:rPr>
                <w:spacing w:val="-1"/>
                <w:sz w:val="21"/>
              </w:rPr>
              <w:t>增加欧盟临床试验编号。</w:t>
            </w:r>
          </w:p>
        </w:tc>
        <w:tc>
          <w:tcPr>
            <w:tcW w:w="3145" w:type="dxa"/>
          </w:tcPr>
          <w:p>
            <w:pPr>
              <w:pStyle w:val="TableParagraph"/>
              <w:spacing w:line="273" w:lineRule="exact" w:before="36"/>
              <w:ind w:left="107"/>
              <w:rPr>
                <w:sz w:val="21"/>
              </w:rPr>
            </w:pPr>
            <w:r>
              <w:rPr>
                <w:spacing w:val="-9"/>
                <w:sz w:val="21"/>
              </w:rPr>
              <w:t>修订以符合 </w:t>
            </w:r>
            <w:r>
              <w:rPr>
                <w:rFonts w:ascii="Times New Roman" w:eastAsia="Times New Roman"/>
                <w:sz w:val="21"/>
              </w:rPr>
              <w:t>EU</w:t>
            </w:r>
            <w:r>
              <w:rPr>
                <w:rFonts w:ascii="Times New Roman" w:eastAsia="Times New Roman"/>
                <w:spacing w:val="-2"/>
                <w:sz w:val="21"/>
              </w:rPr>
              <w:t> </w:t>
            </w:r>
            <w:r>
              <w:rPr>
                <w:rFonts w:ascii="Times New Roman" w:eastAsia="Times New Roman"/>
                <w:sz w:val="21"/>
              </w:rPr>
              <w:t>CTR</w:t>
            </w:r>
            <w:r>
              <w:rPr>
                <w:rFonts w:ascii="Times New Roman" w:eastAsia="Times New Roman"/>
                <w:spacing w:val="-10"/>
                <w:sz w:val="21"/>
              </w:rPr>
              <w:t> </w:t>
            </w:r>
            <w:r>
              <w:rPr>
                <w:spacing w:val="-5"/>
                <w:sz w:val="21"/>
              </w:rPr>
              <w:t>法规</w:t>
            </w:r>
          </w:p>
          <w:p>
            <w:pPr>
              <w:pStyle w:val="TableParagraph"/>
              <w:spacing w:line="273" w:lineRule="exact"/>
              <w:ind w:left="3"/>
              <w:rPr>
                <w:sz w:val="21"/>
              </w:rPr>
            </w:pPr>
            <w:r>
              <w:rPr>
                <w:sz w:val="21"/>
              </w:rPr>
              <w:t>（</w:t>
            </w:r>
            <w:r>
              <w:rPr>
                <w:rFonts w:ascii="Times New Roman" w:eastAsia="Times New Roman"/>
                <w:sz w:val="21"/>
              </w:rPr>
              <w:t>EU</w:t>
            </w:r>
            <w:r>
              <w:rPr>
                <w:sz w:val="21"/>
              </w:rPr>
              <w:t>）</w:t>
            </w:r>
            <w:r>
              <w:rPr>
                <w:spacing w:val="-27"/>
                <w:sz w:val="21"/>
              </w:rPr>
              <w:t>第 </w:t>
            </w:r>
            <w:r>
              <w:rPr>
                <w:rFonts w:ascii="Times New Roman" w:eastAsia="Times New Roman"/>
                <w:sz w:val="21"/>
              </w:rPr>
              <w:t>536/2014</w:t>
            </w:r>
            <w:r>
              <w:rPr>
                <w:rFonts w:ascii="Times New Roman" w:eastAsia="Times New Roman"/>
                <w:spacing w:val="-13"/>
                <w:sz w:val="21"/>
              </w:rPr>
              <w:t> </w:t>
            </w:r>
            <w:r>
              <w:rPr>
                <w:spacing w:val="-3"/>
                <w:sz w:val="21"/>
              </w:rPr>
              <w:t>号要求。</w:t>
            </w:r>
          </w:p>
        </w:tc>
      </w:tr>
      <w:tr>
        <w:trPr>
          <w:trHeight w:val="352" w:hRule="atLeast"/>
        </w:trPr>
        <w:tc>
          <w:tcPr>
            <w:tcW w:w="2428" w:type="dxa"/>
          </w:tcPr>
          <w:p>
            <w:pPr>
              <w:pStyle w:val="TableParagraph"/>
              <w:spacing w:before="39"/>
              <w:ind w:left="107"/>
              <w:rPr>
                <w:sz w:val="21"/>
              </w:rPr>
            </w:pPr>
            <w:r>
              <w:rPr>
                <w:spacing w:val="-27"/>
                <w:sz w:val="21"/>
              </w:rPr>
              <w:t>第 </w:t>
            </w:r>
            <w:r>
              <w:rPr>
                <w:rFonts w:ascii="Times New Roman" w:eastAsia="Times New Roman"/>
                <w:sz w:val="21"/>
              </w:rPr>
              <w:t>1.1</w:t>
            </w:r>
            <w:r>
              <w:rPr>
                <w:rFonts w:ascii="Times New Roman" w:eastAsia="Times New Roman"/>
                <w:spacing w:val="-12"/>
                <w:sz w:val="21"/>
              </w:rPr>
              <w:t> </w:t>
            </w:r>
            <w:r>
              <w:rPr>
                <w:spacing w:val="-2"/>
                <w:sz w:val="21"/>
              </w:rPr>
              <w:t>节，研究概要</w:t>
            </w:r>
          </w:p>
        </w:tc>
        <w:tc>
          <w:tcPr>
            <w:tcW w:w="3184" w:type="dxa"/>
          </w:tcPr>
          <w:p>
            <w:pPr>
              <w:pStyle w:val="TableParagraph"/>
              <w:spacing w:before="39"/>
              <w:ind w:left="106"/>
              <w:rPr>
                <w:sz w:val="21"/>
              </w:rPr>
            </w:pPr>
            <w:r>
              <w:rPr>
                <w:spacing w:val="-2"/>
                <w:sz w:val="21"/>
              </w:rPr>
              <w:t>更正了研究标题。</w:t>
            </w:r>
          </w:p>
        </w:tc>
        <w:tc>
          <w:tcPr>
            <w:tcW w:w="3145" w:type="dxa"/>
          </w:tcPr>
          <w:p>
            <w:pPr>
              <w:pStyle w:val="TableParagraph"/>
              <w:spacing w:before="39"/>
              <w:ind w:left="107"/>
              <w:rPr>
                <w:sz w:val="21"/>
              </w:rPr>
            </w:pPr>
            <w:r>
              <w:rPr>
                <w:spacing w:val="-2"/>
                <w:sz w:val="21"/>
              </w:rPr>
              <w:t>更正印刷错误。</w:t>
            </w:r>
          </w:p>
        </w:tc>
      </w:tr>
      <w:tr>
        <w:trPr>
          <w:trHeight w:val="1441" w:hRule="atLeast"/>
        </w:trPr>
        <w:tc>
          <w:tcPr>
            <w:tcW w:w="2428" w:type="dxa"/>
          </w:tcPr>
          <w:p>
            <w:pPr>
              <w:pStyle w:val="TableParagraph"/>
              <w:spacing w:line="273" w:lineRule="exact" w:before="38"/>
              <w:ind w:left="107"/>
              <w:rPr>
                <w:sz w:val="21"/>
              </w:rPr>
            </w:pPr>
            <w:r>
              <w:rPr>
                <w:spacing w:val="30"/>
                <w:sz w:val="21"/>
              </w:rPr>
              <w:t>第</w:t>
            </w:r>
            <w:r>
              <w:rPr>
                <w:rFonts w:ascii="Times New Roman" w:eastAsia="Times New Roman"/>
                <w:sz w:val="21"/>
              </w:rPr>
              <w:t>1.1</w:t>
            </w:r>
            <w:r>
              <w:rPr>
                <w:rFonts w:ascii="Times New Roman" w:eastAsia="Times New Roman"/>
                <w:spacing w:val="-26"/>
                <w:sz w:val="21"/>
              </w:rPr>
              <w:t> </w:t>
            </w:r>
            <w:r>
              <w:rPr>
                <w:spacing w:val="-2"/>
                <w:sz w:val="21"/>
              </w:rPr>
              <w:t>节，研究概要，统</w:t>
            </w:r>
          </w:p>
          <w:p>
            <w:pPr>
              <w:pStyle w:val="TableParagraph"/>
              <w:spacing w:line="272" w:lineRule="exact"/>
              <w:ind w:left="107"/>
              <w:rPr>
                <w:sz w:val="21"/>
              </w:rPr>
            </w:pPr>
            <w:r>
              <w:rPr>
                <w:spacing w:val="-8"/>
                <w:sz w:val="21"/>
              </w:rPr>
              <w:t>计方法；第 </w:t>
            </w:r>
            <w:r>
              <w:rPr>
                <w:rFonts w:ascii="Times New Roman" w:eastAsia="Times New Roman"/>
                <w:sz w:val="21"/>
              </w:rPr>
              <w:t>4.4.1</w:t>
            </w:r>
            <w:r>
              <w:rPr>
                <w:rFonts w:ascii="Times New Roman" w:eastAsia="Times New Roman"/>
                <w:spacing w:val="-3"/>
                <w:sz w:val="21"/>
              </w:rPr>
              <w:t> </w:t>
            </w:r>
            <w:r>
              <w:rPr>
                <w:spacing w:val="-4"/>
                <w:sz w:val="21"/>
              </w:rPr>
              <w:t>节，研</w:t>
            </w:r>
          </w:p>
          <w:p>
            <w:pPr>
              <w:pStyle w:val="TableParagraph"/>
              <w:spacing w:line="272" w:lineRule="exact"/>
              <w:ind w:left="107"/>
              <w:rPr>
                <w:sz w:val="21"/>
              </w:rPr>
            </w:pPr>
            <w:r>
              <w:rPr>
                <w:spacing w:val="4"/>
                <w:sz w:val="21"/>
              </w:rPr>
              <w:t>究停止标准；第</w:t>
            </w:r>
            <w:r>
              <w:rPr>
                <w:rFonts w:ascii="Times New Roman" w:eastAsia="Times New Roman"/>
                <w:sz w:val="21"/>
              </w:rPr>
              <w:t>9.5</w:t>
            </w:r>
            <w:r>
              <w:rPr>
                <w:rFonts w:ascii="Times New Roman" w:eastAsia="Times New Roman"/>
                <w:spacing w:val="-26"/>
                <w:sz w:val="21"/>
              </w:rPr>
              <w:t> </w:t>
            </w:r>
            <w:r>
              <w:rPr>
                <w:spacing w:val="-5"/>
                <w:sz w:val="21"/>
              </w:rPr>
              <w:t>节，</w:t>
            </w:r>
          </w:p>
          <w:p>
            <w:pPr>
              <w:pStyle w:val="TableParagraph"/>
              <w:ind w:left="107" w:right="96"/>
              <w:rPr>
                <w:sz w:val="21"/>
              </w:rPr>
            </w:pPr>
            <w:r>
              <w:rPr>
                <w:spacing w:val="4"/>
                <w:sz w:val="21"/>
              </w:rPr>
              <w:t>中期分析；第</w:t>
            </w:r>
            <w:r>
              <w:rPr>
                <w:rFonts w:ascii="Times New Roman" w:eastAsia="Times New Roman"/>
                <w:sz w:val="21"/>
              </w:rPr>
              <w:t>9.6</w:t>
            </w:r>
            <w:r>
              <w:rPr>
                <w:rFonts w:ascii="Times New Roman" w:eastAsia="Times New Roman"/>
                <w:spacing w:val="-26"/>
                <w:sz w:val="21"/>
              </w:rPr>
              <w:t> </w:t>
            </w:r>
            <w:r>
              <w:rPr>
                <w:sz w:val="21"/>
              </w:rPr>
              <w:t>节，独</w:t>
            </w:r>
            <w:r>
              <w:rPr>
                <w:spacing w:val="-2"/>
                <w:sz w:val="21"/>
              </w:rPr>
              <w:t>立数据监查委员会</w:t>
            </w:r>
          </w:p>
        </w:tc>
        <w:tc>
          <w:tcPr>
            <w:tcW w:w="3184" w:type="dxa"/>
          </w:tcPr>
          <w:p>
            <w:pPr>
              <w:pStyle w:val="TableParagraph"/>
              <w:spacing w:before="38"/>
              <w:ind w:left="106" w:right="55"/>
              <w:jc w:val="both"/>
              <w:rPr>
                <w:sz w:val="21"/>
              </w:rPr>
            </w:pPr>
            <w:r>
              <w:rPr>
                <w:spacing w:val="-2"/>
                <w:sz w:val="21"/>
              </w:rPr>
              <w:t>更新以澄清在前身研究中进行的</w:t>
            </w:r>
            <w:r>
              <w:rPr>
                <w:spacing w:val="34"/>
                <w:sz w:val="21"/>
              </w:rPr>
              <w:t>无效性中期分析可能会影响</w:t>
            </w:r>
            <w:r>
              <w:rPr>
                <w:sz w:val="21"/>
              </w:rPr>
              <w:t> </w:t>
            </w:r>
            <w:r>
              <w:rPr>
                <w:rFonts w:ascii="Times New Roman" w:eastAsia="Times New Roman"/>
                <w:spacing w:val="-2"/>
                <w:sz w:val="21"/>
              </w:rPr>
              <w:t>PROSPERO</w:t>
            </w:r>
            <w:r>
              <w:rPr>
                <w:spacing w:val="-2"/>
                <w:sz w:val="21"/>
              </w:rPr>
              <w:t>。</w:t>
            </w:r>
          </w:p>
        </w:tc>
        <w:tc>
          <w:tcPr>
            <w:tcW w:w="3145" w:type="dxa"/>
          </w:tcPr>
          <w:p>
            <w:pPr>
              <w:pStyle w:val="TableParagraph"/>
              <w:spacing w:before="39"/>
              <w:ind w:left="107"/>
              <w:rPr>
                <w:sz w:val="21"/>
              </w:rPr>
            </w:pPr>
            <w:r>
              <w:rPr>
                <w:spacing w:val="-2"/>
                <w:sz w:val="21"/>
              </w:rPr>
              <w:t>澄清说明。</w:t>
            </w:r>
          </w:p>
        </w:tc>
      </w:tr>
      <w:tr>
        <w:trPr>
          <w:trHeight w:val="897" w:hRule="atLeast"/>
        </w:trPr>
        <w:tc>
          <w:tcPr>
            <w:tcW w:w="2428" w:type="dxa"/>
          </w:tcPr>
          <w:p>
            <w:pPr>
              <w:pStyle w:val="TableParagraph"/>
              <w:spacing w:line="273" w:lineRule="exact" w:before="38"/>
              <w:ind w:left="107"/>
              <w:rPr>
                <w:sz w:val="21"/>
              </w:rPr>
            </w:pPr>
            <w:r>
              <w:rPr>
                <w:spacing w:val="30"/>
                <w:sz w:val="21"/>
              </w:rPr>
              <w:t>第</w:t>
            </w:r>
            <w:r>
              <w:rPr>
                <w:rFonts w:ascii="Times New Roman" w:eastAsia="Times New Roman"/>
                <w:sz w:val="21"/>
              </w:rPr>
              <w:t>1.1</w:t>
            </w:r>
            <w:r>
              <w:rPr>
                <w:rFonts w:ascii="Times New Roman" w:eastAsia="Times New Roman"/>
                <w:spacing w:val="-26"/>
                <w:sz w:val="21"/>
              </w:rPr>
              <w:t> </w:t>
            </w:r>
            <w:r>
              <w:rPr>
                <w:spacing w:val="-2"/>
                <w:sz w:val="21"/>
              </w:rPr>
              <w:t>节，研究概要、目</w:t>
            </w:r>
          </w:p>
          <w:p>
            <w:pPr>
              <w:pStyle w:val="TableParagraph"/>
              <w:spacing w:line="272" w:lineRule="exact"/>
              <w:ind w:left="107"/>
              <w:rPr>
                <w:sz w:val="21"/>
              </w:rPr>
            </w:pPr>
            <w:r>
              <w:rPr>
                <w:spacing w:val="1"/>
                <w:sz w:val="21"/>
              </w:rPr>
              <w:t>的和终点；第 </w:t>
            </w:r>
            <w:r>
              <w:rPr>
                <w:rFonts w:ascii="Times New Roman" w:eastAsia="Times New Roman"/>
                <w:sz w:val="21"/>
              </w:rPr>
              <w:t>3</w:t>
            </w:r>
            <w:r>
              <w:rPr>
                <w:rFonts w:ascii="Times New Roman" w:eastAsia="Times New Roman"/>
                <w:spacing w:val="42"/>
                <w:sz w:val="21"/>
              </w:rPr>
              <w:t> </w:t>
            </w:r>
            <w:r>
              <w:rPr>
                <w:spacing w:val="-4"/>
                <w:sz w:val="21"/>
              </w:rPr>
              <w:t>节，表</w:t>
            </w:r>
          </w:p>
          <w:p>
            <w:pPr>
              <w:pStyle w:val="TableParagraph"/>
              <w:spacing w:line="273" w:lineRule="exact"/>
              <w:ind w:left="107"/>
              <w:rPr>
                <w:sz w:val="21"/>
              </w:rPr>
            </w:pPr>
            <w:r>
              <w:rPr>
                <w:rFonts w:ascii="Times New Roman" w:eastAsia="Times New Roman"/>
                <w:spacing w:val="-2"/>
                <w:sz w:val="21"/>
              </w:rPr>
              <w:t>3</w:t>
            </w:r>
            <w:r>
              <w:rPr>
                <w:spacing w:val="-4"/>
                <w:sz w:val="21"/>
              </w:rPr>
              <w:t>，目的和终点</w:t>
            </w:r>
          </w:p>
        </w:tc>
        <w:tc>
          <w:tcPr>
            <w:tcW w:w="3184" w:type="dxa"/>
          </w:tcPr>
          <w:p>
            <w:pPr>
              <w:pStyle w:val="TableParagraph"/>
              <w:spacing w:before="38"/>
              <w:ind w:left="106" w:right="76"/>
              <w:rPr>
                <w:sz w:val="21"/>
              </w:rPr>
            </w:pPr>
            <w:r>
              <w:rPr>
                <w:sz w:val="21"/>
              </w:rPr>
              <w:t>将 </w:t>
            </w:r>
            <w:r>
              <w:rPr>
                <w:rFonts w:ascii="Times New Roman" w:hAnsi="Times New Roman" w:eastAsia="Times New Roman"/>
                <w:sz w:val="21"/>
              </w:rPr>
              <w:t>ADA</w:t>
            </w:r>
            <w:r>
              <w:rPr>
                <w:rFonts w:ascii="Times New Roman" w:hAnsi="Times New Roman" w:eastAsia="Times New Roman"/>
                <w:spacing w:val="23"/>
                <w:sz w:val="21"/>
              </w:rPr>
              <w:t> </w:t>
            </w:r>
            <w:r>
              <w:rPr>
                <w:spacing w:val="7"/>
                <w:sz w:val="21"/>
              </w:rPr>
              <w:t>终点的措辞从“ 发生</w:t>
            </w:r>
            <w:r>
              <w:rPr>
                <w:spacing w:val="-2"/>
                <w:sz w:val="21"/>
              </w:rPr>
              <w:t>率”修订为“发生”。</w:t>
            </w:r>
          </w:p>
        </w:tc>
        <w:tc>
          <w:tcPr>
            <w:tcW w:w="3145" w:type="dxa"/>
          </w:tcPr>
          <w:p>
            <w:pPr>
              <w:pStyle w:val="TableParagraph"/>
              <w:spacing w:before="38"/>
              <w:ind w:left="107" w:right="58"/>
              <w:rPr>
                <w:sz w:val="21"/>
              </w:rPr>
            </w:pPr>
            <w:r>
              <w:rPr>
                <w:spacing w:val="34"/>
                <w:sz w:val="21"/>
              </w:rPr>
              <w:t>与前身研究中的描述保持一</w:t>
            </w:r>
            <w:r>
              <w:rPr>
                <w:spacing w:val="-6"/>
                <w:sz w:val="21"/>
              </w:rPr>
              <w:t>致。</w:t>
            </w:r>
          </w:p>
        </w:tc>
      </w:tr>
      <w:tr>
        <w:trPr>
          <w:trHeight w:val="1714" w:hRule="atLeast"/>
        </w:trPr>
        <w:tc>
          <w:tcPr>
            <w:tcW w:w="2428" w:type="dxa"/>
          </w:tcPr>
          <w:p>
            <w:pPr>
              <w:pStyle w:val="TableParagraph"/>
              <w:spacing w:before="36"/>
              <w:ind w:left="107"/>
              <w:rPr>
                <w:sz w:val="21"/>
              </w:rPr>
            </w:pPr>
            <w:r>
              <w:rPr>
                <w:spacing w:val="30"/>
                <w:sz w:val="21"/>
              </w:rPr>
              <w:t>第</w:t>
            </w:r>
            <w:r>
              <w:rPr>
                <w:rFonts w:ascii="Times New Roman" w:eastAsia="Times New Roman"/>
                <w:sz w:val="21"/>
              </w:rPr>
              <w:t>1.1</w:t>
            </w:r>
            <w:r>
              <w:rPr>
                <w:rFonts w:ascii="Times New Roman" w:eastAsia="Times New Roman"/>
                <w:spacing w:val="-26"/>
                <w:sz w:val="21"/>
              </w:rPr>
              <w:t> </w:t>
            </w:r>
            <w:r>
              <w:rPr>
                <w:spacing w:val="-2"/>
                <w:sz w:val="21"/>
              </w:rPr>
              <w:t>节，研究概要、干</w:t>
            </w:r>
          </w:p>
          <w:p>
            <w:pPr>
              <w:pStyle w:val="TableParagraph"/>
              <w:spacing w:line="273" w:lineRule="exact" w:before="1"/>
              <w:ind w:left="107"/>
              <w:rPr>
                <w:rFonts w:ascii="Times New Roman" w:eastAsia="Times New Roman"/>
                <w:sz w:val="21"/>
              </w:rPr>
            </w:pPr>
            <w:r>
              <w:rPr>
                <w:spacing w:val="-5"/>
                <w:sz w:val="21"/>
              </w:rPr>
              <w:t>预组和持续时间；第 </w:t>
            </w:r>
            <w:r>
              <w:rPr>
                <w:rFonts w:ascii="Times New Roman" w:eastAsia="Times New Roman"/>
                <w:spacing w:val="-5"/>
                <w:sz w:val="21"/>
              </w:rPr>
              <w:t>4.1</w:t>
            </w:r>
          </w:p>
          <w:p>
            <w:pPr>
              <w:pStyle w:val="TableParagraph"/>
              <w:spacing w:line="273" w:lineRule="exact"/>
              <w:ind w:left="107"/>
              <w:rPr>
                <w:sz w:val="21"/>
              </w:rPr>
            </w:pPr>
            <w:r>
              <w:rPr>
                <w:spacing w:val="8"/>
                <w:sz w:val="21"/>
              </w:rPr>
              <w:t>节，总体研究设计；第</w:t>
            </w:r>
          </w:p>
          <w:p>
            <w:pPr>
              <w:pStyle w:val="TableParagraph"/>
              <w:spacing w:line="273" w:lineRule="exact"/>
              <w:ind w:left="107"/>
              <w:rPr>
                <w:sz w:val="21"/>
              </w:rPr>
            </w:pPr>
            <w:r>
              <w:rPr>
                <w:rFonts w:ascii="Times New Roman" w:eastAsia="Times New Roman"/>
                <w:sz w:val="21"/>
              </w:rPr>
              <w:t>4.4</w:t>
            </w:r>
            <w:r>
              <w:rPr>
                <w:rFonts w:ascii="Times New Roman" w:eastAsia="Times New Roman"/>
                <w:spacing w:val="51"/>
                <w:sz w:val="21"/>
              </w:rPr>
              <w:t> </w:t>
            </w:r>
            <w:r>
              <w:rPr>
                <w:spacing w:val="2"/>
                <w:sz w:val="21"/>
              </w:rPr>
              <w:t>节， 研究结束的定</w:t>
            </w:r>
          </w:p>
          <w:p>
            <w:pPr>
              <w:pStyle w:val="TableParagraph"/>
              <w:ind w:left="107" w:right="97"/>
              <w:rPr>
                <w:sz w:val="21"/>
              </w:rPr>
            </w:pPr>
            <w:r>
              <w:rPr>
                <w:spacing w:val="-11"/>
                <w:sz w:val="21"/>
              </w:rPr>
              <w:t>义；第 </w:t>
            </w:r>
            <w:r>
              <w:rPr>
                <w:rFonts w:ascii="Times New Roman" w:eastAsia="Times New Roman"/>
                <w:sz w:val="21"/>
              </w:rPr>
              <w:t>6.3.2</w:t>
            </w:r>
            <w:r>
              <w:rPr>
                <w:rFonts w:ascii="Times New Roman" w:eastAsia="Times New Roman"/>
                <w:spacing w:val="-14"/>
                <w:sz w:val="21"/>
              </w:rPr>
              <w:t> </w:t>
            </w:r>
            <w:r>
              <w:rPr>
                <w:sz w:val="21"/>
              </w:rPr>
              <w:t>节，确保盲</w:t>
            </w:r>
            <w:r>
              <w:rPr>
                <w:spacing w:val="-4"/>
                <w:sz w:val="21"/>
              </w:rPr>
              <w:t>态方法</w:t>
            </w:r>
          </w:p>
        </w:tc>
        <w:tc>
          <w:tcPr>
            <w:tcW w:w="3184" w:type="dxa"/>
          </w:tcPr>
          <w:p>
            <w:pPr>
              <w:pStyle w:val="TableParagraph"/>
              <w:spacing w:before="36"/>
              <w:ind w:left="106" w:right="97"/>
              <w:jc w:val="both"/>
              <w:rPr>
                <w:sz w:val="21"/>
              </w:rPr>
            </w:pPr>
            <w:r>
              <w:rPr>
                <w:spacing w:val="9"/>
                <w:sz w:val="21"/>
              </w:rPr>
              <w:t>更新以指出，参与 </w:t>
            </w:r>
            <w:r>
              <w:rPr>
                <w:rFonts w:ascii="Times New Roman" w:eastAsia="Times New Roman"/>
                <w:sz w:val="21"/>
              </w:rPr>
              <w:t>PROSPERO</w:t>
            </w:r>
            <w:r>
              <w:rPr>
                <w:spacing w:val="-2"/>
                <w:sz w:val="21"/>
              </w:rPr>
              <w:t>结果解读的阿斯利康小组在揭盲</w:t>
            </w:r>
            <w:r>
              <w:rPr>
                <w:spacing w:val="-2"/>
                <w:sz w:val="21"/>
              </w:rPr>
              <w:t>后将与参与报告前身研究的阿斯利康小组分开，并保持盲态。</w:t>
            </w:r>
          </w:p>
        </w:tc>
        <w:tc>
          <w:tcPr>
            <w:tcW w:w="3145" w:type="dxa"/>
          </w:tcPr>
          <w:p>
            <w:pPr>
              <w:pStyle w:val="TableParagraph"/>
              <w:spacing w:before="36"/>
              <w:ind w:left="107" w:right="98"/>
              <w:rPr>
                <w:sz w:val="21"/>
              </w:rPr>
            </w:pPr>
            <w:r>
              <w:rPr>
                <w:spacing w:val="12"/>
                <w:sz w:val="21"/>
              </w:rPr>
              <w:t>进一步阐明对试验完整性的维</w:t>
            </w:r>
            <w:r>
              <w:rPr>
                <w:spacing w:val="-6"/>
                <w:sz w:val="21"/>
              </w:rPr>
              <w:t>护。</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TableParagraph"/>
              <w:spacing w:before="38"/>
              <w:ind w:left="107"/>
              <w:rPr>
                <w:b/>
                <w:sz w:val="21"/>
              </w:rPr>
            </w:pPr>
            <w:r>
              <w:rPr>
                <w:b/>
                <w:spacing w:val="-3"/>
                <w:sz w:val="21"/>
              </w:rPr>
              <w:t>章节编号和标题名称</w:t>
            </w:r>
          </w:p>
        </w:tc>
        <w:tc>
          <w:tcPr>
            <w:tcW w:w="3184" w:type="dxa"/>
          </w:tcPr>
          <w:p>
            <w:pPr>
              <w:pStyle w:val="TableParagraph"/>
              <w:spacing w:before="38"/>
              <w:ind w:left="8"/>
              <w:jc w:val="center"/>
              <w:rPr>
                <w:b/>
                <w:sz w:val="21"/>
              </w:rPr>
            </w:pPr>
            <w:r>
              <w:rPr>
                <w:b/>
                <w:spacing w:val="-4"/>
                <w:sz w:val="21"/>
              </w:rPr>
              <w:t>变更描述</w:t>
            </w:r>
          </w:p>
        </w:tc>
        <w:tc>
          <w:tcPr>
            <w:tcW w:w="3145" w:type="dxa"/>
          </w:tcPr>
          <w:p>
            <w:pPr>
              <w:pStyle w:val="TableParagraph"/>
              <w:spacing w:before="38"/>
              <w:ind w:left="11"/>
              <w:jc w:val="center"/>
              <w:rPr>
                <w:b/>
                <w:sz w:val="21"/>
              </w:rPr>
            </w:pPr>
            <w:r>
              <w:rPr>
                <w:b/>
                <w:spacing w:val="-4"/>
                <w:sz w:val="21"/>
              </w:rPr>
              <w:t>简要依据</w:t>
            </w:r>
          </w:p>
        </w:tc>
      </w:tr>
      <w:tr>
        <w:trPr>
          <w:trHeight w:val="897" w:hRule="atLeast"/>
        </w:trPr>
        <w:tc>
          <w:tcPr>
            <w:tcW w:w="2428" w:type="dxa"/>
            <w:vMerge w:val="restart"/>
          </w:tcPr>
          <w:p>
            <w:pPr>
              <w:pStyle w:val="TableParagraph"/>
              <w:spacing w:before="36"/>
              <w:ind w:left="107" w:right="96"/>
              <w:rPr>
                <w:sz w:val="21"/>
              </w:rPr>
            </w:pPr>
            <w:r>
              <w:rPr>
                <w:spacing w:val="-18"/>
                <w:sz w:val="21"/>
              </w:rPr>
              <w:t>第 </w:t>
            </w:r>
            <w:r>
              <w:rPr>
                <w:rFonts w:ascii="Times New Roman" w:eastAsia="Times New Roman"/>
                <w:sz w:val="21"/>
              </w:rPr>
              <w:t>1.3</w:t>
            </w:r>
            <w:r>
              <w:rPr>
                <w:rFonts w:ascii="Times New Roman" w:eastAsia="Times New Roman"/>
                <w:spacing w:val="-14"/>
                <w:sz w:val="21"/>
              </w:rPr>
              <w:t> </w:t>
            </w:r>
            <w:r>
              <w:rPr>
                <w:spacing w:val="-9"/>
                <w:sz w:val="21"/>
              </w:rPr>
              <w:t>节，表 </w:t>
            </w:r>
            <w:r>
              <w:rPr>
                <w:rFonts w:ascii="Times New Roman" w:eastAsia="Times New Roman"/>
                <w:sz w:val="21"/>
              </w:rPr>
              <w:t>1</w:t>
            </w:r>
            <w:r>
              <w:rPr>
                <w:spacing w:val="-12"/>
                <w:sz w:val="21"/>
              </w:rPr>
              <w:t>，表 </w:t>
            </w:r>
            <w:r>
              <w:rPr>
                <w:rFonts w:ascii="Times New Roman" w:eastAsia="Times New Roman"/>
                <w:sz w:val="21"/>
              </w:rPr>
              <w:t>2</w:t>
            </w:r>
            <w:r>
              <w:rPr>
                <w:sz w:val="21"/>
              </w:rPr>
              <w:t>，</w:t>
            </w:r>
            <w:r>
              <w:rPr>
                <w:spacing w:val="-2"/>
                <w:sz w:val="21"/>
              </w:rPr>
              <w:t>研究活动时间表</w:t>
            </w:r>
          </w:p>
        </w:tc>
        <w:tc>
          <w:tcPr>
            <w:tcW w:w="3184" w:type="dxa"/>
          </w:tcPr>
          <w:p>
            <w:pPr>
              <w:pStyle w:val="TableParagraph"/>
              <w:spacing w:before="36"/>
              <w:ind w:left="106" w:right="96"/>
              <w:jc w:val="both"/>
              <w:rPr>
                <w:sz w:val="21"/>
              </w:rPr>
            </w:pPr>
            <w:r>
              <w:rPr>
                <w:spacing w:val="-7"/>
                <w:sz w:val="21"/>
              </w:rPr>
              <w:t>在脚注 </w:t>
            </w:r>
            <w:r>
              <w:rPr>
                <w:rFonts w:ascii="Times New Roman" w:eastAsia="Times New Roman"/>
                <w:sz w:val="21"/>
              </w:rPr>
              <w:t>k</w:t>
            </w:r>
            <w:r>
              <w:rPr>
                <w:rFonts w:ascii="Times New Roman" w:eastAsia="Times New Roman"/>
                <w:spacing w:val="-13"/>
                <w:sz w:val="21"/>
              </w:rPr>
              <w:t> </w:t>
            </w:r>
            <w:r>
              <w:rPr>
                <w:sz w:val="21"/>
              </w:rPr>
              <w:t>中，关于实验室试剂盒</w:t>
            </w:r>
            <w:r>
              <w:rPr>
                <w:sz w:val="21"/>
              </w:rPr>
              <w:t>的文本不适用于 </w:t>
            </w:r>
            <w:r>
              <w:rPr>
                <w:rFonts w:ascii="Times New Roman" w:eastAsia="Times New Roman"/>
                <w:sz w:val="21"/>
              </w:rPr>
              <w:t>PROSPERO </w:t>
            </w:r>
            <w:r>
              <w:rPr>
                <w:sz w:val="21"/>
              </w:rPr>
              <w:t>研</w:t>
            </w:r>
            <w:r>
              <w:rPr>
                <w:spacing w:val="-2"/>
                <w:sz w:val="21"/>
              </w:rPr>
              <w:t>究，已被删除。</w:t>
            </w:r>
          </w:p>
        </w:tc>
        <w:tc>
          <w:tcPr>
            <w:tcW w:w="3145" w:type="dxa"/>
          </w:tcPr>
          <w:p>
            <w:pPr>
              <w:pStyle w:val="TableParagraph"/>
              <w:spacing w:before="38"/>
              <w:ind w:left="107"/>
              <w:rPr>
                <w:sz w:val="21"/>
              </w:rPr>
            </w:pPr>
            <w:r>
              <w:rPr>
                <w:spacing w:val="-2"/>
                <w:sz w:val="21"/>
              </w:rPr>
              <w:t>澄清说明。</w:t>
            </w:r>
          </w:p>
        </w:tc>
      </w:tr>
      <w:tr>
        <w:trPr>
          <w:trHeight w:val="624" w:hRule="atLeast"/>
        </w:trPr>
        <w:tc>
          <w:tcPr>
            <w:tcW w:w="2428" w:type="dxa"/>
            <w:vMerge/>
            <w:tcBorders>
              <w:top w:val="nil"/>
            </w:tcBorders>
          </w:tcPr>
          <w:p>
            <w:pPr>
              <w:rPr>
                <w:sz w:val="2"/>
                <w:szCs w:val="2"/>
              </w:rPr>
            </w:pPr>
          </w:p>
        </w:tc>
        <w:tc>
          <w:tcPr>
            <w:tcW w:w="3184" w:type="dxa"/>
          </w:tcPr>
          <w:p>
            <w:pPr>
              <w:pStyle w:val="TableParagraph"/>
              <w:spacing w:before="36"/>
              <w:ind w:left="106" w:right="98"/>
              <w:rPr>
                <w:sz w:val="21"/>
              </w:rPr>
            </w:pPr>
            <w:r>
              <w:rPr>
                <w:spacing w:val="8"/>
                <w:sz w:val="21"/>
              </w:rPr>
              <w:t>所有“</w:t>
            </w:r>
            <w:r>
              <w:rPr>
                <w:rFonts w:ascii="Times New Roman" w:hAnsi="Times New Roman" w:eastAsia="Times New Roman"/>
                <w:sz w:val="21"/>
              </w:rPr>
              <w:t>&gt;1</w:t>
            </w:r>
            <w:r>
              <w:rPr>
                <w:rFonts w:ascii="Times New Roman" w:hAnsi="Times New Roman" w:eastAsia="Times New Roman"/>
                <w:spacing w:val="8"/>
                <w:sz w:val="21"/>
              </w:rPr>
              <w:t> </w:t>
            </w:r>
            <w:r>
              <w:rPr>
                <w:spacing w:val="9"/>
                <w:sz w:val="21"/>
              </w:rPr>
              <w:t>天”的情况均被修订</w:t>
            </w:r>
            <w:r>
              <w:rPr>
                <w:sz w:val="21"/>
              </w:rPr>
              <w:t>为“</w:t>
            </w:r>
            <w:r>
              <w:rPr>
                <w:rFonts w:ascii="Times New Roman" w:hAnsi="Times New Roman" w:eastAsia="Times New Roman"/>
                <w:sz w:val="21"/>
              </w:rPr>
              <w:t>≥1</w:t>
            </w:r>
            <w:r>
              <w:rPr>
                <w:rFonts w:ascii="Times New Roman" w:hAnsi="Times New Roman" w:eastAsia="Times New Roman"/>
                <w:spacing w:val="-8"/>
                <w:sz w:val="21"/>
              </w:rPr>
              <w:t> </w:t>
            </w:r>
            <w:r>
              <w:rPr>
                <w:sz w:val="21"/>
              </w:rPr>
              <w:t>天”。</w:t>
            </w:r>
          </w:p>
        </w:tc>
        <w:tc>
          <w:tcPr>
            <w:tcW w:w="3145" w:type="dxa"/>
          </w:tcPr>
          <w:p>
            <w:pPr>
              <w:pStyle w:val="TableParagraph"/>
              <w:spacing w:before="38"/>
              <w:ind w:left="107"/>
              <w:rPr>
                <w:sz w:val="21"/>
              </w:rPr>
            </w:pPr>
            <w:r>
              <w:rPr>
                <w:spacing w:val="-2"/>
                <w:sz w:val="21"/>
              </w:rPr>
              <w:t>更正印刷错误。</w:t>
            </w:r>
          </w:p>
        </w:tc>
      </w:tr>
      <w:tr>
        <w:trPr>
          <w:trHeight w:val="1646" w:hRule="atLeast"/>
        </w:trPr>
        <w:tc>
          <w:tcPr>
            <w:tcW w:w="2428" w:type="dxa"/>
          </w:tcPr>
          <w:p>
            <w:pPr>
              <w:pStyle w:val="TableParagraph"/>
              <w:spacing w:line="276" w:lineRule="auto" w:before="36"/>
              <w:ind w:left="107" w:right="96"/>
              <w:rPr>
                <w:sz w:val="21"/>
              </w:rPr>
            </w:pPr>
            <w:r>
              <w:rPr>
                <w:spacing w:val="-18"/>
                <w:sz w:val="21"/>
              </w:rPr>
              <w:t>第 </w:t>
            </w:r>
            <w:r>
              <w:rPr>
                <w:rFonts w:ascii="Times New Roman" w:eastAsia="Times New Roman"/>
                <w:sz w:val="21"/>
              </w:rPr>
              <w:t>1.3</w:t>
            </w:r>
            <w:r>
              <w:rPr>
                <w:rFonts w:ascii="Times New Roman" w:eastAsia="Times New Roman"/>
                <w:spacing w:val="-14"/>
                <w:sz w:val="21"/>
              </w:rPr>
              <w:t> </w:t>
            </w:r>
            <w:r>
              <w:rPr>
                <w:spacing w:val="-9"/>
                <w:sz w:val="21"/>
              </w:rPr>
              <w:t>节，表 </w:t>
            </w:r>
            <w:r>
              <w:rPr>
                <w:rFonts w:ascii="Times New Roman" w:eastAsia="Times New Roman"/>
                <w:sz w:val="21"/>
              </w:rPr>
              <w:t>1</w:t>
            </w:r>
            <w:r>
              <w:rPr>
                <w:spacing w:val="-12"/>
                <w:sz w:val="21"/>
              </w:rPr>
              <w:t>，表 </w:t>
            </w:r>
            <w:r>
              <w:rPr>
                <w:rFonts w:ascii="Times New Roman" w:eastAsia="Times New Roman"/>
                <w:sz w:val="21"/>
              </w:rPr>
              <w:t>2</w:t>
            </w:r>
            <w:r>
              <w:rPr>
                <w:sz w:val="21"/>
              </w:rPr>
              <w:t>，</w:t>
            </w:r>
            <w:r>
              <w:rPr>
                <w:spacing w:val="18"/>
                <w:sz w:val="21"/>
              </w:rPr>
              <w:t>研究活动时间表； 第</w:t>
            </w:r>
          </w:p>
          <w:p>
            <w:pPr>
              <w:pStyle w:val="TableParagraph"/>
              <w:spacing w:line="271" w:lineRule="exact"/>
              <w:ind w:left="107"/>
              <w:rPr>
                <w:sz w:val="21"/>
              </w:rPr>
            </w:pPr>
            <w:r>
              <w:rPr>
                <w:rFonts w:ascii="Times New Roman" w:eastAsia="Times New Roman"/>
                <w:sz w:val="21"/>
              </w:rPr>
              <w:t>4.1.2</w:t>
            </w:r>
            <w:r>
              <w:rPr>
                <w:rFonts w:ascii="Times New Roman" w:eastAsia="Times New Roman"/>
                <w:spacing w:val="63"/>
                <w:sz w:val="21"/>
              </w:rPr>
              <w:t> </w:t>
            </w:r>
            <w:r>
              <w:rPr>
                <w:spacing w:val="-4"/>
                <w:sz w:val="21"/>
              </w:rPr>
              <w:t>节， 治疗期； 第</w:t>
            </w:r>
          </w:p>
          <w:p>
            <w:pPr>
              <w:pStyle w:val="TableParagraph"/>
              <w:spacing w:line="276" w:lineRule="auto" w:before="41"/>
              <w:ind w:left="107" w:right="99"/>
              <w:rPr>
                <w:sz w:val="21"/>
              </w:rPr>
            </w:pPr>
            <w:r>
              <w:rPr>
                <w:rFonts w:ascii="Times New Roman" w:eastAsia="Times New Roman"/>
                <w:sz w:val="21"/>
              </w:rPr>
              <w:t>7.1.1</w:t>
            </w:r>
            <w:r>
              <w:rPr>
                <w:rFonts w:ascii="Times New Roman" w:eastAsia="Times New Roman"/>
                <w:spacing w:val="19"/>
                <w:sz w:val="21"/>
              </w:rPr>
              <w:t> </w:t>
            </w:r>
            <w:r>
              <w:rPr>
                <w:sz w:val="21"/>
              </w:rPr>
              <w:t>节，研究药物停药</w:t>
            </w:r>
            <w:r>
              <w:rPr>
                <w:spacing w:val="-6"/>
                <w:sz w:val="21"/>
              </w:rPr>
              <w:t>程序</w:t>
            </w:r>
          </w:p>
        </w:tc>
        <w:tc>
          <w:tcPr>
            <w:tcW w:w="3184" w:type="dxa"/>
          </w:tcPr>
          <w:p>
            <w:pPr>
              <w:pStyle w:val="TableParagraph"/>
              <w:spacing w:line="273" w:lineRule="exact" w:before="36"/>
              <w:ind w:left="106"/>
              <w:rPr>
                <w:rFonts w:ascii="Times New Roman" w:eastAsia="Times New Roman"/>
                <w:sz w:val="21"/>
              </w:rPr>
            </w:pPr>
            <w:r>
              <w:rPr>
                <w:spacing w:val="-12"/>
                <w:sz w:val="21"/>
              </w:rPr>
              <w:t>阐明终止 </w:t>
            </w:r>
            <w:r>
              <w:rPr>
                <w:rFonts w:ascii="Times New Roman" w:eastAsia="Times New Roman"/>
                <w:spacing w:val="-2"/>
                <w:sz w:val="21"/>
              </w:rPr>
              <w:t>IP</w:t>
            </w:r>
            <w:r>
              <w:rPr>
                <w:rFonts w:ascii="Times New Roman" w:eastAsia="Times New Roman"/>
                <w:spacing w:val="-7"/>
                <w:sz w:val="21"/>
              </w:rPr>
              <w:t> </w:t>
            </w:r>
            <w:r>
              <w:rPr>
                <w:spacing w:val="-8"/>
                <w:sz w:val="21"/>
              </w:rPr>
              <w:t>治疗的受试者的 </w:t>
            </w:r>
            <w:r>
              <w:rPr>
                <w:rFonts w:ascii="Times New Roman" w:eastAsia="Times New Roman"/>
                <w:spacing w:val="-5"/>
                <w:sz w:val="21"/>
              </w:rPr>
              <w:t>E/D</w:t>
            </w:r>
          </w:p>
          <w:p>
            <w:pPr>
              <w:pStyle w:val="TableParagraph"/>
              <w:spacing w:line="273" w:lineRule="exact"/>
              <w:ind w:left="106"/>
              <w:rPr>
                <w:sz w:val="21"/>
              </w:rPr>
            </w:pPr>
            <w:r>
              <w:rPr>
                <w:spacing w:val="-2"/>
                <w:sz w:val="21"/>
              </w:rPr>
              <w:t>访视时间。</w:t>
            </w:r>
          </w:p>
        </w:tc>
        <w:tc>
          <w:tcPr>
            <w:tcW w:w="3145" w:type="dxa"/>
          </w:tcPr>
          <w:p>
            <w:pPr>
              <w:pStyle w:val="TableParagraph"/>
              <w:spacing w:before="38"/>
              <w:ind w:left="107"/>
              <w:rPr>
                <w:sz w:val="21"/>
              </w:rPr>
            </w:pPr>
            <w:r>
              <w:rPr>
                <w:spacing w:val="-2"/>
                <w:sz w:val="21"/>
              </w:rPr>
              <w:t>澄清说明。</w:t>
            </w:r>
          </w:p>
        </w:tc>
      </w:tr>
      <w:tr>
        <w:trPr>
          <w:trHeight w:val="1713" w:hRule="atLeast"/>
        </w:trPr>
        <w:tc>
          <w:tcPr>
            <w:tcW w:w="2428" w:type="dxa"/>
          </w:tcPr>
          <w:p>
            <w:pPr>
              <w:pStyle w:val="TableParagraph"/>
              <w:spacing w:line="276" w:lineRule="auto" w:before="36"/>
              <w:ind w:left="107" w:right="96"/>
              <w:rPr>
                <w:sz w:val="21"/>
              </w:rPr>
            </w:pPr>
            <w:r>
              <w:rPr>
                <w:spacing w:val="-18"/>
                <w:sz w:val="21"/>
              </w:rPr>
              <w:t>第 </w:t>
            </w:r>
            <w:r>
              <w:rPr>
                <w:rFonts w:ascii="Times New Roman" w:eastAsia="Times New Roman"/>
                <w:sz w:val="21"/>
              </w:rPr>
              <w:t>1.3</w:t>
            </w:r>
            <w:r>
              <w:rPr>
                <w:rFonts w:ascii="Times New Roman" w:eastAsia="Times New Roman"/>
                <w:spacing w:val="-14"/>
                <w:sz w:val="21"/>
              </w:rPr>
              <w:t> </w:t>
            </w:r>
            <w:r>
              <w:rPr>
                <w:spacing w:val="-9"/>
                <w:sz w:val="21"/>
              </w:rPr>
              <w:t>节，表 </w:t>
            </w:r>
            <w:r>
              <w:rPr>
                <w:rFonts w:ascii="Times New Roman" w:eastAsia="Times New Roman"/>
                <w:sz w:val="21"/>
              </w:rPr>
              <w:t>1</w:t>
            </w:r>
            <w:r>
              <w:rPr>
                <w:spacing w:val="-12"/>
                <w:sz w:val="21"/>
              </w:rPr>
              <w:t>，表 </w:t>
            </w:r>
            <w:r>
              <w:rPr>
                <w:rFonts w:ascii="Times New Roman" w:eastAsia="Times New Roman"/>
                <w:sz w:val="21"/>
              </w:rPr>
              <w:t>2</w:t>
            </w:r>
            <w:r>
              <w:rPr>
                <w:sz w:val="21"/>
              </w:rPr>
              <w:t>，</w:t>
            </w:r>
            <w:r>
              <w:rPr>
                <w:spacing w:val="18"/>
                <w:sz w:val="21"/>
              </w:rPr>
              <w:t>研究活动时间表； 第</w:t>
            </w:r>
          </w:p>
          <w:p>
            <w:pPr>
              <w:pStyle w:val="TableParagraph"/>
              <w:spacing w:line="272" w:lineRule="exact"/>
              <w:ind w:left="107"/>
              <w:rPr>
                <w:sz w:val="21"/>
              </w:rPr>
            </w:pPr>
            <w:r>
              <w:rPr>
                <w:rFonts w:ascii="Times New Roman" w:eastAsia="Times New Roman"/>
                <w:sz w:val="21"/>
              </w:rPr>
              <w:t>8.1.3</w:t>
            </w:r>
            <w:r>
              <w:rPr>
                <w:rFonts w:ascii="Times New Roman" w:eastAsia="Times New Roman"/>
                <w:spacing w:val="63"/>
                <w:sz w:val="21"/>
              </w:rPr>
              <w:t> </w:t>
            </w:r>
            <w:r>
              <w:rPr>
                <w:spacing w:val="9"/>
                <w:sz w:val="21"/>
              </w:rPr>
              <w:t>节， 肺量计测定</w:t>
            </w:r>
          </w:p>
          <w:p>
            <w:pPr>
              <w:pStyle w:val="TableParagraph"/>
              <w:spacing w:line="276" w:lineRule="auto" w:before="41"/>
              <w:ind w:left="107" w:right="97" w:hanging="105"/>
              <w:rPr>
                <w:sz w:val="21"/>
              </w:rPr>
            </w:pPr>
            <w:r>
              <w:rPr>
                <w:sz w:val="21"/>
              </w:rPr>
              <w:t>（</w:t>
            </w:r>
            <w:r>
              <w:rPr>
                <w:rFonts w:ascii="Times New Roman" w:eastAsia="Times New Roman"/>
                <w:sz w:val="21"/>
              </w:rPr>
              <w:t>BD</w:t>
            </w:r>
            <w:r>
              <w:rPr>
                <w:rFonts w:ascii="Times New Roman" w:eastAsia="Times New Roman"/>
                <w:spacing w:val="16"/>
                <w:sz w:val="21"/>
              </w:rPr>
              <w:t> </w:t>
            </w:r>
            <w:r>
              <w:rPr>
                <w:spacing w:val="-4"/>
                <w:sz w:val="21"/>
              </w:rPr>
              <w:t>给药前和 </w:t>
            </w:r>
            <w:r>
              <w:rPr>
                <w:rFonts w:ascii="Times New Roman" w:eastAsia="Times New Roman"/>
                <w:sz w:val="21"/>
              </w:rPr>
              <w:t>BD</w:t>
            </w:r>
            <w:r>
              <w:rPr>
                <w:rFonts w:ascii="Times New Roman" w:eastAsia="Times New Roman"/>
                <w:spacing w:val="16"/>
                <w:sz w:val="21"/>
              </w:rPr>
              <w:t> </w:t>
            </w:r>
            <w:r>
              <w:rPr>
                <w:sz w:val="21"/>
              </w:rPr>
              <w:t>给药</w:t>
            </w:r>
            <w:r>
              <w:rPr>
                <w:spacing w:val="-6"/>
                <w:sz w:val="21"/>
              </w:rPr>
              <w:t>后）</w:t>
            </w:r>
          </w:p>
        </w:tc>
        <w:tc>
          <w:tcPr>
            <w:tcW w:w="3184" w:type="dxa"/>
          </w:tcPr>
          <w:p>
            <w:pPr>
              <w:pStyle w:val="TableParagraph"/>
              <w:spacing w:before="36"/>
              <w:ind w:left="106" w:right="95"/>
              <w:jc w:val="both"/>
              <w:rPr>
                <w:sz w:val="21"/>
              </w:rPr>
            </w:pPr>
            <w:r>
              <w:rPr>
                <w:spacing w:val="-5"/>
                <w:sz w:val="21"/>
              </w:rPr>
              <w:t>补充说明在 </w:t>
            </w:r>
            <w:r>
              <w:rPr>
                <w:rFonts w:ascii="Times New Roman" w:eastAsia="Times New Roman"/>
                <w:sz w:val="21"/>
              </w:rPr>
              <w:t>BD</w:t>
            </w:r>
            <w:r>
              <w:rPr>
                <w:rFonts w:ascii="Times New Roman" w:eastAsia="Times New Roman"/>
                <w:spacing w:val="-10"/>
                <w:sz w:val="21"/>
              </w:rPr>
              <w:t> </w:t>
            </w:r>
            <w:r>
              <w:rPr>
                <w:sz w:val="21"/>
              </w:rPr>
              <w:t>给药后肺量计测</w:t>
            </w:r>
            <w:r>
              <w:rPr>
                <w:spacing w:val="-2"/>
                <w:sz w:val="21"/>
              </w:rPr>
              <w:t>定是可选项目，如果受试者不能</w:t>
            </w:r>
            <w:r>
              <w:rPr>
                <w:spacing w:val="-9"/>
                <w:sz w:val="21"/>
              </w:rPr>
              <w:t>耐受 </w:t>
            </w:r>
            <w:r>
              <w:rPr>
                <w:rFonts w:ascii="Times New Roman" w:eastAsia="Times New Roman"/>
                <w:sz w:val="21"/>
              </w:rPr>
              <w:t>BD</w:t>
            </w:r>
            <w:r>
              <w:rPr>
                <w:rFonts w:ascii="Times New Roman" w:eastAsia="Times New Roman"/>
                <w:spacing w:val="-10"/>
                <w:sz w:val="21"/>
              </w:rPr>
              <w:t> </w:t>
            </w:r>
            <w:r>
              <w:rPr>
                <w:sz w:val="21"/>
              </w:rPr>
              <w:t>给药后肺量计测定，或其疾病在其他方面禁忌进行 </w:t>
            </w:r>
            <w:r>
              <w:rPr>
                <w:rFonts w:ascii="Times New Roman" w:eastAsia="Times New Roman"/>
                <w:sz w:val="21"/>
              </w:rPr>
              <w:t>BD</w:t>
            </w:r>
            <w:r>
              <w:rPr>
                <w:spacing w:val="-2"/>
                <w:sz w:val="21"/>
              </w:rPr>
              <w:t>给药后肺量计测定，则可跳过该</w:t>
            </w:r>
            <w:r>
              <w:rPr>
                <w:spacing w:val="-4"/>
                <w:sz w:val="21"/>
              </w:rPr>
              <w:t>程序。</w:t>
            </w:r>
          </w:p>
        </w:tc>
        <w:tc>
          <w:tcPr>
            <w:tcW w:w="3145" w:type="dxa"/>
          </w:tcPr>
          <w:p>
            <w:pPr>
              <w:pStyle w:val="TableParagraph"/>
              <w:spacing w:before="36"/>
              <w:ind w:left="107" w:right="96"/>
              <w:jc w:val="both"/>
              <w:rPr>
                <w:sz w:val="21"/>
              </w:rPr>
            </w:pPr>
            <w:r>
              <w:rPr>
                <w:sz w:val="21"/>
              </w:rPr>
              <w:t>重度或极重度 </w:t>
            </w:r>
            <w:r>
              <w:rPr>
                <w:rFonts w:ascii="Times New Roman" w:eastAsia="Times New Roman"/>
                <w:sz w:val="21"/>
              </w:rPr>
              <w:t>COPD </w:t>
            </w:r>
            <w:r>
              <w:rPr>
                <w:sz w:val="21"/>
              </w:rPr>
              <w:t>受试者的 </w:t>
            </w:r>
            <w:r>
              <w:rPr>
                <w:rFonts w:ascii="Times New Roman" w:eastAsia="Times New Roman"/>
                <w:sz w:val="21"/>
              </w:rPr>
              <w:t>BD </w:t>
            </w:r>
            <w:r>
              <w:rPr>
                <w:sz w:val="21"/>
              </w:rPr>
              <w:t>给药后肺量计测定可能负担</w:t>
            </w:r>
            <w:r>
              <w:rPr>
                <w:spacing w:val="12"/>
                <w:sz w:val="21"/>
              </w:rPr>
              <w:t>较重，改为可选项目，以减轻</w:t>
            </w:r>
            <w:r>
              <w:rPr>
                <w:spacing w:val="-2"/>
                <w:sz w:val="21"/>
              </w:rPr>
              <w:t>患者和研究中心负担。</w:t>
            </w:r>
          </w:p>
        </w:tc>
      </w:tr>
      <w:tr>
        <w:trPr>
          <w:trHeight w:val="1019" w:hRule="atLeast"/>
        </w:trPr>
        <w:tc>
          <w:tcPr>
            <w:tcW w:w="2428" w:type="dxa"/>
          </w:tcPr>
          <w:p>
            <w:pPr>
              <w:pStyle w:val="TableParagraph"/>
              <w:spacing w:line="276" w:lineRule="auto" w:before="38"/>
              <w:ind w:left="107" w:right="96"/>
              <w:rPr>
                <w:sz w:val="21"/>
              </w:rPr>
            </w:pPr>
            <w:r>
              <w:rPr>
                <w:spacing w:val="-18"/>
                <w:sz w:val="21"/>
              </w:rPr>
              <w:t>第 </w:t>
            </w:r>
            <w:r>
              <w:rPr>
                <w:rFonts w:ascii="Times New Roman" w:eastAsia="Times New Roman"/>
                <w:sz w:val="21"/>
              </w:rPr>
              <w:t>1.3</w:t>
            </w:r>
            <w:r>
              <w:rPr>
                <w:rFonts w:ascii="Times New Roman" w:eastAsia="Times New Roman"/>
                <w:spacing w:val="-14"/>
                <w:sz w:val="21"/>
              </w:rPr>
              <w:t> </w:t>
            </w:r>
            <w:r>
              <w:rPr>
                <w:spacing w:val="-9"/>
                <w:sz w:val="21"/>
              </w:rPr>
              <w:t>节，表 </w:t>
            </w:r>
            <w:r>
              <w:rPr>
                <w:rFonts w:ascii="Times New Roman" w:eastAsia="Times New Roman"/>
                <w:sz w:val="21"/>
              </w:rPr>
              <w:t>1</w:t>
            </w:r>
            <w:r>
              <w:rPr>
                <w:spacing w:val="-12"/>
                <w:sz w:val="21"/>
              </w:rPr>
              <w:t>，表 </w:t>
            </w:r>
            <w:r>
              <w:rPr>
                <w:rFonts w:ascii="Times New Roman" w:eastAsia="Times New Roman"/>
                <w:sz w:val="21"/>
              </w:rPr>
              <w:t>2</w:t>
            </w:r>
            <w:r>
              <w:rPr>
                <w:sz w:val="21"/>
              </w:rPr>
              <w:t>，</w:t>
            </w:r>
            <w:r>
              <w:rPr>
                <w:spacing w:val="18"/>
                <w:sz w:val="21"/>
              </w:rPr>
              <w:t>研究活动时间表； 第</w:t>
            </w:r>
          </w:p>
          <w:p>
            <w:pPr>
              <w:pStyle w:val="TableParagraph"/>
              <w:spacing w:line="272" w:lineRule="exact"/>
              <w:ind w:left="107"/>
              <w:rPr>
                <w:sz w:val="21"/>
              </w:rPr>
            </w:pPr>
            <w:r>
              <w:rPr>
                <w:rFonts w:ascii="Times New Roman" w:eastAsia="Times New Roman"/>
                <w:sz w:val="21"/>
              </w:rPr>
              <w:t>8.1.4</w:t>
            </w:r>
            <w:r>
              <w:rPr>
                <w:rFonts w:ascii="Times New Roman" w:eastAsia="Times New Roman"/>
                <w:spacing w:val="-10"/>
                <w:sz w:val="21"/>
              </w:rPr>
              <w:t> </w:t>
            </w:r>
            <w:r>
              <w:rPr>
                <w:spacing w:val="17"/>
                <w:sz w:val="21"/>
              </w:rPr>
              <w:t>节定量</w:t>
            </w:r>
            <w:r>
              <w:rPr>
                <w:rFonts w:ascii="Times New Roman" w:eastAsia="Times New Roman"/>
                <w:sz w:val="21"/>
              </w:rPr>
              <w:t>CT</w:t>
            </w:r>
            <w:r>
              <w:rPr>
                <w:rFonts w:ascii="Times New Roman" w:eastAsia="Times New Roman"/>
                <w:spacing w:val="-11"/>
                <w:sz w:val="21"/>
              </w:rPr>
              <w:t> </w:t>
            </w:r>
            <w:r>
              <w:rPr>
                <w:spacing w:val="-5"/>
                <w:sz w:val="21"/>
              </w:rPr>
              <w:t>评估</w:t>
            </w:r>
          </w:p>
        </w:tc>
        <w:tc>
          <w:tcPr>
            <w:tcW w:w="3184" w:type="dxa"/>
          </w:tcPr>
          <w:p>
            <w:pPr>
              <w:pStyle w:val="TableParagraph"/>
              <w:spacing w:before="39"/>
              <w:ind w:left="106"/>
              <w:rPr>
                <w:sz w:val="21"/>
              </w:rPr>
            </w:pPr>
            <w:r>
              <w:rPr>
                <w:rFonts w:ascii="Times New Roman" w:eastAsia="Times New Roman"/>
                <w:sz w:val="21"/>
              </w:rPr>
              <w:t>CT</w:t>
            </w:r>
            <w:r>
              <w:rPr>
                <w:rFonts w:ascii="Times New Roman" w:eastAsia="Times New Roman"/>
                <w:spacing w:val="-11"/>
                <w:sz w:val="21"/>
              </w:rPr>
              <w:t> </w:t>
            </w:r>
            <w:r>
              <w:rPr>
                <w:spacing w:val="-2"/>
                <w:sz w:val="21"/>
              </w:rPr>
              <w:t>是可选项目。</w:t>
            </w:r>
          </w:p>
        </w:tc>
        <w:tc>
          <w:tcPr>
            <w:tcW w:w="3145" w:type="dxa"/>
          </w:tcPr>
          <w:p>
            <w:pPr>
              <w:pStyle w:val="TableParagraph"/>
              <w:spacing w:before="39"/>
              <w:ind w:left="107"/>
              <w:rPr>
                <w:sz w:val="21"/>
              </w:rPr>
            </w:pPr>
            <w:r>
              <w:rPr>
                <w:spacing w:val="-11"/>
                <w:sz w:val="21"/>
              </w:rPr>
              <w:t>澄清随访 </w:t>
            </w:r>
            <w:r>
              <w:rPr>
                <w:rFonts w:ascii="Times New Roman" w:eastAsia="Times New Roman"/>
                <w:sz w:val="21"/>
              </w:rPr>
              <w:t>CT</w:t>
            </w:r>
            <w:r>
              <w:rPr>
                <w:rFonts w:ascii="Times New Roman" w:eastAsia="Times New Roman"/>
                <w:spacing w:val="-12"/>
                <w:sz w:val="21"/>
              </w:rPr>
              <w:t> </w:t>
            </w:r>
            <w:r>
              <w:rPr>
                <w:spacing w:val="-2"/>
                <w:sz w:val="21"/>
              </w:rPr>
              <w:t>是可选项目。</w:t>
            </w:r>
          </w:p>
        </w:tc>
      </w:tr>
      <w:tr>
        <w:trPr>
          <w:trHeight w:val="1020" w:hRule="atLeast"/>
        </w:trPr>
        <w:tc>
          <w:tcPr>
            <w:tcW w:w="2428" w:type="dxa"/>
          </w:tcPr>
          <w:p>
            <w:pPr>
              <w:pStyle w:val="TableParagraph"/>
              <w:spacing w:line="276" w:lineRule="auto" w:before="38"/>
              <w:ind w:left="107" w:right="96"/>
              <w:rPr>
                <w:sz w:val="21"/>
              </w:rPr>
            </w:pPr>
            <w:r>
              <w:rPr>
                <w:spacing w:val="-18"/>
                <w:sz w:val="21"/>
              </w:rPr>
              <w:t>第 </w:t>
            </w:r>
            <w:r>
              <w:rPr>
                <w:rFonts w:ascii="Times New Roman" w:eastAsia="Times New Roman"/>
                <w:sz w:val="21"/>
              </w:rPr>
              <w:t>1.3</w:t>
            </w:r>
            <w:r>
              <w:rPr>
                <w:rFonts w:ascii="Times New Roman" w:eastAsia="Times New Roman"/>
                <w:spacing w:val="-14"/>
                <w:sz w:val="21"/>
              </w:rPr>
              <w:t> </w:t>
            </w:r>
            <w:r>
              <w:rPr>
                <w:spacing w:val="-9"/>
                <w:sz w:val="21"/>
              </w:rPr>
              <w:t>节，表 </w:t>
            </w:r>
            <w:r>
              <w:rPr>
                <w:rFonts w:ascii="Times New Roman" w:eastAsia="Times New Roman"/>
                <w:sz w:val="21"/>
              </w:rPr>
              <w:t>1</w:t>
            </w:r>
            <w:r>
              <w:rPr>
                <w:spacing w:val="-12"/>
                <w:sz w:val="21"/>
              </w:rPr>
              <w:t>，表 </w:t>
            </w:r>
            <w:r>
              <w:rPr>
                <w:rFonts w:ascii="Times New Roman" w:eastAsia="Times New Roman"/>
                <w:sz w:val="21"/>
              </w:rPr>
              <w:t>2</w:t>
            </w:r>
            <w:r>
              <w:rPr>
                <w:sz w:val="21"/>
              </w:rPr>
              <w:t>，</w:t>
            </w:r>
            <w:r>
              <w:rPr>
                <w:spacing w:val="18"/>
                <w:sz w:val="21"/>
              </w:rPr>
              <w:t>研究活动时间表； 第</w:t>
            </w:r>
          </w:p>
          <w:p>
            <w:pPr>
              <w:pStyle w:val="TableParagraph"/>
              <w:spacing w:line="272" w:lineRule="exact"/>
              <w:ind w:left="107"/>
              <w:rPr>
                <w:sz w:val="21"/>
              </w:rPr>
            </w:pPr>
            <w:r>
              <w:rPr>
                <w:rFonts w:ascii="Times New Roman" w:eastAsia="Times New Roman"/>
                <w:sz w:val="21"/>
              </w:rPr>
              <w:t>8.2.5</w:t>
            </w:r>
            <w:r>
              <w:rPr>
                <w:rFonts w:ascii="Times New Roman" w:eastAsia="Times New Roman"/>
                <w:spacing w:val="-12"/>
                <w:sz w:val="21"/>
              </w:rPr>
              <w:t> </w:t>
            </w:r>
            <w:r>
              <w:rPr>
                <w:spacing w:val="-2"/>
                <w:sz w:val="21"/>
              </w:rPr>
              <w:t>节，超声心动图</w:t>
            </w:r>
          </w:p>
        </w:tc>
        <w:tc>
          <w:tcPr>
            <w:tcW w:w="3184" w:type="dxa"/>
          </w:tcPr>
          <w:p>
            <w:pPr>
              <w:pStyle w:val="TableParagraph"/>
              <w:spacing w:before="38"/>
              <w:ind w:left="106" w:right="100"/>
              <w:rPr>
                <w:sz w:val="21"/>
              </w:rPr>
            </w:pPr>
            <w:r>
              <w:rPr>
                <w:spacing w:val="-2"/>
                <w:sz w:val="21"/>
              </w:rPr>
              <w:t>阐明整个研究期间和治疗期结束时的额外超声心动图评估。</w:t>
            </w:r>
          </w:p>
        </w:tc>
        <w:tc>
          <w:tcPr>
            <w:tcW w:w="3145" w:type="dxa"/>
          </w:tcPr>
          <w:p>
            <w:pPr>
              <w:pStyle w:val="TableParagraph"/>
              <w:spacing w:before="39"/>
              <w:ind w:left="107"/>
              <w:rPr>
                <w:sz w:val="21"/>
              </w:rPr>
            </w:pPr>
            <w:r>
              <w:rPr>
                <w:spacing w:val="-2"/>
                <w:sz w:val="21"/>
              </w:rPr>
              <w:t>澄清说明。</w:t>
            </w:r>
          </w:p>
        </w:tc>
      </w:tr>
      <w:tr>
        <w:trPr>
          <w:trHeight w:val="624" w:hRule="atLeast"/>
        </w:trPr>
        <w:tc>
          <w:tcPr>
            <w:tcW w:w="2428" w:type="dxa"/>
          </w:tcPr>
          <w:p>
            <w:pPr>
              <w:pStyle w:val="TableParagraph"/>
              <w:spacing w:before="39"/>
              <w:ind w:left="107"/>
              <w:rPr>
                <w:sz w:val="21"/>
              </w:rPr>
            </w:pPr>
            <w:r>
              <w:rPr>
                <w:spacing w:val="-27"/>
                <w:sz w:val="21"/>
              </w:rPr>
              <w:t>第 </w:t>
            </w:r>
            <w:r>
              <w:rPr>
                <w:rFonts w:ascii="Times New Roman" w:eastAsia="Times New Roman"/>
                <w:sz w:val="21"/>
              </w:rPr>
              <w:t>2</w:t>
            </w:r>
            <w:r>
              <w:rPr>
                <w:rFonts w:ascii="Times New Roman" w:eastAsia="Times New Roman"/>
                <w:spacing w:val="-12"/>
                <w:sz w:val="21"/>
              </w:rPr>
              <w:t> </w:t>
            </w:r>
            <w:r>
              <w:rPr>
                <w:spacing w:val="-3"/>
                <w:sz w:val="21"/>
              </w:rPr>
              <w:t>节，引言</w:t>
            </w:r>
          </w:p>
        </w:tc>
        <w:tc>
          <w:tcPr>
            <w:tcW w:w="3184" w:type="dxa"/>
          </w:tcPr>
          <w:p>
            <w:pPr>
              <w:pStyle w:val="TableParagraph"/>
              <w:spacing w:before="38"/>
              <w:ind w:left="106" w:right="97"/>
              <w:rPr>
                <w:sz w:val="21"/>
              </w:rPr>
            </w:pPr>
            <w:r>
              <w:rPr>
                <w:sz w:val="21"/>
              </w:rPr>
              <w:t>修订 </w:t>
            </w:r>
            <w:r>
              <w:rPr>
                <w:rFonts w:ascii="Times New Roman" w:eastAsia="Times New Roman"/>
                <w:sz w:val="21"/>
              </w:rPr>
              <w:t>tozorakimab</w:t>
            </w:r>
            <w:r>
              <w:rPr>
                <w:rFonts w:ascii="Times New Roman" w:eastAsia="Times New Roman"/>
                <w:spacing w:val="37"/>
                <w:sz w:val="21"/>
              </w:rPr>
              <w:t> </w:t>
            </w:r>
            <w:r>
              <w:rPr>
                <w:sz w:val="21"/>
              </w:rPr>
              <w:t>开发所针对的</w:t>
            </w:r>
            <w:r>
              <w:rPr>
                <w:spacing w:val="-2"/>
                <w:sz w:val="21"/>
              </w:rPr>
              <w:t>疾病列表。</w:t>
            </w:r>
          </w:p>
        </w:tc>
        <w:tc>
          <w:tcPr>
            <w:tcW w:w="3145" w:type="dxa"/>
          </w:tcPr>
          <w:p>
            <w:pPr>
              <w:pStyle w:val="TableParagraph"/>
              <w:spacing w:before="39"/>
              <w:ind w:left="107"/>
              <w:rPr>
                <w:sz w:val="21"/>
              </w:rPr>
            </w:pPr>
            <w:r>
              <w:rPr>
                <w:spacing w:val="-18"/>
                <w:sz w:val="21"/>
              </w:rPr>
              <w:t>根据 </w:t>
            </w:r>
            <w:r>
              <w:rPr>
                <w:rFonts w:ascii="Times New Roman" w:eastAsia="Times New Roman"/>
                <w:sz w:val="21"/>
              </w:rPr>
              <w:t>IB</w:t>
            </w:r>
            <w:r>
              <w:rPr>
                <w:rFonts w:ascii="Times New Roman" w:eastAsia="Times New Roman"/>
                <w:spacing w:val="-12"/>
                <w:sz w:val="21"/>
              </w:rPr>
              <w:t> </w:t>
            </w:r>
            <w:r>
              <w:rPr>
                <w:spacing w:val="-2"/>
                <w:sz w:val="21"/>
              </w:rPr>
              <w:t>进行更新。</w:t>
            </w:r>
          </w:p>
        </w:tc>
      </w:tr>
      <w:tr>
        <w:trPr>
          <w:trHeight w:val="393" w:hRule="atLeast"/>
        </w:trPr>
        <w:tc>
          <w:tcPr>
            <w:tcW w:w="2428" w:type="dxa"/>
          </w:tcPr>
          <w:p>
            <w:pPr>
              <w:pStyle w:val="TableParagraph"/>
              <w:spacing w:before="39"/>
              <w:ind w:left="107"/>
              <w:rPr>
                <w:sz w:val="21"/>
              </w:rPr>
            </w:pPr>
            <w:r>
              <w:rPr>
                <w:spacing w:val="-27"/>
                <w:sz w:val="21"/>
              </w:rPr>
              <w:t>第 </w:t>
            </w:r>
            <w:r>
              <w:rPr>
                <w:rFonts w:ascii="Times New Roman" w:eastAsia="Times New Roman"/>
                <w:sz w:val="21"/>
              </w:rPr>
              <w:t>2.2</w:t>
            </w:r>
            <w:r>
              <w:rPr>
                <w:rFonts w:ascii="Times New Roman" w:eastAsia="Times New Roman"/>
                <w:spacing w:val="-12"/>
                <w:sz w:val="21"/>
              </w:rPr>
              <w:t> </w:t>
            </w:r>
            <w:r>
              <w:rPr>
                <w:spacing w:val="-2"/>
                <w:sz w:val="21"/>
              </w:rPr>
              <w:t>节，背景信息</w:t>
            </w:r>
          </w:p>
        </w:tc>
        <w:tc>
          <w:tcPr>
            <w:tcW w:w="3184" w:type="dxa"/>
          </w:tcPr>
          <w:p>
            <w:pPr>
              <w:pStyle w:val="TableParagraph"/>
              <w:spacing w:before="39"/>
              <w:ind w:left="106"/>
              <w:rPr>
                <w:sz w:val="21"/>
              </w:rPr>
            </w:pPr>
            <w:r>
              <w:rPr>
                <w:spacing w:val="-15"/>
                <w:sz w:val="21"/>
              </w:rPr>
              <w:t>更新 </w:t>
            </w:r>
            <w:r>
              <w:rPr>
                <w:rFonts w:ascii="Times New Roman" w:eastAsia="Times New Roman"/>
                <w:spacing w:val="-2"/>
                <w:sz w:val="21"/>
              </w:rPr>
              <w:t>tozorakimab</w:t>
            </w:r>
            <w:r>
              <w:rPr>
                <w:rFonts w:ascii="Times New Roman" w:eastAsia="Times New Roman"/>
                <w:spacing w:val="5"/>
                <w:sz w:val="21"/>
              </w:rPr>
              <w:t> </w:t>
            </w:r>
            <w:r>
              <w:rPr>
                <w:spacing w:val="-4"/>
                <w:sz w:val="21"/>
              </w:rPr>
              <w:t>作用机制描述</w:t>
            </w:r>
          </w:p>
        </w:tc>
        <w:tc>
          <w:tcPr>
            <w:tcW w:w="3145" w:type="dxa"/>
          </w:tcPr>
          <w:p>
            <w:pPr>
              <w:pStyle w:val="TableParagraph"/>
              <w:spacing w:before="39"/>
              <w:ind w:left="107"/>
              <w:rPr>
                <w:sz w:val="21"/>
              </w:rPr>
            </w:pPr>
            <w:r>
              <w:rPr>
                <w:spacing w:val="-18"/>
                <w:sz w:val="21"/>
              </w:rPr>
              <w:t>根据 </w:t>
            </w:r>
            <w:r>
              <w:rPr>
                <w:rFonts w:ascii="Times New Roman" w:eastAsia="Times New Roman"/>
                <w:sz w:val="21"/>
              </w:rPr>
              <w:t>IB</w:t>
            </w:r>
            <w:r>
              <w:rPr>
                <w:rFonts w:ascii="Times New Roman" w:eastAsia="Times New Roman"/>
                <w:spacing w:val="-12"/>
                <w:sz w:val="21"/>
              </w:rPr>
              <w:t> </w:t>
            </w:r>
            <w:r>
              <w:rPr>
                <w:spacing w:val="-2"/>
                <w:sz w:val="21"/>
              </w:rPr>
              <w:t>进行更新。</w:t>
            </w:r>
          </w:p>
        </w:tc>
      </w:tr>
      <w:tr>
        <w:trPr>
          <w:trHeight w:val="1019" w:hRule="atLeast"/>
        </w:trPr>
        <w:tc>
          <w:tcPr>
            <w:tcW w:w="2428" w:type="dxa"/>
          </w:tcPr>
          <w:p>
            <w:pPr>
              <w:pStyle w:val="TableParagraph"/>
              <w:spacing w:before="38"/>
              <w:ind w:left="107"/>
              <w:rPr>
                <w:sz w:val="21"/>
              </w:rPr>
            </w:pPr>
            <w:r>
              <w:rPr>
                <w:spacing w:val="-22"/>
                <w:sz w:val="21"/>
              </w:rPr>
              <w:t>第 </w:t>
            </w:r>
            <w:r>
              <w:rPr>
                <w:rFonts w:ascii="Times New Roman" w:eastAsia="Times New Roman"/>
                <w:sz w:val="21"/>
              </w:rPr>
              <w:t>2.3.1</w:t>
            </w:r>
            <w:r>
              <w:rPr>
                <w:rFonts w:ascii="Times New Roman" w:eastAsia="Times New Roman"/>
                <w:spacing w:val="-5"/>
                <w:sz w:val="21"/>
              </w:rPr>
              <w:t> </w:t>
            </w:r>
            <w:r>
              <w:rPr>
                <w:spacing w:val="-2"/>
                <w:sz w:val="21"/>
              </w:rPr>
              <w:t>节，风险评估；</w:t>
            </w:r>
          </w:p>
          <w:p>
            <w:pPr>
              <w:pStyle w:val="TableParagraph"/>
              <w:spacing w:line="276" w:lineRule="auto" w:before="40"/>
              <w:ind w:left="107" w:right="97"/>
              <w:rPr>
                <w:sz w:val="21"/>
              </w:rPr>
            </w:pPr>
            <w:r>
              <w:rPr>
                <w:spacing w:val="-22"/>
                <w:sz w:val="21"/>
              </w:rPr>
              <w:t>第 </w:t>
            </w:r>
            <w:r>
              <w:rPr>
                <w:rFonts w:ascii="Times New Roman" w:eastAsia="Times New Roman"/>
                <w:sz w:val="21"/>
              </w:rPr>
              <w:t>2.3.3</w:t>
            </w:r>
            <w:r>
              <w:rPr>
                <w:rFonts w:ascii="Times New Roman" w:eastAsia="Times New Roman"/>
                <w:spacing w:val="-14"/>
                <w:sz w:val="21"/>
              </w:rPr>
              <w:t> </w:t>
            </w:r>
            <w:r>
              <w:rPr>
                <w:sz w:val="21"/>
              </w:rPr>
              <w:t>节，总体获益：</w:t>
            </w:r>
            <w:r>
              <w:rPr>
                <w:spacing w:val="-4"/>
                <w:sz w:val="21"/>
              </w:rPr>
              <w:t>风险结论</w:t>
            </w:r>
          </w:p>
        </w:tc>
        <w:tc>
          <w:tcPr>
            <w:tcW w:w="3184" w:type="dxa"/>
          </w:tcPr>
          <w:p>
            <w:pPr>
              <w:pStyle w:val="TableParagraph"/>
              <w:spacing w:before="39"/>
              <w:ind w:left="106"/>
              <w:rPr>
                <w:sz w:val="21"/>
              </w:rPr>
            </w:pPr>
            <w:r>
              <w:rPr>
                <w:spacing w:val="-1"/>
                <w:sz w:val="21"/>
              </w:rPr>
              <w:t>根据最新数据更新风险和获益。</w:t>
            </w:r>
          </w:p>
        </w:tc>
        <w:tc>
          <w:tcPr>
            <w:tcW w:w="3145" w:type="dxa"/>
          </w:tcPr>
          <w:p>
            <w:pPr>
              <w:pStyle w:val="TableParagraph"/>
              <w:spacing w:before="39"/>
              <w:ind w:left="107"/>
              <w:rPr>
                <w:sz w:val="21"/>
              </w:rPr>
            </w:pPr>
            <w:r>
              <w:rPr>
                <w:spacing w:val="-18"/>
                <w:sz w:val="21"/>
              </w:rPr>
              <w:t>根据 </w:t>
            </w:r>
            <w:r>
              <w:rPr>
                <w:rFonts w:ascii="Times New Roman" w:eastAsia="Times New Roman"/>
                <w:sz w:val="21"/>
              </w:rPr>
              <w:t>IB</w:t>
            </w:r>
            <w:r>
              <w:rPr>
                <w:rFonts w:ascii="Times New Roman" w:eastAsia="Times New Roman"/>
                <w:spacing w:val="-12"/>
                <w:sz w:val="21"/>
              </w:rPr>
              <w:t> </w:t>
            </w:r>
            <w:r>
              <w:rPr>
                <w:spacing w:val="-2"/>
                <w:sz w:val="21"/>
              </w:rPr>
              <w:t>进行更新。</w:t>
            </w:r>
          </w:p>
        </w:tc>
      </w:tr>
      <w:tr>
        <w:trPr>
          <w:trHeight w:val="1019" w:hRule="atLeast"/>
        </w:trPr>
        <w:tc>
          <w:tcPr>
            <w:tcW w:w="2428" w:type="dxa"/>
          </w:tcPr>
          <w:p>
            <w:pPr>
              <w:pStyle w:val="TableParagraph"/>
              <w:spacing w:line="276" w:lineRule="auto" w:before="38"/>
              <w:ind w:left="107" w:right="97"/>
              <w:jc w:val="both"/>
              <w:rPr>
                <w:sz w:val="21"/>
              </w:rPr>
            </w:pPr>
            <w:r>
              <w:rPr>
                <w:spacing w:val="-14"/>
                <w:sz w:val="21"/>
              </w:rPr>
              <w:t>第 </w:t>
            </w:r>
            <w:r>
              <w:rPr>
                <w:rFonts w:ascii="Times New Roman" w:eastAsia="Times New Roman"/>
                <w:spacing w:val="-12"/>
                <w:sz w:val="21"/>
              </w:rPr>
              <w:t>3</w:t>
            </w:r>
            <w:r>
              <w:rPr>
                <w:rFonts w:ascii="Times New Roman" w:eastAsia="Times New Roman"/>
                <w:spacing w:val="-1"/>
                <w:sz w:val="21"/>
              </w:rPr>
              <w:t> </w:t>
            </w:r>
            <w:r>
              <w:rPr>
                <w:spacing w:val="-13"/>
                <w:sz w:val="21"/>
              </w:rPr>
              <w:t>节，表 </w:t>
            </w:r>
            <w:r>
              <w:rPr>
                <w:rFonts w:ascii="Times New Roman" w:eastAsia="Times New Roman"/>
                <w:spacing w:val="-12"/>
                <w:sz w:val="21"/>
              </w:rPr>
              <w:t>3</w:t>
            </w:r>
            <w:r>
              <w:rPr>
                <w:spacing w:val="-12"/>
                <w:sz w:val="21"/>
              </w:rPr>
              <w:t>，目的和终</w:t>
            </w:r>
            <w:r>
              <w:rPr>
                <w:spacing w:val="3"/>
                <w:sz w:val="21"/>
              </w:rPr>
              <w:t>点；第</w:t>
            </w:r>
            <w:r>
              <w:rPr>
                <w:rFonts w:ascii="Times New Roman" w:eastAsia="Times New Roman"/>
                <w:sz w:val="21"/>
              </w:rPr>
              <w:t>8.7</w:t>
            </w:r>
            <w:r>
              <w:rPr>
                <w:rFonts w:ascii="Times New Roman" w:eastAsia="Times New Roman"/>
                <w:spacing w:val="-14"/>
                <w:sz w:val="21"/>
              </w:rPr>
              <w:t> </w:t>
            </w:r>
            <w:r>
              <w:rPr>
                <w:sz w:val="21"/>
              </w:rPr>
              <w:t>节医疗保健资</w:t>
            </w:r>
            <w:r>
              <w:rPr>
                <w:spacing w:val="-4"/>
                <w:sz w:val="21"/>
              </w:rPr>
              <w:t>源使用</w:t>
            </w:r>
          </w:p>
        </w:tc>
        <w:tc>
          <w:tcPr>
            <w:tcW w:w="3184" w:type="dxa"/>
          </w:tcPr>
          <w:p>
            <w:pPr>
              <w:pStyle w:val="TableParagraph"/>
              <w:spacing w:line="273" w:lineRule="exact" w:before="38"/>
              <w:ind w:left="106"/>
              <w:rPr>
                <w:sz w:val="21"/>
              </w:rPr>
            </w:pPr>
            <w:r>
              <w:rPr>
                <w:spacing w:val="22"/>
                <w:sz w:val="21"/>
              </w:rPr>
              <w:t>简化探索性终点</w:t>
            </w:r>
            <w:r>
              <w:rPr>
                <w:sz w:val="21"/>
              </w:rPr>
              <w:t>（</w:t>
            </w:r>
            <w:r>
              <w:rPr>
                <w:spacing w:val="-83"/>
                <w:sz w:val="21"/>
              </w:rPr>
              <w:t> </w:t>
            </w:r>
            <w:r>
              <w:rPr>
                <w:rFonts w:ascii="Times New Roman" w:eastAsia="Times New Roman"/>
                <w:sz w:val="21"/>
              </w:rPr>
              <w:t>COPD</w:t>
            </w:r>
            <w:r>
              <w:rPr>
                <w:rFonts w:ascii="Times New Roman" w:eastAsia="Times New Roman"/>
                <w:spacing w:val="46"/>
                <w:sz w:val="21"/>
              </w:rPr>
              <w:t> </w:t>
            </w:r>
            <w:r>
              <w:rPr>
                <w:spacing w:val="17"/>
                <w:sz w:val="21"/>
              </w:rPr>
              <w:t>相关</w:t>
            </w:r>
          </w:p>
          <w:p>
            <w:pPr>
              <w:pStyle w:val="TableParagraph"/>
              <w:spacing w:line="273" w:lineRule="exact"/>
              <w:ind w:left="106"/>
              <w:rPr>
                <w:sz w:val="21"/>
              </w:rPr>
            </w:pPr>
            <w:r>
              <w:rPr>
                <w:rFonts w:ascii="Times New Roman" w:eastAsia="Times New Roman"/>
                <w:spacing w:val="-2"/>
                <w:sz w:val="21"/>
              </w:rPr>
              <w:t>HRU</w:t>
            </w:r>
            <w:r>
              <w:rPr>
                <w:spacing w:val="-2"/>
                <w:sz w:val="21"/>
              </w:rPr>
              <w:t>）</w:t>
            </w:r>
            <w:r>
              <w:rPr>
                <w:spacing w:val="-10"/>
                <w:sz w:val="21"/>
              </w:rPr>
              <w:t>。</w:t>
            </w:r>
          </w:p>
        </w:tc>
        <w:tc>
          <w:tcPr>
            <w:tcW w:w="3145" w:type="dxa"/>
          </w:tcPr>
          <w:p>
            <w:pPr>
              <w:pStyle w:val="TableParagraph"/>
              <w:spacing w:before="39"/>
              <w:ind w:left="107"/>
              <w:rPr>
                <w:sz w:val="21"/>
              </w:rPr>
            </w:pPr>
            <w:r>
              <w:rPr>
                <w:spacing w:val="-7"/>
                <w:sz w:val="21"/>
              </w:rPr>
              <w:t>简化以关注相关 </w:t>
            </w:r>
            <w:r>
              <w:rPr>
                <w:rFonts w:ascii="Times New Roman" w:eastAsia="Times New Roman"/>
                <w:sz w:val="21"/>
              </w:rPr>
              <w:t>HRU</w:t>
            </w:r>
            <w:r>
              <w:rPr>
                <w:rFonts w:ascii="Times New Roman" w:eastAsia="Times New Roman"/>
                <w:spacing w:val="-13"/>
                <w:sz w:val="21"/>
              </w:rPr>
              <w:t> </w:t>
            </w:r>
            <w:r>
              <w:rPr>
                <w:spacing w:val="-4"/>
                <w:sz w:val="21"/>
              </w:rPr>
              <w:t>事件。</w:t>
            </w:r>
          </w:p>
        </w:tc>
      </w:tr>
      <w:tr>
        <w:trPr>
          <w:trHeight w:val="1019" w:hRule="atLeast"/>
        </w:trPr>
        <w:tc>
          <w:tcPr>
            <w:tcW w:w="2428" w:type="dxa"/>
          </w:tcPr>
          <w:p>
            <w:pPr>
              <w:pStyle w:val="TableParagraph"/>
              <w:spacing w:line="276" w:lineRule="auto" w:before="38"/>
              <w:ind w:left="107" w:right="96"/>
              <w:jc w:val="both"/>
              <w:rPr>
                <w:sz w:val="21"/>
              </w:rPr>
            </w:pPr>
            <w:r>
              <w:rPr>
                <w:spacing w:val="-14"/>
                <w:sz w:val="21"/>
              </w:rPr>
              <w:t>第 </w:t>
            </w:r>
            <w:r>
              <w:rPr>
                <w:rFonts w:ascii="Times New Roman" w:eastAsia="Times New Roman"/>
                <w:spacing w:val="-12"/>
                <w:sz w:val="21"/>
              </w:rPr>
              <w:t>3</w:t>
            </w:r>
            <w:r>
              <w:rPr>
                <w:rFonts w:ascii="Times New Roman" w:eastAsia="Times New Roman"/>
                <w:spacing w:val="-1"/>
                <w:sz w:val="21"/>
              </w:rPr>
              <w:t> </w:t>
            </w:r>
            <w:r>
              <w:rPr>
                <w:spacing w:val="-13"/>
                <w:sz w:val="21"/>
              </w:rPr>
              <w:t>节，表 </w:t>
            </w:r>
            <w:r>
              <w:rPr>
                <w:rFonts w:ascii="Times New Roman" w:eastAsia="Times New Roman"/>
                <w:spacing w:val="-12"/>
                <w:sz w:val="21"/>
              </w:rPr>
              <w:t>3</w:t>
            </w:r>
            <w:r>
              <w:rPr>
                <w:spacing w:val="-12"/>
                <w:sz w:val="21"/>
              </w:rPr>
              <w:t>，目的和终</w:t>
            </w:r>
            <w:r>
              <w:rPr>
                <w:spacing w:val="-7"/>
                <w:sz w:val="21"/>
              </w:rPr>
              <w:t>点；第 </w:t>
            </w:r>
            <w:r>
              <w:rPr>
                <w:rFonts w:ascii="Times New Roman" w:eastAsia="Times New Roman"/>
                <w:sz w:val="21"/>
              </w:rPr>
              <w:t>9.4.2.3</w:t>
            </w:r>
            <w:r>
              <w:rPr>
                <w:rFonts w:ascii="Times New Roman" w:eastAsia="Times New Roman"/>
                <w:spacing w:val="-4"/>
                <w:sz w:val="21"/>
              </w:rPr>
              <w:t> </w:t>
            </w:r>
            <w:r>
              <w:rPr>
                <w:sz w:val="21"/>
              </w:rPr>
              <w:t>节探索性</w:t>
            </w:r>
            <w:r>
              <w:rPr>
                <w:spacing w:val="-6"/>
                <w:sz w:val="21"/>
              </w:rPr>
              <w:t>终点</w:t>
            </w:r>
          </w:p>
        </w:tc>
        <w:tc>
          <w:tcPr>
            <w:tcW w:w="3184" w:type="dxa"/>
          </w:tcPr>
          <w:p>
            <w:pPr>
              <w:pStyle w:val="TableParagraph"/>
              <w:spacing w:before="38"/>
              <w:ind w:left="106" w:right="97"/>
              <w:rPr>
                <w:sz w:val="21"/>
              </w:rPr>
            </w:pPr>
            <w:r>
              <w:rPr>
                <w:spacing w:val="2"/>
                <w:sz w:val="21"/>
              </w:rPr>
              <w:t>补充说明可能不在</w:t>
            </w:r>
            <w:r>
              <w:rPr>
                <w:rFonts w:ascii="Times New Roman" w:eastAsia="Times New Roman"/>
                <w:sz w:val="21"/>
              </w:rPr>
              <w:t>CSR</w:t>
            </w:r>
            <w:r>
              <w:rPr>
                <w:sz w:val="21"/>
              </w:rPr>
              <w:t>中报告分</w:t>
            </w:r>
            <w:r>
              <w:rPr>
                <w:spacing w:val="-2"/>
                <w:sz w:val="21"/>
              </w:rPr>
              <w:t>析探索性终点。</w:t>
            </w:r>
          </w:p>
        </w:tc>
        <w:tc>
          <w:tcPr>
            <w:tcW w:w="3145" w:type="dxa"/>
          </w:tcPr>
          <w:p>
            <w:pPr>
              <w:pStyle w:val="TableParagraph"/>
              <w:spacing w:before="38"/>
              <w:ind w:left="107" w:right="92"/>
              <w:rPr>
                <w:sz w:val="21"/>
              </w:rPr>
            </w:pPr>
            <w:r>
              <w:rPr>
                <w:sz w:val="21"/>
              </w:rPr>
              <w:t>可能不在 </w:t>
            </w:r>
            <w:r>
              <w:rPr>
                <w:rFonts w:ascii="Times New Roman" w:eastAsia="Times New Roman"/>
                <w:sz w:val="21"/>
              </w:rPr>
              <w:t>CSR</w:t>
            </w:r>
            <w:r>
              <w:rPr>
                <w:rFonts w:ascii="Times New Roman" w:eastAsia="Times New Roman"/>
                <w:spacing w:val="31"/>
                <w:sz w:val="21"/>
              </w:rPr>
              <w:t> </w:t>
            </w:r>
            <w:r>
              <w:rPr>
                <w:sz w:val="21"/>
              </w:rPr>
              <w:t>中报告探索性终</w:t>
            </w:r>
            <w:r>
              <w:rPr>
                <w:spacing w:val="-6"/>
                <w:sz w:val="21"/>
              </w:rPr>
              <w:t>点。</w:t>
            </w:r>
          </w:p>
        </w:tc>
      </w:tr>
      <w:tr>
        <w:trPr>
          <w:trHeight w:val="1170" w:hRule="atLeast"/>
        </w:trPr>
        <w:tc>
          <w:tcPr>
            <w:tcW w:w="2428" w:type="dxa"/>
          </w:tcPr>
          <w:p>
            <w:pPr>
              <w:pStyle w:val="TableParagraph"/>
              <w:spacing w:before="39"/>
              <w:ind w:left="107"/>
              <w:rPr>
                <w:sz w:val="21"/>
              </w:rPr>
            </w:pPr>
            <w:r>
              <w:rPr>
                <w:spacing w:val="-28"/>
                <w:sz w:val="21"/>
              </w:rPr>
              <w:t>第 </w:t>
            </w:r>
            <w:r>
              <w:rPr>
                <w:rFonts w:ascii="Times New Roman" w:eastAsia="Times New Roman"/>
                <w:sz w:val="21"/>
              </w:rPr>
              <w:t>4.1.1</w:t>
            </w:r>
            <w:r>
              <w:rPr>
                <w:rFonts w:ascii="Times New Roman" w:eastAsia="Times New Roman"/>
                <w:spacing w:val="-11"/>
                <w:sz w:val="21"/>
              </w:rPr>
              <w:t> </w:t>
            </w:r>
            <w:r>
              <w:rPr>
                <w:spacing w:val="-3"/>
                <w:sz w:val="21"/>
              </w:rPr>
              <w:t>节，入选</w:t>
            </w:r>
          </w:p>
        </w:tc>
        <w:tc>
          <w:tcPr>
            <w:tcW w:w="3184" w:type="dxa"/>
          </w:tcPr>
          <w:p>
            <w:pPr>
              <w:pStyle w:val="TableParagraph"/>
              <w:spacing w:before="38"/>
              <w:ind w:left="106" w:right="97"/>
              <w:jc w:val="both"/>
              <w:rPr>
                <w:sz w:val="21"/>
              </w:rPr>
            </w:pPr>
            <w:r>
              <w:rPr>
                <w:spacing w:val="9"/>
                <w:sz w:val="21"/>
              </w:rPr>
              <w:t>值得注意的是，在 </w:t>
            </w:r>
            <w:r>
              <w:rPr>
                <w:rFonts w:ascii="Times New Roman" w:eastAsia="Times New Roman"/>
                <w:sz w:val="21"/>
              </w:rPr>
              <w:t>PROSPERO</w:t>
            </w:r>
            <w:r>
              <w:rPr>
                <w:spacing w:val="-2"/>
                <w:sz w:val="21"/>
              </w:rPr>
              <w:t>研究中也可能按需收集在前身研</w:t>
            </w:r>
            <w:r>
              <w:rPr>
                <w:spacing w:val="-2"/>
                <w:sz w:val="21"/>
              </w:rPr>
              <w:t>究中收集的病史和人口统计学数</w:t>
            </w:r>
            <w:r>
              <w:rPr>
                <w:spacing w:val="-6"/>
                <w:sz w:val="21"/>
              </w:rPr>
              <w:t>据。</w:t>
            </w:r>
          </w:p>
        </w:tc>
        <w:tc>
          <w:tcPr>
            <w:tcW w:w="3145" w:type="dxa"/>
          </w:tcPr>
          <w:p>
            <w:pPr>
              <w:pStyle w:val="TableParagraph"/>
              <w:spacing w:before="39"/>
              <w:ind w:left="107"/>
              <w:rPr>
                <w:sz w:val="21"/>
              </w:rPr>
            </w:pPr>
            <w:r>
              <w:rPr>
                <w:spacing w:val="-2"/>
                <w:sz w:val="21"/>
              </w:rPr>
              <w:t>澄清说明。</w:t>
            </w:r>
          </w:p>
        </w:tc>
      </w:tr>
      <w:tr>
        <w:trPr>
          <w:trHeight w:val="624" w:hRule="atLeast"/>
        </w:trPr>
        <w:tc>
          <w:tcPr>
            <w:tcW w:w="2428" w:type="dxa"/>
          </w:tcPr>
          <w:p>
            <w:pPr>
              <w:pStyle w:val="TableParagraph"/>
              <w:spacing w:before="36"/>
              <w:ind w:left="107" w:right="97"/>
              <w:rPr>
                <w:sz w:val="21"/>
              </w:rPr>
            </w:pPr>
            <w:r>
              <w:rPr>
                <w:spacing w:val="-22"/>
                <w:sz w:val="21"/>
              </w:rPr>
              <w:t>第 </w:t>
            </w:r>
            <w:r>
              <w:rPr>
                <w:rFonts w:ascii="Times New Roman" w:eastAsia="Times New Roman"/>
                <w:sz w:val="21"/>
              </w:rPr>
              <w:t>4.2.5</w:t>
            </w:r>
            <w:r>
              <w:rPr>
                <w:rFonts w:ascii="Times New Roman" w:eastAsia="Times New Roman"/>
                <w:spacing w:val="-14"/>
                <w:sz w:val="21"/>
              </w:rPr>
              <w:t> </w:t>
            </w:r>
            <w:r>
              <w:rPr>
                <w:sz w:val="21"/>
              </w:rPr>
              <w:t>节，受试者对研</w:t>
            </w:r>
            <w:r>
              <w:rPr>
                <w:spacing w:val="-2"/>
                <w:sz w:val="21"/>
              </w:rPr>
              <w:t>究设计的意见</w:t>
            </w:r>
          </w:p>
        </w:tc>
        <w:tc>
          <w:tcPr>
            <w:tcW w:w="3184" w:type="dxa"/>
          </w:tcPr>
          <w:p>
            <w:pPr>
              <w:pStyle w:val="TableParagraph"/>
              <w:spacing w:before="38"/>
              <w:ind w:left="106"/>
              <w:rPr>
                <w:sz w:val="21"/>
              </w:rPr>
            </w:pPr>
            <w:r>
              <w:rPr>
                <w:spacing w:val="-2"/>
                <w:sz w:val="21"/>
              </w:rPr>
              <w:t>修订并更新了文本。</w:t>
            </w:r>
          </w:p>
        </w:tc>
        <w:tc>
          <w:tcPr>
            <w:tcW w:w="3145" w:type="dxa"/>
          </w:tcPr>
          <w:p>
            <w:pPr>
              <w:pStyle w:val="TableParagraph"/>
              <w:spacing w:before="38"/>
              <w:ind w:left="107"/>
              <w:rPr>
                <w:sz w:val="21"/>
              </w:rPr>
            </w:pPr>
            <w:r>
              <w:rPr>
                <w:spacing w:val="-1"/>
                <w:sz w:val="21"/>
              </w:rPr>
              <w:t>与前身研究方案保持一致。</w:t>
            </w:r>
          </w:p>
        </w:tc>
      </w:tr>
      <w:tr>
        <w:trPr>
          <w:trHeight w:val="352" w:hRule="atLeast"/>
        </w:trPr>
        <w:tc>
          <w:tcPr>
            <w:tcW w:w="2428" w:type="dxa"/>
          </w:tcPr>
          <w:p>
            <w:pPr>
              <w:pStyle w:val="TableParagraph"/>
              <w:spacing w:before="38"/>
              <w:ind w:left="107"/>
              <w:rPr>
                <w:sz w:val="21"/>
              </w:rPr>
            </w:pPr>
            <w:r>
              <w:rPr>
                <w:spacing w:val="30"/>
                <w:sz w:val="21"/>
              </w:rPr>
              <w:t>第</w:t>
            </w:r>
            <w:r>
              <w:rPr>
                <w:rFonts w:ascii="Times New Roman" w:eastAsia="Times New Roman"/>
                <w:sz w:val="21"/>
              </w:rPr>
              <w:t>4.3</w:t>
            </w:r>
            <w:r>
              <w:rPr>
                <w:rFonts w:ascii="Times New Roman" w:eastAsia="Times New Roman"/>
                <w:spacing w:val="-26"/>
                <w:sz w:val="21"/>
              </w:rPr>
              <w:t> </w:t>
            </w:r>
            <w:r>
              <w:rPr>
                <w:spacing w:val="-2"/>
                <w:sz w:val="21"/>
              </w:rPr>
              <w:t>节，剂量选择依据</w:t>
            </w:r>
          </w:p>
        </w:tc>
        <w:tc>
          <w:tcPr>
            <w:tcW w:w="3184" w:type="dxa"/>
          </w:tcPr>
          <w:p>
            <w:pPr>
              <w:pStyle w:val="TableParagraph"/>
              <w:spacing w:before="38"/>
              <w:ind w:left="106"/>
              <w:rPr>
                <w:sz w:val="21"/>
              </w:rPr>
            </w:pPr>
            <w:r>
              <w:rPr>
                <w:spacing w:val="-1"/>
                <w:sz w:val="21"/>
              </w:rPr>
              <w:t>纳入近期研究的数据。</w:t>
            </w:r>
          </w:p>
        </w:tc>
        <w:tc>
          <w:tcPr>
            <w:tcW w:w="3145" w:type="dxa"/>
          </w:tcPr>
          <w:p>
            <w:pPr>
              <w:pStyle w:val="TableParagraph"/>
              <w:spacing w:before="38"/>
              <w:ind w:left="107"/>
              <w:rPr>
                <w:sz w:val="21"/>
              </w:rPr>
            </w:pPr>
            <w:r>
              <w:rPr>
                <w:spacing w:val="-18"/>
                <w:sz w:val="21"/>
              </w:rPr>
              <w:t>根据 </w:t>
            </w:r>
            <w:r>
              <w:rPr>
                <w:rFonts w:ascii="Times New Roman" w:eastAsia="Times New Roman"/>
                <w:sz w:val="21"/>
              </w:rPr>
              <w:t>IB</w:t>
            </w:r>
            <w:r>
              <w:rPr>
                <w:rFonts w:ascii="Times New Roman" w:eastAsia="Times New Roman"/>
                <w:spacing w:val="-12"/>
                <w:sz w:val="21"/>
              </w:rPr>
              <w:t> </w:t>
            </w:r>
            <w:r>
              <w:rPr>
                <w:spacing w:val="-2"/>
                <w:sz w:val="21"/>
              </w:rPr>
              <w:t>进行更新。</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TableParagraph"/>
              <w:spacing w:before="38"/>
              <w:ind w:left="107"/>
              <w:rPr>
                <w:b/>
                <w:sz w:val="21"/>
              </w:rPr>
            </w:pPr>
            <w:r>
              <w:rPr>
                <w:b/>
                <w:spacing w:val="-3"/>
                <w:sz w:val="21"/>
              </w:rPr>
              <w:t>章节编号和标题名称</w:t>
            </w:r>
          </w:p>
        </w:tc>
        <w:tc>
          <w:tcPr>
            <w:tcW w:w="3184" w:type="dxa"/>
          </w:tcPr>
          <w:p>
            <w:pPr>
              <w:pStyle w:val="TableParagraph"/>
              <w:spacing w:before="38"/>
              <w:ind w:left="8"/>
              <w:jc w:val="center"/>
              <w:rPr>
                <w:b/>
                <w:sz w:val="21"/>
              </w:rPr>
            </w:pPr>
            <w:r>
              <w:rPr>
                <w:b/>
                <w:spacing w:val="-4"/>
                <w:sz w:val="21"/>
              </w:rPr>
              <w:t>变更描述</w:t>
            </w:r>
          </w:p>
        </w:tc>
        <w:tc>
          <w:tcPr>
            <w:tcW w:w="3145" w:type="dxa"/>
          </w:tcPr>
          <w:p>
            <w:pPr>
              <w:pStyle w:val="TableParagraph"/>
              <w:spacing w:before="38"/>
              <w:ind w:left="11"/>
              <w:jc w:val="center"/>
              <w:rPr>
                <w:b/>
                <w:sz w:val="21"/>
              </w:rPr>
            </w:pPr>
            <w:r>
              <w:rPr>
                <w:b/>
                <w:spacing w:val="-4"/>
                <w:sz w:val="21"/>
              </w:rPr>
              <w:t>简要依据</w:t>
            </w:r>
          </w:p>
        </w:tc>
      </w:tr>
      <w:tr>
        <w:trPr>
          <w:trHeight w:val="624" w:hRule="atLeast"/>
        </w:trPr>
        <w:tc>
          <w:tcPr>
            <w:tcW w:w="2428" w:type="dxa"/>
          </w:tcPr>
          <w:p>
            <w:pPr>
              <w:pStyle w:val="TableParagraph"/>
              <w:spacing w:before="36"/>
              <w:ind w:left="107" w:right="97"/>
              <w:rPr>
                <w:sz w:val="21"/>
              </w:rPr>
            </w:pPr>
            <w:r>
              <w:rPr>
                <w:spacing w:val="24"/>
                <w:sz w:val="21"/>
              </w:rPr>
              <w:t>第</w:t>
            </w:r>
            <w:r>
              <w:rPr>
                <w:rFonts w:ascii="Times New Roman" w:eastAsia="Times New Roman"/>
                <w:sz w:val="21"/>
              </w:rPr>
              <w:t>4.4</w:t>
            </w:r>
            <w:r>
              <w:rPr>
                <w:rFonts w:ascii="Times New Roman" w:eastAsia="Times New Roman"/>
                <w:spacing w:val="-26"/>
                <w:sz w:val="21"/>
              </w:rPr>
              <w:t> </w:t>
            </w:r>
            <w:r>
              <w:rPr>
                <w:sz w:val="21"/>
              </w:rPr>
              <w:t>节，研究结束的定</w:t>
            </w:r>
            <w:r>
              <w:rPr>
                <w:spacing w:val="-10"/>
                <w:sz w:val="21"/>
              </w:rPr>
              <w:t>义</w:t>
            </w:r>
          </w:p>
        </w:tc>
        <w:tc>
          <w:tcPr>
            <w:tcW w:w="3184" w:type="dxa"/>
          </w:tcPr>
          <w:p>
            <w:pPr>
              <w:pStyle w:val="TableParagraph"/>
              <w:spacing w:before="36"/>
              <w:ind w:left="106" w:right="97"/>
              <w:rPr>
                <w:sz w:val="21"/>
              </w:rPr>
            </w:pPr>
            <w:r>
              <w:rPr>
                <w:spacing w:val="20"/>
                <w:sz w:val="21"/>
              </w:rPr>
              <w:t>根据</w:t>
            </w:r>
            <w:r>
              <w:rPr>
                <w:rFonts w:ascii="Times New Roman" w:eastAsia="Times New Roman"/>
                <w:sz w:val="21"/>
              </w:rPr>
              <w:t>EU</w:t>
            </w:r>
            <w:r>
              <w:rPr>
                <w:rFonts w:ascii="Times New Roman" w:eastAsia="Times New Roman"/>
                <w:spacing w:val="-16"/>
                <w:sz w:val="21"/>
              </w:rPr>
              <w:t> </w:t>
            </w:r>
            <w:r>
              <w:rPr>
                <w:spacing w:val="-30"/>
                <w:sz w:val="21"/>
              </w:rPr>
              <w:t>和 </w:t>
            </w:r>
            <w:r>
              <w:rPr>
                <w:rFonts w:ascii="Times New Roman" w:eastAsia="Times New Roman"/>
                <w:sz w:val="21"/>
              </w:rPr>
              <w:t>FDA</w:t>
            </w:r>
            <w:r>
              <w:rPr>
                <w:rFonts w:ascii="Times New Roman" w:eastAsia="Times New Roman"/>
                <w:spacing w:val="-16"/>
                <w:sz w:val="21"/>
              </w:rPr>
              <w:t> </w:t>
            </w:r>
            <w:r>
              <w:rPr>
                <w:sz w:val="21"/>
              </w:rPr>
              <w:t>要求，阐明研究</w:t>
            </w:r>
            <w:r>
              <w:rPr>
                <w:spacing w:val="-2"/>
                <w:sz w:val="21"/>
              </w:rPr>
              <w:t>结束的定义</w:t>
            </w:r>
          </w:p>
        </w:tc>
        <w:tc>
          <w:tcPr>
            <w:tcW w:w="3145" w:type="dxa"/>
          </w:tcPr>
          <w:p>
            <w:pPr>
              <w:pStyle w:val="TableParagraph"/>
              <w:spacing w:before="36"/>
              <w:ind w:left="107" w:right="98"/>
              <w:rPr>
                <w:sz w:val="21"/>
              </w:rPr>
            </w:pPr>
            <w:r>
              <w:rPr>
                <w:spacing w:val="12"/>
                <w:sz w:val="21"/>
              </w:rPr>
              <w:t>在发布研究结果方面保持协调</w:t>
            </w:r>
            <w:r>
              <w:rPr>
                <w:spacing w:val="-4"/>
                <w:sz w:val="21"/>
              </w:rPr>
              <w:t>一致。</w:t>
            </w:r>
          </w:p>
        </w:tc>
      </w:tr>
      <w:tr>
        <w:trPr>
          <w:trHeight w:val="897" w:hRule="atLeast"/>
        </w:trPr>
        <w:tc>
          <w:tcPr>
            <w:tcW w:w="2428" w:type="dxa"/>
          </w:tcPr>
          <w:p>
            <w:pPr>
              <w:pStyle w:val="TableParagraph"/>
              <w:spacing w:before="37"/>
              <w:ind w:left="107" w:right="97"/>
              <w:jc w:val="both"/>
              <w:rPr>
                <w:sz w:val="21"/>
              </w:rPr>
            </w:pPr>
            <w:r>
              <w:rPr>
                <w:spacing w:val="-14"/>
                <w:sz w:val="21"/>
              </w:rPr>
              <w:t>第 </w:t>
            </w:r>
            <w:r>
              <w:rPr>
                <w:rFonts w:ascii="Times New Roman" w:eastAsia="Times New Roman"/>
                <w:spacing w:val="-2"/>
                <w:sz w:val="21"/>
              </w:rPr>
              <w:t>5.3.4</w:t>
            </w:r>
            <w:r>
              <w:rPr>
                <w:rFonts w:ascii="Times New Roman" w:eastAsia="Times New Roman"/>
                <w:spacing w:val="-11"/>
                <w:sz w:val="21"/>
              </w:rPr>
              <w:t> </w:t>
            </w:r>
            <w:r>
              <w:rPr>
                <w:spacing w:val="-2"/>
                <w:sz w:val="21"/>
              </w:rPr>
              <w:t>节，烟草、电子</w:t>
            </w:r>
            <w:r>
              <w:rPr>
                <w:spacing w:val="8"/>
                <w:sz w:val="21"/>
              </w:rPr>
              <w:t>烟和蒸汽电子烟产品；</w:t>
            </w:r>
            <w:r>
              <w:rPr>
                <w:spacing w:val="-12"/>
                <w:sz w:val="21"/>
              </w:rPr>
              <w:t>第 </w:t>
            </w:r>
            <w:r>
              <w:rPr>
                <w:rFonts w:ascii="Times New Roman" w:eastAsia="Times New Roman"/>
                <w:sz w:val="21"/>
              </w:rPr>
              <w:t>8.2.2 </w:t>
            </w:r>
            <w:r>
              <w:rPr>
                <w:sz w:val="21"/>
              </w:rPr>
              <w:t>节，吸烟状况</w:t>
            </w:r>
          </w:p>
        </w:tc>
        <w:tc>
          <w:tcPr>
            <w:tcW w:w="3184" w:type="dxa"/>
          </w:tcPr>
          <w:p>
            <w:pPr>
              <w:pStyle w:val="TableParagraph"/>
              <w:spacing w:before="37"/>
              <w:ind w:left="106" w:right="98"/>
              <w:jc w:val="both"/>
              <w:rPr>
                <w:sz w:val="21"/>
              </w:rPr>
            </w:pPr>
            <w:r>
              <w:rPr>
                <w:spacing w:val="-2"/>
                <w:sz w:val="21"/>
              </w:rPr>
              <w:t>更新文本，以澄清在戒烟者队列</w:t>
            </w:r>
            <w:r>
              <w:rPr>
                <w:spacing w:val="3"/>
                <w:sz w:val="21"/>
              </w:rPr>
              <w:t>中， 不鼓励使用加热的烟草制</w:t>
            </w:r>
            <w:r>
              <w:rPr>
                <w:spacing w:val="-6"/>
                <w:sz w:val="21"/>
              </w:rPr>
              <w:t>品。</w:t>
            </w:r>
          </w:p>
        </w:tc>
        <w:tc>
          <w:tcPr>
            <w:tcW w:w="3145" w:type="dxa"/>
          </w:tcPr>
          <w:p>
            <w:pPr>
              <w:pStyle w:val="TableParagraph"/>
              <w:spacing w:before="38"/>
              <w:ind w:left="107"/>
              <w:rPr>
                <w:sz w:val="21"/>
              </w:rPr>
            </w:pPr>
            <w:r>
              <w:rPr>
                <w:spacing w:val="-2"/>
                <w:sz w:val="21"/>
              </w:rPr>
              <w:t>澄清说明。</w:t>
            </w:r>
          </w:p>
        </w:tc>
      </w:tr>
      <w:tr>
        <w:trPr>
          <w:trHeight w:val="624" w:hRule="atLeast"/>
        </w:trPr>
        <w:tc>
          <w:tcPr>
            <w:tcW w:w="2428" w:type="dxa"/>
          </w:tcPr>
          <w:p>
            <w:pPr>
              <w:pStyle w:val="TableParagraph"/>
              <w:spacing w:before="38"/>
              <w:ind w:left="107"/>
              <w:rPr>
                <w:sz w:val="21"/>
              </w:rPr>
            </w:pPr>
            <w:r>
              <w:rPr>
                <w:spacing w:val="-27"/>
                <w:sz w:val="21"/>
              </w:rPr>
              <w:t>第 </w:t>
            </w:r>
            <w:r>
              <w:rPr>
                <w:rFonts w:ascii="Times New Roman" w:eastAsia="Times New Roman"/>
                <w:sz w:val="21"/>
              </w:rPr>
              <w:t>6</w:t>
            </w:r>
            <w:r>
              <w:rPr>
                <w:rFonts w:ascii="Times New Roman" w:eastAsia="Times New Roman"/>
                <w:spacing w:val="-12"/>
                <w:sz w:val="21"/>
              </w:rPr>
              <w:t> </w:t>
            </w:r>
            <w:r>
              <w:rPr>
                <w:spacing w:val="-2"/>
                <w:sz w:val="21"/>
              </w:rPr>
              <w:t>节，研究干预</w:t>
            </w:r>
          </w:p>
        </w:tc>
        <w:tc>
          <w:tcPr>
            <w:tcW w:w="3184" w:type="dxa"/>
          </w:tcPr>
          <w:p>
            <w:pPr>
              <w:pStyle w:val="TableParagraph"/>
              <w:spacing w:before="38"/>
              <w:ind w:left="106"/>
              <w:rPr>
                <w:sz w:val="21"/>
              </w:rPr>
            </w:pPr>
            <w:r>
              <w:rPr>
                <w:spacing w:val="-2"/>
                <w:sz w:val="21"/>
              </w:rPr>
              <w:t>更新安慰剂制剂。</w:t>
            </w:r>
          </w:p>
        </w:tc>
        <w:tc>
          <w:tcPr>
            <w:tcW w:w="3145" w:type="dxa"/>
          </w:tcPr>
          <w:p>
            <w:pPr>
              <w:pStyle w:val="TableParagraph"/>
              <w:spacing w:before="36"/>
              <w:ind w:left="107" w:right="98"/>
              <w:rPr>
                <w:sz w:val="21"/>
              </w:rPr>
            </w:pPr>
            <w:r>
              <w:rPr>
                <w:spacing w:val="12"/>
                <w:sz w:val="21"/>
              </w:rPr>
              <w:t>增加了安慰剂制剂中使用的辅</w:t>
            </w:r>
            <w:r>
              <w:rPr>
                <w:spacing w:val="-2"/>
                <w:sz w:val="21"/>
              </w:rPr>
              <w:t>料的详细信息。</w:t>
            </w:r>
          </w:p>
        </w:tc>
      </w:tr>
      <w:tr>
        <w:trPr>
          <w:trHeight w:val="1713" w:hRule="atLeast"/>
        </w:trPr>
        <w:tc>
          <w:tcPr>
            <w:tcW w:w="2428" w:type="dxa"/>
          </w:tcPr>
          <w:p>
            <w:pPr>
              <w:pStyle w:val="TableParagraph"/>
              <w:spacing w:line="276" w:lineRule="auto" w:before="36"/>
              <w:ind w:left="107" w:right="97"/>
              <w:rPr>
                <w:sz w:val="21"/>
              </w:rPr>
            </w:pPr>
            <w:r>
              <w:rPr>
                <w:spacing w:val="-22"/>
                <w:sz w:val="21"/>
              </w:rPr>
              <w:t>第 </w:t>
            </w:r>
            <w:r>
              <w:rPr>
                <w:rFonts w:ascii="Times New Roman" w:eastAsia="Times New Roman"/>
                <w:sz w:val="21"/>
              </w:rPr>
              <w:t>6.1.2</w:t>
            </w:r>
            <w:r>
              <w:rPr>
                <w:rFonts w:ascii="Times New Roman" w:eastAsia="Times New Roman"/>
                <w:spacing w:val="-14"/>
                <w:sz w:val="21"/>
              </w:rPr>
              <w:t> </w:t>
            </w:r>
            <w:r>
              <w:rPr>
                <w:sz w:val="21"/>
              </w:rPr>
              <w:t>节，研究药物给</w:t>
            </w:r>
            <w:r>
              <w:rPr>
                <w:spacing w:val="-2"/>
                <w:sz w:val="21"/>
              </w:rPr>
              <w:t>药的重新安排</w:t>
            </w:r>
          </w:p>
        </w:tc>
        <w:tc>
          <w:tcPr>
            <w:tcW w:w="3184" w:type="dxa"/>
          </w:tcPr>
          <w:p>
            <w:pPr>
              <w:pStyle w:val="TableParagraph"/>
              <w:spacing w:before="36"/>
              <w:ind w:left="106" w:right="96"/>
              <w:jc w:val="both"/>
              <w:rPr>
                <w:sz w:val="21"/>
              </w:rPr>
            </w:pPr>
            <w:r>
              <w:rPr>
                <w:spacing w:val="-3"/>
                <w:sz w:val="21"/>
              </w:rPr>
              <w:t>修订以指出如果受试者连续 </w:t>
            </w:r>
            <w:r>
              <w:rPr>
                <w:rFonts w:ascii="Times New Roman" w:eastAsia="Times New Roman"/>
                <w:sz w:val="21"/>
              </w:rPr>
              <w:t>3</w:t>
            </w:r>
            <w:r>
              <w:rPr>
                <w:rFonts w:ascii="Times New Roman" w:eastAsia="Times New Roman"/>
                <w:spacing w:val="-13"/>
                <w:sz w:val="21"/>
              </w:rPr>
              <w:t> </w:t>
            </w:r>
            <w:r>
              <w:rPr>
                <w:sz w:val="21"/>
              </w:rPr>
              <w:t>次</w:t>
            </w:r>
            <w:r>
              <w:rPr>
                <w:spacing w:val="-14"/>
                <w:sz w:val="21"/>
              </w:rPr>
              <w:t>或 </w:t>
            </w:r>
            <w:r>
              <w:rPr>
                <w:rFonts w:ascii="Times New Roman" w:eastAsia="Times New Roman"/>
                <w:spacing w:val="-4"/>
                <w:sz w:val="21"/>
              </w:rPr>
              <w:t>3</w:t>
            </w:r>
            <w:r>
              <w:rPr>
                <w:rFonts w:ascii="Times New Roman" w:eastAsia="Times New Roman"/>
                <w:spacing w:val="-9"/>
                <w:sz w:val="21"/>
              </w:rPr>
              <w:t> </w:t>
            </w:r>
            <w:r>
              <w:rPr>
                <w:spacing w:val="-7"/>
                <w:sz w:val="21"/>
              </w:rPr>
              <w:t>次以上漏用 </w:t>
            </w:r>
            <w:r>
              <w:rPr>
                <w:rFonts w:ascii="Times New Roman" w:eastAsia="Times New Roman"/>
                <w:spacing w:val="-4"/>
                <w:sz w:val="21"/>
              </w:rPr>
              <w:t>IP</w:t>
            </w:r>
            <w:r>
              <w:rPr>
                <w:spacing w:val="-4"/>
                <w:sz w:val="21"/>
              </w:rPr>
              <w:t>，研究中心必</w:t>
            </w:r>
            <w:r>
              <w:rPr>
                <w:spacing w:val="-6"/>
                <w:sz w:val="21"/>
              </w:rPr>
              <w:t>须与研究医生讨论继续或终止 </w:t>
            </w:r>
            <w:r>
              <w:rPr>
                <w:rFonts w:ascii="Times New Roman" w:eastAsia="Times New Roman"/>
                <w:spacing w:val="-4"/>
                <w:sz w:val="21"/>
              </w:rPr>
              <w:t>IP</w:t>
            </w:r>
            <w:r>
              <w:rPr>
                <w:spacing w:val="-2"/>
                <w:sz w:val="21"/>
              </w:rPr>
              <w:t>治疗是否符合其最佳利益，而不是要求受试者永久终止治疗。</w:t>
            </w:r>
          </w:p>
        </w:tc>
        <w:tc>
          <w:tcPr>
            <w:tcW w:w="3145" w:type="dxa"/>
          </w:tcPr>
          <w:p>
            <w:pPr>
              <w:pStyle w:val="TableParagraph"/>
              <w:spacing w:before="36"/>
              <w:ind w:left="107" w:right="91"/>
              <w:jc w:val="both"/>
              <w:rPr>
                <w:sz w:val="21"/>
              </w:rPr>
            </w:pPr>
            <w:r>
              <w:rPr>
                <w:spacing w:val="12"/>
                <w:sz w:val="21"/>
              </w:rPr>
              <w:t>在特应性皮炎和哮喘患者中进</w:t>
            </w:r>
            <w:r>
              <w:rPr>
                <w:spacing w:val="8"/>
                <w:sz w:val="21"/>
              </w:rPr>
              <w:t>行的</w:t>
            </w:r>
            <w:r>
              <w:rPr>
                <w:rFonts w:ascii="Times New Roman" w:eastAsia="Times New Roman"/>
                <w:sz w:val="21"/>
              </w:rPr>
              <w:t>II</w:t>
            </w:r>
            <w:r>
              <w:rPr>
                <w:rFonts w:ascii="Times New Roman" w:eastAsia="Times New Roman"/>
                <w:spacing w:val="-14"/>
                <w:sz w:val="21"/>
              </w:rPr>
              <w:t> </w:t>
            </w:r>
            <w:r>
              <w:rPr>
                <w:sz w:val="21"/>
              </w:rPr>
              <w:t>期项目表明，</w:t>
            </w:r>
            <w:r>
              <w:rPr>
                <w:rFonts w:ascii="Times New Roman" w:eastAsia="Times New Roman"/>
                <w:sz w:val="21"/>
              </w:rPr>
              <w:t>tozorakimab</w:t>
            </w:r>
            <w:r>
              <w:rPr>
                <w:spacing w:val="12"/>
                <w:sz w:val="21"/>
              </w:rPr>
              <w:t>具有低免疫原性特征。因此，</w:t>
            </w:r>
            <w:r>
              <w:rPr>
                <w:spacing w:val="-7"/>
                <w:sz w:val="21"/>
              </w:rPr>
              <w:t>现在认为漏用药物 </w:t>
            </w:r>
            <w:r>
              <w:rPr>
                <w:rFonts w:ascii="Times New Roman" w:eastAsia="Times New Roman"/>
                <w:spacing w:val="-4"/>
                <w:sz w:val="21"/>
              </w:rPr>
              <w:t>3</w:t>
            </w:r>
            <w:r>
              <w:rPr>
                <w:rFonts w:ascii="Times New Roman" w:eastAsia="Times New Roman"/>
                <w:spacing w:val="-9"/>
                <w:sz w:val="21"/>
              </w:rPr>
              <w:t> </w:t>
            </w:r>
            <w:r>
              <w:rPr>
                <w:spacing w:val="-10"/>
                <w:sz w:val="21"/>
              </w:rPr>
              <w:t>次或 </w:t>
            </w:r>
            <w:r>
              <w:rPr>
                <w:rFonts w:ascii="Times New Roman" w:eastAsia="Times New Roman"/>
                <w:spacing w:val="-4"/>
                <w:sz w:val="21"/>
              </w:rPr>
              <w:t>3</w:t>
            </w:r>
            <w:r>
              <w:rPr>
                <w:rFonts w:ascii="Times New Roman" w:eastAsia="Times New Roman"/>
                <w:spacing w:val="-9"/>
                <w:sz w:val="21"/>
              </w:rPr>
              <w:t> </w:t>
            </w:r>
            <w:r>
              <w:rPr>
                <w:spacing w:val="-4"/>
                <w:sz w:val="21"/>
              </w:rPr>
              <w:t>次以</w:t>
            </w:r>
            <w:r>
              <w:rPr>
                <w:sz w:val="21"/>
              </w:rPr>
              <w:t>上后重新开始 </w:t>
            </w:r>
            <w:r>
              <w:rPr>
                <w:rFonts w:ascii="Times New Roman" w:eastAsia="Times New Roman"/>
                <w:sz w:val="21"/>
              </w:rPr>
              <w:t>IP </w:t>
            </w:r>
            <w:r>
              <w:rPr>
                <w:sz w:val="21"/>
              </w:rPr>
              <w:t>治疗的风险较</w:t>
            </w:r>
            <w:r>
              <w:rPr>
                <w:spacing w:val="-6"/>
                <w:sz w:val="21"/>
              </w:rPr>
              <w:t>低。</w:t>
            </w:r>
          </w:p>
        </w:tc>
      </w:tr>
      <w:tr>
        <w:trPr>
          <w:trHeight w:val="624" w:hRule="atLeast"/>
        </w:trPr>
        <w:tc>
          <w:tcPr>
            <w:tcW w:w="2428" w:type="dxa"/>
          </w:tcPr>
          <w:p>
            <w:pPr>
              <w:pStyle w:val="TableParagraph"/>
              <w:spacing w:before="39"/>
              <w:ind w:left="107"/>
              <w:rPr>
                <w:sz w:val="21"/>
              </w:rPr>
            </w:pPr>
            <w:r>
              <w:rPr>
                <w:spacing w:val="-27"/>
                <w:sz w:val="21"/>
              </w:rPr>
              <w:t>第 </w:t>
            </w:r>
            <w:r>
              <w:rPr>
                <w:rFonts w:ascii="Times New Roman" w:eastAsia="Times New Roman"/>
                <w:sz w:val="21"/>
              </w:rPr>
              <w:t>6.2.2.1</w:t>
            </w:r>
            <w:r>
              <w:rPr>
                <w:rFonts w:ascii="Times New Roman" w:eastAsia="Times New Roman"/>
                <w:spacing w:val="-12"/>
                <w:sz w:val="21"/>
              </w:rPr>
              <w:t> </w:t>
            </w:r>
            <w:r>
              <w:rPr>
                <w:spacing w:val="-3"/>
                <w:sz w:val="21"/>
              </w:rPr>
              <w:t>节，制备</w:t>
            </w:r>
          </w:p>
        </w:tc>
        <w:tc>
          <w:tcPr>
            <w:tcW w:w="3184" w:type="dxa"/>
          </w:tcPr>
          <w:p>
            <w:pPr>
              <w:pStyle w:val="TableParagraph"/>
              <w:spacing w:before="38"/>
              <w:ind w:left="106" w:right="97"/>
              <w:rPr>
                <w:sz w:val="21"/>
              </w:rPr>
            </w:pPr>
            <w:r>
              <w:rPr>
                <w:spacing w:val="-4"/>
                <w:sz w:val="21"/>
              </w:rPr>
              <w:t>删除了不适用于 </w:t>
            </w:r>
            <w:r>
              <w:rPr>
                <w:rFonts w:ascii="Times New Roman" w:eastAsia="Times New Roman"/>
                <w:sz w:val="21"/>
              </w:rPr>
              <w:t>APFS</w:t>
            </w:r>
            <w:r>
              <w:rPr>
                <w:rFonts w:ascii="Times New Roman" w:eastAsia="Times New Roman"/>
                <w:spacing w:val="-6"/>
                <w:sz w:val="21"/>
              </w:rPr>
              <w:t> </w:t>
            </w:r>
            <w:r>
              <w:rPr>
                <w:sz w:val="21"/>
              </w:rPr>
              <w:t>的冗余文</w:t>
            </w:r>
            <w:r>
              <w:rPr>
                <w:spacing w:val="-6"/>
                <w:sz w:val="21"/>
              </w:rPr>
              <w:t>本。</w:t>
            </w:r>
          </w:p>
        </w:tc>
        <w:tc>
          <w:tcPr>
            <w:tcW w:w="3145" w:type="dxa"/>
          </w:tcPr>
          <w:p>
            <w:pPr>
              <w:pStyle w:val="TableParagraph"/>
              <w:spacing w:before="39"/>
              <w:ind w:left="107"/>
              <w:rPr>
                <w:sz w:val="21"/>
              </w:rPr>
            </w:pPr>
            <w:r>
              <w:rPr>
                <w:spacing w:val="-2"/>
                <w:sz w:val="21"/>
              </w:rPr>
              <w:t>澄清说明。</w:t>
            </w:r>
          </w:p>
        </w:tc>
      </w:tr>
      <w:tr>
        <w:trPr>
          <w:trHeight w:val="706" w:hRule="atLeast"/>
        </w:trPr>
        <w:tc>
          <w:tcPr>
            <w:tcW w:w="2428" w:type="dxa"/>
          </w:tcPr>
          <w:p>
            <w:pPr>
              <w:pStyle w:val="TableParagraph"/>
              <w:spacing w:before="38"/>
              <w:ind w:left="107"/>
              <w:rPr>
                <w:rFonts w:ascii="Times New Roman" w:eastAsia="Times New Roman"/>
                <w:sz w:val="21"/>
              </w:rPr>
            </w:pPr>
            <w:r>
              <w:rPr>
                <w:spacing w:val="-27"/>
                <w:sz w:val="21"/>
              </w:rPr>
              <w:t>第 </w:t>
            </w:r>
            <w:r>
              <w:rPr>
                <w:rFonts w:ascii="Times New Roman" w:eastAsia="Times New Roman"/>
                <w:sz w:val="21"/>
              </w:rPr>
              <w:t>6.2.2.3</w:t>
            </w:r>
            <w:r>
              <w:rPr>
                <w:rFonts w:ascii="Times New Roman" w:eastAsia="Times New Roman"/>
                <w:spacing w:val="-12"/>
                <w:sz w:val="21"/>
              </w:rPr>
              <w:t> </w:t>
            </w:r>
            <w:r>
              <w:rPr>
                <w:spacing w:val="-11"/>
                <w:sz w:val="21"/>
              </w:rPr>
              <w:t>节，可选 </w:t>
            </w:r>
            <w:r>
              <w:rPr>
                <w:rFonts w:ascii="Times New Roman" w:eastAsia="Times New Roman"/>
                <w:spacing w:val="-5"/>
                <w:sz w:val="21"/>
              </w:rPr>
              <w:t>IP</w:t>
            </w:r>
          </w:p>
          <w:p>
            <w:pPr>
              <w:pStyle w:val="TableParagraph"/>
              <w:spacing w:before="40"/>
              <w:ind w:left="107"/>
              <w:rPr>
                <w:sz w:val="21"/>
              </w:rPr>
            </w:pPr>
            <w:r>
              <w:rPr>
                <w:spacing w:val="-3"/>
                <w:sz w:val="21"/>
              </w:rPr>
              <w:t>自行给药</w:t>
            </w:r>
          </w:p>
        </w:tc>
        <w:tc>
          <w:tcPr>
            <w:tcW w:w="3184" w:type="dxa"/>
          </w:tcPr>
          <w:p>
            <w:pPr>
              <w:pStyle w:val="TableParagraph"/>
              <w:spacing w:before="38"/>
              <w:ind w:left="106" w:right="97"/>
              <w:rPr>
                <w:sz w:val="21"/>
              </w:rPr>
            </w:pPr>
            <w:r>
              <w:rPr>
                <w:spacing w:val="1"/>
                <w:sz w:val="21"/>
              </w:rPr>
              <w:t>增加文本，即一次提供一个</w:t>
            </w:r>
            <w:r>
              <w:rPr>
                <w:rFonts w:ascii="Times New Roman" w:eastAsia="Times New Roman"/>
                <w:sz w:val="21"/>
              </w:rPr>
              <w:t>IP</w:t>
            </w:r>
            <w:r>
              <w:rPr>
                <w:rFonts w:ascii="Times New Roman" w:eastAsia="Times New Roman"/>
                <w:spacing w:val="-31"/>
                <w:sz w:val="21"/>
              </w:rPr>
              <w:t> </w:t>
            </w:r>
            <w:r>
              <w:rPr>
                <w:sz w:val="21"/>
              </w:rPr>
              <w:t>药</w:t>
            </w:r>
            <w:r>
              <w:rPr>
                <w:spacing w:val="-2"/>
                <w:sz w:val="21"/>
              </w:rPr>
              <w:t>盒，用于后续远程访视。</w:t>
            </w:r>
          </w:p>
        </w:tc>
        <w:tc>
          <w:tcPr>
            <w:tcW w:w="3145" w:type="dxa"/>
          </w:tcPr>
          <w:p>
            <w:pPr>
              <w:pStyle w:val="TableParagraph"/>
              <w:spacing w:before="39"/>
              <w:ind w:left="107"/>
              <w:rPr>
                <w:sz w:val="21"/>
              </w:rPr>
            </w:pPr>
            <w:r>
              <w:rPr>
                <w:spacing w:val="-2"/>
                <w:sz w:val="21"/>
              </w:rPr>
              <w:t>澄清说明。</w:t>
            </w:r>
          </w:p>
        </w:tc>
      </w:tr>
      <w:tr>
        <w:trPr>
          <w:trHeight w:val="624" w:hRule="atLeast"/>
        </w:trPr>
        <w:tc>
          <w:tcPr>
            <w:tcW w:w="2428" w:type="dxa"/>
            <w:vMerge w:val="restart"/>
          </w:tcPr>
          <w:p>
            <w:pPr>
              <w:pStyle w:val="TableParagraph"/>
              <w:spacing w:line="276" w:lineRule="auto" w:before="38"/>
              <w:ind w:left="107" w:right="113"/>
              <w:rPr>
                <w:sz w:val="21"/>
              </w:rPr>
            </w:pPr>
            <w:r>
              <w:rPr>
                <w:spacing w:val="-28"/>
                <w:sz w:val="21"/>
              </w:rPr>
              <w:t>第 </w:t>
            </w:r>
            <w:r>
              <w:rPr>
                <w:rFonts w:ascii="Times New Roman" w:eastAsia="Times New Roman"/>
                <w:spacing w:val="-2"/>
                <w:sz w:val="21"/>
              </w:rPr>
              <w:t>6.3.2</w:t>
            </w:r>
            <w:r>
              <w:rPr>
                <w:rFonts w:ascii="Times New Roman" w:eastAsia="Times New Roman"/>
                <w:spacing w:val="-12"/>
                <w:sz w:val="21"/>
              </w:rPr>
              <w:t> </w:t>
            </w:r>
            <w:r>
              <w:rPr>
                <w:spacing w:val="-2"/>
                <w:sz w:val="21"/>
              </w:rPr>
              <w:t>节，确保盲态方</w:t>
            </w:r>
            <w:r>
              <w:rPr>
                <w:spacing w:val="-10"/>
                <w:sz w:val="21"/>
              </w:rPr>
              <w:t>法</w:t>
            </w:r>
          </w:p>
        </w:tc>
        <w:tc>
          <w:tcPr>
            <w:tcW w:w="3184" w:type="dxa"/>
          </w:tcPr>
          <w:p>
            <w:pPr>
              <w:pStyle w:val="TableParagraph"/>
              <w:spacing w:before="38"/>
              <w:ind w:left="106" w:right="100"/>
              <w:rPr>
                <w:sz w:val="21"/>
              </w:rPr>
            </w:pPr>
            <w:r>
              <w:rPr>
                <w:spacing w:val="-2"/>
                <w:sz w:val="21"/>
              </w:rPr>
              <w:t>增加了关于阿斯利康揭盲主要报告的声明。</w:t>
            </w:r>
          </w:p>
        </w:tc>
        <w:tc>
          <w:tcPr>
            <w:tcW w:w="3145" w:type="dxa"/>
          </w:tcPr>
          <w:p>
            <w:pPr>
              <w:pStyle w:val="TableParagraph"/>
              <w:spacing w:before="38"/>
              <w:ind w:left="107" w:right="98"/>
              <w:rPr>
                <w:sz w:val="21"/>
              </w:rPr>
            </w:pPr>
            <w:r>
              <w:rPr>
                <w:spacing w:val="12"/>
                <w:sz w:val="21"/>
              </w:rPr>
              <w:t>进一步规定确保盲态和试验完</w:t>
            </w:r>
            <w:r>
              <w:rPr>
                <w:spacing w:val="-2"/>
                <w:sz w:val="21"/>
              </w:rPr>
              <w:t>整性的方法。</w:t>
            </w:r>
          </w:p>
        </w:tc>
      </w:tr>
      <w:tr>
        <w:trPr>
          <w:trHeight w:val="897" w:hRule="atLeast"/>
        </w:trPr>
        <w:tc>
          <w:tcPr>
            <w:tcW w:w="2428" w:type="dxa"/>
            <w:vMerge/>
            <w:tcBorders>
              <w:top w:val="nil"/>
            </w:tcBorders>
          </w:tcPr>
          <w:p>
            <w:pPr>
              <w:rPr>
                <w:sz w:val="2"/>
                <w:szCs w:val="2"/>
              </w:rPr>
            </w:pPr>
          </w:p>
        </w:tc>
        <w:tc>
          <w:tcPr>
            <w:tcW w:w="3184" w:type="dxa"/>
          </w:tcPr>
          <w:p>
            <w:pPr>
              <w:pStyle w:val="TableParagraph"/>
              <w:spacing w:before="36"/>
              <w:ind w:left="106" w:right="98"/>
              <w:jc w:val="both"/>
              <w:rPr>
                <w:sz w:val="21"/>
              </w:rPr>
            </w:pPr>
            <w:r>
              <w:rPr>
                <w:spacing w:val="-2"/>
                <w:sz w:val="21"/>
              </w:rPr>
              <w:t>添加文本，以澄清研究中心将知</w:t>
            </w:r>
            <w:r>
              <w:rPr>
                <w:sz w:val="21"/>
              </w:rPr>
              <w:t>晓患者是在研究中心关闭 </w:t>
            </w:r>
            <w:r>
              <w:rPr>
                <w:rFonts w:ascii="Times New Roman" w:eastAsia="Times New Roman"/>
                <w:sz w:val="21"/>
              </w:rPr>
              <w:t>Q8W</w:t>
            </w:r>
            <w:r>
              <w:rPr>
                <w:spacing w:val="-2"/>
                <w:sz w:val="21"/>
              </w:rPr>
              <w:t>组之前还是之后招募的。</w:t>
            </w:r>
          </w:p>
        </w:tc>
        <w:tc>
          <w:tcPr>
            <w:tcW w:w="3145" w:type="dxa"/>
          </w:tcPr>
          <w:p>
            <w:pPr>
              <w:pStyle w:val="TableParagraph"/>
              <w:spacing w:before="38"/>
              <w:ind w:left="107"/>
              <w:rPr>
                <w:sz w:val="21"/>
              </w:rPr>
            </w:pPr>
            <w:r>
              <w:rPr>
                <w:spacing w:val="-2"/>
                <w:sz w:val="21"/>
              </w:rPr>
              <w:t>澄清说明。</w:t>
            </w:r>
          </w:p>
        </w:tc>
      </w:tr>
      <w:tr>
        <w:trPr>
          <w:trHeight w:val="624" w:hRule="atLeast"/>
        </w:trPr>
        <w:tc>
          <w:tcPr>
            <w:tcW w:w="2428" w:type="dxa"/>
            <w:vMerge/>
            <w:tcBorders>
              <w:top w:val="nil"/>
            </w:tcBorders>
          </w:tcPr>
          <w:p>
            <w:pPr>
              <w:rPr>
                <w:sz w:val="2"/>
                <w:szCs w:val="2"/>
              </w:rPr>
            </w:pPr>
          </w:p>
        </w:tc>
        <w:tc>
          <w:tcPr>
            <w:tcW w:w="3184" w:type="dxa"/>
          </w:tcPr>
          <w:p>
            <w:pPr>
              <w:pStyle w:val="TableParagraph"/>
              <w:spacing w:before="36"/>
              <w:ind w:left="106" w:right="97"/>
              <w:rPr>
                <w:sz w:val="21"/>
              </w:rPr>
            </w:pPr>
            <w:r>
              <w:rPr>
                <w:spacing w:val="5"/>
                <w:sz w:val="21"/>
              </w:rPr>
              <w:t>有关揭盲</w:t>
            </w:r>
            <w:r>
              <w:rPr>
                <w:rFonts w:ascii="Times New Roman" w:eastAsia="Times New Roman"/>
                <w:sz w:val="21"/>
              </w:rPr>
              <w:t>IP</w:t>
            </w:r>
            <w:r>
              <w:rPr>
                <w:rFonts w:ascii="Times New Roman" w:eastAsia="Times New Roman"/>
                <w:spacing w:val="-31"/>
                <w:sz w:val="21"/>
              </w:rPr>
              <w:t> </w:t>
            </w:r>
            <w:r>
              <w:rPr>
                <w:sz w:val="21"/>
              </w:rPr>
              <w:t>记录的文本不适用于 </w:t>
            </w:r>
            <w:r>
              <w:rPr>
                <w:rFonts w:ascii="Times New Roman" w:eastAsia="Times New Roman"/>
                <w:spacing w:val="-2"/>
                <w:sz w:val="21"/>
              </w:rPr>
              <w:t>PROSPERO</w:t>
            </w:r>
            <w:r>
              <w:rPr>
                <w:spacing w:val="-2"/>
                <w:sz w:val="21"/>
              </w:rPr>
              <w:t>，已被删除。</w:t>
            </w:r>
          </w:p>
        </w:tc>
        <w:tc>
          <w:tcPr>
            <w:tcW w:w="3145" w:type="dxa"/>
          </w:tcPr>
          <w:p>
            <w:pPr>
              <w:pStyle w:val="TableParagraph"/>
              <w:spacing w:before="38"/>
              <w:ind w:left="107"/>
              <w:rPr>
                <w:sz w:val="21"/>
              </w:rPr>
            </w:pPr>
            <w:r>
              <w:rPr>
                <w:spacing w:val="-2"/>
                <w:sz w:val="21"/>
              </w:rPr>
              <w:t>澄清说明。</w:t>
            </w:r>
          </w:p>
        </w:tc>
      </w:tr>
      <w:tr>
        <w:trPr>
          <w:trHeight w:val="897" w:hRule="atLeast"/>
        </w:trPr>
        <w:tc>
          <w:tcPr>
            <w:tcW w:w="2428" w:type="dxa"/>
          </w:tcPr>
          <w:p>
            <w:pPr>
              <w:pStyle w:val="TableParagraph"/>
              <w:spacing w:before="38"/>
              <w:ind w:left="107"/>
              <w:rPr>
                <w:sz w:val="21"/>
              </w:rPr>
            </w:pPr>
            <w:r>
              <w:rPr>
                <w:spacing w:val="-28"/>
                <w:sz w:val="21"/>
              </w:rPr>
              <w:t>第 </w:t>
            </w:r>
            <w:r>
              <w:rPr>
                <w:rFonts w:ascii="Times New Roman" w:eastAsia="Times New Roman"/>
                <w:sz w:val="21"/>
              </w:rPr>
              <w:t>6.3.3</w:t>
            </w:r>
            <w:r>
              <w:rPr>
                <w:rFonts w:ascii="Times New Roman" w:eastAsia="Times New Roman"/>
                <w:spacing w:val="-11"/>
                <w:sz w:val="21"/>
              </w:rPr>
              <w:t> </w:t>
            </w:r>
            <w:r>
              <w:rPr>
                <w:spacing w:val="-2"/>
                <w:sz w:val="21"/>
              </w:rPr>
              <w:t>节，揭盲方法</w:t>
            </w:r>
          </w:p>
        </w:tc>
        <w:tc>
          <w:tcPr>
            <w:tcW w:w="3184" w:type="dxa"/>
          </w:tcPr>
          <w:p>
            <w:pPr>
              <w:pStyle w:val="TableParagraph"/>
              <w:spacing w:before="36"/>
              <w:ind w:left="106" w:right="97"/>
              <w:jc w:val="both"/>
              <w:rPr>
                <w:sz w:val="21"/>
              </w:rPr>
            </w:pPr>
            <w:r>
              <w:rPr>
                <w:spacing w:val="-2"/>
                <w:sz w:val="21"/>
              </w:rPr>
              <w:t>更新文本，以阐明研究者将通过 </w:t>
            </w:r>
            <w:r>
              <w:rPr>
                <w:rFonts w:ascii="Times New Roman" w:eastAsia="Times New Roman"/>
                <w:sz w:val="21"/>
              </w:rPr>
              <w:t>RTSM</w:t>
            </w:r>
            <w:r>
              <w:rPr>
                <w:rFonts w:ascii="Times New Roman" w:eastAsia="Times New Roman"/>
                <w:spacing w:val="-4"/>
                <w:sz w:val="21"/>
              </w:rPr>
              <w:t> </w:t>
            </w:r>
            <w:r>
              <w:rPr>
                <w:sz w:val="21"/>
              </w:rPr>
              <w:t>获得代表每例随机化受试</w:t>
            </w:r>
            <w:r>
              <w:rPr>
                <w:spacing w:val="-2"/>
                <w:sz w:val="21"/>
              </w:rPr>
              <w:t>者随机分配治疗的信息。</w:t>
            </w:r>
          </w:p>
        </w:tc>
        <w:tc>
          <w:tcPr>
            <w:tcW w:w="3145" w:type="dxa"/>
          </w:tcPr>
          <w:p>
            <w:pPr>
              <w:pStyle w:val="TableParagraph"/>
              <w:spacing w:before="38"/>
              <w:ind w:left="107"/>
              <w:rPr>
                <w:sz w:val="21"/>
              </w:rPr>
            </w:pPr>
            <w:r>
              <w:rPr>
                <w:spacing w:val="-2"/>
                <w:sz w:val="21"/>
              </w:rPr>
              <w:t>澄清说明。</w:t>
            </w:r>
          </w:p>
        </w:tc>
      </w:tr>
      <w:tr>
        <w:trPr>
          <w:trHeight w:val="897" w:hRule="atLeast"/>
        </w:trPr>
        <w:tc>
          <w:tcPr>
            <w:tcW w:w="2428" w:type="dxa"/>
          </w:tcPr>
          <w:p>
            <w:pPr>
              <w:pStyle w:val="TableParagraph"/>
              <w:spacing w:before="38"/>
              <w:ind w:left="107"/>
              <w:rPr>
                <w:sz w:val="21"/>
              </w:rPr>
            </w:pPr>
            <w:r>
              <w:rPr>
                <w:spacing w:val="-27"/>
                <w:sz w:val="21"/>
              </w:rPr>
              <w:t>第 </w:t>
            </w:r>
            <w:r>
              <w:rPr>
                <w:rFonts w:ascii="Times New Roman" w:eastAsia="Times New Roman"/>
                <w:sz w:val="21"/>
              </w:rPr>
              <w:t>6.5</w:t>
            </w:r>
            <w:r>
              <w:rPr>
                <w:rFonts w:ascii="Times New Roman" w:eastAsia="Times New Roman"/>
                <w:spacing w:val="-12"/>
                <w:sz w:val="21"/>
              </w:rPr>
              <w:t> </w:t>
            </w:r>
            <w:r>
              <w:rPr>
                <w:spacing w:val="-2"/>
                <w:sz w:val="21"/>
              </w:rPr>
              <w:t>节，合并治疗</w:t>
            </w:r>
          </w:p>
        </w:tc>
        <w:tc>
          <w:tcPr>
            <w:tcW w:w="3184" w:type="dxa"/>
          </w:tcPr>
          <w:p>
            <w:pPr>
              <w:pStyle w:val="TableParagraph"/>
              <w:spacing w:before="36"/>
              <w:ind w:left="106" w:right="97"/>
              <w:jc w:val="both"/>
              <w:rPr>
                <w:sz w:val="21"/>
              </w:rPr>
            </w:pPr>
            <w:r>
              <w:rPr>
                <w:spacing w:val="-4"/>
                <w:sz w:val="21"/>
              </w:rPr>
              <w:t>补充说明，适用于 </w:t>
            </w:r>
            <w:r>
              <w:rPr>
                <w:rFonts w:ascii="Times New Roman" w:eastAsia="Times New Roman"/>
                <w:sz w:val="21"/>
              </w:rPr>
              <w:t>EU</w:t>
            </w:r>
            <w:r>
              <w:rPr>
                <w:rFonts w:ascii="Times New Roman" w:eastAsia="Times New Roman"/>
                <w:spacing w:val="-13"/>
                <w:sz w:val="21"/>
              </w:rPr>
              <w:t> </w:t>
            </w:r>
            <w:r>
              <w:rPr>
                <w:rFonts w:ascii="Times New Roman" w:eastAsia="Times New Roman"/>
                <w:sz w:val="21"/>
              </w:rPr>
              <w:t>CTR</w:t>
            </w:r>
            <w:r>
              <w:rPr>
                <w:rFonts w:ascii="Times New Roman" w:eastAsia="Times New Roman"/>
                <w:spacing w:val="-13"/>
                <w:sz w:val="21"/>
              </w:rPr>
              <w:t> </w:t>
            </w:r>
            <w:r>
              <w:rPr>
                <w:sz w:val="21"/>
              </w:rPr>
              <w:t>的辅</w:t>
            </w:r>
            <w:r>
              <w:rPr>
                <w:spacing w:val="-2"/>
                <w:sz w:val="21"/>
              </w:rPr>
              <w:t>助药品的国家特定要求交叉引用</w:t>
            </w:r>
            <w:r>
              <w:rPr>
                <w:spacing w:val="-15"/>
                <w:sz w:val="21"/>
              </w:rPr>
              <w:t>附录 </w:t>
            </w:r>
            <w:r>
              <w:rPr>
                <w:rFonts w:ascii="Times New Roman" w:eastAsia="Times New Roman"/>
                <w:sz w:val="21"/>
              </w:rPr>
              <w:t>J</w:t>
            </w:r>
            <w:r>
              <w:rPr>
                <w:sz w:val="21"/>
              </w:rPr>
              <w:t>。</w:t>
            </w:r>
          </w:p>
        </w:tc>
        <w:tc>
          <w:tcPr>
            <w:tcW w:w="3145" w:type="dxa"/>
          </w:tcPr>
          <w:p>
            <w:pPr>
              <w:pStyle w:val="TableParagraph"/>
              <w:spacing w:line="273" w:lineRule="exact" w:before="36"/>
              <w:ind w:left="107"/>
              <w:rPr>
                <w:sz w:val="21"/>
              </w:rPr>
            </w:pPr>
            <w:r>
              <w:rPr>
                <w:spacing w:val="-13"/>
                <w:sz w:val="21"/>
              </w:rPr>
              <w:t>修 订 以 符 合 </w:t>
            </w:r>
            <w:r>
              <w:rPr>
                <w:rFonts w:ascii="Times New Roman" w:eastAsia="Times New Roman"/>
                <w:sz w:val="21"/>
              </w:rPr>
              <w:t>EU</w:t>
            </w:r>
            <w:r>
              <w:rPr>
                <w:rFonts w:ascii="Times New Roman" w:eastAsia="Times New Roman"/>
                <w:spacing w:val="61"/>
                <w:w w:val="150"/>
                <w:sz w:val="21"/>
              </w:rPr>
              <w:t> </w:t>
            </w:r>
            <w:r>
              <w:rPr>
                <w:rFonts w:ascii="Times New Roman" w:eastAsia="Times New Roman"/>
                <w:sz w:val="21"/>
              </w:rPr>
              <w:t>CTR</w:t>
            </w:r>
            <w:r>
              <w:rPr>
                <w:rFonts w:ascii="Times New Roman" w:eastAsia="Times New Roman"/>
                <w:spacing w:val="66"/>
                <w:w w:val="150"/>
                <w:sz w:val="21"/>
              </w:rPr>
              <w:t> </w:t>
            </w:r>
            <w:r>
              <w:rPr>
                <w:spacing w:val="26"/>
                <w:sz w:val="21"/>
              </w:rPr>
              <w:t>法规</w:t>
            </w:r>
            <w:r>
              <w:rPr>
                <w:spacing w:val="-10"/>
                <w:sz w:val="21"/>
              </w:rPr>
              <w:t> </w:t>
            </w:r>
          </w:p>
          <w:p>
            <w:pPr>
              <w:pStyle w:val="TableParagraph"/>
              <w:spacing w:line="273" w:lineRule="exact"/>
              <w:ind w:left="3"/>
              <w:rPr>
                <w:sz w:val="21"/>
              </w:rPr>
            </w:pPr>
            <w:r>
              <w:rPr>
                <w:sz w:val="21"/>
              </w:rPr>
              <w:t>（</w:t>
            </w:r>
            <w:r>
              <w:rPr>
                <w:rFonts w:ascii="Times New Roman" w:eastAsia="Times New Roman"/>
                <w:sz w:val="21"/>
              </w:rPr>
              <w:t>EU</w:t>
            </w:r>
            <w:r>
              <w:rPr>
                <w:sz w:val="21"/>
              </w:rPr>
              <w:t>）</w:t>
            </w:r>
            <w:r>
              <w:rPr>
                <w:spacing w:val="-27"/>
                <w:sz w:val="21"/>
              </w:rPr>
              <w:t>第 </w:t>
            </w:r>
            <w:r>
              <w:rPr>
                <w:rFonts w:ascii="Times New Roman" w:eastAsia="Times New Roman"/>
                <w:sz w:val="21"/>
              </w:rPr>
              <w:t>536/2014</w:t>
            </w:r>
            <w:r>
              <w:rPr>
                <w:rFonts w:ascii="Times New Roman" w:eastAsia="Times New Roman"/>
                <w:spacing w:val="-13"/>
                <w:sz w:val="21"/>
              </w:rPr>
              <w:t> </w:t>
            </w:r>
            <w:r>
              <w:rPr>
                <w:spacing w:val="-3"/>
                <w:sz w:val="21"/>
              </w:rPr>
              <w:t>号要求。</w:t>
            </w:r>
          </w:p>
        </w:tc>
      </w:tr>
      <w:tr>
        <w:trPr>
          <w:trHeight w:val="1481" w:hRule="atLeast"/>
        </w:trPr>
        <w:tc>
          <w:tcPr>
            <w:tcW w:w="2428" w:type="dxa"/>
          </w:tcPr>
          <w:p>
            <w:pPr>
              <w:pStyle w:val="TableParagraph"/>
              <w:spacing w:before="38"/>
              <w:ind w:left="107"/>
              <w:rPr>
                <w:sz w:val="21"/>
              </w:rPr>
            </w:pPr>
            <w:r>
              <w:rPr>
                <w:spacing w:val="-28"/>
                <w:sz w:val="21"/>
              </w:rPr>
              <w:t>第 </w:t>
            </w:r>
            <w:r>
              <w:rPr>
                <w:rFonts w:ascii="Times New Roman" w:eastAsia="Times New Roman"/>
                <w:sz w:val="21"/>
              </w:rPr>
              <w:t>6.5.2</w:t>
            </w:r>
            <w:r>
              <w:rPr>
                <w:rFonts w:ascii="Times New Roman" w:eastAsia="Times New Roman"/>
                <w:spacing w:val="-11"/>
                <w:sz w:val="21"/>
              </w:rPr>
              <w:t> </w:t>
            </w:r>
            <w:r>
              <w:rPr>
                <w:spacing w:val="-2"/>
                <w:sz w:val="21"/>
              </w:rPr>
              <w:t>节，维持治疗</w:t>
            </w:r>
          </w:p>
        </w:tc>
        <w:tc>
          <w:tcPr>
            <w:tcW w:w="3184" w:type="dxa"/>
          </w:tcPr>
          <w:p>
            <w:pPr>
              <w:pStyle w:val="TableParagraph"/>
              <w:spacing w:line="273" w:lineRule="exact" w:before="36"/>
              <w:ind w:left="106"/>
              <w:rPr>
                <w:sz w:val="21"/>
              </w:rPr>
            </w:pPr>
            <w:r>
              <w:rPr>
                <w:spacing w:val="-7"/>
                <w:sz w:val="21"/>
              </w:rPr>
              <w:t>更新以澄清哪些 </w:t>
            </w:r>
            <w:r>
              <w:rPr>
                <w:rFonts w:ascii="Times New Roman" w:eastAsia="Times New Roman"/>
                <w:sz w:val="21"/>
              </w:rPr>
              <w:t>COPD</w:t>
            </w:r>
            <w:r>
              <w:rPr>
                <w:rFonts w:ascii="Times New Roman" w:eastAsia="Times New Roman"/>
                <w:spacing w:val="-12"/>
                <w:sz w:val="21"/>
              </w:rPr>
              <w:t> </w:t>
            </w:r>
            <w:r>
              <w:rPr>
                <w:spacing w:val="-3"/>
                <w:sz w:val="21"/>
              </w:rPr>
              <w:t>维持治疗</w:t>
            </w:r>
          </w:p>
          <w:p>
            <w:pPr>
              <w:pStyle w:val="TableParagraph"/>
              <w:ind w:left="106" w:right="98" w:hanging="105"/>
              <w:rPr>
                <w:sz w:val="21"/>
              </w:rPr>
            </w:pPr>
            <w:r>
              <w:rPr>
                <w:spacing w:val="8"/>
                <w:sz w:val="21"/>
              </w:rPr>
              <w:t>（</w:t>
            </w:r>
            <w:r>
              <w:rPr>
                <w:spacing w:val="2"/>
                <w:sz w:val="21"/>
              </w:rPr>
              <w:t>吸入器除外</w:t>
            </w:r>
            <w:r>
              <w:rPr>
                <w:spacing w:val="8"/>
                <w:sz w:val="21"/>
              </w:rPr>
              <w:t>）</w:t>
            </w:r>
            <w:r>
              <w:rPr>
                <w:spacing w:val="3"/>
                <w:sz w:val="21"/>
              </w:rPr>
              <w:t>应在研究期间保</w:t>
            </w:r>
            <w:r>
              <w:rPr>
                <w:spacing w:val="-4"/>
                <w:sz w:val="21"/>
              </w:rPr>
              <w:t>持稳定。</w:t>
            </w:r>
          </w:p>
          <w:p>
            <w:pPr>
              <w:pStyle w:val="TableParagraph"/>
              <w:spacing w:before="38"/>
              <w:ind w:left="106" w:right="97"/>
              <w:rPr>
                <w:sz w:val="21"/>
              </w:rPr>
            </w:pPr>
            <w:r>
              <w:rPr>
                <w:spacing w:val="-11"/>
                <w:sz w:val="21"/>
              </w:rPr>
              <w:t>更新以澄清 </w:t>
            </w:r>
            <w:r>
              <w:rPr>
                <w:rFonts w:ascii="Times New Roman" w:eastAsia="Times New Roman"/>
                <w:spacing w:val="-2"/>
                <w:sz w:val="21"/>
              </w:rPr>
              <w:t>COPD</w:t>
            </w:r>
            <w:r>
              <w:rPr>
                <w:rFonts w:ascii="Times New Roman" w:eastAsia="Times New Roman"/>
                <w:spacing w:val="-12"/>
                <w:sz w:val="21"/>
              </w:rPr>
              <w:t> </w:t>
            </w:r>
            <w:r>
              <w:rPr>
                <w:spacing w:val="-2"/>
                <w:sz w:val="21"/>
              </w:rPr>
              <w:t>吸入维持治疗依从性将记录在源文件中。</w:t>
            </w:r>
          </w:p>
        </w:tc>
        <w:tc>
          <w:tcPr>
            <w:tcW w:w="3145" w:type="dxa"/>
          </w:tcPr>
          <w:p>
            <w:pPr>
              <w:pStyle w:val="TableParagraph"/>
              <w:spacing w:before="38"/>
              <w:ind w:left="107"/>
              <w:rPr>
                <w:sz w:val="21"/>
              </w:rPr>
            </w:pPr>
            <w:r>
              <w:rPr>
                <w:spacing w:val="-2"/>
                <w:sz w:val="21"/>
              </w:rPr>
              <w:t>澄清说明。</w:t>
            </w:r>
          </w:p>
        </w:tc>
      </w:tr>
      <w:tr>
        <w:trPr>
          <w:trHeight w:val="624" w:hRule="atLeast"/>
        </w:trPr>
        <w:tc>
          <w:tcPr>
            <w:tcW w:w="2428" w:type="dxa"/>
            <w:vMerge w:val="restart"/>
          </w:tcPr>
          <w:p>
            <w:pPr>
              <w:pStyle w:val="TableParagraph"/>
              <w:spacing w:before="36"/>
              <w:ind w:left="107" w:right="75"/>
              <w:jc w:val="both"/>
              <w:rPr>
                <w:sz w:val="21"/>
              </w:rPr>
            </w:pPr>
            <w:r>
              <w:rPr>
                <w:spacing w:val="-14"/>
                <w:sz w:val="21"/>
              </w:rPr>
              <w:t>第 </w:t>
            </w:r>
            <w:r>
              <w:rPr>
                <w:rFonts w:ascii="Times New Roman" w:eastAsia="Times New Roman"/>
                <w:sz w:val="21"/>
              </w:rPr>
              <w:t>6.5.4</w:t>
            </w:r>
            <w:r>
              <w:rPr>
                <w:rFonts w:ascii="Times New Roman" w:eastAsia="Times New Roman"/>
                <w:spacing w:val="6"/>
                <w:sz w:val="21"/>
              </w:rPr>
              <w:t> </w:t>
            </w:r>
            <w:r>
              <w:rPr>
                <w:spacing w:val="-3"/>
                <w:sz w:val="21"/>
              </w:rPr>
              <w:t>节， 表 </w:t>
            </w:r>
            <w:r>
              <w:rPr>
                <w:rFonts w:ascii="Times New Roman" w:eastAsia="Times New Roman"/>
                <w:sz w:val="21"/>
              </w:rPr>
              <w:t>5</w:t>
            </w:r>
            <w:r>
              <w:rPr>
                <w:rFonts w:ascii="Times New Roman" w:eastAsia="Times New Roman"/>
                <w:spacing w:val="-14"/>
                <w:sz w:val="21"/>
              </w:rPr>
              <w:t> </w:t>
            </w:r>
            <w:r>
              <w:rPr>
                <w:spacing w:val="10"/>
                <w:sz w:val="21"/>
              </w:rPr>
              <w:t>，允</w:t>
            </w:r>
            <w:r>
              <w:rPr>
                <w:spacing w:val="8"/>
                <w:sz w:val="21"/>
              </w:rPr>
              <w:t>许、限制和禁止的合并</w:t>
            </w:r>
            <w:r>
              <w:rPr>
                <w:spacing w:val="-6"/>
                <w:sz w:val="21"/>
              </w:rPr>
              <w:t>用药</w:t>
            </w:r>
          </w:p>
        </w:tc>
        <w:tc>
          <w:tcPr>
            <w:tcW w:w="3184" w:type="dxa"/>
          </w:tcPr>
          <w:p>
            <w:pPr>
              <w:pStyle w:val="TableParagraph"/>
              <w:spacing w:before="36"/>
              <w:ind w:left="106" w:right="100"/>
              <w:rPr>
                <w:sz w:val="21"/>
              </w:rPr>
            </w:pPr>
            <w:r>
              <w:rPr>
                <w:spacing w:val="-2"/>
                <w:sz w:val="21"/>
              </w:rPr>
              <w:t>将过敏原免疫治疗分类从禁止使用修订为限制使用。</w:t>
            </w:r>
          </w:p>
        </w:tc>
        <w:tc>
          <w:tcPr>
            <w:tcW w:w="3145" w:type="dxa"/>
          </w:tcPr>
          <w:p>
            <w:pPr>
              <w:pStyle w:val="TableParagraph"/>
              <w:spacing w:before="38"/>
              <w:ind w:left="107"/>
              <w:rPr>
                <w:sz w:val="21"/>
              </w:rPr>
            </w:pPr>
            <w:r>
              <w:rPr>
                <w:spacing w:val="-1"/>
                <w:sz w:val="21"/>
              </w:rPr>
              <w:t>与用药说明保持一致。</w:t>
            </w:r>
          </w:p>
        </w:tc>
      </w:tr>
      <w:tr>
        <w:trPr>
          <w:trHeight w:val="897" w:hRule="atLeast"/>
        </w:trPr>
        <w:tc>
          <w:tcPr>
            <w:tcW w:w="2428" w:type="dxa"/>
            <w:vMerge/>
            <w:tcBorders>
              <w:top w:val="nil"/>
            </w:tcBorders>
          </w:tcPr>
          <w:p>
            <w:pPr>
              <w:rPr>
                <w:sz w:val="2"/>
                <w:szCs w:val="2"/>
              </w:rPr>
            </w:pPr>
          </w:p>
        </w:tc>
        <w:tc>
          <w:tcPr>
            <w:tcW w:w="3184" w:type="dxa"/>
          </w:tcPr>
          <w:p>
            <w:pPr>
              <w:pStyle w:val="TableParagraph"/>
              <w:spacing w:before="36"/>
              <w:ind w:left="106" w:right="100"/>
              <w:rPr>
                <w:sz w:val="21"/>
              </w:rPr>
            </w:pPr>
            <w:r>
              <w:rPr>
                <w:spacing w:val="-2"/>
                <w:sz w:val="21"/>
              </w:rPr>
              <w:t>删除了不适用于本研究的关于非</w:t>
            </w:r>
            <w:r>
              <w:rPr>
                <w:spacing w:val="6"/>
                <w:sz w:val="21"/>
              </w:rPr>
              <w:t>生物制品 </w:t>
            </w:r>
            <w:r>
              <w:rPr>
                <w:rFonts w:ascii="Times New Roman" w:eastAsia="Times New Roman"/>
                <w:sz w:val="21"/>
              </w:rPr>
              <w:t>IP</w:t>
            </w:r>
            <w:r>
              <w:rPr>
                <w:rFonts w:ascii="Times New Roman" w:eastAsia="Times New Roman"/>
                <w:spacing w:val="58"/>
                <w:sz w:val="21"/>
              </w:rPr>
              <w:t> </w:t>
            </w:r>
            <w:r>
              <w:rPr>
                <w:spacing w:val="-2"/>
                <w:sz w:val="21"/>
              </w:rPr>
              <w:t>和试验用生物制品</w:t>
            </w:r>
          </w:p>
          <w:p>
            <w:pPr>
              <w:pStyle w:val="TableParagraph"/>
              <w:spacing w:line="272" w:lineRule="exact"/>
              <w:ind w:left="2"/>
              <w:rPr>
                <w:sz w:val="21"/>
              </w:rPr>
            </w:pPr>
            <w:r>
              <w:rPr>
                <w:spacing w:val="-2"/>
                <w:sz w:val="21"/>
              </w:rPr>
              <w:t>（</w:t>
            </w:r>
            <w:r>
              <w:rPr>
                <w:rFonts w:ascii="Times New Roman" w:eastAsia="Times New Roman"/>
                <w:spacing w:val="-2"/>
                <w:sz w:val="21"/>
              </w:rPr>
              <w:t>tozorakimab</w:t>
            </w:r>
            <w:r>
              <w:rPr>
                <w:rFonts w:ascii="Times New Roman" w:eastAsia="Times New Roman"/>
                <w:spacing w:val="19"/>
                <w:sz w:val="21"/>
              </w:rPr>
              <w:t> </w:t>
            </w:r>
            <w:r>
              <w:rPr>
                <w:spacing w:val="-2"/>
                <w:sz w:val="21"/>
              </w:rPr>
              <w:t>除外）</w:t>
            </w:r>
            <w:r>
              <w:rPr>
                <w:spacing w:val="-4"/>
                <w:sz w:val="21"/>
              </w:rPr>
              <w:t>的文本。</w:t>
            </w:r>
          </w:p>
        </w:tc>
        <w:tc>
          <w:tcPr>
            <w:tcW w:w="3145" w:type="dxa"/>
          </w:tcPr>
          <w:p>
            <w:pPr>
              <w:pStyle w:val="TableParagraph"/>
              <w:spacing w:before="38"/>
              <w:ind w:left="107"/>
              <w:rPr>
                <w:sz w:val="21"/>
              </w:rPr>
            </w:pPr>
            <w:r>
              <w:rPr>
                <w:spacing w:val="-2"/>
                <w:sz w:val="21"/>
              </w:rPr>
              <w:t>澄清说明。</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TableParagraph"/>
              <w:spacing w:before="38"/>
              <w:ind w:left="107"/>
              <w:rPr>
                <w:b/>
                <w:sz w:val="21"/>
              </w:rPr>
            </w:pPr>
            <w:r>
              <w:rPr>
                <w:b/>
                <w:spacing w:val="-3"/>
                <w:sz w:val="21"/>
              </w:rPr>
              <w:t>章节编号和标题名称</w:t>
            </w:r>
          </w:p>
        </w:tc>
        <w:tc>
          <w:tcPr>
            <w:tcW w:w="3184" w:type="dxa"/>
          </w:tcPr>
          <w:p>
            <w:pPr>
              <w:pStyle w:val="TableParagraph"/>
              <w:spacing w:before="38"/>
              <w:ind w:left="8"/>
              <w:jc w:val="center"/>
              <w:rPr>
                <w:b/>
                <w:sz w:val="21"/>
              </w:rPr>
            </w:pPr>
            <w:r>
              <w:rPr>
                <w:b/>
                <w:spacing w:val="-4"/>
                <w:sz w:val="21"/>
              </w:rPr>
              <w:t>变更描述</w:t>
            </w:r>
          </w:p>
        </w:tc>
        <w:tc>
          <w:tcPr>
            <w:tcW w:w="3145" w:type="dxa"/>
          </w:tcPr>
          <w:p>
            <w:pPr>
              <w:pStyle w:val="TableParagraph"/>
              <w:spacing w:before="38"/>
              <w:ind w:left="11"/>
              <w:jc w:val="center"/>
              <w:rPr>
                <w:b/>
                <w:sz w:val="21"/>
              </w:rPr>
            </w:pPr>
            <w:r>
              <w:rPr>
                <w:b/>
                <w:spacing w:val="-4"/>
                <w:sz w:val="21"/>
              </w:rPr>
              <w:t>简要依据</w:t>
            </w:r>
          </w:p>
        </w:tc>
      </w:tr>
      <w:tr>
        <w:trPr>
          <w:trHeight w:val="1987" w:hRule="atLeast"/>
        </w:trPr>
        <w:tc>
          <w:tcPr>
            <w:tcW w:w="2428" w:type="dxa"/>
            <w:vMerge w:val="restart"/>
          </w:tcPr>
          <w:p>
            <w:pPr>
              <w:pStyle w:val="TableParagraph"/>
              <w:rPr>
                <w:rFonts w:ascii="Times New Roman"/>
                <w:sz w:val="20"/>
              </w:rPr>
            </w:pPr>
          </w:p>
        </w:tc>
        <w:tc>
          <w:tcPr>
            <w:tcW w:w="3184" w:type="dxa"/>
          </w:tcPr>
          <w:p>
            <w:pPr>
              <w:pStyle w:val="TableParagraph"/>
              <w:spacing w:before="36"/>
              <w:ind w:left="106" w:right="96"/>
              <w:jc w:val="both"/>
              <w:rPr>
                <w:sz w:val="21"/>
              </w:rPr>
            </w:pPr>
            <w:r>
              <w:rPr>
                <w:spacing w:val="-2"/>
                <w:sz w:val="21"/>
              </w:rPr>
              <w:t>增加禁止使用已上市生物制品的</w:t>
            </w:r>
            <w:r>
              <w:rPr>
                <w:spacing w:val="-2"/>
                <w:sz w:val="21"/>
              </w:rPr>
              <w:t>例外情况，并将分类从禁止使用变更为限制使用。</w:t>
            </w:r>
          </w:p>
        </w:tc>
        <w:tc>
          <w:tcPr>
            <w:tcW w:w="3145" w:type="dxa"/>
          </w:tcPr>
          <w:p>
            <w:pPr>
              <w:pStyle w:val="TableParagraph"/>
              <w:spacing w:before="36"/>
              <w:ind w:left="107" w:right="98"/>
              <w:jc w:val="both"/>
              <w:rPr>
                <w:sz w:val="21"/>
              </w:rPr>
            </w:pPr>
            <w:r>
              <w:rPr>
                <w:spacing w:val="12"/>
                <w:sz w:val="21"/>
              </w:rPr>
              <w:t>在本研究中，一些已上市生物制品被视为例外情况，以确保受试者可针对其共病接受充分的医疗护理，预期这些治疗不</w:t>
            </w:r>
            <w:r>
              <w:rPr>
                <w:spacing w:val="-6"/>
                <w:sz w:val="21"/>
              </w:rPr>
              <w:t>会与 </w:t>
            </w:r>
            <w:r>
              <w:rPr>
                <w:rFonts w:ascii="Times New Roman" w:eastAsia="Times New Roman"/>
                <w:sz w:val="21"/>
              </w:rPr>
              <w:t>tozorakimab</w:t>
            </w:r>
            <w:r>
              <w:rPr>
                <w:rFonts w:ascii="Times New Roman" w:eastAsia="Times New Roman"/>
                <w:spacing w:val="19"/>
                <w:sz w:val="21"/>
              </w:rPr>
              <w:t> </w:t>
            </w:r>
            <w:r>
              <w:rPr>
                <w:sz w:val="21"/>
              </w:rPr>
              <w:t>的作用机制发</w:t>
            </w:r>
            <w:r>
              <w:rPr>
                <w:spacing w:val="12"/>
                <w:sz w:val="21"/>
              </w:rPr>
              <w:t>生相互作用或对研究结局产生</w:t>
            </w:r>
            <w:r>
              <w:rPr>
                <w:spacing w:val="-2"/>
                <w:sz w:val="21"/>
              </w:rPr>
              <w:t>混杂影响。</w:t>
            </w:r>
          </w:p>
        </w:tc>
      </w:tr>
      <w:tr>
        <w:trPr>
          <w:trHeight w:val="896" w:hRule="atLeast"/>
        </w:trPr>
        <w:tc>
          <w:tcPr>
            <w:tcW w:w="2428" w:type="dxa"/>
            <w:vMerge/>
            <w:tcBorders>
              <w:top w:val="nil"/>
            </w:tcBorders>
          </w:tcPr>
          <w:p>
            <w:pPr>
              <w:rPr>
                <w:sz w:val="2"/>
                <w:szCs w:val="2"/>
              </w:rPr>
            </w:pPr>
          </w:p>
        </w:tc>
        <w:tc>
          <w:tcPr>
            <w:tcW w:w="3184" w:type="dxa"/>
          </w:tcPr>
          <w:p>
            <w:pPr>
              <w:pStyle w:val="TableParagraph"/>
              <w:spacing w:before="36"/>
              <w:ind w:left="106" w:right="125"/>
              <w:rPr>
                <w:sz w:val="21"/>
              </w:rPr>
            </w:pPr>
            <w:r>
              <w:rPr>
                <w:spacing w:val="-2"/>
                <w:sz w:val="21"/>
              </w:rPr>
              <w:t>更新黄嘌呤类的详细信息，并将分类从禁止使用变更为限制使 </w:t>
            </w:r>
            <w:r>
              <w:rPr>
                <w:spacing w:val="-6"/>
                <w:sz w:val="21"/>
              </w:rPr>
              <w:t>用。</w:t>
            </w:r>
          </w:p>
        </w:tc>
        <w:tc>
          <w:tcPr>
            <w:tcW w:w="3145" w:type="dxa"/>
          </w:tcPr>
          <w:p>
            <w:pPr>
              <w:pStyle w:val="TableParagraph"/>
              <w:spacing w:before="38"/>
              <w:ind w:left="107"/>
              <w:rPr>
                <w:sz w:val="21"/>
              </w:rPr>
            </w:pPr>
            <w:r>
              <w:rPr>
                <w:spacing w:val="-1"/>
                <w:sz w:val="21"/>
              </w:rPr>
              <w:t>澄清允许的黄嘌呤类剂量。</w:t>
            </w:r>
          </w:p>
        </w:tc>
      </w:tr>
      <w:tr>
        <w:trPr>
          <w:trHeight w:val="352" w:hRule="atLeast"/>
        </w:trPr>
        <w:tc>
          <w:tcPr>
            <w:tcW w:w="2428" w:type="dxa"/>
            <w:vMerge/>
            <w:tcBorders>
              <w:top w:val="nil"/>
            </w:tcBorders>
          </w:tcPr>
          <w:p>
            <w:pPr>
              <w:rPr>
                <w:sz w:val="2"/>
                <w:szCs w:val="2"/>
              </w:rPr>
            </w:pPr>
          </w:p>
        </w:tc>
        <w:tc>
          <w:tcPr>
            <w:tcW w:w="3184" w:type="dxa"/>
          </w:tcPr>
          <w:p>
            <w:pPr>
              <w:pStyle w:val="TableParagraph"/>
              <w:spacing w:before="39"/>
              <w:ind w:left="106"/>
              <w:rPr>
                <w:sz w:val="21"/>
              </w:rPr>
            </w:pPr>
            <w:r>
              <w:rPr>
                <w:spacing w:val="-2"/>
                <w:sz w:val="21"/>
              </w:rPr>
              <w:t>增加灭活疫苗指南。</w:t>
            </w:r>
          </w:p>
        </w:tc>
        <w:tc>
          <w:tcPr>
            <w:tcW w:w="3145" w:type="dxa"/>
          </w:tcPr>
          <w:p>
            <w:pPr>
              <w:pStyle w:val="TableParagraph"/>
              <w:spacing w:before="39"/>
              <w:ind w:left="107"/>
              <w:rPr>
                <w:sz w:val="21"/>
              </w:rPr>
            </w:pPr>
            <w:r>
              <w:rPr>
                <w:spacing w:val="-2"/>
                <w:sz w:val="21"/>
              </w:rPr>
              <w:t>澄清说明。</w:t>
            </w:r>
          </w:p>
        </w:tc>
      </w:tr>
      <w:tr>
        <w:trPr>
          <w:trHeight w:val="1754" w:hRule="atLeast"/>
        </w:trPr>
        <w:tc>
          <w:tcPr>
            <w:tcW w:w="2428" w:type="dxa"/>
          </w:tcPr>
          <w:p>
            <w:pPr>
              <w:pStyle w:val="TableParagraph"/>
              <w:spacing w:before="38"/>
              <w:ind w:left="107" w:right="270"/>
              <w:rPr>
                <w:sz w:val="21"/>
              </w:rPr>
            </w:pPr>
            <w:r>
              <w:rPr>
                <w:spacing w:val="-28"/>
                <w:sz w:val="21"/>
              </w:rPr>
              <w:t>第 </w:t>
            </w:r>
            <w:r>
              <w:rPr>
                <w:rFonts w:ascii="Times New Roman" w:eastAsia="Times New Roman"/>
                <w:spacing w:val="-2"/>
                <w:sz w:val="21"/>
              </w:rPr>
              <w:t>7.1</w:t>
            </w:r>
            <w:r>
              <w:rPr>
                <w:rFonts w:ascii="Times New Roman" w:eastAsia="Times New Roman"/>
                <w:spacing w:val="-12"/>
                <w:sz w:val="21"/>
              </w:rPr>
              <w:t> </w:t>
            </w:r>
            <w:r>
              <w:rPr>
                <w:spacing w:val="-2"/>
                <w:sz w:val="21"/>
              </w:rPr>
              <w:t>节，中止研究药</w:t>
            </w:r>
            <w:r>
              <w:rPr>
                <w:spacing w:val="-10"/>
                <w:sz w:val="21"/>
              </w:rPr>
              <w:t>物</w:t>
            </w:r>
          </w:p>
        </w:tc>
        <w:tc>
          <w:tcPr>
            <w:tcW w:w="3184" w:type="dxa"/>
          </w:tcPr>
          <w:p>
            <w:pPr>
              <w:pStyle w:val="TableParagraph"/>
              <w:spacing w:before="38"/>
              <w:ind w:left="106" w:right="97"/>
              <w:jc w:val="both"/>
              <w:rPr>
                <w:sz w:val="21"/>
              </w:rPr>
            </w:pPr>
            <w:r>
              <w:rPr>
                <w:spacing w:val="-2"/>
                <w:sz w:val="21"/>
              </w:rPr>
              <w:t>更新文本，以阐明如果出现安全</w:t>
            </w:r>
            <w:r>
              <w:rPr>
                <w:sz w:val="21"/>
              </w:rPr>
              <w:t>性问题，必须立即暂停</w:t>
            </w:r>
            <w:r>
              <w:rPr>
                <w:rFonts w:ascii="Times New Roman" w:eastAsia="Times New Roman"/>
                <w:sz w:val="21"/>
              </w:rPr>
              <w:t>IP</w:t>
            </w:r>
            <w:r>
              <w:rPr>
                <w:rFonts w:ascii="Times New Roman" w:eastAsia="Times New Roman"/>
                <w:spacing w:val="-14"/>
                <w:sz w:val="21"/>
              </w:rPr>
              <w:t> </w:t>
            </w:r>
            <w:r>
              <w:rPr>
                <w:sz w:val="21"/>
              </w:rPr>
              <w:t>给药，</w:t>
            </w:r>
            <w:r>
              <w:rPr>
                <w:spacing w:val="-2"/>
                <w:sz w:val="21"/>
              </w:rPr>
              <w:t>直至做出最终决定。</w:t>
            </w:r>
          </w:p>
          <w:p>
            <w:pPr>
              <w:pStyle w:val="TableParagraph"/>
              <w:spacing w:before="37"/>
              <w:ind w:left="106" w:right="97"/>
              <w:jc w:val="both"/>
              <w:rPr>
                <w:sz w:val="21"/>
              </w:rPr>
            </w:pPr>
            <w:r>
              <w:rPr>
                <w:sz w:val="21"/>
              </w:rPr>
              <w:t>在可能导致受试者中止</w:t>
            </w:r>
            <w:r>
              <w:rPr>
                <w:rFonts w:ascii="Times New Roman" w:hAnsi="Times New Roman" w:eastAsia="Times New Roman"/>
                <w:sz w:val="21"/>
              </w:rPr>
              <w:t>IP</w:t>
            </w:r>
            <w:r>
              <w:rPr>
                <w:rFonts w:ascii="Times New Roman" w:hAnsi="Times New Roman" w:eastAsia="Times New Roman"/>
                <w:spacing w:val="-14"/>
                <w:sz w:val="21"/>
              </w:rPr>
              <w:t> </w:t>
            </w:r>
            <w:r>
              <w:rPr>
                <w:sz w:val="21"/>
              </w:rPr>
              <w:t>治疗的</w:t>
            </w:r>
            <w:r>
              <w:rPr>
                <w:spacing w:val="-2"/>
                <w:sz w:val="21"/>
              </w:rPr>
              <w:t>原因列表中，添加“确认海氏法则事件”。</w:t>
            </w:r>
          </w:p>
        </w:tc>
        <w:tc>
          <w:tcPr>
            <w:tcW w:w="3145" w:type="dxa"/>
          </w:tcPr>
          <w:p>
            <w:pPr>
              <w:pStyle w:val="TableParagraph"/>
              <w:spacing w:line="273" w:lineRule="exact" w:before="38"/>
              <w:ind w:left="107"/>
              <w:rPr>
                <w:sz w:val="21"/>
              </w:rPr>
            </w:pPr>
            <w:r>
              <w:rPr>
                <w:spacing w:val="-13"/>
                <w:sz w:val="21"/>
              </w:rPr>
              <w:t>修 订 以 符 合 </w:t>
            </w:r>
            <w:r>
              <w:rPr>
                <w:rFonts w:ascii="Times New Roman" w:eastAsia="Times New Roman"/>
                <w:sz w:val="21"/>
              </w:rPr>
              <w:t>EU</w:t>
            </w:r>
            <w:r>
              <w:rPr>
                <w:rFonts w:ascii="Times New Roman" w:eastAsia="Times New Roman"/>
                <w:spacing w:val="61"/>
                <w:w w:val="150"/>
                <w:sz w:val="21"/>
              </w:rPr>
              <w:t> </w:t>
            </w:r>
            <w:r>
              <w:rPr>
                <w:rFonts w:ascii="Times New Roman" w:eastAsia="Times New Roman"/>
                <w:sz w:val="21"/>
              </w:rPr>
              <w:t>CTR</w:t>
            </w:r>
            <w:r>
              <w:rPr>
                <w:rFonts w:ascii="Times New Roman" w:eastAsia="Times New Roman"/>
                <w:spacing w:val="66"/>
                <w:w w:val="150"/>
                <w:sz w:val="21"/>
              </w:rPr>
              <w:t> </w:t>
            </w:r>
            <w:r>
              <w:rPr>
                <w:spacing w:val="26"/>
                <w:sz w:val="21"/>
              </w:rPr>
              <w:t>法规</w:t>
            </w:r>
            <w:r>
              <w:rPr>
                <w:spacing w:val="-10"/>
                <w:sz w:val="21"/>
              </w:rPr>
              <w:t> </w:t>
            </w:r>
          </w:p>
          <w:p>
            <w:pPr>
              <w:pStyle w:val="TableParagraph"/>
              <w:spacing w:line="273" w:lineRule="exact"/>
              <w:ind w:left="3"/>
              <w:rPr>
                <w:sz w:val="21"/>
              </w:rPr>
            </w:pPr>
            <w:r>
              <w:rPr>
                <w:sz w:val="21"/>
              </w:rPr>
              <w:t>（</w:t>
            </w:r>
            <w:r>
              <w:rPr>
                <w:rFonts w:ascii="Times New Roman" w:eastAsia="Times New Roman"/>
                <w:sz w:val="21"/>
              </w:rPr>
              <w:t>EU</w:t>
            </w:r>
            <w:r>
              <w:rPr>
                <w:sz w:val="21"/>
              </w:rPr>
              <w:t>）</w:t>
            </w:r>
            <w:r>
              <w:rPr>
                <w:spacing w:val="-27"/>
                <w:sz w:val="21"/>
              </w:rPr>
              <w:t>第 </w:t>
            </w:r>
            <w:r>
              <w:rPr>
                <w:rFonts w:ascii="Times New Roman" w:eastAsia="Times New Roman"/>
                <w:sz w:val="21"/>
              </w:rPr>
              <w:t>536/2014</w:t>
            </w:r>
            <w:r>
              <w:rPr>
                <w:rFonts w:ascii="Times New Roman" w:eastAsia="Times New Roman"/>
                <w:spacing w:val="-13"/>
                <w:sz w:val="21"/>
              </w:rPr>
              <w:t> </w:t>
            </w:r>
            <w:r>
              <w:rPr>
                <w:spacing w:val="-3"/>
                <w:sz w:val="21"/>
              </w:rPr>
              <w:t>号要求。</w:t>
            </w:r>
          </w:p>
        </w:tc>
      </w:tr>
      <w:tr>
        <w:trPr>
          <w:trHeight w:val="897" w:hRule="atLeast"/>
        </w:trPr>
        <w:tc>
          <w:tcPr>
            <w:tcW w:w="2428" w:type="dxa"/>
          </w:tcPr>
          <w:p>
            <w:pPr>
              <w:pStyle w:val="TableParagraph"/>
              <w:spacing w:before="38"/>
              <w:ind w:left="107" w:right="97"/>
              <w:rPr>
                <w:sz w:val="21"/>
              </w:rPr>
            </w:pPr>
            <w:r>
              <w:rPr>
                <w:spacing w:val="-22"/>
                <w:sz w:val="21"/>
              </w:rPr>
              <w:t>第 </w:t>
            </w:r>
            <w:r>
              <w:rPr>
                <w:rFonts w:ascii="Times New Roman" w:eastAsia="Times New Roman"/>
                <w:sz w:val="21"/>
              </w:rPr>
              <w:t>7.1.1</w:t>
            </w:r>
            <w:r>
              <w:rPr>
                <w:rFonts w:ascii="Times New Roman" w:eastAsia="Times New Roman"/>
                <w:spacing w:val="-14"/>
                <w:sz w:val="21"/>
              </w:rPr>
              <w:t> </w:t>
            </w:r>
            <w:r>
              <w:rPr>
                <w:sz w:val="21"/>
              </w:rPr>
              <w:t>节，中止研究药</w:t>
            </w:r>
            <w:r>
              <w:rPr>
                <w:spacing w:val="-4"/>
                <w:sz w:val="21"/>
              </w:rPr>
              <w:t>物的程序</w:t>
            </w:r>
          </w:p>
        </w:tc>
        <w:tc>
          <w:tcPr>
            <w:tcW w:w="3184" w:type="dxa"/>
          </w:tcPr>
          <w:p>
            <w:pPr>
              <w:pStyle w:val="TableParagraph"/>
              <w:spacing w:before="38"/>
              <w:ind w:left="106" w:right="96"/>
              <w:jc w:val="both"/>
              <w:rPr>
                <w:sz w:val="21"/>
              </w:rPr>
            </w:pPr>
            <w:r>
              <w:rPr>
                <w:sz w:val="21"/>
              </w:rPr>
              <w:t>更新文本，以阐明将收集</w:t>
            </w:r>
            <w:r>
              <w:rPr>
                <w:rFonts w:ascii="Times New Roman" w:eastAsia="Times New Roman"/>
                <w:sz w:val="21"/>
              </w:rPr>
              <w:t>SAE</w:t>
            </w:r>
            <w:r>
              <w:rPr>
                <w:rFonts w:ascii="Times New Roman" w:eastAsia="Times New Roman"/>
                <w:spacing w:val="-14"/>
                <w:sz w:val="21"/>
              </w:rPr>
              <w:t> </w:t>
            </w:r>
            <w:r>
              <w:rPr>
                <w:sz w:val="21"/>
              </w:rPr>
              <w:t>和</w:t>
            </w:r>
            <w:r>
              <w:rPr>
                <w:spacing w:val="-7"/>
                <w:sz w:val="21"/>
              </w:rPr>
              <w:t>持续的 </w:t>
            </w:r>
            <w:r>
              <w:rPr>
                <w:rFonts w:ascii="Times New Roman" w:eastAsia="Times New Roman"/>
                <w:sz w:val="21"/>
              </w:rPr>
              <w:t>AE</w:t>
            </w:r>
            <w:r>
              <w:rPr>
                <w:spacing w:val="-7"/>
                <w:sz w:val="21"/>
              </w:rPr>
              <w:t>，并在 </w:t>
            </w:r>
            <w:r>
              <w:rPr>
                <w:rFonts w:ascii="Times New Roman" w:eastAsia="Times New Roman"/>
                <w:sz w:val="21"/>
              </w:rPr>
              <w:t>E/D</w:t>
            </w:r>
            <w:r>
              <w:rPr>
                <w:rFonts w:ascii="Times New Roman" w:eastAsia="Times New Roman"/>
                <w:spacing w:val="4"/>
                <w:sz w:val="21"/>
              </w:rPr>
              <w:t> </w:t>
            </w:r>
            <w:r>
              <w:rPr>
                <w:sz w:val="21"/>
              </w:rPr>
              <w:t>访视后进</w:t>
            </w:r>
            <w:r>
              <w:rPr>
                <w:spacing w:val="-4"/>
                <w:sz w:val="21"/>
              </w:rPr>
              <w:t>行随访。</w:t>
            </w:r>
          </w:p>
        </w:tc>
        <w:tc>
          <w:tcPr>
            <w:tcW w:w="3145" w:type="dxa"/>
          </w:tcPr>
          <w:p>
            <w:pPr>
              <w:pStyle w:val="TableParagraph"/>
              <w:spacing w:before="39"/>
              <w:ind w:left="107"/>
              <w:rPr>
                <w:sz w:val="21"/>
              </w:rPr>
            </w:pPr>
            <w:r>
              <w:rPr>
                <w:spacing w:val="-2"/>
                <w:sz w:val="21"/>
              </w:rPr>
              <w:t>澄清说明。</w:t>
            </w:r>
          </w:p>
        </w:tc>
      </w:tr>
      <w:tr>
        <w:trPr>
          <w:trHeight w:val="897" w:hRule="atLeast"/>
        </w:trPr>
        <w:tc>
          <w:tcPr>
            <w:tcW w:w="2428" w:type="dxa"/>
          </w:tcPr>
          <w:p>
            <w:pPr>
              <w:pStyle w:val="TableParagraph"/>
              <w:spacing w:before="38"/>
              <w:ind w:left="107"/>
              <w:rPr>
                <w:sz w:val="21"/>
              </w:rPr>
            </w:pPr>
            <w:r>
              <w:rPr>
                <w:spacing w:val="-22"/>
                <w:sz w:val="21"/>
              </w:rPr>
              <w:t>第 </w:t>
            </w:r>
            <w:r>
              <w:rPr>
                <w:rFonts w:ascii="Times New Roman" w:eastAsia="Times New Roman"/>
                <w:sz w:val="21"/>
              </w:rPr>
              <w:t>8.1.3</w:t>
            </w:r>
            <w:r>
              <w:rPr>
                <w:rFonts w:ascii="Times New Roman" w:eastAsia="Times New Roman"/>
                <w:spacing w:val="-5"/>
                <w:sz w:val="21"/>
              </w:rPr>
              <w:t> </w:t>
            </w:r>
            <w:r>
              <w:rPr>
                <w:spacing w:val="-2"/>
                <w:sz w:val="21"/>
              </w:rPr>
              <w:t>节，肺量计测定</w:t>
            </w:r>
          </w:p>
          <w:p>
            <w:pPr>
              <w:pStyle w:val="TableParagraph"/>
              <w:ind w:left="107" w:right="97" w:hanging="105"/>
              <w:rPr>
                <w:sz w:val="21"/>
              </w:rPr>
            </w:pPr>
            <w:r>
              <w:rPr>
                <w:sz w:val="21"/>
              </w:rPr>
              <w:t>（</w:t>
            </w:r>
            <w:r>
              <w:rPr>
                <w:rFonts w:ascii="Times New Roman" w:eastAsia="Times New Roman"/>
                <w:sz w:val="21"/>
              </w:rPr>
              <w:t>BD</w:t>
            </w:r>
            <w:r>
              <w:rPr>
                <w:rFonts w:ascii="Times New Roman" w:eastAsia="Times New Roman"/>
                <w:spacing w:val="16"/>
                <w:sz w:val="21"/>
              </w:rPr>
              <w:t> </w:t>
            </w:r>
            <w:r>
              <w:rPr>
                <w:spacing w:val="-4"/>
                <w:sz w:val="21"/>
              </w:rPr>
              <w:t>给药前和 </w:t>
            </w:r>
            <w:r>
              <w:rPr>
                <w:rFonts w:ascii="Times New Roman" w:eastAsia="Times New Roman"/>
                <w:sz w:val="21"/>
              </w:rPr>
              <w:t>BD</w:t>
            </w:r>
            <w:r>
              <w:rPr>
                <w:rFonts w:ascii="Times New Roman" w:eastAsia="Times New Roman"/>
                <w:spacing w:val="16"/>
                <w:sz w:val="21"/>
              </w:rPr>
              <w:t> </w:t>
            </w:r>
            <w:r>
              <w:rPr>
                <w:sz w:val="21"/>
              </w:rPr>
              <w:t>给药</w:t>
            </w:r>
            <w:r>
              <w:rPr>
                <w:spacing w:val="-6"/>
                <w:sz w:val="21"/>
              </w:rPr>
              <w:t>后）</w:t>
            </w:r>
          </w:p>
        </w:tc>
        <w:tc>
          <w:tcPr>
            <w:tcW w:w="3184" w:type="dxa"/>
          </w:tcPr>
          <w:p>
            <w:pPr>
              <w:pStyle w:val="TableParagraph"/>
              <w:spacing w:before="38"/>
              <w:ind w:left="106" w:right="96"/>
              <w:jc w:val="both"/>
              <w:rPr>
                <w:sz w:val="21"/>
              </w:rPr>
            </w:pPr>
            <w:r>
              <w:rPr>
                <w:spacing w:val="-6"/>
                <w:sz w:val="21"/>
              </w:rPr>
              <w:t>更新描述 </w:t>
            </w:r>
            <w:r>
              <w:rPr>
                <w:rFonts w:ascii="Times New Roman" w:eastAsia="Times New Roman"/>
                <w:sz w:val="21"/>
              </w:rPr>
              <w:t>BD</w:t>
            </w:r>
            <w:r>
              <w:rPr>
                <w:rFonts w:ascii="Times New Roman" w:eastAsia="Times New Roman"/>
                <w:spacing w:val="-11"/>
                <w:sz w:val="21"/>
              </w:rPr>
              <w:t> </w:t>
            </w:r>
            <w:r>
              <w:rPr>
                <w:sz w:val="21"/>
              </w:rPr>
              <w:t>给药后肺量计测定</w:t>
            </w:r>
            <w:r>
              <w:rPr>
                <w:spacing w:val="-14"/>
                <w:sz w:val="21"/>
              </w:rPr>
              <w:t>的 </w:t>
            </w:r>
            <w:r>
              <w:rPr>
                <w:rFonts w:ascii="Times New Roman" w:eastAsia="Times New Roman"/>
                <w:sz w:val="21"/>
              </w:rPr>
              <w:t>BD</w:t>
            </w:r>
            <w:r>
              <w:rPr>
                <w:rFonts w:ascii="Times New Roman" w:eastAsia="Times New Roman"/>
                <w:spacing w:val="-13"/>
                <w:sz w:val="21"/>
              </w:rPr>
              <w:t> </w:t>
            </w:r>
            <w:r>
              <w:rPr>
                <w:sz w:val="21"/>
              </w:rPr>
              <w:t>给药时间（</w:t>
            </w:r>
            <w:r>
              <w:rPr>
                <w:spacing w:val="-7"/>
                <w:sz w:val="21"/>
              </w:rPr>
              <w:t>相对于 </w:t>
            </w:r>
            <w:r>
              <w:rPr>
                <w:rFonts w:ascii="Times New Roman" w:eastAsia="Times New Roman"/>
                <w:sz w:val="21"/>
              </w:rPr>
              <w:t>BD</w:t>
            </w:r>
            <w:r>
              <w:rPr>
                <w:rFonts w:ascii="Times New Roman" w:eastAsia="Times New Roman"/>
                <w:spacing w:val="-1"/>
                <w:sz w:val="21"/>
              </w:rPr>
              <w:t> </w:t>
            </w:r>
            <w:r>
              <w:rPr>
                <w:sz w:val="21"/>
              </w:rPr>
              <w:t>给</w:t>
            </w:r>
            <w:r>
              <w:rPr>
                <w:spacing w:val="-2"/>
                <w:sz w:val="21"/>
              </w:rPr>
              <w:t>药前肺量计测定）的措辞。</w:t>
            </w:r>
          </w:p>
        </w:tc>
        <w:tc>
          <w:tcPr>
            <w:tcW w:w="3145" w:type="dxa"/>
          </w:tcPr>
          <w:p>
            <w:pPr>
              <w:pStyle w:val="TableParagraph"/>
              <w:spacing w:before="39"/>
              <w:ind w:left="107"/>
              <w:rPr>
                <w:sz w:val="21"/>
              </w:rPr>
            </w:pPr>
            <w:r>
              <w:rPr>
                <w:spacing w:val="-2"/>
                <w:sz w:val="21"/>
              </w:rPr>
              <w:t>澄清说明。</w:t>
            </w:r>
          </w:p>
        </w:tc>
      </w:tr>
      <w:tr>
        <w:trPr>
          <w:trHeight w:val="624" w:hRule="atLeast"/>
        </w:trPr>
        <w:tc>
          <w:tcPr>
            <w:tcW w:w="2428" w:type="dxa"/>
          </w:tcPr>
          <w:p>
            <w:pPr>
              <w:pStyle w:val="TableParagraph"/>
              <w:spacing w:before="38"/>
              <w:ind w:left="107" w:right="97"/>
              <w:rPr>
                <w:sz w:val="21"/>
              </w:rPr>
            </w:pPr>
            <w:r>
              <w:rPr>
                <w:spacing w:val="-22"/>
                <w:sz w:val="21"/>
              </w:rPr>
              <w:t>第 </w:t>
            </w:r>
            <w:r>
              <w:rPr>
                <w:rFonts w:ascii="Times New Roman" w:eastAsia="Times New Roman"/>
                <w:sz w:val="21"/>
              </w:rPr>
              <w:t>8.2.1</w:t>
            </w:r>
            <w:r>
              <w:rPr>
                <w:rFonts w:ascii="Times New Roman" w:eastAsia="Times New Roman"/>
                <w:spacing w:val="-14"/>
                <w:sz w:val="21"/>
              </w:rPr>
              <w:t> </w:t>
            </w:r>
            <w:r>
              <w:rPr>
                <w:sz w:val="21"/>
              </w:rPr>
              <w:t>节，体格检查、</w:t>
            </w:r>
            <w:r>
              <w:rPr>
                <w:spacing w:val="-2"/>
                <w:sz w:val="21"/>
              </w:rPr>
              <w:t>体重和吸氧状态</w:t>
            </w:r>
          </w:p>
        </w:tc>
        <w:tc>
          <w:tcPr>
            <w:tcW w:w="3184" w:type="dxa"/>
          </w:tcPr>
          <w:p>
            <w:pPr>
              <w:pStyle w:val="TableParagraph"/>
              <w:spacing w:before="39"/>
              <w:ind w:left="106"/>
              <w:rPr>
                <w:sz w:val="21"/>
              </w:rPr>
            </w:pPr>
            <w:r>
              <w:rPr>
                <w:spacing w:val="-1"/>
                <w:sz w:val="21"/>
              </w:rPr>
              <w:t>身高评估不适用，将其删除。</w:t>
            </w:r>
          </w:p>
        </w:tc>
        <w:tc>
          <w:tcPr>
            <w:tcW w:w="3145" w:type="dxa"/>
          </w:tcPr>
          <w:p>
            <w:pPr>
              <w:pStyle w:val="TableParagraph"/>
              <w:spacing w:before="39"/>
              <w:ind w:left="107"/>
              <w:rPr>
                <w:sz w:val="21"/>
              </w:rPr>
            </w:pPr>
            <w:r>
              <w:rPr>
                <w:spacing w:val="-2"/>
                <w:sz w:val="21"/>
              </w:rPr>
              <w:t>澄清说明。</w:t>
            </w:r>
          </w:p>
        </w:tc>
      </w:tr>
      <w:tr>
        <w:trPr>
          <w:trHeight w:val="1169" w:hRule="atLeast"/>
        </w:trPr>
        <w:tc>
          <w:tcPr>
            <w:tcW w:w="2428" w:type="dxa"/>
          </w:tcPr>
          <w:p>
            <w:pPr>
              <w:pStyle w:val="TableParagraph"/>
              <w:spacing w:before="38"/>
              <w:ind w:left="107"/>
              <w:rPr>
                <w:sz w:val="21"/>
              </w:rPr>
            </w:pPr>
            <w:r>
              <w:rPr>
                <w:spacing w:val="-28"/>
                <w:sz w:val="21"/>
              </w:rPr>
              <w:t>第 </w:t>
            </w:r>
            <w:r>
              <w:rPr>
                <w:rFonts w:ascii="Times New Roman" w:eastAsia="Times New Roman"/>
                <w:sz w:val="21"/>
              </w:rPr>
              <w:t>8.2.4</w:t>
            </w:r>
            <w:r>
              <w:rPr>
                <w:rFonts w:ascii="Times New Roman" w:eastAsia="Times New Roman"/>
                <w:spacing w:val="-11"/>
                <w:sz w:val="21"/>
              </w:rPr>
              <w:t> </w:t>
            </w:r>
            <w:r>
              <w:rPr>
                <w:spacing w:val="-2"/>
                <w:sz w:val="21"/>
              </w:rPr>
              <w:t>节，心电图</w:t>
            </w:r>
          </w:p>
        </w:tc>
        <w:tc>
          <w:tcPr>
            <w:tcW w:w="3184" w:type="dxa"/>
          </w:tcPr>
          <w:p>
            <w:pPr>
              <w:pStyle w:val="TableParagraph"/>
              <w:spacing w:before="36"/>
              <w:ind w:left="106" w:right="94"/>
              <w:jc w:val="both"/>
              <w:rPr>
                <w:sz w:val="21"/>
              </w:rPr>
            </w:pPr>
            <w:r>
              <w:rPr>
                <w:spacing w:val="-2"/>
                <w:sz w:val="21"/>
              </w:rPr>
              <w:t>更新文本，以阐明“建议”在受</w:t>
            </w:r>
            <w:r>
              <w:rPr>
                <w:spacing w:val="16"/>
                <w:sz w:val="21"/>
              </w:rPr>
              <w:t>试者接受干预前进行心电图评</w:t>
            </w:r>
            <w:r>
              <w:rPr>
                <w:sz w:val="21"/>
              </w:rPr>
              <w:t>估，但必须在 </w:t>
            </w:r>
            <w:r>
              <w:rPr>
                <w:rFonts w:ascii="Times New Roman" w:hAnsi="Times New Roman" w:eastAsia="Times New Roman"/>
                <w:sz w:val="21"/>
              </w:rPr>
              <w:t>IP</w:t>
            </w:r>
            <w:r>
              <w:rPr>
                <w:rFonts w:ascii="Times New Roman" w:hAnsi="Times New Roman" w:eastAsia="Times New Roman"/>
                <w:spacing w:val="40"/>
                <w:sz w:val="21"/>
              </w:rPr>
              <w:t> </w:t>
            </w:r>
            <w:r>
              <w:rPr>
                <w:sz w:val="21"/>
              </w:rPr>
              <w:t>给药前进行评</w:t>
            </w:r>
            <w:r>
              <w:rPr>
                <w:spacing w:val="-6"/>
                <w:sz w:val="21"/>
              </w:rPr>
              <w:t>估。</w:t>
            </w:r>
          </w:p>
        </w:tc>
        <w:tc>
          <w:tcPr>
            <w:tcW w:w="3145" w:type="dxa"/>
          </w:tcPr>
          <w:p>
            <w:pPr>
              <w:pStyle w:val="TableParagraph"/>
              <w:spacing w:before="38"/>
              <w:ind w:left="107"/>
              <w:rPr>
                <w:sz w:val="21"/>
              </w:rPr>
            </w:pPr>
            <w:r>
              <w:rPr>
                <w:spacing w:val="-2"/>
                <w:sz w:val="21"/>
              </w:rPr>
              <w:t>澄清说明。</w:t>
            </w:r>
          </w:p>
        </w:tc>
      </w:tr>
      <w:tr>
        <w:trPr>
          <w:trHeight w:val="897" w:hRule="atLeast"/>
        </w:trPr>
        <w:tc>
          <w:tcPr>
            <w:tcW w:w="2428" w:type="dxa"/>
            <w:vMerge w:val="restart"/>
          </w:tcPr>
          <w:p>
            <w:pPr>
              <w:pStyle w:val="TableParagraph"/>
              <w:spacing w:before="38"/>
              <w:ind w:left="107"/>
              <w:rPr>
                <w:sz w:val="21"/>
              </w:rPr>
            </w:pPr>
            <w:r>
              <w:rPr>
                <w:spacing w:val="-28"/>
                <w:sz w:val="21"/>
              </w:rPr>
              <w:t>第 </w:t>
            </w:r>
            <w:r>
              <w:rPr>
                <w:rFonts w:ascii="Times New Roman" w:eastAsia="Times New Roman"/>
                <w:sz w:val="21"/>
              </w:rPr>
              <w:t>8.2.5</w:t>
            </w:r>
            <w:r>
              <w:rPr>
                <w:rFonts w:ascii="Times New Roman" w:eastAsia="Times New Roman"/>
                <w:spacing w:val="-11"/>
                <w:sz w:val="21"/>
              </w:rPr>
              <w:t> </w:t>
            </w:r>
            <w:r>
              <w:rPr>
                <w:spacing w:val="-2"/>
                <w:sz w:val="21"/>
              </w:rPr>
              <w:t>节，超声心动图</w:t>
            </w:r>
          </w:p>
        </w:tc>
        <w:tc>
          <w:tcPr>
            <w:tcW w:w="3184" w:type="dxa"/>
          </w:tcPr>
          <w:p>
            <w:pPr>
              <w:pStyle w:val="TableParagraph"/>
              <w:spacing w:before="36"/>
              <w:ind w:left="106" w:right="100"/>
              <w:rPr>
                <w:sz w:val="21"/>
              </w:rPr>
            </w:pPr>
            <w:r>
              <w:rPr>
                <w:spacing w:val="-2"/>
                <w:sz w:val="21"/>
              </w:rPr>
              <w:t>删除将图像发送给中心供应商进行评估的要求。</w:t>
            </w:r>
          </w:p>
        </w:tc>
        <w:tc>
          <w:tcPr>
            <w:tcW w:w="3145" w:type="dxa"/>
          </w:tcPr>
          <w:p>
            <w:pPr>
              <w:pStyle w:val="TableParagraph"/>
              <w:spacing w:before="36"/>
              <w:ind w:left="107" w:right="98"/>
              <w:jc w:val="both"/>
              <w:rPr>
                <w:sz w:val="21"/>
              </w:rPr>
            </w:pPr>
            <w:r>
              <w:rPr>
                <w:spacing w:val="12"/>
                <w:sz w:val="21"/>
              </w:rPr>
              <w:t>除当地阅片外，不再进行中心阅片。此举将减少复杂性和研</w:t>
            </w:r>
            <w:r>
              <w:rPr>
                <w:spacing w:val="-2"/>
                <w:sz w:val="21"/>
              </w:rPr>
              <w:t>究中心的负担。</w:t>
            </w:r>
          </w:p>
        </w:tc>
      </w:tr>
      <w:tr>
        <w:trPr>
          <w:trHeight w:val="624" w:hRule="atLeast"/>
        </w:trPr>
        <w:tc>
          <w:tcPr>
            <w:tcW w:w="2428" w:type="dxa"/>
            <w:vMerge/>
            <w:tcBorders>
              <w:top w:val="nil"/>
            </w:tcBorders>
          </w:tcPr>
          <w:p>
            <w:pPr>
              <w:rPr>
                <w:sz w:val="2"/>
                <w:szCs w:val="2"/>
              </w:rPr>
            </w:pPr>
          </w:p>
        </w:tc>
        <w:tc>
          <w:tcPr>
            <w:tcW w:w="3184" w:type="dxa"/>
          </w:tcPr>
          <w:p>
            <w:pPr>
              <w:pStyle w:val="TableParagraph"/>
              <w:spacing w:before="36"/>
              <w:ind w:left="106" w:right="55"/>
              <w:rPr>
                <w:sz w:val="21"/>
              </w:rPr>
            </w:pPr>
            <w:r>
              <w:rPr>
                <w:spacing w:val="23"/>
                <w:sz w:val="21"/>
              </w:rPr>
              <w:t>删除句子“ 也可评价其他参</w:t>
            </w:r>
            <w:r>
              <w:rPr>
                <w:sz w:val="21"/>
              </w:rPr>
              <w:t> </w:t>
            </w:r>
            <w:r>
              <w:rPr>
                <w:spacing w:val="-4"/>
                <w:sz w:val="21"/>
              </w:rPr>
              <w:t>数”。</w:t>
            </w:r>
          </w:p>
        </w:tc>
        <w:tc>
          <w:tcPr>
            <w:tcW w:w="3145" w:type="dxa"/>
          </w:tcPr>
          <w:p>
            <w:pPr>
              <w:pStyle w:val="TableParagraph"/>
              <w:spacing w:before="38"/>
              <w:ind w:left="107"/>
              <w:rPr>
                <w:sz w:val="21"/>
              </w:rPr>
            </w:pPr>
            <w:r>
              <w:rPr>
                <w:spacing w:val="-4"/>
                <w:sz w:val="21"/>
              </w:rPr>
              <w:t>更正。</w:t>
            </w:r>
          </w:p>
        </w:tc>
      </w:tr>
      <w:tr>
        <w:trPr>
          <w:trHeight w:val="897" w:hRule="atLeast"/>
        </w:trPr>
        <w:tc>
          <w:tcPr>
            <w:tcW w:w="2428" w:type="dxa"/>
          </w:tcPr>
          <w:p>
            <w:pPr>
              <w:pStyle w:val="TableParagraph"/>
              <w:spacing w:line="273" w:lineRule="exact" w:before="36"/>
              <w:ind w:left="107"/>
              <w:rPr>
                <w:rFonts w:ascii="Times New Roman" w:eastAsia="Times New Roman"/>
                <w:sz w:val="21"/>
              </w:rPr>
            </w:pPr>
            <w:r>
              <w:rPr>
                <w:spacing w:val="-15"/>
                <w:sz w:val="21"/>
              </w:rPr>
              <w:t>第 </w:t>
            </w:r>
            <w:r>
              <w:rPr>
                <w:rFonts w:ascii="Times New Roman" w:eastAsia="Times New Roman"/>
                <w:sz w:val="21"/>
              </w:rPr>
              <w:t>8.3.1</w:t>
            </w:r>
            <w:r>
              <w:rPr>
                <w:rFonts w:ascii="Times New Roman" w:eastAsia="Times New Roman"/>
                <w:spacing w:val="6"/>
                <w:sz w:val="21"/>
              </w:rPr>
              <w:t> </w:t>
            </w:r>
            <w:r>
              <w:rPr>
                <w:sz w:val="21"/>
              </w:rPr>
              <w:t>节，</w:t>
            </w:r>
            <w:r>
              <w:rPr>
                <w:rFonts w:ascii="Times New Roman" w:eastAsia="Times New Roman"/>
                <w:sz w:val="21"/>
              </w:rPr>
              <w:t>AE</w:t>
            </w:r>
            <w:r>
              <w:rPr>
                <w:rFonts w:ascii="Times New Roman" w:eastAsia="Times New Roman"/>
                <w:spacing w:val="8"/>
                <w:sz w:val="21"/>
              </w:rPr>
              <w:t> </w:t>
            </w:r>
            <w:r>
              <w:rPr>
                <w:spacing w:val="-15"/>
                <w:sz w:val="21"/>
              </w:rPr>
              <w:t>和 </w:t>
            </w:r>
            <w:r>
              <w:rPr>
                <w:rFonts w:ascii="Times New Roman" w:eastAsia="Times New Roman"/>
                <w:spacing w:val="-5"/>
                <w:sz w:val="21"/>
              </w:rPr>
              <w:t>SAE</w:t>
            </w:r>
          </w:p>
          <w:p>
            <w:pPr>
              <w:pStyle w:val="TableParagraph"/>
              <w:spacing w:line="273" w:lineRule="exact"/>
              <w:ind w:left="107"/>
              <w:rPr>
                <w:sz w:val="21"/>
              </w:rPr>
            </w:pPr>
            <w:r>
              <w:rPr>
                <w:spacing w:val="-2"/>
                <w:sz w:val="21"/>
              </w:rPr>
              <w:t>信息采集时限和频率</w:t>
            </w:r>
          </w:p>
        </w:tc>
        <w:tc>
          <w:tcPr>
            <w:tcW w:w="3184" w:type="dxa"/>
          </w:tcPr>
          <w:p>
            <w:pPr>
              <w:pStyle w:val="TableParagraph"/>
              <w:spacing w:before="36"/>
              <w:ind w:left="106" w:right="96"/>
              <w:jc w:val="both"/>
              <w:rPr>
                <w:sz w:val="21"/>
              </w:rPr>
            </w:pPr>
            <w:r>
              <w:rPr>
                <w:spacing w:val="-2"/>
                <w:sz w:val="21"/>
              </w:rPr>
              <w:t>更新文本，以阐明如何在前身研</w:t>
            </w:r>
            <w:r>
              <w:rPr>
                <w:spacing w:val="-10"/>
                <w:sz w:val="21"/>
              </w:rPr>
              <w:t>究和 </w:t>
            </w:r>
            <w:r>
              <w:rPr>
                <w:rFonts w:ascii="Times New Roman" w:eastAsia="Times New Roman"/>
                <w:spacing w:val="-2"/>
                <w:sz w:val="21"/>
              </w:rPr>
              <w:t>PROSPERO</w:t>
            </w:r>
            <w:r>
              <w:rPr>
                <w:rFonts w:ascii="Times New Roman" w:eastAsia="Times New Roman"/>
                <w:spacing w:val="-11"/>
                <w:sz w:val="21"/>
              </w:rPr>
              <w:t> </w:t>
            </w:r>
            <w:r>
              <w:rPr>
                <w:spacing w:val="-2"/>
                <w:sz w:val="21"/>
              </w:rPr>
              <w:t>研究的</w:t>
            </w:r>
            <w:r>
              <w:rPr>
                <w:rFonts w:ascii="Times New Roman" w:eastAsia="Times New Roman"/>
                <w:spacing w:val="-2"/>
                <w:sz w:val="21"/>
              </w:rPr>
              <w:t>eCRF</w:t>
            </w:r>
            <w:r>
              <w:rPr>
                <w:rFonts w:ascii="Times New Roman" w:eastAsia="Times New Roman"/>
                <w:spacing w:val="-11"/>
                <w:sz w:val="21"/>
              </w:rPr>
              <w:t> </w:t>
            </w:r>
            <w:r>
              <w:rPr>
                <w:spacing w:val="-2"/>
                <w:sz w:val="21"/>
              </w:rPr>
              <w:t>中</w:t>
            </w:r>
            <w:r>
              <w:rPr>
                <w:spacing w:val="-6"/>
                <w:sz w:val="21"/>
              </w:rPr>
              <w:t>收集 </w:t>
            </w:r>
            <w:r>
              <w:rPr>
                <w:rFonts w:ascii="Times New Roman" w:eastAsia="Times New Roman"/>
                <w:sz w:val="21"/>
              </w:rPr>
              <w:t>AE </w:t>
            </w:r>
            <w:r>
              <w:rPr>
                <w:spacing w:val="-8"/>
                <w:sz w:val="21"/>
              </w:rPr>
              <w:t>和 </w:t>
            </w:r>
            <w:r>
              <w:rPr>
                <w:rFonts w:ascii="Times New Roman" w:eastAsia="Times New Roman"/>
                <w:sz w:val="21"/>
              </w:rPr>
              <w:t>SAE</w:t>
            </w:r>
            <w:r>
              <w:rPr>
                <w:sz w:val="21"/>
              </w:rPr>
              <w:t>。</w:t>
            </w:r>
          </w:p>
        </w:tc>
        <w:tc>
          <w:tcPr>
            <w:tcW w:w="3145" w:type="dxa"/>
          </w:tcPr>
          <w:p>
            <w:pPr>
              <w:pStyle w:val="TableParagraph"/>
              <w:spacing w:before="38"/>
              <w:ind w:left="107"/>
              <w:rPr>
                <w:sz w:val="21"/>
              </w:rPr>
            </w:pPr>
            <w:r>
              <w:rPr>
                <w:spacing w:val="-2"/>
                <w:sz w:val="21"/>
              </w:rPr>
              <w:t>澄清说明。</w:t>
            </w:r>
          </w:p>
        </w:tc>
      </w:tr>
      <w:tr>
        <w:trPr>
          <w:trHeight w:val="896" w:hRule="atLeast"/>
        </w:trPr>
        <w:tc>
          <w:tcPr>
            <w:tcW w:w="2428" w:type="dxa"/>
          </w:tcPr>
          <w:p>
            <w:pPr>
              <w:pStyle w:val="TableParagraph"/>
              <w:spacing w:before="36"/>
              <w:ind w:left="107" w:right="55"/>
              <w:jc w:val="both"/>
              <w:rPr>
                <w:sz w:val="21"/>
              </w:rPr>
            </w:pPr>
            <w:r>
              <w:rPr>
                <w:sz w:val="21"/>
              </w:rPr>
              <w:t>第 </w:t>
            </w:r>
            <w:r>
              <w:rPr>
                <w:rFonts w:ascii="Times New Roman" w:eastAsia="Times New Roman"/>
                <w:sz w:val="21"/>
              </w:rPr>
              <w:t>8.3.11</w:t>
            </w:r>
            <w:r>
              <w:rPr>
                <w:rFonts w:ascii="Times New Roman" w:eastAsia="Times New Roman"/>
                <w:spacing w:val="40"/>
                <w:sz w:val="21"/>
              </w:rPr>
              <w:t> </w:t>
            </w:r>
            <w:r>
              <w:rPr>
                <w:spacing w:val="32"/>
                <w:sz w:val="21"/>
              </w:rPr>
              <w:t>节，用药错</w:t>
            </w:r>
            <w:r>
              <w:rPr>
                <w:sz w:val="21"/>
              </w:rPr>
              <w:t> </w:t>
            </w:r>
            <w:r>
              <w:rPr>
                <w:spacing w:val="8"/>
                <w:sz w:val="21"/>
              </w:rPr>
              <w:t>误、药物滥用和药物误</w:t>
            </w:r>
            <w:r>
              <w:rPr>
                <w:spacing w:val="-10"/>
                <w:sz w:val="21"/>
              </w:rPr>
              <w:t>用</w:t>
            </w:r>
          </w:p>
        </w:tc>
        <w:tc>
          <w:tcPr>
            <w:tcW w:w="3184" w:type="dxa"/>
          </w:tcPr>
          <w:p>
            <w:pPr>
              <w:pStyle w:val="TableParagraph"/>
              <w:spacing w:before="36"/>
              <w:ind w:left="106" w:right="98"/>
              <w:rPr>
                <w:sz w:val="21"/>
              </w:rPr>
            </w:pPr>
            <w:r>
              <w:rPr>
                <w:spacing w:val="16"/>
                <w:sz w:val="21"/>
              </w:rPr>
              <w:t>增加药物滥用和药物误用的定</w:t>
            </w:r>
            <w:r>
              <w:rPr>
                <w:spacing w:val="-6"/>
                <w:sz w:val="21"/>
              </w:rPr>
              <w:t>义。</w:t>
            </w:r>
          </w:p>
        </w:tc>
        <w:tc>
          <w:tcPr>
            <w:tcW w:w="3145" w:type="dxa"/>
          </w:tcPr>
          <w:p>
            <w:pPr>
              <w:pStyle w:val="TableParagraph"/>
              <w:spacing w:line="273" w:lineRule="exact" w:before="36"/>
              <w:ind w:left="107"/>
              <w:rPr>
                <w:sz w:val="21"/>
              </w:rPr>
            </w:pPr>
            <w:r>
              <w:rPr>
                <w:spacing w:val="28"/>
                <w:sz w:val="21"/>
              </w:rPr>
              <w:t>由于 </w:t>
            </w:r>
            <w:r>
              <w:rPr>
                <w:rFonts w:ascii="Times New Roman" w:eastAsia="Times New Roman"/>
                <w:sz w:val="21"/>
              </w:rPr>
              <w:t>CT-3</w:t>
            </w:r>
            <w:r>
              <w:rPr>
                <w:rFonts w:ascii="Times New Roman" w:eastAsia="Times New Roman"/>
                <w:spacing w:val="73"/>
                <w:sz w:val="21"/>
              </w:rPr>
              <w:t> </w:t>
            </w:r>
            <w:r>
              <w:rPr>
                <w:spacing w:val="37"/>
                <w:sz w:val="21"/>
              </w:rPr>
              <w:t>法规和公司安全</w:t>
            </w:r>
          </w:p>
          <w:p>
            <w:pPr>
              <w:pStyle w:val="TableParagraph"/>
              <w:spacing w:line="273" w:lineRule="exact"/>
              <w:ind w:left="107"/>
              <w:rPr>
                <w:sz w:val="21"/>
              </w:rPr>
            </w:pPr>
            <w:r>
              <w:rPr>
                <w:rFonts w:ascii="Times New Roman" w:eastAsia="Times New Roman"/>
                <w:spacing w:val="-2"/>
                <w:sz w:val="21"/>
              </w:rPr>
              <w:t>CAPA</w:t>
            </w:r>
            <w:r>
              <w:rPr>
                <w:spacing w:val="-4"/>
                <w:sz w:val="21"/>
              </w:rPr>
              <w:t>，需要更新</w:t>
            </w:r>
          </w:p>
        </w:tc>
      </w:tr>
      <w:tr>
        <w:trPr>
          <w:trHeight w:val="626" w:hRule="atLeast"/>
        </w:trPr>
        <w:tc>
          <w:tcPr>
            <w:tcW w:w="2428" w:type="dxa"/>
          </w:tcPr>
          <w:p>
            <w:pPr>
              <w:pStyle w:val="TableParagraph"/>
              <w:spacing w:before="38"/>
              <w:ind w:left="107" w:right="97"/>
              <w:rPr>
                <w:sz w:val="21"/>
              </w:rPr>
            </w:pPr>
            <w:r>
              <w:rPr>
                <w:spacing w:val="-4"/>
                <w:sz w:val="21"/>
              </w:rPr>
              <w:t>第 </w:t>
            </w:r>
            <w:r>
              <w:rPr>
                <w:rFonts w:ascii="Times New Roman" w:eastAsia="Times New Roman"/>
                <w:sz w:val="21"/>
              </w:rPr>
              <w:t>8.3.13</w:t>
            </w:r>
            <w:r>
              <w:rPr>
                <w:rFonts w:ascii="Times New Roman" w:eastAsia="Times New Roman"/>
                <w:spacing w:val="27"/>
                <w:sz w:val="21"/>
              </w:rPr>
              <w:t> </w:t>
            </w:r>
            <w:r>
              <w:rPr>
                <w:sz w:val="21"/>
              </w:rPr>
              <w:t>节，器械组件</w:t>
            </w:r>
            <w:r>
              <w:rPr>
                <w:spacing w:val="-2"/>
                <w:sz w:val="21"/>
              </w:rPr>
              <w:t>和第三方医疗器械缺陷</w:t>
            </w:r>
          </w:p>
        </w:tc>
        <w:tc>
          <w:tcPr>
            <w:tcW w:w="3184" w:type="dxa"/>
          </w:tcPr>
          <w:p>
            <w:pPr>
              <w:pStyle w:val="TableParagraph"/>
              <w:spacing w:before="38"/>
              <w:ind w:left="106" w:right="100"/>
              <w:rPr>
                <w:sz w:val="21"/>
              </w:rPr>
            </w:pPr>
            <w:r>
              <w:rPr>
                <w:spacing w:val="-2"/>
                <w:sz w:val="21"/>
              </w:rPr>
              <w:t>增加文本，以阐明如何报告第三方医疗器械缺陷。</w:t>
            </w:r>
          </w:p>
        </w:tc>
        <w:tc>
          <w:tcPr>
            <w:tcW w:w="3145" w:type="dxa"/>
          </w:tcPr>
          <w:p>
            <w:pPr>
              <w:pStyle w:val="TableParagraph"/>
              <w:spacing w:before="39"/>
              <w:ind w:left="107"/>
              <w:rPr>
                <w:sz w:val="21"/>
              </w:rPr>
            </w:pPr>
            <w:r>
              <w:rPr>
                <w:spacing w:val="-2"/>
                <w:sz w:val="21"/>
              </w:rPr>
              <w:t>遵守新指南。</w:t>
            </w:r>
          </w:p>
        </w:tc>
      </w:tr>
    </w:tbl>
    <w:p>
      <w:pPr>
        <w:spacing w:after="0"/>
        <w:rPr>
          <w:sz w:val="21"/>
        </w:rPr>
        <w:sectPr>
          <w:pgSz w:w="11910" w:h="16840"/>
          <w:pgMar w:header="590" w:footer="784" w:top="1340" w:bottom="980" w:left="1480" w:right="1080"/>
        </w:sectPr>
      </w:pPr>
    </w:p>
    <w:p>
      <w:pPr>
        <w:pStyle w:val="BodyText"/>
        <w:spacing w:before="12"/>
        <w:ind w:left="0"/>
        <w:rPr>
          <w:b/>
          <w:sz w:val="6"/>
        </w:rPr>
      </w:pPr>
    </w:p>
    <w:tbl>
      <w:tblPr>
        <w:tblW w:w="0" w:type="auto"/>
        <w:jc w:val="left"/>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8"/>
        <w:gridCol w:w="3184"/>
        <w:gridCol w:w="3145"/>
      </w:tblGrid>
      <w:tr>
        <w:trPr>
          <w:trHeight w:val="352" w:hRule="atLeast"/>
        </w:trPr>
        <w:tc>
          <w:tcPr>
            <w:tcW w:w="2428" w:type="dxa"/>
          </w:tcPr>
          <w:p>
            <w:pPr>
              <w:pStyle w:val="TableParagraph"/>
              <w:spacing w:before="38"/>
              <w:ind w:left="107"/>
              <w:rPr>
                <w:b/>
                <w:sz w:val="21"/>
              </w:rPr>
            </w:pPr>
            <w:r>
              <w:rPr>
                <w:b/>
                <w:spacing w:val="-3"/>
                <w:sz w:val="21"/>
              </w:rPr>
              <w:t>章节编号和标题名称</w:t>
            </w:r>
          </w:p>
        </w:tc>
        <w:tc>
          <w:tcPr>
            <w:tcW w:w="3184" w:type="dxa"/>
          </w:tcPr>
          <w:p>
            <w:pPr>
              <w:pStyle w:val="TableParagraph"/>
              <w:spacing w:before="38"/>
              <w:ind w:left="8"/>
              <w:jc w:val="center"/>
              <w:rPr>
                <w:b/>
                <w:sz w:val="21"/>
              </w:rPr>
            </w:pPr>
            <w:r>
              <w:rPr>
                <w:b/>
                <w:spacing w:val="-4"/>
                <w:sz w:val="21"/>
              </w:rPr>
              <w:t>变更描述</w:t>
            </w:r>
          </w:p>
        </w:tc>
        <w:tc>
          <w:tcPr>
            <w:tcW w:w="3145" w:type="dxa"/>
          </w:tcPr>
          <w:p>
            <w:pPr>
              <w:pStyle w:val="TableParagraph"/>
              <w:spacing w:before="38"/>
              <w:ind w:left="11"/>
              <w:jc w:val="center"/>
              <w:rPr>
                <w:b/>
                <w:sz w:val="21"/>
              </w:rPr>
            </w:pPr>
            <w:r>
              <w:rPr>
                <w:b/>
                <w:spacing w:val="-4"/>
                <w:sz w:val="21"/>
              </w:rPr>
              <w:t>简要依据</w:t>
            </w:r>
          </w:p>
        </w:tc>
      </w:tr>
      <w:tr>
        <w:trPr>
          <w:trHeight w:val="1170" w:hRule="atLeast"/>
        </w:trPr>
        <w:tc>
          <w:tcPr>
            <w:tcW w:w="2428" w:type="dxa"/>
          </w:tcPr>
          <w:p>
            <w:pPr>
              <w:pStyle w:val="TableParagraph"/>
              <w:spacing w:before="38"/>
              <w:ind w:left="107"/>
              <w:rPr>
                <w:sz w:val="21"/>
              </w:rPr>
            </w:pPr>
            <w:r>
              <w:rPr>
                <w:spacing w:val="30"/>
                <w:sz w:val="21"/>
              </w:rPr>
              <w:t>第</w:t>
            </w:r>
            <w:r>
              <w:rPr>
                <w:rFonts w:ascii="Times New Roman" w:eastAsia="Times New Roman"/>
                <w:sz w:val="21"/>
              </w:rPr>
              <w:t>8.4</w:t>
            </w:r>
            <w:r>
              <w:rPr>
                <w:rFonts w:ascii="Times New Roman" w:eastAsia="Times New Roman"/>
                <w:spacing w:val="-26"/>
                <w:sz w:val="21"/>
              </w:rPr>
              <w:t> </w:t>
            </w:r>
            <w:r>
              <w:rPr>
                <w:spacing w:val="-2"/>
                <w:sz w:val="21"/>
              </w:rPr>
              <w:t>节，人体生物样本</w:t>
            </w:r>
          </w:p>
        </w:tc>
        <w:tc>
          <w:tcPr>
            <w:tcW w:w="3184" w:type="dxa"/>
          </w:tcPr>
          <w:p>
            <w:pPr>
              <w:pStyle w:val="TableParagraph"/>
              <w:spacing w:before="36"/>
              <w:ind w:left="106" w:right="100"/>
              <w:jc w:val="both"/>
              <w:rPr>
                <w:sz w:val="21"/>
              </w:rPr>
            </w:pPr>
            <w:r>
              <w:rPr>
                <w:spacing w:val="-2"/>
                <w:sz w:val="21"/>
              </w:rPr>
              <w:t>更新以确认生物样本研究（包括</w:t>
            </w:r>
            <w:r>
              <w:rPr>
                <w:spacing w:val="-2"/>
                <w:sz w:val="21"/>
              </w:rPr>
              <w:t>任何可能的未来研究）受国家法规约束，仅在特定国家获得批准后方可在该国进行。</w:t>
            </w:r>
          </w:p>
        </w:tc>
        <w:tc>
          <w:tcPr>
            <w:tcW w:w="3145" w:type="dxa"/>
          </w:tcPr>
          <w:p>
            <w:pPr>
              <w:pStyle w:val="TableParagraph"/>
              <w:spacing w:before="36"/>
              <w:ind w:left="107"/>
              <w:rPr>
                <w:sz w:val="21"/>
              </w:rPr>
            </w:pPr>
            <w:r>
              <w:rPr>
                <w:spacing w:val="-13"/>
                <w:sz w:val="21"/>
              </w:rPr>
              <w:t>修 订 以 符 合 </w:t>
            </w:r>
            <w:r>
              <w:rPr>
                <w:rFonts w:ascii="Times New Roman" w:eastAsia="Times New Roman"/>
                <w:sz w:val="21"/>
              </w:rPr>
              <w:t>EU</w:t>
            </w:r>
            <w:r>
              <w:rPr>
                <w:rFonts w:ascii="Times New Roman" w:eastAsia="Times New Roman"/>
                <w:spacing w:val="61"/>
                <w:w w:val="150"/>
                <w:sz w:val="21"/>
              </w:rPr>
              <w:t> </w:t>
            </w:r>
            <w:r>
              <w:rPr>
                <w:rFonts w:ascii="Times New Roman" w:eastAsia="Times New Roman"/>
                <w:sz w:val="21"/>
              </w:rPr>
              <w:t>CTR</w:t>
            </w:r>
            <w:r>
              <w:rPr>
                <w:rFonts w:ascii="Times New Roman" w:eastAsia="Times New Roman"/>
                <w:spacing w:val="66"/>
                <w:w w:val="150"/>
                <w:sz w:val="21"/>
              </w:rPr>
              <w:t> </w:t>
            </w:r>
            <w:r>
              <w:rPr>
                <w:spacing w:val="26"/>
                <w:sz w:val="21"/>
              </w:rPr>
              <w:t>法规</w:t>
            </w:r>
            <w:r>
              <w:rPr>
                <w:spacing w:val="-10"/>
                <w:sz w:val="21"/>
              </w:rPr>
              <w:t> </w:t>
            </w:r>
          </w:p>
          <w:p>
            <w:pPr>
              <w:pStyle w:val="TableParagraph"/>
              <w:spacing w:before="1"/>
              <w:ind w:left="3"/>
              <w:rPr>
                <w:sz w:val="21"/>
              </w:rPr>
            </w:pPr>
            <w:r>
              <w:rPr>
                <w:sz w:val="21"/>
              </w:rPr>
              <w:t>（</w:t>
            </w:r>
            <w:r>
              <w:rPr>
                <w:rFonts w:ascii="Times New Roman" w:eastAsia="Times New Roman"/>
                <w:sz w:val="21"/>
              </w:rPr>
              <w:t>EU</w:t>
            </w:r>
            <w:r>
              <w:rPr>
                <w:sz w:val="21"/>
              </w:rPr>
              <w:t>）</w:t>
            </w:r>
            <w:r>
              <w:rPr>
                <w:spacing w:val="-27"/>
                <w:sz w:val="21"/>
              </w:rPr>
              <w:t>第 </w:t>
            </w:r>
            <w:r>
              <w:rPr>
                <w:rFonts w:ascii="Times New Roman" w:eastAsia="Times New Roman"/>
                <w:sz w:val="21"/>
              </w:rPr>
              <w:t>536/2014</w:t>
            </w:r>
            <w:r>
              <w:rPr>
                <w:rFonts w:ascii="Times New Roman" w:eastAsia="Times New Roman"/>
                <w:spacing w:val="-13"/>
                <w:sz w:val="21"/>
              </w:rPr>
              <w:t> </w:t>
            </w:r>
            <w:r>
              <w:rPr>
                <w:spacing w:val="-3"/>
                <w:sz w:val="21"/>
              </w:rPr>
              <w:t>号要求。</w:t>
            </w:r>
          </w:p>
        </w:tc>
      </w:tr>
      <w:tr>
        <w:trPr>
          <w:trHeight w:val="624" w:hRule="atLeast"/>
        </w:trPr>
        <w:tc>
          <w:tcPr>
            <w:tcW w:w="2428" w:type="dxa"/>
          </w:tcPr>
          <w:p>
            <w:pPr>
              <w:pStyle w:val="TableParagraph"/>
              <w:spacing w:before="36"/>
              <w:ind w:left="107" w:right="96"/>
              <w:rPr>
                <w:sz w:val="21"/>
              </w:rPr>
            </w:pPr>
            <w:r>
              <w:rPr>
                <w:spacing w:val="-15"/>
                <w:sz w:val="21"/>
              </w:rPr>
              <w:t>第 </w:t>
            </w:r>
            <w:r>
              <w:rPr>
                <w:rFonts w:ascii="Times New Roman" w:eastAsia="Times New Roman"/>
                <w:sz w:val="21"/>
              </w:rPr>
              <w:t>9.3.1</w:t>
            </w:r>
            <w:r>
              <w:rPr>
                <w:rFonts w:ascii="Times New Roman" w:eastAsia="Times New Roman"/>
                <w:spacing w:val="-12"/>
                <w:sz w:val="21"/>
              </w:rPr>
              <w:t> </w:t>
            </w:r>
            <w:r>
              <w:rPr>
                <w:spacing w:val="-8"/>
                <w:sz w:val="21"/>
              </w:rPr>
              <w:t>节，表 </w:t>
            </w:r>
            <w:r>
              <w:rPr>
                <w:rFonts w:ascii="Times New Roman" w:eastAsia="Times New Roman"/>
                <w:sz w:val="21"/>
              </w:rPr>
              <w:t>8</w:t>
            </w:r>
            <w:r>
              <w:rPr>
                <w:sz w:val="21"/>
              </w:rPr>
              <w:t>，用于</w:t>
            </w:r>
            <w:r>
              <w:rPr>
                <w:spacing w:val="-2"/>
                <w:sz w:val="21"/>
              </w:rPr>
              <w:t>分析的治疗组</w:t>
            </w:r>
          </w:p>
        </w:tc>
        <w:tc>
          <w:tcPr>
            <w:tcW w:w="3184" w:type="dxa"/>
          </w:tcPr>
          <w:p>
            <w:pPr>
              <w:pStyle w:val="TableParagraph"/>
              <w:spacing w:before="36"/>
              <w:ind w:left="106" w:right="97"/>
              <w:rPr>
                <w:sz w:val="21"/>
              </w:rPr>
            </w:pPr>
            <w:r>
              <w:rPr>
                <w:spacing w:val="-2"/>
                <w:sz w:val="21"/>
              </w:rPr>
              <w:t>更新“所有安慰剂”治疗组的描述，删除“</w:t>
            </w:r>
            <w:r>
              <w:rPr>
                <w:rFonts w:ascii="Times New Roman" w:hAnsi="Times New Roman" w:eastAsia="Times New Roman"/>
                <w:spacing w:val="-2"/>
                <w:sz w:val="21"/>
              </w:rPr>
              <w:t>G</w:t>
            </w:r>
            <w:r>
              <w:rPr>
                <w:spacing w:val="-2"/>
                <w:sz w:val="21"/>
              </w:rPr>
              <w:t>”组和“</w:t>
            </w:r>
            <w:r>
              <w:rPr>
                <w:rFonts w:ascii="Times New Roman" w:hAnsi="Times New Roman" w:eastAsia="Times New Roman"/>
                <w:spacing w:val="-2"/>
                <w:sz w:val="21"/>
              </w:rPr>
              <w:t>I</w:t>
            </w:r>
            <w:r>
              <w:rPr>
                <w:spacing w:val="-2"/>
                <w:sz w:val="21"/>
              </w:rPr>
              <w:t>”组。</w:t>
            </w:r>
          </w:p>
        </w:tc>
        <w:tc>
          <w:tcPr>
            <w:tcW w:w="3145" w:type="dxa"/>
          </w:tcPr>
          <w:p>
            <w:pPr>
              <w:pStyle w:val="TableParagraph"/>
              <w:spacing w:before="36"/>
              <w:ind w:left="107" w:right="92"/>
              <w:rPr>
                <w:sz w:val="21"/>
              </w:rPr>
            </w:pPr>
            <w:r>
              <w:rPr>
                <w:sz w:val="21"/>
              </w:rPr>
              <w:t>进行了更正，以便与 </w:t>
            </w:r>
            <w:r>
              <w:rPr>
                <w:rFonts w:ascii="Times New Roman" w:eastAsia="Times New Roman"/>
                <w:sz w:val="21"/>
              </w:rPr>
              <w:t>SAP</w:t>
            </w:r>
            <w:r>
              <w:rPr>
                <w:rFonts w:ascii="Times New Roman" w:eastAsia="Times New Roman"/>
                <w:spacing w:val="34"/>
                <w:sz w:val="21"/>
              </w:rPr>
              <w:t> </w:t>
            </w:r>
            <w:r>
              <w:rPr>
                <w:sz w:val="21"/>
              </w:rPr>
              <w:t>保持</w:t>
            </w:r>
            <w:r>
              <w:rPr>
                <w:spacing w:val="-4"/>
                <w:sz w:val="21"/>
              </w:rPr>
              <w:t>一致。</w:t>
            </w:r>
          </w:p>
        </w:tc>
      </w:tr>
      <w:tr>
        <w:trPr>
          <w:trHeight w:val="624" w:hRule="atLeast"/>
        </w:trPr>
        <w:tc>
          <w:tcPr>
            <w:tcW w:w="2428" w:type="dxa"/>
          </w:tcPr>
          <w:p>
            <w:pPr>
              <w:pStyle w:val="TableParagraph"/>
              <w:spacing w:before="36"/>
              <w:ind w:left="107" w:right="97"/>
              <w:rPr>
                <w:sz w:val="21"/>
              </w:rPr>
            </w:pPr>
            <w:r>
              <w:rPr>
                <w:sz w:val="21"/>
              </w:rPr>
              <w:t>第 </w:t>
            </w:r>
            <w:r>
              <w:rPr>
                <w:rFonts w:ascii="Times New Roman" w:eastAsia="Times New Roman"/>
                <w:sz w:val="21"/>
              </w:rPr>
              <w:t>9.4.2.1</w:t>
            </w:r>
            <w:r>
              <w:rPr>
                <w:rFonts w:ascii="Times New Roman" w:eastAsia="Times New Roman"/>
                <w:spacing w:val="32"/>
                <w:sz w:val="21"/>
              </w:rPr>
              <w:t> </w:t>
            </w:r>
            <w:r>
              <w:rPr>
                <w:spacing w:val="3"/>
                <w:sz w:val="21"/>
              </w:rPr>
              <w:t>节， 主要终</w:t>
            </w:r>
            <w:r>
              <w:rPr>
                <w:spacing w:val="-2"/>
                <w:sz w:val="21"/>
              </w:rPr>
              <w:t>点，缺失数据的处理</w:t>
            </w:r>
          </w:p>
        </w:tc>
        <w:tc>
          <w:tcPr>
            <w:tcW w:w="3184" w:type="dxa"/>
          </w:tcPr>
          <w:p>
            <w:pPr>
              <w:pStyle w:val="TableParagraph"/>
              <w:spacing w:before="36"/>
              <w:ind w:left="106" w:right="98"/>
              <w:rPr>
                <w:sz w:val="21"/>
              </w:rPr>
            </w:pPr>
            <w:r>
              <w:rPr>
                <w:spacing w:val="16"/>
                <w:sz w:val="21"/>
              </w:rPr>
              <w:t>扩展了关于缺失数据处理的文</w:t>
            </w:r>
            <w:r>
              <w:rPr>
                <w:spacing w:val="-6"/>
                <w:sz w:val="21"/>
              </w:rPr>
              <w:t>本。</w:t>
            </w:r>
          </w:p>
        </w:tc>
        <w:tc>
          <w:tcPr>
            <w:tcW w:w="3145" w:type="dxa"/>
          </w:tcPr>
          <w:p>
            <w:pPr>
              <w:pStyle w:val="TableParagraph"/>
              <w:spacing w:before="36"/>
              <w:ind w:left="107" w:right="98"/>
              <w:rPr>
                <w:sz w:val="21"/>
              </w:rPr>
            </w:pPr>
            <w:r>
              <w:rPr>
                <w:spacing w:val="12"/>
                <w:sz w:val="21"/>
              </w:rPr>
              <w:t>提供有关如何插补缺失数据的</w:t>
            </w:r>
            <w:r>
              <w:rPr>
                <w:spacing w:val="-2"/>
                <w:sz w:val="21"/>
              </w:rPr>
              <w:t>更多详细信息。</w:t>
            </w:r>
          </w:p>
        </w:tc>
      </w:tr>
      <w:tr>
        <w:trPr>
          <w:trHeight w:val="896" w:hRule="atLeast"/>
        </w:trPr>
        <w:tc>
          <w:tcPr>
            <w:tcW w:w="2428" w:type="dxa"/>
          </w:tcPr>
          <w:p>
            <w:pPr>
              <w:pStyle w:val="TableParagraph"/>
              <w:spacing w:before="36"/>
              <w:ind w:left="107" w:right="96"/>
              <w:jc w:val="both"/>
              <w:rPr>
                <w:sz w:val="21"/>
              </w:rPr>
            </w:pPr>
            <w:r>
              <w:rPr>
                <w:spacing w:val="-10"/>
                <w:sz w:val="21"/>
              </w:rPr>
              <w:t>第 </w:t>
            </w:r>
            <w:r>
              <w:rPr>
                <w:rFonts w:ascii="Times New Roman" w:eastAsia="Times New Roman"/>
                <w:sz w:val="21"/>
              </w:rPr>
              <w:t>10</w:t>
            </w:r>
            <w:r>
              <w:rPr>
                <w:rFonts w:ascii="Times New Roman" w:eastAsia="Times New Roman"/>
                <w:spacing w:val="15"/>
                <w:sz w:val="21"/>
              </w:rPr>
              <w:t> </w:t>
            </w:r>
            <w:r>
              <w:rPr>
                <w:spacing w:val="-4"/>
                <w:sz w:val="21"/>
              </w:rPr>
              <w:t>节，附录 </w:t>
            </w:r>
            <w:r>
              <w:rPr>
                <w:rFonts w:ascii="Times New Roman" w:eastAsia="Times New Roman"/>
                <w:sz w:val="21"/>
              </w:rPr>
              <w:t>A1</w:t>
            </w:r>
            <w:r>
              <w:rPr>
                <w:sz w:val="21"/>
              </w:rPr>
              <w:t>，药</w:t>
            </w:r>
            <w:r>
              <w:rPr>
                <w:spacing w:val="8"/>
                <w:sz w:val="21"/>
              </w:rPr>
              <w:t>政监管、伦理学和研究</w:t>
            </w:r>
            <w:r>
              <w:rPr>
                <w:spacing w:val="-2"/>
                <w:sz w:val="21"/>
              </w:rPr>
              <w:t>监管考察因素</w:t>
            </w:r>
          </w:p>
        </w:tc>
        <w:tc>
          <w:tcPr>
            <w:tcW w:w="3184" w:type="dxa"/>
          </w:tcPr>
          <w:p>
            <w:pPr>
              <w:pStyle w:val="TableParagraph"/>
              <w:spacing w:before="36"/>
              <w:ind w:left="106" w:right="100"/>
              <w:jc w:val="both"/>
              <w:rPr>
                <w:sz w:val="21"/>
              </w:rPr>
            </w:pPr>
            <w:r>
              <w:rPr>
                <w:spacing w:val="-2"/>
                <w:sz w:val="21"/>
              </w:rPr>
              <w:t>更新了副标题，包括对数据保护</w:t>
            </w:r>
            <w:r>
              <w:rPr>
                <w:spacing w:val="-2"/>
                <w:sz w:val="21"/>
              </w:rPr>
              <w:t>和严重违背行为监管报告要求的</w:t>
            </w:r>
            <w:r>
              <w:rPr>
                <w:spacing w:val="-4"/>
                <w:sz w:val="21"/>
              </w:rPr>
              <w:t>更新。</w:t>
            </w:r>
          </w:p>
        </w:tc>
        <w:tc>
          <w:tcPr>
            <w:tcW w:w="3145" w:type="dxa"/>
          </w:tcPr>
          <w:p>
            <w:pPr>
              <w:pStyle w:val="TableParagraph"/>
              <w:spacing w:line="273" w:lineRule="exact" w:before="36"/>
              <w:ind w:left="107"/>
              <w:rPr>
                <w:sz w:val="21"/>
              </w:rPr>
            </w:pPr>
            <w:r>
              <w:rPr>
                <w:spacing w:val="-13"/>
                <w:sz w:val="21"/>
              </w:rPr>
              <w:t>修 订 以 符 合 </w:t>
            </w:r>
            <w:r>
              <w:rPr>
                <w:rFonts w:ascii="Times New Roman" w:eastAsia="Times New Roman"/>
                <w:sz w:val="21"/>
              </w:rPr>
              <w:t>EU</w:t>
            </w:r>
            <w:r>
              <w:rPr>
                <w:rFonts w:ascii="Times New Roman" w:eastAsia="Times New Roman"/>
                <w:spacing w:val="61"/>
                <w:w w:val="150"/>
                <w:sz w:val="21"/>
              </w:rPr>
              <w:t> </w:t>
            </w:r>
            <w:r>
              <w:rPr>
                <w:rFonts w:ascii="Times New Roman" w:eastAsia="Times New Roman"/>
                <w:sz w:val="21"/>
              </w:rPr>
              <w:t>CTR</w:t>
            </w:r>
            <w:r>
              <w:rPr>
                <w:rFonts w:ascii="Times New Roman" w:eastAsia="Times New Roman"/>
                <w:spacing w:val="66"/>
                <w:w w:val="150"/>
                <w:sz w:val="21"/>
              </w:rPr>
              <w:t> </w:t>
            </w:r>
            <w:r>
              <w:rPr>
                <w:spacing w:val="26"/>
                <w:sz w:val="21"/>
              </w:rPr>
              <w:t>法规</w:t>
            </w:r>
            <w:r>
              <w:rPr>
                <w:spacing w:val="-10"/>
                <w:sz w:val="21"/>
              </w:rPr>
              <w:t> </w:t>
            </w:r>
          </w:p>
          <w:p>
            <w:pPr>
              <w:pStyle w:val="TableParagraph"/>
              <w:ind w:left="107" w:right="96" w:hanging="105"/>
              <w:rPr>
                <w:sz w:val="21"/>
              </w:rPr>
            </w:pPr>
            <w:r>
              <w:rPr>
                <w:spacing w:val="-2"/>
                <w:sz w:val="21"/>
              </w:rPr>
              <w:t>（</w:t>
            </w:r>
            <w:r>
              <w:rPr>
                <w:rFonts w:ascii="Times New Roman" w:eastAsia="Times New Roman"/>
                <w:spacing w:val="-2"/>
                <w:sz w:val="21"/>
              </w:rPr>
              <w:t>EU</w:t>
            </w:r>
            <w:r>
              <w:rPr>
                <w:spacing w:val="-2"/>
                <w:sz w:val="21"/>
              </w:rPr>
              <w:t>）</w:t>
            </w:r>
            <w:r>
              <w:rPr>
                <w:spacing w:val="-34"/>
                <w:sz w:val="21"/>
              </w:rPr>
              <w:t>第 </w:t>
            </w:r>
            <w:r>
              <w:rPr>
                <w:rFonts w:ascii="Times New Roman" w:eastAsia="Times New Roman"/>
                <w:spacing w:val="-2"/>
                <w:sz w:val="21"/>
              </w:rPr>
              <w:t>536/2014</w:t>
            </w:r>
            <w:r>
              <w:rPr>
                <w:rFonts w:ascii="Times New Roman" w:eastAsia="Times New Roman"/>
                <w:spacing w:val="-21"/>
                <w:sz w:val="21"/>
              </w:rPr>
              <w:t> </w:t>
            </w:r>
            <w:r>
              <w:rPr>
                <w:spacing w:val="-2"/>
                <w:sz w:val="21"/>
              </w:rPr>
              <w:t>号要求和全球公司要求。</w:t>
            </w:r>
          </w:p>
        </w:tc>
      </w:tr>
      <w:tr>
        <w:trPr>
          <w:trHeight w:val="624" w:hRule="atLeast"/>
        </w:trPr>
        <w:tc>
          <w:tcPr>
            <w:tcW w:w="2428" w:type="dxa"/>
          </w:tcPr>
          <w:p>
            <w:pPr>
              <w:pStyle w:val="TableParagraph"/>
              <w:spacing w:before="38"/>
              <w:ind w:left="107" w:right="96"/>
              <w:rPr>
                <w:sz w:val="21"/>
              </w:rPr>
            </w:pPr>
            <w:r>
              <w:rPr>
                <w:spacing w:val="-10"/>
                <w:sz w:val="21"/>
              </w:rPr>
              <w:t>第 </w:t>
            </w:r>
            <w:r>
              <w:rPr>
                <w:rFonts w:ascii="Times New Roman" w:eastAsia="Times New Roman"/>
                <w:sz w:val="21"/>
              </w:rPr>
              <w:t>10</w:t>
            </w:r>
            <w:r>
              <w:rPr>
                <w:rFonts w:ascii="Times New Roman" w:eastAsia="Times New Roman"/>
                <w:spacing w:val="15"/>
                <w:sz w:val="21"/>
              </w:rPr>
              <w:t> </w:t>
            </w:r>
            <w:r>
              <w:rPr>
                <w:spacing w:val="-4"/>
                <w:sz w:val="21"/>
              </w:rPr>
              <w:t>节，附录 </w:t>
            </w:r>
            <w:r>
              <w:rPr>
                <w:rFonts w:ascii="Times New Roman" w:eastAsia="Times New Roman"/>
                <w:sz w:val="21"/>
              </w:rPr>
              <w:t>A4</w:t>
            </w:r>
            <w:r>
              <w:rPr>
                <w:sz w:val="21"/>
              </w:rPr>
              <w:t>，数</w:t>
            </w:r>
            <w:r>
              <w:rPr>
                <w:spacing w:val="-4"/>
                <w:sz w:val="21"/>
              </w:rPr>
              <w:t>据保护</w:t>
            </w:r>
          </w:p>
        </w:tc>
        <w:tc>
          <w:tcPr>
            <w:tcW w:w="3184" w:type="dxa"/>
          </w:tcPr>
          <w:p>
            <w:pPr>
              <w:pStyle w:val="TableParagraph"/>
              <w:spacing w:before="38"/>
              <w:ind w:left="106" w:right="100"/>
              <w:rPr>
                <w:sz w:val="21"/>
              </w:rPr>
            </w:pPr>
            <w:r>
              <w:rPr>
                <w:spacing w:val="-2"/>
                <w:sz w:val="21"/>
              </w:rPr>
              <w:t>更新有关个人数据保护的详细信</w:t>
            </w:r>
            <w:r>
              <w:rPr>
                <w:spacing w:val="-6"/>
                <w:sz w:val="21"/>
              </w:rPr>
              <w:t>息。</w:t>
            </w:r>
          </w:p>
        </w:tc>
        <w:tc>
          <w:tcPr>
            <w:tcW w:w="3145" w:type="dxa"/>
          </w:tcPr>
          <w:p>
            <w:pPr>
              <w:pStyle w:val="TableParagraph"/>
              <w:spacing w:before="39"/>
              <w:ind w:left="107"/>
              <w:rPr>
                <w:sz w:val="21"/>
              </w:rPr>
            </w:pPr>
            <w:r>
              <w:rPr>
                <w:spacing w:val="-16"/>
                <w:sz w:val="21"/>
              </w:rPr>
              <w:t>遵守 </w:t>
            </w:r>
            <w:r>
              <w:rPr>
                <w:rFonts w:ascii="Times New Roman" w:eastAsia="Times New Roman"/>
                <w:spacing w:val="-2"/>
                <w:sz w:val="21"/>
              </w:rPr>
              <w:t>GDPR</w:t>
            </w:r>
            <w:r>
              <w:rPr>
                <w:spacing w:val="-10"/>
                <w:sz w:val="21"/>
              </w:rPr>
              <w:t>。</w:t>
            </w:r>
          </w:p>
        </w:tc>
      </w:tr>
      <w:tr>
        <w:trPr>
          <w:trHeight w:val="897" w:hRule="atLeast"/>
        </w:trPr>
        <w:tc>
          <w:tcPr>
            <w:tcW w:w="2428" w:type="dxa"/>
          </w:tcPr>
          <w:p>
            <w:pPr>
              <w:pStyle w:val="TableParagraph"/>
              <w:spacing w:before="38"/>
              <w:ind w:left="107" w:right="223"/>
              <w:rPr>
                <w:sz w:val="21"/>
              </w:rPr>
            </w:pPr>
            <w:r>
              <w:rPr>
                <w:spacing w:val="-28"/>
                <w:sz w:val="21"/>
              </w:rPr>
              <w:t>第 </w:t>
            </w:r>
            <w:r>
              <w:rPr>
                <w:rFonts w:ascii="Times New Roman" w:eastAsia="Times New Roman"/>
                <w:spacing w:val="-2"/>
                <w:sz w:val="21"/>
              </w:rPr>
              <w:t>10</w:t>
            </w:r>
            <w:r>
              <w:rPr>
                <w:rFonts w:ascii="Times New Roman" w:eastAsia="Times New Roman"/>
                <w:spacing w:val="-12"/>
                <w:sz w:val="21"/>
              </w:rPr>
              <w:t> </w:t>
            </w:r>
            <w:r>
              <w:rPr>
                <w:spacing w:val="-13"/>
                <w:sz w:val="21"/>
              </w:rPr>
              <w:t>节，附录 </w:t>
            </w:r>
            <w:r>
              <w:rPr>
                <w:rFonts w:ascii="Times New Roman" w:eastAsia="Times New Roman"/>
                <w:spacing w:val="-2"/>
                <w:sz w:val="21"/>
              </w:rPr>
              <w:t>A7</w:t>
            </w:r>
            <w:r>
              <w:rPr>
                <w:spacing w:val="-2"/>
                <w:sz w:val="21"/>
              </w:rPr>
              <w:t>，数据质量保证</w:t>
            </w:r>
          </w:p>
        </w:tc>
        <w:tc>
          <w:tcPr>
            <w:tcW w:w="3184" w:type="dxa"/>
          </w:tcPr>
          <w:p>
            <w:pPr>
              <w:pStyle w:val="TableParagraph"/>
              <w:spacing w:before="38"/>
              <w:ind w:left="106" w:right="100"/>
              <w:rPr>
                <w:sz w:val="21"/>
              </w:rPr>
            </w:pPr>
            <w:r>
              <w:rPr>
                <w:spacing w:val="-2"/>
                <w:sz w:val="21"/>
              </w:rPr>
              <w:t>更新有关记录和文件保留时限以及监测详情和职责的信息。</w:t>
            </w:r>
          </w:p>
        </w:tc>
        <w:tc>
          <w:tcPr>
            <w:tcW w:w="3145" w:type="dxa"/>
          </w:tcPr>
          <w:p>
            <w:pPr>
              <w:pStyle w:val="TableParagraph"/>
              <w:spacing w:line="273" w:lineRule="exact" w:before="38"/>
              <w:ind w:left="107"/>
              <w:rPr>
                <w:sz w:val="21"/>
              </w:rPr>
            </w:pPr>
            <w:r>
              <w:rPr>
                <w:spacing w:val="-13"/>
                <w:sz w:val="21"/>
              </w:rPr>
              <w:t>修 订 以 符 合 </w:t>
            </w:r>
            <w:r>
              <w:rPr>
                <w:rFonts w:ascii="Times New Roman" w:eastAsia="Times New Roman"/>
                <w:sz w:val="21"/>
              </w:rPr>
              <w:t>EU</w:t>
            </w:r>
            <w:r>
              <w:rPr>
                <w:rFonts w:ascii="Times New Roman" w:eastAsia="Times New Roman"/>
                <w:spacing w:val="61"/>
                <w:w w:val="150"/>
                <w:sz w:val="21"/>
              </w:rPr>
              <w:t> </w:t>
            </w:r>
            <w:r>
              <w:rPr>
                <w:rFonts w:ascii="Times New Roman" w:eastAsia="Times New Roman"/>
                <w:sz w:val="21"/>
              </w:rPr>
              <w:t>CTR</w:t>
            </w:r>
            <w:r>
              <w:rPr>
                <w:rFonts w:ascii="Times New Roman" w:eastAsia="Times New Roman"/>
                <w:spacing w:val="66"/>
                <w:w w:val="150"/>
                <w:sz w:val="21"/>
              </w:rPr>
              <w:t> </w:t>
            </w:r>
            <w:r>
              <w:rPr>
                <w:spacing w:val="26"/>
                <w:sz w:val="21"/>
              </w:rPr>
              <w:t>法规</w:t>
            </w:r>
            <w:r>
              <w:rPr>
                <w:spacing w:val="-10"/>
                <w:sz w:val="21"/>
              </w:rPr>
              <w:t> </w:t>
            </w:r>
          </w:p>
          <w:p>
            <w:pPr>
              <w:pStyle w:val="TableParagraph"/>
              <w:ind w:left="107" w:right="96" w:hanging="105"/>
              <w:rPr>
                <w:sz w:val="21"/>
              </w:rPr>
            </w:pPr>
            <w:r>
              <w:rPr>
                <w:spacing w:val="-2"/>
                <w:sz w:val="21"/>
              </w:rPr>
              <w:t>（</w:t>
            </w:r>
            <w:r>
              <w:rPr>
                <w:rFonts w:ascii="Times New Roman" w:eastAsia="Times New Roman"/>
                <w:spacing w:val="-2"/>
                <w:sz w:val="21"/>
              </w:rPr>
              <w:t>EU</w:t>
            </w:r>
            <w:r>
              <w:rPr>
                <w:spacing w:val="-2"/>
                <w:sz w:val="21"/>
              </w:rPr>
              <w:t>）</w:t>
            </w:r>
            <w:r>
              <w:rPr>
                <w:spacing w:val="-34"/>
                <w:sz w:val="21"/>
              </w:rPr>
              <w:t>第 </w:t>
            </w:r>
            <w:r>
              <w:rPr>
                <w:rFonts w:ascii="Times New Roman" w:eastAsia="Times New Roman"/>
                <w:spacing w:val="-2"/>
                <w:sz w:val="21"/>
              </w:rPr>
              <w:t>536/2014</w:t>
            </w:r>
            <w:r>
              <w:rPr>
                <w:rFonts w:ascii="Times New Roman" w:eastAsia="Times New Roman"/>
                <w:spacing w:val="-21"/>
                <w:sz w:val="21"/>
              </w:rPr>
              <w:t> </w:t>
            </w:r>
            <w:r>
              <w:rPr>
                <w:spacing w:val="-2"/>
                <w:sz w:val="21"/>
              </w:rPr>
              <w:t>号要求和全球公司要求。</w:t>
            </w:r>
          </w:p>
        </w:tc>
      </w:tr>
      <w:tr>
        <w:trPr>
          <w:trHeight w:val="897" w:hRule="atLeast"/>
        </w:trPr>
        <w:tc>
          <w:tcPr>
            <w:tcW w:w="2428" w:type="dxa"/>
          </w:tcPr>
          <w:p>
            <w:pPr>
              <w:pStyle w:val="TableParagraph"/>
              <w:spacing w:before="38"/>
              <w:ind w:left="107" w:right="208"/>
              <w:jc w:val="both"/>
              <w:rPr>
                <w:sz w:val="21"/>
              </w:rPr>
            </w:pPr>
            <w:r>
              <w:rPr>
                <w:spacing w:val="-14"/>
                <w:sz w:val="21"/>
              </w:rPr>
              <w:t>第 </w:t>
            </w:r>
            <w:r>
              <w:rPr>
                <w:rFonts w:ascii="Times New Roman" w:eastAsia="Times New Roman"/>
                <w:spacing w:val="-4"/>
                <w:sz w:val="21"/>
              </w:rPr>
              <w:t>10</w:t>
            </w:r>
            <w:r>
              <w:rPr>
                <w:rFonts w:ascii="Times New Roman" w:eastAsia="Times New Roman"/>
                <w:spacing w:val="-9"/>
                <w:sz w:val="21"/>
              </w:rPr>
              <w:t> </w:t>
            </w:r>
            <w:r>
              <w:rPr>
                <w:spacing w:val="-8"/>
                <w:sz w:val="21"/>
              </w:rPr>
              <w:t>节，附录 </w:t>
            </w:r>
            <w:r>
              <w:rPr>
                <w:rFonts w:ascii="Times New Roman" w:eastAsia="Times New Roman"/>
                <w:spacing w:val="-4"/>
                <w:sz w:val="21"/>
              </w:rPr>
              <w:t>B4</w:t>
            </w:r>
            <w:r>
              <w:rPr>
                <w:spacing w:val="-4"/>
                <w:sz w:val="21"/>
              </w:rPr>
              <w:t>，用</w:t>
            </w:r>
            <w:r>
              <w:rPr>
                <w:spacing w:val="-2"/>
                <w:sz w:val="21"/>
              </w:rPr>
              <w:t>药错误、药物滥用和药</w:t>
            </w:r>
            <w:r>
              <w:rPr>
                <w:spacing w:val="-4"/>
                <w:sz w:val="21"/>
              </w:rPr>
              <w:t>物误用</w:t>
            </w:r>
          </w:p>
        </w:tc>
        <w:tc>
          <w:tcPr>
            <w:tcW w:w="3184" w:type="dxa"/>
          </w:tcPr>
          <w:p>
            <w:pPr>
              <w:pStyle w:val="TableParagraph"/>
              <w:spacing w:before="38"/>
              <w:ind w:left="106" w:right="96"/>
              <w:jc w:val="both"/>
              <w:rPr>
                <w:sz w:val="21"/>
              </w:rPr>
            </w:pPr>
            <w:r>
              <w:rPr>
                <w:spacing w:val="-9"/>
                <w:sz w:val="21"/>
              </w:rPr>
              <w:t>将与 </w:t>
            </w:r>
            <w:r>
              <w:rPr>
                <w:rFonts w:ascii="Times New Roman" w:hAnsi="Times New Roman" w:eastAsia="Times New Roman"/>
                <w:sz w:val="21"/>
              </w:rPr>
              <w:t>AE</w:t>
            </w:r>
            <w:r>
              <w:rPr>
                <w:rFonts w:ascii="Times New Roman" w:hAnsi="Times New Roman" w:eastAsia="Times New Roman"/>
                <w:spacing w:val="1"/>
                <w:sz w:val="21"/>
              </w:rPr>
              <w:t> </w:t>
            </w:r>
            <w:r>
              <w:rPr>
                <w:sz w:val="21"/>
              </w:rPr>
              <w:t>定义相关的用药错误文</w:t>
            </w:r>
            <w:r>
              <w:rPr>
                <w:spacing w:val="-3"/>
                <w:sz w:val="21"/>
              </w:rPr>
              <w:t>本从“ 药物误用” 子章节移至</w:t>
            </w:r>
            <w:r>
              <w:rPr>
                <w:sz w:val="21"/>
              </w:rPr>
              <w:t> </w:t>
            </w:r>
            <w:r>
              <w:rPr>
                <w:spacing w:val="-2"/>
                <w:sz w:val="21"/>
              </w:rPr>
              <w:t>“用药错误”子章节。</w:t>
            </w:r>
          </w:p>
        </w:tc>
        <w:tc>
          <w:tcPr>
            <w:tcW w:w="3145" w:type="dxa"/>
          </w:tcPr>
          <w:p>
            <w:pPr>
              <w:pStyle w:val="TableParagraph"/>
              <w:spacing w:before="39"/>
              <w:ind w:left="107"/>
              <w:rPr>
                <w:sz w:val="21"/>
              </w:rPr>
            </w:pPr>
            <w:r>
              <w:rPr>
                <w:spacing w:val="-2"/>
                <w:sz w:val="21"/>
              </w:rPr>
              <w:t>更正位置错误。</w:t>
            </w:r>
          </w:p>
        </w:tc>
      </w:tr>
      <w:tr>
        <w:trPr>
          <w:trHeight w:val="1170" w:hRule="atLeast"/>
        </w:trPr>
        <w:tc>
          <w:tcPr>
            <w:tcW w:w="2428" w:type="dxa"/>
          </w:tcPr>
          <w:p>
            <w:pPr>
              <w:pStyle w:val="TableParagraph"/>
              <w:spacing w:before="36"/>
              <w:ind w:left="107" w:right="111"/>
              <w:rPr>
                <w:sz w:val="21"/>
              </w:rPr>
            </w:pPr>
            <w:r>
              <w:rPr>
                <w:spacing w:val="-13"/>
                <w:sz w:val="21"/>
              </w:rPr>
              <w:t>第 </w:t>
            </w:r>
            <w:r>
              <w:rPr>
                <w:rFonts w:ascii="Times New Roman" w:eastAsia="Times New Roman"/>
                <w:sz w:val="21"/>
              </w:rPr>
              <w:t>10 </w:t>
            </w:r>
            <w:r>
              <w:rPr>
                <w:spacing w:val="-6"/>
                <w:sz w:val="21"/>
              </w:rPr>
              <w:t>节，附录 </w:t>
            </w:r>
            <w:r>
              <w:rPr>
                <w:rFonts w:ascii="Times New Roman" w:eastAsia="Times New Roman"/>
                <w:sz w:val="21"/>
              </w:rPr>
              <w:t>D6</w:t>
            </w:r>
            <w:r>
              <w:rPr>
                <w:sz w:val="21"/>
              </w:rPr>
              <w:t>，实</w:t>
            </w:r>
            <w:r>
              <w:rPr>
                <w:spacing w:val="-10"/>
                <w:sz w:val="21"/>
              </w:rPr>
              <w:t>验室检查，第 </w:t>
            </w:r>
            <w:r>
              <w:rPr>
                <w:rFonts w:ascii="Times New Roman" w:eastAsia="Times New Roman"/>
                <w:spacing w:val="-2"/>
                <w:sz w:val="21"/>
              </w:rPr>
              <w:t>10</w:t>
            </w:r>
            <w:r>
              <w:rPr>
                <w:rFonts w:ascii="Times New Roman" w:eastAsia="Times New Roman"/>
                <w:spacing w:val="-12"/>
                <w:sz w:val="21"/>
              </w:rPr>
              <w:t> </w:t>
            </w:r>
            <w:r>
              <w:rPr>
                <w:spacing w:val="-2"/>
                <w:sz w:val="21"/>
              </w:rPr>
              <w:t>节，附</w:t>
            </w:r>
            <w:r>
              <w:rPr>
                <w:spacing w:val="-21"/>
                <w:sz w:val="21"/>
              </w:rPr>
              <w:t>录 </w:t>
            </w:r>
            <w:r>
              <w:rPr>
                <w:rFonts w:ascii="Times New Roman" w:eastAsia="Times New Roman"/>
                <w:sz w:val="21"/>
              </w:rPr>
              <w:t>J</w:t>
            </w:r>
            <w:r>
              <w:rPr>
                <w:sz w:val="21"/>
              </w:rPr>
              <w:t>，国家特定要求</w:t>
            </w:r>
          </w:p>
        </w:tc>
        <w:tc>
          <w:tcPr>
            <w:tcW w:w="3184" w:type="dxa"/>
          </w:tcPr>
          <w:p>
            <w:pPr>
              <w:pStyle w:val="TableParagraph"/>
              <w:spacing w:before="36"/>
              <w:ind w:left="106" w:right="97"/>
              <w:jc w:val="both"/>
              <w:rPr>
                <w:sz w:val="21"/>
              </w:rPr>
            </w:pPr>
            <w:r>
              <w:rPr>
                <w:spacing w:val="-2"/>
                <w:sz w:val="21"/>
              </w:rPr>
              <w:t>关于使用海氏法则实验室试剂盒</w:t>
            </w:r>
            <w:r>
              <w:rPr>
                <w:spacing w:val="-2"/>
                <w:sz w:val="21"/>
              </w:rPr>
              <w:t>进行实验室检查的脚注文本已从</w:t>
            </w:r>
            <w:r>
              <w:rPr>
                <w:spacing w:val="10"/>
                <w:sz w:val="21"/>
              </w:rPr>
              <w:t>附录</w:t>
            </w:r>
            <w:r>
              <w:rPr>
                <w:rFonts w:ascii="Times New Roman" w:eastAsia="Times New Roman"/>
                <w:sz w:val="21"/>
              </w:rPr>
              <w:t>D6</w:t>
            </w:r>
            <w:r>
              <w:rPr>
                <w:rFonts w:ascii="Times New Roman" w:eastAsia="Times New Roman"/>
                <w:spacing w:val="-14"/>
                <w:sz w:val="21"/>
              </w:rPr>
              <w:t> </w:t>
            </w:r>
            <w:r>
              <w:rPr>
                <w:spacing w:val="2"/>
                <w:sz w:val="21"/>
              </w:rPr>
              <w:t>中删除，并移至附录</w:t>
            </w:r>
            <w:r>
              <w:rPr>
                <w:rFonts w:ascii="Times New Roman" w:eastAsia="Times New Roman"/>
                <w:spacing w:val="20"/>
                <w:sz w:val="21"/>
              </w:rPr>
              <w:t>J</w:t>
            </w:r>
            <w:r>
              <w:rPr>
                <w:sz w:val="21"/>
              </w:rPr>
              <w:t>中</w:t>
            </w:r>
            <w:r>
              <w:rPr>
                <w:spacing w:val="-6"/>
                <w:sz w:val="21"/>
              </w:rPr>
              <w:t>国。</w:t>
            </w:r>
          </w:p>
        </w:tc>
        <w:tc>
          <w:tcPr>
            <w:tcW w:w="3145" w:type="dxa"/>
          </w:tcPr>
          <w:p>
            <w:pPr>
              <w:pStyle w:val="TableParagraph"/>
              <w:spacing w:before="38"/>
              <w:ind w:left="107"/>
              <w:rPr>
                <w:sz w:val="21"/>
              </w:rPr>
            </w:pPr>
            <w:r>
              <w:rPr>
                <w:spacing w:val="-2"/>
                <w:sz w:val="21"/>
              </w:rPr>
              <w:t>更正错误位置。</w:t>
            </w:r>
          </w:p>
        </w:tc>
      </w:tr>
      <w:tr>
        <w:trPr>
          <w:trHeight w:val="1169" w:hRule="atLeast"/>
        </w:trPr>
        <w:tc>
          <w:tcPr>
            <w:tcW w:w="2428" w:type="dxa"/>
          </w:tcPr>
          <w:p>
            <w:pPr>
              <w:pStyle w:val="TableParagraph"/>
              <w:spacing w:before="36"/>
              <w:ind w:left="107" w:right="181"/>
              <w:jc w:val="both"/>
              <w:rPr>
                <w:sz w:val="21"/>
              </w:rPr>
            </w:pPr>
            <w:r>
              <w:rPr>
                <w:spacing w:val="-14"/>
                <w:sz w:val="21"/>
              </w:rPr>
              <w:t>第 </w:t>
            </w:r>
            <w:r>
              <w:rPr>
                <w:rFonts w:ascii="Times New Roman" w:eastAsia="Times New Roman"/>
                <w:spacing w:val="-8"/>
                <w:sz w:val="21"/>
              </w:rPr>
              <w:t>10</w:t>
            </w:r>
            <w:r>
              <w:rPr>
                <w:rFonts w:ascii="Times New Roman" w:eastAsia="Times New Roman"/>
                <w:spacing w:val="-5"/>
                <w:sz w:val="21"/>
              </w:rPr>
              <w:t> </w:t>
            </w:r>
            <w:r>
              <w:rPr>
                <w:spacing w:val="-10"/>
                <w:sz w:val="21"/>
              </w:rPr>
              <w:t>节，附录 </w:t>
            </w:r>
            <w:r>
              <w:rPr>
                <w:rFonts w:ascii="Times New Roman" w:eastAsia="Times New Roman"/>
                <w:spacing w:val="-8"/>
                <w:sz w:val="21"/>
              </w:rPr>
              <w:t>H2</w:t>
            </w:r>
            <w:r>
              <w:rPr>
                <w:rFonts w:ascii="Times New Roman" w:eastAsia="Times New Roman"/>
                <w:spacing w:val="-5"/>
                <w:sz w:val="21"/>
              </w:rPr>
              <w:t> </w:t>
            </w:r>
            <w:r>
              <w:rPr>
                <w:spacing w:val="-8"/>
                <w:sz w:val="21"/>
              </w:rPr>
              <w:t>为了</w:t>
            </w:r>
            <w:r>
              <w:rPr>
                <w:spacing w:val="-2"/>
                <w:sz w:val="21"/>
              </w:rPr>
              <w:t>重新确认研究资格而对受试者进行的重新入选</w:t>
            </w:r>
            <w:r>
              <w:rPr>
                <w:spacing w:val="-6"/>
                <w:sz w:val="21"/>
              </w:rPr>
              <w:t>程序</w:t>
            </w:r>
          </w:p>
        </w:tc>
        <w:tc>
          <w:tcPr>
            <w:tcW w:w="3184" w:type="dxa"/>
          </w:tcPr>
          <w:p>
            <w:pPr>
              <w:pStyle w:val="TableParagraph"/>
              <w:spacing w:before="38"/>
              <w:ind w:left="106"/>
              <w:rPr>
                <w:sz w:val="21"/>
              </w:rPr>
            </w:pPr>
            <w:r>
              <w:rPr>
                <w:spacing w:val="-1"/>
                <w:sz w:val="21"/>
              </w:rPr>
              <w:t>更新了关于入组延迟的文本。</w:t>
            </w:r>
          </w:p>
        </w:tc>
        <w:tc>
          <w:tcPr>
            <w:tcW w:w="3145" w:type="dxa"/>
          </w:tcPr>
          <w:p>
            <w:pPr>
              <w:pStyle w:val="TableParagraph"/>
              <w:spacing w:before="38"/>
              <w:ind w:left="107"/>
              <w:rPr>
                <w:sz w:val="21"/>
              </w:rPr>
            </w:pPr>
            <w:r>
              <w:rPr>
                <w:spacing w:val="-2"/>
                <w:sz w:val="21"/>
              </w:rPr>
              <w:t>澄清说明。</w:t>
            </w:r>
          </w:p>
        </w:tc>
      </w:tr>
      <w:tr>
        <w:trPr>
          <w:trHeight w:val="897" w:hRule="atLeast"/>
        </w:trPr>
        <w:tc>
          <w:tcPr>
            <w:tcW w:w="2428" w:type="dxa"/>
          </w:tcPr>
          <w:p>
            <w:pPr>
              <w:pStyle w:val="TableParagraph"/>
              <w:spacing w:before="36"/>
              <w:ind w:left="107" w:right="200"/>
              <w:jc w:val="both"/>
              <w:rPr>
                <w:sz w:val="21"/>
              </w:rPr>
            </w:pPr>
            <w:r>
              <w:rPr>
                <w:spacing w:val="-14"/>
                <w:sz w:val="21"/>
              </w:rPr>
              <w:t>第 </w:t>
            </w:r>
            <w:r>
              <w:rPr>
                <w:rFonts w:ascii="Times New Roman" w:eastAsia="Times New Roman"/>
                <w:spacing w:val="-8"/>
                <w:sz w:val="21"/>
              </w:rPr>
              <w:t>10</w:t>
            </w:r>
            <w:r>
              <w:rPr>
                <w:rFonts w:ascii="Times New Roman" w:eastAsia="Times New Roman"/>
                <w:spacing w:val="-5"/>
                <w:sz w:val="21"/>
              </w:rPr>
              <w:t> </w:t>
            </w:r>
            <w:r>
              <w:rPr>
                <w:spacing w:val="-10"/>
                <w:sz w:val="21"/>
              </w:rPr>
              <w:t>节，附录 </w:t>
            </w:r>
            <w:r>
              <w:rPr>
                <w:rFonts w:ascii="Times New Roman" w:eastAsia="Times New Roman"/>
                <w:spacing w:val="-8"/>
                <w:sz w:val="21"/>
              </w:rPr>
              <w:t>I</w:t>
            </w:r>
            <w:r>
              <w:rPr>
                <w:spacing w:val="-8"/>
                <w:sz w:val="21"/>
              </w:rPr>
              <w:t>，吸入</w:t>
            </w:r>
            <w:r>
              <w:rPr>
                <w:spacing w:val="-2"/>
                <w:sz w:val="21"/>
              </w:rPr>
              <w:t>性皮质类固醇等效剂量</w:t>
            </w:r>
            <w:r>
              <w:rPr>
                <w:spacing w:val="-4"/>
                <w:sz w:val="21"/>
              </w:rPr>
              <w:t>的示例</w:t>
            </w:r>
          </w:p>
        </w:tc>
        <w:tc>
          <w:tcPr>
            <w:tcW w:w="3184" w:type="dxa"/>
          </w:tcPr>
          <w:p>
            <w:pPr>
              <w:pStyle w:val="TableParagraph"/>
              <w:spacing w:before="36"/>
              <w:ind w:left="106" w:right="100"/>
              <w:rPr>
                <w:sz w:val="21"/>
              </w:rPr>
            </w:pPr>
            <w:r>
              <w:rPr>
                <w:spacing w:val="-2"/>
                <w:sz w:val="21"/>
              </w:rPr>
              <w:t>修订关于使用固定剂量复方制剂</w:t>
            </w:r>
            <w:r>
              <w:rPr>
                <w:spacing w:val="-4"/>
                <w:sz w:val="21"/>
              </w:rPr>
              <w:t>的脚注。</w:t>
            </w:r>
          </w:p>
        </w:tc>
        <w:tc>
          <w:tcPr>
            <w:tcW w:w="3145" w:type="dxa"/>
          </w:tcPr>
          <w:p>
            <w:pPr>
              <w:pStyle w:val="TableParagraph"/>
              <w:spacing w:before="38"/>
              <w:ind w:left="107"/>
              <w:rPr>
                <w:sz w:val="21"/>
              </w:rPr>
            </w:pPr>
            <w:r>
              <w:rPr>
                <w:spacing w:val="-7"/>
                <w:sz w:val="21"/>
              </w:rPr>
              <w:t>确保使用当地批准的 </w:t>
            </w:r>
            <w:r>
              <w:rPr>
                <w:rFonts w:ascii="Times New Roman" w:eastAsia="Times New Roman"/>
                <w:spacing w:val="-2"/>
                <w:sz w:val="21"/>
              </w:rPr>
              <w:t>ICS</w:t>
            </w:r>
            <w:r>
              <w:rPr>
                <w:rFonts w:ascii="Times New Roman" w:eastAsia="Times New Roman"/>
                <w:spacing w:val="-5"/>
                <w:sz w:val="21"/>
              </w:rPr>
              <w:t> </w:t>
            </w:r>
            <w:r>
              <w:rPr>
                <w:spacing w:val="-5"/>
                <w:sz w:val="21"/>
              </w:rPr>
              <w:t>剂量。</w:t>
            </w:r>
          </w:p>
        </w:tc>
      </w:tr>
      <w:tr>
        <w:trPr>
          <w:trHeight w:val="623" w:hRule="atLeast"/>
        </w:trPr>
        <w:tc>
          <w:tcPr>
            <w:tcW w:w="2428" w:type="dxa"/>
          </w:tcPr>
          <w:p>
            <w:pPr>
              <w:pStyle w:val="TableParagraph"/>
              <w:spacing w:before="36"/>
              <w:ind w:left="107" w:right="188"/>
              <w:rPr>
                <w:sz w:val="21"/>
              </w:rPr>
            </w:pPr>
            <w:r>
              <w:rPr>
                <w:spacing w:val="-28"/>
                <w:sz w:val="21"/>
              </w:rPr>
              <w:t>第 </w:t>
            </w:r>
            <w:r>
              <w:rPr>
                <w:rFonts w:ascii="Times New Roman" w:eastAsia="Times New Roman"/>
                <w:spacing w:val="-2"/>
                <w:sz w:val="21"/>
              </w:rPr>
              <w:t>10</w:t>
            </w:r>
            <w:r>
              <w:rPr>
                <w:rFonts w:ascii="Times New Roman" w:eastAsia="Times New Roman"/>
                <w:spacing w:val="-12"/>
                <w:sz w:val="21"/>
              </w:rPr>
              <w:t> </w:t>
            </w:r>
            <w:r>
              <w:rPr>
                <w:spacing w:val="-13"/>
                <w:sz w:val="21"/>
              </w:rPr>
              <w:t>节，附录 </w:t>
            </w:r>
            <w:r>
              <w:rPr>
                <w:rFonts w:ascii="Times New Roman" w:eastAsia="Times New Roman"/>
                <w:spacing w:val="-2"/>
                <w:sz w:val="21"/>
              </w:rPr>
              <w:t>J</w:t>
            </w:r>
            <w:r>
              <w:rPr>
                <w:spacing w:val="-2"/>
                <w:sz w:val="21"/>
              </w:rPr>
              <w:t>，器械</w:t>
            </w:r>
            <w:r>
              <w:rPr>
                <w:spacing w:val="-4"/>
                <w:sz w:val="21"/>
              </w:rPr>
              <w:t>组件缺陷</w:t>
            </w:r>
          </w:p>
        </w:tc>
        <w:tc>
          <w:tcPr>
            <w:tcW w:w="3184" w:type="dxa"/>
          </w:tcPr>
          <w:p>
            <w:pPr>
              <w:pStyle w:val="TableParagraph"/>
              <w:spacing w:before="38"/>
              <w:ind w:left="106"/>
              <w:rPr>
                <w:sz w:val="21"/>
              </w:rPr>
            </w:pPr>
            <w:r>
              <w:rPr>
                <w:spacing w:val="-11"/>
                <w:sz w:val="21"/>
              </w:rPr>
              <w:t>删除附录 </w:t>
            </w:r>
            <w:r>
              <w:rPr>
                <w:rFonts w:ascii="Times New Roman" w:eastAsia="Times New Roman"/>
                <w:sz w:val="21"/>
              </w:rPr>
              <w:t>J</w:t>
            </w:r>
            <w:r>
              <w:rPr>
                <w:rFonts w:ascii="Times New Roman" w:eastAsia="Times New Roman"/>
                <w:spacing w:val="-11"/>
                <w:sz w:val="21"/>
              </w:rPr>
              <w:t> </w:t>
            </w:r>
            <w:r>
              <w:rPr>
                <w:spacing w:val="-2"/>
                <w:sz w:val="21"/>
              </w:rPr>
              <w:t>和产品投诉登记表。</w:t>
            </w:r>
          </w:p>
        </w:tc>
        <w:tc>
          <w:tcPr>
            <w:tcW w:w="3145" w:type="dxa"/>
          </w:tcPr>
          <w:p>
            <w:pPr>
              <w:pStyle w:val="TableParagraph"/>
              <w:spacing w:before="38"/>
              <w:ind w:left="107"/>
              <w:rPr>
                <w:sz w:val="21"/>
              </w:rPr>
            </w:pPr>
            <w:r>
              <w:rPr>
                <w:spacing w:val="-6"/>
                <w:sz w:val="21"/>
              </w:rPr>
              <w:t>产品投诉登记表参见 </w:t>
            </w:r>
            <w:r>
              <w:rPr>
                <w:rFonts w:ascii="Times New Roman" w:eastAsia="Times New Roman"/>
                <w:sz w:val="21"/>
              </w:rPr>
              <w:t>IP</w:t>
            </w:r>
            <w:r>
              <w:rPr>
                <w:rFonts w:ascii="Times New Roman" w:eastAsia="Times New Roman"/>
                <w:spacing w:val="-12"/>
                <w:sz w:val="21"/>
              </w:rPr>
              <w:t> </w:t>
            </w:r>
            <w:r>
              <w:rPr>
                <w:spacing w:val="-4"/>
                <w:sz w:val="21"/>
              </w:rPr>
              <w:t>手册。</w:t>
            </w:r>
          </w:p>
        </w:tc>
      </w:tr>
      <w:tr>
        <w:trPr>
          <w:trHeight w:val="624" w:hRule="atLeast"/>
        </w:trPr>
        <w:tc>
          <w:tcPr>
            <w:tcW w:w="2428" w:type="dxa"/>
            <w:vMerge w:val="restart"/>
          </w:tcPr>
          <w:p>
            <w:pPr>
              <w:pStyle w:val="TableParagraph"/>
              <w:spacing w:before="38"/>
              <w:ind w:left="107" w:right="188"/>
              <w:rPr>
                <w:sz w:val="21"/>
              </w:rPr>
            </w:pPr>
            <w:r>
              <w:rPr>
                <w:spacing w:val="-28"/>
                <w:sz w:val="21"/>
              </w:rPr>
              <w:t>第 </w:t>
            </w:r>
            <w:r>
              <w:rPr>
                <w:rFonts w:ascii="Times New Roman" w:eastAsia="Times New Roman"/>
                <w:spacing w:val="-2"/>
                <w:sz w:val="21"/>
              </w:rPr>
              <w:t>10</w:t>
            </w:r>
            <w:r>
              <w:rPr>
                <w:rFonts w:ascii="Times New Roman" w:eastAsia="Times New Roman"/>
                <w:spacing w:val="-12"/>
                <w:sz w:val="21"/>
              </w:rPr>
              <w:t> </w:t>
            </w:r>
            <w:r>
              <w:rPr>
                <w:spacing w:val="-13"/>
                <w:sz w:val="21"/>
              </w:rPr>
              <w:t>节，附录 </w:t>
            </w:r>
            <w:r>
              <w:rPr>
                <w:rFonts w:ascii="Times New Roman" w:eastAsia="Times New Roman"/>
                <w:spacing w:val="-2"/>
                <w:sz w:val="21"/>
              </w:rPr>
              <w:t>J</w:t>
            </w:r>
            <w:r>
              <w:rPr>
                <w:spacing w:val="-2"/>
                <w:sz w:val="21"/>
              </w:rPr>
              <w:t>，国家</w:t>
            </w:r>
            <w:r>
              <w:rPr>
                <w:spacing w:val="-4"/>
                <w:sz w:val="21"/>
              </w:rPr>
              <w:t>特定要求</w:t>
            </w:r>
          </w:p>
        </w:tc>
        <w:tc>
          <w:tcPr>
            <w:tcW w:w="3184" w:type="dxa"/>
          </w:tcPr>
          <w:p>
            <w:pPr>
              <w:pStyle w:val="TableParagraph"/>
              <w:spacing w:line="273" w:lineRule="exact" w:before="38"/>
              <w:ind w:left="106"/>
              <w:rPr>
                <w:rFonts w:ascii="Times New Roman" w:eastAsia="Times New Roman"/>
                <w:sz w:val="21"/>
              </w:rPr>
            </w:pPr>
            <w:r>
              <w:rPr>
                <w:sz w:val="21"/>
              </w:rPr>
              <w:t>中国：增加文本以阐明对</w:t>
            </w:r>
            <w:r>
              <w:rPr>
                <w:spacing w:val="40"/>
                <w:w w:val="150"/>
                <w:sz w:val="21"/>
              </w:rPr>
              <w:t> </w:t>
            </w:r>
            <w:r>
              <w:rPr>
                <w:rFonts w:ascii="Times New Roman" w:eastAsia="Times New Roman"/>
                <w:spacing w:val="-5"/>
                <w:sz w:val="21"/>
              </w:rPr>
              <w:t>ADA</w:t>
            </w:r>
          </w:p>
          <w:p>
            <w:pPr>
              <w:pStyle w:val="TableParagraph"/>
              <w:spacing w:line="273" w:lineRule="exact"/>
              <w:ind w:left="106"/>
              <w:rPr>
                <w:sz w:val="21"/>
              </w:rPr>
            </w:pPr>
            <w:r>
              <w:rPr>
                <w:spacing w:val="-2"/>
                <w:sz w:val="21"/>
              </w:rPr>
              <w:t>样本的处理。</w:t>
            </w:r>
          </w:p>
        </w:tc>
        <w:tc>
          <w:tcPr>
            <w:tcW w:w="3145" w:type="dxa"/>
          </w:tcPr>
          <w:p>
            <w:pPr>
              <w:pStyle w:val="TableParagraph"/>
              <w:spacing w:before="39"/>
              <w:ind w:left="107"/>
              <w:rPr>
                <w:sz w:val="21"/>
              </w:rPr>
            </w:pPr>
            <w:r>
              <w:rPr>
                <w:spacing w:val="-2"/>
                <w:sz w:val="21"/>
              </w:rPr>
              <w:t>澄清说明。</w:t>
            </w:r>
          </w:p>
        </w:tc>
      </w:tr>
      <w:tr>
        <w:trPr>
          <w:trHeight w:val="2026" w:hRule="atLeast"/>
        </w:trPr>
        <w:tc>
          <w:tcPr>
            <w:tcW w:w="2428" w:type="dxa"/>
            <w:vMerge/>
            <w:tcBorders>
              <w:top w:val="nil"/>
            </w:tcBorders>
          </w:tcPr>
          <w:p>
            <w:pPr>
              <w:rPr>
                <w:sz w:val="2"/>
                <w:szCs w:val="2"/>
              </w:rPr>
            </w:pPr>
          </w:p>
        </w:tc>
        <w:tc>
          <w:tcPr>
            <w:tcW w:w="3184" w:type="dxa"/>
          </w:tcPr>
          <w:p>
            <w:pPr>
              <w:pStyle w:val="TableParagraph"/>
              <w:spacing w:before="38"/>
              <w:ind w:left="106" w:right="100"/>
              <w:jc w:val="both"/>
              <w:rPr>
                <w:sz w:val="21"/>
              </w:rPr>
            </w:pPr>
            <w:r>
              <w:rPr>
                <w:spacing w:val="-2"/>
                <w:sz w:val="21"/>
              </w:rPr>
              <w:t>增加了捷克共和国特定要求的文</w:t>
            </w:r>
            <w:r>
              <w:rPr>
                <w:spacing w:val="-2"/>
                <w:sz w:val="21"/>
              </w:rPr>
              <w:t>本，即受试者或其护理者在家自行给药不适用。</w:t>
            </w:r>
          </w:p>
          <w:p>
            <w:pPr>
              <w:pStyle w:val="TableParagraph"/>
              <w:spacing w:before="37"/>
              <w:ind w:left="106" w:right="100"/>
              <w:jc w:val="both"/>
              <w:rPr>
                <w:sz w:val="21"/>
              </w:rPr>
            </w:pPr>
            <w:r>
              <w:rPr>
                <w:spacing w:val="-2"/>
                <w:sz w:val="21"/>
              </w:rPr>
              <w:t>增加了与德国特定的研究终止要</w:t>
            </w:r>
            <w:r>
              <w:rPr>
                <w:spacing w:val="-2"/>
                <w:sz w:val="21"/>
              </w:rPr>
              <w:t>求（如果国家监管机构被撤销）相关的文本，并澄清可以增加最大投保金额。</w:t>
            </w:r>
          </w:p>
        </w:tc>
        <w:tc>
          <w:tcPr>
            <w:tcW w:w="3145" w:type="dxa"/>
          </w:tcPr>
          <w:p>
            <w:pPr>
              <w:pStyle w:val="TableParagraph"/>
              <w:spacing w:before="39"/>
              <w:ind w:left="107"/>
              <w:rPr>
                <w:sz w:val="21"/>
              </w:rPr>
            </w:pPr>
            <w:r>
              <w:rPr>
                <w:spacing w:val="-1"/>
                <w:sz w:val="21"/>
              </w:rPr>
              <w:t>根据机构反馈要求更新。</w:t>
            </w:r>
          </w:p>
        </w:tc>
      </w:tr>
      <w:tr>
        <w:trPr>
          <w:trHeight w:val="353" w:hRule="atLeast"/>
        </w:trPr>
        <w:tc>
          <w:tcPr>
            <w:tcW w:w="2428" w:type="dxa"/>
          </w:tcPr>
          <w:p>
            <w:pPr>
              <w:pStyle w:val="TableParagraph"/>
              <w:spacing w:before="39"/>
              <w:ind w:left="107"/>
              <w:rPr>
                <w:sz w:val="21"/>
              </w:rPr>
            </w:pPr>
            <w:r>
              <w:rPr>
                <w:spacing w:val="-27"/>
                <w:sz w:val="21"/>
              </w:rPr>
              <w:t>第 </w:t>
            </w:r>
            <w:r>
              <w:rPr>
                <w:rFonts w:ascii="Times New Roman" w:eastAsia="Times New Roman"/>
                <w:sz w:val="21"/>
              </w:rPr>
              <w:t>11</w:t>
            </w:r>
            <w:r>
              <w:rPr>
                <w:rFonts w:ascii="Times New Roman" w:eastAsia="Times New Roman"/>
                <w:spacing w:val="-12"/>
                <w:sz w:val="21"/>
              </w:rPr>
              <w:t> </w:t>
            </w:r>
            <w:r>
              <w:rPr>
                <w:spacing w:val="-2"/>
                <w:sz w:val="21"/>
              </w:rPr>
              <w:t>节，参考文献</w:t>
            </w:r>
          </w:p>
        </w:tc>
        <w:tc>
          <w:tcPr>
            <w:tcW w:w="3184" w:type="dxa"/>
          </w:tcPr>
          <w:p>
            <w:pPr>
              <w:pStyle w:val="TableParagraph"/>
              <w:spacing w:before="39"/>
              <w:ind w:left="106"/>
              <w:rPr>
                <w:sz w:val="21"/>
              </w:rPr>
            </w:pPr>
            <w:r>
              <w:rPr>
                <w:spacing w:val="-2"/>
                <w:sz w:val="21"/>
              </w:rPr>
              <w:t>增加新的参考文献。</w:t>
            </w:r>
          </w:p>
        </w:tc>
        <w:tc>
          <w:tcPr>
            <w:tcW w:w="3145" w:type="dxa"/>
          </w:tcPr>
          <w:p>
            <w:pPr>
              <w:pStyle w:val="TableParagraph"/>
              <w:spacing w:before="39"/>
              <w:ind w:left="107"/>
              <w:rPr>
                <w:sz w:val="21"/>
              </w:rPr>
            </w:pPr>
            <w:r>
              <w:rPr>
                <w:spacing w:val="-1"/>
                <w:sz w:val="21"/>
              </w:rPr>
              <w:t>支持多个章节的更新。</w:t>
            </w:r>
          </w:p>
        </w:tc>
      </w:tr>
    </w:tbl>
    <w:p>
      <w:pPr>
        <w:spacing w:after="0"/>
        <w:rPr>
          <w:sz w:val="21"/>
        </w:rPr>
        <w:sectPr>
          <w:pgSz w:w="11910" w:h="16840"/>
          <w:pgMar w:header="590" w:footer="784" w:top="1340" w:bottom="980" w:left="1480" w:right="1080"/>
        </w:sectPr>
      </w:pPr>
    </w:p>
    <w:p>
      <w:pPr>
        <w:pStyle w:val="Heading1"/>
        <w:tabs>
          <w:tab w:pos="1355" w:val="left" w:leader="none"/>
        </w:tabs>
        <w:ind w:left="221" w:firstLine="0"/>
      </w:pPr>
      <w:bookmarkStart w:name="11 参考文献" w:id="359"/>
      <w:bookmarkEnd w:id="359"/>
      <w:r>
        <w:rPr>
          <w:b w:val="0"/>
        </w:rPr>
      </w:r>
      <w:bookmarkStart w:name="_bookmark171" w:id="360"/>
      <w:bookmarkEnd w:id="360"/>
      <w:r>
        <w:rPr>
          <w:b w:val="0"/>
        </w:rPr>
      </w:r>
      <w:r>
        <w:rPr>
          <w:rFonts w:ascii="Times New Roman" w:eastAsia="Times New Roman"/>
          <w:spacing w:val="-5"/>
        </w:rPr>
        <w:t>11</w:t>
      </w:r>
      <w:r>
        <w:rPr>
          <w:rFonts w:ascii="Times New Roman" w:eastAsia="Times New Roman"/>
        </w:rPr>
        <w:tab/>
      </w:r>
      <w:r>
        <w:rPr>
          <w:spacing w:val="-4"/>
        </w:rPr>
        <w:t>参考文献</w:t>
      </w:r>
    </w:p>
    <w:p>
      <w:pPr>
        <w:pStyle w:val="BodyText"/>
        <w:spacing w:line="276" w:lineRule="auto" w:before="122"/>
        <w:ind w:right="357"/>
        <w:rPr>
          <w:rFonts w:ascii="Times New Roman"/>
        </w:rPr>
      </w:pPr>
      <w:bookmarkStart w:name="_bookmark172" w:id="361"/>
      <w:bookmarkEnd w:id="361"/>
      <w:r>
        <w:rPr/>
      </w:r>
      <w:r>
        <w:rPr>
          <w:rFonts w:ascii="Times New Roman"/>
        </w:rPr>
        <w:t>Adeloye D, Chua S, Lee C, Basquill C, Papana A, Theodoratou E, et al. Global and regional</w:t>
      </w:r>
      <w:r>
        <w:rPr>
          <w:rFonts w:ascii="Times New Roman"/>
          <w:spacing w:val="-4"/>
        </w:rPr>
        <w:t> </w:t>
      </w:r>
      <w:r>
        <w:rPr>
          <w:rFonts w:ascii="Times New Roman"/>
        </w:rPr>
        <w:t>estimates</w:t>
      </w:r>
      <w:r>
        <w:rPr>
          <w:rFonts w:ascii="Times New Roman"/>
          <w:spacing w:val="-4"/>
        </w:rPr>
        <w:t> </w:t>
      </w:r>
      <w:r>
        <w:rPr>
          <w:rFonts w:ascii="Times New Roman"/>
        </w:rPr>
        <w:t>of</w:t>
      </w:r>
      <w:r>
        <w:rPr>
          <w:rFonts w:ascii="Times New Roman"/>
          <w:spacing w:val="-4"/>
        </w:rPr>
        <w:t> </w:t>
      </w:r>
      <w:r>
        <w:rPr>
          <w:rFonts w:ascii="Times New Roman"/>
        </w:rPr>
        <w:t>COPD</w:t>
      </w:r>
      <w:r>
        <w:rPr>
          <w:rFonts w:ascii="Times New Roman"/>
          <w:spacing w:val="-5"/>
        </w:rPr>
        <w:t> </w:t>
      </w:r>
      <w:r>
        <w:rPr>
          <w:rFonts w:ascii="Times New Roman"/>
        </w:rPr>
        <w:t>prevalence:</w:t>
      </w:r>
      <w:r>
        <w:rPr>
          <w:rFonts w:ascii="Times New Roman"/>
          <w:spacing w:val="-3"/>
        </w:rPr>
        <w:t> </w:t>
      </w:r>
      <w:r>
        <w:rPr>
          <w:rFonts w:ascii="Times New Roman"/>
        </w:rPr>
        <w:t>systematic</w:t>
      </w:r>
      <w:r>
        <w:rPr>
          <w:rFonts w:ascii="Times New Roman"/>
          <w:spacing w:val="-4"/>
        </w:rPr>
        <w:t> </w:t>
      </w:r>
      <w:r>
        <w:rPr>
          <w:rFonts w:ascii="Times New Roman"/>
        </w:rPr>
        <w:t>review</w:t>
      </w:r>
      <w:r>
        <w:rPr>
          <w:rFonts w:ascii="Times New Roman"/>
          <w:spacing w:val="-4"/>
        </w:rPr>
        <w:t> </w:t>
      </w:r>
      <w:r>
        <w:rPr>
          <w:rFonts w:ascii="Times New Roman"/>
        </w:rPr>
        <w:t>and</w:t>
      </w:r>
      <w:r>
        <w:rPr>
          <w:rFonts w:ascii="Times New Roman"/>
          <w:spacing w:val="-4"/>
        </w:rPr>
        <w:t> </w:t>
      </w:r>
      <w:r>
        <w:rPr>
          <w:rFonts w:ascii="Times New Roman"/>
        </w:rPr>
        <w:t>meta-analysis.</w:t>
      </w:r>
      <w:r>
        <w:rPr>
          <w:rFonts w:ascii="Times New Roman"/>
          <w:spacing w:val="-4"/>
        </w:rPr>
        <w:t> </w:t>
      </w:r>
      <w:r>
        <w:rPr>
          <w:rFonts w:ascii="Times New Roman"/>
        </w:rPr>
        <w:t>J</w:t>
      </w:r>
      <w:r>
        <w:rPr>
          <w:rFonts w:ascii="Times New Roman"/>
          <w:spacing w:val="-4"/>
        </w:rPr>
        <w:t> </w:t>
      </w:r>
      <w:r>
        <w:rPr>
          <w:rFonts w:ascii="Times New Roman"/>
        </w:rPr>
        <w:t>Glob Health. 2015;5(2):020415.</w:t>
      </w:r>
    </w:p>
    <w:p>
      <w:pPr>
        <w:pStyle w:val="BodyText"/>
        <w:spacing w:line="276" w:lineRule="auto" w:before="240"/>
        <w:ind w:right="714"/>
        <w:rPr>
          <w:rFonts w:ascii="Times New Roman" w:hAnsi="Times New Roman"/>
        </w:rPr>
      </w:pPr>
      <w:bookmarkStart w:name="_bookmark173" w:id="362"/>
      <w:bookmarkEnd w:id="362"/>
      <w:r>
        <w:rPr/>
      </w:r>
      <w:r>
        <w:rPr>
          <w:rFonts w:ascii="Times New Roman" w:hAnsi="Times New Roman"/>
        </w:rPr>
        <w:t>Allinne</w:t>
      </w:r>
      <w:r>
        <w:rPr>
          <w:rFonts w:ascii="Times New Roman" w:hAnsi="Times New Roman"/>
          <w:spacing w:val="-2"/>
        </w:rPr>
        <w:t> </w:t>
      </w:r>
      <w:r>
        <w:rPr>
          <w:rFonts w:ascii="Times New Roman" w:hAnsi="Times New Roman"/>
        </w:rPr>
        <w:t>J,</w:t>
      </w:r>
      <w:r>
        <w:rPr>
          <w:rFonts w:ascii="Times New Roman" w:hAnsi="Times New Roman"/>
          <w:spacing w:val="-3"/>
        </w:rPr>
        <w:t> </w:t>
      </w:r>
      <w:r>
        <w:rPr>
          <w:rFonts w:ascii="Times New Roman" w:hAnsi="Times New Roman"/>
        </w:rPr>
        <w:t>Scott</w:t>
      </w:r>
      <w:r>
        <w:rPr>
          <w:rFonts w:ascii="Times New Roman" w:hAnsi="Times New Roman"/>
          <w:spacing w:val="-1"/>
        </w:rPr>
        <w:t> </w:t>
      </w:r>
      <w:r>
        <w:rPr>
          <w:rFonts w:ascii="Times New Roman" w:hAnsi="Times New Roman"/>
        </w:rPr>
        <w:t>G,</w:t>
      </w:r>
      <w:r>
        <w:rPr>
          <w:rFonts w:ascii="Times New Roman" w:hAnsi="Times New Roman"/>
          <w:spacing w:val="-3"/>
        </w:rPr>
        <w:t> </w:t>
      </w:r>
      <w:r>
        <w:rPr>
          <w:rFonts w:ascii="Times New Roman" w:hAnsi="Times New Roman"/>
        </w:rPr>
        <w:t>Lim</w:t>
      </w:r>
      <w:r>
        <w:rPr>
          <w:rFonts w:ascii="Times New Roman" w:hAnsi="Times New Roman"/>
          <w:spacing w:val="-3"/>
        </w:rPr>
        <w:t> </w:t>
      </w:r>
      <w:r>
        <w:rPr>
          <w:rFonts w:ascii="Times New Roman" w:hAnsi="Times New Roman"/>
        </w:rPr>
        <w:t>WK,</w:t>
      </w:r>
      <w:r>
        <w:rPr>
          <w:rFonts w:ascii="Times New Roman" w:hAnsi="Times New Roman"/>
          <w:spacing w:val="-3"/>
        </w:rPr>
        <w:t> </w:t>
      </w:r>
      <w:r>
        <w:rPr>
          <w:rFonts w:ascii="Times New Roman" w:hAnsi="Times New Roman"/>
        </w:rPr>
        <w:t>Birchard</w:t>
      </w:r>
      <w:r>
        <w:rPr>
          <w:rFonts w:ascii="Times New Roman" w:hAnsi="Times New Roman"/>
          <w:spacing w:val="-2"/>
        </w:rPr>
        <w:t> </w:t>
      </w:r>
      <w:r>
        <w:rPr>
          <w:rFonts w:ascii="Times New Roman" w:hAnsi="Times New Roman"/>
        </w:rPr>
        <w:t>D,</w:t>
      </w:r>
      <w:r>
        <w:rPr>
          <w:rFonts w:ascii="Times New Roman" w:hAnsi="Times New Roman"/>
          <w:spacing w:val="-3"/>
        </w:rPr>
        <w:t> </w:t>
      </w:r>
      <w:r>
        <w:rPr>
          <w:rFonts w:ascii="Times New Roman" w:hAnsi="Times New Roman"/>
        </w:rPr>
        <w:t>Erjefält</w:t>
      </w:r>
      <w:r>
        <w:rPr>
          <w:rFonts w:ascii="Times New Roman" w:hAnsi="Times New Roman"/>
          <w:spacing w:val="-2"/>
        </w:rPr>
        <w:t> </w:t>
      </w:r>
      <w:r>
        <w:rPr>
          <w:rFonts w:ascii="Times New Roman" w:hAnsi="Times New Roman"/>
        </w:rPr>
        <w:t>JS,</w:t>
      </w:r>
      <w:r>
        <w:rPr>
          <w:rFonts w:ascii="Times New Roman" w:hAnsi="Times New Roman"/>
          <w:spacing w:val="-3"/>
        </w:rPr>
        <w:t> </w:t>
      </w:r>
      <w:r>
        <w:rPr>
          <w:rFonts w:ascii="Times New Roman" w:hAnsi="Times New Roman"/>
        </w:rPr>
        <w:t>Sandén</w:t>
      </w:r>
      <w:r>
        <w:rPr>
          <w:rFonts w:ascii="Times New Roman" w:hAnsi="Times New Roman"/>
          <w:spacing w:val="-3"/>
        </w:rPr>
        <w:t> </w:t>
      </w:r>
      <w:r>
        <w:rPr>
          <w:rFonts w:ascii="Times New Roman" w:hAnsi="Times New Roman"/>
        </w:rPr>
        <w:t>C,</w:t>
      </w:r>
      <w:r>
        <w:rPr>
          <w:rFonts w:ascii="Times New Roman" w:hAnsi="Times New Roman"/>
          <w:spacing w:val="-2"/>
        </w:rPr>
        <w:t> </w:t>
      </w:r>
      <w:r>
        <w:rPr>
          <w:rFonts w:ascii="Times New Roman" w:hAnsi="Times New Roman"/>
        </w:rPr>
        <w:t>et</w:t>
      </w:r>
      <w:r>
        <w:rPr>
          <w:rFonts w:ascii="Times New Roman" w:hAnsi="Times New Roman"/>
          <w:spacing w:val="-2"/>
        </w:rPr>
        <w:t> </w:t>
      </w:r>
      <w:r>
        <w:rPr>
          <w:rFonts w:ascii="Times New Roman" w:hAnsi="Times New Roman"/>
        </w:rPr>
        <w:t>al.</w:t>
      </w:r>
      <w:r>
        <w:rPr>
          <w:rFonts w:ascii="Times New Roman" w:hAnsi="Times New Roman"/>
          <w:spacing w:val="-2"/>
        </w:rPr>
        <w:t> </w:t>
      </w:r>
      <w:r>
        <w:rPr>
          <w:rFonts w:ascii="Times New Roman" w:hAnsi="Times New Roman"/>
        </w:rPr>
        <w:t>IL-33</w:t>
      </w:r>
      <w:r>
        <w:rPr>
          <w:rFonts w:ascii="Times New Roman" w:hAnsi="Times New Roman"/>
          <w:spacing w:val="-2"/>
        </w:rPr>
        <w:t> </w:t>
      </w:r>
      <w:r>
        <w:rPr>
          <w:rFonts w:ascii="Times New Roman" w:hAnsi="Times New Roman"/>
        </w:rPr>
        <w:t>blockade affects mediators of persistence and exacerbation in a model of chronic airway inflammation. J Allergy Clin Immunol. 2019;144(6):1624-37. e10.</w:t>
      </w:r>
    </w:p>
    <w:p>
      <w:pPr>
        <w:pStyle w:val="BodyText"/>
        <w:spacing w:line="276" w:lineRule="auto" w:before="239"/>
        <w:ind w:right="357"/>
        <w:rPr>
          <w:rFonts w:ascii="Times New Roman"/>
        </w:rPr>
      </w:pPr>
      <w:bookmarkStart w:name="_bookmark174" w:id="363"/>
      <w:bookmarkEnd w:id="363"/>
      <w:r>
        <w:rPr/>
      </w:r>
      <w:r>
        <w:rPr>
          <w:rFonts w:ascii="Times New Roman"/>
        </w:rPr>
        <w:t>Alqahtani</w:t>
      </w:r>
      <w:r>
        <w:rPr>
          <w:rFonts w:ascii="Times New Roman"/>
          <w:spacing w:val="-4"/>
        </w:rPr>
        <w:t> </w:t>
      </w:r>
      <w:r>
        <w:rPr>
          <w:rFonts w:ascii="Times New Roman"/>
        </w:rPr>
        <w:t>JS,</w:t>
      </w:r>
      <w:r>
        <w:rPr>
          <w:rFonts w:ascii="Times New Roman"/>
          <w:spacing w:val="-4"/>
        </w:rPr>
        <w:t> </w:t>
      </w:r>
      <w:r>
        <w:rPr>
          <w:rFonts w:ascii="Times New Roman"/>
        </w:rPr>
        <w:t>Oyelade</w:t>
      </w:r>
      <w:r>
        <w:rPr>
          <w:rFonts w:ascii="Times New Roman"/>
          <w:spacing w:val="-4"/>
        </w:rPr>
        <w:t> </w:t>
      </w:r>
      <w:r>
        <w:rPr>
          <w:rFonts w:ascii="Times New Roman"/>
        </w:rPr>
        <w:t>T,</w:t>
      </w:r>
      <w:r>
        <w:rPr>
          <w:rFonts w:ascii="Times New Roman"/>
          <w:spacing w:val="-4"/>
        </w:rPr>
        <w:t> </w:t>
      </w:r>
      <w:r>
        <w:rPr>
          <w:rFonts w:ascii="Times New Roman"/>
        </w:rPr>
        <w:t>Aldhahir</w:t>
      </w:r>
      <w:r>
        <w:rPr>
          <w:rFonts w:ascii="Times New Roman"/>
          <w:spacing w:val="-4"/>
        </w:rPr>
        <w:t> </w:t>
      </w:r>
      <w:r>
        <w:rPr>
          <w:rFonts w:ascii="Times New Roman"/>
        </w:rPr>
        <w:t>AM,</w:t>
      </w:r>
      <w:r>
        <w:rPr>
          <w:rFonts w:ascii="Times New Roman"/>
          <w:spacing w:val="-4"/>
        </w:rPr>
        <w:t> </w:t>
      </w:r>
      <w:r>
        <w:rPr>
          <w:rFonts w:ascii="Times New Roman"/>
        </w:rPr>
        <w:t>Goncalves-Mendes</w:t>
      </w:r>
      <w:r>
        <w:rPr>
          <w:rFonts w:ascii="Times New Roman"/>
          <w:spacing w:val="-4"/>
        </w:rPr>
        <w:t> </w:t>
      </w:r>
      <w:r>
        <w:rPr>
          <w:rFonts w:ascii="Times New Roman"/>
        </w:rPr>
        <w:t>R,</w:t>
      </w:r>
      <w:r>
        <w:rPr>
          <w:rFonts w:ascii="Times New Roman"/>
          <w:spacing w:val="-4"/>
        </w:rPr>
        <w:t> </w:t>
      </w:r>
      <w:r>
        <w:rPr>
          <w:rFonts w:ascii="Times New Roman"/>
        </w:rPr>
        <w:t>Alghamdi</w:t>
      </w:r>
      <w:r>
        <w:rPr>
          <w:rFonts w:ascii="Times New Roman"/>
          <w:spacing w:val="-3"/>
        </w:rPr>
        <w:t> </w:t>
      </w:r>
      <w:r>
        <w:rPr>
          <w:rFonts w:ascii="Times New Roman"/>
        </w:rPr>
        <w:t>SM,</w:t>
      </w:r>
      <w:r>
        <w:rPr>
          <w:rFonts w:ascii="Times New Roman"/>
          <w:spacing w:val="-4"/>
        </w:rPr>
        <w:t> </w:t>
      </w:r>
      <w:r>
        <w:rPr>
          <w:rFonts w:ascii="Times New Roman"/>
        </w:rPr>
        <w:t>Miravitlles M, et al. Reduction in hospitalised COPD exacerbations during COVID-19: a systemic review and meta-analysis. PloS One. 2021;16(8):e0255659.</w:t>
      </w:r>
    </w:p>
    <w:p>
      <w:pPr>
        <w:pStyle w:val="BodyText"/>
        <w:spacing w:line="276" w:lineRule="auto" w:before="241"/>
        <w:rPr>
          <w:rFonts w:ascii="Times New Roman"/>
        </w:rPr>
      </w:pPr>
      <w:bookmarkStart w:name="_bookmark175" w:id="364"/>
      <w:bookmarkEnd w:id="364"/>
      <w:r>
        <w:rPr/>
      </w:r>
      <w:r>
        <w:rPr>
          <w:rFonts w:ascii="Times New Roman"/>
        </w:rPr>
        <w:t>Celli</w:t>
      </w:r>
      <w:r>
        <w:rPr>
          <w:rFonts w:ascii="Times New Roman"/>
          <w:spacing w:val="-2"/>
        </w:rPr>
        <w:t> </w:t>
      </w:r>
      <w:r>
        <w:rPr>
          <w:rFonts w:ascii="Times New Roman"/>
        </w:rPr>
        <w:t>BR,</w:t>
      </w:r>
      <w:r>
        <w:rPr>
          <w:rFonts w:ascii="Times New Roman"/>
          <w:spacing w:val="-3"/>
        </w:rPr>
        <w:t> </w:t>
      </w:r>
      <w:r>
        <w:rPr>
          <w:rFonts w:ascii="Times New Roman"/>
        </w:rPr>
        <w:t>MacNee</w:t>
      </w:r>
      <w:r>
        <w:rPr>
          <w:rFonts w:ascii="Times New Roman"/>
          <w:spacing w:val="-3"/>
        </w:rPr>
        <w:t> </w:t>
      </w:r>
      <w:r>
        <w:rPr>
          <w:rFonts w:ascii="Times New Roman"/>
        </w:rPr>
        <w:t>W,</w:t>
      </w:r>
      <w:r>
        <w:rPr>
          <w:rFonts w:ascii="Times New Roman"/>
          <w:spacing w:val="-3"/>
        </w:rPr>
        <w:t> </w:t>
      </w:r>
      <w:r>
        <w:rPr>
          <w:rFonts w:ascii="Times New Roman"/>
        </w:rPr>
        <w:t>ATS/ERS</w:t>
      </w:r>
      <w:r>
        <w:rPr>
          <w:rFonts w:ascii="Times New Roman"/>
          <w:spacing w:val="-4"/>
        </w:rPr>
        <w:t> </w:t>
      </w:r>
      <w:r>
        <w:rPr>
          <w:rFonts w:ascii="Times New Roman"/>
        </w:rPr>
        <w:t>Task</w:t>
      </w:r>
      <w:r>
        <w:rPr>
          <w:rFonts w:ascii="Times New Roman"/>
          <w:spacing w:val="-3"/>
        </w:rPr>
        <w:t> </w:t>
      </w:r>
      <w:r>
        <w:rPr>
          <w:rFonts w:ascii="Times New Roman"/>
        </w:rPr>
        <w:t>Force.</w:t>
      </w:r>
      <w:r>
        <w:rPr>
          <w:rFonts w:ascii="Times New Roman"/>
          <w:spacing w:val="-3"/>
        </w:rPr>
        <w:t> </w:t>
      </w:r>
      <w:r>
        <w:rPr>
          <w:rFonts w:ascii="Times New Roman"/>
        </w:rPr>
        <w:t>Standards</w:t>
      </w:r>
      <w:r>
        <w:rPr>
          <w:rFonts w:ascii="Times New Roman"/>
          <w:spacing w:val="-3"/>
        </w:rPr>
        <w:t> </w:t>
      </w:r>
      <w:r>
        <w:rPr>
          <w:rFonts w:ascii="Times New Roman"/>
        </w:rPr>
        <w:t>for</w:t>
      </w:r>
      <w:r>
        <w:rPr>
          <w:rFonts w:ascii="Times New Roman"/>
          <w:spacing w:val="-3"/>
        </w:rPr>
        <w:t> </w:t>
      </w:r>
      <w:r>
        <w:rPr>
          <w:rFonts w:ascii="Times New Roman"/>
        </w:rPr>
        <w:t>the</w:t>
      </w:r>
      <w:r>
        <w:rPr>
          <w:rFonts w:ascii="Times New Roman"/>
          <w:spacing w:val="-3"/>
        </w:rPr>
        <w:t> </w:t>
      </w:r>
      <w:r>
        <w:rPr>
          <w:rFonts w:ascii="Times New Roman"/>
        </w:rPr>
        <w:t>diagnosis</w:t>
      </w:r>
      <w:r>
        <w:rPr>
          <w:rFonts w:ascii="Times New Roman"/>
          <w:spacing w:val="-4"/>
        </w:rPr>
        <w:t> </w:t>
      </w:r>
      <w:r>
        <w:rPr>
          <w:rFonts w:ascii="Times New Roman"/>
        </w:rPr>
        <w:t>and</w:t>
      </w:r>
      <w:r>
        <w:rPr>
          <w:rFonts w:ascii="Times New Roman"/>
          <w:spacing w:val="-3"/>
        </w:rPr>
        <w:t> </w:t>
      </w:r>
      <w:r>
        <w:rPr>
          <w:rFonts w:ascii="Times New Roman"/>
        </w:rPr>
        <w:t>treatment</w:t>
      </w:r>
      <w:r>
        <w:rPr>
          <w:rFonts w:ascii="Times New Roman"/>
          <w:spacing w:val="-3"/>
        </w:rPr>
        <w:t> </w:t>
      </w:r>
      <w:r>
        <w:rPr>
          <w:rFonts w:ascii="Times New Roman"/>
        </w:rPr>
        <w:t>of patients with COPD: a summary of the ATS/ERS position paper. Eur Respir J.</w:t>
      </w:r>
    </w:p>
    <w:p>
      <w:pPr>
        <w:pStyle w:val="BodyText"/>
        <w:rPr>
          <w:rFonts w:ascii="Times New Roman"/>
        </w:rPr>
      </w:pPr>
      <w:r>
        <w:rPr>
          <w:rFonts w:ascii="Times New Roman"/>
          <w:spacing w:val="-2"/>
        </w:rPr>
        <w:t>2004;23(6):932-</w:t>
      </w:r>
      <w:r>
        <w:rPr>
          <w:rFonts w:ascii="Times New Roman"/>
          <w:spacing w:val="-5"/>
        </w:rPr>
        <w:t>46.</w:t>
      </w:r>
    </w:p>
    <w:p>
      <w:pPr>
        <w:pStyle w:val="BodyText"/>
        <w:spacing w:before="4"/>
        <w:ind w:left="0"/>
        <w:rPr>
          <w:rFonts w:ascii="Times New Roman"/>
        </w:rPr>
      </w:pPr>
    </w:p>
    <w:p>
      <w:pPr>
        <w:pStyle w:val="BodyText"/>
        <w:spacing w:line="276" w:lineRule="auto" w:before="1"/>
        <w:rPr>
          <w:rFonts w:ascii="Times New Roman"/>
        </w:rPr>
      </w:pPr>
      <w:bookmarkStart w:name="_bookmark176" w:id="365"/>
      <w:bookmarkEnd w:id="365"/>
      <w:r>
        <w:rPr/>
      </w:r>
      <w:r>
        <w:rPr>
          <w:rFonts w:ascii="Times New Roman"/>
        </w:rPr>
        <w:t>Cohen</w:t>
      </w:r>
      <w:r>
        <w:rPr>
          <w:rFonts w:ascii="Times New Roman"/>
          <w:spacing w:val="-3"/>
        </w:rPr>
        <w:t> </w:t>
      </w:r>
      <w:r>
        <w:rPr>
          <w:rFonts w:ascii="Times New Roman"/>
        </w:rPr>
        <w:t>ES,</w:t>
      </w:r>
      <w:r>
        <w:rPr>
          <w:rFonts w:ascii="Times New Roman"/>
          <w:spacing w:val="-3"/>
        </w:rPr>
        <w:t> </w:t>
      </w:r>
      <w:r>
        <w:rPr>
          <w:rFonts w:ascii="Times New Roman"/>
        </w:rPr>
        <w:t>Scott</w:t>
      </w:r>
      <w:r>
        <w:rPr>
          <w:rFonts w:ascii="Times New Roman"/>
          <w:spacing w:val="-4"/>
        </w:rPr>
        <w:t> </w:t>
      </w:r>
      <w:r>
        <w:rPr>
          <w:rFonts w:ascii="Times New Roman"/>
        </w:rPr>
        <w:t>IC,</w:t>
      </w:r>
      <w:r>
        <w:rPr>
          <w:rFonts w:ascii="Times New Roman"/>
          <w:spacing w:val="-3"/>
        </w:rPr>
        <w:t> </w:t>
      </w:r>
      <w:r>
        <w:rPr>
          <w:rFonts w:ascii="Times New Roman"/>
        </w:rPr>
        <w:t>Majithiya</w:t>
      </w:r>
      <w:r>
        <w:rPr>
          <w:rFonts w:ascii="Times New Roman"/>
          <w:spacing w:val="-3"/>
        </w:rPr>
        <w:t> </w:t>
      </w:r>
      <w:r>
        <w:rPr>
          <w:rFonts w:ascii="Times New Roman"/>
        </w:rPr>
        <w:t>JB,</w:t>
      </w:r>
      <w:r>
        <w:rPr>
          <w:rFonts w:ascii="Times New Roman"/>
          <w:spacing w:val="-3"/>
        </w:rPr>
        <w:t> </w:t>
      </w:r>
      <w:r>
        <w:rPr>
          <w:rFonts w:ascii="Times New Roman"/>
        </w:rPr>
        <w:t>Rapley</w:t>
      </w:r>
      <w:r>
        <w:rPr>
          <w:rFonts w:ascii="Times New Roman"/>
          <w:spacing w:val="-3"/>
        </w:rPr>
        <w:t> </w:t>
      </w:r>
      <w:r>
        <w:rPr>
          <w:rFonts w:ascii="Times New Roman"/>
        </w:rPr>
        <w:t>L,</w:t>
      </w:r>
      <w:r>
        <w:rPr>
          <w:rFonts w:ascii="Times New Roman"/>
          <w:spacing w:val="-3"/>
        </w:rPr>
        <w:t> </w:t>
      </w:r>
      <w:r>
        <w:rPr>
          <w:rFonts w:ascii="Times New Roman"/>
        </w:rPr>
        <w:t>Kemp</w:t>
      </w:r>
      <w:r>
        <w:rPr>
          <w:rFonts w:ascii="Times New Roman"/>
          <w:spacing w:val="-3"/>
        </w:rPr>
        <w:t> </w:t>
      </w:r>
      <w:r>
        <w:rPr>
          <w:rFonts w:ascii="Times New Roman"/>
        </w:rPr>
        <w:t>BP,</w:t>
      </w:r>
      <w:r>
        <w:rPr>
          <w:rFonts w:ascii="Times New Roman"/>
          <w:spacing w:val="-3"/>
        </w:rPr>
        <w:t> </w:t>
      </w:r>
      <w:r>
        <w:rPr>
          <w:rFonts w:ascii="Times New Roman"/>
        </w:rPr>
        <w:t>England</w:t>
      </w:r>
      <w:r>
        <w:rPr>
          <w:rFonts w:ascii="Times New Roman"/>
          <w:spacing w:val="-3"/>
        </w:rPr>
        <w:t> </w:t>
      </w:r>
      <w:r>
        <w:rPr>
          <w:rFonts w:ascii="Times New Roman"/>
        </w:rPr>
        <w:t>E,</w:t>
      </w:r>
      <w:r>
        <w:rPr>
          <w:rFonts w:ascii="Times New Roman"/>
          <w:spacing w:val="-3"/>
        </w:rPr>
        <w:t> </w:t>
      </w:r>
      <w:r>
        <w:rPr>
          <w:rFonts w:ascii="Times New Roman"/>
        </w:rPr>
        <w:t>et</w:t>
      </w:r>
      <w:r>
        <w:rPr>
          <w:rFonts w:ascii="Times New Roman"/>
          <w:spacing w:val="-3"/>
        </w:rPr>
        <w:t> </w:t>
      </w:r>
      <w:r>
        <w:rPr>
          <w:rFonts w:ascii="Times New Roman"/>
        </w:rPr>
        <w:t>al.</w:t>
      </w:r>
      <w:r>
        <w:rPr>
          <w:rFonts w:ascii="Times New Roman"/>
          <w:spacing w:val="-4"/>
        </w:rPr>
        <w:t> </w:t>
      </w:r>
      <w:r>
        <w:rPr>
          <w:rFonts w:ascii="Times New Roman"/>
        </w:rPr>
        <w:t>Oxidation</w:t>
      </w:r>
      <w:r>
        <w:rPr>
          <w:rFonts w:ascii="Times New Roman"/>
          <w:spacing w:val="-3"/>
        </w:rPr>
        <w:t> </w:t>
      </w:r>
      <w:r>
        <w:rPr>
          <w:rFonts w:ascii="Times New Roman"/>
        </w:rPr>
        <w:t>of</w:t>
      </w:r>
      <w:r>
        <w:rPr>
          <w:rFonts w:ascii="Times New Roman"/>
          <w:spacing w:val="-3"/>
        </w:rPr>
        <w:t> </w:t>
      </w:r>
      <w:r>
        <w:rPr>
          <w:rFonts w:ascii="Times New Roman"/>
        </w:rPr>
        <w:t>the alarmin IL-33 regulates ST2-dependent inflammation. Nat Commun. 2015;6:8327.</w:t>
      </w:r>
    </w:p>
    <w:p>
      <w:pPr>
        <w:pStyle w:val="BodyText"/>
        <w:spacing w:line="276" w:lineRule="auto" w:before="240"/>
        <w:ind w:right="1063"/>
        <w:jc w:val="both"/>
        <w:rPr>
          <w:rFonts w:ascii="Times New Roman"/>
        </w:rPr>
      </w:pPr>
      <w:bookmarkStart w:name="_bookmark177" w:id="366"/>
      <w:bookmarkEnd w:id="366"/>
      <w:r>
        <w:rPr/>
      </w:r>
      <w:r>
        <w:rPr>
          <w:rFonts w:ascii="Times New Roman"/>
        </w:rPr>
        <w:t>Donaldson</w:t>
      </w:r>
      <w:r>
        <w:rPr>
          <w:rFonts w:ascii="Times New Roman"/>
          <w:spacing w:val="-4"/>
        </w:rPr>
        <w:t> </w:t>
      </w:r>
      <w:r>
        <w:rPr>
          <w:rFonts w:ascii="Times New Roman"/>
        </w:rPr>
        <w:t>GC,</w:t>
      </w:r>
      <w:r>
        <w:rPr>
          <w:rFonts w:ascii="Times New Roman"/>
          <w:spacing w:val="-5"/>
        </w:rPr>
        <w:t> </w:t>
      </w:r>
      <w:r>
        <w:rPr>
          <w:rFonts w:ascii="Times New Roman"/>
        </w:rPr>
        <w:t>Seemungal</w:t>
      </w:r>
      <w:r>
        <w:rPr>
          <w:rFonts w:ascii="Times New Roman"/>
          <w:spacing w:val="-4"/>
        </w:rPr>
        <w:t> </w:t>
      </w:r>
      <w:r>
        <w:rPr>
          <w:rFonts w:ascii="Times New Roman"/>
        </w:rPr>
        <w:t>TAR,</w:t>
      </w:r>
      <w:r>
        <w:rPr>
          <w:rFonts w:ascii="Times New Roman"/>
          <w:spacing w:val="-4"/>
        </w:rPr>
        <w:t> </w:t>
      </w:r>
      <w:r>
        <w:rPr>
          <w:rFonts w:ascii="Times New Roman"/>
        </w:rPr>
        <w:t>Bhowmik</w:t>
      </w:r>
      <w:r>
        <w:rPr>
          <w:rFonts w:ascii="Times New Roman"/>
          <w:spacing w:val="-4"/>
        </w:rPr>
        <w:t> </w:t>
      </w:r>
      <w:r>
        <w:rPr>
          <w:rFonts w:ascii="Times New Roman"/>
        </w:rPr>
        <w:t>A,</w:t>
      </w:r>
      <w:r>
        <w:rPr>
          <w:rFonts w:ascii="Times New Roman"/>
          <w:spacing w:val="-5"/>
        </w:rPr>
        <w:t> </w:t>
      </w:r>
      <w:r>
        <w:rPr>
          <w:rFonts w:ascii="Times New Roman"/>
        </w:rPr>
        <w:t>Wedzicha</w:t>
      </w:r>
      <w:r>
        <w:rPr>
          <w:rFonts w:ascii="Times New Roman"/>
          <w:spacing w:val="-4"/>
        </w:rPr>
        <w:t> </w:t>
      </w:r>
      <w:r>
        <w:rPr>
          <w:rFonts w:ascii="Times New Roman"/>
        </w:rPr>
        <w:t>JA.</w:t>
      </w:r>
      <w:r>
        <w:rPr>
          <w:rFonts w:ascii="Times New Roman"/>
          <w:spacing w:val="-5"/>
        </w:rPr>
        <w:t> </w:t>
      </w:r>
      <w:r>
        <w:rPr>
          <w:rFonts w:ascii="Times New Roman"/>
        </w:rPr>
        <w:t>Relationship</w:t>
      </w:r>
      <w:r>
        <w:rPr>
          <w:rFonts w:ascii="Times New Roman"/>
          <w:spacing w:val="-4"/>
        </w:rPr>
        <w:t> </w:t>
      </w:r>
      <w:r>
        <w:rPr>
          <w:rFonts w:ascii="Times New Roman"/>
        </w:rPr>
        <w:t>between exacerbation frequency and lung function decline in chronic obstructive pulmonary disease. Thorax. 2002;57(10):847-52.</w:t>
      </w:r>
    </w:p>
    <w:p>
      <w:pPr>
        <w:pStyle w:val="BodyText"/>
        <w:spacing w:line="276" w:lineRule="auto" w:before="241"/>
        <w:ind w:right="357"/>
        <w:rPr>
          <w:rFonts w:ascii="Times New Roman"/>
        </w:rPr>
      </w:pPr>
      <w:bookmarkStart w:name="_bookmark178" w:id="367"/>
      <w:bookmarkEnd w:id="367"/>
      <w:r>
        <w:rPr/>
      </w:r>
      <w:r>
        <w:rPr>
          <w:rFonts w:ascii="Times New Roman"/>
        </w:rPr>
        <w:t>Fleming</w:t>
      </w:r>
      <w:r>
        <w:rPr>
          <w:rFonts w:ascii="Times New Roman"/>
          <w:spacing w:val="-3"/>
        </w:rPr>
        <w:t> </w:t>
      </w:r>
      <w:r>
        <w:rPr>
          <w:rFonts w:ascii="Times New Roman"/>
        </w:rPr>
        <w:t>TR.</w:t>
      </w:r>
      <w:r>
        <w:rPr>
          <w:rFonts w:ascii="Times New Roman"/>
          <w:spacing w:val="-5"/>
        </w:rPr>
        <w:t> </w:t>
      </w:r>
      <w:r>
        <w:rPr>
          <w:rFonts w:ascii="Times New Roman"/>
        </w:rPr>
        <w:t>Addressing</w:t>
      </w:r>
      <w:r>
        <w:rPr>
          <w:rFonts w:ascii="Times New Roman"/>
          <w:spacing w:val="-5"/>
        </w:rPr>
        <w:t> </w:t>
      </w:r>
      <w:r>
        <w:rPr>
          <w:rFonts w:ascii="Times New Roman"/>
        </w:rPr>
        <w:t>missing</w:t>
      </w:r>
      <w:r>
        <w:rPr>
          <w:rFonts w:ascii="Times New Roman"/>
          <w:spacing w:val="-3"/>
        </w:rPr>
        <w:t> </w:t>
      </w:r>
      <w:r>
        <w:rPr>
          <w:rFonts w:ascii="Times New Roman"/>
        </w:rPr>
        <w:t>data</w:t>
      </w:r>
      <w:r>
        <w:rPr>
          <w:rFonts w:ascii="Times New Roman"/>
          <w:spacing w:val="-5"/>
        </w:rPr>
        <w:t> </w:t>
      </w:r>
      <w:r>
        <w:rPr>
          <w:rFonts w:ascii="Times New Roman"/>
        </w:rPr>
        <w:t>in</w:t>
      </w:r>
      <w:r>
        <w:rPr>
          <w:rFonts w:ascii="Times New Roman"/>
          <w:spacing w:val="-3"/>
        </w:rPr>
        <w:t> </w:t>
      </w:r>
      <w:r>
        <w:rPr>
          <w:rFonts w:ascii="Times New Roman"/>
        </w:rPr>
        <w:t>clinical</w:t>
      </w:r>
      <w:r>
        <w:rPr>
          <w:rFonts w:ascii="Times New Roman"/>
          <w:spacing w:val="-3"/>
        </w:rPr>
        <w:t> </w:t>
      </w:r>
      <w:r>
        <w:rPr>
          <w:rFonts w:ascii="Times New Roman"/>
        </w:rPr>
        <w:t>trials.</w:t>
      </w:r>
      <w:r>
        <w:rPr>
          <w:rFonts w:ascii="Times New Roman"/>
          <w:spacing w:val="-3"/>
        </w:rPr>
        <w:t> </w:t>
      </w:r>
      <w:r>
        <w:rPr>
          <w:rFonts w:ascii="Times New Roman"/>
        </w:rPr>
        <w:t>Ann</w:t>
      </w:r>
      <w:r>
        <w:rPr>
          <w:rFonts w:ascii="Times New Roman"/>
          <w:spacing w:val="-3"/>
        </w:rPr>
        <w:t> </w:t>
      </w:r>
      <w:r>
        <w:rPr>
          <w:rFonts w:ascii="Times New Roman"/>
        </w:rPr>
        <w:t>Intern</w:t>
      </w:r>
      <w:r>
        <w:rPr>
          <w:rFonts w:ascii="Times New Roman"/>
          <w:spacing w:val="-3"/>
        </w:rPr>
        <w:t> </w:t>
      </w:r>
      <w:r>
        <w:rPr>
          <w:rFonts w:ascii="Times New Roman"/>
        </w:rPr>
        <w:t>Med.</w:t>
      </w:r>
      <w:r>
        <w:rPr>
          <w:rFonts w:ascii="Times New Roman"/>
          <w:spacing w:val="-3"/>
        </w:rPr>
        <w:t> </w:t>
      </w:r>
      <w:r>
        <w:rPr>
          <w:rFonts w:ascii="Times New Roman"/>
        </w:rPr>
        <w:t>2011;154(2):113- </w:t>
      </w:r>
      <w:r>
        <w:rPr>
          <w:rFonts w:ascii="Times New Roman"/>
          <w:spacing w:val="-6"/>
        </w:rPr>
        <w:t>7.</w:t>
      </w:r>
    </w:p>
    <w:p>
      <w:pPr>
        <w:pStyle w:val="BodyText"/>
        <w:spacing w:line="276" w:lineRule="auto" w:before="240"/>
        <w:ind w:right="404"/>
        <w:rPr>
          <w:rFonts w:ascii="Times New Roman"/>
        </w:rPr>
      </w:pPr>
      <w:bookmarkStart w:name="_bookmark179" w:id="368"/>
      <w:bookmarkEnd w:id="368"/>
      <w:r>
        <w:rPr/>
      </w:r>
      <w:r>
        <w:rPr>
          <w:rFonts w:ascii="Times New Roman"/>
        </w:rPr>
        <w:t>Global Initiative for Chronic Obstructive Lung Disease. Global strategy for the diagnosis, management,</w:t>
      </w:r>
      <w:r>
        <w:rPr>
          <w:rFonts w:ascii="Times New Roman"/>
          <w:spacing w:val="-4"/>
        </w:rPr>
        <w:t> </w:t>
      </w:r>
      <w:r>
        <w:rPr>
          <w:rFonts w:ascii="Times New Roman"/>
        </w:rPr>
        <w:t>and</w:t>
      </w:r>
      <w:r>
        <w:rPr>
          <w:rFonts w:ascii="Times New Roman"/>
          <w:spacing w:val="-4"/>
        </w:rPr>
        <w:t> </w:t>
      </w:r>
      <w:r>
        <w:rPr>
          <w:rFonts w:ascii="Times New Roman"/>
        </w:rPr>
        <w:t>prevention</w:t>
      </w:r>
      <w:r>
        <w:rPr>
          <w:rFonts w:ascii="Times New Roman"/>
          <w:spacing w:val="-4"/>
        </w:rPr>
        <w:t> </w:t>
      </w:r>
      <w:r>
        <w:rPr>
          <w:rFonts w:ascii="Times New Roman"/>
        </w:rPr>
        <w:t>of</w:t>
      </w:r>
      <w:r>
        <w:rPr>
          <w:rFonts w:ascii="Times New Roman"/>
          <w:spacing w:val="-5"/>
        </w:rPr>
        <w:t> </w:t>
      </w:r>
      <w:r>
        <w:rPr>
          <w:rFonts w:ascii="Times New Roman"/>
        </w:rPr>
        <w:t>chronic</w:t>
      </w:r>
      <w:r>
        <w:rPr>
          <w:rFonts w:ascii="Times New Roman"/>
          <w:spacing w:val="-3"/>
        </w:rPr>
        <w:t> </w:t>
      </w:r>
      <w:r>
        <w:rPr>
          <w:rFonts w:ascii="Times New Roman"/>
        </w:rPr>
        <w:t>obstructive</w:t>
      </w:r>
      <w:r>
        <w:rPr>
          <w:rFonts w:ascii="Times New Roman"/>
          <w:spacing w:val="-4"/>
        </w:rPr>
        <w:t> </w:t>
      </w:r>
      <w:r>
        <w:rPr>
          <w:rFonts w:ascii="Times New Roman"/>
        </w:rPr>
        <w:t>pulmonary</w:t>
      </w:r>
      <w:r>
        <w:rPr>
          <w:rFonts w:ascii="Times New Roman"/>
          <w:spacing w:val="-5"/>
        </w:rPr>
        <w:t> </w:t>
      </w:r>
      <w:r>
        <w:rPr>
          <w:rFonts w:ascii="Times New Roman"/>
        </w:rPr>
        <w:t>disease.</w:t>
      </w:r>
      <w:r>
        <w:rPr>
          <w:rFonts w:ascii="Times New Roman"/>
          <w:spacing w:val="-4"/>
        </w:rPr>
        <w:t> </w:t>
      </w:r>
      <w:r>
        <w:rPr>
          <w:rFonts w:ascii="Times New Roman"/>
        </w:rPr>
        <w:t>2022</w:t>
      </w:r>
      <w:r>
        <w:rPr>
          <w:rFonts w:ascii="Times New Roman"/>
          <w:spacing w:val="-4"/>
        </w:rPr>
        <w:t> </w:t>
      </w:r>
      <w:r>
        <w:rPr>
          <w:rFonts w:ascii="Times New Roman"/>
        </w:rPr>
        <w:t>Report</w:t>
      </w:r>
      <w:r>
        <w:rPr>
          <w:rFonts w:ascii="Times New Roman"/>
          <w:spacing w:val="-4"/>
        </w:rPr>
        <w:t> </w:t>
      </w:r>
      <w:r>
        <w:rPr>
          <w:rFonts w:ascii="Times New Roman"/>
        </w:rPr>
        <w:t>[cited 17 June 2022]. Available from: https://goldcopd.org/wp-content/uploads/2021/12/GOLD- </w:t>
      </w:r>
      <w:r>
        <w:rPr>
          <w:rFonts w:ascii="Times New Roman"/>
          <w:spacing w:val="-2"/>
        </w:rPr>
        <w:t>REPORT-2022-v1.1-22Nov2021_WMV.pdf.</w:t>
      </w:r>
    </w:p>
    <w:p>
      <w:pPr>
        <w:pStyle w:val="BodyText"/>
        <w:spacing w:line="276" w:lineRule="auto" w:before="240"/>
        <w:ind w:right="590"/>
        <w:jc w:val="both"/>
        <w:rPr>
          <w:rFonts w:ascii="Times New Roman"/>
        </w:rPr>
      </w:pPr>
      <w:bookmarkStart w:name="_bookmark180" w:id="369"/>
      <w:bookmarkEnd w:id="369"/>
      <w:r>
        <w:rPr/>
      </w:r>
      <w:r>
        <w:rPr>
          <w:rFonts w:ascii="Times New Roman"/>
        </w:rPr>
        <w:t>Gottlow</w:t>
      </w:r>
      <w:r>
        <w:rPr>
          <w:rFonts w:ascii="Times New Roman"/>
          <w:spacing w:val="-3"/>
        </w:rPr>
        <w:t> </w:t>
      </w:r>
      <w:r>
        <w:rPr>
          <w:rFonts w:ascii="Times New Roman"/>
        </w:rPr>
        <w:t>M,</w:t>
      </w:r>
      <w:r>
        <w:rPr>
          <w:rFonts w:ascii="Times New Roman"/>
          <w:spacing w:val="-4"/>
        </w:rPr>
        <w:t> </w:t>
      </w:r>
      <w:r>
        <w:rPr>
          <w:rFonts w:ascii="Times New Roman"/>
        </w:rPr>
        <w:t>Hollis</w:t>
      </w:r>
      <w:r>
        <w:rPr>
          <w:rFonts w:ascii="Times New Roman"/>
          <w:spacing w:val="-3"/>
        </w:rPr>
        <w:t> </w:t>
      </w:r>
      <w:r>
        <w:rPr>
          <w:rFonts w:ascii="Times New Roman"/>
        </w:rPr>
        <w:t>S,</w:t>
      </w:r>
      <w:r>
        <w:rPr>
          <w:rFonts w:ascii="Times New Roman"/>
          <w:spacing w:val="-2"/>
        </w:rPr>
        <w:t> </w:t>
      </w:r>
      <w:r>
        <w:rPr>
          <w:rFonts w:ascii="Times New Roman"/>
        </w:rPr>
        <w:t>Wan</w:t>
      </w:r>
      <w:r>
        <w:rPr>
          <w:rFonts w:ascii="Times New Roman"/>
          <w:spacing w:val="-2"/>
        </w:rPr>
        <w:t> </w:t>
      </w:r>
      <w:r>
        <w:rPr>
          <w:rFonts w:ascii="Times New Roman"/>
        </w:rPr>
        <w:t>R,</w:t>
      </w:r>
      <w:r>
        <w:rPr>
          <w:rFonts w:ascii="Times New Roman"/>
          <w:spacing w:val="-2"/>
        </w:rPr>
        <w:t> </w:t>
      </w:r>
      <w:r>
        <w:rPr>
          <w:rFonts w:ascii="Times New Roman"/>
        </w:rPr>
        <w:t>Hirsch</w:t>
      </w:r>
      <w:r>
        <w:rPr>
          <w:rFonts w:ascii="Times New Roman"/>
          <w:spacing w:val="-3"/>
        </w:rPr>
        <w:t> </w:t>
      </w:r>
      <w:r>
        <w:rPr>
          <w:rFonts w:ascii="Times New Roman"/>
        </w:rPr>
        <w:t>I,</w:t>
      </w:r>
      <w:r>
        <w:rPr>
          <w:rFonts w:ascii="Times New Roman"/>
          <w:spacing w:val="-2"/>
        </w:rPr>
        <w:t> </w:t>
      </w:r>
      <w:r>
        <w:rPr>
          <w:rFonts w:ascii="Times New Roman"/>
        </w:rPr>
        <w:t>Darilay</w:t>
      </w:r>
      <w:r>
        <w:rPr>
          <w:rFonts w:ascii="Times New Roman"/>
          <w:spacing w:val="-2"/>
        </w:rPr>
        <w:t> </w:t>
      </w:r>
      <w:r>
        <w:rPr>
          <w:rFonts w:ascii="Times New Roman"/>
        </w:rPr>
        <w:t>A,</w:t>
      </w:r>
      <w:r>
        <w:rPr>
          <w:rFonts w:ascii="Times New Roman"/>
          <w:spacing w:val="-2"/>
        </w:rPr>
        <w:t> </w:t>
      </w:r>
      <w:r>
        <w:rPr>
          <w:rFonts w:ascii="Times New Roman"/>
        </w:rPr>
        <w:t>Weissfeld</w:t>
      </w:r>
      <w:r>
        <w:rPr>
          <w:rFonts w:ascii="Times New Roman"/>
          <w:spacing w:val="-4"/>
        </w:rPr>
        <w:t> </w:t>
      </w:r>
      <w:r>
        <w:rPr>
          <w:rFonts w:ascii="Times New Roman"/>
        </w:rPr>
        <w:t>L,</w:t>
      </w:r>
      <w:r>
        <w:rPr>
          <w:rFonts w:ascii="Times New Roman"/>
          <w:spacing w:val="-2"/>
        </w:rPr>
        <w:t> </w:t>
      </w:r>
      <w:r>
        <w:rPr>
          <w:rFonts w:ascii="Times New Roman"/>
        </w:rPr>
        <w:t>et</w:t>
      </w:r>
      <w:r>
        <w:rPr>
          <w:rFonts w:ascii="Times New Roman"/>
          <w:spacing w:val="-2"/>
        </w:rPr>
        <w:t> </w:t>
      </w:r>
      <w:r>
        <w:rPr>
          <w:rFonts w:ascii="Times New Roman"/>
        </w:rPr>
        <w:t>al.</w:t>
      </w:r>
      <w:r>
        <w:rPr>
          <w:rFonts w:ascii="Times New Roman"/>
          <w:spacing w:val="-2"/>
        </w:rPr>
        <w:t> </w:t>
      </w:r>
      <w:r>
        <w:rPr>
          <w:rFonts w:ascii="Times New Roman"/>
        </w:rPr>
        <w:t>A</w:t>
      </w:r>
      <w:r>
        <w:rPr>
          <w:rFonts w:ascii="Times New Roman"/>
          <w:spacing w:val="-3"/>
        </w:rPr>
        <w:t> </w:t>
      </w:r>
      <w:r>
        <w:rPr>
          <w:rFonts w:ascii="Times New Roman"/>
        </w:rPr>
        <w:t>Simulation</w:t>
      </w:r>
      <w:r>
        <w:rPr>
          <w:rFonts w:ascii="Times New Roman"/>
          <w:spacing w:val="-2"/>
        </w:rPr>
        <w:t> </w:t>
      </w:r>
      <w:r>
        <w:rPr>
          <w:rFonts w:ascii="Times New Roman"/>
        </w:rPr>
        <w:t>study of</w:t>
      </w:r>
      <w:r>
        <w:rPr>
          <w:rFonts w:ascii="Times New Roman"/>
          <w:spacing w:val="-3"/>
        </w:rPr>
        <w:t> </w:t>
      </w:r>
      <w:r>
        <w:rPr>
          <w:rFonts w:ascii="Times New Roman"/>
        </w:rPr>
        <w:t>a</w:t>
      </w:r>
      <w:r>
        <w:rPr>
          <w:rFonts w:ascii="Times New Roman"/>
          <w:spacing w:val="-3"/>
        </w:rPr>
        <w:t> </w:t>
      </w:r>
      <w:r>
        <w:rPr>
          <w:rFonts w:ascii="Times New Roman"/>
        </w:rPr>
        <w:t>controlled</w:t>
      </w:r>
      <w:r>
        <w:rPr>
          <w:rFonts w:ascii="Times New Roman"/>
          <w:spacing w:val="-3"/>
        </w:rPr>
        <w:t> </w:t>
      </w:r>
      <w:r>
        <w:rPr>
          <w:rFonts w:ascii="Times New Roman"/>
        </w:rPr>
        <w:t>imputation</w:t>
      </w:r>
      <w:r>
        <w:rPr>
          <w:rFonts w:ascii="Times New Roman"/>
          <w:spacing w:val="-3"/>
        </w:rPr>
        <w:t> </w:t>
      </w:r>
      <w:r>
        <w:rPr>
          <w:rFonts w:ascii="Times New Roman"/>
        </w:rPr>
        <w:t>approach</w:t>
      </w:r>
      <w:r>
        <w:rPr>
          <w:rFonts w:ascii="Times New Roman"/>
          <w:spacing w:val="-4"/>
        </w:rPr>
        <w:t> </w:t>
      </w:r>
      <w:r>
        <w:rPr>
          <w:rFonts w:ascii="Times New Roman"/>
        </w:rPr>
        <w:t>for</w:t>
      </w:r>
      <w:r>
        <w:rPr>
          <w:rFonts w:ascii="Times New Roman"/>
          <w:spacing w:val="-3"/>
        </w:rPr>
        <w:t> </w:t>
      </w:r>
      <w:r>
        <w:rPr>
          <w:rFonts w:ascii="Times New Roman"/>
        </w:rPr>
        <w:t>analyzing</w:t>
      </w:r>
      <w:r>
        <w:rPr>
          <w:rFonts w:ascii="Times New Roman"/>
          <w:spacing w:val="-4"/>
        </w:rPr>
        <w:t> </w:t>
      </w:r>
      <w:r>
        <w:rPr>
          <w:rFonts w:ascii="Times New Roman"/>
        </w:rPr>
        <w:t>missing</w:t>
      </w:r>
      <w:r>
        <w:rPr>
          <w:rFonts w:ascii="Times New Roman"/>
          <w:spacing w:val="-3"/>
        </w:rPr>
        <w:t> </w:t>
      </w:r>
      <w:r>
        <w:rPr>
          <w:rFonts w:ascii="Times New Roman"/>
        </w:rPr>
        <w:t>data</w:t>
      </w:r>
      <w:r>
        <w:rPr>
          <w:rFonts w:ascii="Times New Roman"/>
          <w:spacing w:val="-3"/>
        </w:rPr>
        <w:t> </w:t>
      </w:r>
      <w:r>
        <w:rPr>
          <w:rFonts w:ascii="Times New Roman"/>
        </w:rPr>
        <w:t>in</w:t>
      </w:r>
      <w:r>
        <w:rPr>
          <w:rFonts w:ascii="Times New Roman"/>
          <w:spacing w:val="-3"/>
        </w:rPr>
        <w:t> </w:t>
      </w:r>
      <w:r>
        <w:rPr>
          <w:rFonts w:ascii="Times New Roman"/>
        </w:rPr>
        <w:t>recurrent</w:t>
      </w:r>
      <w:r>
        <w:rPr>
          <w:rFonts w:ascii="Times New Roman"/>
          <w:spacing w:val="-3"/>
        </w:rPr>
        <w:t> </w:t>
      </w:r>
      <w:r>
        <w:rPr>
          <w:rFonts w:ascii="Times New Roman"/>
        </w:rPr>
        <w:t>events</w:t>
      </w:r>
      <w:r>
        <w:rPr>
          <w:rFonts w:ascii="Times New Roman"/>
          <w:spacing w:val="-4"/>
        </w:rPr>
        <w:t> </w:t>
      </w:r>
      <w:r>
        <w:rPr>
          <w:rFonts w:ascii="Times New Roman"/>
        </w:rPr>
        <w:t>due</w:t>
      </w:r>
      <w:r>
        <w:rPr>
          <w:rFonts w:ascii="Times New Roman"/>
          <w:spacing w:val="-4"/>
        </w:rPr>
        <w:t> </w:t>
      </w:r>
      <w:r>
        <w:rPr>
          <w:rFonts w:ascii="Times New Roman"/>
        </w:rPr>
        <w:t>to early discontinuations. PSI Annual Conference 2015.</w:t>
      </w:r>
    </w:p>
    <w:p>
      <w:pPr>
        <w:pStyle w:val="BodyText"/>
        <w:spacing w:line="276" w:lineRule="auto" w:before="239"/>
        <w:rPr>
          <w:rFonts w:ascii="Times New Roman"/>
        </w:rPr>
      </w:pPr>
      <w:bookmarkStart w:name="_bookmark181" w:id="370"/>
      <w:bookmarkEnd w:id="370"/>
      <w:r>
        <w:rPr/>
      </w:r>
      <w:r>
        <w:rPr>
          <w:rFonts w:ascii="Times New Roman"/>
        </w:rPr>
        <w:t>Graham BL, Steenbruggen I, Miller MR, Barjaktarevic IZ, Cooper BG, Hall GL, et al. Standardization</w:t>
      </w:r>
      <w:r>
        <w:rPr>
          <w:rFonts w:ascii="Times New Roman"/>
          <w:spacing w:val="-4"/>
        </w:rPr>
        <w:t> </w:t>
      </w:r>
      <w:r>
        <w:rPr>
          <w:rFonts w:ascii="Times New Roman"/>
        </w:rPr>
        <w:t>of</w:t>
      </w:r>
      <w:r>
        <w:rPr>
          <w:rFonts w:ascii="Times New Roman"/>
          <w:spacing w:val="-4"/>
        </w:rPr>
        <w:t> </w:t>
      </w:r>
      <w:r>
        <w:rPr>
          <w:rFonts w:ascii="Times New Roman"/>
        </w:rPr>
        <w:t>spirometry</w:t>
      </w:r>
      <w:r>
        <w:rPr>
          <w:rFonts w:ascii="Times New Roman"/>
          <w:spacing w:val="-4"/>
        </w:rPr>
        <w:t> </w:t>
      </w:r>
      <w:r>
        <w:rPr>
          <w:rFonts w:ascii="Times New Roman"/>
        </w:rPr>
        <w:t>2019</w:t>
      </w:r>
      <w:r>
        <w:rPr>
          <w:rFonts w:ascii="Times New Roman"/>
          <w:spacing w:val="-6"/>
        </w:rPr>
        <w:t> </w:t>
      </w:r>
      <w:r>
        <w:rPr>
          <w:rFonts w:ascii="Times New Roman"/>
        </w:rPr>
        <w:t>update.</w:t>
      </w:r>
      <w:r>
        <w:rPr>
          <w:rFonts w:ascii="Times New Roman"/>
          <w:spacing w:val="-4"/>
        </w:rPr>
        <w:t> </w:t>
      </w:r>
      <w:r>
        <w:rPr>
          <w:rFonts w:ascii="Times New Roman"/>
        </w:rPr>
        <w:t>An</w:t>
      </w:r>
      <w:r>
        <w:rPr>
          <w:rFonts w:ascii="Times New Roman"/>
          <w:spacing w:val="-5"/>
        </w:rPr>
        <w:t> </w:t>
      </w:r>
      <w:r>
        <w:rPr>
          <w:rFonts w:ascii="Times New Roman"/>
        </w:rPr>
        <w:t>official</w:t>
      </w:r>
      <w:r>
        <w:rPr>
          <w:rFonts w:ascii="Times New Roman"/>
          <w:spacing w:val="-4"/>
        </w:rPr>
        <w:t> </w:t>
      </w:r>
      <w:r>
        <w:rPr>
          <w:rFonts w:ascii="Times New Roman"/>
        </w:rPr>
        <w:t>American</w:t>
      </w:r>
      <w:r>
        <w:rPr>
          <w:rFonts w:ascii="Times New Roman"/>
          <w:spacing w:val="-3"/>
        </w:rPr>
        <w:t> </w:t>
      </w:r>
      <w:r>
        <w:rPr>
          <w:rFonts w:ascii="Times New Roman"/>
        </w:rPr>
        <w:t>Thoracic</w:t>
      </w:r>
      <w:r>
        <w:rPr>
          <w:rFonts w:ascii="Times New Roman"/>
          <w:spacing w:val="-4"/>
        </w:rPr>
        <w:t> </w:t>
      </w:r>
      <w:r>
        <w:rPr>
          <w:rFonts w:ascii="Times New Roman"/>
        </w:rPr>
        <w:t>Society</w:t>
      </w:r>
      <w:r>
        <w:rPr>
          <w:rFonts w:ascii="Times New Roman"/>
          <w:spacing w:val="-4"/>
        </w:rPr>
        <w:t> </w:t>
      </w:r>
      <w:r>
        <w:rPr>
          <w:rFonts w:ascii="Times New Roman"/>
        </w:rPr>
        <w:t>and European Respiratory Society technical statement. Am J Respir Crit Care Med.</w:t>
      </w:r>
    </w:p>
    <w:p>
      <w:pPr>
        <w:pStyle w:val="BodyText"/>
        <w:spacing w:line="275" w:lineRule="exact"/>
        <w:rPr>
          <w:rFonts w:ascii="Times New Roman"/>
        </w:rPr>
      </w:pPr>
      <w:r>
        <w:rPr>
          <w:rFonts w:ascii="Times New Roman"/>
        </w:rPr>
        <w:t>2019;200(8):e70-</w:t>
      </w:r>
      <w:r>
        <w:rPr>
          <w:rFonts w:ascii="Times New Roman"/>
          <w:spacing w:val="-4"/>
        </w:rPr>
        <w:t>e88.</w:t>
      </w:r>
    </w:p>
    <w:p>
      <w:pPr>
        <w:pStyle w:val="BodyText"/>
        <w:spacing w:before="7"/>
        <w:ind w:left="0"/>
        <w:rPr>
          <w:rFonts w:ascii="Times New Roman"/>
        </w:rPr>
      </w:pPr>
    </w:p>
    <w:p>
      <w:pPr>
        <w:pStyle w:val="BodyText"/>
        <w:spacing w:line="276" w:lineRule="auto"/>
        <w:ind w:right="539"/>
        <w:jc w:val="both"/>
        <w:rPr>
          <w:rFonts w:ascii="Times New Roman"/>
        </w:rPr>
      </w:pPr>
      <w:bookmarkStart w:name="_bookmark182" w:id="371"/>
      <w:bookmarkEnd w:id="371"/>
      <w:r>
        <w:rPr/>
      </w:r>
      <w:r>
        <w:rPr>
          <w:rFonts w:ascii="Times New Roman"/>
        </w:rPr>
        <w:t>Guarascio</w:t>
      </w:r>
      <w:r>
        <w:rPr>
          <w:rFonts w:ascii="Times New Roman"/>
          <w:spacing w:val="-2"/>
        </w:rPr>
        <w:t> </w:t>
      </w:r>
      <w:r>
        <w:rPr>
          <w:rFonts w:ascii="Times New Roman"/>
        </w:rPr>
        <w:t>AJ,</w:t>
      </w:r>
      <w:r>
        <w:rPr>
          <w:rFonts w:ascii="Times New Roman"/>
          <w:spacing w:val="-3"/>
        </w:rPr>
        <w:t> </w:t>
      </w:r>
      <w:r>
        <w:rPr>
          <w:rFonts w:ascii="Times New Roman"/>
        </w:rPr>
        <w:t>Ray</w:t>
      </w:r>
      <w:r>
        <w:rPr>
          <w:rFonts w:ascii="Times New Roman"/>
          <w:spacing w:val="-4"/>
        </w:rPr>
        <w:t> </w:t>
      </w:r>
      <w:r>
        <w:rPr>
          <w:rFonts w:ascii="Times New Roman"/>
        </w:rPr>
        <w:t>SM,</w:t>
      </w:r>
      <w:r>
        <w:rPr>
          <w:rFonts w:ascii="Times New Roman"/>
          <w:spacing w:val="-4"/>
        </w:rPr>
        <w:t> </w:t>
      </w:r>
      <w:r>
        <w:rPr>
          <w:rFonts w:ascii="Times New Roman"/>
        </w:rPr>
        <w:t>Finch</w:t>
      </w:r>
      <w:r>
        <w:rPr>
          <w:rFonts w:ascii="Times New Roman"/>
          <w:spacing w:val="-3"/>
        </w:rPr>
        <w:t> </w:t>
      </w:r>
      <w:r>
        <w:rPr>
          <w:rFonts w:ascii="Times New Roman"/>
        </w:rPr>
        <w:t>CK,</w:t>
      </w:r>
      <w:r>
        <w:rPr>
          <w:rFonts w:ascii="Times New Roman"/>
          <w:spacing w:val="-4"/>
        </w:rPr>
        <w:t> </w:t>
      </w:r>
      <w:r>
        <w:rPr>
          <w:rFonts w:ascii="Times New Roman"/>
        </w:rPr>
        <w:t>Self</w:t>
      </w:r>
      <w:r>
        <w:rPr>
          <w:rFonts w:ascii="Times New Roman"/>
          <w:spacing w:val="-2"/>
        </w:rPr>
        <w:t> </w:t>
      </w:r>
      <w:r>
        <w:rPr>
          <w:rFonts w:ascii="Times New Roman"/>
        </w:rPr>
        <w:t>TH.</w:t>
      </w:r>
      <w:r>
        <w:rPr>
          <w:rFonts w:ascii="Times New Roman"/>
          <w:spacing w:val="-3"/>
        </w:rPr>
        <w:t> </w:t>
      </w:r>
      <w:r>
        <w:rPr>
          <w:rFonts w:ascii="Times New Roman"/>
        </w:rPr>
        <w:t>The</w:t>
      </w:r>
      <w:r>
        <w:rPr>
          <w:rFonts w:ascii="Times New Roman"/>
          <w:spacing w:val="-4"/>
        </w:rPr>
        <w:t> </w:t>
      </w:r>
      <w:r>
        <w:rPr>
          <w:rFonts w:ascii="Times New Roman"/>
        </w:rPr>
        <w:t>clinical</w:t>
      </w:r>
      <w:r>
        <w:rPr>
          <w:rFonts w:ascii="Times New Roman"/>
          <w:spacing w:val="-4"/>
        </w:rPr>
        <w:t> </w:t>
      </w:r>
      <w:r>
        <w:rPr>
          <w:rFonts w:ascii="Times New Roman"/>
        </w:rPr>
        <w:t>and</w:t>
      </w:r>
      <w:r>
        <w:rPr>
          <w:rFonts w:ascii="Times New Roman"/>
          <w:spacing w:val="-4"/>
        </w:rPr>
        <w:t> </w:t>
      </w:r>
      <w:r>
        <w:rPr>
          <w:rFonts w:ascii="Times New Roman"/>
        </w:rPr>
        <w:t>economic</w:t>
      </w:r>
      <w:r>
        <w:rPr>
          <w:rFonts w:ascii="Times New Roman"/>
          <w:spacing w:val="-4"/>
        </w:rPr>
        <w:t> </w:t>
      </w:r>
      <w:r>
        <w:rPr>
          <w:rFonts w:ascii="Times New Roman"/>
        </w:rPr>
        <w:t>burden</w:t>
      </w:r>
      <w:r>
        <w:rPr>
          <w:rFonts w:ascii="Times New Roman"/>
          <w:spacing w:val="-3"/>
        </w:rPr>
        <w:t> </w:t>
      </w:r>
      <w:r>
        <w:rPr>
          <w:rFonts w:ascii="Times New Roman"/>
        </w:rPr>
        <w:t>of</w:t>
      </w:r>
      <w:r>
        <w:rPr>
          <w:rFonts w:ascii="Times New Roman"/>
          <w:spacing w:val="-3"/>
        </w:rPr>
        <w:t> </w:t>
      </w:r>
      <w:r>
        <w:rPr>
          <w:rFonts w:ascii="Times New Roman"/>
        </w:rPr>
        <w:t>chronic obstructive pulmonary disease in the USA. Clinicoecon Outcomes Res. 2013;5:235-45.</w:t>
      </w:r>
    </w:p>
    <w:p>
      <w:pPr>
        <w:spacing w:after="0" w:line="276" w:lineRule="auto"/>
        <w:jc w:val="both"/>
        <w:rPr>
          <w:rFonts w:ascii="Times New Roman"/>
        </w:rPr>
        <w:sectPr>
          <w:pgSz w:w="11910" w:h="16840"/>
          <w:pgMar w:header="590" w:footer="784" w:top="1340" w:bottom="980" w:left="1480" w:right="1080"/>
        </w:sectPr>
      </w:pPr>
    </w:p>
    <w:p>
      <w:pPr>
        <w:pStyle w:val="BodyText"/>
        <w:spacing w:line="276" w:lineRule="auto" w:before="90"/>
        <w:ind w:right="359"/>
        <w:rPr>
          <w:rFonts w:ascii="Times New Roman"/>
        </w:rPr>
      </w:pPr>
      <w:bookmarkStart w:name="_bookmark183" w:id="372"/>
      <w:bookmarkEnd w:id="372"/>
      <w:r>
        <w:rPr/>
      </w:r>
      <w:r>
        <w:rPr>
          <w:rFonts w:ascii="Times New Roman"/>
        </w:rPr>
        <w:t>Kearley</w:t>
      </w:r>
      <w:r>
        <w:rPr>
          <w:rFonts w:ascii="Times New Roman"/>
          <w:spacing w:val="-2"/>
        </w:rPr>
        <w:t> </w:t>
      </w:r>
      <w:r>
        <w:rPr>
          <w:rFonts w:ascii="Times New Roman"/>
        </w:rPr>
        <w:t>J,</w:t>
      </w:r>
      <w:r>
        <w:rPr>
          <w:rFonts w:ascii="Times New Roman"/>
          <w:spacing w:val="-3"/>
        </w:rPr>
        <w:t> </w:t>
      </w:r>
      <w:r>
        <w:rPr>
          <w:rFonts w:ascii="Times New Roman"/>
        </w:rPr>
        <w:t>Silver</w:t>
      </w:r>
      <w:r>
        <w:rPr>
          <w:rFonts w:ascii="Times New Roman"/>
          <w:spacing w:val="-2"/>
        </w:rPr>
        <w:t> </w:t>
      </w:r>
      <w:r>
        <w:rPr>
          <w:rFonts w:ascii="Times New Roman"/>
        </w:rPr>
        <w:t>JS,</w:t>
      </w:r>
      <w:r>
        <w:rPr>
          <w:rFonts w:ascii="Times New Roman"/>
          <w:spacing w:val="-3"/>
        </w:rPr>
        <w:t> </w:t>
      </w:r>
      <w:r>
        <w:rPr>
          <w:rFonts w:ascii="Times New Roman"/>
        </w:rPr>
        <w:t>Sanden</w:t>
      </w:r>
      <w:r>
        <w:rPr>
          <w:rFonts w:ascii="Times New Roman"/>
          <w:spacing w:val="-2"/>
        </w:rPr>
        <w:t> </w:t>
      </w:r>
      <w:r>
        <w:rPr>
          <w:rFonts w:ascii="Times New Roman"/>
        </w:rPr>
        <w:t>C,</w:t>
      </w:r>
      <w:r>
        <w:rPr>
          <w:rFonts w:ascii="Times New Roman"/>
          <w:spacing w:val="-2"/>
        </w:rPr>
        <w:t> </w:t>
      </w:r>
      <w:r>
        <w:rPr>
          <w:rFonts w:ascii="Times New Roman"/>
        </w:rPr>
        <w:t>Liu</w:t>
      </w:r>
      <w:r>
        <w:rPr>
          <w:rFonts w:ascii="Times New Roman"/>
          <w:spacing w:val="-2"/>
        </w:rPr>
        <w:t> </w:t>
      </w:r>
      <w:r>
        <w:rPr>
          <w:rFonts w:ascii="Times New Roman"/>
        </w:rPr>
        <w:t>Z,</w:t>
      </w:r>
      <w:r>
        <w:rPr>
          <w:rFonts w:ascii="Times New Roman"/>
          <w:spacing w:val="-2"/>
        </w:rPr>
        <w:t> </w:t>
      </w:r>
      <w:r>
        <w:rPr>
          <w:rFonts w:ascii="Times New Roman"/>
        </w:rPr>
        <w:t>Berlin</w:t>
      </w:r>
      <w:r>
        <w:rPr>
          <w:rFonts w:ascii="Times New Roman"/>
          <w:spacing w:val="-2"/>
        </w:rPr>
        <w:t> </w:t>
      </w:r>
      <w:r>
        <w:rPr>
          <w:rFonts w:ascii="Times New Roman"/>
        </w:rPr>
        <w:t>AA,</w:t>
      </w:r>
      <w:r>
        <w:rPr>
          <w:rFonts w:ascii="Times New Roman"/>
          <w:spacing w:val="-3"/>
        </w:rPr>
        <w:t> </w:t>
      </w:r>
      <w:r>
        <w:rPr>
          <w:rFonts w:ascii="Times New Roman"/>
        </w:rPr>
        <w:t>White</w:t>
      </w:r>
      <w:r>
        <w:rPr>
          <w:rFonts w:ascii="Times New Roman"/>
          <w:spacing w:val="-2"/>
        </w:rPr>
        <w:t> </w:t>
      </w:r>
      <w:r>
        <w:rPr>
          <w:rFonts w:ascii="Times New Roman"/>
        </w:rPr>
        <w:t>N,</w:t>
      </w:r>
      <w:r>
        <w:rPr>
          <w:rFonts w:ascii="Times New Roman"/>
          <w:spacing w:val="-2"/>
        </w:rPr>
        <w:t> </w:t>
      </w:r>
      <w:r>
        <w:rPr>
          <w:rFonts w:ascii="Times New Roman"/>
        </w:rPr>
        <w:t>et</w:t>
      </w:r>
      <w:r>
        <w:rPr>
          <w:rFonts w:ascii="Times New Roman"/>
          <w:spacing w:val="-3"/>
        </w:rPr>
        <w:t> </w:t>
      </w:r>
      <w:r>
        <w:rPr>
          <w:rFonts w:ascii="Times New Roman"/>
        </w:rPr>
        <w:t>al.</w:t>
      </w:r>
      <w:r>
        <w:rPr>
          <w:rFonts w:ascii="Times New Roman"/>
          <w:spacing w:val="-2"/>
        </w:rPr>
        <w:t> </w:t>
      </w:r>
      <w:r>
        <w:rPr>
          <w:rFonts w:ascii="Times New Roman"/>
        </w:rPr>
        <w:t>Cigarette</w:t>
      </w:r>
      <w:r>
        <w:rPr>
          <w:rFonts w:ascii="Times New Roman"/>
          <w:spacing w:val="-3"/>
        </w:rPr>
        <w:t> </w:t>
      </w:r>
      <w:r>
        <w:rPr>
          <w:rFonts w:ascii="Times New Roman"/>
        </w:rPr>
        <w:t>smoke</w:t>
      </w:r>
      <w:r>
        <w:rPr>
          <w:rFonts w:ascii="Times New Roman"/>
          <w:spacing w:val="-2"/>
        </w:rPr>
        <w:t> </w:t>
      </w:r>
      <w:r>
        <w:rPr>
          <w:rFonts w:ascii="Times New Roman"/>
        </w:rPr>
        <w:t>silences innate lymphoid cell function and facilitates an exacerbated type I interleukin-33- dependent response to infection. Immunity. 2015;42(3):566-79.</w:t>
      </w:r>
    </w:p>
    <w:p>
      <w:pPr>
        <w:pStyle w:val="BodyText"/>
        <w:spacing w:line="276" w:lineRule="auto" w:before="240"/>
        <w:ind w:right="359"/>
        <w:rPr>
          <w:rFonts w:ascii="Times New Roman"/>
        </w:rPr>
      </w:pPr>
      <w:bookmarkStart w:name="_bookmark184" w:id="373"/>
      <w:bookmarkEnd w:id="373"/>
      <w:r>
        <w:rPr/>
      </w:r>
      <w:r>
        <w:rPr>
          <w:rFonts w:ascii="Times New Roman"/>
        </w:rPr>
        <w:t>Kemp SF, Lockey RF, Simons FE; World Allergy Organization ad hoc Committee on Epinephrine</w:t>
      </w:r>
      <w:r>
        <w:rPr>
          <w:rFonts w:ascii="Times New Roman"/>
          <w:spacing w:val="-4"/>
        </w:rPr>
        <w:t> </w:t>
      </w:r>
      <w:r>
        <w:rPr>
          <w:rFonts w:ascii="Times New Roman"/>
        </w:rPr>
        <w:t>in</w:t>
      </w:r>
      <w:r>
        <w:rPr>
          <w:rFonts w:ascii="Times New Roman"/>
          <w:spacing w:val="-3"/>
        </w:rPr>
        <w:t> </w:t>
      </w:r>
      <w:r>
        <w:rPr>
          <w:rFonts w:ascii="Times New Roman"/>
        </w:rPr>
        <w:t>Anaphylaxis.</w:t>
      </w:r>
      <w:r>
        <w:rPr>
          <w:rFonts w:ascii="Times New Roman"/>
          <w:spacing w:val="-3"/>
        </w:rPr>
        <w:t> </w:t>
      </w:r>
      <w:r>
        <w:rPr>
          <w:rFonts w:ascii="Times New Roman"/>
        </w:rPr>
        <w:t>Epinephrine:</w:t>
      </w:r>
      <w:r>
        <w:rPr>
          <w:rFonts w:ascii="Times New Roman"/>
          <w:spacing w:val="-3"/>
        </w:rPr>
        <w:t> </w:t>
      </w:r>
      <w:r>
        <w:rPr>
          <w:rFonts w:ascii="Times New Roman"/>
        </w:rPr>
        <w:t>the</w:t>
      </w:r>
      <w:r>
        <w:rPr>
          <w:rFonts w:ascii="Times New Roman"/>
          <w:spacing w:val="-3"/>
        </w:rPr>
        <w:t> </w:t>
      </w:r>
      <w:r>
        <w:rPr>
          <w:rFonts w:ascii="Times New Roman"/>
        </w:rPr>
        <w:t>drug</w:t>
      </w:r>
      <w:r>
        <w:rPr>
          <w:rFonts w:ascii="Times New Roman"/>
          <w:spacing w:val="-4"/>
        </w:rPr>
        <w:t> </w:t>
      </w:r>
      <w:r>
        <w:rPr>
          <w:rFonts w:ascii="Times New Roman"/>
        </w:rPr>
        <w:t>of</w:t>
      </w:r>
      <w:r>
        <w:rPr>
          <w:rFonts w:ascii="Times New Roman"/>
          <w:spacing w:val="-3"/>
        </w:rPr>
        <w:t> </w:t>
      </w:r>
      <w:r>
        <w:rPr>
          <w:rFonts w:ascii="Times New Roman"/>
        </w:rPr>
        <w:t>choice</w:t>
      </w:r>
      <w:r>
        <w:rPr>
          <w:rFonts w:ascii="Times New Roman"/>
          <w:spacing w:val="-4"/>
        </w:rPr>
        <w:t> </w:t>
      </w:r>
      <w:r>
        <w:rPr>
          <w:rFonts w:ascii="Times New Roman"/>
        </w:rPr>
        <w:t>for</w:t>
      </w:r>
      <w:r>
        <w:rPr>
          <w:rFonts w:ascii="Times New Roman"/>
          <w:spacing w:val="-3"/>
        </w:rPr>
        <w:t> </w:t>
      </w:r>
      <w:r>
        <w:rPr>
          <w:rFonts w:ascii="Times New Roman"/>
        </w:rPr>
        <w:t>anaphylaxis.</w:t>
      </w:r>
      <w:r>
        <w:rPr>
          <w:rFonts w:ascii="Times New Roman"/>
          <w:spacing w:val="-3"/>
        </w:rPr>
        <w:t> </w:t>
      </w:r>
      <w:r>
        <w:rPr>
          <w:rFonts w:ascii="Times New Roman"/>
        </w:rPr>
        <w:t>A</w:t>
      </w:r>
      <w:r>
        <w:rPr>
          <w:rFonts w:ascii="Times New Roman"/>
          <w:spacing w:val="-4"/>
        </w:rPr>
        <w:t> </w:t>
      </w:r>
      <w:r>
        <w:rPr>
          <w:rFonts w:ascii="Times New Roman"/>
        </w:rPr>
        <w:t>statement of the World Allergy Organization. Allergy. 2008;63(8):1061-70.</w:t>
      </w:r>
    </w:p>
    <w:p>
      <w:pPr>
        <w:pStyle w:val="BodyText"/>
        <w:spacing w:line="276" w:lineRule="auto" w:before="241"/>
        <w:ind w:right="357"/>
        <w:rPr>
          <w:rFonts w:ascii="Times New Roman"/>
        </w:rPr>
      </w:pPr>
      <w:bookmarkStart w:name="_bookmark185" w:id="374"/>
      <w:bookmarkEnd w:id="374"/>
      <w:r>
        <w:rPr/>
      </w:r>
      <w:r>
        <w:rPr>
          <w:rFonts w:ascii="Times New Roman"/>
        </w:rPr>
        <w:t>Kim V, Crapo J, Zhao H, Jones PW, Silverman EK, Comellas A, et al. Comparison between</w:t>
      </w:r>
      <w:r>
        <w:rPr>
          <w:rFonts w:ascii="Times New Roman"/>
          <w:spacing w:val="-2"/>
        </w:rPr>
        <w:t> </w:t>
      </w:r>
      <w:r>
        <w:rPr>
          <w:rFonts w:ascii="Times New Roman"/>
        </w:rPr>
        <w:t>an</w:t>
      </w:r>
      <w:r>
        <w:rPr>
          <w:rFonts w:ascii="Times New Roman"/>
          <w:spacing w:val="-5"/>
        </w:rPr>
        <w:t> </w:t>
      </w:r>
      <w:r>
        <w:rPr>
          <w:rFonts w:ascii="Times New Roman"/>
        </w:rPr>
        <w:t>alternative</w:t>
      </w:r>
      <w:r>
        <w:rPr>
          <w:rFonts w:ascii="Times New Roman"/>
          <w:spacing w:val="-3"/>
        </w:rPr>
        <w:t> </w:t>
      </w:r>
      <w:r>
        <w:rPr>
          <w:rFonts w:ascii="Times New Roman"/>
        </w:rPr>
        <w:t>and</w:t>
      </w:r>
      <w:r>
        <w:rPr>
          <w:rFonts w:ascii="Times New Roman"/>
          <w:spacing w:val="-3"/>
        </w:rPr>
        <w:t> </w:t>
      </w:r>
      <w:r>
        <w:rPr>
          <w:rFonts w:ascii="Times New Roman"/>
        </w:rPr>
        <w:t>the</w:t>
      </w:r>
      <w:r>
        <w:rPr>
          <w:rFonts w:ascii="Times New Roman"/>
          <w:spacing w:val="-3"/>
        </w:rPr>
        <w:t> </w:t>
      </w:r>
      <w:r>
        <w:rPr>
          <w:rFonts w:ascii="Times New Roman"/>
        </w:rPr>
        <w:t>classic</w:t>
      </w:r>
      <w:r>
        <w:rPr>
          <w:rFonts w:ascii="Times New Roman"/>
          <w:spacing w:val="-4"/>
        </w:rPr>
        <w:t> </w:t>
      </w:r>
      <w:r>
        <w:rPr>
          <w:rFonts w:ascii="Times New Roman"/>
        </w:rPr>
        <w:t>definition</w:t>
      </w:r>
      <w:r>
        <w:rPr>
          <w:rFonts w:ascii="Times New Roman"/>
          <w:spacing w:val="-4"/>
        </w:rPr>
        <w:t> </w:t>
      </w:r>
      <w:r>
        <w:rPr>
          <w:rFonts w:ascii="Times New Roman"/>
        </w:rPr>
        <w:t>of</w:t>
      </w:r>
      <w:r>
        <w:rPr>
          <w:rFonts w:ascii="Times New Roman"/>
          <w:spacing w:val="-3"/>
        </w:rPr>
        <w:t> </w:t>
      </w:r>
      <w:r>
        <w:rPr>
          <w:rFonts w:ascii="Times New Roman"/>
        </w:rPr>
        <w:t>chronic</w:t>
      </w:r>
      <w:r>
        <w:rPr>
          <w:rFonts w:ascii="Times New Roman"/>
          <w:spacing w:val="-3"/>
        </w:rPr>
        <w:t> </w:t>
      </w:r>
      <w:r>
        <w:rPr>
          <w:rFonts w:ascii="Times New Roman"/>
        </w:rPr>
        <w:t>bronchitis</w:t>
      </w:r>
      <w:r>
        <w:rPr>
          <w:rFonts w:ascii="Times New Roman"/>
          <w:spacing w:val="-4"/>
        </w:rPr>
        <w:t> </w:t>
      </w:r>
      <w:r>
        <w:rPr>
          <w:rFonts w:ascii="Times New Roman"/>
        </w:rPr>
        <w:t>in</w:t>
      </w:r>
      <w:r>
        <w:rPr>
          <w:rFonts w:ascii="Times New Roman"/>
          <w:spacing w:val="-5"/>
        </w:rPr>
        <w:t> </w:t>
      </w:r>
      <w:r>
        <w:rPr>
          <w:rFonts w:ascii="Times New Roman"/>
        </w:rPr>
        <w:t>COPDGene.</w:t>
      </w:r>
      <w:r>
        <w:rPr>
          <w:rFonts w:ascii="Times New Roman"/>
          <w:spacing w:val="-3"/>
        </w:rPr>
        <w:t> </w:t>
      </w:r>
      <w:r>
        <w:rPr>
          <w:rFonts w:ascii="Times New Roman"/>
        </w:rPr>
        <w:t>Ann Am Thorac Soc. 2015;12(3):332-9.</w:t>
      </w:r>
    </w:p>
    <w:p>
      <w:pPr>
        <w:pStyle w:val="BodyText"/>
        <w:spacing w:line="276" w:lineRule="auto" w:before="239"/>
        <w:ind w:right="714"/>
        <w:rPr>
          <w:rFonts w:ascii="Times New Roman"/>
        </w:rPr>
      </w:pPr>
      <w:bookmarkStart w:name="_bookmark186" w:id="375"/>
      <w:bookmarkEnd w:id="375"/>
      <w:r>
        <w:rPr/>
      </w:r>
      <w:r>
        <w:rPr>
          <w:rFonts w:ascii="Times New Roman"/>
        </w:rPr>
        <w:t>Kim V, Zhao H, Regan E, Han MK, Make BJ, Crapo JD, et al. The St. George's respiratory questionnaire definition of chronic bronchitis may be a better predictor of COPD</w:t>
      </w:r>
      <w:r>
        <w:rPr>
          <w:rFonts w:ascii="Times New Roman"/>
          <w:spacing w:val="-5"/>
        </w:rPr>
        <w:t> </w:t>
      </w:r>
      <w:r>
        <w:rPr>
          <w:rFonts w:ascii="Times New Roman"/>
        </w:rPr>
        <w:t>exacerbations</w:t>
      </w:r>
      <w:r>
        <w:rPr>
          <w:rFonts w:ascii="Times New Roman"/>
          <w:spacing w:val="-4"/>
        </w:rPr>
        <w:t> </w:t>
      </w:r>
      <w:r>
        <w:rPr>
          <w:rFonts w:ascii="Times New Roman"/>
        </w:rPr>
        <w:t>compared</w:t>
      </w:r>
      <w:r>
        <w:rPr>
          <w:rFonts w:ascii="Times New Roman"/>
          <w:spacing w:val="-4"/>
        </w:rPr>
        <w:t> </w:t>
      </w:r>
      <w:r>
        <w:rPr>
          <w:rFonts w:ascii="Times New Roman"/>
        </w:rPr>
        <w:t>with</w:t>
      </w:r>
      <w:r>
        <w:rPr>
          <w:rFonts w:ascii="Times New Roman"/>
          <w:spacing w:val="-5"/>
        </w:rPr>
        <w:t> </w:t>
      </w:r>
      <w:r>
        <w:rPr>
          <w:rFonts w:ascii="Times New Roman"/>
        </w:rPr>
        <w:t>the</w:t>
      </w:r>
      <w:r>
        <w:rPr>
          <w:rFonts w:ascii="Times New Roman"/>
          <w:spacing w:val="-4"/>
        </w:rPr>
        <w:t> </w:t>
      </w:r>
      <w:r>
        <w:rPr>
          <w:rFonts w:ascii="Times New Roman"/>
        </w:rPr>
        <w:t>classic</w:t>
      </w:r>
      <w:r>
        <w:rPr>
          <w:rFonts w:ascii="Times New Roman"/>
          <w:spacing w:val="-6"/>
        </w:rPr>
        <w:t> </w:t>
      </w:r>
      <w:r>
        <w:rPr>
          <w:rFonts w:ascii="Times New Roman"/>
        </w:rPr>
        <w:t>definition.</w:t>
      </w:r>
      <w:r>
        <w:rPr>
          <w:rFonts w:ascii="Times New Roman"/>
          <w:spacing w:val="-4"/>
        </w:rPr>
        <w:t> </w:t>
      </w:r>
      <w:r>
        <w:rPr>
          <w:rFonts w:ascii="Times New Roman"/>
        </w:rPr>
        <w:t>Chest.</w:t>
      </w:r>
      <w:r>
        <w:rPr>
          <w:rFonts w:ascii="Times New Roman"/>
          <w:spacing w:val="-4"/>
        </w:rPr>
        <w:t> </w:t>
      </w:r>
      <w:r>
        <w:rPr>
          <w:rFonts w:ascii="Times New Roman"/>
        </w:rPr>
        <w:t>2019;156(4):685-95.</w:t>
      </w:r>
    </w:p>
    <w:p>
      <w:pPr>
        <w:pStyle w:val="BodyText"/>
        <w:spacing w:line="276" w:lineRule="auto" w:before="241"/>
        <w:ind w:right="632"/>
        <w:jc w:val="both"/>
        <w:rPr>
          <w:rFonts w:ascii="Times New Roman"/>
        </w:rPr>
      </w:pPr>
      <w:bookmarkStart w:name="_bookmark187" w:id="376"/>
      <w:bookmarkEnd w:id="376"/>
      <w:r>
        <w:rPr/>
      </w:r>
      <w:r>
        <w:rPr>
          <w:rFonts w:ascii="Times New Roman"/>
        </w:rPr>
        <w:t>Lahousse</w:t>
      </w:r>
      <w:r>
        <w:rPr>
          <w:rFonts w:ascii="Times New Roman"/>
          <w:spacing w:val="-2"/>
        </w:rPr>
        <w:t> </w:t>
      </w:r>
      <w:r>
        <w:rPr>
          <w:rFonts w:ascii="Times New Roman"/>
        </w:rPr>
        <w:t>L,</w:t>
      </w:r>
      <w:r>
        <w:rPr>
          <w:rFonts w:ascii="Times New Roman"/>
          <w:spacing w:val="-2"/>
        </w:rPr>
        <w:t> </w:t>
      </w:r>
      <w:r>
        <w:rPr>
          <w:rFonts w:ascii="Times New Roman"/>
        </w:rPr>
        <w:t>Seys</w:t>
      </w:r>
      <w:r>
        <w:rPr>
          <w:rFonts w:ascii="Times New Roman"/>
          <w:spacing w:val="-2"/>
        </w:rPr>
        <w:t> </w:t>
      </w:r>
      <w:r>
        <w:rPr>
          <w:rFonts w:ascii="Times New Roman"/>
        </w:rPr>
        <w:t>LJM,</w:t>
      </w:r>
      <w:r>
        <w:rPr>
          <w:rFonts w:ascii="Times New Roman"/>
          <w:spacing w:val="-2"/>
        </w:rPr>
        <w:t> </w:t>
      </w:r>
      <w:r>
        <w:rPr>
          <w:rFonts w:ascii="Times New Roman"/>
        </w:rPr>
        <w:t>Joos</w:t>
      </w:r>
      <w:r>
        <w:rPr>
          <w:rFonts w:ascii="Times New Roman"/>
          <w:spacing w:val="-2"/>
        </w:rPr>
        <w:t> </w:t>
      </w:r>
      <w:r>
        <w:rPr>
          <w:rFonts w:ascii="Times New Roman"/>
        </w:rPr>
        <w:t>GF,</w:t>
      </w:r>
      <w:r>
        <w:rPr>
          <w:rFonts w:ascii="Times New Roman"/>
          <w:spacing w:val="-2"/>
        </w:rPr>
        <w:t> </w:t>
      </w:r>
      <w:r>
        <w:rPr>
          <w:rFonts w:ascii="Times New Roman"/>
        </w:rPr>
        <w:t>Franco</w:t>
      </w:r>
      <w:r>
        <w:rPr>
          <w:rFonts w:ascii="Times New Roman"/>
          <w:spacing w:val="-2"/>
        </w:rPr>
        <w:t> </w:t>
      </w:r>
      <w:r>
        <w:rPr>
          <w:rFonts w:ascii="Times New Roman"/>
        </w:rPr>
        <w:t>OH,</w:t>
      </w:r>
      <w:r>
        <w:rPr>
          <w:rFonts w:ascii="Times New Roman"/>
          <w:spacing w:val="-3"/>
        </w:rPr>
        <w:t> </w:t>
      </w:r>
      <w:r>
        <w:rPr>
          <w:rFonts w:ascii="Times New Roman"/>
        </w:rPr>
        <w:t>Stricker</w:t>
      </w:r>
      <w:r>
        <w:rPr>
          <w:rFonts w:ascii="Times New Roman"/>
          <w:spacing w:val="-2"/>
        </w:rPr>
        <w:t> </w:t>
      </w:r>
      <w:r>
        <w:rPr>
          <w:rFonts w:ascii="Times New Roman"/>
        </w:rPr>
        <w:t>BH,</w:t>
      </w:r>
      <w:r>
        <w:rPr>
          <w:rFonts w:ascii="Times New Roman"/>
          <w:spacing w:val="-2"/>
        </w:rPr>
        <w:t> </w:t>
      </w:r>
      <w:r>
        <w:rPr>
          <w:rFonts w:ascii="Times New Roman"/>
        </w:rPr>
        <w:t>Brusselle</w:t>
      </w:r>
      <w:r>
        <w:rPr>
          <w:rFonts w:ascii="Times New Roman"/>
          <w:spacing w:val="-2"/>
        </w:rPr>
        <w:t> </w:t>
      </w:r>
      <w:r>
        <w:rPr>
          <w:rFonts w:ascii="Times New Roman"/>
        </w:rPr>
        <w:t>GG.</w:t>
      </w:r>
      <w:r>
        <w:rPr>
          <w:rFonts w:ascii="Times New Roman"/>
          <w:spacing w:val="-3"/>
        </w:rPr>
        <w:t> </w:t>
      </w:r>
      <w:r>
        <w:rPr>
          <w:rFonts w:ascii="Times New Roman"/>
        </w:rPr>
        <w:t>Epidemiology and</w:t>
      </w:r>
      <w:r>
        <w:rPr>
          <w:rFonts w:ascii="Times New Roman"/>
          <w:spacing w:val="-3"/>
        </w:rPr>
        <w:t> </w:t>
      </w:r>
      <w:r>
        <w:rPr>
          <w:rFonts w:ascii="Times New Roman"/>
        </w:rPr>
        <w:t>impact</w:t>
      </w:r>
      <w:r>
        <w:rPr>
          <w:rFonts w:ascii="Times New Roman"/>
          <w:spacing w:val="-3"/>
        </w:rPr>
        <w:t> </w:t>
      </w:r>
      <w:r>
        <w:rPr>
          <w:rFonts w:ascii="Times New Roman"/>
        </w:rPr>
        <w:t>of</w:t>
      </w:r>
      <w:r>
        <w:rPr>
          <w:rFonts w:ascii="Times New Roman"/>
          <w:spacing w:val="-3"/>
        </w:rPr>
        <w:t> </w:t>
      </w:r>
      <w:r>
        <w:rPr>
          <w:rFonts w:ascii="Times New Roman"/>
        </w:rPr>
        <w:t>chronic</w:t>
      </w:r>
      <w:r>
        <w:rPr>
          <w:rFonts w:ascii="Times New Roman"/>
          <w:spacing w:val="-3"/>
        </w:rPr>
        <w:t> </w:t>
      </w:r>
      <w:r>
        <w:rPr>
          <w:rFonts w:ascii="Times New Roman"/>
        </w:rPr>
        <w:t>bronchitis</w:t>
      </w:r>
      <w:r>
        <w:rPr>
          <w:rFonts w:ascii="Times New Roman"/>
          <w:spacing w:val="-4"/>
        </w:rPr>
        <w:t> </w:t>
      </w:r>
      <w:r>
        <w:rPr>
          <w:rFonts w:ascii="Times New Roman"/>
        </w:rPr>
        <w:t>in</w:t>
      </w:r>
      <w:r>
        <w:rPr>
          <w:rFonts w:ascii="Times New Roman"/>
          <w:spacing w:val="-5"/>
        </w:rPr>
        <w:t> </w:t>
      </w:r>
      <w:r>
        <w:rPr>
          <w:rFonts w:ascii="Times New Roman"/>
        </w:rPr>
        <w:t>chronic</w:t>
      </w:r>
      <w:r>
        <w:rPr>
          <w:rFonts w:ascii="Times New Roman"/>
          <w:spacing w:val="-3"/>
        </w:rPr>
        <w:t> </w:t>
      </w:r>
      <w:r>
        <w:rPr>
          <w:rFonts w:ascii="Times New Roman"/>
        </w:rPr>
        <w:t>obstructive</w:t>
      </w:r>
      <w:r>
        <w:rPr>
          <w:rFonts w:ascii="Times New Roman"/>
          <w:spacing w:val="-3"/>
        </w:rPr>
        <w:t> </w:t>
      </w:r>
      <w:r>
        <w:rPr>
          <w:rFonts w:ascii="Times New Roman"/>
        </w:rPr>
        <w:t>pulmonary</w:t>
      </w:r>
      <w:r>
        <w:rPr>
          <w:rFonts w:ascii="Times New Roman"/>
          <w:spacing w:val="-3"/>
        </w:rPr>
        <w:t> </w:t>
      </w:r>
      <w:r>
        <w:rPr>
          <w:rFonts w:ascii="Times New Roman"/>
        </w:rPr>
        <w:t>disease.</w:t>
      </w:r>
      <w:r>
        <w:rPr>
          <w:rFonts w:ascii="Times New Roman"/>
          <w:spacing w:val="-3"/>
        </w:rPr>
        <w:t> </w:t>
      </w:r>
      <w:r>
        <w:rPr>
          <w:rFonts w:ascii="Times New Roman"/>
        </w:rPr>
        <w:t>Eur</w:t>
      </w:r>
      <w:r>
        <w:rPr>
          <w:rFonts w:ascii="Times New Roman"/>
          <w:spacing w:val="-3"/>
        </w:rPr>
        <w:t> </w:t>
      </w:r>
      <w:r>
        <w:rPr>
          <w:rFonts w:ascii="Times New Roman"/>
        </w:rPr>
        <w:t>Respir</w:t>
      </w:r>
      <w:r>
        <w:rPr>
          <w:rFonts w:ascii="Times New Roman"/>
          <w:spacing w:val="-4"/>
        </w:rPr>
        <w:t> </w:t>
      </w:r>
      <w:r>
        <w:rPr>
          <w:rFonts w:ascii="Times New Roman"/>
        </w:rPr>
        <w:t>J. </w:t>
      </w:r>
      <w:r>
        <w:rPr>
          <w:rFonts w:ascii="Times New Roman"/>
          <w:spacing w:val="-2"/>
        </w:rPr>
        <w:t>2017;50(2):1602470.</w:t>
      </w:r>
    </w:p>
    <w:p>
      <w:pPr>
        <w:pStyle w:val="BodyText"/>
        <w:spacing w:line="276" w:lineRule="auto" w:before="239"/>
        <w:ind w:right="357"/>
        <w:rPr>
          <w:rFonts w:ascii="Times New Roman"/>
        </w:rPr>
      </w:pPr>
      <w:bookmarkStart w:name="_bookmark188" w:id="377"/>
      <w:bookmarkEnd w:id="377"/>
      <w:r>
        <w:rPr/>
      </w:r>
      <w:r>
        <w:rPr>
          <w:rFonts w:ascii="Times New Roman"/>
        </w:rPr>
        <w:t>Leuppi JD, Schuetz P, Bingisser R, Bodmer M, Briel M, Drescher T, et al. Short-term vs conventional glucocorticoid therapy in acute exacerbations of chronic obstructive pulmonary</w:t>
      </w:r>
      <w:r>
        <w:rPr>
          <w:rFonts w:ascii="Times New Roman"/>
          <w:spacing w:val="-4"/>
        </w:rPr>
        <w:t> </w:t>
      </w:r>
      <w:r>
        <w:rPr>
          <w:rFonts w:ascii="Times New Roman"/>
        </w:rPr>
        <w:t>disease:</w:t>
      </w:r>
      <w:r>
        <w:rPr>
          <w:rFonts w:ascii="Times New Roman"/>
          <w:spacing w:val="-4"/>
        </w:rPr>
        <w:t> </w:t>
      </w:r>
      <w:r>
        <w:rPr>
          <w:rFonts w:ascii="Times New Roman"/>
        </w:rPr>
        <w:t>the</w:t>
      </w:r>
      <w:r>
        <w:rPr>
          <w:rFonts w:ascii="Times New Roman"/>
          <w:spacing w:val="-4"/>
        </w:rPr>
        <w:t> </w:t>
      </w:r>
      <w:r>
        <w:rPr>
          <w:rFonts w:ascii="Times New Roman"/>
        </w:rPr>
        <w:t>REDUCE</w:t>
      </w:r>
      <w:r>
        <w:rPr>
          <w:rFonts w:ascii="Times New Roman"/>
          <w:spacing w:val="-4"/>
        </w:rPr>
        <w:t> </w:t>
      </w:r>
      <w:r>
        <w:rPr>
          <w:rFonts w:ascii="Times New Roman"/>
        </w:rPr>
        <w:t>randomized</w:t>
      </w:r>
      <w:r>
        <w:rPr>
          <w:rFonts w:ascii="Times New Roman"/>
          <w:spacing w:val="-5"/>
        </w:rPr>
        <w:t> </w:t>
      </w:r>
      <w:r>
        <w:rPr>
          <w:rFonts w:ascii="Times New Roman"/>
        </w:rPr>
        <w:t>clinical</w:t>
      </w:r>
      <w:r>
        <w:rPr>
          <w:rFonts w:ascii="Times New Roman"/>
          <w:spacing w:val="-5"/>
        </w:rPr>
        <w:t> </w:t>
      </w:r>
      <w:r>
        <w:rPr>
          <w:rFonts w:ascii="Times New Roman"/>
        </w:rPr>
        <w:t>trial.</w:t>
      </w:r>
      <w:r>
        <w:rPr>
          <w:rFonts w:ascii="Times New Roman"/>
          <w:spacing w:val="-4"/>
        </w:rPr>
        <w:t> </w:t>
      </w:r>
      <w:r>
        <w:rPr>
          <w:rFonts w:ascii="Times New Roman"/>
        </w:rPr>
        <w:t>JAMA.</w:t>
      </w:r>
      <w:r>
        <w:rPr>
          <w:rFonts w:ascii="Times New Roman"/>
          <w:spacing w:val="-4"/>
        </w:rPr>
        <w:t> </w:t>
      </w:r>
      <w:r>
        <w:rPr>
          <w:rFonts w:ascii="Times New Roman"/>
        </w:rPr>
        <w:t>2013;309(21):2223-31.</w:t>
      </w:r>
    </w:p>
    <w:p>
      <w:pPr>
        <w:pStyle w:val="BodyText"/>
        <w:spacing w:line="276" w:lineRule="auto" w:before="241"/>
        <w:ind w:right="357"/>
        <w:rPr>
          <w:rFonts w:ascii="Times New Roman"/>
        </w:rPr>
      </w:pPr>
      <w:bookmarkStart w:name="_bookmark189" w:id="378"/>
      <w:bookmarkEnd w:id="378"/>
      <w:r>
        <w:rPr/>
      </w:r>
      <w:r>
        <w:rPr>
          <w:rFonts w:ascii="Times New Roman"/>
        </w:rPr>
        <w:t>Mannino</w:t>
      </w:r>
      <w:r>
        <w:rPr>
          <w:rFonts w:ascii="Times New Roman"/>
          <w:spacing w:val="-3"/>
        </w:rPr>
        <w:t> </w:t>
      </w:r>
      <w:r>
        <w:rPr>
          <w:rFonts w:ascii="Times New Roman"/>
        </w:rPr>
        <w:t>DM,</w:t>
      </w:r>
      <w:r>
        <w:rPr>
          <w:rFonts w:ascii="Times New Roman"/>
          <w:spacing w:val="-4"/>
        </w:rPr>
        <w:t> </w:t>
      </w:r>
      <w:r>
        <w:rPr>
          <w:rFonts w:ascii="Times New Roman"/>
        </w:rPr>
        <w:t>Braman</w:t>
      </w:r>
      <w:r>
        <w:rPr>
          <w:rFonts w:ascii="Times New Roman"/>
          <w:spacing w:val="-5"/>
        </w:rPr>
        <w:t> </w:t>
      </w:r>
      <w:r>
        <w:rPr>
          <w:rFonts w:ascii="Times New Roman"/>
        </w:rPr>
        <w:t>S.</w:t>
      </w:r>
      <w:r>
        <w:rPr>
          <w:rFonts w:ascii="Times New Roman"/>
          <w:spacing w:val="-4"/>
        </w:rPr>
        <w:t> </w:t>
      </w:r>
      <w:r>
        <w:rPr>
          <w:rFonts w:ascii="Times New Roman"/>
        </w:rPr>
        <w:t>The</w:t>
      </w:r>
      <w:r>
        <w:rPr>
          <w:rFonts w:ascii="Times New Roman"/>
          <w:spacing w:val="-3"/>
        </w:rPr>
        <w:t> </w:t>
      </w:r>
      <w:r>
        <w:rPr>
          <w:rFonts w:ascii="Times New Roman"/>
        </w:rPr>
        <w:t>epidemiology</w:t>
      </w:r>
      <w:r>
        <w:rPr>
          <w:rFonts w:ascii="Times New Roman"/>
          <w:spacing w:val="-4"/>
        </w:rPr>
        <w:t> </w:t>
      </w:r>
      <w:r>
        <w:rPr>
          <w:rFonts w:ascii="Times New Roman"/>
        </w:rPr>
        <w:t>and</w:t>
      </w:r>
      <w:r>
        <w:rPr>
          <w:rFonts w:ascii="Times New Roman"/>
          <w:spacing w:val="-4"/>
        </w:rPr>
        <w:t> </w:t>
      </w:r>
      <w:r>
        <w:rPr>
          <w:rFonts w:ascii="Times New Roman"/>
        </w:rPr>
        <w:t>economics</w:t>
      </w:r>
      <w:r>
        <w:rPr>
          <w:rFonts w:ascii="Times New Roman"/>
          <w:spacing w:val="-4"/>
        </w:rPr>
        <w:t> </w:t>
      </w:r>
      <w:r>
        <w:rPr>
          <w:rFonts w:ascii="Times New Roman"/>
        </w:rPr>
        <w:t>of</w:t>
      </w:r>
      <w:r>
        <w:rPr>
          <w:rFonts w:ascii="Times New Roman"/>
          <w:spacing w:val="-3"/>
        </w:rPr>
        <w:t> </w:t>
      </w:r>
      <w:r>
        <w:rPr>
          <w:rFonts w:ascii="Times New Roman"/>
        </w:rPr>
        <w:t>chronic</w:t>
      </w:r>
      <w:r>
        <w:rPr>
          <w:rFonts w:ascii="Times New Roman"/>
          <w:spacing w:val="-3"/>
        </w:rPr>
        <w:t> </w:t>
      </w:r>
      <w:r>
        <w:rPr>
          <w:rFonts w:ascii="Times New Roman"/>
        </w:rPr>
        <w:t>obstructive pulmonary disease. Proc Am Thorac Soc. 2007;4(7):502-6.</w:t>
      </w:r>
    </w:p>
    <w:p>
      <w:pPr>
        <w:pStyle w:val="BodyText"/>
        <w:spacing w:line="276" w:lineRule="auto" w:before="240"/>
        <w:rPr>
          <w:rFonts w:ascii="Times New Roman"/>
        </w:rPr>
      </w:pPr>
      <w:bookmarkStart w:name="_bookmark190" w:id="379"/>
      <w:bookmarkEnd w:id="379"/>
      <w:r>
        <w:rPr/>
      </w:r>
      <w:r>
        <w:rPr>
          <w:rFonts w:ascii="Times New Roman"/>
        </w:rPr>
        <w:t>Miravitlles</w:t>
      </w:r>
      <w:r>
        <w:rPr>
          <w:rFonts w:ascii="Times New Roman"/>
          <w:spacing w:val="-3"/>
        </w:rPr>
        <w:t> </w:t>
      </w:r>
      <w:r>
        <w:rPr>
          <w:rFonts w:ascii="Times New Roman"/>
        </w:rPr>
        <w:t>M,</w:t>
      </w:r>
      <w:r>
        <w:rPr>
          <w:rFonts w:ascii="Times New Roman"/>
          <w:spacing w:val="-4"/>
        </w:rPr>
        <w:t> </w:t>
      </w:r>
      <w:r>
        <w:rPr>
          <w:rFonts w:ascii="Times New Roman"/>
        </w:rPr>
        <w:t>Ribera</w:t>
      </w:r>
      <w:r>
        <w:rPr>
          <w:rFonts w:ascii="Times New Roman"/>
          <w:spacing w:val="-3"/>
        </w:rPr>
        <w:t> </w:t>
      </w:r>
      <w:r>
        <w:rPr>
          <w:rFonts w:ascii="Times New Roman"/>
        </w:rPr>
        <w:t>A.</w:t>
      </w:r>
      <w:r>
        <w:rPr>
          <w:rFonts w:ascii="Times New Roman"/>
          <w:spacing w:val="-4"/>
        </w:rPr>
        <w:t> </w:t>
      </w:r>
      <w:r>
        <w:rPr>
          <w:rFonts w:ascii="Times New Roman"/>
        </w:rPr>
        <w:t>Understanding</w:t>
      </w:r>
      <w:r>
        <w:rPr>
          <w:rFonts w:ascii="Times New Roman"/>
          <w:spacing w:val="-3"/>
        </w:rPr>
        <w:t> </w:t>
      </w:r>
      <w:r>
        <w:rPr>
          <w:rFonts w:ascii="Times New Roman"/>
        </w:rPr>
        <w:t>the</w:t>
      </w:r>
      <w:r>
        <w:rPr>
          <w:rFonts w:ascii="Times New Roman"/>
          <w:spacing w:val="-4"/>
        </w:rPr>
        <w:t> </w:t>
      </w:r>
      <w:r>
        <w:rPr>
          <w:rFonts w:ascii="Times New Roman"/>
        </w:rPr>
        <w:t>impact</w:t>
      </w:r>
      <w:r>
        <w:rPr>
          <w:rFonts w:ascii="Times New Roman"/>
          <w:spacing w:val="-3"/>
        </w:rPr>
        <w:t> </w:t>
      </w:r>
      <w:r>
        <w:rPr>
          <w:rFonts w:ascii="Times New Roman"/>
        </w:rPr>
        <w:t>of</w:t>
      </w:r>
      <w:r>
        <w:rPr>
          <w:rFonts w:ascii="Times New Roman"/>
          <w:spacing w:val="-3"/>
        </w:rPr>
        <w:t> </w:t>
      </w:r>
      <w:r>
        <w:rPr>
          <w:rFonts w:ascii="Times New Roman"/>
        </w:rPr>
        <w:t>symptoms</w:t>
      </w:r>
      <w:r>
        <w:rPr>
          <w:rFonts w:ascii="Times New Roman"/>
          <w:spacing w:val="-2"/>
        </w:rPr>
        <w:t> </w:t>
      </w:r>
      <w:r>
        <w:rPr>
          <w:rFonts w:ascii="Times New Roman"/>
        </w:rPr>
        <w:t>on</w:t>
      </w:r>
      <w:r>
        <w:rPr>
          <w:rFonts w:ascii="Times New Roman"/>
          <w:spacing w:val="-3"/>
        </w:rPr>
        <w:t> </w:t>
      </w:r>
      <w:r>
        <w:rPr>
          <w:rFonts w:ascii="Times New Roman"/>
        </w:rPr>
        <w:t>the</w:t>
      </w:r>
      <w:r>
        <w:rPr>
          <w:rFonts w:ascii="Times New Roman"/>
          <w:spacing w:val="-3"/>
        </w:rPr>
        <w:t> </w:t>
      </w:r>
      <w:r>
        <w:rPr>
          <w:rFonts w:ascii="Times New Roman"/>
        </w:rPr>
        <w:t>burden</w:t>
      </w:r>
      <w:r>
        <w:rPr>
          <w:rFonts w:ascii="Times New Roman"/>
          <w:spacing w:val="-3"/>
        </w:rPr>
        <w:t> </w:t>
      </w:r>
      <w:r>
        <w:rPr>
          <w:rFonts w:ascii="Times New Roman"/>
        </w:rPr>
        <w:t>of</w:t>
      </w:r>
      <w:r>
        <w:rPr>
          <w:rFonts w:ascii="Times New Roman"/>
          <w:spacing w:val="-3"/>
        </w:rPr>
        <w:t> </w:t>
      </w:r>
      <w:r>
        <w:rPr>
          <w:rFonts w:ascii="Times New Roman"/>
        </w:rPr>
        <w:t>COPD. Respir Res. 2017;18(1):67.</w:t>
      </w:r>
    </w:p>
    <w:p>
      <w:pPr>
        <w:pStyle w:val="BodyText"/>
        <w:spacing w:line="276" w:lineRule="auto" w:before="241"/>
        <w:ind w:right="398"/>
        <w:rPr>
          <w:rFonts w:ascii="Times New Roman" w:hAnsi="Times New Roman"/>
        </w:rPr>
      </w:pPr>
      <w:bookmarkStart w:name="_bookmark191" w:id="380"/>
      <w:bookmarkEnd w:id="380"/>
      <w:r>
        <w:rPr/>
      </w:r>
      <w:r>
        <w:rPr>
          <w:rFonts w:ascii="Times New Roman" w:hAnsi="Times New Roman"/>
        </w:rPr>
        <w:t>Müllerová H, Maskell J, Meeraus WH, Galkin D, Albers FC, Gait C. Characterization of COPD</w:t>
      </w:r>
      <w:r>
        <w:rPr>
          <w:rFonts w:ascii="Times New Roman" w:hAnsi="Times New Roman"/>
          <w:spacing w:val="-5"/>
        </w:rPr>
        <w:t> </w:t>
      </w:r>
      <w:r>
        <w:rPr>
          <w:rFonts w:ascii="Times New Roman" w:hAnsi="Times New Roman"/>
        </w:rPr>
        <w:t>patients</w:t>
      </w:r>
      <w:r>
        <w:rPr>
          <w:rFonts w:ascii="Times New Roman" w:hAnsi="Times New Roman"/>
          <w:spacing w:val="-3"/>
        </w:rPr>
        <w:t> </w:t>
      </w:r>
      <w:r>
        <w:rPr>
          <w:rFonts w:ascii="Times New Roman" w:hAnsi="Times New Roman"/>
        </w:rPr>
        <w:t>treated</w:t>
      </w:r>
      <w:r>
        <w:rPr>
          <w:rFonts w:ascii="Times New Roman" w:hAnsi="Times New Roman"/>
          <w:spacing w:val="-5"/>
        </w:rPr>
        <w:t> </w:t>
      </w:r>
      <w:r>
        <w:rPr>
          <w:rFonts w:ascii="Times New Roman" w:hAnsi="Times New Roman"/>
        </w:rPr>
        <w:t>with</w:t>
      </w:r>
      <w:r>
        <w:rPr>
          <w:rFonts w:ascii="Times New Roman" w:hAnsi="Times New Roman"/>
          <w:spacing w:val="-4"/>
        </w:rPr>
        <w:t> </w:t>
      </w:r>
      <w:r>
        <w:rPr>
          <w:rFonts w:ascii="Times New Roman" w:hAnsi="Times New Roman"/>
        </w:rPr>
        <w:t>inhaled</w:t>
      </w:r>
      <w:r>
        <w:rPr>
          <w:rFonts w:ascii="Times New Roman" w:hAnsi="Times New Roman"/>
          <w:spacing w:val="-5"/>
        </w:rPr>
        <w:t> </w:t>
      </w:r>
      <w:r>
        <w:rPr>
          <w:rFonts w:ascii="Times New Roman" w:hAnsi="Times New Roman"/>
        </w:rPr>
        <w:t>triple</w:t>
      </w:r>
      <w:r>
        <w:rPr>
          <w:rFonts w:ascii="Times New Roman" w:hAnsi="Times New Roman"/>
          <w:spacing w:val="-5"/>
        </w:rPr>
        <w:t> </w:t>
      </w:r>
      <w:r>
        <w:rPr>
          <w:rFonts w:ascii="Times New Roman" w:hAnsi="Times New Roman"/>
        </w:rPr>
        <w:t>therapy</w:t>
      </w:r>
      <w:r>
        <w:rPr>
          <w:rFonts w:ascii="Times New Roman" w:hAnsi="Times New Roman"/>
          <w:spacing w:val="-5"/>
        </w:rPr>
        <w:t> </w:t>
      </w:r>
      <w:r>
        <w:rPr>
          <w:rFonts w:ascii="Times New Roman" w:hAnsi="Times New Roman"/>
        </w:rPr>
        <w:t>containing</w:t>
      </w:r>
      <w:r>
        <w:rPr>
          <w:rFonts w:ascii="Times New Roman" w:hAnsi="Times New Roman"/>
          <w:spacing w:val="-3"/>
        </w:rPr>
        <w:t> </w:t>
      </w:r>
      <w:r>
        <w:rPr>
          <w:rFonts w:ascii="Times New Roman" w:hAnsi="Times New Roman"/>
        </w:rPr>
        <w:t>inhaled</w:t>
      </w:r>
      <w:r>
        <w:rPr>
          <w:rFonts w:ascii="Times New Roman" w:hAnsi="Times New Roman"/>
          <w:spacing w:val="-4"/>
        </w:rPr>
        <w:t> </w:t>
      </w:r>
      <w:r>
        <w:rPr>
          <w:rFonts w:ascii="Times New Roman" w:hAnsi="Times New Roman"/>
        </w:rPr>
        <w:t>corticosteroids</w:t>
      </w:r>
      <w:r>
        <w:rPr>
          <w:rFonts w:ascii="Times New Roman" w:hAnsi="Times New Roman"/>
          <w:spacing w:val="-3"/>
        </w:rPr>
        <w:t> </w:t>
      </w:r>
      <w:r>
        <w:rPr>
          <w:rFonts w:ascii="Times New Roman" w:hAnsi="Times New Roman"/>
        </w:rPr>
        <w:t>[ICS], long-acting beta2-agonists [LABA], and long-acting muscarinic antagonists [LAMA] in the UK. Am J Respir Crit Care Med. 2017;195:A4986.</w:t>
      </w:r>
    </w:p>
    <w:p>
      <w:pPr>
        <w:pStyle w:val="BodyText"/>
        <w:spacing w:line="276" w:lineRule="auto" w:before="238"/>
        <w:ind w:right="357"/>
        <w:rPr>
          <w:rFonts w:ascii="Times New Roman"/>
        </w:rPr>
      </w:pPr>
      <w:bookmarkStart w:name="_bookmark192" w:id="381"/>
      <w:bookmarkEnd w:id="381"/>
      <w:r>
        <w:rPr/>
      </w:r>
      <w:r>
        <w:rPr>
          <w:rFonts w:ascii="Times New Roman"/>
        </w:rPr>
        <w:t>Myers LC, Faridi MK, Hasegawa K, Hanania NA, Carmago Jr CA. The hospital readmissions</w:t>
      </w:r>
      <w:r>
        <w:rPr>
          <w:rFonts w:ascii="Times New Roman"/>
          <w:spacing w:val="-4"/>
        </w:rPr>
        <w:t> </w:t>
      </w:r>
      <w:r>
        <w:rPr>
          <w:rFonts w:ascii="Times New Roman"/>
        </w:rPr>
        <w:t>reduction</w:t>
      </w:r>
      <w:r>
        <w:rPr>
          <w:rFonts w:ascii="Times New Roman"/>
          <w:spacing w:val="-5"/>
        </w:rPr>
        <w:t> </w:t>
      </w:r>
      <w:r>
        <w:rPr>
          <w:rFonts w:ascii="Times New Roman"/>
        </w:rPr>
        <w:t>program</w:t>
      </w:r>
      <w:r>
        <w:rPr>
          <w:rFonts w:ascii="Times New Roman"/>
          <w:spacing w:val="-5"/>
        </w:rPr>
        <w:t> </w:t>
      </w:r>
      <w:r>
        <w:rPr>
          <w:rFonts w:ascii="Times New Roman"/>
        </w:rPr>
        <w:t>and</w:t>
      </w:r>
      <w:r>
        <w:rPr>
          <w:rFonts w:ascii="Times New Roman"/>
          <w:spacing w:val="-5"/>
        </w:rPr>
        <w:t> </w:t>
      </w:r>
      <w:r>
        <w:rPr>
          <w:rFonts w:ascii="Times New Roman"/>
        </w:rPr>
        <w:t>readmissions</w:t>
      </w:r>
      <w:r>
        <w:rPr>
          <w:rFonts w:ascii="Times New Roman"/>
          <w:spacing w:val="-4"/>
        </w:rPr>
        <w:t> </w:t>
      </w:r>
      <w:r>
        <w:rPr>
          <w:rFonts w:ascii="Times New Roman"/>
        </w:rPr>
        <w:t>for</w:t>
      </w:r>
      <w:r>
        <w:rPr>
          <w:rFonts w:ascii="Times New Roman"/>
          <w:spacing w:val="-4"/>
        </w:rPr>
        <w:t> </w:t>
      </w:r>
      <w:r>
        <w:rPr>
          <w:rFonts w:ascii="Times New Roman"/>
        </w:rPr>
        <w:t>chronic</w:t>
      </w:r>
      <w:r>
        <w:rPr>
          <w:rFonts w:ascii="Times New Roman"/>
          <w:spacing w:val="-5"/>
        </w:rPr>
        <w:t> </w:t>
      </w:r>
      <w:r>
        <w:rPr>
          <w:rFonts w:ascii="Times New Roman"/>
        </w:rPr>
        <w:t>obstructive</w:t>
      </w:r>
      <w:r>
        <w:rPr>
          <w:rFonts w:ascii="Times New Roman"/>
          <w:spacing w:val="-5"/>
        </w:rPr>
        <w:t> </w:t>
      </w:r>
      <w:r>
        <w:rPr>
          <w:rFonts w:ascii="Times New Roman"/>
        </w:rPr>
        <w:t>pulmonary disease, 2006-2015. Ann Am Thorac Soc. 2020;17(4):450-6.</w:t>
      </w:r>
    </w:p>
    <w:p>
      <w:pPr>
        <w:pStyle w:val="BodyText"/>
        <w:spacing w:line="276" w:lineRule="auto" w:before="241"/>
        <w:ind w:right="357"/>
        <w:rPr>
          <w:rFonts w:ascii="Times New Roman"/>
        </w:rPr>
      </w:pPr>
      <w:bookmarkStart w:name="_bookmark193" w:id="382"/>
      <w:bookmarkEnd w:id="382"/>
      <w:r>
        <w:rPr/>
      </w:r>
      <w:r>
        <w:rPr>
          <w:rFonts w:ascii="Times New Roman"/>
        </w:rPr>
        <w:t>Okajima</w:t>
      </w:r>
      <w:r>
        <w:rPr>
          <w:rFonts w:ascii="Times New Roman"/>
          <w:spacing w:val="-2"/>
        </w:rPr>
        <w:t> </w:t>
      </w:r>
      <w:r>
        <w:rPr>
          <w:rFonts w:ascii="Times New Roman"/>
        </w:rPr>
        <w:t>Y,</w:t>
      </w:r>
      <w:r>
        <w:rPr>
          <w:rFonts w:ascii="Times New Roman"/>
          <w:spacing w:val="-4"/>
        </w:rPr>
        <w:t> </w:t>
      </w:r>
      <w:r>
        <w:rPr>
          <w:rFonts w:ascii="Times New Roman"/>
        </w:rPr>
        <w:t>Come</w:t>
      </w:r>
      <w:r>
        <w:rPr>
          <w:rFonts w:ascii="Times New Roman"/>
          <w:spacing w:val="-2"/>
        </w:rPr>
        <w:t> </w:t>
      </w:r>
      <w:r>
        <w:rPr>
          <w:rFonts w:ascii="Times New Roman"/>
        </w:rPr>
        <w:t>CE,</w:t>
      </w:r>
      <w:r>
        <w:rPr>
          <w:rFonts w:ascii="Times New Roman"/>
          <w:spacing w:val="-3"/>
        </w:rPr>
        <w:t> </w:t>
      </w:r>
      <w:r>
        <w:rPr>
          <w:rFonts w:ascii="Times New Roman"/>
        </w:rPr>
        <w:t>Nardelli</w:t>
      </w:r>
      <w:r>
        <w:rPr>
          <w:rFonts w:ascii="Times New Roman"/>
          <w:spacing w:val="-3"/>
        </w:rPr>
        <w:t> </w:t>
      </w:r>
      <w:r>
        <w:rPr>
          <w:rFonts w:ascii="Times New Roman"/>
        </w:rPr>
        <w:t>P,</w:t>
      </w:r>
      <w:r>
        <w:rPr>
          <w:rFonts w:ascii="Times New Roman"/>
          <w:spacing w:val="-4"/>
        </w:rPr>
        <w:t> </w:t>
      </w:r>
      <w:r>
        <w:rPr>
          <w:rFonts w:ascii="Times New Roman"/>
        </w:rPr>
        <w:t>Sonavane</w:t>
      </w:r>
      <w:r>
        <w:rPr>
          <w:rFonts w:ascii="Times New Roman"/>
          <w:spacing w:val="-2"/>
        </w:rPr>
        <w:t> </w:t>
      </w:r>
      <w:r>
        <w:rPr>
          <w:rFonts w:ascii="Times New Roman"/>
        </w:rPr>
        <w:t>SK,</w:t>
      </w:r>
      <w:r>
        <w:rPr>
          <w:rFonts w:ascii="Times New Roman"/>
          <w:spacing w:val="-2"/>
        </w:rPr>
        <w:t> </w:t>
      </w:r>
      <w:r>
        <w:rPr>
          <w:rFonts w:ascii="Times New Roman"/>
        </w:rPr>
        <w:t>Yen</w:t>
      </w:r>
      <w:r>
        <w:rPr>
          <w:rFonts w:ascii="Times New Roman"/>
          <w:spacing w:val="-3"/>
        </w:rPr>
        <w:t> </w:t>
      </w:r>
      <w:r>
        <w:rPr>
          <w:rFonts w:ascii="Times New Roman"/>
        </w:rPr>
        <w:t>A,</w:t>
      </w:r>
      <w:r>
        <w:rPr>
          <w:rFonts w:ascii="Times New Roman"/>
          <w:spacing w:val="-3"/>
        </w:rPr>
        <w:t> </w:t>
      </w:r>
      <w:r>
        <w:rPr>
          <w:rFonts w:ascii="Times New Roman"/>
        </w:rPr>
        <w:t>Nath</w:t>
      </w:r>
      <w:r>
        <w:rPr>
          <w:rFonts w:ascii="Times New Roman"/>
          <w:spacing w:val="-1"/>
        </w:rPr>
        <w:t> </w:t>
      </w:r>
      <w:r>
        <w:rPr>
          <w:rFonts w:ascii="Times New Roman"/>
        </w:rPr>
        <w:t>HP,</w:t>
      </w:r>
      <w:r>
        <w:rPr>
          <w:rFonts w:ascii="Times New Roman"/>
          <w:spacing w:val="-2"/>
        </w:rPr>
        <w:t> </w:t>
      </w:r>
      <w:r>
        <w:rPr>
          <w:rFonts w:ascii="Times New Roman"/>
        </w:rPr>
        <w:t>et</w:t>
      </w:r>
      <w:r>
        <w:rPr>
          <w:rFonts w:ascii="Times New Roman"/>
          <w:spacing w:val="-2"/>
        </w:rPr>
        <w:t> </w:t>
      </w:r>
      <w:r>
        <w:rPr>
          <w:rFonts w:ascii="Times New Roman"/>
        </w:rPr>
        <w:t>al.</w:t>
      </w:r>
      <w:r>
        <w:rPr>
          <w:rFonts w:ascii="Times New Roman"/>
          <w:spacing w:val="-3"/>
        </w:rPr>
        <w:t> </w:t>
      </w:r>
      <w:r>
        <w:rPr>
          <w:rFonts w:ascii="Times New Roman"/>
        </w:rPr>
        <w:t>Luminal</w:t>
      </w:r>
      <w:r>
        <w:rPr>
          <w:rFonts w:ascii="Times New Roman"/>
          <w:spacing w:val="-2"/>
        </w:rPr>
        <w:t> </w:t>
      </w:r>
      <w:r>
        <w:rPr>
          <w:rFonts w:ascii="Times New Roman"/>
        </w:rPr>
        <w:t>plugging on chest CT scan: association with lung function, quality of life, and COPD clinical phenotypes. Chest. 2020;158(1):121-30.</w:t>
      </w:r>
    </w:p>
    <w:p>
      <w:pPr>
        <w:pStyle w:val="BodyText"/>
        <w:spacing w:line="276" w:lineRule="auto" w:before="240"/>
        <w:ind w:right="714"/>
        <w:rPr>
          <w:rFonts w:ascii="Times New Roman"/>
        </w:rPr>
      </w:pPr>
      <w:bookmarkStart w:name="_bookmark194" w:id="383"/>
      <w:bookmarkEnd w:id="383"/>
      <w:r>
        <w:rPr/>
      </w:r>
      <w:r>
        <w:rPr>
          <w:rFonts w:ascii="Times New Roman"/>
        </w:rPr>
        <w:t>Parikh</w:t>
      </w:r>
      <w:r>
        <w:rPr>
          <w:rFonts w:ascii="Times New Roman"/>
          <w:spacing w:val="-3"/>
        </w:rPr>
        <w:t> </w:t>
      </w:r>
      <w:r>
        <w:rPr>
          <w:rFonts w:ascii="Times New Roman"/>
        </w:rPr>
        <w:t>RH,</w:t>
      </w:r>
      <w:r>
        <w:rPr>
          <w:rFonts w:ascii="Times New Roman"/>
          <w:spacing w:val="-4"/>
        </w:rPr>
        <w:t> </w:t>
      </w:r>
      <w:r>
        <w:rPr>
          <w:rFonts w:ascii="Times New Roman"/>
        </w:rPr>
        <w:t>Seliger</w:t>
      </w:r>
      <w:r>
        <w:rPr>
          <w:rFonts w:ascii="Times New Roman"/>
          <w:spacing w:val="-3"/>
        </w:rPr>
        <w:t> </w:t>
      </w:r>
      <w:r>
        <w:rPr>
          <w:rFonts w:ascii="Times New Roman"/>
        </w:rPr>
        <w:t>SL,</w:t>
      </w:r>
      <w:r>
        <w:rPr>
          <w:rFonts w:ascii="Times New Roman"/>
          <w:spacing w:val="-3"/>
        </w:rPr>
        <w:t> </w:t>
      </w:r>
      <w:r>
        <w:rPr>
          <w:rFonts w:ascii="Times New Roman"/>
        </w:rPr>
        <w:t>Christenson</w:t>
      </w:r>
      <w:r>
        <w:rPr>
          <w:rFonts w:ascii="Times New Roman"/>
          <w:spacing w:val="-4"/>
        </w:rPr>
        <w:t> </w:t>
      </w:r>
      <w:r>
        <w:rPr>
          <w:rFonts w:ascii="Times New Roman"/>
        </w:rPr>
        <w:t>R,</w:t>
      </w:r>
      <w:r>
        <w:rPr>
          <w:rFonts w:ascii="Times New Roman"/>
          <w:spacing w:val="-3"/>
        </w:rPr>
        <w:t> </w:t>
      </w:r>
      <w:r>
        <w:rPr>
          <w:rFonts w:ascii="Times New Roman"/>
        </w:rPr>
        <w:t>Gottdiener</w:t>
      </w:r>
      <w:r>
        <w:rPr>
          <w:rFonts w:ascii="Times New Roman"/>
          <w:spacing w:val="-3"/>
        </w:rPr>
        <w:t> </w:t>
      </w:r>
      <w:r>
        <w:rPr>
          <w:rFonts w:ascii="Times New Roman"/>
        </w:rPr>
        <w:t>JS,</w:t>
      </w:r>
      <w:r>
        <w:rPr>
          <w:rFonts w:ascii="Times New Roman"/>
          <w:spacing w:val="-4"/>
        </w:rPr>
        <w:t> </w:t>
      </w:r>
      <w:r>
        <w:rPr>
          <w:rFonts w:ascii="Times New Roman"/>
        </w:rPr>
        <w:t>Psaty</w:t>
      </w:r>
      <w:r>
        <w:rPr>
          <w:rFonts w:ascii="Times New Roman"/>
          <w:spacing w:val="-3"/>
        </w:rPr>
        <w:t> </w:t>
      </w:r>
      <w:r>
        <w:rPr>
          <w:rFonts w:ascii="Times New Roman"/>
        </w:rPr>
        <w:t>BM,</w:t>
      </w:r>
      <w:r>
        <w:rPr>
          <w:rFonts w:ascii="Times New Roman"/>
          <w:spacing w:val="-3"/>
        </w:rPr>
        <w:t> </w:t>
      </w:r>
      <w:r>
        <w:rPr>
          <w:rFonts w:ascii="Times New Roman"/>
        </w:rPr>
        <w:t>deFilippi</w:t>
      </w:r>
      <w:r>
        <w:rPr>
          <w:rFonts w:ascii="Times New Roman"/>
          <w:spacing w:val="-4"/>
        </w:rPr>
        <w:t> </w:t>
      </w:r>
      <w:r>
        <w:rPr>
          <w:rFonts w:ascii="Times New Roman"/>
        </w:rPr>
        <w:t>CR.</w:t>
      </w:r>
      <w:r>
        <w:rPr>
          <w:rFonts w:ascii="Times New Roman"/>
          <w:spacing w:val="-3"/>
        </w:rPr>
        <w:t> </w:t>
      </w:r>
      <w:r>
        <w:rPr>
          <w:rFonts w:ascii="Times New Roman"/>
        </w:rPr>
        <w:t>Soluble ST2 for prediction of heart failure and cardiovascular death in an elderly, community- dwelling population. J Am Heart Assoc. 2016;5(8):e003188.</w:t>
      </w:r>
    </w:p>
    <w:p>
      <w:pPr>
        <w:spacing w:after="0" w:line="276" w:lineRule="auto"/>
        <w:rPr>
          <w:rFonts w:ascii="Times New Roman"/>
        </w:rPr>
        <w:sectPr>
          <w:pgSz w:w="11910" w:h="16840"/>
          <w:pgMar w:header="590" w:footer="784" w:top="1340" w:bottom="980" w:left="1480" w:right="1080"/>
        </w:sectPr>
      </w:pPr>
    </w:p>
    <w:p>
      <w:pPr>
        <w:pStyle w:val="BodyText"/>
        <w:spacing w:line="276" w:lineRule="auto" w:before="90"/>
        <w:ind w:right="357"/>
        <w:rPr>
          <w:rFonts w:ascii="Times New Roman"/>
        </w:rPr>
      </w:pPr>
      <w:bookmarkStart w:name="_bookmark195" w:id="384"/>
      <w:bookmarkEnd w:id="384"/>
      <w:r>
        <w:rPr/>
      </w:r>
      <w:r>
        <w:rPr>
          <w:rFonts w:ascii="Times New Roman"/>
        </w:rPr>
        <w:t>Quanjer PH, Stanojevic S, Cole TJ, Baur X, Hall GL, Culver BH, et al. Multi-ethnic reference</w:t>
      </w:r>
      <w:r>
        <w:rPr>
          <w:rFonts w:ascii="Times New Roman"/>
          <w:spacing w:val="-2"/>
        </w:rPr>
        <w:t> </w:t>
      </w:r>
      <w:r>
        <w:rPr>
          <w:rFonts w:ascii="Times New Roman"/>
        </w:rPr>
        <w:t>values</w:t>
      </w:r>
      <w:r>
        <w:rPr>
          <w:rFonts w:ascii="Times New Roman"/>
          <w:spacing w:val="-2"/>
        </w:rPr>
        <w:t> </w:t>
      </w:r>
      <w:r>
        <w:rPr>
          <w:rFonts w:ascii="Times New Roman"/>
        </w:rPr>
        <w:t>for</w:t>
      </w:r>
      <w:r>
        <w:rPr>
          <w:rFonts w:ascii="Times New Roman"/>
          <w:spacing w:val="-4"/>
        </w:rPr>
        <w:t> </w:t>
      </w:r>
      <w:r>
        <w:rPr>
          <w:rFonts w:ascii="Times New Roman"/>
        </w:rPr>
        <w:t>spirometry</w:t>
      </w:r>
      <w:r>
        <w:rPr>
          <w:rFonts w:ascii="Times New Roman"/>
          <w:spacing w:val="-3"/>
        </w:rPr>
        <w:t> </w:t>
      </w:r>
      <w:r>
        <w:rPr>
          <w:rFonts w:ascii="Times New Roman"/>
        </w:rPr>
        <w:t>for</w:t>
      </w:r>
      <w:r>
        <w:rPr>
          <w:rFonts w:ascii="Times New Roman"/>
          <w:spacing w:val="-4"/>
        </w:rPr>
        <w:t> </w:t>
      </w:r>
      <w:r>
        <w:rPr>
          <w:rFonts w:ascii="Times New Roman"/>
        </w:rPr>
        <w:t>the</w:t>
      </w:r>
      <w:r>
        <w:rPr>
          <w:rFonts w:ascii="Times New Roman"/>
          <w:spacing w:val="-3"/>
        </w:rPr>
        <w:t> </w:t>
      </w:r>
      <w:r>
        <w:rPr>
          <w:rFonts w:ascii="Times New Roman"/>
        </w:rPr>
        <w:t>3-95-yr</w:t>
      </w:r>
      <w:r>
        <w:rPr>
          <w:rFonts w:ascii="Times New Roman"/>
          <w:spacing w:val="-4"/>
        </w:rPr>
        <w:t> </w:t>
      </w:r>
      <w:r>
        <w:rPr>
          <w:rFonts w:ascii="Times New Roman"/>
        </w:rPr>
        <w:t>age</w:t>
      </w:r>
      <w:r>
        <w:rPr>
          <w:rFonts w:ascii="Times New Roman"/>
          <w:spacing w:val="-3"/>
        </w:rPr>
        <w:t> </w:t>
      </w:r>
      <w:r>
        <w:rPr>
          <w:rFonts w:ascii="Times New Roman"/>
        </w:rPr>
        <w:t>range:</w:t>
      </w:r>
      <w:r>
        <w:rPr>
          <w:rFonts w:ascii="Times New Roman"/>
          <w:spacing w:val="-2"/>
        </w:rPr>
        <w:t> </w:t>
      </w:r>
      <w:r>
        <w:rPr>
          <w:rFonts w:ascii="Times New Roman"/>
        </w:rPr>
        <w:t>the</w:t>
      </w:r>
      <w:r>
        <w:rPr>
          <w:rFonts w:ascii="Times New Roman"/>
          <w:spacing w:val="-3"/>
        </w:rPr>
        <w:t> </w:t>
      </w:r>
      <w:r>
        <w:rPr>
          <w:rFonts w:ascii="Times New Roman"/>
        </w:rPr>
        <w:t>global</w:t>
      </w:r>
      <w:r>
        <w:rPr>
          <w:rFonts w:ascii="Times New Roman"/>
          <w:spacing w:val="-4"/>
        </w:rPr>
        <w:t> </w:t>
      </w:r>
      <w:r>
        <w:rPr>
          <w:rFonts w:ascii="Times New Roman"/>
        </w:rPr>
        <w:t>lung</w:t>
      </w:r>
      <w:r>
        <w:rPr>
          <w:rFonts w:ascii="Times New Roman"/>
          <w:spacing w:val="-3"/>
        </w:rPr>
        <w:t> </w:t>
      </w:r>
      <w:r>
        <w:rPr>
          <w:rFonts w:ascii="Times New Roman"/>
        </w:rPr>
        <w:t>function</w:t>
      </w:r>
      <w:r>
        <w:rPr>
          <w:rFonts w:ascii="Times New Roman"/>
          <w:spacing w:val="-4"/>
        </w:rPr>
        <w:t> </w:t>
      </w:r>
      <w:r>
        <w:rPr>
          <w:rFonts w:ascii="Times New Roman"/>
        </w:rPr>
        <w:t>2012 equations. Eur Respir J. 2012;40(6):1324-43.</w:t>
      </w:r>
    </w:p>
    <w:p>
      <w:pPr>
        <w:pStyle w:val="BodyText"/>
        <w:spacing w:line="276" w:lineRule="auto" w:before="240"/>
        <w:ind w:right="359"/>
        <w:rPr>
          <w:rFonts w:ascii="Times New Roman"/>
        </w:rPr>
      </w:pPr>
      <w:bookmarkStart w:name="_bookmark196" w:id="385"/>
      <w:bookmarkEnd w:id="385"/>
      <w:r>
        <w:rPr/>
      </w:r>
      <w:r>
        <w:rPr>
          <w:rFonts w:ascii="Times New Roman"/>
        </w:rPr>
        <w:t>Rabe</w:t>
      </w:r>
      <w:r>
        <w:rPr>
          <w:rFonts w:ascii="Times New Roman"/>
          <w:spacing w:val="-3"/>
        </w:rPr>
        <w:t> </w:t>
      </w:r>
      <w:r>
        <w:rPr>
          <w:rFonts w:ascii="Times New Roman"/>
        </w:rPr>
        <w:t>KF,</w:t>
      </w:r>
      <w:r>
        <w:rPr>
          <w:rFonts w:ascii="Times New Roman"/>
          <w:spacing w:val="-2"/>
        </w:rPr>
        <w:t> </w:t>
      </w:r>
      <w:r>
        <w:rPr>
          <w:rFonts w:ascii="Times New Roman"/>
        </w:rPr>
        <w:t>Martinez</w:t>
      </w:r>
      <w:r>
        <w:rPr>
          <w:rFonts w:ascii="Times New Roman"/>
          <w:spacing w:val="-2"/>
        </w:rPr>
        <w:t> </w:t>
      </w:r>
      <w:r>
        <w:rPr>
          <w:rFonts w:ascii="Times New Roman"/>
        </w:rPr>
        <w:t>FJ,</w:t>
      </w:r>
      <w:r>
        <w:rPr>
          <w:rFonts w:ascii="Times New Roman"/>
          <w:spacing w:val="-3"/>
        </w:rPr>
        <w:t> </w:t>
      </w:r>
      <w:r>
        <w:rPr>
          <w:rFonts w:ascii="Times New Roman"/>
        </w:rPr>
        <w:t>Ferguson</w:t>
      </w:r>
      <w:r>
        <w:rPr>
          <w:rFonts w:ascii="Times New Roman"/>
          <w:spacing w:val="-2"/>
        </w:rPr>
        <w:t> </w:t>
      </w:r>
      <w:r>
        <w:rPr>
          <w:rFonts w:ascii="Times New Roman"/>
        </w:rPr>
        <w:t>GT,</w:t>
      </w:r>
      <w:r>
        <w:rPr>
          <w:rFonts w:ascii="Times New Roman"/>
          <w:spacing w:val="-3"/>
        </w:rPr>
        <w:t> </w:t>
      </w:r>
      <w:r>
        <w:rPr>
          <w:rFonts w:ascii="Times New Roman"/>
        </w:rPr>
        <w:t>Wang</w:t>
      </w:r>
      <w:r>
        <w:rPr>
          <w:rFonts w:ascii="Times New Roman"/>
          <w:spacing w:val="-2"/>
        </w:rPr>
        <w:t> </w:t>
      </w:r>
      <w:r>
        <w:rPr>
          <w:rFonts w:ascii="Times New Roman"/>
        </w:rPr>
        <w:t>C,</w:t>
      </w:r>
      <w:r>
        <w:rPr>
          <w:rFonts w:ascii="Times New Roman"/>
          <w:spacing w:val="-2"/>
        </w:rPr>
        <w:t> </w:t>
      </w:r>
      <w:r>
        <w:rPr>
          <w:rFonts w:ascii="Times New Roman"/>
        </w:rPr>
        <w:t>Singh</w:t>
      </w:r>
      <w:r>
        <w:rPr>
          <w:rFonts w:ascii="Times New Roman"/>
          <w:spacing w:val="-2"/>
        </w:rPr>
        <w:t> </w:t>
      </w:r>
      <w:r>
        <w:rPr>
          <w:rFonts w:ascii="Times New Roman"/>
        </w:rPr>
        <w:t>D,</w:t>
      </w:r>
      <w:r>
        <w:rPr>
          <w:rFonts w:ascii="Times New Roman"/>
          <w:spacing w:val="-3"/>
        </w:rPr>
        <w:t> </w:t>
      </w:r>
      <w:r>
        <w:rPr>
          <w:rFonts w:ascii="Times New Roman"/>
        </w:rPr>
        <w:t>Wedzicha</w:t>
      </w:r>
      <w:r>
        <w:rPr>
          <w:rFonts w:ascii="Times New Roman"/>
          <w:spacing w:val="-1"/>
        </w:rPr>
        <w:t> </w:t>
      </w:r>
      <w:r>
        <w:rPr>
          <w:rFonts w:ascii="Times New Roman"/>
        </w:rPr>
        <w:t>JA,</w:t>
      </w:r>
      <w:r>
        <w:rPr>
          <w:rFonts w:ascii="Times New Roman"/>
          <w:spacing w:val="-3"/>
        </w:rPr>
        <w:t> </w:t>
      </w:r>
      <w:r>
        <w:rPr>
          <w:rFonts w:ascii="Times New Roman"/>
        </w:rPr>
        <w:t>et</w:t>
      </w:r>
      <w:r>
        <w:rPr>
          <w:rFonts w:ascii="Times New Roman"/>
          <w:spacing w:val="-3"/>
        </w:rPr>
        <w:t> </w:t>
      </w:r>
      <w:r>
        <w:rPr>
          <w:rFonts w:ascii="Times New Roman"/>
        </w:rPr>
        <w:t>al.</w:t>
      </w:r>
      <w:r>
        <w:rPr>
          <w:rFonts w:ascii="Times New Roman"/>
          <w:spacing w:val="-2"/>
        </w:rPr>
        <w:t> </w:t>
      </w:r>
      <w:r>
        <w:rPr>
          <w:rFonts w:ascii="Times New Roman"/>
        </w:rPr>
        <w:t>Triple</w:t>
      </w:r>
      <w:r>
        <w:rPr>
          <w:rFonts w:ascii="Times New Roman"/>
          <w:spacing w:val="-2"/>
        </w:rPr>
        <w:t> </w:t>
      </w:r>
      <w:r>
        <w:rPr>
          <w:rFonts w:ascii="Times New Roman"/>
        </w:rPr>
        <w:t>inhaled therapy at two glucocorticoid doses in moderate-to-very-severe COPD. N Engl J Med.</w:t>
      </w:r>
    </w:p>
    <w:p>
      <w:pPr>
        <w:pStyle w:val="BodyText"/>
        <w:rPr>
          <w:rFonts w:ascii="Times New Roman"/>
        </w:rPr>
      </w:pPr>
      <w:r>
        <w:rPr>
          <w:rFonts w:ascii="Times New Roman"/>
        </w:rPr>
        <w:t>2020;383(1):35-</w:t>
      </w:r>
      <w:r>
        <w:rPr>
          <w:rFonts w:ascii="Times New Roman"/>
          <w:spacing w:val="-5"/>
        </w:rPr>
        <w:t>48.</w:t>
      </w:r>
    </w:p>
    <w:p>
      <w:pPr>
        <w:pStyle w:val="BodyText"/>
        <w:spacing w:before="6"/>
        <w:ind w:left="0"/>
        <w:rPr>
          <w:rFonts w:ascii="Times New Roman"/>
        </w:rPr>
      </w:pPr>
    </w:p>
    <w:p>
      <w:pPr>
        <w:pStyle w:val="BodyText"/>
        <w:spacing w:line="276" w:lineRule="auto"/>
        <w:ind w:right="357"/>
        <w:rPr>
          <w:rFonts w:ascii="Times New Roman"/>
        </w:rPr>
      </w:pPr>
      <w:bookmarkStart w:name="_bookmark197" w:id="386"/>
      <w:bookmarkEnd w:id="386"/>
      <w:r>
        <w:rPr/>
      </w:r>
      <w:r>
        <w:rPr>
          <w:rFonts w:ascii="Times New Roman"/>
        </w:rPr>
        <w:t>Rabe</w:t>
      </w:r>
      <w:r>
        <w:rPr>
          <w:rFonts w:ascii="Times New Roman"/>
          <w:spacing w:val="-1"/>
        </w:rPr>
        <w:t> </w:t>
      </w:r>
      <w:r>
        <w:rPr>
          <w:rFonts w:ascii="Times New Roman"/>
        </w:rPr>
        <w:t>KF, Celli BR, Wechsler</w:t>
      </w:r>
      <w:r>
        <w:rPr>
          <w:rFonts w:ascii="Times New Roman"/>
          <w:spacing w:val="-1"/>
        </w:rPr>
        <w:t> </w:t>
      </w:r>
      <w:r>
        <w:rPr>
          <w:rFonts w:ascii="Times New Roman"/>
        </w:rPr>
        <w:t>ME, Abdulai RM,</w:t>
      </w:r>
      <w:r>
        <w:rPr>
          <w:rFonts w:ascii="Times New Roman"/>
          <w:spacing w:val="-1"/>
        </w:rPr>
        <w:t> </w:t>
      </w:r>
      <w:r>
        <w:rPr>
          <w:rFonts w:ascii="Times New Roman"/>
        </w:rPr>
        <w:t>Luo</w:t>
      </w:r>
      <w:r>
        <w:rPr>
          <w:rFonts w:ascii="Times New Roman"/>
          <w:spacing w:val="-1"/>
        </w:rPr>
        <w:t> </w:t>
      </w:r>
      <w:r>
        <w:rPr>
          <w:rFonts w:ascii="Times New Roman"/>
        </w:rPr>
        <w:t>X,</w:t>
      </w:r>
      <w:r>
        <w:rPr>
          <w:rFonts w:ascii="Times New Roman"/>
          <w:spacing w:val="-1"/>
        </w:rPr>
        <w:t> </w:t>
      </w:r>
      <w:r>
        <w:rPr>
          <w:rFonts w:ascii="Times New Roman"/>
        </w:rPr>
        <w:t>Boomsma MM,</w:t>
      </w:r>
      <w:r>
        <w:rPr>
          <w:rFonts w:ascii="Times New Roman"/>
          <w:spacing w:val="-1"/>
        </w:rPr>
        <w:t> </w:t>
      </w:r>
      <w:r>
        <w:rPr>
          <w:rFonts w:ascii="Times New Roman"/>
        </w:rPr>
        <w:t>et al. Safety and efficacy of itepekimab in patients with moderate-to-severe COPD: a genetic association study</w:t>
      </w:r>
      <w:r>
        <w:rPr>
          <w:rFonts w:ascii="Times New Roman"/>
          <w:spacing w:val="-4"/>
        </w:rPr>
        <w:t> </w:t>
      </w:r>
      <w:r>
        <w:rPr>
          <w:rFonts w:ascii="Times New Roman"/>
        </w:rPr>
        <w:t>and</w:t>
      </w:r>
      <w:r>
        <w:rPr>
          <w:rFonts w:ascii="Times New Roman"/>
          <w:spacing w:val="-4"/>
        </w:rPr>
        <w:t> </w:t>
      </w:r>
      <w:r>
        <w:rPr>
          <w:rFonts w:ascii="Times New Roman"/>
        </w:rPr>
        <w:t>randomised,</w:t>
      </w:r>
      <w:r>
        <w:rPr>
          <w:rFonts w:ascii="Times New Roman"/>
          <w:spacing w:val="-4"/>
        </w:rPr>
        <w:t> </w:t>
      </w:r>
      <w:r>
        <w:rPr>
          <w:rFonts w:ascii="Times New Roman"/>
        </w:rPr>
        <w:t>double-blind,</w:t>
      </w:r>
      <w:r>
        <w:rPr>
          <w:rFonts w:ascii="Times New Roman"/>
          <w:spacing w:val="-5"/>
        </w:rPr>
        <w:t> </w:t>
      </w:r>
      <w:r>
        <w:rPr>
          <w:rFonts w:ascii="Times New Roman"/>
        </w:rPr>
        <w:t>phase</w:t>
      </w:r>
      <w:r>
        <w:rPr>
          <w:rFonts w:ascii="Times New Roman"/>
          <w:spacing w:val="-4"/>
        </w:rPr>
        <w:t> </w:t>
      </w:r>
      <w:r>
        <w:rPr>
          <w:rFonts w:ascii="Times New Roman"/>
        </w:rPr>
        <w:t>2a</w:t>
      </w:r>
      <w:r>
        <w:rPr>
          <w:rFonts w:ascii="Times New Roman"/>
          <w:spacing w:val="-4"/>
        </w:rPr>
        <w:t> </w:t>
      </w:r>
      <w:r>
        <w:rPr>
          <w:rFonts w:ascii="Times New Roman"/>
        </w:rPr>
        <w:t>trial.</w:t>
      </w:r>
      <w:r>
        <w:rPr>
          <w:rFonts w:ascii="Times New Roman"/>
          <w:spacing w:val="-4"/>
        </w:rPr>
        <w:t> </w:t>
      </w:r>
      <w:r>
        <w:rPr>
          <w:rFonts w:ascii="Times New Roman"/>
        </w:rPr>
        <w:t>Lancet</w:t>
      </w:r>
      <w:r>
        <w:rPr>
          <w:rFonts w:ascii="Times New Roman"/>
          <w:spacing w:val="-3"/>
        </w:rPr>
        <w:t> </w:t>
      </w:r>
      <w:r>
        <w:rPr>
          <w:rFonts w:ascii="Times New Roman"/>
        </w:rPr>
        <w:t>Respir</w:t>
      </w:r>
      <w:r>
        <w:rPr>
          <w:rFonts w:ascii="Times New Roman"/>
          <w:spacing w:val="-3"/>
        </w:rPr>
        <w:t> </w:t>
      </w:r>
      <w:r>
        <w:rPr>
          <w:rFonts w:ascii="Times New Roman"/>
        </w:rPr>
        <w:t>Med.</w:t>
      </w:r>
      <w:r>
        <w:rPr>
          <w:rFonts w:ascii="Times New Roman"/>
          <w:spacing w:val="-4"/>
        </w:rPr>
        <w:t> </w:t>
      </w:r>
      <w:r>
        <w:rPr>
          <w:rFonts w:ascii="Times New Roman"/>
        </w:rPr>
        <w:t>2021;9(11):1288- </w:t>
      </w:r>
      <w:r>
        <w:rPr>
          <w:rFonts w:ascii="Times New Roman"/>
          <w:spacing w:val="-4"/>
        </w:rPr>
        <w:t>98.</w:t>
      </w:r>
    </w:p>
    <w:p>
      <w:pPr>
        <w:pStyle w:val="BodyText"/>
        <w:spacing w:line="276" w:lineRule="auto" w:before="240"/>
        <w:ind w:right="385"/>
        <w:rPr>
          <w:rFonts w:ascii="Times New Roman"/>
        </w:rPr>
      </w:pPr>
      <w:bookmarkStart w:name="_bookmark198" w:id="387"/>
      <w:bookmarkEnd w:id="387"/>
      <w:r>
        <w:rPr/>
      </w:r>
      <w:r>
        <w:rPr>
          <w:rFonts w:ascii="Times New Roman"/>
        </w:rPr>
        <w:t>Radicioni G, Ceppe A, Ford AA, Alexis NE, Barr RG, Bleecker ER, et al. Airway mucin MUC5AC and MUC5B concentrations and the initiation and progression of chronic obstructive</w:t>
      </w:r>
      <w:r>
        <w:rPr>
          <w:rFonts w:ascii="Times New Roman"/>
          <w:spacing w:val="-4"/>
        </w:rPr>
        <w:t> </w:t>
      </w:r>
      <w:r>
        <w:rPr>
          <w:rFonts w:ascii="Times New Roman"/>
        </w:rPr>
        <w:t>pulmonary</w:t>
      </w:r>
      <w:r>
        <w:rPr>
          <w:rFonts w:ascii="Times New Roman"/>
          <w:spacing w:val="-3"/>
        </w:rPr>
        <w:t> </w:t>
      </w:r>
      <w:r>
        <w:rPr>
          <w:rFonts w:ascii="Times New Roman"/>
        </w:rPr>
        <w:t>disease:</w:t>
      </w:r>
      <w:r>
        <w:rPr>
          <w:rFonts w:ascii="Times New Roman"/>
          <w:spacing w:val="-3"/>
        </w:rPr>
        <w:t> </w:t>
      </w:r>
      <w:r>
        <w:rPr>
          <w:rFonts w:ascii="Times New Roman"/>
        </w:rPr>
        <w:t>an</w:t>
      </w:r>
      <w:r>
        <w:rPr>
          <w:rFonts w:ascii="Times New Roman"/>
          <w:spacing w:val="-3"/>
        </w:rPr>
        <w:t> </w:t>
      </w:r>
      <w:r>
        <w:rPr>
          <w:rFonts w:ascii="Times New Roman"/>
        </w:rPr>
        <w:t>analysis</w:t>
      </w:r>
      <w:r>
        <w:rPr>
          <w:rFonts w:ascii="Times New Roman"/>
          <w:spacing w:val="-2"/>
        </w:rPr>
        <w:t> </w:t>
      </w:r>
      <w:r>
        <w:rPr>
          <w:rFonts w:ascii="Times New Roman"/>
        </w:rPr>
        <w:t>of</w:t>
      </w:r>
      <w:r>
        <w:rPr>
          <w:rFonts w:ascii="Times New Roman"/>
          <w:spacing w:val="-3"/>
        </w:rPr>
        <w:t> </w:t>
      </w:r>
      <w:r>
        <w:rPr>
          <w:rFonts w:ascii="Times New Roman"/>
        </w:rPr>
        <w:t>the</w:t>
      </w:r>
      <w:r>
        <w:rPr>
          <w:rFonts w:ascii="Times New Roman"/>
          <w:spacing w:val="-4"/>
        </w:rPr>
        <w:t> </w:t>
      </w:r>
      <w:r>
        <w:rPr>
          <w:rFonts w:ascii="Times New Roman"/>
        </w:rPr>
        <w:t>SPIROMICS</w:t>
      </w:r>
      <w:r>
        <w:rPr>
          <w:rFonts w:ascii="Times New Roman"/>
          <w:spacing w:val="-3"/>
        </w:rPr>
        <w:t> </w:t>
      </w:r>
      <w:r>
        <w:rPr>
          <w:rFonts w:ascii="Times New Roman"/>
        </w:rPr>
        <w:t>cohort.</w:t>
      </w:r>
      <w:r>
        <w:rPr>
          <w:rFonts w:ascii="Times New Roman"/>
          <w:spacing w:val="-3"/>
        </w:rPr>
        <w:t> </w:t>
      </w:r>
      <w:r>
        <w:rPr>
          <w:rFonts w:ascii="Times New Roman"/>
        </w:rPr>
        <w:t>Lancet</w:t>
      </w:r>
      <w:r>
        <w:rPr>
          <w:rFonts w:ascii="Times New Roman"/>
          <w:spacing w:val="-3"/>
        </w:rPr>
        <w:t> </w:t>
      </w:r>
      <w:r>
        <w:rPr>
          <w:rFonts w:ascii="Times New Roman"/>
        </w:rPr>
        <w:t>Respir</w:t>
      </w:r>
      <w:r>
        <w:rPr>
          <w:rFonts w:ascii="Times New Roman"/>
          <w:spacing w:val="-5"/>
        </w:rPr>
        <w:t> </w:t>
      </w:r>
      <w:r>
        <w:rPr>
          <w:rFonts w:ascii="Times New Roman"/>
        </w:rPr>
        <w:t>Med. </w:t>
      </w:r>
      <w:r>
        <w:rPr>
          <w:rFonts w:ascii="Times New Roman"/>
          <w:spacing w:val="-2"/>
        </w:rPr>
        <w:t>2021;9(11):1241-54.</w:t>
      </w:r>
    </w:p>
    <w:p>
      <w:pPr>
        <w:pStyle w:val="BodyText"/>
        <w:spacing w:before="240"/>
        <w:rPr>
          <w:rFonts w:ascii="Times New Roman" w:hAnsi="Times New Roman"/>
        </w:rPr>
      </w:pPr>
      <w:bookmarkStart w:name="_bookmark199" w:id="388"/>
      <w:bookmarkEnd w:id="388"/>
      <w:r>
        <w:rPr/>
      </w:r>
      <w:r>
        <w:rPr>
          <w:rFonts w:ascii="Times New Roman" w:hAnsi="Times New Roman"/>
        </w:rPr>
        <w:t>Ratitch</w:t>
      </w:r>
      <w:r>
        <w:rPr>
          <w:rFonts w:ascii="Times New Roman" w:hAnsi="Times New Roman"/>
          <w:spacing w:val="-1"/>
        </w:rPr>
        <w:t> </w:t>
      </w:r>
      <w:r>
        <w:rPr>
          <w:rFonts w:ascii="Times New Roman" w:hAnsi="Times New Roman"/>
        </w:rPr>
        <w:t>B,</w:t>
      </w:r>
      <w:r>
        <w:rPr>
          <w:rFonts w:ascii="Times New Roman" w:hAnsi="Times New Roman"/>
          <w:spacing w:val="-2"/>
        </w:rPr>
        <w:t> </w:t>
      </w:r>
      <w:r>
        <w:rPr>
          <w:rFonts w:ascii="Times New Roman" w:hAnsi="Times New Roman"/>
        </w:rPr>
        <w:t>O’Kelly</w:t>
      </w:r>
      <w:r>
        <w:rPr>
          <w:rFonts w:ascii="Times New Roman" w:hAnsi="Times New Roman"/>
          <w:spacing w:val="-1"/>
        </w:rPr>
        <w:t> </w:t>
      </w:r>
      <w:r>
        <w:rPr>
          <w:rFonts w:ascii="Times New Roman" w:hAnsi="Times New Roman"/>
        </w:rPr>
        <w:t>M,</w:t>
      </w:r>
      <w:r>
        <w:rPr>
          <w:rFonts w:ascii="Times New Roman" w:hAnsi="Times New Roman"/>
          <w:spacing w:val="-1"/>
        </w:rPr>
        <w:t> </w:t>
      </w:r>
      <w:r>
        <w:rPr>
          <w:rFonts w:ascii="Times New Roman" w:hAnsi="Times New Roman"/>
        </w:rPr>
        <w:t>Tosiello</w:t>
      </w:r>
      <w:r>
        <w:rPr>
          <w:rFonts w:ascii="Times New Roman" w:hAnsi="Times New Roman"/>
          <w:spacing w:val="-1"/>
        </w:rPr>
        <w:t> </w:t>
      </w:r>
      <w:r>
        <w:rPr>
          <w:rFonts w:ascii="Times New Roman" w:hAnsi="Times New Roman"/>
        </w:rPr>
        <w:t>R.</w:t>
      </w:r>
      <w:r>
        <w:rPr>
          <w:rFonts w:ascii="Times New Roman" w:hAnsi="Times New Roman"/>
          <w:spacing w:val="-1"/>
        </w:rPr>
        <w:t> </w:t>
      </w:r>
      <w:r>
        <w:rPr>
          <w:rFonts w:ascii="Times New Roman" w:hAnsi="Times New Roman"/>
        </w:rPr>
        <w:t>Missing</w:t>
      </w:r>
      <w:r>
        <w:rPr>
          <w:rFonts w:ascii="Times New Roman" w:hAnsi="Times New Roman"/>
          <w:spacing w:val="-1"/>
        </w:rPr>
        <w:t> </w:t>
      </w:r>
      <w:r>
        <w:rPr>
          <w:rFonts w:ascii="Times New Roman" w:hAnsi="Times New Roman"/>
        </w:rPr>
        <w:t>data</w:t>
      </w:r>
      <w:r>
        <w:rPr>
          <w:rFonts w:ascii="Times New Roman" w:hAnsi="Times New Roman"/>
          <w:spacing w:val="-2"/>
        </w:rPr>
        <w:t> </w:t>
      </w:r>
      <w:r>
        <w:rPr>
          <w:rFonts w:ascii="Times New Roman" w:hAnsi="Times New Roman"/>
        </w:rPr>
        <w:t>in</w:t>
      </w:r>
      <w:r>
        <w:rPr>
          <w:rFonts w:ascii="Times New Roman" w:hAnsi="Times New Roman"/>
          <w:spacing w:val="-2"/>
        </w:rPr>
        <w:t> </w:t>
      </w:r>
      <w:r>
        <w:rPr>
          <w:rFonts w:ascii="Times New Roman" w:hAnsi="Times New Roman"/>
        </w:rPr>
        <w:t>clinical</w:t>
      </w:r>
      <w:r>
        <w:rPr>
          <w:rFonts w:ascii="Times New Roman" w:hAnsi="Times New Roman"/>
          <w:spacing w:val="-2"/>
        </w:rPr>
        <w:t> </w:t>
      </w:r>
      <w:r>
        <w:rPr>
          <w:rFonts w:ascii="Times New Roman" w:hAnsi="Times New Roman"/>
        </w:rPr>
        <w:t>trials:</w:t>
      </w:r>
      <w:r>
        <w:rPr>
          <w:rFonts w:ascii="Times New Roman" w:hAnsi="Times New Roman"/>
          <w:spacing w:val="-1"/>
        </w:rPr>
        <w:t> </w:t>
      </w:r>
      <w:r>
        <w:rPr>
          <w:rFonts w:ascii="Times New Roman" w:hAnsi="Times New Roman"/>
        </w:rPr>
        <w:t>from</w:t>
      </w:r>
      <w:r>
        <w:rPr>
          <w:rFonts w:ascii="Times New Roman" w:hAnsi="Times New Roman"/>
          <w:spacing w:val="-2"/>
        </w:rPr>
        <w:t> </w:t>
      </w:r>
      <w:r>
        <w:rPr>
          <w:rFonts w:ascii="Times New Roman" w:hAnsi="Times New Roman"/>
        </w:rPr>
        <w:t>clinical</w:t>
      </w:r>
      <w:r>
        <w:rPr>
          <w:rFonts w:ascii="Times New Roman" w:hAnsi="Times New Roman"/>
          <w:spacing w:val="-1"/>
        </w:rPr>
        <w:t> </w:t>
      </w:r>
      <w:r>
        <w:rPr>
          <w:rFonts w:ascii="Times New Roman" w:hAnsi="Times New Roman"/>
          <w:spacing w:val="-2"/>
        </w:rPr>
        <w:t>assumptions</w:t>
      </w:r>
    </w:p>
    <w:p>
      <w:pPr>
        <w:pStyle w:val="BodyText"/>
        <w:spacing w:before="41"/>
        <w:rPr>
          <w:rFonts w:ascii="Times New Roman"/>
        </w:rPr>
      </w:pPr>
      <w:r>
        <w:rPr>
          <w:rFonts w:ascii="Times New Roman"/>
        </w:rPr>
        <w:t>to</w:t>
      </w:r>
      <w:r>
        <w:rPr>
          <w:rFonts w:ascii="Times New Roman"/>
          <w:spacing w:val="-2"/>
        </w:rPr>
        <w:t> </w:t>
      </w:r>
      <w:r>
        <w:rPr>
          <w:rFonts w:ascii="Times New Roman"/>
        </w:rPr>
        <w:t>statistical</w:t>
      </w:r>
      <w:r>
        <w:rPr>
          <w:rFonts w:ascii="Times New Roman"/>
          <w:spacing w:val="-1"/>
        </w:rPr>
        <w:t> </w:t>
      </w:r>
      <w:r>
        <w:rPr>
          <w:rFonts w:ascii="Times New Roman"/>
        </w:rPr>
        <w:t>analysis</w:t>
      </w:r>
      <w:r>
        <w:rPr>
          <w:rFonts w:ascii="Times New Roman"/>
          <w:spacing w:val="-2"/>
        </w:rPr>
        <w:t> </w:t>
      </w:r>
      <w:r>
        <w:rPr>
          <w:rFonts w:ascii="Times New Roman"/>
        </w:rPr>
        <w:t>using</w:t>
      </w:r>
      <w:r>
        <w:rPr>
          <w:rFonts w:ascii="Times New Roman"/>
          <w:spacing w:val="-1"/>
        </w:rPr>
        <w:t> </w:t>
      </w:r>
      <w:r>
        <w:rPr>
          <w:rFonts w:ascii="Times New Roman"/>
        </w:rPr>
        <w:t>pattern</w:t>
      </w:r>
      <w:r>
        <w:rPr>
          <w:rFonts w:ascii="Times New Roman"/>
          <w:spacing w:val="-2"/>
        </w:rPr>
        <w:t> </w:t>
      </w:r>
      <w:r>
        <w:rPr>
          <w:rFonts w:ascii="Times New Roman"/>
        </w:rPr>
        <w:t>mixture</w:t>
      </w:r>
      <w:r>
        <w:rPr>
          <w:rFonts w:ascii="Times New Roman"/>
          <w:spacing w:val="-1"/>
        </w:rPr>
        <w:t> </w:t>
      </w:r>
      <w:r>
        <w:rPr>
          <w:rFonts w:ascii="Times New Roman"/>
        </w:rPr>
        <w:t>models.</w:t>
      </w:r>
      <w:r>
        <w:rPr>
          <w:rFonts w:ascii="Times New Roman"/>
          <w:spacing w:val="-1"/>
        </w:rPr>
        <w:t> </w:t>
      </w:r>
      <w:r>
        <w:rPr>
          <w:rFonts w:ascii="Times New Roman"/>
        </w:rPr>
        <w:t>Pharm</w:t>
      </w:r>
      <w:r>
        <w:rPr>
          <w:rFonts w:ascii="Times New Roman"/>
          <w:spacing w:val="-1"/>
        </w:rPr>
        <w:t> </w:t>
      </w:r>
      <w:r>
        <w:rPr>
          <w:rFonts w:ascii="Times New Roman"/>
        </w:rPr>
        <w:t>Stat.</w:t>
      </w:r>
      <w:r>
        <w:rPr>
          <w:rFonts w:ascii="Times New Roman"/>
          <w:spacing w:val="-1"/>
        </w:rPr>
        <w:t> </w:t>
      </w:r>
      <w:r>
        <w:rPr>
          <w:rFonts w:ascii="Times New Roman"/>
        </w:rPr>
        <w:t>2013;12(6):337-</w:t>
      </w:r>
      <w:r>
        <w:rPr>
          <w:rFonts w:ascii="Times New Roman"/>
          <w:spacing w:val="-5"/>
        </w:rPr>
        <w:t>47.</w:t>
      </w:r>
    </w:p>
    <w:p>
      <w:pPr>
        <w:pStyle w:val="BodyText"/>
        <w:spacing w:before="6"/>
        <w:ind w:left="0"/>
        <w:rPr>
          <w:rFonts w:ascii="Times New Roman"/>
        </w:rPr>
      </w:pPr>
    </w:p>
    <w:p>
      <w:pPr>
        <w:pStyle w:val="BodyText"/>
        <w:spacing w:line="276" w:lineRule="auto"/>
        <w:rPr>
          <w:rFonts w:ascii="Times New Roman"/>
        </w:rPr>
      </w:pPr>
      <w:bookmarkStart w:name="_bookmark200" w:id="389"/>
      <w:bookmarkEnd w:id="389"/>
      <w:r>
        <w:rPr/>
      </w:r>
      <w:r>
        <w:rPr>
          <w:rFonts w:ascii="Times New Roman"/>
        </w:rPr>
        <w:t>Ritchie</w:t>
      </w:r>
      <w:r>
        <w:rPr>
          <w:rFonts w:ascii="Times New Roman"/>
          <w:spacing w:val="-3"/>
        </w:rPr>
        <w:t> </w:t>
      </w:r>
      <w:r>
        <w:rPr>
          <w:rFonts w:ascii="Times New Roman"/>
        </w:rPr>
        <w:t>AI,</w:t>
      </w:r>
      <w:r>
        <w:rPr>
          <w:rFonts w:ascii="Times New Roman"/>
          <w:spacing w:val="-5"/>
        </w:rPr>
        <w:t> </w:t>
      </w:r>
      <w:r>
        <w:rPr>
          <w:rFonts w:ascii="Times New Roman"/>
        </w:rPr>
        <w:t>Wedzicha</w:t>
      </w:r>
      <w:r>
        <w:rPr>
          <w:rFonts w:ascii="Times New Roman"/>
          <w:spacing w:val="-4"/>
        </w:rPr>
        <w:t> </w:t>
      </w:r>
      <w:r>
        <w:rPr>
          <w:rFonts w:ascii="Times New Roman"/>
        </w:rPr>
        <w:t>JA.</w:t>
      </w:r>
      <w:r>
        <w:rPr>
          <w:rFonts w:ascii="Times New Roman"/>
          <w:spacing w:val="-4"/>
        </w:rPr>
        <w:t> </w:t>
      </w:r>
      <w:r>
        <w:rPr>
          <w:rFonts w:ascii="Times New Roman"/>
        </w:rPr>
        <w:t>Definition,</w:t>
      </w:r>
      <w:r>
        <w:rPr>
          <w:rFonts w:ascii="Times New Roman"/>
          <w:spacing w:val="-3"/>
        </w:rPr>
        <w:t> </w:t>
      </w:r>
      <w:r>
        <w:rPr>
          <w:rFonts w:ascii="Times New Roman"/>
        </w:rPr>
        <w:t>causes,</w:t>
      </w:r>
      <w:r>
        <w:rPr>
          <w:rFonts w:ascii="Times New Roman"/>
          <w:spacing w:val="-3"/>
        </w:rPr>
        <w:t> </w:t>
      </w:r>
      <w:r>
        <w:rPr>
          <w:rFonts w:ascii="Times New Roman"/>
        </w:rPr>
        <w:t>pathogenesis,</w:t>
      </w:r>
      <w:r>
        <w:rPr>
          <w:rFonts w:ascii="Times New Roman"/>
          <w:spacing w:val="-4"/>
        </w:rPr>
        <w:t> </w:t>
      </w:r>
      <w:r>
        <w:rPr>
          <w:rFonts w:ascii="Times New Roman"/>
        </w:rPr>
        <w:t>and</w:t>
      </w:r>
      <w:r>
        <w:rPr>
          <w:rFonts w:ascii="Times New Roman"/>
          <w:spacing w:val="-3"/>
        </w:rPr>
        <w:t> </w:t>
      </w:r>
      <w:r>
        <w:rPr>
          <w:rFonts w:ascii="Times New Roman"/>
        </w:rPr>
        <w:t>consequences</w:t>
      </w:r>
      <w:r>
        <w:rPr>
          <w:rFonts w:ascii="Times New Roman"/>
          <w:spacing w:val="-3"/>
        </w:rPr>
        <w:t> </w:t>
      </w:r>
      <w:r>
        <w:rPr>
          <w:rFonts w:ascii="Times New Roman"/>
        </w:rPr>
        <w:t>of</w:t>
      </w:r>
      <w:r>
        <w:rPr>
          <w:rFonts w:ascii="Times New Roman"/>
          <w:spacing w:val="-4"/>
        </w:rPr>
        <w:t> </w:t>
      </w:r>
      <w:r>
        <w:rPr>
          <w:rFonts w:ascii="Times New Roman"/>
        </w:rPr>
        <w:t>chronic obstructive pulmonary disease exacerbations. Clin Chest Med. 2020;41(3):421-38.</w:t>
      </w:r>
    </w:p>
    <w:p>
      <w:pPr>
        <w:pStyle w:val="BodyText"/>
        <w:spacing w:line="276" w:lineRule="auto" w:before="241"/>
        <w:ind w:right="357"/>
        <w:rPr>
          <w:rFonts w:ascii="Times New Roman"/>
        </w:rPr>
      </w:pPr>
      <w:bookmarkStart w:name="_bookmark201" w:id="390"/>
      <w:bookmarkEnd w:id="390"/>
      <w:r>
        <w:rPr/>
      </w:r>
      <w:r>
        <w:rPr>
          <w:rFonts w:ascii="Times New Roman"/>
        </w:rPr>
        <w:t>Sampson HA, Munoz-Furlong A, Campbell RL, Adkinson NF Jr, Bock SA, Branum A, et al.</w:t>
      </w:r>
      <w:r>
        <w:rPr>
          <w:rFonts w:ascii="Times New Roman"/>
          <w:spacing w:val="-3"/>
        </w:rPr>
        <w:t> </w:t>
      </w:r>
      <w:r>
        <w:rPr>
          <w:rFonts w:ascii="Times New Roman"/>
        </w:rPr>
        <w:t>Second</w:t>
      </w:r>
      <w:r>
        <w:rPr>
          <w:rFonts w:ascii="Times New Roman"/>
          <w:spacing w:val="-3"/>
        </w:rPr>
        <w:t> </w:t>
      </w:r>
      <w:r>
        <w:rPr>
          <w:rFonts w:ascii="Times New Roman"/>
        </w:rPr>
        <w:t>symposium</w:t>
      </w:r>
      <w:r>
        <w:rPr>
          <w:rFonts w:ascii="Times New Roman"/>
          <w:spacing w:val="-3"/>
        </w:rPr>
        <w:t> </w:t>
      </w:r>
      <w:r>
        <w:rPr>
          <w:rFonts w:ascii="Times New Roman"/>
        </w:rPr>
        <w:t>on</w:t>
      </w:r>
      <w:r>
        <w:rPr>
          <w:rFonts w:ascii="Times New Roman"/>
          <w:spacing w:val="-3"/>
        </w:rPr>
        <w:t> </w:t>
      </w:r>
      <w:r>
        <w:rPr>
          <w:rFonts w:ascii="Times New Roman"/>
        </w:rPr>
        <w:t>the</w:t>
      </w:r>
      <w:r>
        <w:rPr>
          <w:rFonts w:ascii="Times New Roman"/>
          <w:spacing w:val="-3"/>
        </w:rPr>
        <w:t> </w:t>
      </w:r>
      <w:r>
        <w:rPr>
          <w:rFonts w:ascii="Times New Roman"/>
        </w:rPr>
        <w:t>definition</w:t>
      </w:r>
      <w:r>
        <w:rPr>
          <w:rFonts w:ascii="Times New Roman"/>
          <w:spacing w:val="-4"/>
        </w:rPr>
        <w:t> </w:t>
      </w:r>
      <w:r>
        <w:rPr>
          <w:rFonts w:ascii="Times New Roman"/>
        </w:rPr>
        <w:t>and</w:t>
      </w:r>
      <w:r>
        <w:rPr>
          <w:rFonts w:ascii="Times New Roman"/>
          <w:spacing w:val="-3"/>
        </w:rPr>
        <w:t> </w:t>
      </w:r>
      <w:r>
        <w:rPr>
          <w:rFonts w:ascii="Times New Roman"/>
        </w:rPr>
        <w:t>management</w:t>
      </w:r>
      <w:r>
        <w:rPr>
          <w:rFonts w:ascii="Times New Roman"/>
          <w:spacing w:val="-3"/>
        </w:rPr>
        <w:t> </w:t>
      </w:r>
      <w:r>
        <w:rPr>
          <w:rFonts w:ascii="Times New Roman"/>
        </w:rPr>
        <w:t>of</w:t>
      </w:r>
      <w:r>
        <w:rPr>
          <w:rFonts w:ascii="Times New Roman"/>
          <w:spacing w:val="-3"/>
        </w:rPr>
        <w:t> </w:t>
      </w:r>
      <w:r>
        <w:rPr>
          <w:rFonts w:ascii="Times New Roman"/>
        </w:rPr>
        <w:t>anaphylaxis:</w:t>
      </w:r>
      <w:r>
        <w:rPr>
          <w:rFonts w:ascii="Times New Roman"/>
          <w:spacing w:val="-4"/>
        </w:rPr>
        <w:t> </w:t>
      </w:r>
      <w:r>
        <w:rPr>
          <w:rFonts w:ascii="Times New Roman"/>
        </w:rPr>
        <w:t>summary</w:t>
      </w:r>
      <w:r>
        <w:rPr>
          <w:rFonts w:ascii="Times New Roman"/>
          <w:spacing w:val="-3"/>
        </w:rPr>
        <w:t> </w:t>
      </w:r>
      <w:r>
        <w:rPr>
          <w:rFonts w:ascii="Times New Roman"/>
        </w:rPr>
        <w:t>report-</w:t>
      </w:r>
    </w:p>
    <w:p>
      <w:pPr>
        <w:pStyle w:val="BodyText"/>
        <w:spacing w:line="276" w:lineRule="auto"/>
        <w:ind w:right="714"/>
        <w:rPr>
          <w:rFonts w:ascii="Times New Roman"/>
        </w:rPr>
      </w:pPr>
      <w:r>
        <w:rPr>
          <w:rFonts w:ascii="Times New Roman"/>
        </w:rPr>
        <w:t>-second National Institute of Allergy and Infectious Disease/Food Allergy and Anaphylaxis</w:t>
      </w:r>
      <w:r>
        <w:rPr>
          <w:rFonts w:ascii="Times New Roman"/>
          <w:spacing w:val="-6"/>
        </w:rPr>
        <w:t> </w:t>
      </w:r>
      <w:r>
        <w:rPr>
          <w:rFonts w:ascii="Times New Roman"/>
        </w:rPr>
        <w:t>Network</w:t>
      </w:r>
      <w:r>
        <w:rPr>
          <w:rFonts w:ascii="Times New Roman"/>
          <w:spacing w:val="-5"/>
        </w:rPr>
        <w:t> </w:t>
      </w:r>
      <w:r>
        <w:rPr>
          <w:rFonts w:ascii="Times New Roman"/>
        </w:rPr>
        <w:t>symposium.</w:t>
      </w:r>
      <w:r>
        <w:rPr>
          <w:rFonts w:ascii="Times New Roman"/>
          <w:spacing w:val="-6"/>
        </w:rPr>
        <w:t> </w:t>
      </w:r>
      <w:r>
        <w:rPr>
          <w:rFonts w:ascii="Times New Roman"/>
        </w:rPr>
        <w:t>J</w:t>
      </w:r>
      <w:r>
        <w:rPr>
          <w:rFonts w:ascii="Times New Roman"/>
          <w:spacing w:val="-6"/>
        </w:rPr>
        <w:t> </w:t>
      </w:r>
      <w:r>
        <w:rPr>
          <w:rFonts w:ascii="Times New Roman"/>
        </w:rPr>
        <w:t>Allergy</w:t>
      </w:r>
      <w:r>
        <w:rPr>
          <w:rFonts w:ascii="Times New Roman"/>
          <w:spacing w:val="-5"/>
        </w:rPr>
        <w:t> </w:t>
      </w:r>
      <w:r>
        <w:rPr>
          <w:rFonts w:ascii="Times New Roman"/>
        </w:rPr>
        <w:t>Clin</w:t>
      </w:r>
      <w:r>
        <w:rPr>
          <w:rFonts w:ascii="Times New Roman"/>
          <w:spacing w:val="-6"/>
        </w:rPr>
        <w:t> </w:t>
      </w:r>
      <w:r>
        <w:rPr>
          <w:rFonts w:ascii="Times New Roman"/>
        </w:rPr>
        <w:t>Immunol.</w:t>
      </w:r>
      <w:r>
        <w:rPr>
          <w:rFonts w:ascii="Times New Roman"/>
          <w:spacing w:val="-5"/>
        </w:rPr>
        <w:t> </w:t>
      </w:r>
      <w:r>
        <w:rPr>
          <w:rFonts w:ascii="Times New Roman"/>
        </w:rPr>
        <w:t>2006;117(2):391-7.</w:t>
      </w:r>
    </w:p>
    <w:p>
      <w:pPr>
        <w:pStyle w:val="BodyText"/>
        <w:spacing w:line="276" w:lineRule="auto" w:before="240"/>
        <w:ind w:right="707"/>
        <w:rPr>
          <w:rFonts w:ascii="Times New Roman"/>
        </w:rPr>
      </w:pPr>
      <w:bookmarkStart w:name="_bookmark202" w:id="391"/>
      <w:bookmarkEnd w:id="391"/>
      <w:r>
        <w:rPr/>
      </w:r>
      <w:r>
        <w:rPr>
          <w:rFonts w:ascii="Times New Roman"/>
        </w:rPr>
        <w:t>Schmitz</w:t>
      </w:r>
      <w:r>
        <w:rPr>
          <w:rFonts w:ascii="Times New Roman"/>
          <w:spacing w:val="-3"/>
        </w:rPr>
        <w:t> </w:t>
      </w:r>
      <w:r>
        <w:rPr>
          <w:rFonts w:ascii="Times New Roman"/>
        </w:rPr>
        <w:t>J,</w:t>
      </w:r>
      <w:r>
        <w:rPr>
          <w:rFonts w:ascii="Times New Roman"/>
          <w:spacing w:val="-4"/>
        </w:rPr>
        <w:t> </w:t>
      </w:r>
      <w:r>
        <w:rPr>
          <w:rFonts w:ascii="Times New Roman"/>
        </w:rPr>
        <w:t>Owyang</w:t>
      </w:r>
      <w:r>
        <w:rPr>
          <w:rFonts w:ascii="Times New Roman"/>
          <w:spacing w:val="-3"/>
        </w:rPr>
        <w:t> </w:t>
      </w:r>
      <w:r>
        <w:rPr>
          <w:rFonts w:ascii="Times New Roman"/>
        </w:rPr>
        <w:t>A,</w:t>
      </w:r>
      <w:r>
        <w:rPr>
          <w:rFonts w:ascii="Times New Roman"/>
          <w:spacing w:val="-2"/>
        </w:rPr>
        <w:t> </w:t>
      </w:r>
      <w:r>
        <w:rPr>
          <w:rFonts w:ascii="Times New Roman"/>
        </w:rPr>
        <w:t>Oldham</w:t>
      </w:r>
      <w:r>
        <w:rPr>
          <w:rFonts w:ascii="Times New Roman"/>
          <w:spacing w:val="-3"/>
        </w:rPr>
        <w:t> </w:t>
      </w:r>
      <w:r>
        <w:rPr>
          <w:rFonts w:ascii="Times New Roman"/>
        </w:rPr>
        <w:t>E,</w:t>
      </w:r>
      <w:r>
        <w:rPr>
          <w:rFonts w:ascii="Times New Roman"/>
          <w:spacing w:val="-4"/>
        </w:rPr>
        <w:t> </w:t>
      </w:r>
      <w:r>
        <w:rPr>
          <w:rFonts w:ascii="Times New Roman"/>
        </w:rPr>
        <w:t>Song</w:t>
      </w:r>
      <w:r>
        <w:rPr>
          <w:rFonts w:ascii="Times New Roman"/>
          <w:spacing w:val="-4"/>
        </w:rPr>
        <w:t> </w:t>
      </w:r>
      <w:r>
        <w:rPr>
          <w:rFonts w:ascii="Times New Roman"/>
        </w:rPr>
        <w:t>Y,</w:t>
      </w:r>
      <w:r>
        <w:rPr>
          <w:rFonts w:ascii="Times New Roman"/>
          <w:spacing w:val="-4"/>
        </w:rPr>
        <w:t> </w:t>
      </w:r>
      <w:r>
        <w:rPr>
          <w:rFonts w:ascii="Times New Roman"/>
        </w:rPr>
        <w:t>Murphy</w:t>
      </w:r>
      <w:r>
        <w:rPr>
          <w:rFonts w:ascii="Times New Roman"/>
          <w:spacing w:val="-3"/>
        </w:rPr>
        <w:t> </w:t>
      </w:r>
      <w:r>
        <w:rPr>
          <w:rFonts w:ascii="Times New Roman"/>
        </w:rPr>
        <w:t>E,</w:t>
      </w:r>
      <w:r>
        <w:rPr>
          <w:rFonts w:ascii="Times New Roman"/>
          <w:spacing w:val="-3"/>
        </w:rPr>
        <w:t> </w:t>
      </w:r>
      <w:r>
        <w:rPr>
          <w:rFonts w:ascii="Times New Roman"/>
        </w:rPr>
        <w:t>McClanahan</w:t>
      </w:r>
      <w:r>
        <w:rPr>
          <w:rFonts w:ascii="Times New Roman"/>
          <w:spacing w:val="-3"/>
        </w:rPr>
        <w:t> </w:t>
      </w:r>
      <w:r>
        <w:rPr>
          <w:rFonts w:ascii="Times New Roman"/>
        </w:rPr>
        <w:t>TK,</w:t>
      </w:r>
      <w:r>
        <w:rPr>
          <w:rFonts w:ascii="Times New Roman"/>
          <w:spacing w:val="-4"/>
        </w:rPr>
        <w:t> </w:t>
      </w:r>
      <w:r>
        <w:rPr>
          <w:rFonts w:ascii="Times New Roman"/>
        </w:rPr>
        <w:t>et</w:t>
      </w:r>
      <w:r>
        <w:rPr>
          <w:rFonts w:ascii="Times New Roman"/>
          <w:spacing w:val="-3"/>
        </w:rPr>
        <w:t> </w:t>
      </w:r>
      <w:r>
        <w:rPr>
          <w:rFonts w:ascii="Times New Roman"/>
        </w:rPr>
        <w:t>al.</w:t>
      </w:r>
      <w:r>
        <w:rPr>
          <w:rFonts w:ascii="Times New Roman"/>
          <w:spacing w:val="-3"/>
        </w:rPr>
        <w:t> </w:t>
      </w:r>
      <w:r>
        <w:rPr>
          <w:rFonts w:ascii="Times New Roman"/>
        </w:rPr>
        <w:t>IL-33,</w:t>
      </w:r>
      <w:r>
        <w:rPr>
          <w:rFonts w:ascii="Times New Roman"/>
          <w:spacing w:val="-3"/>
        </w:rPr>
        <w:t> </w:t>
      </w:r>
      <w:r>
        <w:rPr>
          <w:rFonts w:ascii="Times New Roman"/>
        </w:rPr>
        <w:t>an interleukin-1-like cytokine that signals via the IL-1 receptor-related protein ST2 and induces T helper type 2-associated cytokines. Immunity. 2005;23(5):479-90.</w:t>
      </w:r>
    </w:p>
    <w:p>
      <w:pPr>
        <w:pStyle w:val="BodyText"/>
        <w:spacing w:line="276" w:lineRule="auto" w:before="239"/>
        <w:ind w:right="600"/>
        <w:rPr>
          <w:rFonts w:ascii="Times New Roman"/>
        </w:rPr>
      </w:pPr>
      <w:bookmarkStart w:name="_bookmark203" w:id="392"/>
      <w:bookmarkEnd w:id="392"/>
      <w:r>
        <w:rPr/>
      </w:r>
      <w:r>
        <w:rPr>
          <w:rFonts w:ascii="Times New Roman"/>
        </w:rPr>
        <w:t>Scott</w:t>
      </w:r>
      <w:r>
        <w:rPr>
          <w:rFonts w:ascii="Times New Roman"/>
          <w:spacing w:val="-3"/>
        </w:rPr>
        <w:t> </w:t>
      </w:r>
      <w:r>
        <w:rPr>
          <w:rFonts w:ascii="Times New Roman"/>
        </w:rPr>
        <w:t>I,</w:t>
      </w:r>
      <w:r>
        <w:rPr>
          <w:rFonts w:ascii="Times New Roman"/>
          <w:spacing w:val="-3"/>
        </w:rPr>
        <w:t> </w:t>
      </w:r>
      <w:r>
        <w:rPr>
          <w:rFonts w:ascii="Times New Roman"/>
        </w:rPr>
        <w:t>England</w:t>
      </w:r>
      <w:r>
        <w:rPr>
          <w:rFonts w:ascii="Times New Roman"/>
          <w:spacing w:val="-3"/>
        </w:rPr>
        <w:t> </w:t>
      </w:r>
      <w:r>
        <w:rPr>
          <w:rFonts w:ascii="Times New Roman"/>
        </w:rPr>
        <w:t>E,</w:t>
      </w:r>
      <w:r>
        <w:rPr>
          <w:rFonts w:ascii="Times New Roman"/>
          <w:spacing w:val="-3"/>
        </w:rPr>
        <w:t> </w:t>
      </w:r>
      <w:r>
        <w:rPr>
          <w:rFonts w:ascii="Times New Roman"/>
        </w:rPr>
        <w:t>Rees</w:t>
      </w:r>
      <w:r>
        <w:rPr>
          <w:rFonts w:ascii="Times New Roman"/>
          <w:spacing w:val="-4"/>
        </w:rPr>
        <w:t> </w:t>
      </w:r>
      <w:r>
        <w:rPr>
          <w:rFonts w:ascii="Times New Roman"/>
        </w:rPr>
        <w:t>D,</w:t>
      </w:r>
      <w:r>
        <w:rPr>
          <w:rFonts w:ascii="Times New Roman"/>
          <w:spacing w:val="-3"/>
        </w:rPr>
        <w:t> </w:t>
      </w:r>
      <w:r>
        <w:rPr>
          <w:rFonts w:ascii="Times New Roman"/>
        </w:rPr>
        <w:t>Erngren</w:t>
      </w:r>
      <w:r>
        <w:rPr>
          <w:rFonts w:ascii="Times New Roman"/>
          <w:spacing w:val="-3"/>
        </w:rPr>
        <w:t> </w:t>
      </w:r>
      <w:r>
        <w:rPr>
          <w:rFonts w:ascii="Times New Roman"/>
        </w:rPr>
        <w:t>T,</w:t>
      </w:r>
      <w:r>
        <w:rPr>
          <w:rFonts w:ascii="Times New Roman"/>
          <w:spacing w:val="-3"/>
        </w:rPr>
        <w:t> </w:t>
      </w:r>
      <w:r>
        <w:rPr>
          <w:rFonts w:ascii="Times New Roman"/>
        </w:rPr>
        <w:t>Huntington</w:t>
      </w:r>
      <w:r>
        <w:rPr>
          <w:rFonts w:ascii="Times New Roman"/>
          <w:spacing w:val="-3"/>
        </w:rPr>
        <w:t> </w:t>
      </w:r>
      <w:r>
        <w:rPr>
          <w:rFonts w:ascii="Times New Roman"/>
        </w:rPr>
        <w:t>CC,</w:t>
      </w:r>
      <w:r>
        <w:rPr>
          <w:rFonts w:ascii="Times New Roman"/>
          <w:spacing w:val="-3"/>
        </w:rPr>
        <w:t> </w:t>
      </w:r>
      <w:r>
        <w:rPr>
          <w:rFonts w:ascii="Times New Roman"/>
        </w:rPr>
        <w:t>Houslay</w:t>
      </w:r>
      <w:r>
        <w:rPr>
          <w:rFonts w:ascii="Times New Roman"/>
          <w:spacing w:val="-3"/>
        </w:rPr>
        <w:t> </w:t>
      </w:r>
      <w:r>
        <w:rPr>
          <w:rFonts w:ascii="Times New Roman"/>
        </w:rPr>
        <w:t>K</w:t>
      </w:r>
      <w:r>
        <w:rPr>
          <w:rFonts w:ascii="Times New Roman"/>
          <w:spacing w:val="-4"/>
        </w:rPr>
        <w:t> </w:t>
      </w:r>
      <w:r>
        <w:rPr>
          <w:rFonts w:ascii="Times New Roman"/>
        </w:rPr>
        <w:t>et</w:t>
      </w:r>
      <w:r>
        <w:rPr>
          <w:rFonts w:ascii="Times New Roman"/>
          <w:spacing w:val="-3"/>
        </w:rPr>
        <w:t> </w:t>
      </w:r>
      <w:r>
        <w:rPr>
          <w:rFonts w:ascii="Times New Roman"/>
        </w:rPr>
        <w:t>al.</w:t>
      </w:r>
      <w:r>
        <w:rPr>
          <w:rFonts w:ascii="Times New Roman"/>
          <w:spacing w:val="-4"/>
        </w:rPr>
        <w:t> </w:t>
      </w:r>
      <w:r>
        <w:rPr>
          <w:rFonts w:ascii="Times New Roman"/>
        </w:rPr>
        <w:t>Tozorakimab:</w:t>
      </w:r>
      <w:r>
        <w:rPr>
          <w:rFonts w:ascii="Times New Roman"/>
          <w:spacing w:val="-3"/>
        </w:rPr>
        <w:t> </w:t>
      </w:r>
      <w:r>
        <w:rPr>
          <w:rFonts w:ascii="Times New Roman"/>
        </w:rPr>
        <w:t>a dual-pharmacology anti-IL-33 antibody that inhibits IL-33 signalling via ST2 and RAGE/EGFR to reduce inflammation and epithelial dysfunction. Eur Respiratory Soc; </w:t>
      </w:r>
      <w:r>
        <w:rPr>
          <w:rFonts w:ascii="Times New Roman"/>
          <w:spacing w:val="-2"/>
        </w:rPr>
        <w:t>2022.</w:t>
      </w:r>
    </w:p>
    <w:p>
      <w:pPr>
        <w:pStyle w:val="BodyText"/>
        <w:spacing w:line="276" w:lineRule="auto" w:before="240"/>
        <w:ind w:right="420"/>
        <w:rPr>
          <w:rFonts w:ascii="Times New Roman"/>
        </w:rPr>
      </w:pPr>
      <w:bookmarkStart w:name="_bookmark204" w:id="393"/>
      <w:bookmarkEnd w:id="393"/>
      <w:r>
        <w:rPr/>
      </w:r>
      <w:r>
        <w:rPr>
          <w:rFonts w:ascii="Times New Roman"/>
        </w:rPr>
        <w:t>Seemungal TA, Donaldson GC, Paul EA, Bestall JC, Jeffries DJ, Wedzicha JA. Effect of exacerbation</w:t>
      </w:r>
      <w:r>
        <w:rPr>
          <w:rFonts w:ascii="Times New Roman"/>
          <w:spacing w:val="-3"/>
        </w:rPr>
        <w:t> </w:t>
      </w:r>
      <w:r>
        <w:rPr>
          <w:rFonts w:ascii="Times New Roman"/>
        </w:rPr>
        <w:t>on</w:t>
      </w:r>
      <w:r>
        <w:rPr>
          <w:rFonts w:ascii="Times New Roman"/>
          <w:spacing w:val="-3"/>
        </w:rPr>
        <w:t> </w:t>
      </w:r>
      <w:r>
        <w:rPr>
          <w:rFonts w:ascii="Times New Roman"/>
        </w:rPr>
        <w:t>quality</w:t>
      </w:r>
      <w:r>
        <w:rPr>
          <w:rFonts w:ascii="Times New Roman"/>
          <w:spacing w:val="-3"/>
        </w:rPr>
        <w:t> </w:t>
      </w:r>
      <w:r>
        <w:rPr>
          <w:rFonts w:ascii="Times New Roman"/>
        </w:rPr>
        <w:t>of</w:t>
      </w:r>
      <w:r>
        <w:rPr>
          <w:rFonts w:ascii="Times New Roman"/>
          <w:spacing w:val="-3"/>
        </w:rPr>
        <w:t> </w:t>
      </w:r>
      <w:r>
        <w:rPr>
          <w:rFonts w:ascii="Times New Roman"/>
        </w:rPr>
        <w:t>life</w:t>
      </w:r>
      <w:r>
        <w:rPr>
          <w:rFonts w:ascii="Times New Roman"/>
          <w:spacing w:val="-3"/>
        </w:rPr>
        <w:t> </w:t>
      </w:r>
      <w:r>
        <w:rPr>
          <w:rFonts w:ascii="Times New Roman"/>
        </w:rPr>
        <w:t>in</w:t>
      </w:r>
      <w:r>
        <w:rPr>
          <w:rFonts w:ascii="Times New Roman"/>
          <w:spacing w:val="-3"/>
        </w:rPr>
        <w:t> </w:t>
      </w:r>
      <w:r>
        <w:rPr>
          <w:rFonts w:ascii="Times New Roman"/>
        </w:rPr>
        <w:t>patients</w:t>
      </w:r>
      <w:r>
        <w:rPr>
          <w:rFonts w:ascii="Times New Roman"/>
          <w:spacing w:val="-2"/>
        </w:rPr>
        <w:t> </w:t>
      </w:r>
      <w:r>
        <w:rPr>
          <w:rFonts w:ascii="Times New Roman"/>
        </w:rPr>
        <w:t>with</w:t>
      </w:r>
      <w:r>
        <w:rPr>
          <w:rFonts w:ascii="Times New Roman"/>
          <w:spacing w:val="-4"/>
        </w:rPr>
        <w:t> </w:t>
      </w:r>
      <w:r>
        <w:rPr>
          <w:rFonts w:ascii="Times New Roman"/>
        </w:rPr>
        <w:t>chronic</w:t>
      </w:r>
      <w:r>
        <w:rPr>
          <w:rFonts w:ascii="Times New Roman"/>
          <w:spacing w:val="-3"/>
        </w:rPr>
        <w:t> </w:t>
      </w:r>
      <w:r>
        <w:rPr>
          <w:rFonts w:ascii="Times New Roman"/>
        </w:rPr>
        <w:t>obstructive</w:t>
      </w:r>
      <w:r>
        <w:rPr>
          <w:rFonts w:ascii="Times New Roman"/>
          <w:spacing w:val="-2"/>
        </w:rPr>
        <w:t> </w:t>
      </w:r>
      <w:r>
        <w:rPr>
          <w:rFonts w:ascii="Times New Roman"/>
        </w:rPr>
        <w:t>pulmonary</w:t>
      </w:r>
      <w:r>
        <w:rPr>
          <w:rFonts w:ascii="Times New Roman"/>
          <w:spacing w:val="-3"/>
        </w:rPr>
        <w:t> </w:t>
      </w:r>
      <w:r>
        <w:rPr>
          <w:rFonts w:ascii="Times New Roman"/>
        </w:rPr>
        <w:t>disease.</w:t>
      </w:r>
      <w:r>
        <w:rPr>
          <w:rFonts w:ascii="Times New Roman"/>
          <w:spacing w:val="-4"/>
        </w:rPr>
        <w:t> </w:t>
      </w:r>
      <w:r>
        <w:rPr>
          <w:rFonts w:ascii="Times New Roman"/>
        </w:rPr>
        <w:t>Am J Respir Crit Care Med. 1998;157(5 Pt 1):1418-22.</w:t>
      </w:r>
    </w:p>
    <w:p>
      <w:pPr>
        <w:pStyle w:val="BodyText"/>
        <w:spacing w:line="276" w:lineRule="auto" w:before="240"/>
        <w:ind w:right="451"/>
        <w:jc w:val="both"/>
        <w:rPr>
          <w:rFonts w:ascii="Times New Roman"/>
        </w:rPr>
      </w:pPr>
      <w:bookmarkStart w:name="_bookmark205" w:id="394"/>
      <w:bookmarkEnd w:id="394"/>
      <w:r>
        <w:rPr/>
      </w:r>
      <w:r>
        <w:rPr>
          <w:rFonts w:ascii="Times New Roman"/>
        </w:rPr>
        <w:t>Smith D,</w:t>
      </w:r>
      <w:r>
        <w:rPr>
          <w:rFonts w:ascii="Times New Roman"/>
          <w:spacing w:val="-1"/>
        </w:rPr>
        <w:t> </w:t>
      </w:r>
      <w:r>
        <w:rPr>
          <w:rFonts w:ascii="Times New Roman"/>
        </w:rPr>
        <w:t>Helgason H,</w:t>
      </w:r>
      <w:r>
        <w:rPr>
          <w:rFonts w:ascii="Times New Roman"/>
          <w:spacing w:val="-1"/>
        </w:rPr>
        <w:t> </w:t>
      </w:r>
      <w:r>
        <w:rPr>
          <w:rFonts w:ascii="Times New Roman"/>
        </w:rPr>
        <w:t>Sulem P,</w:t>
      </w:r>
      <w:r>
        <w:rPr>
          <w:rFonts w:ascii="Times New Roman"/>
          <w:spacing w:val="-1"/>
        </w:rPr>
        <w:t> </w:t>
      </w:r>
      <w:r>
        <w:rPr>
          <w:rFonts w:ascii="Times New Roman"/>
        </w:rPr>
        <w:t>Bjornsdottir US, Lim AC, Sveinbjornsson</w:t>
      </w:r>
      <w:r>
        <w:rPr>
          <w:rFonts w:ascii="Times New Roman"/>
          <w:spacing w:val="-1"/>
        </w:rPr>
        <w:t> </w:t>
      </w:r>
      <w:r>
        <w:rPr>
          <w:rFonts w:ascii="Times New Roman"/>
        </w:rPr>
        <w:t>G,</w:t>
      </w:r>
      <w:r>
        <w:rPr>
          <w:rFonts w:ascii="Times New Roman"/>
          <w:spacing w:val="-1"/>
        </w:rPr>
        <w:t> </w:t>
      </w:r>
      <w:r>
        <w:rPr>
          <w:rFonts w:ascii="Times New Roman"/>
        </w:rPr>
        <w:t>et al. A</w:t>
      </w:r>
      <w:r>
        <w:rPr>
          <w:rFonts w:ascii="Times New Roman"/>
          <w:spacing w:val="-1"/>
        </w:rPr>
        <w:t> </w:t>
      </w:r>
      <w:r>
        <w:rPr>
          <w:rFonts w:ascii="Times New Roman"/>
        </w:rPr>
        <w:t>rare IL33</w:t>
      </w:r>
      <w:r>
        <w:rPr>
          <w:rFonts w:ascii="Times New Roman"/>
          <w:spacing w:val="-4"/>
        </w:rPr>
        <w:t> </w:t>
      </w:r>
      <w:r>
        <w:rPr>
          <w:rFonts w:ascii="Times New Roman"/>
        </w:rPr>
        <w:t>loss-of-function</w:t>
      </w:r>
      <w:r>
        <w:rPr>
          <w:rFonts w:ascii="Times New Roman"/>
          <w:spacing w:val="-5"/>
        </w:rPr>
        <w:t> </w:t>
      </w:r>
      <w:r>
        <w:rPr>
          <w:rFonts w:ascii="Times New Roman"/>
        </w:rPr>
        <w:t>mutation</w:t>
      </w:r>
      <w:r>
        <w:rPr>
          <w:rFonts w:ascii="Times New Roman"/>
          <w:spacing w:val="-4"/>
        </w:rPr>
        <w:t> </w:t>
      </w:r>
      <w:r>
        <w:rPr>
          <w:rFonts w:ascii="Times New Roman"/>
        </w:rPr>
        <w:t>reduces</w:t>
      </w:r>
      <w:r>
        <w:rPr>
          <w:rFonts w:ascii="Times New Roman"/>
          <w:spacing w:val="-3"/>
        </w:rPr>
        <w:t> </w:t>
      </w:r>
      <w:r>
        <w:rPr>
          <w:rFonts w:ascii="Times New Roman"/>
        </w:rPr>
        <w:t>blood</w:t>
      </w:r>
      <w:r>
        <w:rPr>
          <w:rFonts w:ascii="Times New Roman"/>
          <w:spacing w:val="-4"/>
        </w:rPr>
        <w:t> </w:t>
      </w:r>
      <w:r>
        <w:rPr>
          <w:rFonts w:ascii="Times New Roman"/>
        </w:rPr>
        <w:t>eosinophil</w:t>
      </w:r>
      <w:r>
        <w:rPr>
          <w:rFonts w:ascii="Times New Roman"/>
          <w:spacing w:val="-4"/>
        </w:rPr>
        <w:t> </w:t>
      </w:r>
      <w:r>
        <w:rPr>
          <w:rFonts w:ascii="Times New Roman"/>
        </w:rPr>
        <w:t>counts</w:t>
      </w:r>
      <w:r>
        <w:rPr>
          <w:rFonts w:ascii="Times New Roman"/>
          <w:spacing w:val="-3"/>
        </w:rPr>
        <w:t> </w:t>
      </w:r>
      <w:r>
        <w:rPr>
          <w:rFonts w:ascii="Times New Roman"/>
        </w:rPr>
        <w:t>and</w:t>
      </w:r>
      <w:r>
        <w:rPr>
          <w:rFonts w:ascii="Times New Roman"/>
          <w:spacing w:val="-4"/>
        </w:rPr>
        <w:t> </w:t>
      </w:r>
      <w:r>
        <w:rPr>
          <w:rFonts w:ascii="Times New Roman"/>
        </w:rPr>
        <w:t>protects</w:t>
      </w:r>
      <w:r>
        <w:rPr>
          <w:rFonts w:ascii="Times New Roman"/>
          <w:spacing w:val="-4"/>
        </w:rPr>
        <w:t> </w:t>
      </w:r>
      <w:r>
        <w:rPr>
          <w:rFonts w:ascii="Times New Roman"/>
        </w:rPr>
        <w:t>from</w:t>
      </w:r>
      <w:r>
        <w:rPr>
          <w:rFonts w:ascii="Times New Roman"/>
          <w:spacing w:val="-6"/>
        </w:rPr>
        <w:t> </w:t>
      </w:r>
      <w:r>
        <w:rPr>
          <w:rFonts w:ascii="Times New Roman"/>
        </w:rPr>
        <w:t>asthma. PLoS Genet. 2017;13(3):e1006659.</w:t>
      </w:r>
    </w:p>
    <w:p>
      <w:pPr>
        <w:spacing w:after="0" w:line="276" w:lineRule="auto"/>
        <w:jc w:val="both"/>
        <w:rPr>
          <w:rFonts w:ascii="Times New Roman"/>
        </w:rPr>
        <w:sectPr>
          <w:pgSz w:w="11910" w:h="16840"/>
          <w:pgMar w:header="590" w:footer="784" w:top="1340" w:bottom="980" w:left="1480" w:right="1080"/>
        </w:sectPr>
      </w:pPr>
    </w:p>
    <w:p>
      <w:pPr>
        <w:pStyle w:val="BodyText"/>
        <w:spacing w:line="276" w:lineRule="auto" w:before="90"/>
        <w:ind w:right="357"/>
        <w:rPr>
          <w:rFonts w:ascii="Times New Roman"/>
        </w:rPr>
      </w:pPr>
      <w:bookmarkStart w:name="_bookmark206" w:id="395"/>
      <w:bookmarkEnd w:id="395"/>
      <w:r>
        <w:rPr/>
      </w:r>
      <w:r>
        <w:rPr>
          <w:rFonts w:ascii="Times New Roman"/>
        </w:rPr>
        <w:t>Soler-Cataluna JJ, Martinez-Garcia MA, Roman Sanchez P, Salcedo E, Navarro M, Ochando</w:t>
      </w:r>
      <w:r>
        <w:rPr>
          <w:rFonts w:ascii="Times New Roman"/>
          <w:spacing w:val="-3"/>
        </w:rPr>
        <w:t> </w:t>
      </w:r>
      <w:r>
        <w:rPr>
          <w:rFonts w:ascii="Times New Roman"/>
        </w:rPr>
        <w:t>R.</w:t>
      </w:r>
      <w:r>
        <w:rPr>
          <w:rFonts w:ascii="Times New Roman"/>
          <w:spacing w:val="-3"/>
        </w:rPr>
        <w:t> </w:t>
      </w:r>
      <w:r>
        <w:rPr>
          <w:rFonts w:ascii="Times New Roman"/>
        </w:rPr>
        <w:t>Severe</w:t>
      </w:r>
      <w:r>
        <w:rPr>
          <w:rFonts w:ascii="Times New Roman"/>
          <w:spacing w:val="-3"/>
        </w:rPr>
        <w:t> </w:t>
      </w:r>
      <w:r>
        <w:rPr>
          <w:rFonts w:ascii="Times New Roman"/>
        </w:rPr>
        <w:t>acute</w:t>
      </w:r>
      <w:r>
        <w:rPr>
          <w:rFonts w:ascii="Times New Roman"/>
          <w:spacing w:val="-4"/>
        </w:rPr>
        <w:t> </w:t>
      </w:r>
      <w:r>
        <w:rPr>
          <w:rFonts w:ascii="Times New Roman"/>
        </w:rPr>
        <w:t>exacerbations</w:t>
      </w:r>
      <w:r>
        <w:rPr>
          <w:rFonts w:ascii="Times New Roman"/>
          <w:spacing w:val="-3"/>
        </w:rPr>
        <w:t> </w:t>
      </w:r>
      <w:r>
        <w:rPr>
          <w:rFonts w:ascii="Times New Roman"/>
        </w:rPr>
        <w:t>and</w:t>
      </w:r>
      <w:r>
        <w:rPr>
          <w:rFonts w:ascii="Times New Roman"/>
          <w:spacing w:val="-3"/>
        </w:rPr>
        <w:t> </w:t>
      </w:r>
      <w:r>
        <w:rPr>
          <w:rFonts w:ascii="Times New Roman"/>
        </w:rPr>
        <w:t>mortality</w:t>
      </w:r>
      <w:r>
        <w:rPr>
          <w:rFonts w:ascii="Times New Roman"/>
          <w:spacing w:val="-3"/>
        </w:rPr>
        <w:t> </w:t>
      </w:r>
      <w:r>
        <w:rPr>
          <w:rFonts w:ascii="Times New Roman"/>
        </w:rPr>
        <w:t>in</w:t>
      </w:r>
      <w:r>
        <w:rPr>
          <w:rFonts w:ascii="Times New Roman"/>
          <w:spacing w:val="-3"/>
        </w:rPr>
        <w:t> </w:t>
      </w:r>
      <w:r>
        <w:rPr>
          <w:rFonts w:ascii="Times New Roman"/>
        </w:rPr>
        <w:t>patients</w:t>
      </w:r>
      <w:r>
        <w:rPr>
          <w:rFonts w:ascii="Times New Roman"/>
          <w:spacing w:val="-2"/>
        </w:rPr>
        <w:t> </w:t>
      </w:r>
      <w:r>
        <w:rPr>
          <w:rFonts w:ascii="Times New Roman"/>
        </w:rPr>
        <w:t>with</w:t>
      </w:r>
      <w:r>
        <w:rPr>
          <w:rFonts w:ascii="Times New Roman"/>
          <w:spacing w:val="-3"/>
        </w:rPr>
        <w:t> </w:t>
      </w:r>
      <w:r>
        <w:rPr>
          <w:rFonts w:ascii="Times New Roman"/>
        </w:rPr>
        <w:t>chronic</w:t>
      </w:r>
      <w:r>
        <w:rPr>
          <w:rFonts w:ascii="Times New Roman"/>
          <w:spacing w:val="-4"/>
        </w:rPr>
        <w:t> </w:t>
      </w:r>
      <w:r>
        <w:rPr>
          <w:rFonts w:ascii="Times New Roman"/>
        </w:rPr>
        <w:t>obstructive pulmonary disease. Thorax. 2005;60(11):925-31.</w:t>
      </w:r>
    </w:p>
    <w:p>
      <w:pPr>
        <w:pStyle w:val="BodyText"/>
        <w:spacing w:line="276" w:lineRule="auto" w:before="240"/>
        <w:rPr>
          <w:rFonts w:ascii="Times New Roman"/>
        </w:rPr>
      </w:pPr>
      <w:bookmarkStart w:name="_bookmark207" w:id="396"/>
      <w:bookmarkEnd w:id="396"/>
      <w:r>
        <w:rPr/>
      </w:r>
      <w:r>
        <w:rPr>
          <w:rFonts w:ascii="Times New Roman"/>
        </w:rPr>
        <w:t>Stanczak</w:t>
      </w:r>
      <w:r>
        <w:rPr>
          <w:rFonts w:ascii="Times New Roman"/>
          <w:spacing w:val="-2"/>
        </w:rPr>
        <w:t> </w:t>
      </w:r>
      <w:r>
        <w:rPr>
          <w:rFonts w:ascii="Times New Roman"/>
        </w:rPr>
        <w:t>MA,</w:t>
      </w:r>
      <w:r>
        <w:rPr>
          <w:rFonts w:ascii="Times New Roman"/>
          <w:spacing w:val="-3"/>
        </w:rPr>
        <w:t> </w:t>
      </w:r>
      <w:r>
        <w:rPr>
          <w:rFonts w:ascii="Times New Roman"/>
        </w:rPr>
        <w:t>Sanin</w:t>
      </w:r>
      <w:r>
        <w:rPr>
          <w:rFonts w:ascii="Times New Roman"/>
          <w:spacing w:val="-2"/>
        </w:rPr>
        <w:t> </w:t>
      </w:r>
      <w:r>
        <w:rPr>
          <w:rFonts w:ascii="Times New Roman"/>
        </w:rPr>
        <w:t>DE,</w:t>
      </w:r>
      <w:r>
        <w:rPr>
          <w:rFonts w:ascii="Times New Roman"/>
          <w:spacing w:val="-2"/>
        </w:rPr>
        <w:t> </w:t>
      </w:r>
      <w:r>
        <w:rPr>
          <w:rFonts w:ascii="Times New Roman"/>
        </w:rPr>
        <w:t>Apostolova</w:t>
      </w:r>
      <w:r>
        <w:rPr>
          <w:rFonts w:ascii="Times New Roman"/>
          <w:spacing w:val="-4"/>
        </w:rPr>
        <w:t> </w:t>
      </w:r>
      <w:r>
        <w:rPr>
          <w:rFonts w:ascii="Times New Roman"/>
        </w:rPr>
        <w:t>P,</w:t>
      </w:r>
      <w:r>
        <w:rPr>
          <w:rFonts w:ascii="Times New Roman"/>
          <w:spacing w:val="-3"/>
        </w:rPr>
        <w:t> </w:t>
      </w:r>
      <w:r>
        <w:rPr>
          <w:rFonts w:ascii="Times New Roman"/>
        </w:rPr>
        <w:t>Nerz</w:t>
      </w:r>
      <w:r>
        <w:rPr>
          <w:rFonts w:ascii="Times New Roman"/>
          <w:spacing w:val="-2"/>
        </w:rPr>
        <w:t> </w:t>
      </w:r>
      <w:r>
        <w:rPr>
          <w:rFonts w:ascii="Times New Roman"/>
        </w:rPr>
        <w:t>G,</w:t>
      </w:r>
      <w:r>
        <w:rPr>
          <w:rFonts w:ascii="Times New Roman"/>
          <w:spacing w:val="-3"/>
        </w:rPr>
        <w:t> </w:t>
      </w:r>
      <w:r>
        <w:rPr>
          <w:rFonts w:ascii="Times New Roman"/>
        </w:rPr>
        <w:t>Lampaki</w:t>
      </w:r>
      <w:r>
        <w:rPr>
          <w:rFonts w:ascii="Times New Roman"/>
          <w:spacing w:val="-1"/>
        </w:rPr>
        <w:t> </w:t>
      </w:r>
      <w:r>
        <w:rPr>
          <w:rFonts w:ascii="Times New Roman"/>
        </w:rPr>
        <w:t>D,</w:t>
      </w:r>
      <w:r>
        <w:rPr>
          <w:rFonts w:ascii="Times New Roman"/>
          <w:spacing w:val="-4"/>
        </w:rPr>
        <w:t> </w:t>
      </w:r>
      <w:r>
        <w:rPr>
          <w:rFonts w:ascii="Times New Roman"/>
        </w:rPr>
        <w:t>Hofmann</w:t>
      </w:r>
      <w:r>
        <w:rPr>
          <w:rFonts w:ascii="Times New Roman"/>
          <w:spacing w:val="-2"/>
        </w:rPr>
        <w:t> </w:t>
      </w:r>
      <w:r>
        <w:rPr>
          <w:rFonts w:ascii="Times New Roman"/>
        </w:rPr>
        <w:t>M,</w:t>
      </w:r>
      <w:r>
        <w:rPr>
          <w:rFonts w:ascii="Times New Roman"/>
          <w:spacing w:val="-3"/>
        </w:rPr>
        <w:t> </w:t>
      </w:r>
      <w:r>
        <w:rPr>
          <w:rFonts w:ascii="Times New Roman"/>
        </w:rPr>
        <w:t>et</w:t>
      </w:r>
      <w:r>
        <w:rPr>
          <w:rFonts w:ascii="Times New Roman"/>
          <w:spacing w:val="-2"/>
        </w:rPr>
        <w:t> </w:t>
      </w:r>
      <w:r>
        <w:rPr>
          <w:rFonts w:ascii="Times New Roman"/>
        </w:rPr>
        <w:t>al.</w:t>
      </w:r>
      <w:r>
        <w:rPr>
          <w:rFonts w:ascii="Times New Roman"/>
          <w:spacing w:val="-3"/>
        </w:rPr>
        <w:t> </w:t>
      </w:r>
      <w:r>
        <w:rPr>
          <w:rFonts w:ascii="Times New Roman"/>
        </w:rPr>
        <w:t>IL-33 expression in response to SARS-CoV-2 correlates with seropositivity in COVID-19 convalescent individuals. Nat Commun. 2021;12(1):2133.</w:t>
      </w:r>
    </w:p>
    <w:p>
      <w:pPr>
        <w:pStyle w:val="BodyText"/>
        <w:spacing w:line="276" w:lineRule="auto" w:before="241"/>
        <w:ind w:right="365"/>
        <w:rPr>
          <w:rFonts w:ascii="Times New Roman"/>
        </w:rPr>
      </w:pPr>
      <w:bookmarkStart w:name="_bookmark208" w:id="397"/>
      <w:bookmarkEnd w:id="397"/>
      <w:r>
        <w:rPr/>
      </w:r>
      <w:r>
        <w:rPr>
          <w:rFonts w:ascii="Times New Roman"/>
        </w:rPr>
        <w:t>Stone A. The application of bespoke spending functions in group-sequential designs and the</w:t>
      </w:r>
      <w:r>
        <w:rPr>
          <w:rFonts w:ascii="Times New Roman"/>
          <w:spacing w:val="-2"/>
        </w:rPr>
        <w:t> </w:t>
      </w:r>
      <w:r>
        <w:rPr>
          <w:rFonts w:ascii="Times New Roman"/>
        </w:rPr>
        <w:t>effect</w:t>
      </w:r>
      <w:r>
        <w:rPr>
          <w:rFonts w:ascii="Times New Roman"/>
          <w:spacing w:val="-1"/>
        </w:rPr>
        <w:t> </w:t>
      </w:r>
      <w:r>
        <w:rPr>
          <w:rFonts w:ascii="Times New Roman"/>
        </w:rPr>
        <w:t>of</w:t>
      </w:r>
      <w:r>
        <w:rPr>
          <w:rFonts w:ascii="Times New Roman"/>
          <w:spacing w:val="-2"/>
        </w:rPr>
        <w:t> </w:t>
      </w:r>
      <w:r>
        <w:rPr>
          <w:rFonts w:ascii="Times New Roman"/>
        </w:rPr>
        <w:t>delayed</w:t>
      </w:r>
      <w:r>
        <w:rPr>
          <w:rFonts w:ascii="Times New Roman"/>
          <w:spacing w:val="-2"/>
        </w:rPr>
        <w:t> </w:t>
      </w:r>
      <w:r>
        <w:rPr>
          <w:rFonts w:ascii="Times New Roman"/>
        </w:rPr>
        <w:t>treatment switching</w:t>
      </w:r>
      <w:r>
        <w:rPr>
          <w:rFonts w:ascii="Times New Roman"/>
          <w:spacing w:val="-2"/>
        </w:rPr>
        <w:t> </w:t>
      </w:r>
      <w:r>
        <w:rPr>
          <w:rFonts w:ascii="Times New Roman"/>
        </w:rPr>
        <w:t>in</w:t>
      </w:r>
      <w:r>
        <w:rPr>
          <w:rFonts w:ascii="Times New Roman"/>
          <w:spacing w:val="-1"/>
        </w:rPr>
        <w:t> </w:t>
      </w:r>
      <w:r>
        <w:rPr>
          <w:rFonts w:ascii="Times New Roman"/>
        </w:rPr>
        <w:t>survival trials. Pharm Stat.</w:t>
      </w:r>
      <w:r>
        <w:rPr>
          <w:rFonts w:ascii="Times New Roman"/>
          <w:spacing w:val="-1"/>
        </w:rPr>
        <w:t> </w:t>
      </w:r>
      <w:r>
        <w:rPr>
          <w:rFonts w:ascii="Times New Roman"/>
        </w:rPr>
        <w:t>2010;9(2):151-</w:t>
      </w:r>
      <w:r>
        <w:rPr>
          <w:rFonts w:ascii="Times New Roman"/>
          <w:spacing w:val="-5"/>
        </w:rPr>
        <w:t>61.</w:t>
      </w:r>
    </w:p>
    <w:p>
      <w:pPr>
        <w:pStyle w:val="BodyText"/>
        <w:spacing w:line="276" w:lineRule="auto" w:before="240"/>
        <w:ind w:right="357"/>
        <w:rPr>
          <w:rFonts w:ascii="Times New Roman"/>
        </w:rPr>
      </w:pPr>
      <w:bookmarkStart w:name="_bookmark209" w:id="398"/>
      <w:bookmarkEnd w:id="398"/>
      <w:r>
        <w:rPr/>
      </w:r>
      <w:r>
        <w:rPr>
          <w:rFonts w:ascii="Times New Roman"/>
        </w:rPr>
        <w:t>Stott-Miller</w:t>
      </w:r>
      <w:r>
        <w:rPr>
          <w:rFonts w:ascii="Times New Roman"/>
          <w:spacing w:val="-3"/>
        </w:rPr>
        <w:t> </w:t>
      </w:r>
      <w:r>
        <w:rPr>
          <w:rFonts w:ascii="Times New Roman"/>
        </w:rPr>
        <w:t>M,</w:t>
      </w:r>
      <w:r>
        <w:rPr>
          <w:rFonts w:ascii="Times New Roman"/>
          <w:spacing w:val="-3"/>
        </w:rPr>
        <w:t> </w:t>
      </w:r>
      <w:r>
        <w:rPr>
          <w:rFonts w:ascii="Times New Roman"/>
        </w:rPr>
        <w:t>Mullerova</w:t>
      </w:r>
      <w:r>
        <w:rPr>
          <w:rFonts w:ascii="Times New Roman"/>
          <w:spacing w:val="-3"/>
        </w:rPr>
        <w:t> </w:t>
      </w:r>
      <w:r>
        <w:rPr>
          <w:rFonts w:ascii="Times New Roman"/>
        </w:rPr>
        <w:t>H,</w:t>
      </w:r>
      <w:r>
        <w:rPr>
          <w:rFonts w:ascii="Times New Roman"/>
          <w:spacing w:val="-3"/>
        </w:rPr>
        <w:t> </w:t>
      </w:r>
      <w:r>
        <w:rPr>
          <w:rFonts w:ascii="Times New Roman"/>
        </w:rPr>
        <w:t>Miller</w:t>
      </w:r>
      <w:r>
        <w:rPr>
          <w:rFonts w:ascii="Times New Roman"/>
          <w:spacing w:val="-3"/>
        </w:rPr>
        <w:t> </w:t>
      </w:r>
      <w:r>
        <w:rPr>
          <w:rFonts w:ascii="Times New Roman"/>
        </w:rPr>
        <w:t>B,</w:t>
      </w:r>
      <w:r>
        <w:rPr>
          <w:rFonts w:ascii="Times New Roman"/>
          <w:spacing w:val="-2"/>
        </w:rPr>
        <w:t> </w:t>
      </w:r>
      <w:r>
        <w:rPr>
          <w:rFonts w:ascii="Times New Roman"/>
        </w:rPr>
        <w:t>Tabberer</w:t>
      </w:r>
      <w:r>
        <w:rPr>
          <w:rFonts w:ascii="Times New Roman"/>
          <w:spacing w:val="-3"/>
        </w:rPr>
        <w:t> </w:t>
      </w:r>
      <w:r>
        <w:rPr>
          <w:rFonts w:ascii="Times New Roman"/>
        </w:rPr>
        <w:t>M,</w:t>
      </w:r>
      <w:r>
        <w:rPr>
          <w:rFonts w:ascii="Times New Roman"/>
          <w:spacing w:val="-3"/>
        </w:rPr>
        <w:t> </w:t>
      </w:r>
      <w:r>
        <w:rPr>
          <w:rFonts w:ascii="Times New Roman"/>
        </w:rPr>
        <w:t>El</w:t>
      </w:r>
      <w:r>
        <w:rPr>
          <w:rFonts w:ascii="Times New Roman"/>
          <w:spacing w:val="-2"/>
        </w:rPr>
        <w:t> </w:t>
      </w:r>
      <w:r>
        <w:rPr>
          <w:rFonts w:ascii="Times New Roman"/>
        </w:rPr>
        <w:t>Baou</w:t>
      </w:r>
      <w:r>
        <w:rPr>
          <w:rFonts w:ascii="Times New Roman"/>
          <w:spacing w:val="-2"/>
        </w:rPr>
        <w:t> </w:t>
      </w:r>
      <w:r>
        <w:rPr>
          <w:rFonts w:ascii="Times New Roman"/>
        </w:rPr>
        <w:t>C,</w:t>
      </w:r>
      <w:r>
        <w:rPr>
          <w:rFonts w:ascii="Times New Roman"/>
          <w:spacing w:val="-2"/>
        </w:rPr>
        <w:t> </w:t>
      </w:r>
      <w:r>
        <w:rPr>
          <w:rFonts w:ascii="Times New Roman"/>
        </w:rPr>
        <w:t>Keeley</w:t>
      </w:r>
      <w:r>
        <w:rPr>
          <w:rFonts w:ascii="Times New Roman"/>
          <w:spacing w:val="-2"/>
        </w:rPr>
        <w:t> </w:t>
      </w:r>
      <w:r>
        <w:rPr>
          <w:rFonts w:ascii="Times New Roman"/>
        </w:rPr>
        <w:t>T,</w:t>
      </w:r>
      <w:r>
        <w:rPr>
          <w:rFonts w:ascii="Times New Roman"/>
          <w:spacing w:val="-2"/>
        </w:rPr>
        <w:t> </w:t>
      </w:r>
      <w:r>
        <w:rPr>
          <w:rFonts w:ascii="Times New Roman"/>
        </w:rPr>
        <w:t>et</w:t>
      </w:r>
      <w:r>
        <w:rPr>
          <w:rFonts w:ascii="Times New Roman"/>
          <w:spacing w:val="-2"/>
        </w:rPr>
        <w:t> </w:t>
      </w:r>
      <w:r>
        <w:rPr>
          <w:rFonts w:ascii="Times New Roman"/>
        </w:rPr>
        <w:t>al.</w:t>
      </w:r>
      <w:r>
        <w:rPr>
          <w:rFonts w:ascii="Times New Roman"/>
          <w:spacing w:val="-2"/>
        </w:rPr>
        <w:t> </w:t>
      </w:r>
      <w:r>
        <w:rPr>
          <w:rFonts w:ascii="Times New Roman"/>
        </w:rPr>
        <w:t>Defining chronic mucus hypersecretion using the CAT in the SPIROMICS cohort. Int J Chron Obstruct Pulmon Dis. 2020;15:2467-76.</w:t>
      </w:r>
    </w:p>
    <w:p>
      <w:pPr>
        <w:pStyle w:val="BodyText"/>
        <w:spacing w:line="276" w:lineRule="auto" w:before="239"/>
        <w:ind w:right="498"/>
        <w:rPr>
          <w:rFonts w:ascii="Times New Roman"/>
        </w:rPr>
      </w:pPr>
      <w:bookmarkStart w:name="_bookmark210" w:id="399"/>
      <w:bookmarkEnd w:id="399"/>
      <w:r>
        <w:rPr/>
      </w:r>
      <w:r>
        <w:rPr>
          <w:rFonts w:ascii="Times New Roman"/>
        </w:rPr>
        <w:t>Strickson S, Houslay K, Negri V, Ohne Y, Ottosson T, Dodd R, et al. Oxidised IL-33 signals via RAGE/EGFR to drive a COPD-associated phenotype. European Respiratory Society.</w:t>
      </w:r>
      <w:r>
        <w:rPr>
          <w:rFonts w:ascii="Times New Roman"/>
          <w:spacing w:val="-4"/>
        </w:rPr>
        <w:t> </w:t>
      </w:r>
      <w:r>
        <w:rPr>
          <w:rFonts w:ascii="Times New Roman"/>
        </w:rPr>
        <w:t>Oral</w:t>
      </w:r>
      <w:r>
        <w:rPr>
          <w:rFonts w:ascii="Times New Roman"/>
          <w:spacing w:val="-4"/>
        </w:rPr>
        <w:t> </w:t>
      </w:r>
      <w:r>
        <w:rPr>
          <w:rFonts w:ascii="Times New Roman"/>
        </w:rPr>
        <w:t>presentation.</w:t>
      </w:r>
      <w:r>
        <w:rPr>
          <w:rFonts w:ascii="Times New Roman"/>
          <w:spacing w:val="-4"/>
        </w:rPr>
        <w:t> </w:t>
      </w:r>
      <w:r>
        <w:rPr>
          <w:rFonts w:ascii="Times New Roman"/>
        </w:rPr>
        <w:t>c2022</w:t>
      </w:r>
      <w:r>
        <w:rPr>
          <w:rFonts w:ascii="Times New Roman"/>
          <w:spacing w:val="-4"/>
        </w:rPr>
        <w:t> </w:t>
      </w:r>
      <w:r>
        <w:rPr>
          <w:rFonts w:ascii="Times New Roman"/>
        </w:rPr>
        <w:t>[cited</w:t>
      </w:r>
      <w:r>
        <w:rPr>
          <w:rFonts w:ascii="Times New Roman"/>
          <w:spacing w:val="-4"/>
        </w:rPr>
        <w:t> </w:t>
      </w:r>
      <w:r>
        <w:rPr>
          <w:rFonts w:ascii="Times New Roman"/>
        </w:rPr>
        <w:t>2023,</w:t>
      </w:r>
      <w:r>
        <w:rPr>
          <w:rFonts w:ascii="Times New Roman"/>
          <w:spacing w:val="-4"/>
        </w:rPr>
        <w:t> </w:t>
      </w:r>
      <w:r>
        <w:rPr>
          <w:rFonts w:ascii="Times New Roman"/>
        </w:rPr>
        <w:t>July,</w:t>
      </w:r>
      <w:r>
        <w:rPr>
          <w:rFonts w:ascii="Times New Roman"/>
          <w:spacing w:val="-4"/>
        </w:rPr>
        <w:t> </w:t>
      </w:r>
      <w:r>
        <w:rPr>
          <w:rFonts w:ascii="Times New Roman"/>
        </w:rPr>
        <w:t>27].</w:t>
      </w:r>
      <w:r>
        <w:rPr>
          <w:rFonts w:ascii="Times New Roman"/>
          <w:spacing w:val="-4"/>
        </w:rPr>
        <w:t> </w:t>
      </w:r>
      <w:r>
        <w:rPr>
          <w:rFonts w:ascii="Times New Roman"/>
        </w:rPr>
        <w:t>Available</w:t>
      </w:r>
      <w:r>
        <w:rPr>
          <w:rFonts w:ascii="Times New Roman"/>
          <w:spacing w:val="-4"/>
        </w:rPr>
        <w:t> </w:t>
      </w:r>
      <w:r>
        <w:rPr>
          <w:rFonts w:ascii="Times New Roman"/>
        </w:rPr>
        <w:t>from:</w:t>
      </w:r>
      <w:r>
        <w:rPr>
          <w:rFonts w:ascii="Times New Roman"/>
          <w:spacing w:val="-4"/>
        </w:rPr>
        <w:t> </w:t>
      </w:r>
      <w:r>
        <w:rPr>
          <w:rFonts w:ascii="Times New Roman"/>
        </w:rPr>
        <w:t>https://www.ers- </w:t>
      </w:r>
      <w:r>
        <w:rPr>
          <w:rFonts w:ascii="Times New Roman"/>
          <w:spacing w:val="-2"/>
        </w:rPr>
        <w:t>education.org/lr/show-details/?idP=269789</w:t>
      </w:r>
    </w:p>
    <w:p>
      <w:pPr>
        <w:pStyle w:val="BodyText"/>
        <w:spacing w:line="276" w:lineRule="auto" w:before="240"/>
        <w:ind w:right="357"/>
        <w:rPr>
          <w:rFonts w:ascii="Times New Roman"/>
        </w:rPr>
      </w:pPr>
      <w:bookmarkStart w:name="_bookmark211" w:id="400"/>
      <w:bookmarkEnd w:id="400"/>
      <w:r>
        <w:rPr/>
      </w:r>
      <w:r>
        <w:rPr>
          <w:rFonts w:ascii="Times New Roman"/>
        </w:rPr>
        <w:t>Suissa S, Dell'Aniello S, Ernst P. Long-term natural history of chronic obstructive pulmonary</w:t>
      </w:r>
      <w:r>
        <w:rPr>
          <w:rFonts w:ascii="Times New Roman"/>
          <w:spacing w:val="-5"/>
        </w:rPr>
        <w:t> </w:t>
      </w:r>
      <w:r>
        <w:rPr>
          <w:rFonts w:ascii="Times New Roman"/>
        </w:rPr>
        <w:t>disease:</w:t>
      </w:r>
      <w:r>
        <w:rPr>
          <w:rFonts w:ascii="Times New Roman"/>
          <w:spacing w:val="-5"/>
        </w:rPr>
        <w:t> </w:t>
      </w:r>
      <w:r>
        <w:rPr>
          <w:rFonts w:ascii="Times New Roman"/>
        </w:rPr>
        <w:t>severe</w:t>
      </w:r>
      <w:r>
        <w:rPr>
          <w:rFonts w:ascii="Times New Roman"/>
          <w:spacing w:val="-6"/>
        </w:rPr>
        <w:t> </w:t>
      </w:r>
      <w:r>
        <w:rPr>
          <w:rFonts w:ascii="Times New Roman"/>
        </w:rPr>
        <w:t>exacerbations</w:t>
      </w:r>
      <w:r>
        <w:rPr>
          <w:rFonts w:ascii="Times New Roman"/>
          <w:spacing w:val="-5"/>
        </w:rPr>
        <w:t> </w:t>
      </w:r>
      <w:r>
        <w:rPr>
          <w:rFonts w:ascii="Times New Roman"/>
        </w:rPr>
        <w:t>and</w:t>
      </w:r>
      <w:r>
        <w:rPr>
          <w:rFonts w:ascii="Times New Roman"/>
          <w:spacing w:val="-5"/>
        </w:rPr>
        <w:t> </w:t>
      </w:r>
      <w:r>
        <w:rPr>
          <w:rFonts w:ascii="Times New Roman"/>
        </w:rPr>
        <w:t>mortality.</w:t>
      </w:r>
      <w:r>
        <w:rPr>
          <w:rFonts w:ascii="Times New Roman"/>
          <w:spacing w:val="-5"/>
        </w:rPr>
        <w:t> </w:t>
      </w:r>
      <w:r>
        <w:rPr>
          <w:rFonts w:ascii="Times New Roman"/>
        </w:rPr>
        <w:t>Thorax.</w:t>
      </w:r>
      <w:r>
        <w:rPr>
          <w:rFonts w:ascii="Times New Roman"/>
          <w:spacing w:val="-5"/>
        </w:rPr>
        <w:t> </w:t>
      </w:r>
      <w:r>
        <w:rPr>
          <w:rFonts w:ascii="Times New Roman"/>
        </w:rPr>
        <w:t>2012;67(11):957-63.</w:t>
      </w:r>
    </w:p>
    <w:p>
      <w:pPr>
        <w:pStyle w:val="BodyText"/>
        <w:spacing w:line="276" w:lineRule="auto" w:before="241"/>
        <w:ind w:right="357"/>
        <w:rPr>
          <w:rFonts w:ascii="Times New Roman"/>
        </w:rPr>
      </w:pPr>
      <w:bookmarkStart w:name="_bookmark212" w:id="401"/>
      <w:bookmarkEnd w:id="401"/>
      <w:r>
        <w:rPr/>
      </w:r>
      <w:r>
        <w:rPr>
          <w:rFonts w:ascii="Times New Roman"/>
        </w:rPr>
        <w:t>Toy EL, Gallagher KF, Stanley EL, Swensen AR, Duh MS. The economic impact of exacerbations</w:t>
      </w:r>
      <w:r>
        <w:rPr>
          <w:rFonts w:ascii="Times New Roman"/>
          <w:spacing w:val="-4"/>
        </w:rPr>
        <w:t> </w:t>
      </w:r>
      <w:r>
        <w:rPr>
          <w:rFonts w:ascii="Times New Roman"/>
        </w:rPr>
        <w:t>of</w:t>
      </w:r>
      <w:r>
        <w:rPr>
          <w:rFonts w:ascii="Times New Roman"/>
          <w:spacing w:val="-4"/>
        </w:rPr>
        <w:t> </w:t>
      </w:r>
      <w:r>
        <w:rPr>
          <w:rFonts w:ascii="Times New Roman"/>
        </w:rPr>
        <w:t>chronic</w:t>
      </w:r>
      <w:r>
        <w:rPr>
          <w:rFonts w:ascii="Times New Roman"/>
          <w:spacing w:val="-5"/>
        </w:rPr>
        <w:t> </w:t>
      </w:r>
      <w:r>
        <w:rPr>
          <w:rFonts w:ascii="Times New Roman"/>
        </w:rPr>
        <w:t>obstructive</w:t>
      </w:r>
      <w:r>
        <w:rPr>
          <w:rFonts w:ascii="Times New Roman"/>
          <w:spacing w:val="-5"/>
        </w:rPr>
        <w:t> </w:t>
      </w:r>
      <w:r>
        <w:rPr>
          <w:rFonts w:ascii="Times New Roman"/>
        </w:rPr>
        <w:t>pulmonary</w:t>
      </w:r>
      <w:r>
        <w:rPr>
          <w:rFonts w:ascii="Times New Roman"/>
          <w:spacing w:val="-4"/>
        </w:rPr>
        <w:t> </w:t>
      </w:r>
      <w:r>
        <w:rPr>
          <w:rFonts w:ascii="Times New Roman"/>
        </w:rPr>
        <w:t>disease</w:t>
      </w:r>
      <w:r>
        <w:rPr>
          <w:rFonts w:ascii="Times New Roman"/>
          <w:spacing w:val="-5"/>
        </w:rPr>
        <w:t> </w:t>
      </w:r>
      <w:r>
        <w:rPr>
          <w:rFonts w:ascii="Times New Roman"/>
        </w:rPr>
        <w:t>and</w:t>
      </w:r>
      <w:r>
        <w:rPr>
          <w:rFonts w:ascii="Times New Roman"/>
          <w:spacing w:val="-4"/>
        </w:rPr>
        <w:t> </w:t>
      </w:r>
      <w:r>
        <w:rPr>
          <w:rFonts w:ascii="Times New Roman"/>
        </w:rPr>
        <w:t>exacerbation</w:t>
      </w:r>
      <w:r>
        <w:rPr>
          <w:rFonts w:ascii="Times New Roman"/>
          <w:spacing w:val="-5"/>
        </w:rPr>
        <w:t> </w:t>
      </w:r>
      <w:r>
        <w:rPr>
          <w:rFonts w:ascii="Times New Roman"/>
        </w:rPr>
        <w:t>definition:</w:t>
      </w:r>
      <w:r>
        <w:rPr>
          <w:rFonts w:ascii="Times New Roman"/>
          <w:spacing w:val="-3"/>
        </w:rPr>
        <w:t> </w:t>
      </w:r>
      <w:r>
        <w:rPr>
          <w:rFonts w:ascii="Times New Roman"/>
        </w:rPr>
        <w:t>a review. COPD. 2010;7(3):214-28.</w:t>
      </w:r>
    </w:p>
    <w:p>
      <w:pPr>
        <w:pStyle w:val="BodyText"/>
        <w:spacing w:line="276" w:lineRule="auto" w:before="240"/>
        <w:ind w:right="359"/>
        <w:rPr>
          <w:rFonts w:ascii="Times New Roman"/>
        </w:rPr>
      </w:pPr>
      <w:bookmarkStart w:name="_bookmark213" w:id="402"/>
      <w:bookmarkEnd w:id="402"/>
      <w:r>
        <w:rPr/>
      </w:r>
      <w:r>
        <w:rPr>
          <w:rFonts w:ascii="Times New Roman"/>
        </w:rPr>
        <w:t>van</w:t>
      </w:r>
      <w:r>
        <w:rPr>
          <w:rFonts w:ascii="Times New Roman"/>
          <w:spacing w:val="-2"/>
        </w:rPr>
        <w:t> </w:t>
      </w:r>
      <w:r>
        <w:rPr>
          <w:rFonts w:ascii="Times New Roman"/>
        </w:rPr>
        <w:t>Manen</w:t>
      </w:r>
      <w:r>
        <w:rPr>
          <w:rFonts w:ascii="Times New Roman"/>
          <w:spacing w:val="-2"/>
        </w:rPr>
        <w:t> </w:t>
      </w:r>
      <w:r>
        <w:rPr>
          <w:rFonts w:ascii="Times New Roman"/>
        </w:rPr>
        <w:t>JG,</w:t>
      </w:r>
      <w:r>
        <w:rPr>
          <w:rFonts w:ascii="Times New Roman"/>
          <w:spacing w:val="-3"/>
        </w:rPr>
        <w:t> </w:t>
      </w:r>
      <w:r>
        <w:rPr>
          <w:rFonts w:ascii="Times New Roman"/>
        </w:rPr>
        <w:t>Bindels</w:t>
      </w:r>
      <w:r>
        <w:rPr>
          <w:rFonts w:ascii="Times New Roman"/>
          <w:spacing w:val="-2"/>
        </w:rPr>
        <w:t> </w:t>
      </w:r>
      <w:r>
        <w:rPr>
          <w:rFonts w:ascii="Times New Roman"/>
        </w:rPr>
        <w:t>PJ,</w:t>
      </w:r>
      <w:r>
        <w:rPr>
          <w:rFonts w:ascii="Times New Roman"/>
          <w:spacing w:val="-3"/>
        </w:rPr>
        <w:t> </w:t>
      </w:r>
      <w:r>
        <w:rPr>
          <w:rFonts w:ascii="Times New Roman"/>
        </w:rPr>
        <w:t>Dekker</w:t>
      </w:r>
      <w:r>
        <w:rPr>
          <w:rFonts w:ascii="Times New Roman"/>
          <w:spacing w:val="-2"/>
        </w:rPr>
        <w:t> </w:t>
      </w:r>
      <w:r>
        <w:rPr>
          <w:rFonts w:ascii="Times New Roman"/>
        </w:rPr>
        <w:t>FW,</w:t>
      </w:r>
      <w:r>
        <w:rPr>
          <w:rFonts w:ascii="Times New Roman"/>
          <w:spacing w:val="-2"/>
        </w:rPr>
        <w:t> </w:t>
      </w:r>
      <w:r>
        <w:rPr>
          <w:rFonts w:ascii="Times New Roman"/>
        </w:rPr>
        <w:t>Bottema</w:t>
      </w:r>
      <w:r>
        <w:rPr>
          <w:rFonts w:ascii="Times New Roman"/>
          <w:spacing w:val="-3"/>
        </w:rPr>
        <w:t> </w:t>
      </w:r>
      <w:r>
        <w:rPr>
          <w:rFonts w:ascii="Times New Roman"/>
        </w:rPr>
        <w:t>BJ,</w:t>
      </w:r>
      <w:r>
        <w:rPr>
          <w:rFonts w:ascii="Times New Roman"/>
          <w:spacing w:val="-3"/>
        </w:rPr>
        <w:t> </w:t>
      </w:r>
      <w:r>
        <w:rPr>
          <w:rFonts w:ascii="Times New Roman"/>
        </w:rPr>
        <w:t>van</w:t>
      </w:r>
      <w:r>
        <w:rPr>
          <w:rFonts w:ascii="Times New Roman"/>
          <w:spacing w:val="-2"/>
        </w:rPr>
        <w:t> </w:t>
      </w:r>
      <w:r>
        <w:rPr>
          <w:rFonts w:ascii="Times New Roman"/>
        </w:rPr>
        <w:t>der</w:t>
      </w:r>
      <w:r>
        <w:rPr>
          <w:rFonts w:ascii="Times New Roman"/>
          <w:spacing w:val="-3"/>
        </w:rPr>
        <w:t> </w:t>
      </w:r>
      <w:r>
        <w:rPr>
          <w:rFonts w:ascii="Times New Roman"/>
        </w:rPr>
        <w:t>Zee</w:t>
      </w:r>
      <w:r>
        <w:rPr>
          <w:rFonts w:ascii="Times New Roman"/>
          <w:spacing w:val="-2"/>
        </w:rPr>
        <w:t> </w:t>
      </w:r>
      <w:r>
        <w:rPr>
          <w:rFonts w:ascii="Times New Roman"/>
        </w:rPr>
        <w:t>JS,</w:t>
      </w:r>
      <w:r>
        <w:rPr>
          <w:rFonts w:ascii="Times New Roman"/>
          <w:spacing w:val="-3"/>
        </w:rPr>
        <w:t> </w:t>
      </w:r>
      <w:r>
        <w:rPr>
          <w:rFonts w:ascii="Times New Roman"/>
        </w:rPr>
        <w:t>Ijzermans</w:t>
      </w:r>
      <w:r>
        <w:rPr>
          <w:rFonts w:ascii="Times New Roman"/>
          <w:spacing w:val="-2"/>
        </w:rPr>
        <w:t> </w:t>
      </w:r>
      <w:r>
        <w:rPr>
          <w:rFonts w:ascii="Times New Roman"/>
        </w:rPr>
        <w:t>CJ,</w:t>
      </w:r>
      <w:r>
        <w:rPr>
          <w:rFonts w:ascii="Times New Roman"/>
          <w:spacing w:val="-3"/>
        </w:rPr>
        <w:t> </w:t>
      </w:r>
      <w:r>
        <w:rPr>
          <w:rFonts w:ascii="Times New Roman"/>
        </w:rPr>
        <w:t>et</w:t>
      </w:r>
      <w:r>
        <w:rPr>
          <w:rFonts w:ascii="Times New Roman"/>
          <w:spacing w:val="-3"/>
        </w:rPr>
        <w:t> </w:t>
      </w:r>
      <w:r>
        <w:rPr>
          <w:rFonts w:ascii="Times New Roman"/>
        </w:rPr>
        <w:t>al. The influence of COPD on health-related quality of life independent of the influence of comorbidity. J Clin Epidemiol. 2003;56(12):1177-84.</w:t>
      </w:r>
    </w:p>
    <w:p>
      <w:pPr>
        <w:pStyle w:val="BodyText"/>
        <w:spacing w:line="276" w:lineRule="auto" w:before="240"/>
        <w:rPr>
          <w:rFonts w:ascii="Times New Roman"/>
        </w:rPr>
      </w:pPr>
      <w:bookmarkStart w:name="_bookmark214" w:id="403"/>
      <w:bookmarkEnd w:id="403"/>
      <w:r>
        <w:rPr/>
      </w:r>
      <w:r>
        <w:rPr>
          <w:rFonts w:ascii="Times New Roman"/>
        </w:rPr>
        <w:t>Vestbo</w:t>
      </w:r>
      <w:r>
        <w:rPr>
          <w:rFonts w:ascii="Times New Roman"/>
          <w:spacing w:val="-2"/>
        </w:rPr>
        <w:t> </w:t>
      </w:r>
      <w:r>
        <w:rPr>
          <w:rFonts w:ascii="Times New Roman"/>
        </w:rPr>
        <w:t>J,</w:t>
      </w:r>
      <w:r>
        <w:rPr>
          <w:rFonts w:ascii="Times New Roman"/>
          <w:spacing w:val="-3"/>
        </w:rPr>
        <w:t> </w:t>
      </w:r>
      <w:r>
        <w:rPr>
          <w:rFonts w:ascii="Times New Roman"/>
        </w:rPr>
        <w:t>Papi</w:t>
      </w:r>
      <w:r>
        <w:rPr>
          <w:rFonts w:ascii="Times New Roman"/>
          <w:spacing w:val="-2"/>
        </w:rPr>
        <w:t> </w:t>
      </w:r>
      <w:r>
        <w:rPr>
          <w:rFonts w:ascii="Times New Roman"/>
        </w:rPr>
        <w:t>A,</w:t>
      </w:r>
      <w:r>
        <w:rPr>
          <w:rFonts w:ascii="Times New Roman"/>
          <w:spacing w:val="-3"/>
        </w:rPr>
        <w:t> </w:t>
      </w:r>
      <w:r>
        <w:rPr>
          <w:rFonts w:ascii="Times New Roman"/>
        </w:rPr>
        <w:t>Corradi</w:t>
      </w:r>
      <w:r>
        <w:rPr>
          <w:rFonts w:ascii="Times New Roman"/>
          <w:spacing w:val="-2"/>
        </w:rPr>
        <w:t> </w:t>
      </w:r>
      <w:r>
        <w:rPr>
          <w:rFonts w:ascii="Times New Roman"/>
        </w:rPr>
        <w:t>M,</w:t>
      </w:r>
      <w:r>
        <w:rPr>
          <w:rFonts w:ascii="Times New Roman"/>
          <w:spacing w:val="-3"/>
        </w:rPr>
        <w:t> </w:t>
      </w:r>
      <w:r>
        <w:rPr>
          <w:rFonts w:ascii="Times New Roman"/>
        </w:rPr>
        <w:t>Blazhko</w:t>
      </w:r>
      <w:r>
        <w:rPr>
          <w:rFonts w:ascii="Times New Roman"/>
          <w:spacing w:val="-2"/>
        </w:rPr>
        <w:t> </w:t>
      </w:r>
      <w:r>
        <w:rPr>
          <w:rFonts w:ascii="Times New Roman"/>
        </w:rPr>
        <w:t>V,</w:t>
      </w:r>
      <w:r>
        <w:rPr>
          <w:rFonts w:ascii="Times New Roman"/>
          <w:spacing w:val="-3"/>
        </w:rPr>
        <w:t> </w:t>
      </w:r>
      <w:r>
        <w:rPr>
          <w:rFonts w:ascii="Times New Roman"/>
        </w:rPr>
        <w:t>Montagna</w:t>
      </w:r>
      <w:r>
        <w:rPr>
          <w:rFonts w:ascii="Times New Roman"/>
          <w:spacing w:val="-2"/>
        </w:rPr>
        <w:t> </w:t>
      </w:r>
      <w:r>
        <w:rPr>
          <w:rFonts w:ascii="Times New Roman"/>
        </w:rPr>
        <w:t>I,</w:t>
      </w:r>
      <w:r>
        <w:rPr>
          <w:rFonts w:ascii="Times New Roman"/>
          <w:spacing w:val="-2"/>
        </w:rPr>
        <w:t> </w:t>
      </w:r>
      <w:r>
        <w:rPr>
          <w:rFonts w:ascii="Times New Roman"/>
        </w:rPr>
        <w:t>Francisco</w:t>
      </w:r>
      <w:r>
        <w:rPr>
          <w:rFonts w:ascii="Times New Roman"/>
          <w:spacing w:val="-2"/>
        </w:rPr>
        <w:t> </w:t>
      </w:r>
      <w:r>
        <w:rPr>
          <w:rFonts w:ascii="Times New Roman"/>
        </w:rPr>
        <w:t>C,</w:t>
      </w:r>
      <w:r>
        <w:rPr>
          <w:rFonts w:ascii="Times New Roman"/>
          <w:spacing w:val="-2"/>
        </w:rPr>
        <w:t> </w:t>
      </w:r>
      <w:r>
        <w:rPr>
          <w:rFonts w:ascii="Times New Roman"/>
        </w:rPr>
        <w:t>et</w:t>
      </w:r>
      <w:r>
        <w:rPr>
          <w:rFonts w:ascii="Times New Roman"/>
          <w:spacing w:val="-2"/>
        </w:rPr>
        <w:t> </w:t>
      </w:r>
      <w:r>
        <w:rPr>
          <w:rFonts w:ascii="Times New Roman"/>
        </w:rPr>
        <w:t>al.</w:t>
      </w:r>
      <w:r>
        <w:rPr>
          <w:rFonts w:ascii="Times New Roman"/>
          <w:spacing w:val="-2"/>
        </w:rPr>
        <w:t> </w:t>
      </w:r>
      <w:r>
        <w:rPr>
          <w:rFonts w:ascii="Times New Roman"/>
        </w:rPr>
        <w:t>Single</w:t>
      </w:r>
      <w:r>
        <w:rPr>
          <w:rFonts w:ascii="Times New Roman"/>
          <w:spacing w:val="-3"/>
        </w:rPr>
        <w:t> </w:t>
      </w:r>
      <w:r>
        <w:rPr>
          <w:rFonts w:ascii="Times New Roman"/>
        </w:rPr>
        <w:t>inhaler extrafine triple therapy versus long-acting muscarinic antagonist therapy for chronic obstructive pulmonary disease (TRINITY): a double-blind, parallel group, randomised controlled trial. Lancet. 2017;389(10082):1919-29.</w:t>
      </w:r>
    </w:p>
    <w:p>
      <w:pPr>
        <w:pStyle w:val="BodyText"/>
        <w:spacing w:line="276" w:lineRule="auto" w:before="240"/>
        <w:ind w:right="714"/>
        <w:rPr>
          <w:rFonts w:ascii="Times New Roman"/>
        </w:rPr>
      </w:pPr>
      <w:bookmarkStart w:name="_bookmark215" w:id="404"/>
      <w:bookmarkEnd w:id="404"/>
      <w:r>
        <w:rPr/>
      </w:r>
      <w:r>
        <w:rPr>
          <w:rFonts w:ascii="Times New Roman"/>
        </w:rPr>
        <w:t>Wan</w:t>
      </w:r>
      <w:r>
        <w:rPr>
          <w:rFonts w:ascii="Times New Roman"/>
          <w:spacing w:val="-3"/>
        </w:rPr>
        <w:t> </w:t>
      </w:r>
      <w:r>
        <w:rPr>
          <w:rFonts w:ascii="Times New Roman"/>
        </w:rPr>
        <w:t>R,</w:t>
      </w:r>
      <w:r>
        <w:rPr>
          <w:rFonts w:ascii="Times New Roman"/>
          <w:spacing w:val="-3"/>
        </w:rPr>
        <w:t> </w:t>
      </w:r>
      <w:r>
        <w:rPr>
          <w:rFonts w:ascii="Times New Roman"/>
        </w:rPr>
        <w:t>Hirsch</w:t>
      </w:r>
      <w:r>
        <w:rPr>
          <w:rFonts w:ascii="Times New Roman"/>
          <w:spacing w:val="-3"/>
        </w:rPr>
        <w:t> </w:t>
      </w:r>
      <w:r>
        <w:rPr>
          <w:rFonts w:ascii="Times New Roman"/>
        </w:rPr>
        <w:t>I,</w:t>
      </w:r>
      <w:r>
        <w:rPr>
          <w:rFonts w:ascii="Times New Roman"/>
          <w:spacing w:val="-3"/>
        </w:rPr>
        <w:t> </w:t>
      </w:r>
      <w:r>
        <w:rPr>
          <w:rFonts w:ascii="Times New Roman"/>
        </w:rPr>
        <w:t>Gottlow</w:t>
      </w:r>
      <w:r>
        <w:rPr>
          <w:rFonts w:ascii="Times New Roman"/>
          <w:spacing w:val="-4"/>
        </w:rPr>
        <w:t> </w:t>
      </w:r>
      <w:r>
        <w:rPr>
          <w:rFonts w:ascii="Times New Roman"/>
        </w:rPr>
        <w:t>M,</w:t>
      </w:r>
      <w:r>
        <w:rPr>
          <w:rFonts w:ascii="Times New Roman"/>
          <w:spacing w:val="-3"/>
        </w:rPr>
        <w:t> </w:t>
      </w:r>
      <w:r>
        <w:rPr>
          <w:rFonts w:ascii="Times New Roman"/>
        </w:rPr>
        <w:t>Hollis</w:t>
      </w:r>
      <w:r>
        <w:rPr>
          <w:rFonts w:ascii="Times New Roman"/>
          <w:spacing w:val="-4"/>
        </w:rPr>
        <w:t> </w:t>
      </w:r>
      <w:r>
        <w:rPr>
          <w:rFonts w:ascii="Times New Roman"/>
        </w:rPr>
        <w:t>S,</w:t>
      </w:r>
      <w:r>
        <w:rPr>
          <w:rFonts w:ascii="Times New Roman"/>
          <w:spacing w:val="-3"/>
        </w:rPr>
        <w:t> </w:t>
      </w:r>
      <w:r>
        <w:rPr>
          <w:rFonts w:ascii="Times New Roman"/>
        </w:rPr>
        <w:t>Darilay</w:t>
      </w:r>
      <w:r>
        <w:rPr>
          <w:rFonts w:ascii="Times New Roman"/>
          <w:spacing w:val="-3"/>
        </w:rPr>
        <w:t> </w:t>
      </w:r>
      <w:r>
        <w:rPr>
          <w:rFonts w:ascii="Times New Roman"/>
        </w:rPr>
        <w:t>A,</w:t>
      </w:r>
      <w:r>
        <w:rPr>
          <w:rFonts w:ascii="Times New Roman"/>
          <w:spacing w:val="-3"/>
        </w:rPr>
        <w:t> </w:t>
      </w:r>
      <w:r>
        <w:rPr>
          <w:rFonts w:ascii="Times New Roman"/>
        </w:rPr>
        <w:t>Weissfeld</w:t>
      </w:r>
      <w:r>
        <w:rPr>
          <w:rFonts w:ascii="Times New Roman"/>
          <w:spacing w:val="-5"/>
        </w:rPr>
        <w:t> </w:t>
      </w:r>
      <w:r>
        <w:rPr>
          <w:rFonts w:ascii="Times New Roman"/>
        </w:rPr>
        <w:t>L,</w:t>
      </w:r>
      <w:r>
        <w:rPr>
          <w:rFonts w:ascii="Times New Roman"/>
          <w:spacing w:val="-3"/>
        </w:rPr>
        <w:t> </w:t>
      </w:r>
      <w:r>
        <w:rPr>
          <w:rFonts w:ascii="Times New Roman"/>
        </w:rPr>
        <w:t>et</w:t>
      </w:r>
      <w:r>
        <w:rPr>
          <w:rFonts w:ascii="Times New Roman"/>
          <w:spacing w:val="-3"/>
        </w:rPr>
        <w:t> </w:t>
      </w:r>
      <w:r>
        <w:rPr>
          <w:rFonts w:ascii="Times New Roman"/>
        </w:rPr>
        <w:t>al.</w:t>
      </w:r>
      <w:r>
        <w:rPr>
          <w:rFonts w:ascii="Times New Roman"/>
          <w:spacing w:val="-3"/>
        </w:rPr>
        <w:t> </w:t>
      </w:r>
      <w:r>
        <w:rPr>
          <w:rFonts w:ascii="Times New Roman"/>
        </w:rPr>
        <w:t>Controlled imputation approach for analysing missing data in recurrent events due to early discontinuations. DIA/FDA Statistics Forum 2015.</w:t>
      </w:r>
    </w:p>
    <w:p>
      <w:pPr>
        <w:pStyle w:val="BodyText"/>
        <w:spacing w:line="276" w:lineRule="auto" w:before="240"/>
        <w:rPr>
          <w:rFonts w:ascii="Times New Roman"/>
        </w:rPr>
      </w:pPr>
      <w:bookmarkStart w:name="_bookmark216" w:id="405"/>
      <w:bookmarkEnd w:id="405"/>
      <w:r>
        <w:rPr/>
      </w:r>
      <w:r>
        <w:rPr>
          <w:rFonts w:ascii="Times New Roman"/>
        </w:rPr>
        <w:t>Wedzicha</w:t>
      </w:r>
      <w:r>
        <w:rPr>
          <w:rFonts w:ascii="Times New Roman"/>
          <w:spacing w:val="-3"/>
        </w:rPr>
        <w:t> </w:t>
      </w:r>
      <w:r>
        <w:rPr>
          <w:rFonts w:ascii="Times New Roman"/>
        </w:rPr>
        <w:t>JA,</w:t>
      </w:r>
      <w:r>
        <w:rPr>
          <w:rFonts w:ascii="Times New Roman"/>
          <w:spacing w:val="-4"/>
        </w:rPr>
        <w:t> </w:t>
      </w:r>
      <w:r>
        <w:rPr>
          <w:rFonts w:ascii="Times New Roman"/>
        </w:rPr>
        <w:t>Seemungal</w:t>
      </w:r>
      <w:r>
        <w:rPr>
          <w:rFonts w:ascii="Times New Roman"/>
          <w:spacing w:val="-3"/>
        </w:rPr>
        <w:t> </w:t>
      </w:r>
      <w:r>
        <w:rPr>
          <w:rFonts w:ascii="Times New Roman"/>
        </w:rPr>
        <w:t>TA.</w:t>
      </w:r>
      <w:r>
        <w:rPr>
          <w:rFonts w:ascii="Times New Roman"/>
          <w:spacing w:val="-3"/>
        </w:rPr>
        <w:t> </w:t>
      </w:r>
      <w:r>
        <w:rPr>
          <w:rFonts w:ascii="Times New Roman"/>
        </w:rPr>
        <w:t>COPD</w:t>
      </w:r>
      <w:r>
        <w:rPr>
          <w:rFonts w:ascii="Times New Roman"/>
          <w:spacing w:val="-4"/>
        </w:rPr>
        <w:t> </w:t>
      </w:r>
      <w:r>
        <w:rPr>
          <w:rFonts w:ascii="Times New Roman"/>
        </w:rPr>
        <w:t>exacerbations:</w:t>
      </w:r>
      <w:r>
        <w:rPr>
          <w:rFonts w:ascii="Times New Roman"/>
          <w:spacing w:val="-3"/>
        </w:rPr>
        <w:t> </w:t>
      </w:r>
      <w:r>
        <w:rPr>
          <w:rFonts w:ascii="Times New Roman"/>
        </w:rPr>
        <w:t>defining</w:t>
      </w:r>
      <w:r>
        <w:rPr>
          <w:rFonts w:ascii="Times New Roman"/>
          <w:spacing w:val="-4"/>
        </w:rPr>
        <w:t> </w:t>
      </w:r>
      <w:r>
        <w:rPr>
          <w:rFonts w:ascii="Times New Roman"/>
        </w:rPr>
        <w:t>their</w:t>
      </w:r>
      <w:r>
        <w:rPr>
          <w:rFonts w:ascii="Times New Roman"/>
          <w:spacing w:val="-3"/>
        </w:rPr>
        <w:t> </w:t>
      </w:r>
      <w:r>
        <w:rPr>
          <w:rFonts w:ascii="Times New Roman"/>
        </w:rPr>
        <w:t>cause</w:t>
      </w:r>
      <w:r>
        <w:rPr>
          <w:rFonts w:ascii="Times New Roman"/>
          <w:spacing w:val="-4"/>
        </w:rPr>
        <w:t> </w:t>
      </w:r>
      <w:r>
        <w:rPr>
          <w:rFonts w:ascii="Times New Roman"/>
        </w:rPr>
        <w:t>and</w:t>
      </w:r>
      <w:r>
        <w:rPr>
          <w:rFonts w:ascii="Times New Roman"/>
          <w:spacing w:val="-3"/>
        </w:rPr>
        <w:t> </w:t>
      </w:r>
      <w:r>
        <w:rPr>
          <w:rFonts w:ascii="Times New Roman"/>
        </w:rPr>
        <w:t>prevention. Lancet. 2007;370(9589):786-96.</w:t>
      </w:r>
    </w:p>
    <w:p>
      <w:pPr>
        <w:pStyle w:val="BodyText"/>
        <w:spacing w:line="276" w:lineRule="auto" w:before="240"/>
        <w:ind w:right="357"/>
        <w:rPr>
          <w:rFonts w:ascii="Times New Roman"/>
        </w:rPr>
      </w:pPr>
      <w:bookmarkStart w:name="_bookmark217" w:id="406"/>
      <w:bookmarkEnd w:id="406"/>
      <w:r>
        <w:rPr/>
      </w:r>
      <w:r>
        <w:rPr>
          <w:rFonts w:ascii="Times New Roman"/>
        </w:rPr>
        <w:t>Wedzicha JA, Brill SE, Allinson JP, Donaldson GC. Mechanisms and impact of the frequent</w:t>
      </w:r>
      <w:r>
        <w:rPr>
          <w:rFonts w:ascii="Times New Roman"/>
          <w:spacing w:val="-3"/>
        </w:rPr>
        <w:t> </w:t>
      </w:r>
      <w:r>
        <w:rPr>
          <w:rFonts w:ascii="Times New Roman"/>
        </w:rPr>
        <w:t>exacerbator</w:t>
      </w:r>
      <w:r>
        <w:rPr>
          <w:rFonts w:ascii="Times New Roman"/>
          <w:spacing w:val="-3"/>
        </w:rPr>
        <w:t> </w:t>
      </w:r>
      <w:r>
        <w:rPr>
          <w:rFonts w:ascii="Times New Roman"/>
        </w:rPr>
        <w:t>phenotype</w:t>
      </w:r>
      <w:r>
        <w:rPr>
          <w:rFonts w:ascii="Times New Roman"/>
          <w:spacing w:val="-4"/>
        </w:rPr>
        <w:t> </w:t>
      </w:r>
      <w:r>
        <w:rPr>
          <w:rFonts w:ascii="Times New Roman"/>
        </w:rPr>
        <w:t>in</w:t>
      </w:r>
      <w:r>
        <w:rPr>
          <w:rFonts w:ascii="Times New Roman"/>
          <w:spacing w:val="-4"/>
        </w:rPr>
        <w:t> </w:t>
      </w:r>
      <w:r>
        <w:rPr>
          <w:rFonts w:ascii="Times New Roman"/>
        </w:rPr>
        <w:t>chronic</w:t>
      </w:r>
      <w:r>
        <w:rPr>
          <w:rFonts w:ascii="Times New Roman"/>
          <w:spacing w:val="-4"/>
        </w:rPr>
        <w:t> </w:t>
      </w:r>
      <w:r>
        <w:rPr>
          <w:rFonts w:ascii="Times New Roman"/>
        </w:rPr>
        <w:t>obstructive</w:t>
      </w:r>
      <w:r>
        <w:rPr>
          <w:rFonts w:ascii="Times New Roman"/>
          <w:spacing w:val="-4"/>
        </w:rPr>
        <w:t> </w:t>
      </w:r>
      <w:r>
        <w:rPr>
          <w:rFonts w:ascii="Times New Roman"/>
        </w:rPr>
        <w:t>pulmonary</w:t>
      </w:r>
      <w:r>
        <w:rPr>
          <w:rFonts w:ascii="Times New Roman"/>
          <w:spacing w:val="-4"/>
        </w:rPr>
        <w:t> </w:t>
      </w:r>
      <w:r>
        <w:rPr>
          <w:rFonts w:ascii="Times New Roman"/>
        </w:rPr>
        <w:t>disease.</w:t>
      </w:r>
      <w:r>
        <w:rPr>
          <w:rFonts w:ascii="Times New Roman"/>
          <w:spacing w:val="-5"/>
        </w:rPr>
        <w:t> </w:t>
      </w:r>
      <w:r>
        <w:rPr>
          <w:rFonts w:ascii="Times New Roman"/>
        </w:rPr>
        <w:t>BMC</w:t>
      </w:r>
      <w:r>
        <w:rPr>
          <w:rFonts w:ascii="Times New Roman"/>
          <w:spacing w:val="-5"/>
        </w:rPr>
        <w:t> </w:t>
      </w:r>
      <w:r>
        <w:rPr>
          <w:rFonts w:ascii="Times New Roman"/>
        </w:rPr>
        <w:t>Med. </w:t>
      </w:r>
      <w:r>
        <w:rPr>
          <w:rFonts w:ascii="Times New Roman"/>
          <w:spacing w:val="-2"/>
        </w:rPr>
        <w:t>2013;11:181.</w:t>
      </w:r>
    </w:p>
    <w:sectPr>
      <w:pgSz w:w="11910" w:h="16840"/>
      <w:pgMar w:header="590" w:footer="784" w:top="1340" w:bottom="980" w:left="14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SimSun">
    <w:altName w:val="SimSun"/>
    <w:charset w:val="0"/>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1120">
              <wp:simplePos x="0" y="0"/>
              <wp:positionH relativeFrom="page">
                <wp:posOffset>1067816</wp:posOffset>
              </wp:positionH>
              <wp:positionV relativeFrom="page">
                <wp:posOffset>10059117</wp:posOffset>
              </wp:positionV>
              <wp:extent cx="825500" cy="1587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84.080002pt;margin-top:792.056519pt;width:65pt;height:12.5pt;mso-position-horizontal-relative:page;mso-position-vertical-relative:page;z-index:-21135360" type="#_x0000_t202" id="docshape3"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1632">
              <wp:simplePos x="0" y="0"/>
              <wp:positionH relativeFrom="page">
                <wp:posOffset>3290823</wp:posOffset>
              </wp:positionH>
              <wp:positionV relativeFrom="page">
                <wp:posOffset>10054885</wp:posOffset>
              </wp:positionV>
              <wp:extent cx="1147445" cy="1733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47445"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10</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259.119995pt;margin-top:791.723267pt;width:90.35pt;height:13.65pt;mso-position-horizontal-relative:page;mso-position-vertical-relative:page;z-index:-21134848" type="#_x0000_t202" id="docshape4"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10</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3168">
              <wp:simplePos x="0" y="0"/>
              <wp:positionH relativeFrom="page">
                <wp:posOffset>901700</wp:posOffset>
              </wp:positionH>
              <wp:positionV relativeFrom="page">
                <wp:posOffset>6927044</wp:posOffset>
              </wp:positionV>
              <wp:extent cx="825500" cy="1587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71pt;margin-top:545.436584pt;width:65pt;height:12.5pt;mso-position-horizontal-relative:page;mso-position-vertical-relative:page;z-index:-21133312" type="#_x0000_t202" id="docshape37"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3680">
              <wp:simplePos x="0" y="0"/>
              <wp:positionH relativeFrom="page">
                <wp:posOffset>4773676</wp:posOffset>
              </wp:positionH>
              <wp:positionV relativeFrom="page">
                <wp:posOffset>6922812</wp:posOffset>
              </wp:positionV>
              <wp:extent cx="1147445" cy="17335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147445"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17</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375.880005pt;margin-top:545.103333pt;width:90.35pt;height:13.65pt;mso-position-horizontal-relative:page;mso-position-vertical-relative:page;z-index:-21132800" type="#_x0000_t202" id="docshape38"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17</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4192">
              <wp:simplePos x="0" y="0"/>
              <wp:positionH relativeFrom="page">
                <wp:posOffset>1067816</wp:posOffset>
              </wp:positionH>
              <wp:positionV relativeFrom="page">
                <wp:posOffset>10059117</wp:posOffset>
              </wp:positionV>
              <wp:extent cx="825500" cy="15875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84.080002pt;margin-top:792.056519pt;width:65pt;height:12.5pt;mso-position-horizontal-relative:page;mso-position-vertical-relative:page;z-index:-21132288" type="#_x0000_t202" id="docshape39"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4704">
              <wp:simplePos x="0" y="0"/>
              <wp:positionH relativeFrom="page">
                <wp:posOffset>3290823</wp:posOffset>
              </wp:positionH>
              <wp:positionV relativeFrom="page">
                <wp:posOffset>10054885</wp:posOffset>
              </wp:positionV>
              <wp:extent cx="1147445" cy="17335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147445"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t>23</w:t>
                          </w:r>
                          <w:r>
                            <w:rPr>
                              <w:rFonts w:ascii="Times New Roman" w:eastAsia="Times New Roman"/>
                              <w:spacing w:val="-10"/>
                              <w:sz w:val="21"/>
                            </w:rPr>
                            <w:t> </w:t>
                          </w:r>
                          <w:r>
                            <w:rPr>
                              <w:spacing w:val="-14"/>
                              <w:sz w:val="21"/>
                            </w:rPr>
                            <w:t>页，共 </w:t>
                          </w:r>
                          <w:r>
                            <w:rPr>
                              <w:rFonts w:ascii="Times New Roman" w:eastAsia="Times New Roman"/>
                              <w:sz w:val="21"/>
                            </w:rPr>
                            <w:t>138</w:t>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259.119995pt;margin-top:791.723267pt;width:90.35pt;height:13.65pt;mso-position-horizontal-relative:page;mso-position-vertical-relative:page;z-index:-21131776" type="#_x0000_t202" id="docshape40"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t>23</w:t>
                    </w:r>
                    <w:r>
                      <w:rPr>
                        <w:rFonts w:ascii="Times New Roman" w:eastAsia="Times New Roman"/>
                        <w:spacing w:val="-10"/>
                        <w:sz w:val="21"/>
                      </w:rPr>
                      <w:t> </w:t>
                    </w:r>
                    <w:r>
                      <w:rPr>
                        <w:spacing w:val="-14"/>
                        <w:sz w:val="21"/>
                      </w:rPr>
                      <w:t>页，共 </w:t>
                    </w:r>
                    <w:r>
                      <w:rPr>
                        <w:rFonts w:ascii="Times New Roman" w:eastAsia="Times New Roman"/>
                        <w:sz w:val="21"/>
                      </w:rPr>
                      <w:t>138</w:t>
                    </w:r>
                    <w:r>
                      <w:rPr>
                        <w:rFonts w:ascii="Times New Roman" w:eastAsia="Times New Roman"/>
                        <w:spacing w:val="-10"/>
                        <w:sz w:val="21"/>
                      </w:rPr>
                      <w:t> </w:t>
                    </w:r>
                    <w:r>
                      <w:rPr>
                        <w:spacing w:val="-10"/>
                        <w:sz w:val="21"/>
                      </w:rPr>
                      <w:t>页</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6240">
              <wp:simplePos x="0" y="0"/>
              <wp:positionH relativeFrom="page">
                <wp:posOffset>901700</wp:posOffset>
              </wp:positionH>
              <wp:positionV relativeFrom="page">
                <wp:posOffset>6927044</wp:posOffset>
              </wp:positionV>
              <wp:extent cx="825500" cy="15875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71pt;margin-top:545.436584pt;width:65pt;height:12.5pt;mso-position-horizontal-relative:page;mso-position-vertical-relative:page;z-index:-21130240" type="#_x0000_t202" id="docshape43"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6752">
              <wp:simplePos x="0" y="0"/>
              <wp:positionH relativeFrom="page">
                <wp:posOffset>4773676</wp:posOffset>
              </wp:positionH>
              <wp:positionV relativeFrom="page">
                <wp:posOffset>6922812</wp:posOffset>
              </wp:positionV>
              <wp:extent cx="1147445" cy="17335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147445"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24</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375.880005pt;margin-top:545.103333pt;width:90.35pt;height:13.65pt;mso-position-horizontal-relative:page;mso-position-vertical-relative:page;z-index:-21129728" type="#_x0000_t202" id="docshape44"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24</w:t>
                    </w:r>
                    <w:r>
                      <w:rPr>
                        <w:rFonts w:ascii="Times New Roman" w:eastAsia="Times New Roman"/>
                        <w:sz w:val="21"/>
                      </w:rPr>
                      <w:fldChar w:fldCharType="end"/>
                    </w:r>
                    <w:r>
                      <w:rPr>
                        <w:rFonts w:ascii="Times New Roman" w:eastAsia="Times New Roman"/>
                        <w:spacing w:val="-10"/>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8288">
              <wp:simplePos x="0" y="0"/>
              <wp:positionH relativeFrom="page">
                <wp:posOffset>1067816</wp:posOffset>
              </wp:positionH>
              <wp:positionV relativeFrom="page">
                <wp:posOffset>10059117</wp:posOffset>
              </wp:positionV>
              <wp:extent cx="825500" cy="1587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25500" cy="158750"/>
                      </a:xfrm>
                      <a:prstGeom prst="rect">
                        <a:avLst/>
                      </a:prstGeom>
                    </wps:spPr>
                    <wps:txbx>
                      <w:txbxContent>
                        <w:p>
                          <w:pPr>
                            <w:spacing w:line="250" w:lineRule="exact" w:before="0"/>
                            <w:ind w:left="20" w:right="0" w:firstLine="0"/>
                            <w:jc w:val="left"/>
                            <w:rPr>
                              <w:sz w:val="21"/>
                            </w:rPr>
                          </w:pPr>
                          <w:r>
                            <w:rPr>
                              <w:spacing w:val="-2"/>
                              <w:sz w:val="21"/>
                            </w:rPr>
                            <w:t>专有机密信息</w:t>
                          </w:r>
                        </w:p>
                      </w:txbxContent>
                    </wps:txbx>
                    <wps:bodyPr wrap="square" lIns="0" tIns="0" rIns="0" bIns="0" rtlCol="0">
                      <a:noAutofit/>
                    </wps:bodyPr>
                  </wps:wsp>
                </a:graphicData>
              </a:graphic>
            </wp:anchor>
          </w:drawing>
        </mc:Choice>
        <mc:Fallback>
          <w:pict>
            <v:shape style="position:absolute;margin-left:84.080002pt;margin-top:792.056519pt;width:65pt;height:12.5pt;mso-position-horizontal-relative:page;mso-position-vertical-relative:page;z-index:-21128192" type="#_x0000_t202" id="docshape48" filled="false" stroked="false">
              <v:textbox inset="0,0,0,0">
                <w:txbxContent>
                  <w:p>
                    <w:pPr>
                      <w:spacing w:line="250" w:lineRule="exact" w:before="0"/>
                      <w:ind w:left="20" w:right="0" w:firstLine="0"/>
                      <w:jc w:val="left"/>
                      <w:rPr>
                        <w:sz w:val="21"/>
                      </w:rPr>
                    </w:pPr>
                    <w:r>
                      <w:rPr>
                        <w:spacing w:val="-2"/>
                        <w:sz w:val="21"/>
                      </w:rPr>
                      <w:t>专有机密信息</w:t>
                    </w:r>
                  </w:p>
                </w:txbxContent>
              </v:textbox>
              <w10:wrap type="none"/>
            </v:shape>
          </w:pict>
        </mc:Fallback>
      </mc:AlternateContent>
    </w:r>
    <w:r>
      <w:rPr/>
      <mc:AlternateContent>
        <mc:Choice Requires="wps">
          <w:drawing>
            <wp:anchor distT="0" distB="0" distL="0" distR="0" allowOverlap="1" layoutInCell="1" locked="0" behindDoc="1" simplePos="0" relativeHeight="482188800">
              <wp:simplePos x="0" y="0"/>
              <wp:positionH relativeFrom="page">
                <wp:posOffset>3258058</wp:posOffset>
              </wp:positionH>
              <wp:positionV relativeFrom="page">
                <wp:posOffset>10054885</wp:posOffset>
              </wp:positionV>
              <wp:extent cx="1212850" cy="17335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212850" cy="173355"/>
                      </a:xfrm>
                      <a:prstGeom prst="rect">
                        <a:avLst/>
                      </a:prstGeom>
                    </wps:spPr>
                    <wps:txbx>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100</w:t>
                          </w:r>
                          <w:r>
                            <w:rPr>
                              <w:rFonts w:ascii="Times New Roman" w:eastAsia="Times New Roman"/>
                              <w:sz w:val="21"/>
                            </w:rPr>
                            <w:fldChar w:fldCharType="end"/>
                          </w:r>
                          <w:r>
                            <w:rPr>
                              <w:rFonts w:ascii="Times New Roman" w:eastAsia="Times New Roman"/>
                              <w:spacing w:val="-12"/>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wps:txbx>
                    <wps:bodyPr wrap="square" lIns="0" tIns="0" rIns="0" bIns="0" rtlCol="0">
                      <a:noAutofit/>
                    </wps:bodyPr>
                  </wps:wsp>
                </a:graphicData>
              </a:graphic>
            </wp:anchor>
          </w:drawing>
        </mc:Choice>
        <mc:Fallback>
          <w:pict>
            <v:shape style="position:absolute;margin-left:256.540009pt;margin-top:791.723267pt;width:95.5pt;height:13.65pt;mso-position-horizontal-relative:page;mso-position-vertical-relative:page;z-index:-21127680" type="#_x0000_t202" id="docshape49" filled="false" stroked="false">
              <v:textbox inset="0,0,0,0">
                <w:txbxContent>
                  <w:p>
                    <w:pPr>
                      <w:spacing w:line="266" w:lineRule="exact" w:before="0"/>
                      <w:ind w:left="20" w:right="0" w:firstLine="0"/>
                      <w:jc w:val="left"/>
                      <w:rPr>
                        <w:sz w:val="21"/>
                      </w:rPr>
                    </w:pPr>
                    <w:r>
                      <w:rPr>
                        <w:spacing w:val="-27"/>
                        <w:sz w:val="21"/>
                      </w:rPr>
                      <w:t>第 </w:t>
                    </w:r>
                    <w:r>
                      <w:rPr>
                        <w:rFonts w:ascii="Times New Roman" w:eastAsia="Times New Roman"/>
                        <w:sz w:val="21"/>
                      </w:rPr>
                      <w:fldChar w:fldCharType="begin"/>
                    </w:r>
                    <w:r>
                      <w:rPr>
                        <w:rFonts w:ascii="Times New Roman" w:eastAsia="Times New Roman"/>
                        <w:sz w:val="21"/>
                      </w:rPr>
                      <w:instrText> PAGE </w:instrText>
                    </w:r>
                    <w:r>
                      <w:rPr>
                        <w:rFonts w:ascii="Times New Roman" w:eastAsia="Times New Roman"/>
                        <w:sz w:val="21"/>
                      </w:rPr>
                      <w:fldChar w:fldCharType="separate"/>
                    </w:r>
                    <w:r>
                      <w:rPr>
                        <w:rFonts w:ascii="Times New Roman" w:eastAsia="Times New Roman"/>
                        <w:sz w:val="21"/>
                      </w:rPr>
                      <w:t>100</w:t>
                    </w:r>
                    <w:r>
                      <w:rPr>
                        <w:rFonts w:ascii="Times New Roman" w:eastAsia="Times New Roman"/>
                        <w:sz w:val="21"/>
                      </w:rPr>
                      <w:fldChar w:fldCharType="end"/>
                    </w:r>
                    <w:r>
                      <w:rPr>
                        <w:rFonts w:ascii="Times New Roman" w:eastAsia="Times New Roman"/>
                        <w:spacing w:val="-12"/>
                        <w:sz w:val="21"/>
                      </w:rPr>
                      <w:t> </w:t>
                    </w:r>
                    <w:r>
                      <w:rPr>
                        <w:spacing w:val="-14"/>
                        <w:sz w:val="21"/>
                      </w:rPr>
                      <w:t>页，共 </w:t>
                    </w:r>
                    <w:r>
                      <w:rPr>
                        <w:rFonts w:ascii="Times New Roman" w:eastAsia="Times New Roman"/>
                        <w:sz w:val="21"/>
                      </w:rPr>
                      <w:fldChar w:fldCharType="begin"/>
                    </w:r>
                    <w:r>
                      <w:rPr>
                        <w:rFonts w:ascii="Times New Roman" w:eastAsia="Times New Roman"/>
                        <w:sz w:val="21"/>
                      </w:rPr>
                      <w:instrText> NUMPAGES </w:instrText>
                    </w:r>
                    <w:r>
                      <w:rPr>
                        <w:rFonts w:ascii="Times New Roman" w:eastAsia="Times New Roman"/>
                        <w:sz w:val="21"/>
                      </w:rPr>
                      <w:fldChar w:fldCharType="separate"/>
                    </w:r>
                    <w:r>
                      <w:rPr>
                        <w:rFonts w:ascii="Times New Roman" w:eastAsia="Times New Roman"/>
                        <w:sz w:val="21"/>
                      </w:rPr>
                      <w:t>138</w:t>
                    </w:r>
                    <w:r>
                      <w:rPr>
                        <w:rFonts w:ascii="Times New Roman" w:eastAsia="Times New Roman"/>
                        <w:sz w:val="21"/>
                      </w:rPr>
                      <w:fldChar w:fldCharType="end"/>
                    </w:r>
                    <w:r>
                      <w:rPr>
                        <w:rFonts w:ascii="Times New Roman" w:eastAsia="Times New Roman"/>
                        <w:spacing w:val="-10"/>
                        <w:sz w:val="21"/>
                      </w:rPr>
                      <w:t> </w:t>
                    </w:r>
                    <w:r>
                      <w:rPr>
                        <w:spacing w:val="-10"/>
                        <w:sz w:val="21"/>
                      </w:rPr>
                      <w:t>页</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0096">
              <wp:simplePos x="0" y="0"/>
              <wp:positionH relativeFrom="page">
                <wp:posOffset>1067816</wp:posOffset>
              </wp:positionH>
              <wp:positionV relativeFrom="page">
                <wp:posOffset>362245</wp:posOffset>
              </wp:positionV>
              <wp:extent cx="1633855" cy="336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3855" cy="336550"/>
                      </a:xfrm>
                      <a:prstGeom prst="rect">
                        <a:avLst/>
                      </a:prstGeom>
                    </wps:spPr>
                    <wps:txbx>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002pt;margin-top:28.523293pt;width:128.65pt;height:26.5pt;mso-position-horizontal-relative:page;mso-position-vertical-relative:page;z-index:-21136384" type="#_x0000_t202" id="docshape1" filled="false" stroked="false">
              <v:textbox inset="0,0,0,0">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180608">
              <wp:simplePos x="0" y="0"/>
              <wp:positionH relativeFrom="page">
                <wp:posOffset>6101334</wp:posOffset>
              </wp:positionH>
              <wp:positionV relativeFrom="page">
                <wp:posOffset>366478</wp:posOffset>
              </wp:positionV>
              <wp:extent cx="558800" cy="1587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58800" cy="158750"/>
                      </a:xfrm>
                      <a:prstGeom prst="rect">
                        <a:avLst/>
                      </a:prstGeom>
                    </wps:spPr>
                    <wps:txbx>
                      <w:txbxContent>
                        <w:p>
                          <w:pPr>
                            <w:spacing w:line="250" w:lineRule="exact" w:before="0"/>
                            <w:ind w:left="20" w:right="0" w:firstLine="0"/>
                            <w:jc w:val="left"/>
                            <w:rPr>
                              <w:sz w:val="21"/>
                            </w:rPr>
                          </w:pPr>
                          <w:r>
                            <w:rPr>
                              <w:spacing w:val="-3"/>
                              <w:sz w:val="21"/>
                            </w:rPr>
                            <w:t>阿斯利康</w:t>
                          </w:r>
                        </w:p>
                      </w:txbxContent>
                    </wps:txbx>
                    <wps:bodyPr wrap="square" lIns="0" tIns="0" rIns="0" bIns="0" rtlCol="0">
                      <a:noAutofit/>
                    </wps:bodyPr>
                  </wps:wsp>
                </a:graphicData>
              </a:graphic>
            </wp:anchor>
          </w:drawing>
        </mc:Choice>
        <mc:Fallback>
          <w:pict>
            <v:shape style="position:absolute;margin-left:480.420013pt;margin-top:28.856544pt;width:44pt;height:12.5pt;mso-position-horizontal-relative:page;mso-position-vertical-relative:page;z-index:-21135872" type="#_x0000_t202" id="docshape2" filled="false" stroked="false">
              <v:textbox inset="0,0,0,0">
                <w:txbxContent>
                  <w:p>
                    <w:pPr>
                      <w:spacing w:line="250" w:lineRule="exact" w:before="0"/>
                      <w:ind w:left="20" w:right="0" w:firstLine="0"/>
                      <w:jc w:val="left"/>
                      <w:rPr>
                        <w:sz w:val="21"/>
                      </w:rPr>
                    </w:pPr>
                    <w:r>
                      <w:rPr>
                        <w:spacing w:val="-3"/>
                        <w:sz w:val="21"/>
                      </w:rPr>
                      <w:t>阿斯利康</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2144">
              <wp:simplePos x="0" y="0"/>
              <wp:positionH relativeFrom="page">
                <wp:posOffset>901700</wp:posOffset>
              </wp:positionH>
              <wp:positionV relativeFrom="page">
                <wp:posOffset>470450</wp:posOffset>
              </wp:positionV>
              <wp:extent cx="1633855" cy="3365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33855" cy="336550"/>
                      </a:xfrm>
                      <a:prstGeom prst="rect">
                        <a:avLst/>
                      </a:prstGeom>
                    </wps:spPr>
                    <wps:txbx>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wps:txbx>
                    <wps:bodyPr wrap="square" lIns="0" tIns="0" rIns="0" bIns="0" rtlCol="0">
                      <a:noAutofit/>
                    </wps:bodyPr>
                  </wps:wsp>
                </a:graphicData>
              </a:graphic>
            </wp:anchor>
          </w:drawing>
        </mc:Choice>
        <mc:Fallback>
          <w:pict>
            <v:shape style="position:absolute;margin-left:71pt;margin-top:37.043316pt;width:128.65pt;height:26.5pt;mso-position-horizontal-relative:page;mso-position-vertical-relative:page;z-index:-21134336" type="#_x0000_t202" id="docshape35" filled="false" stroked="false">
              <v:textbox inset="0,0,0,0">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182656">
              <wp:simplePos x="0" y="0"/>
              <wp:positionH relativeFrom="page">
                <wp:posOffset>9232645</wp:posOffset>
              </wp:positionH>
              <wp:positionV relativeFrom="page">
                <wp:posOffset>474682</wp:posOffset>
              </wp:positionV>
              <wp:extent cx="558800" cy="1587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58800" cy="158750"/>
                      </a:xfrm>
                      <a:prstGeom prst="rect">
                        <a:avLst/>
                      </a:prstGeom>
                    </wps:spPr>
                    <wps:txbx>
                      <w:txbxContent>
                        <w:p>
                          <w:pPr>
                            <w:spacing w:line="250" w:lineRule="exact" w:before="0"/>
                            <w:ind w:left="20" w:right="0" w:firstLine="0"/>
                            <w:jc w:val="left"/>
                            <w:rPr>
                              <w:sz w:val="21"/>
                            </w:rPr>
                          </w:pPr>
                          <w:r>
                            <w:rPr>
                              <w:spacing w:val="-3"/>
                              <w:sz w:val="21"/>
                            </w:rPr>
                            <w:t>阿斯利康</w:t>
                          </w:r>
                        </w:p>
                      </w:txbxContent>
                    </wps:txbx>
                    <wps:bodyPr wrap="square" lIns="0" tIns="0" rIns="0" bIns="0" rtlCol="0">
                      <a:noAutofit/>
                    </wps:bodyPr>
                  </wps:wsp>
                </a:graphicData>
              </a:graphic>
            </wp:anchor>
          </w:drawing>
        </mc:Choice>
        <mc:Fallback>
          <w:pict>
            <v:shape style="position:absolute;margin-left:726.97998pt;margin-top:37.376568pt;width:44pt;height:12.5pt;mso-position-horizontal-relative:page;mso-position-vertical-relative:page;z-index:-21133824" type="#_x0000_t202" id="docshape36" filled="false" stroked="false">
              <v:textbox inset="0,0,0,0">
                <w:txbxContent>
                  <w:p>
                    <w:pPr>
                      <w:spacing w:line="250" w:lineRule="exact" w:before="0"/>
                      <w:ind w:left="20" w:right="0" w:firstLine="0"/>
                      <w:jc w:val="left"/>
                      <w:rPr>
                        <w:sz w:val="21"/>
                      </w:rPr>
                    </w:pPr>
                    <w:r>
                      <w:rPr>
                        <w:spacing w:val="-3"/>
                        <w:sz w:val="21"/>
                      </w:rPr>
                      <w:t>阿斯利康</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5216">
              <wp:simplePos x="0" y="0"/>
              <wp:positionH relativeFrom="page">
                <wp:posOffset>901700</wp:posOffset>
              </wp:positionH>
              <wp:positionV relativeFrom="page">
                <wp:posOffset>470450</wp:posOffset>
              </wp:positionV>
              <wp:extent cx="1633855" cy="33655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33855" cy="336550"/>
                      </a:xfrm>
                      <a:prstGeom prst="rect">
                        <a:avLst/>
                      </a:prstGeom>
                    </wps:spPr>
                    <wps:txbx>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wps:txbx>
                    <wps:bodyPr wrap="square" lIns="0" tIns="0" rIns="0" bIns="0" rtlCol="0">
                      <a:noAutofit/>
                    </wps:bodyPr>
                  </wps:wsp>
                </a:graphicData>
              </a:graphic>
            </wp:anchor>
          </w:drawing>
        </mc:Choice>
        <mc:Fallback>
          <w:pict>
            <v:shape style="position:absolute;margin-left:71pt;margin-top:37.043316pt;width:128.65pt;height:26.5pt;mso-position-horizontal-relative:page;mso-position-vertical-relative:page;z-index:-21131264" type="#_x0000_t202" id="docshape41" filled="false" stroked="false">
              <v:textbox inset="0,0,0,0">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185728">
              <wp:simplePos x="0" y="0"/>
              <wp:positionH relativeFrom="page">
                <wp:posOffset>9232645</wp:posOffset>
              </wp:positionH>
              <wp:positionV relativeFrom="page">
                <wp:posOffset>474682</wp:posOffset>
              </wp:positionV>
              <wp:extent cx="558800" cy="15875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58800" cy="158750"/>
                      </a:xfrm>
                      <a:prstGeom prst="rect">
                        <a:avLst/>
                      </a:prstGeom>
                    </wps:spPr>
                    <wps:txbx>
                      <w:txbxContent>
                        <w:p>
                          <w:pPr>
                            <w:spacing w:line="250" w:lineRule="exact" w:before="0"/>
                            <w:ind w:left="20" w:right="0" w:firstLine="0"/>
                            <w:jc w:val="left"/>
                            <w:rPr>
                              <w:sz w:val="21"/>
                            </w:rPr>
                          </w:pPr>
                          <w:r>
                            <w:rPr>
                              <w:spacing w:val="-3"/>
                              <w:sz w:val="21"/>
                            </w:rPr>
                            <w:t>阿斯利康</w:t>
                          </w:r>
                        </w:p>
                      </w:txbxContent>
                    </wps:txbx>
                    <wps:bodyPr wrap="square" lIns="0" tIns="0" rIns="0" bIns="0" rtlCol="0">
                      <a:noAutofit/>
                    </wps:bodyPr>
                  </wps:wsp>
                </a:graphicData>
              </a:graphic>
            </wp:anchor>
          </w:drawing>
        </mc:Choice>
        <mc:Fallback>
          <w:pict>
            <v:shape style="position:absolute;margin-left:726.97998pt;margin-top:37.376568pt;width:44pt;height:12.5pt;mso-position-horizontal-relative:page;mso-position-vertical-relative:page;z-index:-21130752" type="#_x0000_t202" id="docshape42" filled="false" stroked="false">
              <v:textbox inset="0,0,0,0">
                <w:txbxContent>
                  <w:p>
                    <w:pPr>
                      <w:spacing w:line="250" w:lineRule="exact" w:before="0"/>
                      <w:ind w:left="20" w:right="0" w:firstLine="0"/>
                      <w:jc w:val="left"/>
                      <w:rPr>
                        <w:sz w:val="21"/>
                      </w:rPr>
                    </w:pPr>
                    <w:r>
                      <w:rPr>
                        <w:spacing w:val="-3"/>
                        <w:sz w:val="21"/>
                      </w:rPr>
                      <w:t>阿斯利康</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2187264">
              <wp:simplePos x="0" y="0"/>
              <wp:positionH relativeFrom="page">
                <wp:posOffset>1067816</wp:posOffset>
              </wp:positionH>
              <wp:positionV relativeFrom="page">
                <wp:posOffset>362245</wp:posOffset>
              </wp:positionV>
              <wp:extent cx="1633855" cy="3365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633855" cy="336550"/>
                      </a:xfrm>
                      <a:prstGeom prst="rect">
                        <a:avLst/>
                      </a:prstGeom>
                    </wps:spPr>
                    <wps:txbx>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wps:txbx>
                    <wps:bodyPr wrap="square" lIns="0" tIns="0" rIns="0" bIns="0" rtlCol="0">
                      <a:noAutofit/>
                    </wps:bodyPr>
                  </wps:wsp>
                </a:graphicData>
              </a:graphic>
            </wp:anchor>
          </w:drawing>
        </mc:Choice>
        <mc:Fallback>
          <w:pict>
            <v:shape style="position:absolute;margin-left:84.080002pt;margin-top:28.523293pt;width:128.65pt;height:26.5pt;mso-position-horizontal-relative:page;mso-position-vertical-relative:page;z-index:-21129216" type="#_x0000_t202" id="docshape46" filled="false" stroked="false">
              <v:textbox inset="0,0,0,0">
                <w:txbxContent>
                  <w:p>
                    <w:pPr>
                      <w:spacing w:line="242" w:lineRule="auto" w:before="0"/>
                      <w:ind w:left="20" w:right="0" w:firstLine="0"/>
                      <w:jc w:val="left"/>
                      <w:rPr>
                        <w:rFonts w:ascii="Times New Roman" w:hAnsi="Times New Roman" w:eastAsia="Times New Roman"/>
                        <w:sz w:val="21"/>
                      </w:rPr>
                    </w:pPr>
                    <w:r>
                      <w:rPr>
                        <w:spacing w:val="-3"/>
                        <w:sz w:val="21"/>
                      </w:rPr>
                      <w:t>临床研究方案 </w:t>
                    </w:r>
                    <w:r>
                      <w:rPr>
                        <w:rFonts w:ascii="Times New Roman" w:hAnsi="Times New Roman" w:eastAsia="Times New Roman"/>
                        <w:sz w:val="21"/>
                      </w:rPr>
                      <w:t>– 4.0 Tozorakimab</w:t>
                    </w:r>
                    <w:r>
                      <w:rPr>
                        <w:rFonts w:ascii="Times New Roman" w:hAnsi="Times New Roman" w:eastAsia="Times New Roman"/>
                        <w:spacing w:val="-9"/>
                        <w:sz w:val="21"/>
                      </w:rPr>
                      <w:t> - </w:t>
                    </w:r>
                    <w:r>
                      <w:rPr>
                        <w:rFonts w:ascii="Times New Roman" w:hAnsi="Times New Roman" w:eastAsia="Times New Roman"/>
                        <w:sz w:val="21"/>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187776">
              <wp:simplePos x="0" y="0"/>
              <wp:positionH relativeFrom="page">
                <wp:posOffset>6101334</wp:posOffset>
              </wp:positionH>
              <wp:positionV relativeFrom="page">
                <wp:posOffset>366478</wp:posOffset>
              </wp:positionV>
              <wp:extent cx="558800" cy="15875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58800" cy="158750"/>
                      </a:xfrm>
                      <a:prstGeom prst="rect">
                        <a:avLst/>
                      </a:prstGeom>
                    </wps:spPr>
                    <wps:txbx>
                      <w:txbxContent>
                        <w:p>
                          <w:pPr>
                            <w:spacing w:line="250" w:lineRule="exact" w:before="0"/>
                            <w:ind w:left="20" w:right="0" w:firstLine="0"/>
                            <w:jc w:val="left"/>
                            <w:rPr>
                              <w:sz w:val="21"/>
                            </w:rPr>
                          </w:pPr>
                          <w:r>
                            <w:rPr>
                              <w:spacing w:val="-3"/>
                              <w:sz w:val="21"/>
                            </w:rPr>
                            <w:t>阿斯利康</w:t>
                          </w:r>
                        </w:p>
                      </w:txbxContent>
                    </wps:txbx>
                    <wps:bodyPr wrap="square" lIns="0" tIns="0" rIns="0" bIns="0" rtlCol="0">
                      <a:noAutofit/>
                    </wps:bodyPr>
                  </wps:wsp>
                </a:graphicData>
              </a:graphic>
            </wp:anchor>
          </w:drawing>
        </mc:Choice>
        <mc:Fallback>
          <w:pict>
            <v:shape style="position:absolute;margin-left:480.420013pt;margin-top:28.856544pt;width:44pt;height:12.5pt;mso-position-horizontal-relative:page;mso-position-vertical-relative:page;z-index:-21128704" type="#_x0000_t202" id="docshape47" filled="false" stroked="false">
              <v:textbox inset="0,0,0,0">
                <w:txbxContent>
                  <w:p>
                    <w:pPr>
                      <w:spacing w:line="250" w:lineRule="exact" w:before="0"/>
                      <w:ind w:left="20" w:right="0" w:firstLine="0"/>
                      <w:jc w:val="left"/>
                      <w:rPr>
                        <w:sz w:val="21"/>
                      </w:rPr>
                    </w:pPr>
                    <w:r>
                      <w:rPr>
                        <w:spacing w:val="-3"/>
                        <w:sz w:val="21"/>
                      </w:rPr>
                      <w:t>阿斯利康</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62">
    <w:multiLevelType w:val="hybridMultilevel"/>
    <w:lvl w:ilvl="0">
      <w:start w:val="0"/>
      <w:numFmt w:val="bullet"/>
      <w:lvlText w:val=""/>
      <w:lvlJc w:val="left"/>
      <w:pPr>
        <w:ind w:left="1071" w:hanging="42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06" w:hanging="424"/>
      </w:pPr>
      <w:rPr>
        <w:rFonts w:hint="default"/>
        <w:lang w:val="en-US" w:eastAsia="en-US" w:bidi="ar-SA"/>
      </w:rPr>
    </w:lvl>
    <w:lvl w:ilvl="2">
      <w:start w:val="0"/>
      <w:numFmt w:val="bullet"/>
      <w:lvlText w:val="•"/>
      <w:lvlJc w:val="left"/>
      <w:pPr>
        <w:ind w:left="2733" w:hanging="424"/>
      </w:pPr>
      <w:rPr>
        <w:rFonts w:hint="default"/>
        <w:lang w:val="en-US" w:eastAsia="en-US" w:bidi="ar-SA"/>
      </w:rPr>
    </w:lvl>
    <w:lvl w:ilvl="3">
      <w:start w:val="0"/>
      <w:numFmt w:val="bullet"/>
      <w:lvlText w:val="•"/>
      <w:lvlJc w:val="left"/>
      <w:pPr>
        <w:ind w:left="3560" w:hanging="424"/>
      </w:pPr>
      <w:rPr>
        <w:rFonts w:hint="default"/>
        <w:lang w:val="en-US" w:eastAsia="en-US" w:bidi="ar-SA"/>
      </w:rPr>
    </w:lvl>
    <w:lvl w:ilvl="4">
      <w:start w:val="0"/>
      <w:numFmt w:val="bullet"/>
      <w:lvlText w:val="•"/>
      <w:lvlJc w:val="left"/>
      <w:pPr>
        <w:ind w:left="4387" w:hanging="424"/>
      </w:pPr>
      <w:rPr>
        <w:rFonts w:hint="default"/>
        <w:lang w:val="en-US" w:eastAsia="en-US" w:bidi="ar-SA"/>
      </w:rPr>
    </w:lvl>
    <w:lvl w:ilvl="5">
      <w:start w:val="0"/>
      <w:numFmt w:val="bullet"/>
      <w:lvlText w:val="•"/>
      <w:lvlJc w:val="left"/>
      <w:pPr>
        <w:ind w:left="5213" w:hanging="424"/>
      </w:pPr>
      <w:rPr>
        <w:rFonts w:hint="default"/>
        <w:lang w:val="en-US" w:eastAsia="en-US" w:bidi="ar-SA"/>
      </w:rPr>
    </w:lvl>
    <w:lvl w:ilvl="6">
      <w:start w:val="0"/>
      <w:numFmt w:val="bullet"/>
      <w:lvlText w:val="•"/>
      <w:lvlJc w:val="left"/>
      <w:pPr>
        <w:ind w:left="6040" w:hanging="424"/>
      </w:pPr>
      <w:rPr>
        <w:rFonts w:hint="default"/>
        <w:lang w:val="en-US" w:eastAsia="en-US" w:bidi="ar-SA"/>
      </w:rPr>
    </w:lvl>
    <w:lvl w:ilvl="7">
      <w:start w:val="0"/>
      <w:numFmt w:val="bullet"/>
      <w:lvlText w:val="•"/>
      <w:lvlJc w:val="left"/>
      <w:pPr>
        <w:ind w:left="6867" w:hanging="424"/>
      </w:pPr>
      <w:rPr>
        <w:rFonts w:hint="default"/>
        <w:lang w:val="en-US" w:eastAsia="en-US" w:bidi="ar-SA"/>
      </w:rPr>
    </w:lvl>
    <w:lvl w:ilvl="8">
      <w:start w:val="0"/>
      <w:numFmt w:val="bullet"/>
      <w:lvlText w:val="•"/>
      <w:lvlJc w:val="left"/>
      <w:pPr>
        <w:ind w:left="7694" w:hanging="424"/>
      </w:pPr>
      <w:rPr>
        <w:rFonts w:hint="default"/>
        <w:lang w:val="en-US" w:eastAsia="en-US" w:bidi="ar-SA"/>
      </w:rPr>
    </w:lvl>
  </w:abstractNum>
  <w:abstractNum w:abstractNumId="61">
    <w:multiLevelType w:val="hybridMultilevel"/>
    <w:lvl w:ilvl="0">
      <w:start w:val="1"/>
      <w:numFmt w:val="lowerLetter"/>
      <w:lvlText w:val="(%1)"/>
      <w:lvlJc w:val="left"/>
      <w:pPr>
        <w:ind w:left="1071" w:hanging="4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06" w:hanging="426"/>
      </w:pPr>
      <w:rPr>
        <w:rFonts w:hint="default"/>
        <w:lang w:val="en-US" w:eastAsia="en-US" w:bidi="ar-SA"/>
      </w:rPr>
    </w:lvl>
    <w:lvl w:ilvl="2">
      <w:start w:val="0"/>
      <w:numFmt w:val="bullet"/>
      <w:lvlText w:val="•"/>
      <w:lvlJc w:val="left"/>
      <w:pPr>
        <w:ind w:left="2733" w:hanging="426"/>
      </w:pPr>
      <w:rPr>
        <w:rFonts w:hint="default"/>
        <w:lang w:val="en-US" w:eastAsia="en-US" w:bidi="ar-SA"/>
      </w:rPr>
    </w:lvl>
    <w:lvl w:ilvl="3">
      <w:start w:val="0"/>
      <w:numFmt w:val="bullet"/>
      <w:lvlText w:val="•"/>
      <w:lvlJc w:val="left"/>
      <w:pPr>
        <w:ind w:left="3560" w:hanging="426"/>
      </w:pPr>
      <w:rPr>
        <w:rFonts w:hint="default"/>
        <w:lang w:val="en-US" w:eastAsia="en-US" w:bidi="ar-SA"/>
      </w:rPr>
    </w:lvl>
    <w:lvl w:ilvl="4">
      <w:start w:val="0"/>
      <w:numFmt w:val="bullet"/>
      <w:lvlText w:val="•"/>
      <w:lvlJc w:val="left"/>
      <w:pPr>
        <w:ind w:left="4387" w:hanging="426"/>
      </w:pPr>
      <w:rPr>
        <w:rFonts w:hint="default"/>
        <w:lang w:val="en-US" w:eastAsia="en-US" w:bidi="ar-SA"/>
      </w:rPr>
    </w:lvl>
    <w:lvl w:ilvl="5">
      <w:start w:val="0"/>
      <w:numFmt w:val="bullet"/>
      <w:lvlText w:val="•"/>
      <w:lvlJc w:val="left"/>
      <w:pPr>
        <w:ind w:left="5213" w:hanging="426"/>
      </w:pPr>
      <w:rPr>
        <w:rFonts w:hint="default"/>
        <w:lang w:val="en-US" w:eastAsia="en-US" w:bidi="ar-SA"/>
      </w:rPr>
    </w:lvl>
    <w:lvl w:ilvl="6">
      <w:start w:val="0"/>
      <w:numFmt w:val="bullet"/>
      <w:lvlText w:val="•"/>
      <w:lvlJc w:val="left"/>
      <w:pPr>
        <w:ind w:left="6040" w:hanging="426"/>
      </w:pPr>
      <w:rPr>
        <w:rFonts w:hint="default"/>
        <w:lang w:val="en-US" w:eastAsia="en-US" w:bidi="ar-SA"/>
      </w:rPr>
    </w:lvl>
    <w:lvl w:ilvl="7">
      <w:start w:val="0"/>
      <w:numFmt w:val="bullet"/>
      <w:lvlText w:val="•"/>
      <w:lvlJc w:val="left"/>
      <w:pPr>
        <w:ind w:left="6867" w:hanging="426"/>
      </w:pPr>
      <w:rPr>
        <w:rFonts w:hint="default"/>
        <w:lang w:val="en-US" w:eastAsia="en-US" w:bidi="ar-SA"/>
      </w:rPr>
    </w:lvl>
    <w:lvl w:ilvl="8">
      <w:start w:val="0"/>
      <w:numFmt w:val="bullet"/>
      <w:lvlText w:val="•"/>
      <w:lvlJc w:val="left"/>
      <w:pPr>
        <w:ind w:left="7694" w:hanging="426"/>
      </w:pPr>
      <w:rPr>
        <w:rFonts w:hint="default"/>
        <w:lang w:val="en-US" w:eastAsia="en-US" w:bidi="ar-SA"/>
      </w:rPr>
    </w:lvl>
  </w:abstractNum>
  <w:abstractNum w:abstractNumId="60">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59">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58">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57">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56">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55">
    <w:multiLevelType w:val="hybridMultilevel"/>
    <w:lvl w:ilvl="0">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06" w:hanging="426"/>
      </w:pPr>
      <w:rPr>
        <w:rFonts w:hint="default"/>
        <w:lang w:val="en-US" w:eastAsia="en-US" w:bidi="ar-SA"/>
      </w:rPr>
    </w:lvl>
    <w:lvl w:ilvl="2">
      <w:start w:val="0"/>
      <w:numFmt w:val="bullet"/>
      <w:lvlText w:val="•"/>
      <w:lvlJc w:val="left"/>
      <w:pPr>
        <w:ind w:left="2733" w:hanging="426"/>
      </w:pPr>
      <w:rPr>
        <w:rFonts w:hint="default"/>
        <w:lang w:val="en-US" w:eastAsia="en-US" w:bidi="ar-SA"/>
      </w:rPr>
    </w:lvl>
    <w:lvl w:ilvl="3">
      <w:start w:val="0"/>
      <w:numFmt w:val="bullet"/>
      <w:lvlText w:val="•"/>
      <w:lvlJc w:val="left"/>
      <w:pPr>
        <w:ind w:left="3560" w:hanging="426"/>
      </w:pPr>
      <w:rPr>
        <w:rFonts w:hint="default"/>
        <w:lang w:val="en-US" w:eastAsia="en-US" w:bidi="ar-SA"/>
      </w:rPr>
    </w:lvl>
    <w:lvl w:ilvl="4">
      <w:start w:val="0"/>
      <w:numFmt w:val="bullet"/>
      <w:lvlText w:val="•"/>
      <w:lvlJc w:val="left"/>
      <w:pPr>
        <w:ind w:left="4387" w:hanging="426"/>
      </w:pPr>
      <w:rPr>
        <w:rFonts w:hint="default"/>
        <w:lang w:val="en-US" w:eastAsia="en-US" w:bidi="ar-SA"/>
      </w:rPr>
    </w:lvl>
    <w:lvl w:ilvl="5">
      <w:start w:val="0"/>
      <w:numFmt w:val="bullet"/>
      <w:lvlText w:val="•"/>
      <w:lvlJc w:val="left"/>
      <w:pPr>
        <w:ind w:left="5213" w:hanging="426"/>
      </w:pPr>
      <w:rPr>
        <w:rFonts w:hint="default"/>
        <w:lang w:val="en-US" w:eastAsia="en-US" w:bidi="ar-SA"/>
      </w:rPr>
    </w:lvl>
    <w:lvl w:ilvl="6">
      <w:start w:val="0"/>
      <w:numFmt w:val="bullet"/>
      <w:lvlText w:val="•"/>
      <w:lvlJc w:val="left"/>
      <w:pPr>
        <w:ind w:left="6040" w:hanging="426"/>
      </w:pPr>
      <w:rPr>
        <w:rFonts w:hint="default"/>
        <w:lang w:val="en-US" w:eastAsia="en-US" w:bidi="ar-SA"/>
      </w:rPr>
    </w:lvl>
    <w:lvl w:ilvl="7">
      <w:start w:val="0"/>
      <w:numFmt w:val="bullet"/>
      <w:lvlText w:val="•"/>
      <w:lvlJc w:val="left"/>
      <w:pPr>
        <w:ind w:left="6867" w:hanging="426"/>
      </w:pPr>
      <w:rPr>
        <w:rFonts w:hint="default"/>
        <w:lang w:val="en-US" w:eastAsia="en-US" w:bidi="ar-SA"/>
      </w:rPr>
    </w:lvl>
    <w:lvl w:ilvl="8">
      <w:start w:val="0"/>
      <w:numFmt w:val="bullet"/>
      <w:lvlText w:val="•"/>
      <w:lvlJc w:val="left"/>
      <w:pPr>
        <w:ind w:left="7694" w:hanging="426"/>
      </w:pPr>
      <w:rPr>
        <w:rFonts w:hint="default"/>
        <w:lang w:val="en-US" w:eastAsia="en-US" w:bidi="ar-SA"/>
      </w:rPr>
    </w:lvl>
  </w:abstractNum>
  <w:abstractNum w:abstractNumId="54">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53">
    <w:multiLevelType w:val="hybridMultilevel"/>
    <w:lvl w:ilvl="0">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06" w:hanging="426"/>
      </w:pPr>
      <w:rPr>
        <w:rFonts w:hint="default"/>
        <w:lang w:val="en-US" w:eastAsia="en-US" w:bidi="ar-SA"/>
      </w:rPr>
    </w:lvl>
    <w:lvl w:ilvl="2">
      <w:start w:val="0"/>
      <w:numFmt w:val="bullet"/>
      <w:lvlText w:val="•"/>
      <w:lvlJc w:val="left"/>
      <w:pPr>
        <w:ind w:left="2733" w:hanging="426"/>
      </w:pPr>
      <w:rPr>
        <w:rFonts w:hint="default"/>
        <w:lang w:val="en-US" w:eastAsia="en-US" w:bidi="ar-SA"/>
      </w:rPr>
    </w:lvl>
    <w:lvl w:ilvl="3">
      <w:start w:val="0"/>
      <w:numFmt w:val="bullet"/>
      <w:lvlText w:val="•"/>
      <w:lvlJc w:val="left"/>
      <w:pPr>
        <w:ind w:left="3560" w:hanging="426"/>
      </w:pPr>
      <w:rPr>
        <w:rFonts w:hint="default"/>
        <w:lang w:val="en-US" w:eastAsia="en-US" w:bidi="ar-SA"/>
      </w:rPr>
    </w:lvl>
    <w:lvl w:ilvl="4">
      <w:start w:val="0"/>
      <w:numFmt w:val="bullet"/>
      <w:lvlText w:val="•"/>
      <w:lvlJc w:val="left"/>
      <w:pPr>
        <w:ind w:left="4387" w:hanging="426"/>
      </w:pPr>
      <w:rPr>
        <w:rFonts w:hint="default"/>
        <w:lang w:val="en-US" w:eastAsia="en-US" w:bidi="ar-SA"/>
      </w:rPr>
    </w:lvl>
    <w:lvl w:ilvl="5">
      <w:start w:val="0"/>
      <w:numFmt w:val="bullet"/>
      <w:lvlText w:val="•"/>
      <w:lvlJc w:val="left"/>
      <w:pPr>
        <w:ind w:left="5213" w:hanging="426"/>
      </w:pPr>
      <w:rPr>
        <w:rFonts w:hint="default"/>
        <w:lang w:val="en-US" w:eastAsia="en-US" w:bidi="ar-SA"/>
      </w:rPr>
    </w:lvl>
    <w:lvl w:ilvl="6">
      <w:start w:val="0"/>
      <w:numFmt w:val="bullet"/>
      <w:lvlText w:val="•"/>
      <w:lvlJc w:val="left"/>
      <w:pPr>
        <w:ind w:left="6040" w:hanging="426"/>
      </w:pPr>
      <w:rPr>
        <w:rFonts w:hint="default"/>
        <w:lang w:val="en-US" w:eastAsia="en-US" w:bidi="ar-SA"/>
      </w:rPr>
    </w:lvl>
    <w:lvl w:ilvl="7">
      <w:start w:val="0"/>
      <w:numFmt w:val="bullet"/>
      <w:lvlText w:val="•"/>
      <w:lvlJc w:val="left"/>
      <w:pPr>
        <w:ind w:left="6867" w:hanging="426"/>
      </w:pPr>
      <w:rPr>
        <w:rFonts w:hint="default"/>
        <w:lang w:val="en-US" w:eastAsia="en-US" w:bidi="ar-SA"/>
      </w:rPr>
    </w:lvl>
    <w:lvl w:ilvl="8">
      <w:start w:val="0"/>
      <w:numFmt w:val="bullet"/>
      <w:lvlText w:val="•"/>
      <w:lvlJc w:val="left"/>
      <w:pPr>
        <w:ind w:left="7694" w:hanging="426"/>
      </w:pPr>
      <w:rPr>
        <w:rFonts w:hint="default"/>
        <w:lang w:val="en-US" w:eastAsia="en-US" w:bidi="ar-SA"/>
      </w:rPr>
    </w:lvl>
  </w:abstractNum>
  <w:abstractNum w:abstractNumId="52">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51">
    <w:multiLevelType w:val="hybridMultilevel"/>
    <w:lvl w:ilvl="0">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06" w:hanging="426"/>
      </w:pPr>
      <w:rPr>
        <w:rFonts w:hint="default"/>
        <w:lang w:val="en-US" w:eastAsia="en-US" w:bidi="ar-SA"/>
      </w:rPr>
    </w:lvl>
    <w:lvl w:ilvl="2">
      <w:start w:val="0"/>
      <w:numFmt w:val="bullet"/>
      <w:lvlText w:val="•"/>
      <w:lvlJc w:val="left"/>
      <w:pPr>
        <w:ind w:left="2733" w:hanging="426"/>
      </w:pPr>
      <w:rPr>
        <w:rFonts w:hint="default"/>
        <w:lang w:val="en-US" w:eastAsia="en-US" w:bidi="ar-SA"/>
      </w:rPr>
    </w:lvl>
    <w:lvl w:ilvl="3">
      <w:start w:val="0"/>
      <w:numFmt w:val="bullet"/>
      <w:lvlText w:val="•"/>
      <w:lvlJc w:val="left"/>
      <w:pPr>
        <w:ind w:left="3560" w:hanging="426"/>
      </w:pPr>
      <w:rPr>
        <w:rFonts w:hint="default"/>
        <w:lang w:val="en-US" w:eastAsia="en-US" w:bidi="ar-SA"/>
      </w:rPr>
    </w:lvl>
    <w:lvl w:ilvl="4">
      <w:start w:val="0"/>
      <w:numFmt w:val="bullet"/>
      <w:lvlText w:val="•"/>
      <w:lvlJc w:val="left"/>
      <w:pPr>
        <w:ind w:left="4387" w:hanging="426"/>
      </w:pPr>
      <w:rPr>
        <w:rFonts w:hint="default"/>
        <w:lang w:val="en-US" w:eastAsia="en-US" w:bidi="ar-SA"/>
      </w:rPr>
    </w:lvl>
    <w:lvl w:ilvl="5">
      <w:start w:val="0"/>
      <w:numFmt w:val="bullet"/>
      <w:lvlText w:val="•"/>
      <w:lvlJc w:val="left"/>
      <w:pPr>
        <w:ind w:left="5213" w:hanging="426"/>
      </w:pPr>
      <w:rPr>
        <w:rFonts w:hint="default"/>
        <w:lang w:val="en-US" w:eastAsia="en-US" w:bidi="ar-SA"/>
      </w:rPr>
    </w:lvl>
    <w:lvl w:ilvl="6">
      <w:start w:val="0"/>
      <w:numFmt w:val="bullet"/>
      <w:lvlText w:val="•"/>
      <w:lvlJc w:val="left"/>
      <w:pPr>
        <w:ind w:left="6040" w:hanging="426"/>
      </w:pPr>
      <w:rPr>
        <w:rFonts w:hint="default"/>
        <w:lang w:val="en-US" w:eastAsia="en-US" w:bidi="ar-SA"/>
      </w:rPr>
    </w:lvl>
    <w:lvl w:ilvl="7">
      <w:start w:val="0"/>
      <w:numFmt w:val="bullet"/>
      <w:lvlText w:val="•"/>
      <w:lvlJc w:val="left"/>
      <w:pPr>
        <w:ind w:left="6867" w:hanging="426"/>
      </w:pPr>
      <w:rPr>
        <w:rFonts w:hint="default"/>
        <w:lang w:val="en-US" w:eastAsia="en-US" w:bidi="ar-SA"/>
      </w:rPr>
    </w:lvl>
    <w:lvl w:ilvl="8">
      <w:start w:val="0"/>
      <w:numFmt w:val="bullet"/>
      <w:lvlText w:val="•"/>
      <w:lvlJc w:val="left"/>
      <w:pPr>
        <w:ind w:left="7694" w:hanging="426"/>
      </w:pPr>
      <w:rPr>
        <w:rFonts w:hint="default"/>
        <w:lang w:val="en-US" w:eastAsia="en-US" w:bidi="ar-SA"/>
      </w:rPr>
    </w:lvl>
  </w:abstractNum>
  <w:abstractNum w:abstractNumId="50">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9">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8">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7">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6">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45">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4">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3">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2">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1">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40">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9">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8">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11" w:hanging="425"/>
      </w:pPr>
      <w:rPr>
        <w:rFonts w:hint="default"/>
        <w:lang w:val="en-US" w:eastAsia="en-US" w:bidi="ar-SA"/>
      </w:rPr>
    </w:lvl>
    <w:lvl w:ilvl="2">
      <w:start w:val="0"/>
      <w:numFmt w:val="bullet"/>
      <w:lvlText w:val="•"/>
      <w:lvlJc w:val="left"/>
      <w:pPr>
        <w:ind w:left="1282" w:hanging="425"/>
      </w:pPr>
      <w:rPr>
        <w:rFonts w:hint="default"/>
        <w:lang w:val="en-US" w:eastAsia="en-US" w:bidi="ar-SA"/>
      </w:rPr>
    </w:lvl>
    <w:lvl w:ilvl="3">
      <w:start w:val="0"/>
      <w:numFmt w:val="bullet"/>
      <w:lvlText w:val="•"/>
      <w:lvlJc w:val="left"/>
      <w:pPr>
        <w:ind w:left="1653" w:hanging="425"/>
      </w:pPr>
      <w:rPr>
        <w:rFonts w:hint="default"/>
        <w:lang w:val="en-US" w:eastAsia="en-US" w:bidi="ar-SA"/>
      </w:rPr>
    </w:lvl>
    <w:lvl w:ilvl="4">
      <w:start w:val="0"/>
      <w:numFmt w:val="bullet"/>
      <w:lvlText w:val="•"/>
      <w:lvlJc w:val="left"/>
      <w:pPr>
        <w:ind w:left="2024" w:hanging="425"/>
      </w:pPr>
      <w:rPr>
        <w:rFonts w:hint="default"/>
        <w:lang w:val="en-US" w:eastAsia="en-US" w:bidi="ar-SA"/>
      </w:rPr>
    </w:lvl>
    <w:lvl w:ilvl="5">
      <w:start w:val="0"/>
      <w:numFmt w:val="bullet"/>
      <w:lvlText w:val="•"/>
      <w:lvlJc w:val="left"/>
      <w:pPr>
        <w:ind w:left="2396" w:hanging="425"/>
      </w:pPr>
      <w:rPr>
        <w:rFonts w:hint="default"/>
        <w:lang w:val="en-US" w:eastAsia="en-US" w:bidi="ar-SA"/>
      </w:rPr>
    </w:lvl>
    <w:lvl w:ilvl="6">
      <w:start w:val="0"/>
      <w:numFmt w:val="bullet"/>
      <w:lvlText w:val="•"/>
      <w:lvlJc w:val="left"/>
      <w:pPr>
        <w:ind w:left="2767" w:hanging="425"/>
      </w:pPr>
      <w:rPr>
        <w:rFonts w:hint="default"/>
        <w:lang w:val="en-US" w:eastAsia="en-US" w:bidi="ar-SA"/>
      </w:rPr>
    </w:lvl>
    <w:lvl w:ilvl="7">
      <w:start w:val="0"/>
      <w:numFmt w:val="bullet"/>
      <w:lvlText w:val="•"/>
      <w:lvlJc w:val="left"/>
      <w:pPr>
        <w:ind w:left="3138" w:hanging="425"/>
      </w:pPr>
      <w:rPr>
        <w:rFonts w:hint="default"/>
        <w:lang w:val="en-US" w:eastAsia="en-US" w:bidi="ar-SA"/>
      </w:rPr>
    </w:lvl>
    <w:lvl w:ilvl="8">
      <w:start w:val="0"/>
      <w:numFmt w:val="bullet"/>
      <w:lvlText w:val="•"/>
      <w:lvlJc w:val="left"/>
      <w:pPr>
        <w:ind w:left="3509" w:hanging="425"/>
      </w:pPr>
      <w:rPr>
        <w:rFonts w:hint="default"/>
        <w:lang w:val="en-US" w:eastAsia="en-US" w:bidi="ar-SA"/>
      </w:rPr>
    </w:lvl>
  </w:abstractNum>
  <w:abstractNum w:abstractNumId="37">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56" w:hanging="426"/>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1353" w:hanging="426"/>
      </w:pPr>
      <w:rPr>
        <w:rFonts w:hint="default"/>
        <w:lang w:val="en-US" w:eastAsia="en-US" w:bidi="ar-SA"/>
      </w:rPr>
    </w:lvl>
    <w:lvl w:ilvl="3">
      <w:start w:val="0"/>
      <w:numFmt w:val="bullet"/>
      <w:lvlText w:val="•"/>
      <w:lvlJc w:val="left"/>
      <w:pPr>
        <w:ind w:left="1746" w:hanging="426"/>
      </w:pPr>
      <w:rPr>
        <w:rFonts w:hint="default"/>
        <w:lang w:val="en-US" w:eastAsia="en-US" w:bidi="ar-SA"/>
      </w:rPr>
    </w:lvl>
    <w:lvl w:ilvl="4">
      <w:start w:val="0"/>
      <w:numFmt w:val="bullet"/>
      <w:lvlText w:val="•"/>
      <w:lvlJc w:val="left"/>
      <w:pPr>
        <w:ind w:left="2139" w:hanging="426"/>
      </w:pPr>
      <w:rPr>
        <w:rFonts w:hint="default"/>
        <w:lang w:val="en-US" w:eastAsia="en-US" w:bidi="ar-SA"/>
      </w:rPr>
    </w:lvl>
    <w:lvl w:ilvl="5">
      <w:start w:val="0"/>
      <w:numFmt w:val="bullet"/>
      <w:lvlText w:val="•"/>
      <w:lvlJc w:val="left"/>
      <w:pPr>
        <w:ind w:left="2532" w:hanging="426"/>
      </w:pPr>
      <w:rPr>
        <w:rFonts w:hint="default"/>
        <w:lang w:val="en-US" w:eastAsia="en-US" w:bidi="ar-SA"/>
      </w:rPr>
    </w:lvl>
    <w:lvl w:ilvl="6">
      <w:start w:val="0"/>
      <w:numFmt w:val="bullet"/>
      <w:lvlText w:val="•"/>
      <w:lvlJc w:val="left"/>
      <w:pPr>
        <w:ind w:left="2926" w:hanging="426"/>
      </w:pPr>
      <w:rPr>
        <w:rFonts w:hint="default"/>
        <w:lang w:val="en-US" w:eastAsia="en-US" w:bidi="ar-SA"/>
      </w:rPr>
    </w:lvl>
    <w:lvl w:ilvl="7">
      <w:start w:val="0"/>
      <w:numFmt w:val="bullet"/>
      <w:lvlText w:val="•"/>
      <w:lvlJc w:val="left"/>
      <w:pPr>
        <w:ind w:left="3319" w:hanging="426"/>
      </w:pPr>
      <w:rPr>
        <w:rFonts w:hint="default"/>
        <w:lang w:val="en-US" w:eastAsia="en-US" w:bidi="ar-SA"/>
      </w:rPr>
    </w:lvl>
    <w:lvl w:ilvl="8">
      <w:start w:val="0"/>
      <w:numFmt w:val="bullet"/>
      <w:lvlText w:val="•"/>
      <w:lvlJc w:val="left"/>
      <w:pPr>
        <w:ind w:left="3712" w:hanging="426"/>
      </w:pPr>
      <w:rPr>
        <w:rFonts w:hint="default"/>
        <w:lang w:val="en-US" w:eastAsia="en-US" w:bidi="ar-SA"/>
      </w:rPr>
    </w:lvl>
  </w:abstractNum>
  <w:abstractNum w:abstractNumId="36">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56" w:hanging="425"/>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1325" w:hanging="425"/>
      </w:pPr>
      <w:rPr>
        <w:rFonts w:hint="default"/>
        <w:lang w:val="en-US" w:eastAsia="en-US" w:bidi="ar-SA"/>
      </w:rPr>
    </w:lvl>
    <w:lvl w:ilvl="3">
      <w:start w:val="0"/>
      <w:numFmt w:val="bullet"/>
      <w:lvlText w:val="•"/>
      <w:lvlJc w:val="left"/>
      <w:pPr>
        <w:ind w:left="1691" w:hanging="425"/>
      </w:pPr>
      <w:rPr>
        <w:rFonts w:hint="default"/>
        <w:lang w:val="en-US" w:eastAsia="en-US" w:bidi="ar-SA"/>
      </w:rPr>
    </w:lvl>
    <w:lvl w:ilvl="4">
      <w:start w:val="0"/>
      <w:numFmt w:val="bullet"/>
      <w:lvlText w:val="•"/>
      <w:lvlJc w:val="left"/>
      <w:pPr>
        <w:ind w:left="2057" w:hanging="425"/>
      </w:pPr>
      <w:rPr>
        <w:rFonts w:hint="default"/>
        <w:lang w:val="en-US" w:eastAsia="en-US" w:bidi="ar-SA"/>
      </w:rPr>
    </w:lvl>
    <w:lvl w:ilvl="5">
      <w:start w:val="0"/>
      <w:numFmt w:val="bullet"/>
      <w:lvlText w:val="•"/>
      <w:lvlJc w:val="left"/>
      <w:pPr>
        <w:ind w:left="2423" w:hanging="425"/>
      </w:pPr>
      <w:rPr>
        <w:rFonts w:hint="default"/>
        <w:lang w:val="en-US" w:eastAsia="en-US" w:bidi="ar-SA"/>
      </w:rPr>
    </w:lvl>
    <w:lvl w:ilvl="6">
      <w:start w:val="0"/>
      <w:numFmt w:val="bullet"/>
      <w:lvlText w:val="•"/>
      <w:lvlJc w:val="left"/>
      <w:pPr>
        <w:ind w:left="2788" w:hanging="425"/>
      </w:pPr>
      <w:rPr>
        <w:rFonts w:hint="default"/>
        <w:lang w:val="en-US" w:eastAsia="en-US" w:bidi="ar-SA"/>
      </w:rPr>
    </w:lvl>
    <w:lvl w:ilvl="7">
      <w:start w:val="0"/>
      <w:numFmt w:val="bullet"/>
      <w:lvlText w:val="•"/>
      <w:lvlJc w:val="left"/>
      <w:pPr>
        <w:ind w:left="3154" w:hanging="425"/>
      </w:pPr>
      <w:rPr>
        <w:rFonts w:hint="default"/>
        <w:lang w:val="en-US" w:eastAsia="en-US" w:bidi="ar-SA"/>
      </w:rPr>
    </w:lvl>
    <w:lvl w:ilvl="8">
      <w:start w:val="0"/>
      <w:numFmt w:val="bullet"/>
      <w:lvlText w:val="•"/>
      <w:lvlJc w:val="left"/>
      <w:pPr>
        <w:ind w:left="3520" w:hanging="425"/>
      </w:pPr>
      <w:rPr>
        <w:rFonts w:hint="default"/>
        <w:lang w:val="en-US" w:eastAsia="en-US" w:bidi="ar-SA"/>
      </w:rPr>
    </w:lvl>
  </w:abstractNum>
  <w:abstractNum w:abstractNumId="35">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56" w:hanging="426"/>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1353" w:hanging="426"/>
      </w:pPr>
      <w:rPr>
        <w:rFonts w:hint="default"/>
        <w:lang w:val="en-US" w:eastAsia="en-US" w:bidi="ar-SA"/>
      </w:rPr>
    </w:lvl>
    <w:lvl w:ilvl="3">
      <w:start w:val="0"/>
      <w:numFmt w:val="bullet"/>
      <w:lvlText w:val="•"/>
      <w:lvlJc w:val="left"/>
      <w:pPr>
        <w:ind w:left="1746" w:hanging="426"/>
      </w:pPr>
      <w:rPr>
        <w:rFonts w:hint="default"/>
        <w:lang w:val="en-US" w:eastAsia="en-US" w:bidi="ar-SA"/>
      </w:rPr>
    </w:lvl>
    <w:lvl w:ilvl="4">
      <w:start w:val="0"/>
      <w:numFmt w:val="bullet"/>
      <w:lvlText w:val="•"/>
      <w:lvlJc w:val="left"/>
      <w:pPr>
        <w:ind w:left="2139" w:hanging="426"/>
      </w:pPr>
      <w:rPr>
        <w:rFonts w:hint="default"/>
        <w:lang w:val="en-US" w:eastAsia="en-US" w:bidi="ar-SA"/>
      </w:rPr>
    </w:lvl>
    <w:lvl w:ilvl="5">
      <w:start w:val="0"/>
      <w:numFmt w:val="bullet"/>
      <w:lvlText w:val="•"/>
      <w:lvlJc w:val="left"/>
      <w:pPr>
        <w:ind w:left="2532" w:hanging="426"/>
      </w:pPr>
      <w:rPr>
        <w:rFonts w:hint="default"/>
        <w:lang w:val="en-US" w:eastAsia="en-US" w:bidi="ar-SA"/>
      </w:rPr>
    </w:lvl>
    <w:lvl w:ilvl="6">
      <w:start w:val="0"/>
      <w:numFmt w:val="bullet"/>
      <w:lvlText w:val="•"/>
      <w:lvlJc w:val="left"/>
      <w:pPr>
        <w:ind w:left="2926" w:hanging="426"/>
      </w:pPr>
      <w:rPr>
        <w:rFonts w:hint="default"/>
        <w:lang w:val="en-US" w:eastAsia="en-US" w:bidi="ar-SA"/>
      </w:rPr>
    </w:lvl>
    <w:lvl w:ilvl="7">
      <w:start w:val="0"/>
      <w:numFmt w:val="bullet"/>
      <w:lvlText w:val="•"/>
      <w:lvlJc w:val="left"/>
      <w:pPr>
        <w:ind w:left="3319" w:hanging="426"/>
      </w:pPr>
      <w:rPr>
        <w:rFonts w:hint="default"/>
        <w:lang w:val="en-US" w:eastAsia="en-US" w:bidi="ar-SA"/>
      </w:rPr>
    </w:lvl>
    <w:lvl w:ilvl="8">
      <w:start w:val="0"/>
      <w:numFmt w:val="bullet"/>
      <w:lvlText w:val="•"/>
      <w:lvlJc w:val="left"/>
      <w:pPr>
        <w:ind w:left="3712" w:hanging="426"/>
      </w:pPr>
      <w:rPr>
        <w:rFonts w:hint="default"/>
        <w:lang w:val="en-US" w:eastAsia="en-US" w:bidi="ar-SA"/>
      </w:rPr>
    </w:lvl>
  </w:abstractNum>
  <w:abstractNum w:abstractNumId="34">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3">
    <w:multiLevelType w:val="hybridMultilevel"/>
    <w:lvl w:ilvl="0">
      <w:start w:val="0"/>
      <w:numFmt w:val="bullet"/>
      <w:lvlText w:val=""/>
      <w:lvlJc w:val="left"/>
      <w:pPr>
        <w:ind w:left="646" w:hanging="425"/>
      </w:pPr>
      <w:rPr>
        <w:rFonts w:hint="default" w:ascii="Symbol" w:hAnsi="Symbol" w:eastAsia="Symbol" w:cs="Symbol"/>
        <w:spacing w:val="0"/>
        <w:w w:val="100"/>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2">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1">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30">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29">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28">
    <w:multiLevelType w:val="hybridMultilevel"/>
    <w:lvl w:ilvl="0">
      <w:start w:val="0"/>
      <w:numFmt w:val="bullet"/>
      <w:lvlText w:val=""/>
      <w:lvlJc w:val="left"/>
      <w:pPr>
        <w:ind w:left="646" w:hanging="425"/>
      </w:pPr>
      <w:rPr>
        <w:rFonts w:hint="default" w:ascii="Symbol" w:hAnsi="Symbol" w:eastAsia="Symbol" w:cs="Symbol"/>
        <w:spacing w:val="0"/>
        <w:w w:val="100"/>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27">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26">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5">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4">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3">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2">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1">
    <w:multiLevelType w:val="hybridMultilevel"/>
    <w:lvl w:ilvl="0">
      <w:start w:val="0"/>
      <w:numFmt w:val="bullet"/>
      <w:lvlText w:val="•"/>
      <w:lvlJc w:val="left"/>
      <w:pPr>
        <w:ind w:left="531"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944" w:hanging="425"/>
      </w:pPr>
      <w:rPr>
        <w:rFonts w:hint="default"/>
        <w:lang w:val="en-US" w:eastAsia="en-US" w:bidi="ar-SA"/>
      </w:rPr>
    </w:lvl>
    <w:lvl w:ilvl="2">
      <w:start w:val="0"/>
      <w:numFmt w:val="bullet"/>
      <w:lvlText w:val="•"/>
      <w:lvlJc w:val="left"/>
      <w:pPr>
        <w:ind w:left="1349" w:hanging="425"/>
      </w:pPr>
      <w:rPr>
        <w:rFonts w:hint="default"/>
        <w:lang w:val="en-US" w:eastAsia="en-US" w:bidi="ar-SA"/>
      </w:rPr>
    </w:lvl>
    <w:lvl w:ilvl="3">
      <w:start w:val="0"/>
      <w:numFmt w:val="bullet"/>
      <w:lvlText w:val="•"/>
      <w:lvlJc w:val="left"/>
      <w:pPr>
        <w:ind w:left="1753" w:hanging="425"/>
      </w:pPr>
      <w:rPr>
        <w:rFonts w:hint="default"/>
        <w:lang w:val="en-US" w:eastAsia="en-US" w:bidi="ar-SA"/>
      </w:rPr>
    </w:lvl>
    <w:lvl w:ilvl="4">
      <w:start w:val="0"/>
      <w:numFmt w:val="bullet"/>
      <w:lvlText w:val="•"/>
      <w:lvlJc w:val="left"/>
      <w:pPr>
        <w:ind w:left="2158" w:hanging="425"/>
      </w:pPr>
      <w:rPr>
        <w:rFonts w:hint="default"/>
        <w:lang w:val="en-US" w:eastAsia="en-US" w:bidi="ar-SA"/>
      </w:rPr>
    </w:lvl>
    <w:lvl w:ilvl="5">
      <w:start w:val="0"/>
      <w:numFmt w:val="bullet"/>
      <w:lvlText w:val="•"/>
      <w:lvlJc w:val="left"/>
      <w:pPr>
        <w:ind w:left="2562" w:hanging="425"/>
      </w:pPr>
      <w:rPr>
        <w:rFonts w:hint="default"/>
        <w:lang w:val="en-US" w:eastAsia="en-US" w:bidi="ar-SA"/>
      </w:rPr>
    </w:lvl>
    <w:lvl w:ilvl="6">
      <w:start w:val="0"/>
      <w:numFmt w:val="bullet"/>
      <w:lvlText w:val="•"/>
      <w:lvlJc w:val="left"/>
      <w:pPr>
        <w:ind w:left="2967" w:hanging="425"/>
      </w:pPr>
      <w:rPr>
        <w:rFonts w:hint="default"/>
        <w:lang w:val="en-US" w:eastAsia="en-US" w:bidi="ar-SA"/>
      </w:rPr>
    </w:lvl>
    <w:lvl w:ilvl="7">
      <w:start w:val="0"/>
      <w:numFmt w:val="bullet"/>
      <w:lvlText w:val="•"/>
      <w:lvlJc w:val="left"/>
      <w:pPr>
        <w:ind w:left="3371" w:hanging="425"/>
      </w:pPr>
      <w:rPr>
        <w:rFonts w:hint="default"/>
        <w:lang w:val="en-US" w:eastAsia="en-US" w:bidi="ar-SA"/>
      </w:rPr>
    </w:lvl>
    <w:lvl w:ilvl="8">
      <w:start w:val="0"/>
      <w:numFmt w:val="bullet"/>
      <w:lvlText w:val="•"/>
      <w:lvlJc w:val="left"/>
      <w:pPr>
        <w:ind w:left="3776" w:hanging="425"/>
      </w:pPr>
      <w:rPr>
        <w:rFonts w:hint="default"/>
        <w:lang w:val="en-US" w:eastAsia="en-US" w:bidi="ar-SA"/>
      </w:rPr>
    </w:lvl>
  </w:abstractNum>
  <w:abstractNum w:abstractNumId="20">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762" w:hanging="425"/>
      </w:pPr>
      <w:rPr>
        <w:rFonts w:hint="default"/>
        <w:lang w:val="en-US" w:eastAsia="en-US" w:bidi="ar-SA"/>
      </w:rPr>
    </w:lvl>
    <w:lvl w:ilvl="2">
      <w:start w:val="0"/>
      <w:numFmt w:val="bullet"/>
      <w:lvlText w:val="•"/>
      <w:lvlJc w:val="left"/>
      <w:pPr>
        <w:ind w:left="985" w:hanging="425"/>
      </w:pPr>
      <w:rPr>
        <w:rFonts w:hint="default"/>
        <w:lang w:val="en-US" w:eastAsia="en-US" w:bidi="ar-SA"/>
      </w:rPr>
    </w:lvl>
    <w:lvl w:ilvl="3">
      <w:start w:val="0"/>
      <w:numFmt w:val="bullet"/>
      <w:lvlText w:val="•"/>
      <w:lvlJc w:val="left"/>
      <w:pPr>
        <w:ind w:left="1208" w:hanging="425"/>
      </w:pPr>
      <w:rPr>
        <w:rFonts w:hint="default"/>
        <w:lang w:val="en-US" w:eastAsia="en-US" w:bidi="ar-SA"/>
      </w:rPr>
    </w:lvl>
    <w:lvl w:ilvl="4">
      <w:start w:val="0"/>
      <w:numFmt w:val="bullet"/>
      <w:lvlText w:val="•"/>
      <w:lvlJc w:val="left"/>
      <w:pPr>
        <w:ind w:left="1430" w:hanging="425"/>
      </w:pPr>
      <w:rPr>
        <w:rFonts w:hint="default"/>
        <w:lang w:val="en-US" w:eastAsia="en-US" w:bidi="ar-SA"/>
      </w:rPr>
    </w:lvl>
    <w:lvl w:ilvl="5">
      <w:start w:val="0"/>
      <w:numFmt w:val="bullet"/>
      <w:lvlText w:val="•"/>
      <w:lvlJc w:val="left"/>
      <w:pPr>
        <w:ind w:left="1653" w:hanging="425"/>
      </w:pPr>
      <w:rPr>
        <w:rFonts w:hint="default"/>
        <w:lang w:val="en-US" w:eastAsia="en-US" w:bidi="ar-SA"/>
      </w:rPr>
    </w:lvl>
    <w:lvl w:ilvl="6">
      <w:start w:val="0"/>
      <w:numFmt w:val="bullet"/>
      <w:lvlText w:val="•"/>
      <w:lvlJc w:val="left"/>
      <w:pPr>
        <w:ind w:left="1876" w:hanging="425"/>
      </w:pPr>
      <w:rPr>
        <w:rFonts w:hint="default"/>
        <w:lang w:val="en-US" w:eastAsia="en-US" w:bidi="ar-SA"/>
      </w:rPr>
    </w:lvl>
    <w:lvl w:ilvl="7">
      <w:start w:val="0"/>
      <w:numFmt w:val="bullet"/>
      <w:lvlText w:val="•"/>
      <w:lvlJc w:val="left"/>
      <w:pPr>
        <w:ind w:left="2098" w:hanging="425"/>
      </w:pPr>
      <w:rPr>
        <w:rFonts w:hint="default"/>
        <w:lang w:val="en-US" w:eastAsia="en-US" w:bidi="ar-SA"/>
      </w:rPr>
    </w:lvl>
    <w:lvl w:ilvl="8">
      <w:start w:val="0"/>
      <w:numFmt w:val="bullet"/>
      <w:lvlText w:val="•"/>
      <w:lvlJc w:val="left"/>
      <w:pPr>
        <w:ind w:left="2321" w:hanging="425"/>
      </w:pPr>
      <w:rPr>
        <w:rFonts w:hint="default"/>
        <w:lang w:val="en-US" w:eastAsia="en-US" w:bidi="ar-SA"/>
      </w:rPr>
    </w:lvl>
  </w:abstractNum>
  <w:abstractNum w:abstractNumId="19">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8">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7">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6">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2">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6">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0" w:hanging="425"/>
      </w:pPr>
      <w:rPr>
        <w:rFonts w:hint="default"/>
        <w:lang w:val="en-US" w:eastAsia="en-US" w:bidi="ar-SA"/>
      </w:rPr>
    </w:lvl>
    <w:lvl w:ilvl="2">
      <w:start w:val="0"/>
      <w:numFmt w:val="bullet"/>
      <w:lvlText w:val="•"/>
      <w:lvlJc w:val="left"/>
      <w:pPr>
        <w:ind w:left="2381" w:hanging="425"/>
      </w:pPr>
      <w:rPr>
        <w:rFonts w:hint="default"/>
        <w:lang w:val="en-US" w:eastAsia="en-US" w:bidi="ar-SA"/>
      </w:rPr>
    </w:lvl>
    <w:lvl w:ilvl="3">
      <w:start w:val="0"/>
      <w:numFmt w:val="bullet"/>
      <w:lvlText w:val="•"/>
      <w:lvlJc w:val="left"/>
      <w:pPr>
        <w:ind w:left="3252" w:hanging="425"/>
      </w:pPr>
      <w:rPr>
        <w:rFonts w:hint="default"/>
        <w:lang w:val="en-US" w:eastAsia="en-US" w:bidi="ar-SA"/>
      </w:rPr>
    </w:lvl>
    <w:lvl w:ilvl="4">
      <w:start w:val="0"/>
      <w:numFmt w:val="bullet"/>
      <w:lvlText w:val="•"/>
      <w:lvlJc w:val="left"/>
      <w:pPr>
        <w:ind w:left="4123" w:hanging="425"/>
      </w:pPr>
      <w:rPr>
        <w:rFonts w:hint="default"/>
        <w:lang w:val="en-US" w:eastAsia="en-US" w:bidi="ar-SA"/>
      </w:rPr>
    </w:lvl>
    <w:lvl w:ilvl="5">
      <w:start w:val="0"/>
      <w:numFmt w:val="bullet"/>
      <w:lvlText w:val="•"/>
      <w:lvlJc w:val="left"/>
      <w:pPr>
        <w:ind w:left="4993" w:hanging="425"/>
      </w:pPr>
      <w:rPr>
        <w:rFonts w:hint="default"/>
        <w:lang w:val="en-US" w:eastAsia="en-US" w:bidi="ar-SA"/>
      </w:rPr>
    </w:lvl>
    <w:lvl w:ilvl="6">
      <w:start w:val="0"/>
      <w:numFmt w:val="bullet"/>
      <w:lvlText w:val="•"/>
      <w:lvlJc w:val="left"/>
      <w:pPr>
        <w:ind w:left="5864" w:hanging="425"/>
      </w:pPr>
      <w:rPr>
        <w:rFonts w:hint="default"/>
        <w:lang w:val="en-US" w:eastAsia="en-US" w:bidi="ar-SA"/>
      </w:rPr>
    </w:lvl>
    <w:lvl w:ilvl="7">
      <w:start w:val="0"/>
      <w:numFmt w:val="bullet"/>
      <w:lvlText w:val="•"/>
      <w:lvlJc w:val="left"/>
      <w:pPr>
        <w:ind w:left="6735" w:hanging="425"/>
      </w:pPr>
      <w:rPr>
        <w:rFonts w:hint="default"/>
        <w:lang w:val="en-US" w:eastAsia="en-US" w:bidi="ar-SA"/>
      </w:rPr>
    </w:lvl>
    <w:lvl w:ilvl="8">
      <w:start w:val="0"/>
      <w:numFmt w:val="bullet"/>
      <w:lvlText w:val="•"/>
      <w:lvlJc w:val="left"/>
      <w:pPr>
        <w:ind w:left="7606" w:hanging="425"/>
      </w:pPr>
      <w:rPr>
        <w:rFonts w:hint="default"/>
        <w:lang w:val="en-US" w:eastAsia="en-US" w:bidi="ar-SA"/>
      </w:rPr>
    </w:lvl>
  </w:abstractNum>
  <w:abstractNum w:abstractNumId="15">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071" w:hanging="4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14">
    <w:multiLevelType w:val="hybridMultilevel"/>
    <w:lvl w:ilvl="0">
      <w:start w:val="1"/>
      <w:numFmt w:val="decimal"/>
      <w:lvlText w:val="%1"/>
      <w:lvlJc w:val="left"/>
      <w:pPr>
        <w:ind w:left="64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071" w:hanging="4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13">
    <w:multiLevelType w:val="hybridMultilevel"/>
    <w:lvl w:ilvl="0">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1" w:hanging="42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998" w:hanging="426"/>
      </w:pPr>
      <w:rPr>
        <w:rFonts w:hint="default"/>
        <w:lang w:val="en-US" w:eastAsia="en-US" w:bidi="ar-SA"/>
      </w:rPr>
    </w:lvl>
    <w:lvl w:ilvl="3">
      <w:start w:val="0"/>
      <w:numFmt w:val="bullet"/>
      <w:lvlText w:val="•"/>
      <w:lvlJc w:val="left"/>
      <w:pPr>
        <w:ind w:left="2917" w:hanging="426"/>
      </w:pPr>
      <w:rPr>
        <w:rFonts w:hint="default"/>
        <w:lang w:val="en-US" w:eastAsia="en-US" w:bidi="ar-SA"/>
      </w:rPr>
    </w:lvl>
    <w:lvl w:ilvl="4">
      <w:start w:val="0"/>
      <w:numFmt w:val="bullet"/>
      <w:lvlText w:val="•"/>
      <w:lvlJc w:val="left"/>
      <w:pPr>
        <w:ind w:left="3835" w:hanging="426"/>
      </w:pPr>
      <w:rPr>
        <w:rFonts w:hint="default"/>
        <w:lang w:val="en-US" w:eastAsia="en-US" w:bidi="ar-SA"/>
      </w:rPr>
    </w:lvl>
    <w:lvl w:ilvl="5">
      <w:start w:val="0"/>
      <w:numFmt w:val="bullet"/>
      <w:lvlText w:val="•"/>
      <w:lvlJc w:val="left"/>
      <w:pPr>
        <w:ind w:left="4754" w:hanging="426"/>
      </w:pPr>
      <w:rPr>
        <w:rFonts w:hint="default"/>
        <w:lang w:val="en-US" w:eastAsia="en-US" w:bidi="ar-SA"/>
      </w:rPr>
    </w:lvl>
    <w:lvl w:ilvl="6">
      <w:start w:val="0"/>
      <w:numFmt w:val="bullet"/>
      <w:lvlText w:val="•"/>
      <w:lvlJc w:val="left"/>
      <w:pPr>
        <w:ind w:left="5673" w:hanging="426"/>
      </w:pPr>
      <w:rPr>
        <w:rFonts w:hint="default"/>
        <w:lang w:val="en-US" w:eastAsia="en-US" w:bidi="ar-SA"/>
      </w:rPr>
    </w:lvl>
    <w:lvl w:ilvl="7">
      <w:start w:val="0"/>
      <w:numFmt w:val="bullet"/>
      <w:lvlText w:val="•"/>
      <w:lvlJc w:val="left"/>
      <w:pPr>
        <w:ind w:left="6591" w:hanging="426"/>
      </w:pPr>
      <w:rPr>
        <w:rFonts w:hint="default"/>
        <w:lang w:val="en-US" w:eastAsia="en-US" w:bidi="ar-SA"/>
      </w:rPr>
    </w:lvl>
    <w:lvl w:ilvl="8">
      <w:start w:val="0"/>
      <w:numFmt w:val="bullet"/>
      <w:lvlText w:val="•"/>
      <w:lvlJc w:val="left"/>
      <w:pPr>
        <w:ind w:left="7510" w:hanging="426"/>
      </w:pPr>
      <w:rPr>
        <w:rFonts w:hint="default"/>
        <w:lang w:val="en-US" w:eastAsia="en-US" w:bidi="ar-SA"/>
      </w:rPr>
    </w:lvl>
  </w:abstractNum>
  <w:abstractNum w:abstractNumId="11">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10">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9">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8">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7">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57" w:hanging="425"/>
      </w:pPr>
      <w:rPr>
        <w:rFonts w:hint="default"/>
        <w:lang w:val="en-US" w:eastAsia="en-US" w:bidi="ar-SA"/>
      </w:rPr>
    </w:lvl>
    <w:lvl w:ilvl="2">
      <w:start w:val="0"/>
      <w:numFmt w:val="bullet"/>
      <w:lvlText w:val="•"/>
      <w:lvlJc w:val="left"/>
      <w:pPr>
        <w:ind w:left="1574" w:hanging="425"/>
      </w:pPr>
      <w:rPr>
        <w:rFonts w:hint="default"/>
        <w:lang w:val="en-US" w:eastAsia="en-US" w:bidi="ar-SA"/>
      </w:rPr>
    </w:lvl>
    <w:lvl w:ilvl="3">
      <w:start w:val="0"/>
      <w:numFmt w:val="bullet"/>
      <w:lvlText w:val="•"/>
      <w:lvlJc w:val="left"/>
      <w:pPr>
        <w:ind w:left="2091" w:hanging="425"/>
      </w:pPr>
      <w:rPr>
        <w:rFonts w:hint="default"/>
        <w:lang w:val="en-US" w:eastAsia="en-US" w:bidi="ar-SA"/>
      </w:rPr>
    </w:lvl>
    <w:lvl w:ilvl="4">
      <w:start w:val="0"/>
      <w:numFmt w:val="bullet"/>
      <w:lvlText w:val="•"/>
      <w:lvlJc w:val="left"/>
      <w:pPr>
        <w:ind w:left="2608" w:hanging="425"/>
      </w:pPr>
      <w:rPr>
        <w:rFonts w:hint="default"/>
        <w:lang w:val="en-US" w:eastAsia="en-US" w:bidi="ar-SA"/>
      </w:rPr>
    </w:lvl>
    <w:lvl w:ilvl="5">
      <w:start w:val="0"/>
      <w:numFmt w:val="bullet"/>
      <w:lvlText w:val="•"/>
      <w:lvlJc w:val="left"/>
      <w:pPr>
        <w:ind w:left="3125" w:hanging="425"/>
      </w:pPr>
      <w:rPr>
        <w:rFonts w:hint="default"/>
        <w:lang w:val="en-US" w:eastAsia="en-US" w:bidi="ar-SA"/>
      </w:rPr>
    </w:lvl>
    <w:lvl w:ilvl="6">
      <w:start w:val="0"/>
      <w:numFmt w:val="bullet"/>
      <w:lvlText w:val="•"/>
      <w:lvlJc w:val="left"/>
      <w:pPr>
        <w:ind w:left="3642" w:hanging="425"/>
      </w:pPr>
      <w:rPr>
        <w:rFonts w:hint="default"/>
        <w:lang w:val="en-US" w:eastAsia="en-US" w:bidi="ar-SA"/>
      </w:rPr>
    </w:lvl>
    <w:lvl w:ilvl="7">
      <w:start w:val="0"/>
      <w:numFmt w:val="bullet"/>
      <w:lvlText w:val="•"/>
      <w:lvlJc w:val="left"/>
      <w:pPr>
        <w:ind w:left="4159" w:hanging="425"/>
      </w:pPr>
      <w:rPr>
        <w:rFonts w:hint="default"/>
        <w:lang w:val="en-US" w:eastAsia="en-US" w:bidi="ar-SA"/>
      </w:rPr>
    </w:lvl>
    <w:lvl w:ilvl="8">
      <w:start w:val="0"/>
      <w:numFmt w:val="bullet"/>
      <w:lvlText w:val="•"/>
      <w:lvlJc w:val="left"/>
      <w:pPr>
        <w:ind w:left="4676" w:hanging="425"/>
      </w:pPr>
      <w:rPr>
        <w:rFonts w:hint="default"/>
        <w:lang w:val="en-US" w:eastAsia="en-US" w:bidi="ar-SA"/>
      </w:rPr>
    </w:lvl>
  </w:abstractNum>
  <w:abstractNum w:abstractNumId="4">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60" w:hanging="425"/>
      </w:pPr>
      <w:rPr>
        <w:rFonts w:hint="default"/>
        <w:lang w:val="en-US" w:eastAsia="en-US" w:bidi="ar-SA"/>
      </w:rPr>
    </w:lvl>
    <w:lvl w:ilvl="2">
      <w:start w:val="0"/>
      <w:numFmt w:val="bullet"/>
      <w:lvlText w:val="•"/>
      <w:lvlJc w:val="left"/>
      <w:pPr>
        <w:ind w:left="1581" w:hanging="425"/>
      </w:pPr>
      <w:rPr>
        <w:rFonts w:hint="default"/>
        <w:lang w:val="en-US" w:eastAsia="en-US" w:bidi="ar-SA"/>
      </w:rPr>
    </w:lvl>
    <w:lvl w:ilvl="3">
      <w:start w:val="0"/>
      <w:numFmt w:val="bullet"/>
      <w:lvlText w:val="•"/>
      <w:lvlJc w:val="left"/>
      <w:pPr>
        <w:ind w:left="2101" w:hanging="425"/>
      </w:pPr>
      <w:rPr>
        <w:rFonts w:hint="default"/>
        <w:lang w:val="en-US" w:eastAsia="en-US" w:bidi="ar-SA"/>
      </w:rPr>
    </w:lvl>
    <w:lvl w:ilvl="4">
      <w:start w:val="0"/>
      <w:numFmt w:val="bullet"/>
      <w:lvlText w:val="•"/>
      <w:lvlJc w:val="left"/>
      <w:pPr>
        <w:ind w:left="2622" w:hanging="425"/>
      </w:pPr>
      <w:rPr>
        <w:rFonts w:hint="default"/>
        <w:lang w:val="en-US" w:eastAsia="en-US" w:bidi="ar-SA"/>
      </w:rPr>
    </w:lvl>
    <w:lvl w:ilvl="5">
      <w:start w:val="0"/>
      <w:numFmt w:val="bullet"/>
      <w:lvlText w:val="•"/>
      <w:lvlJc w:val="left"/>
      <w:pPr>
        <w:ind w:left="3143" w:hanging="425"/>
      </w:pPr>
      <w:rPr>
        <w:rFonts w:hint="default"/>
        <w:lang w:val="en-US" w:eastAsia="en-US" w:bidi="ar-SA"/>
      </w:rPr>
    </w:lvl>
    <w:lvl w:ilvl="6">
      <w:start w:val="0"/>
      <w:numFmt w:val="bullet"/>
      <w:lvlText w:val="•"/>
      <w:lvlJc w:val="left"/>
      <w:pPr>
        <w:ind w:left="3663" w:hanging="425"/>
      </w:pPr>
      <w:rPr>
        <w:rFonts w:hint="default"/>
        <w:lang w:val="en-US" w:eastAsia="en-US" w:bidi="ar-SA"/>
      </w:rPr>
    </w:lvl>
    <w:lvl w:ilvl="7">
      <w:start w:val="0"/>
      <w:numFmt w:val="bullet"/>
      <w:lvlText w:val="•"/>
      <w:lvlJc w:val="left"/>
      <w:pPr>
        <w:ind w:left="4184" w:hanging="425"/>
      </w:pPr>
      <w:rPr>
        <w:rFonts w:hint="default"/>
        <w:lang w:val="en-US" w:eastAsia="en-US" w:bidi="ar-SA"/>
      </w:rPr>
    </w:lvl>
    <w:lvl w:ilvl="8">
      <w:start w:val="0"/>
      <w:numFmt w:val="bullet"/>
      <w:lvlText w:val="•"/>
      <w:lvlJc w:val="left"/>
      <w:pPr>
        <w:ind w:left="4704" w:hanging="425"/>
      </w:pPr>
      <w:rPr>
        <w:rFonts w:hint="default"/>
        <w:lang w:val="en-US" w:eastAsia="en-US" w:bidi="ar-SA"/>
      </w:rPr>
    </w:lvl>
  </w:abstractNum>
  <w:abstractNum w:abstractNumId="3">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060" w:hanging="425"/>
      </w:pPr>
      <w:rPr>
        <w:rFonts w:hint="default"/>
        <w:lang w:val="en-US" w:eastAsia="en-US" w:bidi="ar-SA"/>
      </w:rPr>
    </w:lvl>
    <w:lvl w:ilvl="2">
      <w:start w:val="0"/>
      <w:numFmt w:val="bullet"/>
      <w:lvlText w:val="•"/>
      <w:lvlJc w:val="left"/>
      <w:pPr>
        <w:ind w:left="1581" w:hanging="425"/>
      </w:pPr>
      <w:rPr>
        <w:rFonts w:hint="default"/>
        <w:lang w:val="en-US" w:eastAsia="en-US" w:bidi="ar-SA"/>
      </w:rPr>
    </w:lvl>
    <w:lvl w:ilvl="3">
      <w:start w:val="0"/>
      <w:numFmt w:val="bullet"/>
      <w:lvlText w:val="•"/>
      <w:lvlJc w:val="left"/>
      <w:pPr>
        <w:ind w:left="2101" w:hanging="425"/>
      </w:pPr>
      <w:rPr>
        <w:rFonts w:hint="default"/>
        <w:lang w:val="en-US" w:eastAsia="en-US" w:bidi="ar-SA"/>
      </w:rPr>
    </w:lvl>
    <w:lvl w:ilvl="4">
      <w:start w:val="0"/>
      <w:numFmt w:val="bullet"/>
      <w:lvlText w:val="•"/>
      <w:lvlJc w:val="left"/>
      <w:pPr>
        <w:ind w:left="2622" w:hanging="425"/>
      </w:pPr>
      <w:rPr>
        <w:rFonts w:hint="default"/>
        <w:lang w:val="en-US" w:eastAsia="en-US" w:bidi="ar-SA"/>
      </w:rPr>
    </w:lvl>
    <w:lvl w:ilvl="5">
      <w:start w:val="0"/>
      <w:numFmt w:val="bullet"/>
      <w:lvlText w:val="•"/>
      <w:lvlJc w:val="left"/>
      <w:pPr>
        <w:ind w:left="3143" w:hanging="425"/>
      </w:pPr>
      <w:rPr>
        <w:rFonts w:hint="default"/>
        <w:lang w:val="en-US" w:eastAsia="en-US" w:bidi="ar-SA"/>
      </w:rPr>
    </w:lvl>
    <w:lvl w:ilvl="6">
      <w:start w:val="0"/>
      <w:numFmt w:val="bullet"/>
      <w:lvlText w:val="•"/>
      <w:lvlJc w:val="left"/>
      <w:pPr>
        <w:ind w:left="3663" w:hanging="425"/>
      </w:pPr>
      <w:rPr>
        <w:rFonts w:hint="default"/>
        <w:lang w:val="en-US" w:eastAsia="en-US" w:bidi="ar-SA"/>
      </w:rPr>
    </w:lvl>
    <w:lvl w:ilvl="7">
      <w:start w:val="0"/>
      <w:numFmt w:val="bullet"/>
      <w:lvlText w:val="•"/>
      <w:lvlJc w:val="left"/>
      <w:pPr>
        <w:ind w:left="4184" w:hanging="425"/>
      </w:pPr>
      <w:rPr>
        <w:rFonts w:hint="default"/>
        <w:lang w:val="en-US" w:eastAsia="en-US" w:bidi="ar-SA"/>
      </w:rPr>
    </w:lvl>
    <w:lvl w:ilvl="8">
      <w:start w:val="0"/>
      <w:numFmt w:val="bullet"/>
      <w:lvlText w:val="•"/>
      <w:lvlJc w:val="left"/>
      <w:pPr>
        <w:ind w:left="4704" w:hanging="425"/>
      </w:pPr>
      <w:rPr>
        <w:rFonts w:hint="default"/>
        <w:lang w:val="en-US" w:eastAsia="en-US" w:bidi="ar-SA"/>
      </w:rPr>
    </w:lvl>
  </w:abstractNum>
  <w:abstractNum w:abstractNumId="2">
    <w:multiLevelType w:val="hybridMultilevel"/>
    <w:lvl w:ilvl="0">
      <w:start w:val="1"/>
      <w:numFmt w:val="decimal"/>
      <w:lvlText w:val="%1"/>
      <w:lvlJc w:val="left"/>
      <w:pPr>
        <w:ind w:left="1356" w:hanging="1135"/>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356" w:hanging="1135"/>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374" w:hanging="1153"/>
        <w:jc w:val="right"/>
      </w:pPr>
      <w:rPr>
        <w:rFonts w:hint="default" w:ascii="Times New Roman" w:hAnsi="Times New Roman" w:eastAsia="Times New Roman" w:cs="Times New Roman"/>
        <w:b/>
        <w:bCs/>
        <w:i w:val="0"/>
        <w:iCs w:val="0"/>
        <w:spacing w:val="-2"/>
        <w:w w:val="100"/>
        <w:sz w:val="26"/>
        <w:szCs w:val="26"/>
        <w:lang w:val="en-US" w:eastAsia="en-US" w:bidi="ar-SA"/>
      </w:rPr>
    </w:lvl>
    <w:lvl w:ilvl="3">
      <w:start w:val="1"/>
      <w:numFmt w:val="decimal"/>
      <w:lvlText w:val="%1.%2.%3.%4"/>
      <w:lvlJc w:val="left"/>
      <w:pPr>
        <w:ind w:left="1356" w:hanging="1135"/>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decimal"/>
      <w:lvlText w:val="%1.%2.%3.%4.%5"/>
      <w:lvlJc w:val="left"/>
      <w:pPr>
        <w:ind w:left="1356" w:hanging="1135"/>
        <w:jc w:val="left"/>
      </w:pPr>
      <w:rPr>
        <w:rFonts w:hint="default" w:ascii="Times New Roman" w:hAnsi="Times New Roman" w:eastAsia="Times New Roman" w:cs="Times New Roman"/>
        <w:b/>
        <w:bCs/>
        <w:i w:val="0"/>
        <w:iCs w:val="0"/>
        <w:spacing w:val="0"/>
        <w:w w:val="99"/>
        <w:sz w:val="22"/>
        <w:szCs w:val="22"/>
        <w:lang w:val="en-US" w:eastAsia="en-US" w:bidi="ar-SA"/>
      </w:rPr>
    </w:lvl>
    <w:lvl w:ilvl="5">
      <w:start w:val="0"/>
      <w:numFmt w:val="bullet"/>
      <w:lvlText w:val=""/>
      <w:lvlJc w:val="left"/>
      <w:pPr>
        <w:ind w:left="646" w:hanging="425"/>
      </w:pPr>
      <w:rPr>
        <w:rFonts w:hint="default" w:ascii="Symbol" w:hAnsi="Symbol" w:eastAsia="Symbol" w:cs="Symbol"/>
        <w:b w:val="0"/>
        <w:bCs w:val="0"/>
        <w:i w:val="0"/>
        <w:iCs w:val="0"/>
        <w:spacing w:val="0"/>
        <w:w w:val="100"/>
        <w:sz w:val="24"/>
        <w:szCs w:val="24"/>
        <w:lang w:val="en-US" w:eastAsia="en-US" w:bidi="ar-SA"/>
      </w:rPr>
    </w:lvl>
    <w:lvl w:ilvl="6">
      <w:start w:val="0"/>
      <w:numFmt w:val="bullet"/>
      <w:lvlText w:val="•"/>
      <w:lvlJc w:val="left"/>
      <w:pPr>
        <w:ind w:left="5363" w:hanging="425"/>
      </w:pPr>
      <w:rPr>
        <w:rFonts w:hint="default"/>
        <w:lang w:val="en-US" w:eastAsia="en-US" w:bidi="ar-SA"/>
      </w:rPr>
    </w:lvl>
    <w:lvl w:ilvl="7">
      <w:start w:val="0"/>
      <w:numFmt w:val="bullet"/>
      <w:lvlText w:val="•"/>
      <w:lvlJc w:val="left"/>
      <w:pPr>
        <w:ind w:left="6359" w:hanging="425"/>
      </w:pPr>
      <w:rPr>
        <w:rFonts w:hint="default"/>
        <w:lang w:val="en-US" w:eastAsia="en-US" w:bidi="ar-SA"/>
      </w:rPr>
    </w:lvl>
    <w:lvl w:ilvl="8">
      <w:start w:val="0"/>
      <w:numFmt w:val="bullet"/>
      <w:lvlText w:val="•"/>
      <w:lvlJc w:val="left"/>
      <w:pPr>
        <w:ind w:left="7355" w:hanging="425"/>
      </w:pPr>
      <w:rPr>
        <w:rFonts w:hint="default"/>
        <w:lang w:val="en-US" w:eastAsia="en-US" w:bidi="ar-SA"/>
      </w:rPr>
    </w:lvl>
  </w:abstractNum>
  <w:abstractNum w:abstractNumId="1">
    <w:multiLevelType w:val="hybridMultilevel"/>
    <w:lvl w:ilvl="0">
      <w:start w:val="1"/>
      <w:numFmt w:val="decimal"/>
      <w:lvlText w:val="%1"/>
      <w:lvlJc w:val="left"/>
      <w:pPr>
        <w:ind w:left="1356" w:hanging="11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356" w:hanging="11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56" w:hanging="11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1356" w:hanging="11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555" w:hanging="1135"/>
      </w:pPr>
      <w:rPr>
        <w:rFonts w:hint="default"/>
        <w:lang w:val="en-US" w:eastAsia="en-US" w:bidi="ar-SA"/>
      </w:rPr>
    </w:lvl>
    <w:lvl w:ilvl="5">
      <w:start w:val="0"/>
      <w:numFmt w:val="bullet"/>
      <w:lvlText w:val="•"/>
      <w:lvlJc w:val="left"/>
      <w:pPr>
        <w:ind w:left="5353" w:hanging="1135"/>
      </w:pPr>
      <w:rPr>
        <w:rFonts w:hint="default"/>
        <w:lang w:val="en-US" w:eastAsia="en-US" w:bidi="ar-SA"/>
      </w:rPr>
    </w:lvl>
    <w:lvl w:ilvl="6">
      <w:start w:val="0"/>
      <w:numFmt w:val="bullet"/>
      <w:lvlText w:val="•"/>
      <w:lvlJc w:val="left"/>
      <w:pPr>
        <w:ind w:left="6152" w:hanging="1135"/>
      </w:pPr>
      <w:rPr>
        <w:rFonts w:hint="default"/>
        <w:lang w:val="en-US" w:eastAsia="en-US" w:bidi="ar-SA"/>
      </w:rPr>
    </w:lvl>
    <w:lvl w:ilvl="7">
      <w:start w:val="0"/>
      <w:numFmt w:val="bullet"/>
      <w:lvlText w:val="•"/>
      <w:lvlJc w:val="left"/>
      <w:pPr>
        <w:ind w:left="6951" w:hanging="1135"/>
      </w:pPr>
      <w:rPr>
        <w:rFonts w:hint="default"/>
        <w:lang w:val="en-US" w:eastAsia="en-US" w:bidi="ar-SA"/>
      </w:rPr>
    </w:lvl>
    <w:lvl w:ilvl="8">
      <w:start w:val="0"/>
      <w:numFmt w:val="bullet"/>
      <w:lvlText w:val="•"/>
      <w:lvlJc w:val="left"/>
      <w:pPr>
        <w:ind w:left="7750" w:hanging="1135"/>
      </w:pPr>
      <w:rPr>
        <w:rFonts w:hint="default"/>
        <w:lang w:val="en-US" w:eastAsia="en-US" w:bidi="ar-SA"/>
      </w:rPr>
    </w:lvl>
  </w:abstractNum>
  <w:abstractNum w:abstractNumId="0">
    <w:multiLevelType w:val="hybridMultilevel"/>
    <w:lvl w:ilvl="0">
      <w:start w:val="1"/>
      <w:numFmt w:val="decimal"/>
      <w:lvlText w:val="%1"/>
      <w:lvlJc w:val="left"/>
      <w:pPr>
        <w:ind w:left="107" w:hanging="474"/>
        <w:jc w:val="left"/>
      </w:pPr>
      <w:rPr>
        <w:rFonts w:hint="default"/>
        <w:lang w:val="en-US" w:eastAsia="en-US" w:bidi="ar-SA"/>
      </w:rPr>
    </w:lvl>
    <w:lvl w:ilvl="1">
      <w:start w:val="3"/>
      <w:numFmt w:val="decimal"/>
      <w:lvlText w:val="%1.%2"/>
      <w:lvlJc w:val="left"/>
      <w:pPr>
        <w:ind w:left="107" w:hanging="474"/>
        <w:jc w:val="left"/>
      </w:pPr>
      <w:rPr>
        <w:rFonts w:hint="default"/>
        <w:lang w:val="en-US" w:eastAsia="en-US" w:bidi="ar-SA"/>
      </w:rPr>
    </w:lvl>
    <w:lvl w:ilvl="2">
      <w:start w:val="1"/>
      <w:numFmt w:val="decimal"/>
      <w:lvlText w:val="%1.%2.%3"/>
      <w:lvlJc w:val="left"/>
      <w:pPr>
        <w:ind w:left="107" w:hanging="474"/>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3">
      <w:start w:val="0"/>
      <w:numFmt w:val="bullet"/>
      <w:lvlText w:val="•"/>
      <w:lvlJc w:val="left"/>
      <w:pPr>
        <w:ind w:left="844" w:hanging="474"/>
      </w:pPr>
      <w:rPr>
        <w:rFonts w:hint="default"/>
        <w:lang w:val="en-US" w:eastAsia="en-US" w:bidi="ar-SA"/>
      </w:rPr>
    </w:lvl>
    <w:lvl w:ilvl="4">
      <w:start w:val="0"/>
      <w:numFmt w:val="bullet"/>
      <w:lvlText w:val="•"/>
      <w:lvlJc w:val="left"/>
      <w:pPr>
        <w:ind w:left="1092" w:hanging="474"/>
      </w:pPr>
      <w:rPr>
        <w:rFonts w:hint="default"/>
        <w:lang w:val="en-US" w:eastAsia="en-US" w:bidi="ar-SA"/>
      </w:rPr>
    </w:lvl>
    <w:lvl w:ilvl="5">
      <w:start w:val="0"/>
      <w:numFmt w:val="bullet"/>
      <w:lvlText w:val="•"/>
      <w:lvlJc w:val="left"/>
      <w:pPr>
        <w:ind w:left="1340" w:hanging="474"/>
      </w:pPr>
      <w:rPr>
        <w:rFonts w:hint="default"/>
        <w:lang w:val="en-US" w:eastAsia="en-US" w:bidi="ar-SA"/>
      </w:rPr>
    </w:lvl>
    <w:lvl w:ilvl="6">
      <w:start w:val="0"/>
      <w:numFmt w:val="bullet"/>
      <w:lvlText w:val="•"/>
      <w:lvlJc w:val="left"/>
      <w:pPr>
        <w:ind w:left="1588" w:hanging="474"/>
      </w:pPr>
      <w:rPr>
        <w:rFonts w:hint="default"/>
        <w:lang w:val="en-US" w:eastAsia="en-US" w:bidi="ar-SA"/>
      </w:rPr>
    </w:lvl>
    <w:lvl w:ilvl="7">
      <w:start w:val="0"/>
      <w:numFmt w:val="bullet"/>
      <w:lvlText w:val="•"/>
      <w:lvlJc w:val="left"/>
      <w:pPr>
        <w:ind w:left="1836" w:hanging="474"/>
      </w:pPr>
      <w:rPr>
        <w:rFonts w:hint="default"/>
        <w:lang w:val="en-US" w:eastAsia="en-US" w:bidi="ar-SA"/>
      </w:rPr>
    </w:lvl>
    <w:lvl w:ilvl="8">
      <w:start w:val="0"/>
      <w:numFmt w:val="bullet"/>
      <w:lvlText w:val="•"/>
      <w:lvlJc w:val="left"/>
      <w:pPr>
        <w:ind w:left="2084" w:hanging="474"/>
      </w:pPr>
      <w:rPr>
        <w:rFonts w:hint="default"/>
        <w:lang w:val="en-US" w:eastAsia="en-US" w:bidi="ar-SA"/>
      </w:rPr>
    </w:lvl>
  </w:abstractNum>
  <w:num w:numId="6">
    <w:abstractNumId w:val="5"/>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7">
    <w:abstractNumId w:val="6"/>
  </w:num>
  <w:num w:numId="13">
    <w:abstractNumId w:val="12"/>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TOC1" w:type="paragraph">
    <w:name w:val="TOC 1"/>
    <w:basedOn w:val="Normal"/>
    <w:uiPriority w:val="1"/>
    <w:qFormat/>
    <w:pPr>
      <w:spacing w:line="311" w:lineRule="exact"/>
      <w:ind w:left="1355" w:hanging="1134"/>
    </w:pPr>
    <w:rPr>
      <w:rFonts w:ascii="SimSun" w:hAnsi="SimSun" w:eastAsia="SimSun" w:cs="SimSun"/>
      <w:sz w:val="24"/>
      <w:szCs w:val="24"/>
      <w:lang w:val="en-US" w:eastAsia="en-US" w:bidi="ar-SA"/>
    </w:rPr>
  </w:style>
  <w:style w:styleId="TOC2" w:type="paragraph">
    <w:name w:val="TOC 2"/>
    <w:basedOn w:val="Normal"/>
    <w:uiPriority w:val="1"/>
    <w:qFormat/>
    <w:pPr>
      <w:spacing w:before="120"/>
      <w:ind w:left="221"/>
    </w:pPr>
    <w:rPr>
      <w:rFonts w:ascii="SimSun" w:hAnsi="SimSun" w:eastAsia="SimSun" w:cs="SimSun"/>
      <w:b/>
      <w:bCs/>
      <w:i/>
      <w:iCs/>
      <w:lang w:val="en-US" w:eastAsia="en-US" w:bidi="ar-SA"/>
    </w:rPr>
  </w:style>
  <w:style w:styleId="TOC3" w:type="paragraph">
    <w:name w:val="TOC 3"/>
    <w:basedOn w:val="Normal"/>
    <w:uiPriority w:val="1"/>
    <w:qFormat/>
    <w:pPr>
      <w:ind w:left="1356"/>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ind w:left="221"/>
    </w:pPr>
    <w:rPr>
      <w:rFonts w:ascii="SimSun" w:hAnsi="SimSun" w:eastAsia="SimSun" w:cs="SimSun"/>
      <w:sz w:val="24"/>
      <w:szCs w:val="24"/>
      <w:lang w:val="en-US" w:eastAsia="en-US" w:bidi="ar-SA"/>
    </w:rPr>
  </w:style>
  <w:style w:styleId="Heading1" w:type="paragraph">
    <w:name w:val="Heading 1"/>
    <w:basedOn w:val="Normal"/>
    <w:uiPriority w:val="1"/>
    <w:qFormat/>
    <w:pPr>
      <w:spacing w:before="88"/>
      <w:ind w:left="1355" w:hanging="1134"/>
      <w:outlineLvl w:val="1"/>
    </w:pPr>
    <w:rPr>
      <w:rFonts w:ascii="SimSun" w:hAnsi="SimSun" w:eastAsia="SimSun" w:cs="SimSun"/>
      <w:b/>
      <w:bCs/>
      <w:sz w:val="28"/>
      <w:szCs w:val="28"/>
      <w:lang w:val="en-US" w:eastAsia="en-US" w:bidi="ar-SA"/>
    </w:rPr>
  </w:style>
  <w:style w:styleId="Heading2" w:type="paragraph">
    <w:name w:val="Heading 2"/>
    <w:basedOn w:val="Normal"/>
    <w:uiPriority w:val="1"/>
    <w:qFormat/>
    <w:pPr>
      <w:ind w:left="1373" w:hanging="1152"/>
      <w:outlineLvl w:val="2"/>
    </w:pPr>
    <w:rPr>
      <w:rFonts w:ascii="SimSun" w:hAnsi="SimSun" w:eastAsia="SimSun" w:cs="SimSun"/>
      <w:b/>
      <w:bCs/>
      <w:sz w:val="26"/>
      <w:szCs w:val="26"/>
      <w:lang w:val="en-US" w:eastAsia="en-US" w:bidi="ar-SA"/>
    </w:rPr>
  </w:style>
  <w:style w:styleId="Heading3" w:type="paragraph">
    <w:name w:val="Heading 3"/>
    <w:basedOn w:val="Normal"/>
    <w:uiPriority w:val="1"/>
    <w:qFormat/>
    <w:pPr>
      <w:ind w:left="221"/>
      <w:outlineLvl w:val="3"/>
    </w:pPr>
    <w:rPr>
      <w:rFonts w:ascii="SimSun" w:hAnsi="SimSun" w:eastAsia="SimSun" w:cs="SimSun"/>
      <w:b/>
      <w:bCs/>
      <w:sz w:val="24"/>
      <w:szCs w:val="24"/>
      <w:lang w:val="en-US" w:eastAsia="en-US" w:bidi="ar-SA"/>
    </w:rPr>
  </w:style>
  <w:style w:styleId="Title" w:type="paragraph">
    <w:name w:val="Title"/>
    <w:basedOn w:val="Normal"/>
    <w:uiPriority w:val="1"/>
    <w:qFormat/>
    <w:pPr>
      <w:spacing w:before="289"/>
      <w:ind w:left="406" w:right="544" w:hanging="3"/>
      <w:jc w:val="center"/>
    </w:pPr>
    <w:rPr>
      <w:rFonts w:ascii="SimSun" w:hAnsi="SimSun" w:eastAsia="SimSun" w:cs="SimSun"/>
      <w:b/>
      <w:bCs/>
      <w:sz w:val="32"/>
      <w:szCs w:val="32"/>
      <w:lang w:val="en-US" w:eastAsia="en-US" w:bidi="ar-SA"/>
    </w:rPr>
  </w:style>
  <w:style w:styleId="ListParagraph" w:type="paragraph">
    <w:name w:val="List Paragraph"/>
    <w:basedOn w:val="Normal"/>
    <w:uiPriority w:val="1"/>
    <w:qFormat/>
    <w:pPr>
      <w:ind w:left="646" w:hanging="425"/>
    </w:pPr>
    <w:rPr>
      <w:rFonts w:ascii="SimSun" w:hAnsi="SimSun" w:eastAsia="SimSun" w:cs="SimSun"/>
      <w:lang w:val="en-US" w:eastAsia="en-US" w:bidi="ar-SA"/>
    </w:rPr>
  </w:style>
  <w:style w:styleId="TableParagraph" w:type="paragraph">
    <w:name w:val="Table Paragraph"/>
    <w:basedOn w:val="Normal"/>
    <w:uiPriority w:val="1"/>
    <w:qFormat/>
    <w:pPr/>
    <w:rPr>
      <w:rFonts w:ascii="SimSun" w:hAnsi="SimSun" w:eastAsia="SimSun" w:cs="SimSu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png"/><Relationship Id="rId22" Type="http://schemas.openxmlformats.org/officeDocument/2006/relationships/hyperlink" Target="http://www.astrazenecabindingcorporaterules.com/" TargetMode="External"/><Relationship Id="rId23" Type="http://schemas.openxmlformats.org/officeDocument/2006/relationships/hyperlink" Target="http://astrazenecagrouptrials.pharmacm.com/" TargetMode="External"/><Relationship Id="rId24" Type="http://schemas.openxmlformats.org/officeDocument/2006/relationships/hyperlink" Target="http://www.clinicaltrials.gov/" TargetMode="External"/><Relationship Id="rId25" Type="http://schemas.openxmlformats.org/officeDocument/2006/relationships/hyperlink" Target="http://www.iata.org/whatwedo/cargo/dgr/Pages/download.aspx" TargetMode="External"/><Relationship Id="rId26" Type="http://schemas.openxmlformats.org/officeDocument/2006/relationships/hyperlink" Target="http://www.iata.org/contentassets/b08040a138dc4442a4f066e6fb99f32a/dge/-"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Webb, Lisbeth</dc:creator>
  <dcterms:created xsi:type="dcterms:W3CDTF">2026-05-26T02:17:08Z</dcterms:created>
  <dcterms:modified xsi:type="dcterms:W3CDTF">2026-05-26T02:17:08Z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2019</vt:lpwstr>
  </property>
  <property fmtid="{D5CDD505-2E9C-101B-9397-08002B2CF9AE}" pid="4" name="LastSaved">
    <vt:filetime>2026-05-26T00:00:00Z</vt:filetime>
  </property>
  <property fmtid="{D5CDD505-2E9C-101B-9397-08002B2CF9AE}" pid="5" name="Producer">
    <vt:lpwstr>Microsoft® Word 2019</vt:lpwstr>
  </property>
</Properties>
</file>