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บทท-2"/>
    <w:p>
      <w:pPr>
        <w:pStyle w:val="Heading1"/>
      </w:pPr>
      <w:r>
        <w:t xml:space="preserve">บทที่ 2</w:t>
      </w:r>
    </w:p>
    <w:bookmarkEnd w:id="9"/>
    <w:bookmarkStart w:id="36" w:name="วรรณกรรมและงานวจยทเกยวของ"/>
    <w:p>
      <w:pPr>
        <w:pStyle w:val="Heading1"/>
      </w:pPr>
      <w:r>
        <w:t xml:space="preserve">วรรณกรรมและงานวิจัยที่เกี่ยวข้อง</w:t>
      </w:r>
    </w:p>
    <w:p>
      <w:pPr>
        <w:pStyle w:val="FirstParagraph"/>
      </w:pPr>
      <w:r>
        <w:t xml:space="preserve">การวิจัยเรื่องการพัฒนาชุดวิเคราะห์ปริมาณไนโตรเจนและฟอสฟอรัสในดินแบบพกพาด้วยหลักการสะท้อนแสงร่วมกับปัญญาประดิษฐ์ คณะผู้วิจัยได้ทำการทบทวนวรรณกรรม เอกสาร แนวคิด ทฤษฎีฟิสิกส์ และงานวิจัยที่เกี่ยวข้องทั้งในและต่างประเทศ โดยจำแนกเนื้อหาออกเป็น 7 หัวข้อหลัก ได้แก่</w:t>
      </w:r>
    </w:p>
    <w:p>
      <w:pPr>
        <w:pStyle w:val="Compact"/>
        <w:numPr>
          <w:ilvl w:val="0"/>
          <w:numId w:val="1001"/>
        </w:numPr>
      </w:pPr>
      <w:r>
        <w:t xml:space="preserve">พลวัตและสรีรวิทยาของไนโตรเจนและฟอสฟอรัสในดินแปลงไม้ผลเขตร้อน</w:t>
      </w:r>
    </w:p>
    <w:p>
      <w:pPr>
        <w:pStyle w:val="Compact"/>
        <w:numPr>
          <w:ilvl w:val="0"/>
          <w:numId w:val="1001"/>
        </w:numPr>
      </w:pPr>
      <w:r>
        <w:t xml:space="preserve">ทฤษฎีการสะท้อนแสงแบบกระจายและทฤษฎีคูเบลกา-มังก์ (Diffuse Reflectance &amp; Kubelka-Munk Theory)</w:t>
      </w:r>
    </w:p>
    <w:p>
      <w:pPr>
        <w:pStyle w:val="Compact"/>
        <w:numPr>
          <w:ilvl w:val="0"/>
          <w:numId w:val="1001"/>
        </w:numPr>
      </w:pPr>
      <w:r>
        <w:t xml:space="preserve">การตอบสนองเชิงสเปกตรัมของไนโตรเจนและฟอสฟอรัสในย่านแสงที่ตามองเห็นและใกล้อินฟราเรด (VIS-NIR)</w:t>
      </w:r>
    </w:p>
    <w:p>
      <w:pPr>
        <w:pStyle w:val="Compact"/>
        <w:numPr>
          <w:ilvl w:val="0"/>
          <w:numId w:val="1001"/>
        </w:numPr>
      </w:pPr>
      <w:r>
        <w:t xml:space="preserve">การประมวลผลสเปกตรัมล่วงหน้าและการปรับมาตรฐานสีด้วยคอมพิวเตอร์วิทัศน์</w:t>
      </w:r>
    </w:p>
    <w:p>
      <w:pPr>
        <w:pStyle w:val="Compact"/>
        <w:numPr>
          <w:ilvl w:val="0"/>
          <w:numId w:val="1001"/>
        </w:numPr>
      </w:pPr>
      <w:r>
        <w:t xml:space="preserve">สถาปัตยกรรมปัญญาประดิษฐ์และการเรียนรู้ของเครื่องสำหรับการวิเคราะห์ดินเชิงปริมาณ</w:t>
      </w:r>
    </w:p>
    <w:p>
      <w:pPr>
        <w:pStyle w:val="Compact"/>
        <w:numPr>
          <w:ilvl w:val="0"/>
          <w:numId w:val="1001"/>
        </w:numPr>
      </w:pPr>
      <w:r>
        <w:t xml:space="preserve">งานวิจัยที่เกี่ยวข้องระดับสากลและกรอบแนวคิดการวิจัย</w:t>
      </w:r>
    </w:p>
    <w:p>
      <w:pPr>
        <w:pStyle w:val="Compact"/>
        <w:numPr>
          <w:ilvl w:val="0"/>
          <w:numId w:val="1001"/>
        </w:numPr>
      </w:pPr>
      <w:r>
        <w:t xml:space="preserve">การวิเคราะห์เคมีดินด้วยแถบสีเทียบเคียงและข้อจำกัดเชิงทัศนศาสตร์ (Colorimetric Soil Testing and Optical Constraints)</w:t>
      </w:r>
    </w:p>
    <w:p>
      <w:r>
        <w:pict>
          <v:rect style="width:0;height:1.5pt" o:hralign="center" o:hrstd="t" o:hr="t"/>
        </w:pict>
      </w:r>
    </w:p>
    <w:bookmarkStart w:id="12" w:name="X072522a9de5469ecd5a1d91a604ac550ca23e3f"/>
    <w:p>
      <w:pPr>
        <w:pStyle w:val="Heading2"/>
      </w:pPr>
      <w:r>
        <w:t xml:space="preserve">2.1 พลวัตและสรีรวิทยาของไนโตรเจนและฟอสฟอรัสในดินแปลงไม้ผลเขตร้อน</w:t>
      </w:r>
    </w:p>
    <w:bookmarkStart w:id="10" w:name="บทบาททางชวเคมและสรรวทยาของไนโตรเจนในดน"/>
    <w:p>
      <w:pPr>
        <w:pStyle w:val="Heading3"/>
      </w:pPr>
      <w:r>
        <w:t xml:space="preserve">2.1.1 บทบาททางชีวเคมีและสรีรวิทยาของไนโตรเจนในดิน</w:t>
      </w:r>
    </w:p>
    <w:p>
      <w:pPr>
        <w:pStyle w:val="FirstParagraph"/>
      </w:pPr>
      <w:r>
        <w:t xml:space="preserve">ไนโตรเจน (Nitrogen หรือ N) จัดเป็นธาตุอาหารหลักที่มีความจำเป็นสูงสุดต่อการเจริญเติบโตของพืช เนื่องจากเป็นองค์ประกอบโครงสร้างหลักของโมเลกุลชีวภาพที่สำคัญ ได้แก่ กรดอะมิโน (Amino Acids) ซึ่งเป็นหน่วยย่อยของโปรตีนและเอนไซม์ คลอโรฟิลล์ (Chlorophyll) ซึ่งทำหน้าที่ดักจับพลังงานแสงในกระบวนการสังเคราะห์ด้วยแสง ตลอดจนกรดนิวคลีอิก (DNA และ RNA) ในดินธรรมชาติและดินเกษตรกรรม ไนโตรเจนจะปรากฏอยู่ในสองรูปใหญ่ ได้แก่ ไนโตรเจนอินทรีย์ (Organic Nitrogen) ซึ่งคิดเป็นสัดส่วนมากกว่าร้อยละ 90 ถึง 95 ของปริมาณไนโตรเจนทั้งหมด (Total Nitrogen) ในรูปของฮิวมัส (Humus) กรดฮิวมิก กรดฟุลวิก และสารประกอบอะมิโน และไนโตรเจนอนินทรีย์ (Inorganic Nitrogen) ซึ่งคิดเป็นเพียงร้อยละ 1 ถึง 5 แต่อยู่ในรูปไอออนที่รากพืชสามารถดูดกลืนได้ทันที ได้แก่ แอมโมเนียมไอออน (</w:t>
      </w:r>
      <m:oMath>
        <m:sSubSup>
          <m:e>
            <m:r>
              <m:rPr>
                <m:nor/>
                <m:sty m:val="p"/>
              </m:rPr>
              <m:t>NH</m:t>
            </m:r>
          </m:e>
          <m:sub>
            <m: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t xml:space="preserve">) และไนเตรตไอออน (</w:t>
      </w:r>
      <m:oMath>
        <m:sSubSup>
          <m:e>
            <m:r>
              <m:rPr>
                <m:nor/>
                <m:sty m:val="p"/>
              </m:rPr>
              <m:t>NO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)</w:t>
      </w:r>
    </w:p>
    <w:p>
      <w:pPr>
        <w:pStyle w:val="BodyText"/>
      </w:pPr>
      <w:r>
        <w:t xml:space="preserve">สำหรับไม้ผลเศรษฐกิจภาคตะวันออก เช่น ทุเรียนพันธุ์หมอนทอง การจัดการไนโตรเจนมีผลกระทบโดยตรงต่อวงจรการเจริญเติบโต หากดินมีไนโตรเจนไม่เพียงพอ ใบแก่จะมีสีเหลืองซีด ต้นแคระแกร็น และผลผลิตลดลงอย่างรุนแรง แต่หากดินมีไนโตรเจนสะสมสูงเกินไป พืชจะเกิดอาการบ้าใบ แตกใบอ่อนในจังหวะที่ไม่เหมาะสม ส่งผลให้ดอกและผลอ่อนหลุดร่วงอย่างเฉียบพลัน อีกทั้งเนื้อทุเรียนจะมีลักษณะแฉะและคุณภาพต่ำ การทราบปริมาณไนโตรเจนทั้งหมดในดินจึงเป็นดัชนีชี้วัดที่สำคัญที่สุดในการวางแผนการใส่ปุ๋ยอย่างสมดุล</w:t>
      </w:r>
    </w:p>
    <w:bookmarkEnd w:id="10"/>
    <w:bookmarkStart w:id="11" w:name="พลวตและขอจำกดของฟอสฟอรสในดนกรดภาคตะวนออก"/>
    <w:p>
      <w:pPr>
        <w:pStyle w:val="Heading3"/>
      </w:pPr>
      <w:r>
        <w:t xml:space="preserve">2.1.2 พลวัตและข้อจำกัดของฟอสฟอรัสในดินกรดภาคตะวันออก</w:t>
      </w:r>
    </w:p>
    <w:p>
      <w:pPr>
        <w:pStyle w:val="FirstParagraph"/>
      </w:pPr>
      <w:r>
        <w:t xml:space="preserve">ฟอสฟอรัส (Phosphorus หรือ P) เป็นธาตุอาหารหลักที่มีบทบาทเชิงโครงสร้างและพลังงาน โดยเป็นองค์ประกอบของสารพันธุกรรม ฟอสโฟลิพิดในเยื่อหุ้มเซลล์ และทำหน้าที่เป็นตัวกักเก็บและถ่ายโอนพลังงานเคมีในรูปของสารประกอบอะดีโนซีนไตรฟอสเฟต (ATP) ซึ่งมีความจำเป็นยิ่งยวดในระยะการพัฒนาของราก การแบ่งเซลล์ การสร้างตาดอก และการขยายขนาดของผล</w:t>
      </w:r>
    </w:p>
    <w:p>
      <w:pPr>
        <w:pStyle w:val="BodyText"/>
      </w:pPr>
      <w:r>
        <w:t xml:space="preserve">ทว่าในพื้นที่เกษตรกรรมของจังหวัดจันทบุรีและตราด ซึ่งมีลักษณะดินเป็นกรดจัด (Soil pH 4.0 ถึง 5.2) ปริมาณฟอสฟอรัสที่อยู่ในดินมักถูกตรึง (Phosphorus Fixation) โดยทำปฏิกิริยาทางเคมีกับสารประกอบออกไซด์ของเหล็กและอะลูมิเนียม เกิดเป็นสารประกอบเชิงซ้อนเหล็กฟอสเฟต (</w:t>
      </w:r>
      <m:oMath>
        <m:sSub>
          <m:e>
            <m:r>
              <m:rPr>
                <m:nor/>
                <m:sty m:val="p"/>
              </m:rPr>
              <m:t>FePO</m:t>
            </m:r>
          </m:e>
          <m:sub>
            <m:r>
              <m:t>4</m:t>
            </m:r>
          </m:sub>
        </m:sSub>
      </m:oMath>
      <w:r>
        <w:t xml:space="preserve">) และอะลูมิเนียมฟอสเฟต (</w:t>
      </w:r>
      <m:oMath>
        <m:sSub>
          <m:e>
            <m:r>
              <m:rPr>
                <m:nor/>
                <m:sty m:val="p"/>
              </m:rPr>
              <m:t>AlPO</m:t>
            </m:r>
          </m:e>
          <m:sub>
            <m:r>
              <m:t>4</m:t>
            </m:r>
          </m:sub>
        </m:sSub>
      </m:oMath>
      <w:r>
        <w:t xml:space="preserve">) ซึ่งละลายน้ำได้ยากมาก ส่งผลให้ฟอสฟอรัสส่วนใหญ่อยู่ในรูปที่ไม่เป็นประโยชน์ต่อพืช แม้เกษตรกรจะใส่ปุ๋ยฟอสเฟตในปริมาณสูงก็ตาม ดังนั้น การตรวจวัดฟอสฟอรัสจึงจำเป็นต้องมุ่งเน้นไปที่ ฟอสฟอรัสที่เป็นประโยชน์ (Available Phosphorus) ซึ่งประเมินปริมาณฟอสเฟตไอออนที่สามารถปลดปล่อยออกมาสู่สารละลายดินได้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X7c50057522f250e98e561e2dae78d5531582c6d"/>
    <w:p>
      <w:pPr>
        <w:pStyle w:val="Heading2"/>
      </w:pPr>
      <w:r>
        <w:t xml:space="preserve">2.2 ทฤษฎีการสะท้อนแสงแบบกระจายและทฤษฎีคูเบลกา-มังก์</w:t>
      </w:r>
    </w:p>
    <w:bookmarkStart w:id="13" w:name="X8cad49c6e7440b8bcb91a8c5633d4d49cc6bf12"/>
    <w:p>
      <w:pPr>
        <w:pStyle w:val="Heading3"/>
      </w:pPr>
      <w:r>
        <w:t xml:space="preserve">2.2.1 พฤติกรรมทางทัศนศาสตร์ของแสงในตัวกลางกระเจิงแสง (Scattering Medium)</w:t>
      </w:r>
    </w:p>
    <w:p>
      <w:pPr>
        <w:pStyle w:val="FirstParagraph"/>
      </w:pPr>
      <w:r>
        <w:t xml:space="preserve">เมื่อลำแสงตกกระทบลงบนพื้นผิวของอนุภาคดิน แสงที่สะท้อนกลับออกมาสามารถจำแนกออกได้เป็น 2 ส่วนหลัก ตามหลักการทางฟิสิกส์ทัศนศาสตร์ ได้แก่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การสะท้อนแบบสมบูรณ์หรือการสะท้อนแบบกระจกเงา (Specular Reflectance)</w:t>
      </w:r>
      <w:r>
        <w:t xml:space="preserve"> </w:t>
      </w:r>
      <w:r>
        <w:t xml:space="preserve">เป็นแสงที่สะท้อนออกจากระนาบพื้นผิวส่วนบนสุดของอนุภาคดินโดยตรงตามกฎการสะท้อนของเฟรสเนล (Fresnel’s Law) แสงส่วนนี้ไม่ได้ทะลุผ่านเข้าไปในเนื้ออนุภาคดิน จึงไม่มีข้อมูลการดูดกลืนพลังงานของพันธะเคมีภายในสาร และจัดเป็นสัญญาณรบกวนหลักที่ต้องกำจัดออก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การสะท้อนแสงแบบกระจาย (Diffuse Reflectance)</w:t>
      </w:r>
      <w:r>
        <w:t xml:space="preserve"> </w:t>
      </w:r>
      <w:r>
        <w:t xml:space="preserve">เป็นแสงที่ทะลุผ่านเข้าสู่ผิวหน้าของชั้นดิน แล้วเกิดกระบวนการหักเห การสะท้อนภายในหลายชั้น (Multiple Scattering) และการกระเจิงไปมาระหว่างอนุภาคดินขนาดเล็ก ก่อนที่จะสะท้อนกลับพ้นพื้นผิวออกมาในทุกทิศทาง ในระหว่างที่แสงเดินทางผ่านตัวกลางนี้ คลื่นแสงจะเกิดอันตรกิริยากับโมเลกุลของสารประกอบในดิน ทำให้เกิดการดูดกลืนพลังงานแสงเฉพาะความยาวคลื่นตามระดับพลังงานการสั่นของพันธะเคมี</w:t>
      </w:r>
    </w:p>
    <w:bookmarkEnd w:id="13"/>
    <w:bookmarkStart w:id="14" w:name="Xd4ba5fb5bb126fb3b8eea23d7c456907b0cd581"/>
    <w:p>
      <w:pPr>
        <w:pStyle w:val="Heading3"/>
      </w:pPr>
      <w:r>
        <w:t xml:space="preserve">2.2.2 การประยุกต์ทฤษฎีคูเบลกา-มังก์ (Kubelka-Munk Theory)</w:t>
      </w:r>
    </w:p>
    <w:p>
      <w:pPr>
        <w:pStyle w:val="FirstParagraph"/>
      </w:pPr>
      <w:r>
        <w:t xml:space="preserve">เพื่ออธิบายความสัมพันธ์ระหว่างความเข้มของแสงสะท้อนแบบกระจายกับความเข้มข้นของสารประกอบในตัวกลางที่เป็นของแข็งและมีความทึบแสงสูง คูเบลกาและมังก์ (Kubelka &amp; Munk) ได้พัฒนาแบบจำลองการแพร่ของฟลักซ์แสง 2 ทิศทาง (Two-Flux Model) โดยพิจารณาฟลักซ์แสงที่เคลื่อนที่ลง (</w:t>
      </w:r>
      <m:oMath>
        <m:r>
          <m:t>i</m:t>
        </m:r>
      </m:oMath>
      <w:r>
        <w:t xml:space="preserve">) และฟลักซ์แสงที่กระเจิงขึ้น (</w:t>
      </w:r>
      <m:oMath>
        <m:r>
          <m:t>j</m:t>
        </m:r>
      </m:oMath>
      <w:r>
        <w:t xml:space="preserve">) ภายในชั้นสารที่มีความหนาเข้าใกล้อนันต์ ดังสมการอนุพันธ์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d</m:t>
              </m:r>
              <m:r>
                <m:t>i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)</m:t>
          </m:r>
          <m:r>
            <m:t>i</m:t>
          </m:r>
          <m:r>
            <m:rPr>
              <m:sty m:val="p"/>
            </m:rPr>
            <m:t>+</m:t>
          </m:r>
          <m:r>
            <m:t>S</m:t>
          </m:r>
          <m:r>
            <m:t>j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j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)</m:t>
          </m:r>
          <m:r>
            <m:t>j</m:t>
          </m:r>
          <m:r>
            <m:rPr>
              <m:sty m:val="p"/>
            </m:rPr>
            <m:t>+</m:t>
          </m:r>
          <m:r>
            <m:t>S</m:t>
          </m:r>
          <m:r>
            <m:t>i</m:t>
          </m:r>
        </m:oMath>
      </m:oMathPara>
    </w:p>
    <w:p>
      <w:pPr>
        <w:pStyle w:val="FirstParagraph"/>
      </w:pPr>
      <w:r>
        <w:t xml:space="preserve">เมื่อ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คือ สัมประสิทธิ์การดูดกลืนแสง (Absorption Coefficient) ของตัวกลาง และ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คือ สัมประสิทธิ์การกระเจิงแสง (Scattering Coefficient) ของตัวกลาง เมื่อทำการอินทิเกรตสมการภายใต้เงื่อนไขขอบเขตที่ชั้นดินมีความหนาเชิงแสงมากพอจนแสงไม่สามารถทะลุผ่านได้ (Infinitely Thick Sample Layer) จะได้ค่าการสะท้อนแสงแบบกระจายสัมบูรณ์ (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) และสามารถจัดรูปเป็นฟังก์ชันคูเบลกา-มังก์ (Kubelka-Munk Function) ได้ดังนี้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r>
                <m:t>R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จากทฤษฎีดังกล่าว สัมประสิทธิ์การดูดกลืนแสง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มีความเป็นสัดส่วนโดยตรงกับความเข้มข้น (</w:t>
      </w:r>
      <m:oMath>
        <m:r>
          <m:t>C</m:t>
        </m:r>
      </m:oMath>
      <w:r>
        <w:t xml:space="preserve">) ของสารประกอบดูดกลืนแสงตามกฎของเบียร์-แลมเบิร์ต (Beer-Lambert Law) นั่นคือ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ϵ</m:t>
            </m:r>
          </m:e>
          <m:sub>
            <m:r>
              <m:t>i</m:t>
            </m:r>
          </m:sub>
        </m:sSub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เมื่อ</w:t>
      </w:r>
      <w:r>
        <w:t xml:space="preserve"> </w:t>
      </w:r>
      <m:oMath>
        <m:sSub>
          <m:e>
            <m:r>
              <m:t>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คือค่าการดูดกลืนแสงจำเพาะขององค์ประกอบแต่ละชนิด ดังนั้น หากสัมประสิทธิ์การกระเจิงแสง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ของอนุภาคดินตัวอย่างมีค่าคงที่จากการบดร่อนอนุภาคให้สม่ำเสมอ จะได้ความสัมพันธ์เชิงเส้นระหว่างฟังก์ชันคูเบลกา-มังก์กับความเข้มข้นของสารดูดกลืนแสง ดังสมการ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r>
                <m:t>R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∑</m:t>
              </m:r>
              <m:sSub>
                <m:e>
                  <m:r>
                    <m:t>ϵ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S</m:t>
              </m:r>
            </m:den>
          </m:f>
          <m:r>
            <m:rPr>
              <m:sty m:val="p"/>
            </m:rPr>
            <m:t>∝</m:t>
          </m:r>
          <m:sSub>
            <m:e>
              <m:r>
                <m:t>C</m:t>
              </m:r>
            </m:e>
            <m:sub>
              <m:r>
                <m:rPr>
                  <m:nor/>
                  <m:sty m:val="p"/>
                </m:rPr>
                <m:t>nutrient</m:t>
              </m:r>
            </m:sub>
          </m:sSub>
        </m:oMath>
      </m:oMathPara>
    </w:p>
    <w:p>
      <w:pPr>
        <w:pStyle w:val="FirstParagraph"/>
      </w:pPr>
      <w:r>
        <w:t xml:space="preserve">สมการข้างต้นถือเป็นรากฐานทางฟิสิกส์ที่สำคัญยิ่งในการเชื่อมโยงค่าการสะท้อนแสงที่วัดได้จากเซนเซอร์เข้ากับปริมาณไนโตรเจนและฟอสฟอรัสในดิน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X4e4327c9d280dba80d6a0acdaa97c63f325351c"/>
    <w:p>
      <w:pPr>
        <w:pStyle w:val="Heading2"/>
      </w:pPr>
      <w:r>
        <w:t xml:space="preserve">2.3 การตอบสนองเชิงสเปกตรัมของไนโตรเจนและฟอสฟอรัสในย่าน VIS-NIR</w:t>
      </w:r>
    </w:p>
    <w:p>
      <w:pPr>
        <w:pStyle w:val="FirstParagraph"/>
      </w:pPr>
      <w:r>
        <w:t xml:space="preserve">การดูดกลืนรังสีแม่เหล็กไฟฟ้าของดินในย่านแสงที่ตามองเห็น (Visible 400 ถึง 700 นาโนเมตร) และย่านใกล้อินฟราเรด (Near-Infrared 700 ถึง 1100 นาโนเมตร) เกิดจากการเปลี่ยนระดับพลังงานอิเล็กตรอนของแร่ธาตุ (Electronic Transitions) และการสั่นระดับโมเลกุลในรูปแบบโอเวอร์โทน (Overtones) และแถบรวม (Combination Bands) ของพันธะเคมีที่มีอะตอมไฮโดรเจนเป็นองค์ประกอบ ได้แก่ พันธะ</w:t>
      </w:r>
      <w:r>
        <w:t xml:space="preserve"> </w:t>
      </w:r>
      <m:oMath>
        <m:r>
          <m:rPr>
            <m:nor/>
            <m:sty m:val="p"/>
          </m:rPr>
          <m:t>O-H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C-H</m:t>
        </m:r>
      </m:oMath>
      <w:r>
        <w:t xml:space="preserve">, และ</w:t>
      </w:r>
      <w:r>
        <w:t xml:space="preserve"> </w:t>
      </w:r>
      <m:oMath>
        <m:r>
          <m:rPr>
            <m:nor/>
            <m:sty m:val="p"/>
          </m:rPr>
          <m:t>N-H</m:t>
        </m:r>
      </m:oMath>
    </w:p>
    <w:bookmarkStart w:id="16" w:name="แถบสเปกตรมทสมพนธกบไนโตรเจนในดน"/>
    <w:p>
      <w:pPr>
        <w:pStyle w:val="Heading3"/>
      </w:pPr>
      <w:r>
        <w:t xml:space="preserve">2.3.1 แถบสเปกตรัมที่สัมพันธ์กับไนโตรเจนในดิน</w:t>
      </w:r>
    </w:p>
    <w:p>
      <w:pPr>
        <w:pStyle w:val="FirstParagraph"/>
      </w:pPr>
      <w:r>
        <w:t xml:space="preserve">เนื่องจากไนโตรเจนส่วนใหญ่ในดินอยู่ในรูปของสารอินทรีย์คาร์บอนและสารประกอบเชิงซ้อนของฮิวมัส การตอบสนองเชิงสเปกตรัมของไนโตรเจนจึงมีความสัมพันธ์อย่างใกล้ชิดกับสเปกตรัมของอินทรียวัตถุในดิน โดยมีแถบคลื่นเด่นดังนี้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แถบความยาวคลื่น 465 นาโนเมตร (แสงสีน้ำเงิน)</w:t>
      </w:r>
      <w:r>
        <w:t xml:space="preserve"> </w:t>
      </w:r>
      <w:r>
        <w:t xml:space="preserve">มีความสัมพันธ์กับการดูดกลืนแสงของสารประกอบฮิวมัสและฟุลวิกในดิน สารอินทรีย์ที่มีโมเลกุลซับซ้อนจะดูดกลืนแสงสีน้ำเงินอย่างเข้มข้น ส่งผลให้ดินที่มีอินทรียวัตถุและไนโตรเจนสูงสะท้อนแสงสีน้ำเงินออกมาต่ำ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แถบความยาวคลื่น 660 นาโนเมตร (แสงสีแดง)</w:t>
      </w:r>
      <w:r>
        <w:t xml:space="preserve"> </w:t>
      </w:r>
      <w:r>
        <w:t xml:space="preserve">สัมพันธ์กับการดูดกลืนของสารอนุพันธ์คลอโรฟิลล์และสารอินทรีย์ที่กำลังย่อยสลาย ตลอดจนเป็นจุดตัดของความชันสเปกตรัมสีของดิน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แถบความยาวคลื่น 850 ถึง 940 นาโนเมตร (ย่านใกล้อินฟราเรด)</w:t>
      </w:r>
      <w:r>
        <w:t xml:space="preserve"> </w:t>
      </w:r>
      <w:r>
        <w:t xml:space="preserve">เป็นบริเวณที่เกิดการสั่นระดับโมเลกุลแบบโอเวอร์โทนที่สาม (Third Overtone) ของพันธะ</w:t>
      </w:r>
      <w:r>
        <w:t xml:space="preserve"> </w:t>
      </w:r>
      <m:oMath>
        <m:r>
          <m:rPr>
            <m:nor/>
            <m:sty m:val="p"/>
          </m:rPr>
          <m:t>N-H</m:t>
        </m:r>
      </m:oMath>
      <w:r>
        <w:t xml:space="preserve"> </w:t>
      </w:r>
      <w:r>
        <w:t xml:space="preserve">ในหมู่อะมิโน (Amine/Amide Functional Groups) ซึ่งเป็นโครงสร้างหลักของไนโตรเจนอินทรีย์</w:t>
      </w:r>
    </w:p>
    <w:bookmarkEnd w:id="16"/>
    <w:bookmarkStart w:id="17" w:name="แถบสเปกตรมทสมพนธกบฟอสฟอรสในดน"/>
    <w:p>
      <w:pPr>
        <w:pStyle w:val="Heading3"/>
      </w:pPr>
      <w:r>
        <w:t xml:space="preserve">2.3.2 แถบสเปกตรัมที่สัมพันธ์กับฟอสฟอรัสในดิน</w:t>
      </w:r>
    </w:p>
    <w:p>
      <w:pPr>
        <w:pStyle w:val="FirstParagraph"/>
      </w:pPr>
      <w:r>
        <w:t xml:space="preserve">ฟอสฟอรัสที่เป็นประโยชน์ (Available P) แม้จะไม่มีการดูดกลืนแสงตรงที่เด่นชัดเท่าสารอินทรีย์ในย่าน VIS-NIR เนื่องจากเป็นไอออนอนินทรีย์ แต่เนื่องจากในดินเขตร้อน ฟอสเฟตไอออนจะจับตัวกับสารประกอบออกไซด์ของเหล็ก (เช่น Goethite, Hematite) เป็นสารประกอบเชิงซ้อนเหล็กฟอสเฟต การเปลี่ยนแปลงความเข้มข้นของฟอสเฟตจะส่งผลต่อการจัดเรียงโครงสร้างผลึกและคุณสมบัติทางแสงของสารประกอบเหล็กออกไซด์เหล่านี้ ทำให้เกิดการเปลี่ยนแปลงค่าการสะท้อนแสงที่แถบความยาวคลื่น 525 นาโนเมตร (แสงสีเขียว) และแถบ 720 ถึง 880 นาโนเมตร ซึ่งสัมพันธ์กับการถ่ายโอนประจุ (Charge Transfer) และการเปลี่ยนระดับพลังงาน</w:t>
      </w:r>
      <w:r>
        <w:t xml:space="preserve"> </w:t>
      </w:r>
      <m:oMath>
        <m:r>
          <m:t>d</m:t>
        </m:r>
        <m:r>
          <m:rPr>
            <m:nor/>
            <m:sty m:val="p"/>
          </m:rPr>
          <m:t>-</m:t>
        </m:r>
        <m:r>
          <m:t>d</m:t>
        </m:r>
      </m:oMath>
      <w:r>
        <w:t xml:space="preserve"> </w:t>
      </w:r>
      <w:r>
        <w:t xml:space="preserve">ของไอออนเหล็ก (</w:t>
      </w:r>
      <m:oMath>
        <m:sSup>
          <m:e>
            <m:r>
              <m:rPr>
                <m:nor/>
                <m:sty m:val="p"/>
              </m:rPr>
              <m:t>Fe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)</w:t>
      </w:r>
    </w:p>
    <w:bookmarkEnd w:id="17"/>
    <w:bookmarkStart w:id="18" w:name="X8d27f12f5df2f7ea98959e320e8e3d7d2ddba6b"/>
    <w:p>
      <w:pPr>
        <w:pStyle w:val="Heading3"/>
      </w:pPr>
      <w:r>
        <w:t xml:space="preserve">2.3.3 ผลกระทบของการรบกวนจากความชื้นในดินและการแก้ไข</w:t>
      </w:r>
    </w:p>
    <w:p>
      <w:pPr>
        <w:pStyle w:val="FirstParagraph"/>
      </w:pPr>
      <w:r>
        <w:t xml:space="preserve">ความชื้นในดินจัดเป็นปัจจัยรบกวนที่มีผลกระทบอย่างมีนัยสำคัญยิ่งยวดต่อสเปกตรัมการสะท้อนแสง เนื่องจากโมเลกุลของน้ำมีแถบการดูดกลืนที่รุนแรงมากที่ความยาวคลื่น 940 นาโนเมตร (โอเวอร์โทนที่สามของพันธะ</w:t>
      </w:r>
      <w:r>
        <w:t xml:space="preserve"> </w:t>
      </w:r>
      <m:oMath>
        <m:r>
          <m:rPr>
            <m:nor/>
            <m:sty m:val="p"/>
          </m:rPr>
          <m:t>O-H</m:t>
        </m:r>
      </m:oMath>
      <w:r>
        <w:t xml:space="preserve">) และ 1450 นาโนเมตร อีกทั้งน้ำยังทำหน้าที่เป็นสารเคลือบอนุภาคดินซึ่งเปลี่ยนดัชนีหักเหของแสงและลดค่าสัมประสิทธิ์การกระเจิงแสง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ทำให้ดินที่เปียกชื้นมีค่าการสะท้อนแสงลดลงทุกความยาวคลื่น ดังนั้น การออกแบบระบบจึงต้องติดตั้งแหล่งกำเนิดแสงที่ความยาวคลื่น 940 นาโนเมตร เป็นแถบอ้างอิงความชื้น เพื่อใช้ในการปรับชดเชยค่าทางคณิตศาสตร์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Xbe10dcb5bfdfb2df25782fbc1e886d44c6b3151"/>
    <w:p>
      <w:pPr>
        <w:pStyle w:val="Heading2"/>
      </w:pPr>
      <w:r>
        <w:t xml:space="preserve">2.4 การประมวลผลสเปกตรัมล่วงหน้าและการปรับมาตรฐานสีด้วยคอมพิวเตอร์วิทัศน์</w:t>
      </w:r>
    </w:p>
    <w:p>
      <w:pPr>
        <w:pStyle w:val="FirstParagraph"/>
      </w:pPr>
      <w:r>
        <w:t xml:space="preserve">เพื่อลดทอนสัญญาณรบกวน ขจัดความแปรปรวนของขนาดอนุภาคดิน และปรับมาตรฐานของข้อมูลก่อนนำเข้าสู่แบบจำลองปัญญาประดิษฐ์ จำเป็นต้องประยุกต์ใช้เทคนิคการประมวลผลสัญญาณสเปกตรัมทางเคมีเมตริกส์ (Chemometrics Preprocessing) และคอมพิวเตอร์วิทัศน์ ดังนี้</w:t>
      </w:r>
    </w:p>
    <w:bookmarkStart w:id="20" w:name="X31cc9957365d48b5ec757d778c257b824703673"/>
    <w:p>
      <w:pPr>
        <w:pStyle w:val="Heading3"/>
      </w:pPr>
      <w:r>
        <w:t xml:space="preserve">2.4.1 การปรับมาตรฐานตัวแปรปกติ (Standard Normal Variate หรือ SNV)</w:t>
      </w:r>
    </w:p>
    <w:p>
      <w:pPr>
        <w:pStyle w:val="FirstParagraph"/>
      </w:pPr>
      <w:r>
        <w:t xml:space="preserve">เทคนิค SNV ใช้สำหรับขจัดผลกระทบจากการกระเจิงแสงแบบกระจายอันเนื่องมาจากความแตกต่างของขนาดและรูปร่างของเม็ดดิน โดยทำการปรับสเกลของแต่ละสเปกตรัมรายตัวอย่างให้มีค่าเฉลี่ยเป็นศูนย์และมีส่วนเบี่ยงเบนมาตรฐานเป็นหนึ่ง ตามสมการ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nor/>
                  <m:sty m:val="p"/>
                </m:rPr>
                <m:t>SNV</m:t>
              </m:r>
              <m:r>
                <m:rPr>
                  <m:sty m:val="p"/>
                </m:rPr>
                <m:t>,</m:t>
              </m:r>
              <m:r>
                <m:t>λ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λ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λ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λ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p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เมื่อ</w:t>
      </w:r>
      <w:r>
        <w:t xml:space="preserve"> </w:t>
      </w:r>
      <m:oMath>
        <m:sSub>
          <m:e>
            <m:r>
              <m:t>x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คือ ค่าการสะท้อนแสงที่ความยาวคลื่น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คือ ค่าเฉลี่ยของการสะท้อนแสงข้ามทุกความยาวคลื่นของตัวอย่างนั้น และ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คือ จำนวนความยาวคลื่นทั้งหมดที่ตรวจวัด</w:t>
      </w:r>
    </w:p>
    <w:bookmarkEnd w:id="20"/>
    <w:bookmarkStart w:id="21" w:name="X5d824e7104ad734aa66c8e3f0a598b912ac89ad"/>
    <w:p>
      <w:pPr>
        <w:pStyle w:val="Heading3"/>
      </w:pPr>
      <w:r>
        <w:t xml:space="preserve">2.4.2 การปรับแก้การกระเจิงแบบทวีคูณ (Multiplicative Scatter Correction หรือ MSC)</w:t>
      </w:r>
    </w:p>
    <w:p>
      <w:pPr>
        <w:pStyle w:val="FirstParagraph"/>
      </w:pPr>
      <w:r>
        <w:t xml:space="preserve">เทคนิค MSC ทำการปรับความชันและจุดตัดของสเปกตรัมแต่ละตัวอย่างเทียบกับสเปกตรัมเฉลี่ยอ้างอิง (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rPr>
                <m:nor/>
                <m:sty m:val="p"/>
              </m:rPr>
              <m:t>ref</m:t>
            </m:r>
          </m:sub>
        </m:sSub>
      </m:oMath>
      <w:r>
        <w:t xml:space="preserve">) ผ่านสมการถดถอยเชิงเส้น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i</m:t>
            </m:r>
          </m:sub>
        </m:sSub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rPr>
                <m:nor/>
                <m:sty m:val="p"/>
              </m:rPr>
              <m:t>ref</m:t>
            </m:r>
          </m:sub>
        </m:sSub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จากนั้นจึงทำการปรับแก้เป็น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nor/>
                <m:sty m:val="p"/>
              </m:rPr>
              <m:t>MSC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เพื่อให้เส้นสเปกตรัมทุกตัวอย่างมีระดับอ้างอิงเดียวกัน</w:t>
      </w:r>
    </w:p>
    <w:bookmarkEnd w:id="21"/>
    <w:bookmarkStart w:id="22" w:name="X9f4f9810dd814e81099456f2b9c49a44a3e8bb8"/>
    <w:p>
      <w:pPr>
        <w:pStyle w:val="Heading3"/>
      </w:pPr>
      <w:r>
        <w:t xml:space="preserve">2.4.3 การสอบเทียบมาตรฐานด้วยแผ่นเทียบสีขาว (White Reference Tile Calibration)</w:t>
      </w:r>
    </w:p>
    <w:p>
      <w:pPr>
        <w:pStyle w:val="FirstParagraph"/>
      </w:pPr>
      <w:r>
        <w:t xml:space="preserve">เพื่อขจัดความแตกต่างของความไวแสงของเซนเซอร์รับภาพในอุปกรณ์แต่ละเครื่อง ค่าการสะท้อนแสงสัมพัทธ์ (</w:t>
      </w:r>
      <m:oMath>
        <m:sSub>
          <m:e>
            <m:r>
              <m:t>R</m:t>
            </m:r>
          </m:e>
          <m:sub>
            <m:r>
              <m:t>λ</m:t>
            </m:r>
          </m:sub>
        </m:sSub>
      </m:oMath>
      <w:r>
        <w:t xml:space="preserve">) จะถูกคำนวณเทียบกับสัญญาณการสะท้อนแสงของแผ่นเทียบมาตรฐานสีขาว (White Reference Standard Tile, ทำจากสาร Polytetrafluoroethylene หรือ Spectralon ที่มีค่าการสะท้อนแสงสม่ำเสมอมากกว่าร้อยละ 99) และสัญญาณกระแสมืด (Dark Signal) เมื่อปิดแหล่งกำเนิดแสง ตามสมการ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λ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sample</m:t>
                  </m:r>
                </m:sub>
              </m:sSub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dark</m:t>
                  </m:r>
                </m:sub>
              </m:sSub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white</m:t>
                  </m:r>
                </m:sub>
              </m:sSub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dark</m:t>
                  </m:r>
                </m:sub>
              </m:sSub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กระบวนการนี้ทำให้ค่าสเปกตรัมที่ได้มีคุณสมบัติไม่ขึ้นอยู่กับความไวของเซนเซอร์และกำลังส่องสว่างของหลอดไฟ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X6fbf70fd002febaa4e7e7b5d30523ef4466a513"/>
    <w:p>
      <w:pPr>
        <w:pStyle w:val="Heading2"/>
      </w:pPr>
      <w:r>
        <w:t xml:space="preserve">2.5 สถาปัตยกรรมปัญญาประดิษฐ์และการเรียนรู้ของเครื่องสำหรับการวิเคราะห์ดินเชิงปริมาณ</w:t>
      </w:r>
    </w:p>
    <w:p>
      <w:pPr>
        <w:pStyle w:val="FirstParagraph"/>
      </w:pPr>
      <w:r>
        <w:t xml:space="preserve">เนื่องจากข้อมูลสเปกตรัมการสะท้อนแสงกับความเข้มข้นของธาตุอาหารในดินมีความสัมพันธ์ที่ซับซ้อน ไม่เป็นเชิงเส้น และมีการทับซ้อนกันของแถบการดูดกลืน แบบจำลองการเรียนรู้ของเครื่องจึงมีความเหมาะสมอย่างยิ่งในการถอดรหัสความสัมพันธ์ดังกล่าว</w:t>
      </w:r>
    </w:p>
    <w:bookmarkStart w:id="24" w:name="Xef9e5023bbeb544c15e14b2b383a2f5c81a00bb"/>
    <w:p>
      <w:pPr>
        <w:pStyle w:val="Heading3"/>
      </w:pPr>
      <w:r>
        <w:t xml:space="preserve">2.5.1 โครงข่ายประสาทเทียม (Artificial Neural Network หรือ ANN)</w:t>
      </w:r>
    </w:p>
    <w:p>
      <w:pPr>
        <w:pStyle w:val="FirstParagraph"/>
      </w:pPr>
      <w:r>
        <w:t xml:space="preserve">โครงข่ายประสาทเทียมแบบเพอร์เซปตรอนหลายชั้น (Multilayer Perceptron หรือ MLP) อาศัยโครงสร้างแบบเชื่อมโยงไปข้างหน้า (Feedforward Architecture) ประกอบด้วย ชั้นนำเข้า (Input Layer) ชั้นซ่อน (Hidden Layers) และชั้นส่งออก (Output Layer) การส่งผ่านสัญญาณในแต่ละเซลล์ประสาทคำนวณได้จาก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เมื่อ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คือค่าน้ำหนัก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คือค่าไบแอส และ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คือฟังก์ชันกระตุ้นแบบไม่เป็นเชิงเส้น เช่น Rectified Linear Unit (ReLU) หรือ Sigmoid แบบจำลองจะถูกฝึกสอนผ่านกระบวนการส่งย้อนกลับความคลาดเคลื่อน (Backpropagation) ร่วมกับอัลกอริทึมการปรับค่าน้ำหนักแบบอดัม (Adam Optimizer) เพื่อลดทอนฟังก์ชันการสูญเสียกำลังสองเฉลี่ย (Mean Squared Error หรือ MSE)</w:t>
      </w:r>
    </w:p>
    <w:bookmarkEnd w:id="24"/>
    <w:bookmarkStart w:id="25" w:name="Xb6f5aec616be018abe61f145deed0937795318a"/>
    <w:p>
      <w:pPr>
        <w:pStyle w:val="Heading3"/>
      </w:pPr>
      <w:r>
        <w:t xml:space="preserve">2.5.2 การถดถอยเวกเตอร์สนับสนุน (Support Vector Regression หรือ SVR)</w:t>
      </w:r>
    </w:p>
    <w:p>
      <w:pPr>
        <w:pStyle w:val="FirstParagraph"/>
      </w:pPr>
      <w:r>
        <w:t xml:space="preserve">แบบจำลอง SVR พยายามสร้างฟังก์ชันการทำนายที่อยู่ในท่อความคลาดเคลื่อน</w:t>
      </w:r>
      <w:r>
        <w:t xml:space="preserve"> </w:t>
      </w:r>
      <m:oMath>
        <m:r>
          <m:t>ϵ</m:t>
        </m:r>
        <m:r>
          <m:rPr>
            <m:nor/>
            <m:sty m:val="p"/>
          </m:rPr>
          <m:t>-tube</m:t>
        </m:r>
      </m:oMath>
      <w:r>
        <w:t xml:space="preserve"> </w:t>
      </w:r>
      <w:r>
        <w:t xml:space="preserve">โดยยอมรับความคลาดเคลื่อนที่ไม่เกิน</w:t>
      </w:r>
      <w:r>
        <w:t xml:space="preserve"> </w:t>
      </w:r>
      <m:oMath>
        <m:r>
          <m:t>ϵ</m:t>
        </m:r>
      </m:oMath>
      <w:r>
        <w:t xml:space="preserve"> </w:t>
      </w:r>
      <w:r>
        <w:t xml:space="preserve">และลดทอนขนาดของค่าน้ำหนักเพื่อเพิ่มความสามารถในการสรุปผลทั่วไป (Generalization Capability) ผ่านการแปลงข้อมูลมิติต่ำไปสู่มิติสูงด้วยฟังก์ชันเคอร์เนลแบบรัศมีฐาน (Radial Basis Function หรือ RBF Kernel)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t>γ</m:t>
              </m:r>
              <m:r>
                <m:rPr>
                  <m:sty m:val="p"/>
                </m:rPr>
                <m:t>∥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SVR มีจุดเด่นเป็นพิเศษในการจัดการกับชุดข้อมูลที่มีจำนวนตัวอย่างปานกลางแต่มีมิติข้อมูลสูง และทนทานต่อจุดผิดปรกติ (Outliers) ในข้อมูลได้ดีเยี่ยม</w:t>
      </w:r>
    </w:p>
    <w:bookmarkEnd w:id="25"/>
    <w:bookmarkStart w:id="26" w:name="X52ab695daea2146c693105b315de8e7aee0ee73"/>
    <w:p>
      <w:pPr>
        <w:pStyle w:val="Heading3"/>
      </w:pPr>
      <w:r>
        <w:t xml:space="preserve">2.5.3 การบีบอัดแบบจำลองและการนำไปใช้บนระบบสมองกลฝังตัว (Edge TinyML Deployment)</w:t>
      </w:r>
    </w:p>
    <w:p>
      <w:pPr>
        <w:pStyle w:val="FirstParagraph"/>
      </w:pPr>
      <w:r>
        <w:t xml:space="preserve">เพื่อให้แบบจำลองสามารถทำงานได้จริงบนไมโครคอนโทรลเลอร์ ESP32-S3 และสมาร์ทโฟนโดยไม่ต้องพึ่งพาระบบคลาวด์ พารามิเตอร์ค่าน้ำหนักและค่าไบแอสจะถูกแปลงเป็นค่าคงที่ในอาร์เรย์ภาษา C++ (Static Weight Arrays) และใช้การคำนวณแบบจุดลอยตัวเดี่ยว (Single-Precision Floating Point) หรือการทำ Quantization 8 บิต ซึ่งช่วยให้การอนุมาน (Forward Inference Pass) ใช้เวลาต่ำกว่า 0.15 มิลลิวินาที และใช้หน่วยความจำ RAM ต่ำกว่า 10 กิโลไบต์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งานวจยทเกยวของระดบสากลและกรอบแนวคดการวจย"/>
    <w:p>
      <w:pPr>
        <w:pStyle w:val="Heading2"/>
      </w:pPr>
      <w:r>
        <w:t xml:space="preserve">2.6 งานวิจัยที่เกี่ยวข้องระดับสากลและกรอบแนวคิดการวิจัย</w:t>
      </w:r>
    </w:p>
    <w:bookmarkStart w:id="28" w:name="งานวจยทเกยวของ"/>
    <w:p>
      <w:pPr>
        <w:pStyle w:val="Heading3"/>
      </w:pPr>
      <w:r>
        <w:t xml:space="preserve">2.6.1 งานวิจัยที่เกี่ยวข้อง</w:t>
      </w:r>
    </w:p>
    <w:p>
      <w:pPr>
        <w:pStyle w:val="FirstParagraph"/>
      </w:pPr>
      <w:r>
        <w:t xml:space="preserve">การประยุกต์ใช้เทคนิคสเปกโทรสโกปีร่วมกับปัญญาประดิษฐ์ได้รับการศึกษาและพิสูจน์ประสิทธิภาพอย่างกว้างขวางในระดับนานาชาติ</w:t>
      </w:r>
    </w:p>
    <w:p>
      <w:pPr>
        <w:pStyle w:val="BodyText"/>
      </w:pPr>
      <w:r>
        <w:t xml:space="preserve">Shin, Lee, และ Park (2025) ได้ทำการศึกษาการประเมินคุณสมบัติดินหลายชนิดพร้อมกันด้วยเทคนิค Vis-NIR Spectroscopy ร่วมกับแบบจำลอง Machine Learning พบว่าสเปกตรัมในย่าน 400 ถึง 1000 นาโนเมตร มีความสัมพันธ์อย่างมีนัยสำคัญกับปริมาณอินทรียวัตถุและไนโตรเจนในดิน โดยให้ค่า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สูงกว่า 0.85 แต่ได้ชี้ให้เห็นว่าเครื่องสเปกโตรมิเตอร์มาตรฐานมีราคาแพงมากและไม่เหมาะสำหรับการพกพาไปใช้งานภาคสนาม</w:t>
      </w:r>
    </w:p>
    <w:p>
      <w:pPr>
        <w:pStyle w:val="BodyText"/>
      </w:pPr>
      <w:r>
        <w:t xml:space="preserve">Folorunso และคณะ (2025) ได้พัฒนาเครื่องมือบนสมาร์ทโฟนชื่อ GeaGrow สำหรับทำนายธาตุอาหารในดินและการจัดการปุ๋ยโดยใช้โครงข่ายประสาทเทียม ซึ่งยืนยันว่าการประมวลผลข้อมูลผ่านแอปพลิเคชันสมาร์ทโฟนมีความเป็นไปได้สูงในการเพิ่มประสิทธิภาพการจัดการปุ๋ยของเกษตรกรรายย่อย</w:t>
      </w:r>
    </w:p>
    <w:p>
      <w:pPr>
        <w:pStyle w:val="BodyText"/>
      </w:pPr>
      <w:r>
        <w:t xml:space="preserve">Mondal และคณะ (2025) ได้ทำการเปรียบเทียบแบบจำลอง Machine Learning ชนิดต่างๆ ในการทำนายธาตุอาหารในดิน และพบว่าแบบจำลองที่ไม่เป็นเชิงเส้น เช่น ANN และ SVR ให้ความแม่นยำเหนือกว่าแบบจำลองการถดถอยเชิงเส้นอย่างชัดเจน โดยเฉพาะอย่างยิ่งเมื่อต้องรับมือกับดินที่มีความแปรปรวนสูง</w:t>
      </w:r>
    </w:p>
    <w:p>
      <w:pPr>
        <w:pStyle w:val="BodyText"/>
      </w:pPr>
      <w:r>
        <w:t xml:space="preserve">Kılıç และคณะ (2018) ได้ทำการวิเคราะห์เชิงลึกเกี่ยวกับข้อจำกัดของการใช้กล้องสมาร์ทโฟนในการตรวจวัดคุณภาพน้ำและสารละลายเชิงสี โดยชี้ให้เห็นว่าความแปรปรวนของแสงแวดล้อมภายนอกและลักษณะเฉพาะของเซนเซอร์กล้องแต่ละรุ่นเป็นสาเหตุหลักของความคลาดเคลื่อน และได้เสนอแนะการใช้กล่องควบคุมสภาพแสงร่วมกับการปรับเทียบด้วยแผ่นสีอ้างอิงเพื่อแก้ปัญหานี้ตั้งแต่ต้นทาง</w:t>
      </w:r>
    </w:p>
    <w:p>
      <w:pPr>
        <w:pStyle w:val="BodyText"/>
      </w:pPr>
      <w:r>
        <w:t xml:space="preserve">นอกจากนี้ งานวิจัยของ Chewa Thassana และคณะ (2023) ที่ได้ศึกษาคุณสมบัติการสะท้อนแสงของสารละลายแอมโมเนียมคลอไรด์ด้วยกล่องสมองกลฝังตัว ได้วางรากฐานการออกแบบระบบกำเนิดแสงแบบพัลส์และการประมวลผลสัญญาณสะท้อนแสงในระดับห้องปฏิบัติการ ซึ่งคณะผู้วิจัยได้นำมาต่อยอดสู่การตรวจวัดดินจริงในโครงการนี้</w:t>
      </w:r>
    </w:p>
    <w:bookmarkEnd w:id="28"/>
    <w:bookmarkStart w:id="29" w:name="กรอบแนวคดการวจย-conceptual-framework"/>
    <w:p>
      <w:pPr>
        <w:pStyle w:val="Heading3"/>
      </w:pPr>
      <w:r>
        <w:t xml:space="preserve">2.6.2 กรอบแนวคิดการวิจัย (Conceptual Framework)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กรอบแนวคิดการวิจัย (Conceptual Framework)                |</w:t>
      </w:r>
      <w:r>
        <w:br/>
      </w:r>
      <w:r>
        <w:rPr>
          <w:rStyle w:val="VerbatimChar"/>
        </w:rPr>
        <w:t xml:space="preserve">+-----------------------------------------------------------------------------------+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               |</w:t>
      </w:r>
      <w:r>
        <w:br/>
      </w:r>
      <w:r>
        <w:rPr>
          <w:rStyle w:val="VerbatimChar"/>
        </w:rPr>
        <w:t xml:space="preserve">|  [ ปัจจัยนำเข้า (Input) ]                                                          |</w:t>
      </w:r>
      <w:r>
        <w:br/>
      </w:r>
      <w:r>
        <w:rPr>
          <w:rStyle w:val="VerbatimChar"/>
        </w:rPr>
        <w:t xml:space="preserve">|  * ตัวอย่างดินสวนทุเรียน 50 ตัวอย่าง (จันทบุรี-ตราด)                              |</w:t>
      </w:r>
      <w:r>
        <w:br/>
      </w:r>
      <w:r>
        <w:rPr>
          <w:rStyle w:val="VerbatimChar"/>
        </w:rPr>
        <w:t xml:space="preserve">|  * ลำแสงกระตุ้น 6 แถบคลื่น (465, 525, 660, 720, 850, 940 nm)                      |</w:t>
      </w:r>
      <w:r>
        <w:br/>
      </w:r>
      <w:r>
        <w:rPr>
          <w:rStyle w:val="VerbatimChar"/>
        </w:rPr>
        <w:t xml:space="preserve">|  * ข้อมูลวิเคราะห์อ้างอิงแล็บ: Total N (Kjeldahl), Available P (Bray II)          |</w:t>
      </w:r>
      <w:r>
        <w:br/>
      </w:r>
      <w:r>
        <w:rPr>
          <w:rStyle w:val="VerbatimChar"/>
        </w:rPr>
        <w:t xml:space="preserve">|                                                                                   |</w:t>
      </w:r>
      <w:r>
        <w:br/>
      </w:r>
      <w:r>
        <w:rPr>
          <w:rStyle w:val="VerbatimChar"/>
        </w:rPr>
        <w:t xml:space="preserve">|                                         |                                         |</w:t>
      </w:r>
      <w:r>
        <w:br/>
      </w:r>
      <w:r>
        <w:rPr>
          <w:rStyle w:val="VerbatimChar"/>
        </w:rPr>
        <w:t xml:space="preserve">|                                         v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             |</w:t>
      </w:r>
      <w:r>
        <w:br/>
      </w:r>
      <w:r>
        <w:rPr>
          <w:rStyle w:val="VerbatimChar"/>
        </w:rPr>
        <w:t xml:space="preserve">|  [ กระบวนการดำเนินงาน (Process) ]                                                  |</w:t>
      </w:r>
      <w:r>
        <w:br/>
      </w:r>
      <w:r>
        <w:rPr>
          <w:rStyle w:val="VerbatimChar"/>
        </w:rPr>
        <w:t xml:space="preserve">|  1. ฮาร์ดแวร์ทัศนศาสตร์: Dark Chamber ควบคุมแสง 100% + Sequential LED Driver      |</w:t>
      </w:r>
      <w:r>
        <w:br/>
      </w:r>
      <w:r>
        <w:rPr>
          <w:rStyle w:val="VerbatimChar"/>
        </w:rPr>
        <w:t xml:space="preserve">|  2. ทัศนศาสตร์ฟิสิกส์: Diffuse Reflectance Calibration + Kubelka-Munk F(R)        |</w:t>
      </w:r>
      <w:r>
        <w:br/>
      </w:r>
      <w:r>
        <w:rPr>
          <w:rStyle w:val="VerbatimChar"/>
        </w:rPr>
        <w:t xml:space="preserve">|  3. การเตรียมข้อมูลสเปกตรัม: SNV Normalization, Scatter Correction                |</w:t>
      </w:r>
      <w:r>
        <w:br/>
      </w:r>
      <w:r>
        <w:rPr>
          <w:rStyle w:val="VerbatimChar"/>
        </w:rPr>
        <w:t xml:space="preserve">|  4. การพัฒนาแบบจำลอง AI: Multi-wavelength ANN (MLP) &amp; SVR (RBF)                   |</w:t>
      </w:r>
      <w:r>
        <w:br/>
      </w:r>
      <w:r>
        <w:rPr>
          <w:rStyle w:val="VerbatimChar"/>
        </w:rPr>
        <w:t xml:space="preserve">|  5. การบีบอัดโมเดลสู่ Edge TinyML C++ บน ESP32-S3 / Smartphone UI                 |</w:t>
      </w:r>
      <w:r>
        <w:br/>
      </w:r>
      <w:r>
        <w:rPr>
          <w:rStyle w:val="VerbatimChar"/>
        </w:rPr>
        <w:t xml:space="preserve">|                                                                                   |</w:t>
      </w:r>
      <w:r>
        <w:br/>
      </w:r>
      <w:r>
        <w:rPr>
          <w:rStyle w:val="VerbatimChar"/>
        </w:rPr>
        <w:t xml:space="preserve">|                                         |                                         |</w:t>
      </w:r>
      <w:r>
        <w:br/>
      </w:r>
      <w:r>
        <w:rPr>
          <w:rStyle w:val="VerbatimChar"/>
        </w:rPr>
        <w:t xml:space="preserve">|                                         v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             |</w:t>
      </w:r>
      <w:r>
        <w:br/>
      </w:r>
      <w:r>
        <w:rPr>
          <w:rStyle w:val="VerbatimChar"/>
        </w:rPr>
        <w:t xml:space="preserve">|  [ ผลผลิตและผลลัพธ์ (Output &amp; Outcome) ]                                           |</w:t>
      </w:r>
      <w:r>
        <w:br/>
      </w:r>
      <w:r>
        <w:rPr>
          <w:rStyle w:val="VerbatimChar"/>
        </w:rPr>
        <w:t xml:space="preserve">|  * ชุดวิเคราะห์ N และ P แบบพกพาต้นทุนต่ำ ไม่ใช้สารเคมี                            |</w:t>
      </w:r>
      <w:r>
        <w:br/>
      </w:r>
      <w:r>
        <w:rPr>
          <w:rStyle w:val="VerbatimChar"/>
        </w:rPr>
        <w:t xml:space="preserve">|  * ค่าความแม่นยำสูง: R² &gt;= 0.88 (N), R² &gt;= 0.85 (P), Bias &lt; 5%, %RSD &lt; 5%        |</w:t>
      </w:r>
      <w:r>
        <w:br/>
      </w:r>
      <w:r>
        <w:rPr>
          <w:rStyle w:val="VerbatimChar"/>
        </w:rPr>
        <w:t xml:space="preserve">|  * ผลการวิเคราะห์สอดคล้องกับวิธีมาตรฐานทางเคมี (Paired t-test, p &gt; 0.05)          |</w:t>
      </w:r>
      <w:r>
        <w:br/>
      </w:r>
      <w:r>
        <w:rPr>
          <w:rStyle w:val="VerbatimChar"/>
        </w:rPr>
        <w:t xml:space="preserve">|  * ระบบแนะนำปุ๋ยอัจฉริยะ ช่วยลดต้นทุนเกษตรกร 15 - 25%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X0b94bb0e4c3e20aa76cf5e69e3057919405d123"/>
    <w:p>
      <w:pPr>
        <w:pStyle w:val="Heading2"/>
      </w:pPr>
      <w:r>
        <w:t xml:space="preserve">2.7 การวิเคราะห์เคมีดินด้วยแถบสีเทียบเคียงและข้อจำกัดเชิงทัศนศาสตร์</w:t>
      </w:r>
    </w:p>
    <w:bookmarkStart w:id="31" w:name="X88ebb92e5df0e450d3b60cbacdd4ec196e563bb"/>
    <w:p>
      <w:pPr>
        <w:pStyle w:val="Heading3"/>
      </w:pPr>
      <w:r>
        <w:t xml:space="preserve">2.7.1 มาตรฐานชุดตรวจสอบดินภาคสนามเชิงสี (Colorimetric Soil Test Kits)</w:t>
      </w:r>
    </w:p>
    <w:p>
      <w:pPr>
        <w:pStyle w:val="FirstParagraph"/>
      </w:pPr>
      <w:r>
        <w:t xml:space="preserve">ในระบบเกษตรกรรมภาคสนามและงานส่งเสริมการเกษตรของประเทศไทย เกษตรกรและนักวิชาการเกษตรนิยมใช้ชุดตรวจสอบดินภาคสนาม (Soil Test Kit) ในการประเมินสถานะความอุดมสมบูรณ์ของดินเบื้องต้น เนื่องจากมีความสะดวก รวดเร็ว และทราบผลได้ทันทีในแปลงปลูก โดยชุดตรวจสอบที่ได้รับการยอมรับและอ้างอิงอย่างแพร่หลาย ได้แก่ ชุดตรวจสอบดินของกลุ่มวิจัยและพัฒนาการจัดการดินและปุ๋ย กรมพัฒนาที่ดิน กระทรวงเกษตรและสหกรณ์ (Land Development Department หรือ LDD) และชุดตรวจสอบดินมาตรฐานสากล LaMotte Combination Soil Testing Outfits (อาทิ Model STH Series และ Model 5934) ซึ่งอ้างอิงระเบียบวิธีวิเคราะห์ตามมาตรฐานของสมาคมวิทยาศาสตร์ทางดินแห่งสหรัฐอเมริกา (Soil Science Society of America หรือ SSSA) ตลอดจนชุดทดสอบ Rapitest Soil Test Kit</w:t>
      </w:r>
    </w:p>
    <w:p>
      <w:pPr>
        <w:pStyle w:val="BodyText"/>
      </w:pPr>
      <w:r>
        <w:t xml:space="preserve">ชุดตรวจสอบดังกล่าวอาศัยหลักการเทียบเคียงสี (Colorimetry) โดยการสกัดธาตุอาหารออกจากตัวอย่างดินด้วยน้ำยาสกัดเฉพาะ จากนั้นทำปฏิกิริยากับสารทำปฏิกิริยาเคมี (Chromogenic Reagents) เพื่อให้เกิดสารประกอบที่มีสี แล้วนำหลอดทดลองมาเปรียบเทียบความเข้มหรือเฉดสีด้วยสายตากับแผ่นแถบสีมาตรฐาน (Color Comparison Chart) ที่จัดพิมพ์มาพร้อมกับชุดทดสอบ</w:t>
      </w:r>
    </w:p>
    <w:bookmarkEnd w:id="31"/>
    <w:bookmarkStart w:id="32" w:name="X727c3f48ab33a374783a569d1bc848988ef65db"/>
    <w:p>
      <w:pPr>
        <w:pStyle w:val="Heading3"/>
      </w:pPr>
      <w:r>
        <w:t xml:space="preserve">2.7.2 กลไกปฏิกิริยาเคมีวิเคราะห์และการเกิดสี (Chemical Reaction Mechanisms)</w:t>
      </w:r>
    </w:p>
    <w:p>
      <w:pPr>
        <w:pStyle w:val="FirstParagraph"/>
      </w:pPr>
      <w:r>
        <w:t xml:space="preserve">การเกิดสีของสารละลายทดสอบในแต่ละพารามิเตอร์ เป็นผลมาจากปฏิกิริยาเคมีวิเคราะห์จำเพาะ ดังนี้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ความเป็นกรด-ด่างของดิน (Soil pH)</w:t>
      </w:r>
      <w:r>
        <w:t xml:space="preserve"> </w:t>
      </w:r>
      <w:r>
        <w:t xml:space="preserve">อาศัยปฏิกิริยาสมดุลของสารละลายอินดิเคเตอร์ผสมช่วงกว้าง (Wide-range Mixed Acid-Base Indicators) ซึ่งประกอบด้วยโบรโมครีซอลกรีน (Bromocresol Green) เมทิลเรด (Methyl Red) และโบรโมไทมอลบลู (Bromothymol Blue) เกิดการเปลี่ยนสีตามความเข้มข้นของไฮโดรเจนไอออนในสารละลายดินตามสมการ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HIn</m:t>
          </m:r>
          <m:r>
            <m:rPr>
              <m:sty m:val="p"/>
            </m:rPr>
            <m:t>⇌</m:t>
          </m:r>
          <m:sSup>
            <m:e>
              <m:r>
                <m:rPr>
                  <m:nor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nor/>
                  <m:sty m:val="p"/>
                </m:rPr>
                <m:t>In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numPr>
          <w:ilvl w:val="0"/>
          <w:numId w:val="1000"/>
        </w:numPr>
      </w:pPr>
      <w:r>
        <w:t xml:space="preserve">สารละลายจะแสดงสีแดงส้มในสภาวะกรดจัดรุนแรง (</w:t>
      </w:r>
      <m:oMath>
        <m:r>
          <m:rPr>
            <m:nor/>
            <m:sty m:val="p"/>
          </m:rPr>
          <m:t>pH</m:t>
        </m:r>
        <m:r>
          <m:rPr>
            <m:sty m:val="p"/>
          </m:rPr>
          <m:t>&lt;</m:t>
        </m:r>
        <m:r>
          <m:t>4.5</m:t>
        </m:r>
      </m:oMath>
      <w:r>
        <w:t xml:space="preserve">) และค่อยๆ เปลี่ยนเป็นสีส้มอมเหลือง (</w:t>
      </w:r>
      <m:oMath>
        <m:r>
          <m:rPr>
            <m:nor/>
            <m:sty m:val="p"/>
          </m:rPr>
          <m:t>pH </m:t>
        </m:r>
        <m:r>
          <m:t>4.5</m:t>
        </m:r>
        <m:r>
          <m:rPr>
            <m:sty m:val="p"/>
          </m:rPr>
          <m:t>−</m:t>
        </m:r>
        <m:r>
          <m:t>5.2</m:t>
        </m:r>
      </m:oMath>
      <w:r>
        <w:t xml:space="preserve">) สีเหลืองอมเขียว (</w:t>
      </w:r>
      <m:oMath>
        <m:r>
          <m:rPr>
            <m:nor/>
            <m:sty m:val="p"/>
          </m:rPr>
          <m:t>pH </m:t>
        </m:r>
        <m:r>
          <m:t>5.3</m:t>
        </m:r>
        <m:r>
          <m:rPr>
            <m:sty m:val="p"/>
          </m:rPr>
          <m:t>−</m:t>
        </m:r>
        <m:r>
          <m:t>6.0</m:t>
        </m:r>
      </m:oMath>
      <w:r>
        <w:t xml:space="preserve">) สีเขียวมรกตในดินที่มีค่าเป็นกลาง (</w:t>
      </w:r>
      <m:oMath>
        <m:r>
          <m:rPr>
            <m:nor/>
            <m:sty m:val="p"/>
          </m:rPr>
          <m:t>pH </m:t>
        </m:r>
        <m:r>
          <m:t>6.5</m:t>
        </m:r>
        <m:r>
          <m:rPr>
            <m:sty m:val="p"/>
          </m:rPr>
          <m:t>−</m:t>
        </m:r>
        <m:r>
          <m:t>7.5</m:t>
        </m:r>
      </m:oMath>
      <w:r>
        <w:t xml:space="preserve">) จนถึงสีน้ำเงินอมม่วงเข้มในสภาวะดินด่าง (</w:t>
      </w:r>
      <m:oMath>
        <m:r>
          <m:rPr>
            <m:nor/>
            <m:sty m:val="p"/>
          </m:rPr>
          <m:t>pH</m:t>
        </m:r>
        <m:r>
          <m:rPr>
            <m:sty m:val="p"/>
          </m:rPr>
          <m:t>&gt;</m:t>
        </m:r>
        <m:r>
          <m:t>8.0</m:t>
        </m:r>
      </m:oMath>
      <w:r>
        <w:t xml:space="preserve">)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ไนโตรเจนที่เป็นประโยชน์ในรูปไนเตรต (</w:t>
      </w:r>
      <m:oMath>
        <m:sSubSup>
          <m:e>
            <m:r>
              <m:rPr>
                <m:nor/>
                <m:sty m:val="p"/>
              </m:rPr>
              <m:t>NO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−</m:t>
        </m:r>
        <m:r>
          <m:rPr>
            <m:nor/>
            <m:sty m:val="p"/>
          </m:rP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อาศัยปฏิกิริยากรีสส์ประยุกต์ (Modified Griess Reaction หรือ Zinc Reduction Method) โดยในขั้นแรกผงโลหะสังกะสี (</w:t>
      </w:r>
      <m:oMath>
        <m:r>
          <m:rPr>
            <m:nor/>
            <m:sty m:val="p"/>
          </m:rPr>
          <m:t>Zn</m:t>
        </m:r>
      </m:oMath>
      <w:r>
        <w:t xml:space="preserve">) จะทำหน้าที่รีดิวซ์ไนเตรตไอออนในสารละลายสกัดให้เปลี่ยนเป็นไนไตรต์ไอออน (</w:t>
      </w:r>
      <m:oMath>
        <m:sSubSup>
          <m:e>
            <m:r>
              <m:rPr>
                <m:nor/>
                <m:sty m:val="p"/>
              </m:rPr>
              <m:t>NO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) ภายใต้สภาวะกรด จากนั้นไนไตรต์จะทำปฏิกิริยาไดอะโซไทเซชัน (Diazotization) กับกรดซัลฟานิลิก (Sulfanilic Acid) เกิดเป็นเกลือไดอะโซเนียม และทำปฏิกิริยาคัปปลิง (Azo Coupling) กับสาร N-(1-Naphthyl)ethylenediamine dihydrochloride (NED) เกิดเป็นสีย้อมเอโซ (Azo Dye) สีชมพูแดง ซึ่งมีแถบดูดกลืนแสงสูงสุดที่ความยาวคลื่นประมาณ 540 นาโนเมตร ดังสมการเคมี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rPr>
                  <m:nor/>
                  <m:sty m:val="p"/>
                </m:rPr>
                <m:t>NO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rPr>
              <m:nor/>
              <m:sty m:val="p"/>
            </m:rPr>
            <m:t>Zn</m:t>
          </m:r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nor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→</m:t>
          </m:r>
          <m:sSubSup>
            <m:e>
              <m:r>
                <m:rPr>
                  <m:nor/>
                  <m:sty m:val="p"/>
                </m:rPr>
                <m:t>NO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sSup>
            <m:e>
              <m:r>
                <m:rPr>
                  <m:nor/>
                  <m:sty m:val="p"/>
                </m:rPr>
                <m:t>Zn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O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rPr>
                  <m:nor/>
                  <m:sty m:val="p"/>
                </m:rPr>
                <m:t>NO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rPr>
                  <m:nor/>
                  <m:sty m:val="p"/>
                </m:rPr>
                <m:t>Ar-NH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nor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→</m:t>
          </m:r>
          <m:r>
            <m:rPr>
              <m:sty m:val="p"/>
            </m:rPr>
            <m:t>[</m:t>
          </m:r>
          <m:sSup>
            <m:e>
              <m:r>
                <m:rPr>
                  <m:nor/>
                  <m:sty m:val="p"/>
                </m:rPr>
                <m:t>Ar-N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≡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O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sSup>
            <m:e>
              <m:r>
                <m:rPr>
                  <m:nor/>
                  <m:sty m:val="p"/>
                </m:rPr>
                <m:t>Ar-N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≡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]</m:t>
          </m:r>
          <m:r>
            <m:rPr>
              <m:sty m:val="p"/>
            </m:rPr>
            <m:t>+</m:t>
          </m:r>
          <m:sSup>
            <m:e>
              <m:r>
                <m:rPr>
                  <m:nor/>
                  <m:sty m:val="p"/>
                </m:rPr>
                <m:t>Ar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b>
            <m:e>
              <m:r>
                <m:rPr>
                  <m:nor/>
                  <m:sty m:val="p"/>
                </m:rPr>
                <m:t>-NH(CH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nor/>
                  <m:sty m:val="p"/>
                </m:rPr>
                <m:t>NH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→</m:t>
          </m:r>
          <m:sSup>
            <m:e>
              <m:r>
                <m:rPr>
                  <m:nor/>
                  <m:sty m:val="p"/>
                </m:rPr>
                <m:t>Ar-N=N-Ar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b>
            <m:e>
              <m:r>
                <m:rPr>
                  <m:nor/>
                  <m:sty m:val="p"/>
                </m:rPr>
                <m:t>-NH(CH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nor/>
                  <m:sty m:val="p"/>
                </m:rPr>
                <m:t>NH</m:t>
              </m:r>
            </m:e>
            <m:sub>
              <m:r>
                <m:t>2</m:t>
              </m:r>
            </m:sub>
          </m:sSub>
        </m:oMath>
      </m:oMathPara>
    </w:p>
    <w:p>
      <w:pPr>
        <w:numPr>
          <w:ilvl w:val="0"/>
          <w:numId w:val="1000"/>
        </w:numPr>
      </w:pPr>
      <w:r>
        <w:t xml:space="preserve">ความเข้มของสีชมพูแดงจะแปรผันตรงตามความเข้มข้นของไนเตรต โดยดินที่มีไนโตรเจนต่ำมากจะแสดงสารละลายใสหรือสีเหลืองจาง ขณะที่ดินที่มีไนโตรเจนสูงมากจะแสดงสีแดงอมม่วงเข้ม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ฟอสฟอรัสที่เป็นประโยชน์ (Available Phosphorus)</w:t>
      </w:r>
      <w:r>
        <w:t xml:space="preserve"> </w:t>
      </w:r>
      <w:r>
        <w:t xml:space="preserve">อาศัยปฏิกิริยาโมลิบดีนัมบลู (Molybdenum Blue Method ร่วมกับวิธีสกัด Bray II) โดยออร์โธฟอสเฟตไอออน (</w:t>
      </w:r>
      <m:oMath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sSubSup>
          <m:e>
            <m:r>
              <m:rPr>
                <m:nor/>
                <m:sty m:val="p"/>
              </m:rPr>
              <m:t>PO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) ทำปฏิกิริยากับแอมโมเนียมโมลิบเดต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NH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6</m:t>
            </m:r>
          </m:sub>
        </m:sSub>
        <m:sSub>
          <m:e>
            <m:r>
              <m:rPr>
                <m:nor/>
                <m:sty m:val="p"/>
              </m:rPr>
              <m:t>Mo</m:t>
            </m:r>
          </m:e>
          <m:sub>
            <m:r>
              <m:t>7</m:t>
            </m:r>
          </m:sub>
        </m:sSub>
        <m:sSub>
          <m:e>
            <m:r>
              <m:rPr>
                <m:nor/>
                <m:sty m:val="p"/>
              </m:rPr>
              <m:t>O</m:t>
            </m:r>
          </m:e>
          <m:sub>
            <m:r>
              <m:t>24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และโพแทสเซียมแอนติโมนีลทาร์เทรตในสารละลายกรดซัลฟิวริก เกิดเป็นกรดฟอสโฟโมลิบดิก จากนั้นถูกรีดิวซ์ด้วยกรดแอสคอร์บิก (Ascorbic Acid) เกิดเป็นสารประกอบเชิงซ้อนเฮเทอโรโพลีแอนไอออนสีน้ำเงินเข้ม (Phosphomolybdenum Blue Complex) ที่มีแถบดูดกลืนแสงสูงสุดที่ 660 นาโนเมตร และ 882 นาโนเมตร ดังสมการเคมี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Sup>
            <m:e>
              <m:r>
                <m:rPr>
                  <m:nor/>
                  <m:sty m:val="p"/>
                </m:rPr>
                <m:t>PO</m:t>
              </m:r>
            </m:e>
            <m:sub>
              <m: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12</m:t>
          </m:r>
          <m:sSubSup>
            <m:e>
              <m:r>
                <m:rPr>
                  <m:nor/>
                  <m:sty m:val="p"/>
                </m:rPr>
                <m:t>MoO</m:t>
              </m:r>
            </m:e>
            <m:sub>
              <m:r>
                <m:t>4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22</m:t>
          </m:r>
          <m:sSup>
            <m:e>
              <m:r>
                <m:rPr>
                  <m:nor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→</m:t>
          </m:r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Mo</m:t>
              </m:r>
            </m:e>
            <m:sub>
              <m:r>
                <m:t>12</m:t>
              </m:r>
            </m:sub>
          </m:sSub>
          <m:sSub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40</m:t>
              </m:r>
            </m:sub>
          </m:sSub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t>10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O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Mo</m:t>
              </m:r>
            </m:e>
            <m:sub>
              <m:r>
                <m:t>12</m:t>
              </m:r>
            </m:sub>
          </m:sSub>
          <m:sSub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40</m:t>
              </m:r>
            </m:sub>
          </m:sSub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rPr>
              <m:nor/>
              <m:sty m:val="p"/>
            </m:rPr>
            <m:t>Ascorbic Acid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Molybdenum Blue Complex</m:t>
          </m:r>
        </m:oMath>
      </m:oMathPara>
    </w:p>
    <w:p>
      <w:pPr>
        <w:numPr>
          <w:ilvl w:val="0"/>
          <w:numId w:val="1000"/>
        </w:numPr>
      </w:pPr>
      <w:r>
        <w:t xml:space="preserve">เฉดสีของสารละลายจะเปลี่ยนจากสีเหลืองใสอมเขียวจางในระดับต่ำมาก สู่สีฟ้าสว่างในระดับปานกลาง และสีน้ำเงินเข้มมิดไนท์บลูในระดับสูงมาก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โพแทสเซียมที่แลกเปลี่ยนได้ (Exchangeable Potassium)</w:t>
      </w:r>
      <w:r>
        <w:t xml:space="preserve"> </w:t>
      </w:r>
      <w:r>
        <w:t xml:space="preserve">อาศัยปฏิกิริยาการตกตะกอนด้วยโซเดียมเตตระฟีนิลโบรอน (Sodium Tetraphenylboron Method) หรือโซเดียมโคบอลตินิไตรต์ (Sodium Cobaltinitrite Method) โดยโพแทสเซียมไอออน (</w:t>
      </w:r>
      <m:oMath>
        <m:sSup>
          <m:e>
            <m:r>
              <m:rPr>
                <m:nor/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) ทำปฏิกิริยากับไอออนเตตระฟีนิลโบรอนเกิดเป็นตะกอนสีขาวขุ่น หรือทำปฏิกิริยากับโคบอลตินิไตรต์เกิดเป็นสารแขวนลอยสีส้มอำพันขุ่นทึบแสง ดังสมการเคมี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nor/>
                  <m:sty m:val="p"/>
                </m:rPr>
                <m:t>K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[</m:t>
          </m:r>
          <m:r>
            <m:rPr>
              <m:nor/>
              <m:sty m:val="p"/>
            </m:rPr>
            <m:t>B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C</m:t>
              </m:r>
            </m:e>
            <m:sub>
              <m:r>
                <m:t>6</m:t>
              </m:r>
            </m:sub>
          </m:sSub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5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4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r>
            <m:rPr>
              <m:nor/>
              <m:sty m:val="p"/>
            </m:rPr>
            <m:t>KB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C</m:t>
              </m:r>
            </m:e>
            <m:sub>
              <m:r>
                <m:t>6</m:t>
              </m:r>
            </m:sub>
          </m:sSub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5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↓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2</m:t>
          </m:r>
          <m:sSup>
            <m:e>
              <m:r>
                <m:rPr>
                  <m:nor/>
                  <m:sty m:val="p"/>
                </m:rPr>
                <m:t>K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nor/>
                  <m:sty m:val="p"/>
                </m:rPr>
                <m:t>Na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[</m:t>
          </m:r>
          <m:r>
            <m:rPr>
              <m:nor/>
              <m:sty m:val="p"/>
            </m:rPr>
            <m:t>Co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NO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6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t>3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sSub>
            <m:e>
              <m:r>
                <m:rPr>
                  <m:nor/>
                  <m:sty m:val="p"/>
                </m:rPr>
                <m:t>K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Na</m:t>
          </m:r>
          <m:r>
            <m:rPr>
              <m:sty m:val="p"/>
            </m:rPr>
            <m:t>[</m:t>
          </m:r>
          <m:r>
            <m:rPr>
              <m:nor/>
              <m:sty m:val="p"/>
            </m:rPr>
            <m:t>Co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NO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↓</m:t>
          </m:r>
        </m:oMath>
      </m:oMathPara>
    </w:p>
    <w:p>
      <w:pPr>
        <w:numPr>
          <w:ilvl w:val="0"/>
          <w:numId w:val="1000"/>
        </w:numPr>
      </w:pPr>
      <w:r>
        <w:t xml:space="preserve">ระดับความขุ่นและการบดบังแสงจะเพิ่มขึ้นตามความเข้มข้นของโพแทสเซียมในดิน</w:t>
      </w:r>
    </w:p>
    <w:bookmarkEnd w:id="32"/>
    <w:bookmarkStart w:id="33" w:name="X42b76fe11f954b5245a11f94b83a099135e6239"/>
    <w:p>
      <w:pPr>
        <w:pStyle w:val="Heading3"/>
      </w:pPr>
      <w:r>
        <w:t xml:space="preserve">2.7.3 ตารางเปรียบเทียบเกณฑ์มาตรฐานระดับคุณภาพและช่วงความเข้มข้นเชิงปริมาณ</w:t>
      </w:r>
    </w:p>
    <w:p>
      <w:pPr>
        <w:pStyle w:val="FirstParagraph"/>
      </w:pPr>
      <w:r>
        <w:t xml:space="preserve">การแปลงผลการประเมินเชิงคุณภาพจากแถบสีเทียบมาตรฐานสู่ค่าเชิงปริมาณที่มีหน่วยวิศวกรรมสากล อาศัยเกณฑ์มาตรฐานของกรมพัฒนาที่ดิน (LDD Thailand) และมาตรฐานสากล SSSA ดังแสดงในตารางที่ 2.3</w:t>
      </w:r>
    </w:p>
    <w:p>
      <w:pPr>
        <w:pStyle w:val="BodyText"/>
      </w:pPr>
      <w:r>
        <w:rPr>
          <w:b/>
          <w:bCs/>
        </w:rPr>
        <w:t xml:space="preserve">ตารางที่ 2.3 เกณฑ์มาตรฐานแถบสีเทียบเคียงและช่วงความเข้มข้นเชิงปริมาณของธาตุอาหารในดิน NPK และ pH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1523"/>
        <w:gridCol w:w="1218"/>
        <w:gridCol w:w="1218"/>
        <w:gridCol w:w="152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พารามิเตอร์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ระดับคุณภาพดิน (Tier)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ช่วงค่าเชิงปริมาณ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มาตรฐานอ้างอิง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เฉดสีทางเคมีวิเคราะห์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รหัสสีดิจิทัล (HEX)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ความเป็นกรด-ด่าง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กรดจัดรุนแรง (Extremely Acid)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&lt;</m:t>
              </m:r>
              <m:r>
                <m:t>4.5</m:t>
              </m:r>
              <m:r>
                <m:rPr>
                  <m:nor/>
                  <m:sty m:val="p"/>
                </m:rPr>
                <m:t> pH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LDD / USDA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แดงส้มสดใส (Red-Orange)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#e63946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(Soil pH)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กรดจัด (Very Strongly Acid)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4.5</m:t>
              </m:r>
              <m:r>
                <m:rPr>
                  <m:sty m:val="p"/>
                </m:rPr>
                <m:t>−</m:t>
              </m:r>
              <m:r>
                <m:t>5.2</m:t>
              </m:r>
              <m:r>
                <m:rPr>
                  <m:nor/>
                  <m:sty m:val="p"/>
                </m:rPr>
                <m:t> pH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LDD / USDA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ส้มอมเหลือง (Orange-Amber)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#f4a261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กรดปานกลาง (Moderately Acid)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5.3</m:t>
              </m:r>
              <m:r>
                <m:rPr>
                  <m:sty m:val="p"/>
                </m:rPr>
                <m:t>−</m:t>
              </m:r>
              <m:r>
                <m:t>6.0</m:t>
              </m:r>
              <m:r>
                <m:rPr>
                  <m:nor/>
                  <m:sty m:val="p"/>
                </m:rPr>
                <m:t> pH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LDD / USDA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เหลืองอมเขียว (Yellow-Green)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#e9c46a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เป็นกรดเล็กน้อย (Slightly Acid)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6.1</m:t>
              </m:r>
              <m:r>
                <m:rPr>
                  <m:sty m:val="p"/>
                </m:rPr>
                <m:t>−</m:t>
              </m:r>
              <m:r>
                <m:t>6.8</m:t>
              </m:r>
              <m:r>
                <m:rPr>
                  <m:nor/>
                  <m:sty m:val="p"/>
                </m:rPr>
                <m:t> pH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LDD / USDA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เขียวมะนาวอ่อน (Light Lime)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#a7c957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เป็นกลาง (Neutral - เหมาะสม)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6.9</m:t>
              </m:r>
              <m:r>
                <m:rPr>
                  <m:sty m:val="p"/>
                </m:rPr>
                <m:t>−</m:t>
              </m:r>
              <m:r>
                <m:t>7.5</m:t>
              </m:r>
              <m:r>
                <m:rPr>
                  <m:nor/>
                  <m:sty m:val="p"/>
                </m:rPr>
                <m:t> pH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LDD / USDA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เขียวมรกตธรรมชาติ (Emerald)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#2a9d8f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ด่างปานกลาง (Moderately Alkaline)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7.6</m:t>
              </m:r>
              <m:r>
                <m:rPr>
                  <m:sty m:val="p"/>
                </m:rPr>
                <m:t>−</m:t>
              </m:r>
              <m:r>
                <m:t>8.4</m:t>
              </m:r>
              <m:r>
                <m:rPr>
                  <m:nor/>
                  <m:sty m:val="p"/>
                </m:rPr>
                <m:t> pH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LDD / USDA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ฟ้าครามแกมเขียว (Cyan-Teal)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#457b9d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ด่างรุนแรง (Strongly Alkaline)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&gt;</m:t>
              </m:r>
              <m:r>
                <m:t>8.4</m:t>
              </m:r>
              <m:r>
                <m:rPr>
                  <m:nor/>
                  <m:sty m:val="p"/>
                </m:rPr>
                <m:t> pH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LDD / USDA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น้ำเงินม่วงเข้ม (Deep Indigo)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#1d3557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ไนโตรเจนที่ใช้ประโยชน์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ต่ำมาก (Depleted / Very Low)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&lt;</m:t>
              </m:r>
              <m:r>
                <m:t>10</m:t>
              </m:r>
              <m:r>
                <m:rPr>
                  <m:nor/>
                  <m:sty m:val="p"/>
                </m:rPr>
                <m:t> mg/kg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LDD / LaMotte 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เหลืองซีดโปร่งใส (Pale Yellow)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#fefae0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</w:t>
            </w:r>
            <m:oMath>
              <m:sSubSup>
                <m:e>
                  <m:r>
                    <m:rPr>
                      <m:nor/>
                      <m:sty m:val="p"/>
                    </m:rPr>
                    <m:t>NO</m:t>
                  </m:r>
                </m:e>
                <m:sub>
                  <m:r>
                    <m:t>3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N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ต่ำ (Deficient / Low)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10</m:t>
              </m:r>
              <m:r>
                <m:rPr>
                  <m:sty m:val="p"/>
                </m:rPr>
                <m:t>−</m:t>
              </m:r>
              <m:r>
                <m:t>25</m:t>
              </m:r>
              <m:r>
                <m:rPr>
                  <m:nor/>
                  <m:sty m:val="p"/>
                </m:rPr>
                <m:t> mg/kg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LDD / LaMotte 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ชมพูโอลด์โรสอ่อน (Light Coral)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#f4a261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ปานกลาง (Adequate / Medium)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26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nor/>
                  <m:sty m:val="p"/>
                </m:rPr>
                <m:t> mg/kg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LDD / LaMotte 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ชมพูสดใส (Vibrant Pink)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#e76f51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สูง (Sufficient / High)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51</m:t>
              </m:r>
              <m:r>
                <m:rPr>
                  <m:sty m:val="p"/>
                </m:rPr>
                <m:t>−</m:t>
              </m:r>
              <m:r>
                <m:t>80</m:t>
              </m:r>
              <m:r>
                <m:rPr>
                  <m:nor/>
                  <m:sty m:val="p"/>
                </m:rPr>
                <m:t> mg/kg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LDD / LaMotte 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แดงกุหลาบสด (Rose Red)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#d62828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สูงมาก (Surplus / Very High)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&gt;</m:t>
              </m:r>
              <m:r>
                <m:t>80</m:t>
              </m:r>
              <m:r>
                <m:rPr>
                  <m:nor/>
                  <m:sty m:val="p"/>
                </m:rPr>
                <m:t> mg/kg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LDD / LaMotte 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ม่วงแดงมาเจนต้าเข้ม (Deep Magenta)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#7209b7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ฟอสฟอรัสที่เป็นประโยชน์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ต่ำมาก (Depleted / Very Low)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&lt;</m:t>
              </m:r>
              <m:r>
                <m:t>5</m:t>
              </m:r>
              <m:r>
                <m:rPr>
                  <m:nor/>
                  <m:sty m:val="p"/>
                </m:rPr>
                <m:t> mg/kg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LDD Bray II / SSSA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เหลืองใสอมเขียวจาง (Pale Clear)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#faf0ca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(Available 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ต่ำ (Deficient / Low)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5</m:t>
              </m:r>
              <m:r>
                <m:rPr>
                  <m:sty m:val="p"/>
                </m:rPr>
                <m:t>−</m:t>
              </m:r>
              <m:r>
                <m:t>15</m:t>
              </m:r>
              <m:r>
                <m:rPr>
                  <m:nor/>
                  <m:sty m:val="p"/>
                </m:rPr>
                <m:t> mg/kg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LDD Bray II / SSSA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ฟ้าอ่อนใส (Pale Sky Blue)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#a2d2ff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ปานกลาง (Adequate / Medium)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16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nor/>
                  <m:sty m:val="p"/>
                </m:rPr>
                <m:t> mg/kg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LDD Bray II / SSSA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ฟ้าครามมิดเดิลบลู (Cyan Blue)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#3a86ff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สูง (Sufficient / High)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31</m:t>
              </m:r>
              <m:r>
                <m:rPr>
                  <m:sty m:val="p"/>
                </m:rPr>
                <m:t>−</m:t>
              </m:r>
              <m:r>
                <m:t>60</m:t>
              </m:r>
              <m:r>
                <m:rPr>
                  <m:nor/>
                  <m:sty m:val="p"/>
                </m:rPr>
                <m:t> mg/kg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LDD Bray II / SSSA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น้ำเงินเข้มรอยัลบลู (Royal Blue)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#003049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สูงมาก (Surplus / Very High)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&gt;</m:t>
              </m:r>
              <m:r>
                <m:t>60</m:t>
              </m:r>
              <m:r>
                <m:rPr>
                  <m:nor/>
                  <m:sty m:val="p"/>
                </m:rPr>
                <m:t> mg/kg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LDD Bray II / SSSA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น้ำเงินมิดไนท์บลู (Midnight Navy)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#03045e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โพแทสเซียมที่แลกเปลี่ยนได้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ต่ำมาก (Depleted / Very Low)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&lt;</m:t>
              </m:r>
              <m:r>
                <m:t>40</m:t>
              </m:r>
              <m:r>
                <m:rPr>
                  <m:nor/>
                  <m:sty m:val="p"/>
                </m:rPr>
                <m:t> mg/kg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LDD / SSSA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สารละลายใสไร้ตะกอน (Clear)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#edf2f4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(Exchangeable 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ต่ำ (Deficient / Low)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40</m:t>
              </m:r>
              <m:r>
                <m:rPr>
                  <m:sty m:val="p"/>
                </m:rPr>
                <m:t>−</m:t>
              </m:r>
              <m:r>
                <m:t>80</m:t>
              </m:r>
              <m:r>
                <m:rPr>
                  <m:nor/>
                  <m:sty m:val="p"/>
                </m:rPr>
                <m:t> mg/kg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LDD / SSSA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ขุ่นมัวฝ้าจางๆ (Hazy Amber)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#ffd166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ปานกลาง (Adequate / Medium)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81</m:t>
              </m:r>
              <m:r>
                <m:rPr>
                  <m:sty m:val="p"/>
                </m:rPr>
                <m:t>−</m:t>
              </m:r>
              <m:r>
                <m:t>150</m:t>
              </m:r>
              <m:r>
                <m:rPr>
                  <m:nor/>
                  <m:sty m:val="p"/>
                </m:rPr>
                <m:t> mg/kg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LDD / SSSA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ขุ่นส้มทองคำ (Golden Orange)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#f3722c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สูง (Sufficient / High)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151</m:t>
              </m:r>
              <m:r>
                <m:rPr>
                  <m:sty m:val="p"/>
                </m:rPr>
                <m:t>−</m:t>
              </m:r>
              <m:r>
                <m:t>250</m:t>
              </m:r>
              <m:r>
                <m:rPr>
                  <m:nor/>
                  <m:sty m:val="p"/>
                </m:rPr>
                <m:t> mg/kg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LDD / SSSA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ตะกอนส้มแดงขุ่น (Dense Orange)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#d90429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สูงมาก (Surplus / Very High)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&gt;</m:t>
              </m:r>
              <m:r>
                <m:t>250</m:t>
              </m:r>
              <m:r>
                <m:rPr>
                  <m:nor/>
                  <m:sty m:val="p"/>
                </m:rPr>
                <m:t> mg/kg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LDD / SSSA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ตะกอนทึบแสงหนาแน่น (Opaque)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#6a040f</w:t>
            </w:r>
          </w:p>
        </w:tc>
      </w:tr>
    </w:tbl>
    <w:bookmarkEnd w:id="33"/>
    <w:bookmarkStart w:id="34" w:name="Xf4fef1172dee9c1f76b70751df61f2893656285"/>
    <w:p>
      <w:pPr>
        <w:pStyle w:val="Heading3"/>
      </w:pPr>
      <w:r>
        <w:t xml:space="preserve">2.7.4 ข้อจำกัดของการอ่านแถบสีด้วยสายตามนุษย์และที่มาของการพัฒนาระบบทัศนศาสตร์ออปติคอล</w:t>
      </w:r>
    </w:p>
    <w:p>
      <w:pPr>
        <w:pStyle w:val="FirstParagraph"/>
      </w:pPr>
      <w:r>
        <w:t xml:space="preserve">แม้ว่าชุดทดสอบดินทางเคมีแบบแถบสีจะมีประโยชน์อย่างยิ่งในการประเมินระดับธาตุอาหารภาคสนาม แต่การใช้งานจริงยังคงประสบกับข้อจำกัดทางวิทยาศาสตร์ 4 ประการ ได้แก่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ความแปรปรวนจากสายตาและอัตวิสัยของผู้ประเมิน (Subjectivity and Eye Fatigue)</w:t>
      </w:r>
      <w:r>
        <w:t xml:space="preserve"> </w:t>
      </w:r>
      <w:r>
        <w:t xml:space="preserve">ความสามารถในการแยกแยะเฉดสีของมนุษย์มีความแตกต่างกันในแต่ละบุคคล และเมื่อต้องตรวจวัดตัวอย่างจำนวนมากในแปลงเกษตรกรรม สายตาจะเกิดอาการล้า ส่งผลให้เกิดความคลาดเคลื่อนในการจำแนกระดับคุณภาพดิน โดยเฉพาะตัวอย่างที่ตกอยู่บริเวณรอยต่อของสองระดับสี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ผลกระทบจากความเข้มและอุณหภูมิสีของแสงแวดล้อม (Ambient Lux and Metamerism)</w:t>
      </w:r>
      <w:r>
        <w:t xml:space="preserve"> </w:t>
      </w:r>
      <w:r>
        <w:t xml:space="preserve">การอ่านแถบสีภายใต้สภาพแสงธรรมชาติที่แตกต่างกัน เช่น แสงแดดจัดช่วงเที่ยงวัน แสงร่มเงาใต้ต้นไม้ หรือแสงยามเย็น จะทำให้สเปกตรัมของแสงสะท้อนเปลี่ยนไป (Metameric Failure) ส่งผลให้เฉดสีที่ตามองเห็นบิดเบือนไปจากความเป็นจริง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การใช้สารเคมีอันตรายและของเสียปนเปื้อน (Hazardous Chemical Waste)</w:t>
      </w:r>
      <w:r>
        <w:t xml:space="preserve"> </w:t>
      </w:r>
      <w:r>
        <w:t xml:space="preserve">การทดสอบทางเคมีทุกครั้งต้องใช้กรดแก่ ตัวทำละลาย และสารเชื่อมไดอะโซ ซึ่งมีความเป็นพิษต่อผู้ใช้งานและจำเป็นต้องมีระบบกำจัดของเสียสารเคมีที่ถูกต้องเพื่อไม่ให้ปนเปื้อนสู่แปลงเกษตรกรรม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การขาดข้อมูลเชิงปริมาณความละเอียดสูง (Lack of Continuous Quantitative Values)</w:t>
      </w:r>
      <w:r>
        <w:t xml:space="preserve"> </w:t>
      </w:r>
      <w:r>
        <w:t xml:space="preserve">แถบสีสามารถบอกได้เพียงช่วงกว้างเชิงกลุ่ม (Categorical Range) เช่น</w:t>
      </w:r>
      <w:r>
        <w:t xml:space="preserve"> </w:t>
      </w:r>
      <w:r>
        <w:t xml:space="preserve">“ต่ำ”</w:t>
      </w:r>
      <w:r>
        <w:t xml:space="preserve"> </w:t>
      </w:r>
      <w:r>
        <w:t xml:space="preserve">หรือ</w:t>
      </w:r>
      <w:r>
        <w:t xml:space="preserve"> </w:t>
      </w:r>
      <w:r>
        <w:t xml:space="preserve">“ปานกลาง”</w:t>
      </w:r>
      <w:r>
        <w:t xml:space="preserve"> </w:t>
      </w:r>
      <w:r>
        <w:t xml:space="preserve">แต่ไม่สามารถระบุค่าตัวเลขความเข้มข้นที่แม่นยำในหน่วย</w:t>
      </w:r>
      <w:r>
        <w:t xml:space="preserve"> </w:t>
      </w:r>
      <m:oMath>
        <m:r>
          <m:rPr>
            <m:nor/>
            <m:sty m:val="p"/>
          </m:rPr>
          <m:t>mg/kg</m:t>
        </m:r>
      </m:oMath>
      <w:r>
        <w:t xml:space="preserve"> </w:t>
      </w:r>
      <w:r>
        <w:t xml:space="preserve">ได้ ทำให้ไม่สามารถนำไปคำนวณปริมาณปุ๋ยเคมีรายต้นตามหลักการเกษตรแม่นยำสูง (Variable Rate Fertilization) ได้อย่างสมบูรณ์</w:t>
      </w:r>
    </w:p>
    <w:p>
      <w:pPr>
        <w:pStyle w:val="FirstParagraph"/>
      </w:pPr>
      <w:r>
        <w:t xml:space="preserve">ข้อจำกัดข้างต้นจึงเป็นแรงขับเคลื่อนสำคัญที่นำไปสู่โจทย์วิจัยในการออกแบบชุดวิเคราะห์ที่ใช้</w:t>
      </w:r>
      <w:r>
        <w:t xml:space="preserve"> </w:t>
      </w:r>
      <w:r>
        <w:rPr>
          <w:b/>
          <w:bCs/>
        </w:rPr>
        <w:t xml:space="preserve">หลักการสะท้อนแสงแบบกระจาย (Diffuse Reflectance) ภายในกล่องควบคุมสภาพแสงระบบปิด (Optical Dark Chamber)</w:t>
      </w:r>
      <w:r>
        <w:t xml:space="preserve"> </w:t>
      </w:r>
      <w:r>
        <w:t xml:space="preserve">ร่วมกับการกระตุ้นแสงหลายความยาวคลื่น และการใช้</w:t>
      </w:r>
      <w:r>
        <w:t xml:space="preserve"> </w:t>
      </w:r>
      <w:r>
        <w:rPr>
          <w:b/>
          <w:bCs/>
        </w:rPr>
        <w:t xml:space="preserve">แบบจำลองปัญญาประดิษฐ์ (Artificial Intelligence)</w:t>
      </w:r>
      <w:r>
        <w:t xml:space="preserve"> </w:t>
      </w:r>
      <w:r>
        <w:t xml:space="preserve">เพื่อทำนายปริมาณธาตุอาหารออกมาเป็นค่าตัวเลขเชิงปริมาณที่แม่นยำเทียบเท่าห้องปฏิบัติการ พร้อมทั้งสามารถสร้างแถบสีดิจิทัลมาตรฐาน (Digital Color Badge Chip) แสดงผลคู่ขนานกันได้อย่างมีประสิทธิภาพ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2026-09-13T14:57:15Z</dcterms:created>
  <dcterms:modified xsi:type="dcterms:W3CDTF">2026-09-13T14:57:15Z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