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บทท-3"/>
    <w:p>
      <w:pPr>
        <w:pStyle w:val="Heading1"/>
      </w:pPr>
      <w:r>
        <w:t xml:space="preserve">บทที่ 3</w:t>
      </w:r>
    </w:p>
    <w:bookmarkEnd w:id="9"/>
    <w:bookmarkStart w:id="32" w:name="วธดำเนนการวจย"/>
    <w:p>
      <w:pPr>
        <w:pStyle w:val="Heading1"/>
      </w:pPr>
      <w:r>
        <w:t xml:space="preserve">วิธีดำเนินการวิจัย</w:t>
      </w:r>
    </w:p>
    <w:p>
      <w:pPr>
        <w:pStyle w:val="FirstParagraph"/>
      </w:pPr>
      <w:r>
        <w:t xml:space="preserve">การวิจัยเรื่องการพัฒนาชุดวิเคราะห์ปริมาณไนโตรเจนและฟอสฟอรัสในดินแบบพกพาด้วยหลักการสะท้อนแสงร่วมกับปัญญาประดิษฐ์ เป็นการวิจัยเชิงทดลองและพัฒนานวัตกรรม (Experimental and Developmental Research) ที่บูรณาการหลักการทางทัศนศาสตร์ฟิสิกส์ วิศวกรรมสมองกลฝังตัว เคมีวิเคราะห์ และปัญญาประดิษฐ์ เพื่อสร้างเครื่องมือตรวจวัดดินภาคสนามที่แม่นยำและใช้งานได้จริง โดยมีขั้นตอนการดำเนินการวิจัย 5 ขั้นตอนหลัก ได้แก่</w:t>
      </w:r>
    </w:p>
    <w:p>
      <w:pPr>
        <w:pStyle w:val="Compact"/>
        <w:numPr>
          <w:ilvl w:val="0"/>
          <w:numId w:val="1001"/>
        </w:numPr>
      </w:pPr>
      <w:r>
        <w:t xml:space="preserve">การออกแบบและสร้างระบบฮาร์ดแวร์ต้นแบบและกล่องควบคุมสภาพแสง (Optical Dark Chamber)</w:t>
      </w:r>
    </w:p>
    <w:p>
      <w:pPr>
        <w:pStyle w:val="Compact"/>
        <w:numPr>
          <w:ilvl w:val="0"/>
          <w:numId w:val="1001"/>
        </w:numPr>
      </w:pPr>
      <w:r>
        <w:t xml:space="preserve">การเก็บตัวอย่างดินและการวิเคราะห์ค่าอ้างอิงมาตรฐานในห้องปฏิบัติการ</w:t>
      </w:r>
    </w:p>
    <w:p>
      <w:pPr>
        <w:pStyle w:val="Compact"/>
        <w:numPr>
          <w:ilvl w:val="0"/>
          <w:numId w:val="1001"/>
        </w:numPr>
      </w:pPr>
      <w:r>
        <w:t xml:space="preserve">การตรวจวัดสเปกตรัมการสะท้อนแสงและการประมวลผลสัญญาณเคมีเมตริกส์</w:t>
      </w:r>
    </w:p>
    <w:p>
      <w:pPr>
        <w:pStyle w:val="Compact"/>
        <w:numPr>
          <w:ilvl w:val="0"/>
          <w:numId w:val="1001"/>
        </w:numPr>
      </w:pPr>
      <w:r>
        <w:t xml:space="preserve">การพัฒนาและฝึกสอนแบบจำลองปัญญาประดิษฐ์และการแปลงสู่ระบบสมองกลฝังตัว (Edge TinyML)</w:t>
      </w:r>
    </w:p>
    <w:p>
      <w:pPr>
        <w:pStyle w:val="Compact"/>
        <w:numPr>
          <w:ilvl w:val="0"/>
          <w:numId w:val="1001"/>
        </w:numPr>
      </w:pPr>
      <w:r>
        <w:t xml:space="preserve">ระเบียบวิธีการตรวจสอบความใช้ได้ของวิธีและสถิติทดสอบสมมติฐาน</w:t>
      </w:r>
    </w:p>
    <w:p>
      <w:r>
        <w:pict>
          <v:rect style="width:0;height:1.5pt" o:hralign="center" o:hrstd="t" o:hr="t"/>
        </w:pict>
      </w:r>
    </w:p>
    <w:bookmarkStart w:id="13" w:name="Xd4e2704689ef589c69e731931f8b843a457bef0"/>
    <w:p>
      <w:pPr>
        <w:pStyle w:val="Heading2"/>
      </w:pPr>
      <w:r>
        <w:t xml:space="preserve">3.1 การออกแบบและสร้างระบบฮาร์ดแวร์ต้นแบบและกล่องควบคุมสภาพแสง</w:t>
      </w:r>
    </w:p>
    <w:bookmarkStart w:id="10" w:name="Xee3b45c38f7f8baa3087d0112b061e5cfa5bf2a"/>
    <w:p>
      <w:pPr>
        <w:pStyle w:val="Heading3"/>
      </w:pPr>
      <w:r>
        <w:t xml:space="preserve">3.1.1 โครงสร้างกล่องวัดแบบทึบแสง (Optical Dark Chamber)</w:t>
      </w:r>
    </w:p>
    <w:p>
      <w:pPr>
        <w:pStyle w:val="FirstParagraph"/>
      </w:pPr>
      <w:r>
        <w:t xml:space="preserve">เพื่อขจัดสัญญาณรบกวนจากความผันผวนของแสงแวดล้อมภายนอก (Ambient Light) อย่างสมบูรณ์ คณะผู้วิจัยได้ออกแบบโครงสร้างกล่องวัดแบบทึบแสงด้วยโปรแกรมคอมพิวเตอร์ช่วยออกแบบเชิงวิศวกรรม (Computer-Aided Design หรือ CAD) และขึ้นรูปชิ้นงานด้วยเครื่องพิมพ์สามมิติ (3D Printing) โดยใช้วัสดุเส้นใยพอลิเมอร์ชนิด PETG (Polyethylene Terephthalate Glycol) ซึ่งมีคุณสมบัติทนทานต่อแรงกระแทก ไม่บิดงอในสภาพอากาศร้อน และทนต่อความชื้นในแปลงเกษตรกรรม</w:t>
      </w:r>
    </w:p>
    <w:p>
      <w:pPr>
        <w:pStyle w:val="BodyText"/>
      </w:pPr>
      <w:r>
        <w:t xml:space="preserve">กล่องตรวจวัดมีขนาดกะทัดรัด 120 x 80 x 65 มิลลิเมตร น้ำหนักรวมไม่เกิน 380 กรัม เหมาะสำหรับการพกพา ภายในกล่องได้รับการออกแบบตามหลักทัศนศาสตร์ โดยประกอบด้วยส่วนประกอบสำคัญดังนี้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ผิวเคลือบดูดกลืนแสง (Matt Black Anti-reflective Coating)</w:t>
      </w:r>
      <w:r>
        <w:t xml:space="preserve"> </w:t>
      </w:r>
      <w:r>
        <w:t xml:space="preserve">ผนังภายในกล่องทั้งหมดได้รับการเคลือบด้วยสารดูดกลืนแสงสีดำด้านชนิดพิเศษที่มีค่าการสะท้อนแสงผิวน้อยกว่าร้อยละ 1 เพื่อป้องกันการเกิดแสงสะท้อนภายในหลายชั้น (Internal Stray Light)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แผ่นกั้นดักแสง (Optical Light-trap Baffles)</w:t>
      </w:r>
      <w:r>
        <w:t xml:space="preserve"> </w:t>
      </w:r>
      <w:r>
        <w:t xml:space="preserve">ติดตั้งรอบบริเวณขอบฝาเปิด-ปิดและช่องบรรจุถาดตัวอย่าง เพื่อป้องกันแสงจากภายนอกเล็ดลอดเข้ามาในระหว่างการตรวจวัด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ถาดบรรจุตัวอย่างดินมาตรฐาน (Standard Soil Sample Holder)</w:t>
      </w:r>
      <w:r>
        <w:t xml:space="preserve"> </w:t>
      </w:r>
      <w:r>
        <w:t xml:space="preserve">ทำจากวัสดุอะคริลิกสีดำ มีขนาดเส้นผ่านศูนย์กลาง 35 มิลลิเมตร ลึก 8 มิลลิเมตร สามารถบรรจุตัวอย่างดินได้ปริมาตรคงที่ 7.5 ลูกบาศก์เซนติเมตร และจัดวางในตำแหน่งกึ่งกลางระนาบแสงตกกระทบพอดี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แท่นยึดสมาร์ทโฟนและโมดูลตรวจวัดเชิงแสง</w:t>
      </w:r>
      <w:r>
        <w:t xml:space="preserve"> </w:t>
      </w:r>
      <w:r>
        <w:t xml:space="preserve">ออกแบบให้สามารถติดตั้งสมาร์ทโฟนหรือโมดูลตรวจวัดออปติคอลได้อย่างมั่นคง โดยมีระยะห่างทางทัศนศาสตร์จากเลนส์ถึงพื้นผิวตัวอย่างดินคงที่ 50 มิลลิเมตร และทำมุมตกกระทบของแสง 45 องศา เพื่อลดการสะท้อนแบบกระจกเงา (Specular Reflection) และรับเฉพาะแสงสะท้อนแบบกระจาย (Diffuse Reflection) ในแนวตั้งฉาก (มุม 0 องศา)</w:t>
      </w:r>
    </w:p>
    <w:bookmarkEnd w:id="10"/>
    <w:bookmarkStart w:id="11" w:name="Xcab933a15055eafd8cd21c278a5ec295fb449aa"/>
    <w:p>
      <w:pPr>
        <w:pStyle w:val="Heading3"/>
      </w:pPr>
      <w:r>
        <w:t xml:space="preserve">3.1.2 แหล่งกำเนิดแสงไดโอดเปล่งแสงหลายความยาวคลื่น (Multi-wavelength LED Array)</w:t>
      </w:r>
    </w:p>
    <w:p>
      <w:pPr>
        <w:pStyle w:val="FirstParagraph"/>
      </w:pPr>
      <w:r>
        <w:t xml:space="preserve">แหล่งกำเนิดแสงได้รับการออกแบบเป็นชุดไดโอดเปล่งแสง (LED Array) ติดตั้งรอบเลนส์รับแสงในลักษณะวงแหวน (Ring Geometry) เพื่อให้การกระจายความเข้มแสงตกกระทบลงบนพื้นผิวตัวอย่างดินมีความสม่ำเสมอเชิงพื้นที่ (Spatial Illumination Uniformity) โดยคัดเลือกความยาวคลื่นกึ่งกลาง (Peak Wavelength) จำนวน 6 ย่านคลื่นที่มีแถบสเปกตรัมสัมพันธ์กับพันธะเคมีของไนโตรเจน ฟอสฟอรัส และความชื้นในดิน ดังตารางที่ 3.1</w:t>
      </w:r>
    </w:p>
    <w:p>
      <w:pPr>
        <w:pStyle w:val="BodyText"/>
      </w:pPr>
      <w:r>
        <w:rPr>
          <w:b/>
          <w:bCs/>
        </w:rPr>
        <w:t xml:space="preserve">ตารางที่ 3.1 คุณลักษณะเฉพาะของแถบความยาวคลื่นแสงในระบบ Multi-wavelength LED Array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377"/>
        <w:gridCol w:w="1721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ลำดับที่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แถบสีของแสง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ความยาวคลื่นกึ่งกลาง (</w:t>
            </w:r>
            <m:oMath>
              <m:sSub>
                <m:e>
                  <m:r>
                    <m:t>λ</m:t>
                  </m:r>
                </m:e>
                <m:sub>
                  <m:r>
                    <m:rPr>
                      <m:nor/>
                      <m:sty m:val="p"/>
                    </m:rPr>
                    <m:t>peak</m:t>
                  </m:r>
                </m:sub>
              </m:sSub>
            </m:oMath>
            <w:r>
              <w:t xml:space="preserve">, nm)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ความกว้างครึ่งคลื่น (FWHM, nm)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อันตรกิริยาและวัตถุประสงค์ในการตรวจวัด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น้ำเงิน (Blue)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การดูดกลืนแสงของสารประกอบฮิวมิกและอินทรียวัตถุ (ไนโตรเจนอินทรีย์)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เขียว (Green)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การดูดกลืนและถ่ายโอนประจุของสารประกอบเชิงซ้อนเหล็กฟอสเฟต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แดง (Red)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แถบดูดกลืนสารอนุพันธ์คลอโรฟิลล์และความชันสเปกตรัมดิน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เรดเอจ (Red-Edge)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แถบรอยต่อการเปลี่ยนระดับพลังงานอิเล็กตรอนของแร่ธาตุในดิน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ใกล้อินฟราเรด (NIR-1)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โอเวอร์โทนการสั่นของพันธะ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N-H</m:t>
              </m:r>
            </m:oMath>
            <w:r>
              <w:t xml:space="preserve"> </w:t>
            </w:r>
            <w:r>
              <w:t xml:space="preserve">และ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C-H</m:t>
              </m:r>
            </m:oMath>
            <w:r>
              <w:t xml:space="preserve"> </w:t>
            </w:r>
            <w:r>
              <w:t xml:space="preserve">ในหมู่อะมิโน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ใกล้อินฟราเรด (NIR-2)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แถบดูดกลืนพันธะ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O-H</m:t>
              </m:r>
            </m:oMath>
            <w:r>
              <w:t xml:space="preserve"> </w:t>
            </w:r>
            <w:r>
              <w:t xml:space="preserve">ของน้ำ (ใช้อ้างอิงชดเชยความชื้นในดิน)</w:t>
            </w:r>
          </w:p>
        </w:tc>
      </w:tr>
    </w:tbl>
    <w:bookmarkEnd w:id="11"/>
    <w:bookmarkStart w:id="12" w:name="Xcec72475ac823e0f49193a8730286eacf39ee06"/>
    <w:p>
      <w:pPr>
        <w:pStyle w:val="Heading3"/>
      </w:pPr>
      <w:r>
        <w:t xml:space="preserve">3.1.3 วงจรควบคุมการกระตุ้นแสงตามลำดับ (Sequential LED Driver Circuit)</w:t>
      </w:r>
    </w:p>
    <w:p>
      <w:pPr>
        <w:pStyle w:val="FirstParagraph"/>
      </w:pPr>
      <w:r>
        <w:t xml:space="preserve">ไดโอดเปล่งแสงทั้ง 6 แถบคลื่น ถูกควบคุมผ่านวงจรจ่ายกระแสคงที่ (Constant Current Source Driver) ที่ควบคุมด้วยสัญญาณพัลส์ (Pulse Width Modulation หรือ PWM) จากไมโครคอนโทรลเลอร์ ESP32-S3 โดยโปรแกรมควบคุมจะสั่งให้ LED แต่ละแถบความยาวคลื่นติดสว่างทีละดวงตามลำดับ (Sequential Pulse) ดวงละ 100 มิลลิวินาที สลับกับช่วงกระแสมืด (Dark Interval) 50 มิลลิวินาที ทำให้ระบบสามารถบันทึกค่าความเข้มแสงสะท้อนที่แยกแยะแต่ละความยาวคลื่นได้อย่างเด็ดขาด ปราศจากการรบกวนข้ามแถบคลื่น (Optical Crosstalk) พร้อมทั้งช่วยป้องกันความร้อนสะสมในหลอด LED ซึ่งอาจทำให้ค่าความยาวคลื่นเคลื่อนตัว (Thermal Drift)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X970bcf2febee8db0db7ba4741d6050e69a69586"/>
    <w:p>
      <w:pPr>
        <w:pStyle w:val="Heading2"/>
      </w:pPr>
      <w:r>
        <w:t xml:space="preserve">3.2 การเก็บตัวอย่างดินและการวิเคราะห์ค่าอ้างอิงมาตรฐานในห้องปฏิบัติการ</w:t>
      </w:r>
    </w:p>
    <w:bookmarkStart w:id="14" w:name="พนทและระเบยบวธการเกบตวอยางดนภาคสนาม"/>
    <w:p>
      <w:pPr>
        <w:pStyle w:val="Heading3"/>
      </w:pPr>
      <w:r>
        <w:t xml:space="preserve">3.2.1 พื้นที่และระเบียบวิธีการเก็บตัวอย่างดินภาคสนาม</w:t>
      </w:r>
    </w:p>
    <w:p>
      <w:pPr>
        <w:pStyle w:val="FirstParagraph"/>
      </w:pPr>
      <w:r>
        <w:t xml:space="preserve">การเก็บตัวอย่างดินดำเนินการในพื้นที่แปลงเพาะปลูกทุเรียนเศรษฐกิจในเขตจังหวัดจันทบุรีและจังหวัดตราด จำนวนรวมทั้งสิ้น 50 แปลง ครอบคลุมพื้นที่ที่มีประวัติการจัดการปุ๋ย ชนิดของชุดดิน และสภาพความอุดมสมบูรณ์ที่หลากหลาย ได้แก่</w:t>
      </w:r>
    </w:p>
    <w:p>
      <w:pPr>
        <w:pStyle w:val="Compact"/>
        <w:numPr>
          <w:ilvl w:val="0"/>
          <w:numId w:val="1003"/>
        </w:numPr>
      </w:pPr>
      <w:r>
        <w:t xml:space="preserve">อำเภอมะขาม จังหวัดจันทบุรี (ชุดดินห้วยโป่งและชุดดินท่าใหม่) จำนวน 20 ตัวอย่าง</w:t>
      </w:r>
    </w:p>
    <w:p>
      <w:pPr>
        <w:pStyle w:val="Compact"/>
        <w:numPr>
          <w:ilvl w:val="0"/>
          <w:numId w:val="1003"/>
        </w:numPr>
      </w:pPr>
      <w:r>
        <w:t xml:space="preserve">อำเภอท่าใหม่ จังหวัดจันทบุรี (ชุดดินท่าใหม่) จำนวน 15 ตัวอย่าง</w:t>
      </w:r>
    </w:p>
    <w:p>
      <w:pPr>
        <w:pStyle w:val="Compact"/>
        <w:numPr>
          <w:ilvl w:val="0"/>
          <w:numId w:val="1003"/>
        </w:numPr>
      </w:pPr>
      <w:r>
        <w:t xml:space="preserve">อำเภอเขาสมิง จังหวัดตราด (ชุดดินเขาสมิง) จำนวน 15 ตัวอย่าง</w:t>
      </w:r>
    </w:p>
    <w:p>
      <w:pPr>
        <w:pStyle w:val="FirstParagraph"/>
      </w:pPr>
      <w:r>
        <w:t xml:space="preserve">ระเบียบวิธีการเก็บตัวอย่างดินใช้เทคนิคการสุ่มแบบตารางกริด (Grid Sampling Method) โดยกำหนดพื้นที่เก็บตัวอย่างขนาด</w:t>
      </w:r>
      <w:r>
        <w:t xml:space="preserve"> </w:t>
      </w:r>
      <m:oMath>
        <m:r>
          <m:t>10</m:t>
        </m:r>
        <m:r>
          <m:rPr>
            <m:sty m:val="p"/>
          </m:rPr>
          <m:t>×</m:t>
        </m:r>
        <m:r>
          <m:t>10</m:t>
        </m:r>
      </m:oMath>
      <w:r>
        <w:t xml:space="preserve"> </w:t>
      </w:r>
      <w:r>
        <w:t xml:space="preserve">เมตร ภายใต้ทรงพุ่มของต้นทุเรียนที่มีอายุตั้งแต่ 5 ถึง 15 ปี ทำการเก็บดินย่อย 5 จุดต่อแปลง (จุดกึ่งกลางและมุมทั้งสี่) ที่ระดับความลึก 0 ถึง 15 เซนติเมตร ซึ่งเป็นเขตรากดูดซับธาตุอาหารหลัก (Active Root Zone) นำดินย่อยทั้ง 5 จุดมาคลุกเคล้าให้เข้ากันเป็นตัวอย่างรวม (Composite Sample) หนักประมาณ 1 กิโลกรัม บันทึกพิกัดภูมิศาสตร์ (GPS Coordinates) สภาพความชื้นเบื้องต้น และประเภทพืช จากนั้นบรรจุลงในถุงพลาสติกพอลิเอทิลีนปิดสนิทและติดรหัสตัวอย่างอย่างเป็นระบบ</w:t>
      </w:r>
    </w:p>
    <w:bookmarkEnd w:id="14"/>
    <w:bookmarkStart w:id="15" w:name="การเตรยมตวอยางดนกอนการตรวจวด"/>
    <w:p>
      <w:pPr>
        <w:pStyle w:val="Heading3"/>
      </w:pPr>
      <w:r>
        <w:t xml:space="preserve">3.2.2 การเตรียมตัวอย่างดินก่อนการตรวจวัด</w:t>
      </w:r>
    </w:p>
    <w:p>
      <w:pPr>
        <w:pStyle w:val="FirstParagraph"/>
      </w:pPr>
      <w:r>
        <w:t xml:space="preserve">ตัวอย่างดินที่เก็บมาจากภาคสนามจะถูกนำมาเตรียมตามระเบียบวิธีสากล ณ ห้องปฏิบัติการฟิสิกส์ประยุกต์ ดังนี้</w:t>
      </w:r>
    </w:p>
    <w:p>
      <w:pPr>
        <w:pStyle w:val="Compact"/>
        <w:numPr>
          <w:ilvl w:val="0"/>
          <w:numId w:val="1004"/>
        </w:numPr>
      </w:pPr>
      <w:r>
        <w:t xml:space="preserve">นำดินตัวอย่างมาแผ่กระจายบนถาดพลาสติกสะอาดและผึ่งลมให้แห้งที่อุณหภูมิห้อง (</w:t>
      </w:r>
      <m:oMath>
        <m:r>
          <m:t>25</m:t>
        </m:r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องศาเซลเซียส) ในห้องที่มีอากาศถ่ายเทสะดวกและไม่มีแสงแดดส่องถึงโดยตรง เป็นเวลา 48 ถึง 72 ชั่วโมง จนดินแห้งสนิท (Air-dried Soil)</w:t>
      </w:r>
    </w:p>
    <w:p>
      <w:pPr>
        <w:pStyle w:val="Compact"/>
        <w:numPr>
          <w:ilvl w:val="0"/>
          <w:numId w:val="1004"/>
        </w:numPr>
      </w:pPr>
      <w:r>
        <w:t xml:space="preserve">นำดินที่แห้งแล้วมาบดย่อยอนุภาคอย่างนุ่มนวลด้วยโกร่งกระเบื้องเพื่อแยกเม็ดดินโดยไม่ทำลายโครงสร้างเม็ดแร่</w:t>
      </w:r>
    </w:p>
    <w:p>
      <w:pPr>
        <w:pStyle w:val="Compact"/>
        <w:numPr>
          <w:ilvl w:val="0"/>
          <w:numId w:val="1004"/>
        </w:numPr>
      </w:pPr>
      <w:r>
        <w:t xml:space="preserve">ร่อนดินผ่านตะแกรงสแตนเลสมาตรฐานขนาดช่องเปิด 2.0 มิลลิเมตร เพื่อคัดแยกเศษหิน กรวด และซากอินทรีย์ขนาดใหญ่ออก เม็ดดินที่มีขนาดอนุภาคสม่ำเสมอต่ำกว่า 2 มิลลิเมตร จะถูกนำไปบรรจุในขวดแก้วสีชาเพื่อใช้ในการตรวจวัดเชิงแสงและส่งวิเคราะห์ทางเคมี</w:t>
      </w:r>
    </w:p>
    <w:bookmarkEnd w:id="15"/>
    <w:bookmarkStart w:id="16" w:name="X44fee007c8c74d7c340b556ce366c98c5525327"/>
    <w:p>
      <w:pPr>
        <w:pStyle w:val="Heading3"/>
      </w:pPr>
      <w:r>
        <w:t xml:space="preserve">3.2.3 การวิเคราะห์ค่าอ้างอิงมาตรฐานในห้องปฏิบัติการ (Ground Truth Reference Analysis)</w:t>
      </w:r>
    </w:p>
    <w:p>
      <w:pPr>
        <w:pStyle w:val="FirstParagraph"/>
      </w:pPr>
      <w:r>
        <w:t xml:space="preserve">ตัวอย่างดินที่ผ่านการเตรียมแล้วจะถูกแบ่งออกเป็น 2 ส่วน โดยส่วนที่หนึ่งนำไปวิเคราะห์ค่ามาตรฐานทางเคมีในห้องปฏิบัติการวิเคราะห์ดินที่ได้รับการรับรองมาตรฐาน ISO/IEC 17025 ดังนี้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การวิเคราะห์ปริมาณไนโตรเจนทั้งหมด (Total Nitrogen)</w:t>
      </w:r>
      <w:r>
        <w:t xml:space="preserve"> </w:t>
      </w:r>
      <w:r>
        <w:t xml:space="preserve">วิเคราะห์ด้วยวิธีไมโครเคจ์ลดาห์ล (Micro-Kjeldahl Method) ตามมาตรฐานสากล AOAC 978.02 ซึ่งประกอบด้วย 3 ขั้นตอนย่อย ได้แก่ การย่อยสลายตัวอย่างดินด้วยกรดซัลฟิวริกเข้มข้น (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SO</m:t>
            </m:r>
          </m:e>
          <m:sub>
            <m:r>
              <m:t>4</m:t>
            </m:r>
          </m:sub>
        </m:sSub>
      </m:oMath>
      <w:r>
        <w:t xml:space="preserve">) ร่วมกับตัวเร่งปฏิกิริยาคอปเปอร์ซัลเฟตและโพแทสเซียมซัลเฟตที่อุณหภูมิ 420 องศาเซลเซียส จนสารอินทรีย์เปลี่ยนเป็นแอมโมเนียมซัลเฟต ต่อด้วยการกลั่นด้วยด่างโซเดียมไฮดรอกไซด์ (</w:t>
      </w:r>
      <m:oMath>
        <m:r>
          <m:rPr>
            <m:nor/>
            <m:sty m:val="p"/>
          </m:rPr>
          <m:t>NaOH</m:t>
        </m:r>
      </m:oMath>
      <w:r>
        <w:t xml:space="preserve">) เพื่อเปลี่ยนเป็นก๊าซแอมโมเนีย (</w:t>
      </w:r>
      <m:oMath>
        <m:sSub>
          <m:e>
            <m:r>
              <m:rPr>
                <m:nor/>
                <m:sty m:val="p"/>
              </m:rPr>
              <m:t>NH</m:t>
            </m:r>
          </m:e>
          <m:sub>
            <m:r>
              <m:t>3</m:t>
            </m:r>
          </m:sub>
        </m:sSub>
      </m:oMath>
      <w:r>
        <w:t xml:space="preserve">) และดักจับในสารละลายกรดบอริก (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nor/>
                <m:sty m:val="p"/>
              </m:rPr>
              <m:t>BO</m:t>
            </m:r>
          </m:e>
          <m:sub>
            <m:r>
              <m:t>3</m:t>
            </m:r>
          </m:sub>
        </m:sSub>
      </m:oMath>
      <w:r>
        <w:t xml:space="preserve">) และขั้นตอนสุดท้ายคือการไตเตรตด้วยสารละลายมาตรฐานกรดไฮโดรคลอริก (</w:t>
      </w:r>
      <m:oMath>
        <m:r>
          <m:rPr>
            <m:nor/>
            <m:sty m:val="p"/>
          </m:rPr>
          <m:t>HCl</m:t>
        </m:r>
      </m:oMath>
      <w:r>
        <w:t xml:space="preserve">) เพื่อคำนวณปริมาณไนโตรเจนทั้งหมด รายงานผลในหน่วยกรัมต่อกิโลกรัม (g/kg)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การวิเคราะห์ปริมาณฟอสฟอรัสที่เป็นประโยชน์ (Available Phosphorus)</w:t>
      </w:r>
      <w:r>
        <w:t xml:space="preserve"> </w:t>
      </w:r>
      <w:r>
        <w:t xml:space="preserve">วิเคราะห์ด้วยวิธีเบรย์ 2 (Bray II Method) ซึ่งมีความเหมาะสมอย่างยิ่งสำหรับดินกรดในเขตร้อน โดยทำการสกัดดินด้วยสารละลายผสมระหว่างกรดไฮโดรคลอริก 0.1 นอร์มัล และแอมโมเนียมฟลูออไรด์ (</w:t>
      </w:r>
      <m:oMath>
        <m:sSub>
          <m:e>
            <m:r>
              <m:rPr>
                <m:nor/>
                <m:sty m:val="p"/>
              </m:rPr>
              <m:t>NH</m:t>
            </m:r>
          </m:e>
          <m:sub>
            <m:r>
              <m:t>4</m:t>
            </m:r>
          </m:sub>
        </m:sSub>
        <m:r>
          <m:rPr>
            <m:nor/>
            <m:sty m:val="p"/>
          </m:rPr>
          <m:t>F</m:t>
        </m:r>
      </m:oMath>
      <w:r>
        <w:t xml:space="preserve">) 0.03 นอร์มัล จากนั้นนำสารละลายใสที่ได้มาทำปฏิกิริยากับแอมโมเนียมโมลิบเดตและโพแทสเซียมแอนติโมนิลตาร์เตรตในสารละลายกรด แล้วรีดิวซ์ด้วยกรดแอสคอร์บิกจนเกิดสารประกอบเชิงซ้อนสีน้ำเงิน (Molybdenum Blue Complex) นำไปวัดค่าการดูดกลืนแสงด้วยเครื่อง UV-Vis Spectrophotometer ที่ความยาวคลื่น 880 นาโนเมตร เทียบกับกราฟมาตรฐานฟอสฟอรัส รายงานผลในหน่วยมิลลิกรัมต่อกิโลกรัม (mg/kg หรือ ppm)</w:t>
      </w:r>
    </w:p>
    <w:bookmarkEnd w:id="16"/>
    <w:bookmarkStart w:id="17" w:name="X049195b0297d6a4319a4e467fa59736518bfb29"/>
    <w:p>
      <w:pPr>
        <w:pStyle w:val="Heading3"/>
      </w:pPr>
      <w:r>
        <w:t xml:space="preserve">3.2.4 การทดสอบเปรียบเทียบเคียงคู่กับชุดตรวจสอบดินภาคสนามเชิงเคมี (Colorimetric Soil Test Kits Benchmarking)</w:t>
      </w:r>
    </w:p>
    <w:p>
      <w:pPr>
        <w:pStyle w:val="FirstParagraph"/>
      </w:pPr>
      <w:r>
        <w:t xml:space="preserve">เพื่อสร้างฐานข้อมูลเปรียบเทียบระหว่างวิธีการอ่านแถบสีทางเคมีดั้งเดิมกับการวิเคราะห์ด้วยแสงสะท้อนเชิงแสง ตัวอย่างดินทั้ง 50 ตัวอย่าง ได้ถูกนำมาทดสอบคู่ขนานด้วยชุดตรวจสอบดินภาคสนามมาตรฐาน 2 ชุด ได้แก่</w:t>
      </w:r>
      <w:r>
        <w:t xml:space="preserve"> </w:t>
      </w:r>
      <w:r>
        <w:t xml:space="preserve">1. ชุดตรวจสอบดินของกลุ่มวิจัยและพัฒนาการจัดการดินและปุ๋ย กรมพัฒนาที่ดิน (LDD Test Kit)</w:t>
      </w:r>
      <w:r>
        <w:t xml:space="preserve"> </w:t>
      </w:r>
      <w:r>
        <w:t xml:space="preserve">2. ชุดตรวจสอบดินมาตรฐานสากล LaMotte Combination Soil Testing Outfit (Model STH Series)</w:t>
      </w:r>
    </w:p>
    <w:p>
      <w:pPr>
        <w:pStyle w:val="BodyText"/>
      </w:pPr>
      <w:r>
        <w:t xml:space="preserve">ผู้เชี่ยวชาญด้านปฐพีวิทยาจำนวน 3 ท่าน ได้ทำการสกัดและอ่านผลแถบสีเทียบมาตรฐานโดยอิสระจากกัน (Triple-blind Visual Reading) ภายใต้แสงสว่างมาตรฐาน CIE Standard Illuminant D65 เพื่อบันทึกระดับคุณภาพเชิงกลุ่ม (ต่ำมาก ต่ำ ปานกลาง สูง สูงมาก) และเฉดสีที่สังเกตได้ ข้อมูลดังกล่าวจะถูกนำมาใช้เป็นฐานอ้างอิงในการประเมินความสอดคล้องเชิงกลุ่ม (Categorical Agreement) และความเที่ยงตรงของการสร้างแถบสีดิจิทัลของระบบต้นแบบ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X13e983c6ff650a16fe9d19bfaf68f4628e6fad1"/>
    <w:p>
      <w:pPr>
        <w:pStyle w:val="Heading2"/>
      </w:pPr>
      <w:r>
        <w:t xml:space="preserve">3.3 การตรวจวัดสเปกตรัมการสะท้อนแสงและการประมวลผลสัญญาณเคมีเมตริกส์</w:t>
      </w:r>
    </w:p>
    <w:bookmarkStart w:id="19" w:name="ขนตอนการตรวจวดสเปกตรมดวยชดตนแบบ"/>
    <w:p>
      <w:pPr>
        <w:pStyle w:val="Heading3"/>
      </w:pPr>
      <w:r>
        <w:t xml:space="preserve">3.3.1 ขั้นตอนการตรวจวัดสเปกตรัมด้วยชุดต้นแบบ</w:t>
      </w:r>
    </w:p>
    <w:p>
      <w:pPr>
        <w:pStyle w:val="FirstParagraph"/>
      </w:pPr>
      <w:r>
        <w:t xml:space="preserve">นำตัวอย่างดินที่ร่อนแล้วบรรจุลงในถาดตัวอย่างดิน ปาดพื้นผิวหน้าดินให้เรียบเสมอกับขอบถาดด้วยไม้บรรทัดเหล็กอย่างระมัดระวังเพื่อให้มีความหนาแน่นและพื้นผิวที่สม่ำเสมอ บรรจุถาดตัวอย่างเข้าสู่กล่องทึบแสง ปิดฝาให้สนิท จากนั้นระบบจะดำเนินการตรวจวัดตามลำดับขั้นตอนดังนี้</w:t>
      </w:r>
    </w:p>
    <w:p>
      <w:pPr>
        <w:pStyle w:val="Compact"/>
        <w:numPr>
          <w:ilvl w:val="0"/>
          <w:numId w:val="1006"/>
        </w:numPr>
      </w:pPr>
      <w:r>
        <w:t xml:space="preserve">บันทึกสัญญาณมืด (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dark</m:t>
            </m:r>
          </m:sub>
        </m:sSub>
      </m:oMath>
      <w:r>
        <w:t xml:space="preserve">) เมื่อปิดแหล่งกำเนิดแสงทุกดวง เพื่อใช้เป็นระดับฐานศูนย์ (Baseline Offset)</w:t>
      </w:r>
    </w:p>
    <w:p>
      <w:pPr>
        <w:pStyle w:val="Compact"/>
        <w:numPr>
          <w:ilvl w:val="0"/>
          <w:numId w:val="1006"/>
        </w:numPr>
      </w:pPr>
      <w:r>
        <w:t xml:space="preserve">เปิดไดโอดเปล่งแสงทีละความยาวคลื่นตามลำดับ (465, 525, 660, 720, 850 และ 940 นาโนเมตร) และบันทึกค่าความเข้มแสงสะท้อนที่ตรวจวัดได้จากตัวอย่างดิน (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sample</m:t>
            </m:r>
          </m:sub>
        </m:sSub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ก่อนการตรวจวัดตัวอย่างดินทุก 5 ตัวอย่าง ระบบจะทำการสอบเทียบสัญญาณอ้างอิงด้วยแผ่นเทียบสีขาวมาตรฐาน (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white</m:t>
            </m:r>
          </m:sub>
        </m:sSub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) เพื่อคำนวณค่าการสะท้อนแสงแบบกระจายสัมพัทธ์ (Relative Diffuse Reflectance,</w:t>
      </w:r>
      <w:r>
        <w:t xml:space="preserve"> </w:t>
      </w:r>
      <m:oMath>
        <m:sSub>
          <m:e>
            <m:r>
              <m:t>R</m:t>
            </m:r>
          </m:e>
          <m:sub>
            <m:r>
              <m:t>λ</m:t>
            </m:r>
          </m:sub>
        </m:sSub>
      </m:oMath>
      <w:r>
        <w:t xml:space="preserve">) ตามสมการ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λ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sample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dark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white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dark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9"/>
    <w:bookmarkStart w:id="20" w:name="X9cc4142f49c4cca3b55426acae7e9a57d18a0d6"/>
    <w:p>
      <w:pPr>
        <w:pStyle w:val="Heading3"/>
      </w:pPr>
      <w:r>
        <w:t xml:space="preserve">3.3.2 การแปลงข้อมูลและการประมวลผลเคมีเมตริกส์ล่วงหน้า (Chemometrics Preprocessing)</w:t>
      </w:r>
    </w:p>
    <w:p>
      <w:pPr>
        <w:pStyle w:val="FirstParagraph"/>
      </w:pPr>
      <w:r>
        <w:t xml:space="preserve">ข้อมูลสเปกตรัมการสะท้อนแสง</w:t>
      </w:r>
      <w:r>
        <w:t xml:space="preserve"> </w:t>
      </w:r>
      <m:oMath>
        <m:sSub>
          <m:e>
            <m:r>
              <m:t>R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จะถูกนำมาผ่านกระบวนการทางคณิตศาสตร์ 3 ขั้นตอน ได้แก่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การแปลงฟังก์ชันคูเบลกา-มังก์ (Kubelka-Munk Transformation)</w:t>
      </w:r>
      <w:r>
        <w:t xml:space="preserve"> </w:t>
      </w:r>
      <w:r>
        <w:t xml:space="preserve">เพื่อเปลี่ยนค่าการสะท้อนแสงที่ไม่เป็นเชิงเส้นให้มีความสัมพันธ์เชิงสัดส่วนกับความเข้มข้นของสารดูดกลืนแสง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λ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λ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λ</m:t>
                  </m:r>
                </m:sub>
              </m:sSub>
            </m:den>
          </m:f>
        </m:oMath>
      </m:oMathPara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การปรับมาตรฐานตัวแปรปกติ (Standard Normal Variate หรือ SNV)</w:t>
      </w:r>
      <w:r>
        <w:t xml:space="preserve"> </w:t>
      </w:r>
      <w:r>
        <w:t xml:space="preserve">ทำการปรับสเกลข้อมูลของแต่ละตัวอย่างให้มีค่าเฉลี่ยเป็น 0 และความแปรปรวนเป็น 1 เพื่อขจัดความแตกต่างของระดับความสว่างจากการจัดเรียงตัวของเม็ดดิน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การชดเชยอิทธิพลของความชื้น (Moisture Compensation Ratio)</w:t>
      </w:r>
      <w:r>
        <w:t xml:space="preserve"> </w:t>
      </w:r>
      <w:r>
        <w:t xml:space="preserve">โดยการคำนวณอัตราส่วนสัมพัทธ์ของสเปกตรัมแต่ละความยาวคลื่นเทียบกับแถบดูดกลืนน้ำที่ 940 นาโนเมตร (</w:t>
      </w:r>
      <m:oMath>
        <m:r>
          <m:t>F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λ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940</m:t>
            </m:r>
          </m:sub>
        </m:sSub>
        <m:r>
          <m:rPr>
            <m:sty m:val="p"/>
          </m:rPr>
          <m:t>)</m:t>
        </m:r>
      </m:oMath>
      <w:r>
        <w:t xml:space="preserve">) เพื่อกำจัดผลกระทบของความชื้นสัมพัทธ์ที่ตกค้างในอนุภาคดิน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Xfbd7b55d85ff72ad37542b92e2e3844dc370655"/>
    <w:p>
      <w:pPr>
        <w:pStyle w:val="Heading2"/>
      </w:pPr>
      <w:r>
        <w:t xml:space="preserve">3.4 การพัฒนาและฝึกสอนแบบจำลองปัญญาประดิษฐ์และการแปลงสู่ระบบสมองกลฝังตัว</w:t>
      </w:r>
    </w:p>
    <w:bookmarkStart w:id="22" w:name="X2d9304e24e444558bfda4f05b8e7c6e79a3c18a"/>
    <w:p>
      <w:pPr>
        <w:pStyle w:val="Heading3"/>
      </w:pPr>
      <w:r>
        <w:t xml:space="preserve">3.4.1 การแบ่งชุดข้อมูลสำหรับการพัฒนาแบบจำลอง (Dataset Partitioning)</w:t>
      </w:r>
    </w:p>
    <w:p>
      <w:pPr>
        <w:pStyle w:val="FirstParagraph"/>
      </w:pPr>
      <w:r>
        <w:t xml:space="preserve">ชุดข้อมูลที่ได้จากการตรวจวัดตัวอย่างดิน 50 ตัวอย่าง ที่ผ่านการประมวลผลล่วงหน้าและจับคู่กับค่าวิเคราะห์มาตรฐานทางเคมี (Total N และ Available P) จะถูกนำมาแบ่งออกเป็น 3 ชุดข้อมูลย่อยด้วยวิธีการสุ่มแบบแบ่งชั้น (Stratified Random Splitting) เพื่อให้มีการกระจายตัวของระดับความเข้มข้นธาตุอาหารอย่างสม่ำเสมอในทุกชุดข้อมูล ดังนี้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ชุดข้อมูลสำหรับฝึกสอน (Training Set)</w:t>
      </w:r>
      <w:r>
        <w:t xml:space="preserve"> </w:t>
      </w:r>
      <w:r>
        <w:t xml:space="preserve">ร้อยละ 70 (จำนวน 35 ตัวอย่าง) ใช้สำหรับการปรับค่าน้ำหนักของแบบจำลอง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ชุดข้อมูลสำหรับตรวจสอบ (Validation Set)</w:t>
      </w:r>
      <w:r>
        <w:t xml:space="preserve"> </w:t>
      </w:r>
      <w:r>
        <w:t xml:space="preserve">ร้อยละ 15 (จำนวน 7 หรือ 8 ตัวอย่าง) ใช้สำหรับการตรวจสอบสภาวะการเรียนรู้ ปรับจูนไฮเปอร์พารามิเตอร์ และควบคุมการหยุดฝึกสอนแบบก่อนเวลา (Early Stopping)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ชุดข้อมูลสำหรับทดสอบ (Test Set)</w:t>
      </w:r>
      <w:r>
        <w:t xml:space="preserve"> </w:t>
      </w:r>
      <w:r>
        <w:t xml:space="preserve">ร้อยละ 15 (จำนวน 7 หรือ 8 ตัวอย่าง) ใช้สำหรับประเมินสมรรถนะสุดท้ายของแบบจำลองด้วยข้อมูลที่ไม่เคยผ่านการฝึกสอนมาก่อน</w:t>
      </w:r>
    </w:p>
    <w:bookmarkEnd w:id="22"/>
    <w:bookmarkStart w:id="23" w:name="X429c5836534489df79858f458fd88802442a766"/>
    <w:p>
      <w:pPr>
        <w:pStyle w:val="Heading3"/>
      </w:pPr>
      <w:r>
        <w:t xml:space="preserve">3.4.2 โครงสร้างแบบจำลองโครงข่ายประสาทเทียม (ANN Architecture)</w:t>
      </w:r>
    </w:p>
    <w:p>
      <w:pPr>
        <w:pStyle w:val="FirstParagraph"/>
      </w:pPr>
      <w:r>
        <w:t xml:space="preserve">แบบจำลองโครงข่ายประสาทเทียมที่ใช้เป็นชนิด Multilayer Perceptron (MLP) ที่ได้รับการออกแบบโครงสร้างแบบ 6-16-8-1 ดังแสดงรายละเอียดในตารางที่ 3.2</w:t>
      </w:r>
    </w:p>
    <w:p>
      <w:pPr>
        <w:pStyle w:val="BodyText"/>
      </w:pPr>
      <w:r>
        <w:rPr>
          <w:b/>
          <w:bCs/>
        </w:rPr>
        <w:t xml:space="preserve">ตารางที่ 3.2 รายละเอียดสถาปัตยกรรมโครงข่ายประสาทเทียม MLP สำหรับทำนายธาตุอาหารในดิน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ชั้นโครงข่าย (Layer)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จำนวนเซลล์ประสาท (Nodes)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ฟังก์ชันกระตุ้น (Activation Function)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หน้าที่การทำงาน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ชั้นนำเข้า (Input Layer)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(Pass-through)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รับค่าคุณลักษณะสเปกตรัม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ทั้ง 6 ความยาวคลื่น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ชั้นซ่อนที่ 1 (Hidden Layer 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Rectified Linear Unit (ReLU)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สกัดคุณลักษณะไม่เป็นเชิงเส้นระดับพื้นฐาน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ชั้นซ่อนที่ 2 (Hidden Layer 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Rectified Linear Unit (ReLU)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สกัดคุณลักษณะเชิงซ้อนและการรวมแถบสเปกตรัม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ชั้นส่งออก (Output Layer)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ทำนายค่า Total N (g/kg) หรือ Available P (mg/kg)</w:t>
            </w:r>
          </w:p>
        </w:tc>
      </w:tr>
    </w:tbl>
    <w:p>
      <w:pPr>
        <w:pStyle w:val="BodyText"/>
      </w:pPr>
      <w:r>
        <w:t xml:space="preserve">กระบวนการฝึกสอนแบบจำลองกำหนดค่าพารามิเตอร์ดังนี้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ฟังก์ชันการสูญเสีย (Loss Function)</w:t>
      </w:r>
      <w:r>
        <w:t xml:space="preserve"> </w:t>
      </w:r>
      <w:r>
        <w:t xml:space="preserve">ใช้ค่าความคลาดเคลื่อนกำลังสองเฉลี่ย (Mean Squared Error หรือ MSE)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อัลกอริทึมการปรับค่าน้ำหนัก</w:t>
      </w:r>
      <w:r>
        <w:t xml:space="preserve"> </w:t>
      </w:r>
      <w:r>
        <w:t xml:space="preserve">ใช้วิธี Adam Optimizer ด้วยอัตราการเรียนรู้เริ่มต้น (Initial Learning Rate) เท่ากับ 0.001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การป้องกันปัญหาการเรียนรู้จำเจเพาะ (Overfitting Prevention)</w:t>
      </w:r>
      <w:r>
        <w:t xml:space="preserve"> </w:t>
      </w:r>
      <w:r>
        <w:t xml:space="preserve">กำหนดค่า Regularization แบบ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(Weight Decay</w:t>
      </w:r>
      <w:r>
        <w:t xml:space="preserve"> </w:t>
      </w:r>
      <m:oMath>
        <m:r>
          <m:rPr>
            <m:sty m:val="p"/>
          </m:rPr>
          <m:t>=</m:t>
        </m:r>
        <m:r>
          <m:t>0.0001</m:t>
        </m:r>
      </m:oMath>
      <w:r>
        <w:t xml:space="preserve">) และกำหนดเงื่อนไข Early Stopping โดยจะหยุดการฝึกสอนทันทีหากค่าความคลาดเคลื่อนบน Validation Set ไม่ลดลงต่อเนื่องกัน 20 รอบการเรียนรู้ (Epochs)</w:t>
      </w:r>
    </w:p>
    <w:bookmarkEnd w:id="23"/>
    <w:bookmarkStart w:id="24" w:name="X507a55b3cbc32a9d4dd29870dc59aa1026ab1e9"/>
    <w:p>
      <w:pPr>
        <w:pStyle w:val="Heading3"/>
      </w:pPr>
      <w:r>
        <w:t xml:space="preserve">3.4.3 แบบจำลองการถดถอยเวกเตอร์สนับสนุน (Support Vector Regression หรือ SVR)</w:t>
      </w:r>
    </w:p>
    <w:p>
      <w:pPr>
        <w:pStyle w:val="FirstParagraph"/>
      </w:pPr>
      <w:r>
        <w:t xml:space="preserve">เพื่อเปรียบเทียบสมรรถนะกับ ANN คณะผู้วิจัยได้พัฒนาแบบจำลอง SVR โดยใช้ฟังก์ชันเคอร์เนลแบบเกาส์เซียน (Radial Basis Function หรือ RBF Kernel) และทำการค้นหาไฮเปอร์พารามิเตอร์ที่เหมาะสมที่สุดด้วยวิธี Grid Search ร่วมกับ 5-Fold Cross Validation ในช่วงพารามิเตอร์ดังนี้</w:t>
      </w:r>
      <w:r>
        <w:t xml:space="preserve"> </w:t>
      </w:r>
      <w:r>
        <w:t xml:space="preserve">* ค่า Regularization Parameter (</w:t>
      </w:r>
      <m:oMath>
        <m:r>
          <m:t>C</m:t>
        </m:r>
      </m:oMath>
      <w:r>
        <w:t xml:space="preserve">) ในช่วง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ถึง</w:t>
      </w:r>
      <w:r>
        <w:t xml:space="preserve"> </w:t>
      </w:r>
      <m:oMath>
        <m:r>
          <m:t>1000</m:t>
        </m:r>
      </m:oMath>
      <w:r>
        <w:t xml:space="preserve"> </w:t>
      </w:r>
      <w:r>
        <w:t xml:space="preserve">* ค่า Kernel Bandwidth (</w:t>
      </w:r>
      <m:oMath>
        <m:r>
          <m:t>γ</m:t>
        </m:r>
      </m:oMath>
      <w:r>
        <w:t xml:space="preserve">) ในช่วง</w:t>
      </w:r>
      <w:r>
        <w:t xml:space="preserve"> </w:t>
      </w:r>
      <m:oMath>
        <m:r>
          <m:t>0.001</m:t>
        </m:r>
      </m:oMath>
      <w:r>
        <w:t xml:space="preserve"> </w:t>
      </w:r>
      <w:r>
        <w:t xml:space="preserve">ถึง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* ค่าขอบเขตท่อความคลาดเคลื่อน (</w:t>
      </w:r>
      <m:oMath>
        <m:r>
          <m:t>ϵ</m:t>
        </m:r>
      </m:oMath>
      <w:r>
        <w:t xml:space="preserve">) ในช่วง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ถึง</w:t>
      </w:r>
      <w:r>
        <w:t xml:space="preserve"> </w:t>
      </w:r>
      <m:oMath>
        <m:r>
          <m:t>0.5</m:t>
        </m:r>
      </m:oMath>
    </w:p>
    <w:bookmarkEnd w:id="24"/>
    <w:bookmarkStart w:id="25" w:name="Xdabef1207ae2e2f29cf88ef9c52113d27d958d1"/>
    <w:p>
      <w:pPr>
        <w:pStyle w:val="Heading3"/>
      </w:pPr>
      <w:r>
        <w:t xml:space="preserve">3.4.4 การบีบอัดแบบจำลองและการแปลงสู่ภาษา C++ (Edge TinyML Deployment)</w:t>
      </w:r>
    </w:p>
    <w:p>
      <w:pPr>
        <w:pStyle w:val="FirstParagraph"/>
      </w:pPr>
      <w:r>
        <w:t xml:space="preserve">เมื่อได้แบบจำลองที่มีสมรรถนะสูงสุด พารามิเตอร์ค่าน้ำหนัก (</w:t>
      </w:r>
      <m:oMath>
        <m:r>
          <m:t>W</m:t>
        </m:r>
      </m:oMath>
      <w:r>
        <w:t xml:space="preserve">) และค่าไบแอส (</w:t>
      </w:r>
      <m:oMath>
        <m:r>
          <m:t>b</m:t>
        </m:r>
      </m:oMath>
      <w:r>
        <w:t xml:space="preserve">) ของโครงข่ายจะถูกแปลงออกมาเป็นไฟล์ส่วนหัวภาษา C++ (</w:t>
      </w:r>
      <w:r>
        <w:rPr>
          <w:rStyle w:val="VerbatimChar"/>
        </w:rPr>
        <w:t xml:space="preserve">model_weights.h</w:t>
      </w:r>
      <w:r>
        <w:t xml:space="preserve">) ในรูปของอาร์เรย์ค่าคงที่ (Static Constant Arrays) และเขียนฟังก์ชันการคำนวณการส่งผ่านไปข้างหน้า (Forward Inference Pass) ดังโค้ดตัวอย่างในภาษา C++</w:t>
      </w:r>
    </w:p>
    <w:p>
      <w:pPr>
        <w:pStyle w:val="SourceCode"/>
      </w:pPr>
      <w:r>
        <w:rPr>
          <w:rStyle w:val="CommentTok"/>
        </w:rPr>
        <w:t xml:space="preserve">// Static Model Inference Engine on ESP32-S3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"model_weights.h"</w:t>
      </w:r>
      <w:r>
        <w:br/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relu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predict_nutrient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input_spectrum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h1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input_spectrum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h1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b2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w2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h2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w3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Predicted Nutrient Value (Total N or Available P)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โครงสร้างโค้ดดังกล่าวช่วยให้หน่วยประมวลผลสามารถคำนวณค่าทำนายผลได้อย่างรวดเร็วโดยไม่ต้องใช้ไลบรารีขนาดใหญ่ ใช้พื้นที่หน่วยความจำ Flash ไม่เกิน 6 กิโลไบต์ และใช้เวลาคำนวณต่ำกว่า 0.12 มิลลิวินาที</w:t>
      </w:r>
    </w:p>
    <w:bookmarkEnd w:id="25"/>
    <w:bookmarkStart w:id="26" w:name="X67eaeea2825131781304cf9272dc04ab055b5f6"/>
    <w:p>
      <w:pPr>
        <w:pStyle w:val="Heading3"/>
      </w:pPr>
      <w:r>
        <w:t xml:space="preserve">3.4.5 สถาปัตยกรรมการแสดงผลคู่ขนานสองมิติ (Dual-Mode Output Architecture)</w:t>
      </w:r>
    </w:p>
    <w:p>
      <w:pPr>
        <w:pStyle w:val="FirstParagraph"/>
      </w:pPr>
      <w:r>
        <w:t xml:space="preserve">เพื่อให้ผลลัพธ์จากแบบจำลองปัญญาประดิษฐ์สามารถนำไปใช้งานได้อย่างมีประสิทธิภาพทั้งในหมู่นักวิชาการที่ต้องการข้อมูลความแม่นยำสูง และเกษตรกรในพื้นที่ที่คุ้นเคยกับการประเมินสีแบบเดิม ระบบต้นแบบจึงได้รับการออกแบบสถาปัตยกรรมการส่งออกข้อมูลแบบคู่ขนานสองมิติ (Dual-Mode Output)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มิติเชิงปริมาณวิศวกรรม (Engineering Quantitative Value)</w:t>
      </w:r>
      <w:r>
        <w:t xml:space="preserve"> </w:t>
      </w:r>
      <w:r>
        <w:t xml:space="preserve">นำเสนอค่าความเข้มข้นต่อเนื่องเป็นตัวเลขทศนิยมสองตำแหน่ง ในหน่วยกรัมต่อกิโลกรัม (</w:t>
      </w:r>
      <m:oMath>
        <m:r>
          <m:rPr>
            <m:nor/>
            <m:sty m:val="p"/>
          </m:rPr>
          <m:t>g/kg</m:t>
        </m:r>
      </m:oMath>
      <w:r>
        <w:t xml:space="preserve">) สำหรับไนโตรเจนทั้งหมด และมิลลิกรัมต่อกิโลกรัม (</w:t>
      </w:r>
      <m:oMath>
        <m:r>
          <m:rPr>
            <m:nor/>
            <m:sty m:val="p"/>
          </m:rPr>
          <m:t>mg/kg</m:t>
        </m:r>
      </m:oMath>
      <w:r>
        <w:t xml:space="preserve">) สำหรับฟอสฟอรัสที่เป็นประโยชน์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มิติเชิงกลุ่มและแถบสีดิจิทัล (Categorical Tier &amp; Digital Color Badge)</w:t>
      </w:r>
      <w:r>
        <w:t xml:space="preserve"> </w:t>
      </w:r>
      <w:r>
        <w:t xml:space="preserve">นำค่าตัวเลขที่ทำนายได้มาจำแนกเข้าสู่ระดับคุณภาพ 5 ระดับ (ต่ำมาก ต่ำ ปานกลาง สูง สูงมาก) ตามเกณฑ์มาตรฐานกรมพัฒนาที่ดินและ SSSA พร้อมทั้งแมปปิ้งรหัสสีดิจิทัลแบบ 16 บิต RGB565 บนหน้าจอ LCD และรหัสสี HEX บนแอปพลิเคชันมือถือ เพื่อสร้างแบดจ์สี (Color Badge Chip) เสมือนจริงเคียงข้างตัวเลข ช่วยให้เกษตรกรเข้าใจสถานะของดินได้ทันทีโดยไม่ต้องเปิดคู่มือเทียบสี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22d5ead122da019a6623216d3b13e18d734fc84"/>
    <w:p>
      <w:pPr>
        <w:pStyle w:val="Heading2"/>
      </w:pPr>
      <w:r>
        <w:t xml:space="preserve">3.5 ระเบียบวิธีการตรวจสอบความใช้ได้ของวิธีและสถิติทดสอบสมมติฐาน</w:t>
      </w:r>
    </w:p>
    <w:bookmarkStart w:id="28" w:name="X7e3e4086036ebf53411e4154c28572b98b3e40a"/>
    <w:p>
      <w:pPr>
        <w:pStyle w:val="Heading3"/>
      </w:pPr>
      <w:r>
        <w:t xml:space="preserve">3.5.1 ตัวชี้วัดสมรรถนะของแบบจำลอง (Model Performance Metrics)</w:t>
      </w:r>
    </w:p>
    <w:p>
      <w:pPr>
        <w:pStyle w:val="FirstParagraph"/>
      </w:pPr>
      <w:r>
        <w:t xml:space="preserve">การประเมินความสามารถในการทำนายของแบบจำลอง AI จะประเมินจากชุดข้อมูลทดสอบ (Test Set) โดยใช้ดัชนีชี้วัดทางสถิติ 3 ตัวชี้วัด ได้แก่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ค่าสัมประสิทธิ์การตัดสินใจ (Coefficient of Determination หรือ</w:t>
      </w:r>
      <w:r>
        <w:rPr>
          <w:b/>
          <w:bCs/>
        </w:rP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ค่าความคลาดเคลื่อนรากกำลังสองเฉลี่ย (Root Mean Squared Error หรือ RMSE)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RMSE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ค่าความคลาดเคลื่อนสัมบูรณ์เฉลี่ย (Mean Absolute Error หรือ MAE)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MAE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t xml:space="preserve">เมื่อ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คือค่าจริงที่ได้จากห้องปฏิบัติการ,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คือค่าที่ทำนายได้จากแบบจำลอง,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คือค่าเฉลี่ยของค่าจริง และ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คือจำนวนตัวอย่าง</w:t>
      </w:r>
    </w:p>
    <w:bookmarkEnd w:id="28"/>
    <w:bookmarkStart w:id="29" w:name="Xac95451ada98a88970e19a5cc0200121bc08c9d"/>
    <w:p>
      <w:pPr>
        <w:pStyle w:val="Heading3"/>
      </w:pPr>
      <w:r>
        <w:t xml:space="preserve">3.5.2 การตรวจสอบความใช้ได้ของวิธีวิเคราะห์ (Method Validation)</w:t>
      </w:r>
    </w:p>
    <w:p>
      <w:pPr>
        <w:pStyle w:val="FirstParagraph"/>
      </w:pPr>
      <w:r>
        <w:t xml:space="preserve">การประเมินความใช้ได้ของวิธีวิเคราะห์ทางเคมีอิงตามแนวทางสากลของคู่มือ EURACHEM เรื่อง The Fitness for Purpose of Analytical Methods โดยประเมิน 2 มิติหลัก ได้แก่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ความแม่น (Accuracy)</w:t>
      </w:r>
      <w:r>
        <w:t xml:space="preserve"> </w:t>
      </w:r>
      <w:r>
        <w:t xml:space="preserve">ประเมินจากค่าร้อยละความเอนเอียง (Percentage Bias หรือ %Bias) จากการวัดตัวอย่างดินมาตรฐานที่มีค่าอ้างอิงทราบแน่ชัด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%</m:t>
          </m:r>
          <m:r>
            <m:rPr>
              <m:nor/>
              <m:sty m:val="p"/>
            </m:rPr>
            <m:t>Bias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measured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rPr>
                      <m:nor/>
                      <m:sty m:val="p"/>
                    </m:rPr>
                    <m:t>reference</m:t>
                  </m:r>
                </m:sub>
              </m:sSub>
            </m:num>
            <m:den>
              <m:sSub>
                <m:e>
                  <m:r>
                    <m:t>μ</m:t>
                  </m:r>
                </m:e>
                <m:sub>
                  <m:r>
                    <m:rPr>
                      <m:nor/>
                      <m:sty m:val="p"/>
                    </m:rPr>
                    <m:t>reference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</m:oMath>
      </m:oMathPara>
    </w:p>
    <w:p>
      <w:pPr>
        <w:pStyle w:val="FirstParagraph"/>
      </w:pPr>
      <w:r>
        <w:t xml:space="preserve">เกณฑ์การยอมรับคือ ค่าสัมบูรณ์ของ %Bias ต้องน้อยกว่าร้อยละ 5 (</w:t>
      </w:r>
      <m:oMath>
        <m:r>
          <m:rPr>
            <m:sty m:val="p"/>
          </m:rPr>
          <m:t>|</m:t>
        </m:r>
        <m:r>
          <m:rPr>
            <m:sty m:val="p"/>
          </m:rPr>
          <m:t>%</m:t>
        </m:r>
        <m:r>
          <m:rPr>
            <m:nor/>
            <m:sty m:val="p"/>
          </m:rPr>
          <m:t>Bias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5</m:t>
        </m:r>
        <m:r>
          <m:rPr>
            <m:sty m:val="p"/>
          </m:rPr>
          <m:t>%</m:t>
        </m:r>
      </m:oMath>
      <w:r>
        <w:t xml:space="preserve">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ความเที่ยงหรือสภาพทำซ้ำได้ (Precision / Repeatability)</w:t>
      </w:r>
      <w:r>
        <w:t xml:space="preserve"> </w:t>
      </w:r>
      <w:r>
        <w:t xml:space="preserve">ประเมินจากร้อยละของส่วนเบี่ยงเบนมาตรฐานสัมพัทธ์ (% Relative Standard Deviation หรือ %RSD) จากการทำการวัดซ้ำตัวอย่างเดิมภายใต้สภาวะเดียวกันจำนวน 11 ซ้ำ (</w:t>
      </w:r>
      <m:oMath>
        <m:r>
          <m:t>n</m:t>
        </m:r>
        <m:r>
          <m:rPr>
            <m:sty m:val="p"/>
          </m:rPr>
          <m:t>=</m:t>
        </m:r>
        <m:r>
          <m:t>11</m:t>
        </m:r>
      </m:oMath>
      <w:r>
        <w:t xml:space="preserve">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%</m:t>
          </m:r>
          <m:r>
            <m:rPr>
              <m:nor/>
              <m:sty m:val="p"/>
            </m:rPr>
            <m:t>RSD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SD</m:t>
              </m:r>
            </m:num>
            <m:den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den>
          </m:f>
          <m:r>
            <m:rPr>
              <m:sty m:val="p"/>
            </m:rPr>
            <m:t>×</m:t>
          </m:r>
          <m:r>
            <m:t>100</m:t>
          </m:r>
        </m:oMath>
      </m:oMathPara>
    </w:p>
    <w:p>
      <w:pPr>
        <w:pStyle w:val="FirstParagraph"/>
      </w:pPr>
      <w:r>
        <w:t xml:space="preserve">เกณฑ์การยอมรับคือ ค่า %RSD ต้องน้อยกว่าร้อยละ 5 (</w:t>
      </w:r>
      <m:oMath>
        <m:r>
          <m:rPr>
            <m:sty m:val="p"/>
          </m:rPr>
          <m:t>%</m:t>
        </m:r>
        <m:r>
          <m:rPr>
            <m:nor/>
            <m:sty m:val="p"/>
          </m:rPr>
          <m:t>RSD</m:t>
        </m:r>
        <m:r>
          <m:rPr>
            <m:sty m:val="p"/>
          </m:rPr>
          <m:t>&lt;</m:t>
        </m:r>
        <m:r>
          <m:t>5</m:t>
        </m:r>
        <m:r>
          <m:rPr>
            <m:sty m:val="p"/>
          </m:rPr>
          <m:t>%</m:t>
        </m:r>
      </m:oMath>
      <w:r>
        <w:t xml:space="preserve">)</w:t>
      </w:r>
    </w:p>
    <w:bookmarkEnd w:id="29"/>
    <w:bookmarkStart w:id="30" w:name="X9dea9b00c3bf5d39b992840c8d2fd041e01eb32"/>
    <w:p>
      <w:pPr>
        <w:pStyle w:val="Heading3"/>
      </w:pPr>
      <w:r>
        <w:t xml:space="preserve">3.5.3 สถิติทดสอบสมมติฐานการใช้งานภาคสนาม (Hypothesis Testing)</w:t>
      </w:r>
    </w:p>
    <w:p>
      <w:pPr>
        <w:pStyle w:val="FirstParagraph"/>
      </w:pPr>
      <w:r>
        <w:t xml:space="preserve">เพื่อพิสูจน์สมมติฐานการวิจัยข้อที่ 3 ว่าผลการวัดด้วยชุดวิเคราะห์แบบพกพาที่พัฒนาขึ้น ไม่มีความแตกต่างจากผลการวิเคราะห์ด้วยวิธีมาตรฐานห้องปฏิบัติการ คณะผู้วิจัยใช้สถิติทดสอบการแจกแจงแบบทีของตัวอย่างสองกลุ่มที่ไม่เป็นอิสระต่อกัน (Paired Samples t-test) โดยกำหนดสมมติฐานทางสถิติ ดังนี้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rPr>
                  <m:nor/>
                  <m:sty m:val="p"/>
                </m:rPr>
                <m:t>diff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nor/>
              <m:sty m:val="p"/>
            </m:rPr>
            <m:t> หมายถึง ไม่มีความแตกต่างอย่างมีนัยสำคัญ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t> 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rPr>
                  <m:nor/>
                  <m:sty m:val="p"/>
                </m:rPr>
                <m:t>diff</m:t>
              </m:r>
            </m:sub>
          </m:sSub>
          <m:r>
            <m:rPr>
              <m:sty m:val="p"/>
            </m:rPr>
            <m:t>≠</m:t>
          </m:r>
          <m:r>
            <m:t>0</m:t>
          </m:r>
          <m:r>
            <m:rPr>
              <m:nor/>
              <m:sty m:val="p"/>
            </m:rPr>
            <m:t> หมายถึง มีความแตกต่างอย่างมีนัยสำคัญ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โดยมีสถิติทดสอบคำนวณจาก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d</m:t>
                  </m:r>
                </m:e>
              </m:acc>
            </m:num>
            <m:den>
              <m:sSub>
                <m:e>
                  <m:r>
                    <m:t>s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เมื่อ</w:t>
      </w:r>
      <w:r>
        <w:t xml:space="preserve"> </w:t>
      </w:r>
      <m:oMath>
        <m:acc>
          <m:accPr>
            <m:chr m:val="‾"/>
          </m:accPr>
          <m:e>
            <m:r>
              <m:t>d</m:t>
            </m:r>
          </m:e>
        </m:acc>
      </m:oMath>
      <w:r>
        <w:t xml:space="preserve"> </w:t>
      </w:r>
      <w:r>
        <w:t xml:space="preserve">คือค่าเฉลี่ยของผลต่างระหว่างผลการวัดจากชุดพกพากับวิธีมาตรฐานห้องปฏิบัติการ,</w:t>
      </w:r>
      <w:r>
        <w:t xml:space="preserve"> </w:t>
      </w:r>
      <m:oMath>
        <m:sSub>
          <m:e>
            <m:r>
              <m:t>s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คือส่วนเบี่ยงเบนมาตรฐานของผลต่าง และ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คือจำนวนคู่ตัวอย่างดินภาคสนาม (</w:t>
      </w:r>
      <m:oMath>
        <m:r>
          <m:t>n</m:t>
        </m:r>
        <m:r>
          <m:rPr>
            <m:sty m:val="p"/>
          </m:rPr>
          <m:t>=</m:t>
        </m:r>
        <m:r>
          <m:t>35</m:t>
        </m:r>
      </m:oMath>
      <w:r>
        <w:t xml:space="preserve">) กำหนดระดับนัยสำคัญทางสถิติที่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(ระดับความเชื่อมั่น 95%) หากค่าความน่าจะเป็น (</w:t>
      </w:r>
      <m:oMath>
        <m:r>
          <m:t>p</m:t>
        </m:r>
        <m:r>
          <m:rPr>
            <m:nor/>
            <m:sty m:val="p"/>
          </m:rPr>
          <m:t>-value</m:t>
        </m:r>
      </m:oMath>
      <w:r>
        <w:t xml:space="preserve">) ที่คำนวณได้มีค่ามากกว่า 0.05 จะยอมรับสมมติฐานหลัก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ซึ่งสรุปได้ว่าชุดวิเคราะห์แบบพกพาให้ผลการวิเคราะห์ที่สอดคล้องกับห้องปฏิบัติการมาตรฐาน</w:t>
      </w:r>
    </w:p>
    <w:p>
      <w:pPr>
        <w:pStyle w:val="BodyText"/>
      </w:pPr>
      <w:r>
        <w:t xml:space="preserve">นอกจากนี้ ยังได้ประเมินขีดจำกัดความสอดคล้องตามระเบียบวิธีของแบลนด์-อัลต์แมน (Bland-Altman 95% Limits of Agreement นั่นคือ</w:t>
      </w:r>
      <w:r>
        <w:t xml:space="preserve"> </w:t>
      </w:r>
      <m:oMath>
        <m:acc>
          <m:accPr>
            <m:chr m:val="‾"/>
          </m:accPr>
          <m:e>
            <m:r>
              <m:t>d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⋅</m:t>
        </m:r>
        <m:sSub>
          <m:e>
            <m:r>
              <m:t>s</m:t>
            </m:r>
          </m:e>
          <m:sub>
            <m:r>
              <m:t>d</m:t>
            </m:r>
          </m:sub>
        </m:sSub>
      </m:oMath>
      <w:r>
        <w:t xml:space="preserve">) เพื่อวิเคราะห์ทิศทางและขนาดของความคลาดเคลื่อนของเครื่องมือตลอดทุกย่านความเข้มข้น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2026-09-13T14:57:15Z</dcterms:created>
  <dcterms:modified xsi:type="dcterms:W3CDTF">2026-09-13T14:57:15Z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