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ทท-4"/>
    <w:p>
      <w:pPr>
        <w:pStyle w:val="Heading1"/>
      </w:pPr>
      <w:r>
        <w:t xml:space="preserve">บทที่ 4</w:t>
      </w:r>
    </w:p>
    <w:bookmarkEnd w:id="9"/>
    <w:bookmarkStart w:id="28" w:name="ผลการวจยและการอภปรายผล"/>
    <w:p>
      <w:pPr>
        <w:pStyle w:val="Heading1"/>
      </w:pPr>
      <w:r>
        <w:t xml:space="preserve">ผลการวิจัยและการอภิปรายผล</w:t>
      </w:r>
    </w:p>
    <w:p>
      <w:pPr>
        <w:pStyle w:val="FirstParagraph"/>
      </w:pPr>
      <w:r>
        <w:t xml:space="preserve">การวิจัยเรื่องการพัฒนาชุดวิเคราะห์ปริมาณไนโตรเจนและฟอสฟอรัสในดินแบบพกพาด้วยหลักการสะท้อนแสงร่วมกับปัญญาประดิษฐ์ คณะผู้วิจัยได้ดำเนินการสร้างระบบต้นแบบ ดำเนินการทดสอบในห้องปฏิบัติการ และนำไปทดสอบใช้งานจริงในแปลงเกษตรกรรมไม้ผล ผลการวิจัยและการอภิปรายผลสามารถจำแนกออกเป็น 6 หัวข้อหลัก ได้แก่</w:t>
      </w:r>
    </w:p>
    <w:p>
      <w:pPr>
        <w:pStyle w:val="Compact"/>
        <w:numPr>
          <w:ilvl w:val="0"/>
          <w:numId w:val="1001"/>
        </w:numPr>
      </w:pPr>
      <w:r>
        <w:t xml:space="preserve">ผลการพัฒนาต้นแบบฮาร์ดแวร์และระบบควบคุมสภาพแสง (Optical Dark Chamber)</w:t>
      </w:r>
    </w:p>
    <w:p>
      <w:pPr>
        <w:pStyle w:val="Compact"/>
        <w:numPr>
          <w:ilvl w:val="0"/>
          <w:numId w:val="1001"/>
        </w:numPr>
      </w:pPr>
      <w:r>
        <w:t xml:space="preserve">ผลการวิเคราะห์คุณลักษณะสเปกตรัมการสะท้อนแสงของดินตัวอย่าง</w:t>
      </w:r>
    </w:p>
    <w:p>
      <w:pPr>
        <w:pStyle w:val="Compact"/>
        <w:numPr>
          <w:ilvl w:val="0"/>
          <w:numId w:val="1001"/>
        </w:numPr>
      </w:pPr>
      <w:r>
        <w:t xml:space="preserve">ผลการฝึกสอนและประเมินสมรรถนะของแบบจำลองปัญญาประดิษฐ์</w:t>
      </w:r>
    </w:p>
    <w:p>
      <w:pPr>
        <w:pStyle w:val="Compact"/>
        <w:numPr>
          <w:ilvl w:val="0"/>
          <w:numId w:val="1001"/>
        </w:numPr>
      </w:pPr>
      <w:r>
        <w:t xml:space="preserve">ผลการตรวจสอบความใช้ได้ของวิธีวิเคราะห์ในห้องปฏิบัติการ (Analytical Method Validation)</w:t>
      </w:r>
    </w:p>
    <w:p>
      <w:pPr>
        <w:pStyle w:val="Compact"/>
        <w:numPr>
          <w:ilvl w:val="0"/>
          <w:numId w:val="1001"/>
        </w:numPr>
      </w:pPr>
      <w:r>
        <w:t xml:space="preserve">ผลการทดสอบเปรียบเทียบในแปลงปลูกทุเรียนจริงและการวิเคราะห์สถิติทดสอบสมมติฐาน</w:t>
      </w:r>
    </w:p>
    <w:p>
      <w:pPr>
        <w:pStyle w:val="Compact"/>
        <w:numPr>
          <w:ilvl w:val="0"/>
          <w:numId w:val="1001"/>
        </w:numPr>
      </w:pPr>
      <w:r>
        <w:t xml:space="preserve">การอภิปรายผลการวิจัยเชิงลึกและคุณค่าทางการเกษตรแม่นยำ</w:t>
      </w:r>
    </w:p>
    <w:p>
      <w:r>
        <w:pict>
          <v:rect style="width:0;height:1.5pt" o:hralign="center" o:hrstd="t" o:hr="t"/>
        </w:pict>
      </w:r>
    </w:p>
    <w:bookmarkStart w:id="13" w:name="ผลการพฒนาตนแบบฮารดแวรและระบบควบคมสภาพแสง"/>
    <w:p>
      <w:pPr>
        <w:pStyle w:val="Heading2"/>
      </w:pPr>
      <w:r>
        <w:t xml:space="preserve">4.1 ผลการพัฒนาต้นแบบฮาร์ดแวร์และระบบควบคุมสภาพแสง</w:t>
      </w:r>
    </w:p>
    <w:bookmarkStart w:id="10" w:name="Xd7f01a157d483cccc956bad5c1a9b85f9623e98"/>
    <w:p>
      <w:pPr>
        <w:pStyle w:val="Heading3"/>
      </w:pPr>
      <w:r>
        <w:t xml:space="preserve">4.1.1 คุณลักษณะทางกายภาพและโครงสร้างเชิงแสงของระบบต้นแบบ</w:t>
      </w:r>
    </w:p>
    <w:p>
      <w:pPr>
        <w:pStyle w:val="FirstParagraph"/>
      </w:pPr>
      <w:r>
        <w:t xml:space="preserve">คณะผู้วิจัยประสบความสำเร็จในการออกแบบและสร้างต้นแบบชุดวิเคราะห์ปริมาณไนโตรเจนและฟอสฟอรัสในดินแบบพกพาจำนวน 5 ชุด โดยตัวเครื่องมีโครงสร้างเป็นกล่องทึบแสง (Optical Dark Chamber) ที่ผลิตจากพอลิเมอร์ชนิด PETG ขึ้นรูปด้วยเครื่องพิมพ์สามมิติความละเอียดสูง ขนาดของตัวเครื่องมีความกว้าง 120 มิลลิเมตร ยาว 80 มิลลิเมตร และสูง 65 มิลลิเมตร น้ำหนักรวมแบตเตอรี่ลิเธียมไอออนขนาด 2,000 มิลลิแอมแปร์-ชั่วโมง อยู่ที่ 380 กรัม ผนังภายในกล่องเคลือบด้วยสารดูดกลืนแสงสีดำด้าน (Matt Black Anti-reflective Coating) และติดตั้งแผ่นกั้นดักแสง (Light-trap Baffles) สองชั้นรอบช่องบรรจุถาดตัวอย่าง</w:t>
      </w:r>
    </w:p>
    <w:p>
      <w:pPr>
        <w:pStyle w:val="BodyText"/>
      </w:pPr>
      <w:r>
        <w:t xml:space="preserve">จากการทดสอบประสิทธิภาพการป้องกันแสงรบกวนจากภายนอก (Stray Light Extinction Test) โดยการนำกล่องไปวางภายใต้แสงแดดจัดในแปลงเกษตรกรรมที่มีค่าความสว่างมากกว่า 85,000 ลักซ์ (Lux) พบว่า เซนเซอร์ภายในกล่องบันทึกค่าความเข้มแสงรบกวนได้ต่ำกว่า 0.05 ลักซ์ คิดเป็นอัตราการกำจัดแสงรบกวนได้สูงถึงร้อยละ 99.94 ซึ่งยืนยันว่าระบบสามารถควบคุมสภาพแวดล้อมทางทัศนศาสตร์ให้เป็นระบบปิดโดยสมบูรณ์ ขจัดความแปรปรวนจากสภาพแสงภายนอกได้อย่างเด็ดขาด</w:t>
      </w:r>
    </w:p>
    <w:bookmarkEnd w:id="10"/>
    <w:bookmarkStart w:id="11" w:name="X69c68e77d17785fe9dbd64a3503086893225d9d"/>
    <w:p>
      <w:pPr>
        <w:pStyle w:val="Heading3"/>
      </w:pPr>
      <w:r>
        <w:t xml:space="preserve">4.1.2 ผลการทำงานของระบบขับแสงตามลำดับและการจัดการพลังงาน</w:t>
      </w:r>
    </w:p>
    <w:p>
      <w:pPr>
        <w:pStyle w:val="FirstParagraph"/>
      </w:pPr>
      <w:r>
        <w:t xml:space="preserve">การทดสอบระบบขับเคลื่อนไดโอดเปล่งแสงหลายความยาวคลื่น (Multi-wavelength LED Array) ทั้ง 6 แถบคลื่น (465, 525, 660, 720, 850 และ 940 นาโนเมตร) ด้วยวงจร Sequential Pulse Driver ควบคุมด้วยสัญญาณดิจิทัลจากไมโครคอนโทรลเลอร์ ESP32-S3 พบว่า ระบบสามารถปล่อยแสงกระตุ้นทีละความยาวคลื่นอย่างแม่นยำด้วยระยะเวลาพัลส์ 100 มิลลิวินาทีต่อช่องคลื่น สลับกับช่วงกระแสมืด 50 มิลลิวินาที โดยมีระยะเวลารวมในการสแกนครบทุกย่านคลื่นเพียง 900 มิลลิวินาทีต่อหนึ่งตัวอย่าง การตรวจสอบการกระจายความเข้มแสงข้ามพื้นที่ผิวหน้าดินในถาดตัวอย่างขนาดเส้นผ่านศูนย์กลาง 35 มิลลิเมตร พบว่า มีความสม่ำเสมอของความเข้มแสงสูงถึงร้อยละ 98.2</w:t>
      </w:r>
    </w:p>
    <w:p>
      <w:pPr>
        <w:pStyle w:val="BodyText"/>
      </w:pPr>
      <w:r>
        <w:t xml:space="preserve">ในด้านการจัดการพลังงาน ในสถานะพร้อมทำงาน (Standby Mode) ระบบกินกระแสไฟฟ้าเฉลี่ย 45 มิลลิแอมป์ และในระหว่างรอบการตรวจวัดและกระตุ้นแสง (Active Measurement Mode) ระบบกินกระแสไฟฟ้าเฉลี่ย 185 มิลลิแอมป์ ส่งผลให้แบตเตอรี่ขนาด 2,000 มิลลิแอมแปร์-ชั่วโมง สามารถรองรับการตรวจวัดตัวอย่างดินต่อเนื่องได้มากกว่า 450 ครั้งต่อการประจุไฟฟ้าหนึ่งรอบ หรือคิดเป็นเวลาการใช้งานภาคสนามต่อเนื่องได้นานกว่า 8.5 ชั่วโมง ซึ่งเพียงพอสำหรับการปฏิบัติงานของเกษตรกรในแปลงปลูกตลอดทั้งวัน</w:t>
      </w:r>
    </w:p>
    <w:bookmarkEnd w:id="11"/>
    <w:bookmarkStart w:id="12" w:name="X1d82ddafaeaa11153772c11892c41f86dbe1400"/>
    <w:p>
      <w:pPr>
        <w:pStyle w:val="Heading3"/>
      </w:pPr>
      <w:r>
        <w:t xml:space="preserve">4.1.3 ส่วนประสานกับผู้ใช้ (User Interface) และ Cyber Dashboard</w:t>
      </w:r>
    </w:p>
    <w:p>
      <w:pPr>
        <w:pStyle w:val="FirstParagraph"/>
      </w:pPr>
      <w:r>
        <w:t xml:space="preserve">ระบบแสดงผลได้รับการพัฒนาขึ้นสองรูปแบบ ได้แก่ หน้าจอแสดงผล Cyber Dashboard ขนาด 3.5 นิ้ว ชนิด IPS ความละเอียด 480x320 พิกเซล ติดตั้งบนตัวเครื่อง ควบคุมการแสดงผลด้วยไลบรารีกราฟิกประสิทธิภาพสูง LovyanGFX และแอปพลิเคชันบนสมาร์ทโฟนที่เชื่อมต่อผ่านระบบบลูทูธพลังงานต่ำ (Bluetooth Low Energy หรือ BLE) หน้าจอจะแสดงผลค่าปริมาณไนโตรเจนทั้งหมด (Total N) ในหน่วย g/kg และค่าฟอสฟอรัสที่เป็นประโยชน์ (Available P) ในหน่วย mg/kg ควบคู่กับระบบแถบสีเตือนสถานะความอุดมสมบูรณ์ของดิน (ต่ำ-ปานกลาง-สูง) และระบบแนะนำสูตรและปริมาณปุ๋ยเคมีหรือปุ๋ยอินทรีย์ที่เหมาะสมกับระยะการเจริญเติบโตของทุเรียนโดยอัตโนมัติ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a9417704405ee31a944236664307c6579a63eec"/>
    <w:p>
      <w:pPr>
        <w:pStyle w:val="Heading2"/>
      </w:pPr>
      <w:r>
        <w:t xml:space="preserve">4.2 ผลการวิเคราะห์คุณลักษณะสเปกตรัมการสะท้อนแสงของดินตัวอย่าง</w:t>
      </w:r>
    </w:p>
    <w:p>
      <w:pPr>
        <w:pStyle w:val="FirstParagraph"/>
      </w:pPr>
      <w:r>
        <w:t xml:space="preserve">จากการนำตัวอย่างดินสวนทุเรียน 50 ตัวอย่าง ที่ผ่านการเตรียมตัวอย่างและร่อนผ่านตะแกรงขนาด 2 มิลลิเมตร มาตรวจวัดค่าการสะท้อนแสงแบบกระจายสัมพัทธ์ (</w:t>
      </w:r>
      <m:oMath>
        <m:sSub>
          <m:e>
            <m:r>
              <m:t>R</m:t>
            </m:r>
          </m:e>
          <m:sub>
            <m:r>
              <m:t>λ</m:t>
            </m:r>
          </m:sub>
        </m:sSub>
      </m:oMath>
      <w:r>
        <w:t xml:space="preserve">) และคำนวณค่าฟังก์ชันคูเบลกา-มังก์ (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λ</m:t>
            </m:r>
          </m:sub>
        </m:sSub>
        <m:r>
          <m:rPr>
            <m:sty m:val="p"/>
          </m:rPr>
          <m:t>)</m:t>
        </m:r>
      </m:oMath>
      <w:r>
        <w:t xml:space="preserve">) ภายใต้แสงกระตุ้น 6 แถบความยาวคลื่น พบรูปแบบการตอบสนองเชิงแสงที่สำคัญดังนี้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ดินที่มีปริมาณไนโตรเจนและอินทรียวัตถุสูง</w:t>
      </w:r>
      <w:r>
        <w:t xml:space="preserve"> </w:t>
      </w:r>
      <w:r>
        <w:t xml:space="preserve">จะมีค่าการสะท้อนแสงรวมต่ำกว่าดินที่มีไนโตรเจนต่ำในทุกช่วงคลื่น โดยเฉพาะที่ความยาวคลื่น 465 นาโนเมตร (แสงสีน้ำเงิน) และ 660 นาโนเมตร (แสงสีแดง) ซึ่งเกิดจากการดูดกลืนแสงอย่างเข้มข้นของสารประกอบกรดฮิวมิกและฮิวมัส ส่งผลให้ค่า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465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มีความสัมพันธ์เชิงบวกอย่างมีนัยสำคัญกับค่าไนโตรเจนทั้งหมดจากห้องปฏิบัติการ (</w:t>
      </w:r>
      <m:oMath>
        <m:r>
          <m:t>r</m:t>
        </m:r>
        <m:r>
          <m:rPr>
            <m:sty m:val="p"/>
          </m:rPr>
          <m:t>=</m:t>
        </m:r>
        <m:r>
          <m:t>0.894</m:t>
        </m:r>
      </m:oMath>
      <w:r>
        <w:t xml:space="preserve">) และที่ความยาวคลื่น 850 นาโนเมตร พบการดูดกลืนที่สัมพันธ์กับโอเวอร์โทนของพันธะ</w:t>
      </w:r>
      <w:r>
        <w:t xml:space="preserve"> </w:t>
      </w:r>
      <m:oMath>
        <m:r>
          <m:rPr>
            <m:nor/>
            <m:sty m:val="p"/>
          </m:rPr>
          <m:t>N-H</m:t>
        </m:r>
      </m:oMath>
      <w:r>
        <w:t xml:space="preserve"> </w:t>
      </w:r>
      <w:r>
        <w:t xml:space="preserve">ซึ่งให้ค่าสัมประสิทธิ์สหสัมพันธ์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0.918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ดินที่มีปริมาณฟอสฟอรัสที่เป็นประโยชน์สูง</w:t>
      </w:r>
      <w:r>
        <w:t xml:space="preserve"> </w:t>
      </w:r>
      <w:r>
        <w:t xml:space="preserve">จะแสดงการเปลี่ยนแปลงของค่าการสะท้อนแสงที่แถบความยาวคลื่น 525 นาโนเมตร และ 720 นาโนเมตร อย่างเด่นชัด เนื่องจากฟอสเฟตที่ละลายได้จะส่งผลต่ออันตรกิริยาการถ่ายโอนประจุของสารประกอบออกไซด์ของเหล็กในดินกรด ให้ค่าสัมประสิทธิ์สหสัมพันธ์กับค่าฟอสฟอรัสจากห้องปฏิบัติการเท่ากับ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0.842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0.865</m:t>
        </m:r>
      </m:oMath>
      <w:r>
        <w:t xml:space="preserve"> </w:t>
      </w:r>
      <w:r>
        <w:t xml:space="preserve">ตามลำดับ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แถบความยาวคลื่น 940 นาโนเมตร</w:t>
      </w:r>
      <w:r>
        <w:t xml:space="preserve"> </w:t>
      </w:r>
      <w:r>
        <w:t xml:space="preserve">แสดงค่าการดูดกลืนที่ผันแปรตามความชื้นสัมพัทธ์ของอนุภาคดินอย่างเด่นชัด เมื่อนำค่า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940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มาใช้เป็นตัวหารอ้างอิงเพื่อปรับชดเชยอัตราส่วนสเปกตรัม พบว่าสามารถลดทอนความแปรปรวนจากความชื้นตกค้างได้มากกว่าร้อยละ 85 ทำให้เวกเตอร์สเปกตรัมมีความเสถียรสูงพร้อมสำหรับการฝึกสอนโมเดลปัญญาประดิษฐ์</w:t>
      </w:r>
    </w:p>
    <w:p>
      <w:r>
        <w:pict>
          <v:rect style="width:0;height:1.5pt" o:hralign="center" o:hrstd="t" o:hr="t"/>
        </w:pict>
      </w:r>
    </w:p>
    <w:bookmarkEnd w:id="14"/>
    <w:bookmarkStart w:id="17" w:name="Xe914061e54043cee3bb30cb1ee24500ba461c95"/>
    <w:p>
      <w:pPr>
        <w:pStyle w:val="Heading2"/>
      </w:pPr>
      <w:r>
        <w:t xml:space="preserve">4.3 ผลการฝึกสอนและประเมินสมรรถนะของแบบจำลองปัญญาประดิษฐ์</w:t>
      </w:r>
    </w:p>
    <w:bookmarkStart w:id="15" w:name="X592192dc4fe6f48023be720d87c4453d1b9ff43"/>
    <w:p>
      <w:pPr>
        <w:pStyle w:val="Heading3"/>
      </w:pPr>
      <w:r>
        <w:t xml:space="preserve">4.3.1 การลู่เข้าของแบบจำลองโครงข่ายประสาทเทียม (ANN Convergence)</w:t>
      </w:r>
    </w:p>
    <w:p>
      <w:pPr>
        <w:pStyle w:val="FirstParagraph"/>
      </w:pPr>
      <w:r>
        <w:t xml:space="preserve">ในการฝึกสอนโครงข่ายประสาทเทียมแบบ MLP สถาปัตยกรรม 6-16-8-1 ด้วยชุดข้อมูลฝึกสอน (Training Set จำนวน 35 ตัวอย่าง) และชุดข้อมูลตรวจสอบ (Validation Set จำนวน 7 ตัวอย่าง) พบว่า ค่าความคลาดเคลื่อนการสูญเสียกำลังสองเฉลี่ย (MSE Loss) ลดลงอย่างรวดเร็วในช่วง 100 รอบแรกของการเรียนรู้ (Epochs) และเข้าสู่จุดสมดุลที่รอบที่ 280 โดยไม่มีสัญญาณของการเกิด Overfitting เนื่องจากกลไก Early Stopping และ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Regularization ได้ควบคุมไม่ให้ค่าน้ำหนักขยายตัวเกินขอบเขต</w:t>
      </w:r>
    </w:p>
    <w:bookmarkEnd w:id="15"/>
    <w:bookmarkStart w:id="16" w:name="การเปรยบเทยบสมรรถนะของแบบจำลอง-ai"/>
    <w:p>
      <w:pPr>
        <w:pStyle w:val="Heading3"/>
      </w:pPr>
      <w:r>
        <w:t xml:space="preserve">4.3.2 การเปรียบเทียบสมรรถนะของแบบจำลอง AI</w:t>
      </w:r>
    </w:p>
    <w:p>
      <w:pPr>
        <w:pStyle w:val="FirstParagraph"/>
      </w:pPr>
      <w:r>
        <w:t xml:space="preserve">คณะผู้วิจัยได้ทำการทดสอบและเปรียบเทียบสมรรถนะของแบบจำลอง 4 ชนิด บนชุดข้อมูลทดสอบ (Test Set จำนวน 8 ตัวอย่าง) ที่เป็นข้อมูลใหม่ ได้แก่ การถดถอยเชิงเส้นเชิงซ้อน (Multiple Linear Regression หรือ MLR) การถดถอยกำลังสองน้อยสุดบางส่วน (Partial Least Squares Regression หรือ PLSR) การถดถอยเวกเตอร์สนับสนุน (Support Vector Regression หรือ SVR) และโครงข่ายประสาทเทียม (Artificial Neural Network หรือ ANN) ดังแสดงผลการเปรียบเทียบในตารางที่ 4.1</w:t>
      </w:r>
    </w:p>
    <w:p>
      <w:pPr>
        <w:pStyle w:val="BodyText"/>
      </w:pPr>
      <w:r>
        <w:rPr>
          <w:b/>
          <w:bCs/>
        </w:rPr>
        <w:t xml:space="preserve">ตารางที่ 4.1 ผลการเปรียบเทียบสมรรถนะของแบบจำลองในการทำนายปริมาณไนโตรเจนและฟอสฟอรัสในดิน (Test Set, n = 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ตัวแปรเป้าหมาย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แบบจำลองที่ใช้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(Test)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เวลาประมวลผลบนชิป (Inference Time, 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ไนโตรเจนทั้งหมด</w:t>
            </w:r>
            <w:r>
              <w:rPr>
                <w:b/>
                <w:bCs/>
              </w:rPr>
              <w:t xml:space="preserve">(Total N, g/kg)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PLSR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SVR (RBF Kernel)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 (MLP 6-16-8-1)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0.13 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0.10 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ฟอสฟอรัสที่เป็นประโยชน์</w:t>
            </w:r>
            <w:r>
              <w:rPr>
                <w:b/>
                <w:bCs/>
              </w:rPr>
              <w:t xml:space="preserve">(Available P, mg/kg)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6.42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4.85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PLSR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5.12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SVR (RBF Kernel)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3.38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2.56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 (MLP 6-16-8-1)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3.25 mg/kg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2.48 mg/kg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0.118</w:t>
            </w:r>
          </w:p>
        </w:tc>
      </w:tr>
    </w:tbl>
    <w:p>
      <w:pPr>
        <w:pStyle w:val="BodyText"/>
      </w:pPr>
      <w:r>
        <w:t xml:space="preserve">จากตารางที่ 4.1 พิจารณาผลการเปรียบเทียบพบว่า แบบจำลองโครงข่ายประสาทเทียม (ANN) ให้สมรรถนะในการทำนายสูงสุดสำหรับทั้งสองธาตุอาหาร โดยสำหรับไนโตรเจนทั้งหมด ให้ค่า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สูงถึง 0.916 ค่า</w:t>
      </w:r>
      <w:r>
        <w:t xml:space="preserve"> </w:t>
      </w:r>
      <m:oMath>
        <m:r>
          <m:rPr>
            <m:nor/>
            <m:sty m:val="p"/>
          </m:rPr>
          <m:t>RMSE</m:t>
        </m:r>
        <m:r>
          <m:rPr>
            <m:sty m:val="p"/>
          </m:rPr>
          <m:t>=</m:t>
        </m:r>
        <m:r>
          <m:t>0.13</m:t>
        </m:r>
        <m:r>
          <m:rPr>
            <m:nor/>
            <m:sty m:val="p"/>
          </m:rPr>
          <m:t> g/kg</m:t>
        </m:r>
      </m:oMath>
      <w:r>
        <w:t xml:space="preserve"> </w:t>
      </w:r>
      <w:r>
        <w:t xml:space="preserve">และค่า</w:t>
      </w:r>
      <w:r>
        <w:t xml:space="preserve"> </w:t>
      </w:r>
      <m:oMath>
        <m:r>
          <m:rPr>
            <m:nor/>
            <m:sty m:val="p"/>
          </m:rPr>
          <m:t>MAE</m:t>
        </m:r>
        <m:r>
          <m:rPr>
            <m:sty m:val="p"/>
          </m:rPr>
          <m:t>=</m:t>
        </m:r>
        <m:r>
          <m:t>0.10</m:t>
        </m:r>
        <m:r>
          <m:rPr>
            <m:nor/>
            <m:sty m:val="p"/>
          </m:rPr>
          <m:t> g/kg</m:t>
        </m:r>
      </m:oMath>
      <w:r>
        <w:t xml:space="preserve"> </w:t>
      </w:r>
      <w:r>
        <w:t xml:space="preserve">ซึ่งลดความคลาดเคลื่อนลงจากแบบจำลองเชิงเส้น MLR ได้มากกว่าร้อยละ 53.5 ขณะที่แบบจำลอง SVR ให้สมรรถนะใกล้เคียงกันเป็นอันดับสอง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0.908</m:t>
        </m:r>
        <m:r>
          <m:rPr>
            <m:sty m:val="p"/>
          </m:rPr>
          <m:t>,</m:t>
        </m:r>
        <m:r>
          <m:rPr>
            <m:nor/>
            <m:sty m:val="p"/>
          </m:rPr>
          <m:t>RMSE</m:t>
        </m:r>
        <m:r>
          <m:rPr>
            <m:sty m:val="p"/>
          </m:rPr>
          <m:t>=</m:t>
        </m:r>
        <m:r>
          <m:t>0.14</m:t>
        </m:r>
        <m:r>
          <m:rPr>
            <m:nor/>
            <m:sty m:val="p"/>
          </m:rPr>
          <m:t> g/kg</m:t>
        </m:r>
      </m:oMath>
      <w:r>
        <w:t xml:space="preserve">)</w:t>
      </w:r>
    </w:p>
    <w:p>
      <w:pPr>
        <w:pStyle w:val="BodyText"/>
      </w:pPr>
      <w:r>
        <w:t xml:space="preserve">สำหรับฟอสฟอรัสที่เป็นประโยชน์ แบบจำลอง ANN ให้ค่า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0.887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RMSE</m:t>
        </m:r>
        <m:r>
          <m:rPr>
            <m:sty m:val="p"/>
          </m:rPr>
          <m:t>=</m:t>
        </m:r>
        <m:r>
          <m:t>3.25</m:t>
        </m:r>
        <m:r>
          <m:rPr>
            <m:nor/>
            <m:sty m:val="p"/>
          </m:rPr>
          <m:t> mg/kg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rPr>
            <m:nor/>
            <m:sty m:val="p"/>
          </m:rPr>
          <m:t>MAE</m:t>
        </m:r>
        <m:r>
          <m:rPr>
            <m:sty m:val="p"/>
          </m:rPr>
          <m:t>=</m:t>
        </m:r>
        <m:r>
          <m:t>2.48</m:t>
        </m:r>
        <m:r>
          <m:rPr>
            <m:nor/>
            <m:sty m:val="p"/>
          </m:rPr>
          <m:t> mg/kg</m:t>
        </m:r>
      </m:oMath>
      <w:r>
        <w:t xml:space="preserve"> </w:t>
      </w:r>
      <w:r>
        <w:t xml:space="preserve">เหนือกว่าแบบจำลองเชิงเส้น MLR ที่มีค่า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เพียง 0.621 อย่างมีนัยสำคัญ ผลลัพธ์นี้สอดคล้องกับสมมติฐานการวิจัยข้อที่ 2 ที่กำหนดไว้ว่าแบบจำลอง AI ต้องให้ค่า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0.88</m:t>
        </m:r>
      </m:oMath>
      <w:r>
        <w:t xml:space="preserve"> </w:t>
      </w:r>
      <w:r>
        <w:t xml:space="preserve">สำหรับ N และ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0.85</m:t>
        </m:r>
      </m:oMath>
      <w:r>
        <w:t xml:space="preserve"> </w:t>
      </w:r>
      <w:r>
        <w:t xml:space="preserve">สำหรับ P</w:t>
      </w:r>
    </w:p>
    <w:p>
      <w:pPr>
        <w:pStyle w:val="BodyText"/>
      </w:pPr>
      <w:r>
        <w:t xml:space="preserve">ในด้านเวลาประมวลผลบนไมโครคอนโทรลเลอร์ ESP32-S3 แบบจำลอง ANN ในรูปของโค้ด C++ สถิต ใช้เวลาในการคำนวณการอนุมานไปข้างหน้าเพียง 0.118 มิลลิวินาที ใช้หน่วยความจำโปรแกรม Flash 5.4 กิโลไบต์ และ RAM เพียง 1.2 กิโลไบต์ ซึ่งแสดงให้เห็นถึงความพร้อมในการทำงานแบบ On-device Edge TinyML ได้อย่างสมบูรณ์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d78e9d3ba8b09a221fcf55289b6d44e56c68c61"/>
    <w:p>
      <w:pPr>
        <w:pStyle w:val="Heading2"/>
      </w:pPr>
      <w:r>
        <w:t xml:space="preserve">4.4 ผลการตรวจสอบความใช้ได้ของวิธีวิเคราะห์ในห้องปฏิบัติการ</w:t>
      </w:r>
    </w:p>
    <w:p>
      <w:pPr>
        <w:pStyle w:val="FirstParagraph"/>
      </w:pPr>
      <w:r>
        <w:t xml:space="preserve">การตรวจสอบความใช้ได้ของวิธีวิเคราะห์ (Analytical Method Validation) ของชุดวิเคราะห์ต้นแบบ อิงตามมาตรฐานสากล EURACHEM Guide เพื่อยืนยันความแม่น (Accuracy) และความเที่ยง (Precision) ก่อนนำไปใช้งานภาคสนาม</w:t>
      </w:r>
    </w:p>
    <w:bookmarkStart w:id="18" w:name="ผลการทดสอบความแมน-accuracy-bias"/>
    <w:p>
      <w:pPr>
        <w:pStyle w:val="Heading3"/>
      </w:pPr>
      <w:r>
        <w:t xml:space="preserve">4.4.1 ผลการทดสอบความแม่น (Accuracy / %Bias)</w:t>
      </w:r>
    </w:p>
    <w:p>
      <w:pPr>
        <w:pStyle w:val="FirstParagraph"/>
      </w:pPr>
      <w:r>
        <w:t xml:space="preserve">ทำการทดสอบความแม่นโดยใช้ตัวอย่างดินมาตรฐานที่ทราบค่าความเข้มข้นอ้างอิงแน่นอนจากห้องปฏิบัติการมาตรฐาน 3 ระดับ ได้แก่ ระดับต่ำ (Low) ระดับปานกลาง (Medium) และระดับสูง (High) ทำการวัดตัวอย่างละ 5 ซ้ำ แล้วคำนวณค่าร้อยละความเอนเอียง (%Bias) ดังแสดงในตารางที่ 4.2</w:t>
      </w:r>
    </w:p>
    <w:p>
      <w:pPr>
        <w:pStyle w:val="BodyText"/>
      </w:pPr>
      <w:r>
        <w:rPr>
          <w:b/>
          <w:bCs/>
        </w:rPr>
        <w:t xml:space="preserve">ตารางที่ 4.2 ผลการประเมินความแม่น (Accuracy) ของชุดวิเคราะห์แบบพกพาเทียบกับค่าอ้างอิงมาตรฐาน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ธาตุอาหาร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ระดับความเข้มข้น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ค่าอ้างอิงห้องปฏิบัติการ (</w:t>
            </w: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ค่าเฉลี่ยที่วัดได้จากชุดพกพา (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r>
                <m:rPr>
                  <m:nor/>
                  <m:sty m:val="p"/>
                </m:rPr>
                <m:t>SD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ผลต่าง (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ค่าร้อยละความเอนเอียง (%Bias)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เกณฑ์การประเมิน (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%</m:t>
              </m:r>
              <m:r>
                <m:rPr>
                  <m:nor/>
                  <m:sty m:val="p"/>
                </m:rPr>
                <m:t>Bias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ไนโตรเจนทั้งหมด</w:t>
            </w:r>
            <w:r>
              <w:rPr>
                <w:b/>
                <w:bCs/>
              </w:rPr>
              <w:t xml:space="preserve">(Total N, 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ต่ำ (Low)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 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0.87</m:t>
              </m:r>
              <m:r>
                <m:rPr>
                  <m:sty m:val="p"/>
                </m:rPr>
                <m:t>±</m:t>
              </m:r>
              <m:r>
                <m:t>0.02</m:t>
              </m:r>
              <m:r>
                <m:rPr>
                  <m:nor/>
                  <m:sty m:val="p"/>
                </m:rPr>
                <m:t> 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2.35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ปานกลาง (Medium)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1.60 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1.63</m:t>
              </m:r>
              <m:r>
                <m:rPr>
                  <m:sty m:val="p"/>
                </m:rPr>
                <m:t>±</m:t>
              </m:r>
              <m:r>
                <m:t>0.03</m:t>
              </m:r>
              <m:r>
                <m:rPr>
                  <m:nor/>
                  <m:sty m:val="p"/>
                </m:rPr>
                <m:t> 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1.88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สูง (High)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2.95 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2.91</m:t>
              </m:r>
              <m:r>
                <m:rPr>
                  <m:sty m:val="p"/>
                </m:rPr>
                <m:t>±</m:t>
              </m:r>
              <m:r>
                <m:t>0.05</m:t>
              </m:r>
              <m:r>
                <m:rPr>
                  <m:nor/>
                  <m:sty m:val="p"/>
                </m:rPr>
                <m:t> 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1.35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ฟอสฟอรัสที่เป็นประโยชน์</w:t>
            </w:r>
            <w:r>
              <w:rPr>
                <w:b/>
                <w:bCs/>
              </w:rPr>
              <w:t xml:space="preserve">(Available P, mg/kg)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ต่ำ (Low)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 mg/kg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12.4</m:t>
              </m:r>
              <m:r>
                <m:rPr>
                  <m:sty m:val="p"/>
                </m:rPr>
                <m:t>±</m:t>
              </m:r>
              <m:r>
                <m:t>0.3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3.33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ปานกลาง (Medium)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32.5 mg/kg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33.2</m:t>
              </m:r>
              <m:r>
                <m:rPr>
                  <m:sty m:val="p"/>
                </m:rPr>
                <m:t>±</m:t>
              </m:r>
              <m:r>
                <m:t>0.6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2.15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สูง (High)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64.0 mg/kg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61.6</m:t>
              </m:r>
              <m:r>
                <m:rPr>
                  <m:sty m:val="p"/>
                </m:rPr>
                <m:t>±</m:t>
              </m:r>
              <m:r>
                <m:t>1.2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</w:tbl>
    <w:p>
      <w:pPr>
        <w:pStyle w:val="BodyText"/>
      </w:pPr>
      <w:r>
        <w:t xml:space="preserve">จากตารางที่ 4.2 พบว่า ค่าร้อยละความเอนเอียง (%Bias) ของไนโตรเจนทั้งหมดอยู่ในช่วงระหว่าง</w:t>
      </w:r>
      <w:r>
        <w:t xml:space="preserve"> </w:t>
      </w:r>
      <m:oMath>
        <m:r>
          <m:rPr>
            <m:sty m:val="p"/>
          </m:rPr>
          <m:t>−</m:t>
        </m:r>
        <m:r>
          <m:t>1.35</m:t>
        </m:r>
        <m:r>
          <m:rPr>
            <m:sty m:val="p"/>
          </m:rPr>
          <m:t>%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rPr>
            <m:sty m:val="p"/>
          </m:rPr>
          <m:t>+</m:t>
        </m:r>
        <m:r>
          <m:t>2.35</m:t>
        </m:r>
        <m:r>
          <m:rPr>
            <m:sty m:val="p"/>
          </m:rPr>
          <m:t>%</m:t>
        </m:r>
      </m:oMath>
      <w:r>
        <w:t xml:space="preserve"> </w:t>
      </w:r>
      <w:r>
        <w:t xml:space="preserve">และฟอสฟอรัสที่เป็นประโยชน์อยู่ในช่วง</w:t>
      </w:r>
      <w:r>
        <w:t xml:space="preserve"> </w:t>
      </w:r>
      <m:oMath>
        <m:r>
          <m:rPr>
            <m:sty m:val="p"/>
          </m:rPr>
          <m:t>−</m:t>
        </m:r>
        <m:r>
          <m:t>3.75</m:t>
        </m:r>
        <m:r>
          <m:rPr>
            <m:sty m:val="p"/>
          </m:rPr>
          <m:t>%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rPr>
            <m:sty m:val="p"/>
          </m:rPr>
          <m:t>+</m:t>
        </m:r>
        <m:r>
          <m:t>3.33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ซึ่งทุกระดับความเข้มข้นมีค่าสัมบูรณ์ของความเอนเอียงต่ำกว่าเกณฑ์มาตรฐานร้อยละ 5 อย่างชัดเจน ยืนยันว่าชุดวิเคราะห์ที่พัฒนาขึ้นมีความแม่นยำสูง</w:t>
      </w:r>
    </w:p>
    <w:bookmarkEnd w:id="18"/>
    <w:bookmarkStart w:id="19" w:name="X7ab27c1bc8bad2e77d181e01c4d2836fc109078"/>
    <w:p>
      <w:pPr>
        <w:pStyle w:val="Heading3"/>
      </w:pPr>
      <w:r>
        <w:t xml:space="preserve">4.4.2 ผลการทดสอบความเที่ยงหรือสภาพทำซ้ำได้ (Precision / %RSD)</w:t>
      </w:r>
    </w:p>
    <w:p>
      <w:pPr>
        <w:pStyle w:val="FirstParagraph"/>
      </w:pPr>
      <w:r>
        <w:t xml:space="preserve">ทำการทดสอบสภาพทำซ้ำได้ (Repeatability) โดยนำตัวอย่างดินระดับปานกลางมาตรวจวัดซ้ำภายใต้สภาวะควบคุมเดียวกันจำนวน 11 ซ้ำ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) ผลการทดสอบแสดงในตารางที่ 4.3</w:t>
      </w:r>
    </w:p>
    <w:p>
      <w:pPr>
        <w:pStyle w:val="BodyText"/>
      </w:pPr>
      <w:r>
        <w:rPr>
          <w:b/>
          <w:bCs/>
        </w:rPr>
        <w:t xml:space="preserve">ตารางที่ 4.3 ผลการประเมินความเที่ยง (Precision) ของชุดวิเคราะห์แบบพกพาจากการวัดซ้ำ 11 ครั้ง (n = 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พารามิเตอร์ที่ตรวจวัด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 (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ส่วนเบี่ยงเบนมาตรฐาน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ส่วนเบี่ยงเบนมาตรฐานสัมพัทธ์ (%RSD)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เกณฑ์การประเมิน (%RSD &lt; 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ปริมาณไนโตรเจนทั้งหมด (Total N, 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1.62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 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2.35 %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ปริมาณฟอสฟอรัสที่เป็นประโยชน์ (Available P, mg/kg)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33.1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 mg/kg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2.84 %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</w:tbl>
    <w:p>
      <w:pPr>
        <w:pStyle w:val="BodyText"/>
      </w:pPr>
      <w:r>
        <w:t xml:space="preserve">ผลการประเมินความเที่ยงพบว่า ค่า %RSD ของไนโตรเจนทั้งหมดเท่ากับร้อยละ 2.35 และฟอสฟอรัสที่เป็นประโยชน์เท่ากับร้อยละ 2.84 ซึ่งมีค่าต่ำกว่าเกณฑ์ร้อยละ 5 อย่างมีนัยสำคัญ แสดงว่าชุดวิเคราะห์มีสภาพทำซ้ำได้ดีเยี่ยม ไม่มีความแปรปรวนของสัญญาณแสงและเซนเซอร์ตรวจวัด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e88f63962456404f901581c242c116de74a52c9"/>
    <w:p>
      <w:pPr>
        <w:pStyle w:val="Heading2"/>
      </w:pPr>
      <w:r>
        <w:t xml:space="preserve">4.5 ผลการทดสอบเปรียบเทียบในแปลงปลูกทุเรียนจริงและการวิเคราะห์สถิติทดสอบสมมติฐาน</w:t>
      </w:r>
    </w:p>
    <w:p>
      <w:pPr>
        <w:pStyle w:val="FirstParagraph"/>
      </w:pPr>
      <w:r>
        <w:t xml:space="preserve">เพื่อพิสูจน์การใช้งานได้จริงในแปลงเกษตรกรรม คณะผู้วิจัยได้นำชุดวิเคราะห์แบบพกพาไปทดสอบกับตัวอย่างดินสวนทุเรียนชุดขยายผลจำนวน 35 แปลง ในพื้นที่อำเภอมะขาม อำเภอท่าใหม่ จังหวัดจันทบุรี และอำเภอเขาสมิง จังหวัดตราด โดยนำผลการวัดด้วยชุดวิเคราะห์พกพามาเปรียบเทียบกับผลการวิเคราะห์ด้วยวิธีเคมีมาตรฐานห้องปฏิบัติการ (วิธี Kjeldahl สำหรับ N และวิธี Bray II สำหรับ P) ดังแสดงในตารางที่ 4.4</w:t>
      </w:r>
    </w:p>
    <w:p>
      <w:pPr>
        <w:pStyle w:val="BodyText"/>
      </w:pPr>
      <w:r>
        <w:rPr>
          <w:b/>
          <w:bCs/>
        </w:rPr>
        <w:t xml:space="preserve">ตารางที่ 4.4 ผลการเปรียบเทียบค่าวิเคราะห์ Total N และ Available P ระหว่างชุดวิเคราะห์แบบพกพากับวิธีมาตรฐานห้องปฏิบัติการ ในตัวอย่างดินสวนทุเรียน 35 แปลง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812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แหล่งที่มา (อำเภอ / จังหวัด)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N แล็บ (g/kg)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N ชุดพกพา (g/kg)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ผลต่าง N (g/kg)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Available P แล็บ (mg/kg)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Available P ชุดพกพา (mg/kg)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ผลต่าง P (mg/kg)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เฉลี่ย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1.674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1.676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-0.47</w:t>
            </w:r>
          </w:p>
        </w:tc>
      </w:tr>
    </w:tbl>
    <w:bookmarkStart w:id="21" w:name="X9854d97c2eb205255b429714e69c3b1557bba79"/>
    <w:p>
      <w:pPr>
        <w:pStyle w:val="Heading3"/>
      </w:pPr>
      <w:r>
        <w:t xml:space="preserve">4.5.2 ผลการวิเคราะห์สถิติทดสอบสมมติฐาน Paired Samples t-test</w:t>
      </w:r>
    </w:p>
    <w:p>
      <w:pPr>
        <w:pStyle w:val="FirstParagraph"/>
      </w:pPr>
      <w:r>
        <w:t xml:space="preserve">เมื่อนำผลต่างของค่าการตรวจวัดระหว่างชุดวิเคราะห์พกพากับวิธีมาตรฐานห้องปฏิบัติการ (</w:t>
      </w:r>
      <m:oMath>
        <m:r>
          <m:t>n</m:t>
        </m:r>
        <m:r>
          <m:rPr>
            <m:sty m:val="p"/>
          </m:rPr>
          <m:t>=</m:t>
        </m:r>
        <m:r>
          <m:t>35</m:t>
        </m:r>
      </m:oMath>
      <w:r>
        <w:t xml:space="preserve">) มาวิเคราะห์สถิติทดสอบ Paired Samples t-test ที่ระดับนัยสำคัญ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(ระดับความเชื่อมั่น 95%) ได้ผลการวิเคราะห์ดังแสดงในตารางที่ 4.5</w:t>
      </w:r>
    </w:p>
    <w:p>
      <w:pPr>
        <w:pStyle w:val="BodyText"/>
      </w:pPr>
      <w:r>
        <w:rPr>
          <w:b/>
          <w:bCs/>
        </w:rPr>
        <w:t xml:space="preserve">ตารางที่ 4.5 ผลการทดสอบ Paired Samples t-test ระหว่างชุดวิเคราะห์แบบพกพากับวิธีมาตรฐานห้องปฏิบัติการ (n = 35)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ค่าเฉลี่ยผลต่าง (</w:t>
            </w:r>
            <m:oMath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ส่วนเบี่ยงเบนมาตรฐาน (</w:t>
            </w:r>
            <m:oMath>
              <m:sSub>
                <m:e>
                  <m:r>
                    <m:t>s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ค่าสถิติคำนวณ (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stat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ค่าวิกฤต (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crit</m:t>
                  </m:r>
                </m:sub>
              </m:sSub>
            </m:oMath>
            <w:r>
              <w:t xml:space="preserve">, df=34)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ค่าความน่าจะเป็น (</w:t>
            </w:r>
            <m:oMath>
              <m:r>
                <m:t>p</m:t>
              </m:r>
              <m:r>
                <m:rPr>
                  <m:nor/>
                  <m:sty m:val="p"/>
                </m:rPr>
                <m:t>-value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ผลการตัดสินใจทางสถิติ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ไนโตรเจนทั้งหมด (Total N, g/kg)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0.0020</m:t>
              </m:r>
              <m:r>
                <m:rPr>
                  <m:nor/>
                  <m:sty m:val="p"/>
                </m:rPr>
                <m:t> 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0.0401</m:t>
              </m:r>
              <m:r>
                <m:rPr>
                  <m:nor/>
                  <m:sty m:val="p"/>
                </m:rPr>
                <m:t> 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ยอมรับ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ฟอสฟอรัสที่เป็นประโยชน์ (Available P, mg/kg)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0.4686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1.1685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-2.373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0.023*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มีความแตกต่างเชิงระบบเล็กน้อย</w:t>
            </w:r>
          </w:p>
        </w:tc>
      </w:tr>
    </w:tbl>
    <w:p>
      <w:pPr>
        <w:pStyle w:val="BodyText"/>
      </w:pPr>
      <w:r>
        <w:t xml:space="preserve">เมื่อพิจารณาผลการทดสอบ พบว่า สำหรับไนโตรเจนทั้งหมด ค่า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stat</m:t>
            </m:r>
          </m:sub>
        </m:sSub>
        <m:r>
          <m:rPr>
            <m:sty m:val="p"/>
          </m:rPr>
          <m:t>=</m:t>
        </m:r>
        <m:r>
          <m:t>0.295</m:t>
        </m:r>
      </m:oMath>
      <w:r>
        <w:t xml:space="preserve"> </w:t>
      </w:r>
      <w:r>
        <w:t xml:space="preserve">ซึ่งมีค่าน้อยกว่าค่าวิกฤต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crit</m:t>
            </m:r>
          </m:sub>
        </m:sSub>
        <m:r>
          <m:rPr>
            <m:sty m:val="p"/>
          </m:rPr>
          <m:t>=</m:t>
        </m:r>
        <m:r>
          <m:t>2.032</m:t>
        </m:r>
      </m:oMath>
      <w:r>
        <w:t xml:space="preserve"> </w:t>
      </w:r>
      <w:r>
        <w:t xml:space="preserve">อย่างมาก และมีค่า</w:t>
      </w:r>
      <w:r>
        <w:t xml:space="preserve"> </w:t>
      </w:r>
      <m:oMath>
        <m:r>
          <m:t>p</m:t>
        </m:r>
        <m:r>
          <m:rPr>
            <m:nor/>
            <m:sty m:val="p"/>
          </m:rPr>
          <m:t>-value</m:t>
        </m:r>
        <m:r>
          <m:rPr>
            <m:sty m:val="p"/>
          </m:rPr>
          <m:t>=</m:t>
        </m:r>
        <m:r>
          <m:t>0.770</m:t>
        </m:r>
      </m:oMath>
      <w:r>
        <w:t xml:space="preserve"> </w:t>
      </w:r>
      <w:r>
        <w:t xml:space="preserve">ซึ่งมากกว่า 0.05 จึงยอมรับสมมติฐานหลัก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อย่างชัดเจน สรุปได้ว่าค่าไนโตรเจนที่ตรวจวัดด้วยชุดพกพาไม่มีความแตกต่างจากวิธีเคจ์ลดาห์ลในห้องปฏิบัติการอย่างมีนัยสำคัญทางสถิติที่ระดับความเชื่อมั่น 95%</w:t>
      </w:r>
    </w:p>
    <w:p>
      <w:pPr>
        <w:pStyle w:val="BodyText"/>
      </w:pPr>
      <w:r>
        <w:t xml:space="preserve">สำหรับฟอสฟอรัสที่เป็นประโยชน์ แม้ค่าสถิติ</w:t>
      </w:r>
      <w:r>
        <w:t xml:space="preserve"> </w:t>
      </w:r>
      <m:oMath>
        <m:r>
          <m:t>p</m:t>
        </m:r>
        <m:r>
          <m:rPr>
            <m:nor/>
            <m:sty m:val="p"/>
          </m:rPr>
          <m:t>-value</m:t>
        </m:r>
        <m:r>
          <m:rPr>
            <m:sty m:val="p"/>
          </m:rPr>
          <m:t>=</m:t>
        </m:r>
        <m:r>
          <m:t>0.023</m:t>
        </m:r>
      </m:oMath>
      <w:r>
        <w:t xml:space="preserve"> </w:t>
      </w:r>
      <w:r>
        <w:t xml:space="preserve">จะแสดงความแตกต่างทางสถิติเล็กน้อยอันเนื่องมาจากแบบจำลองมีแนวโน้มทำนายต่ำกว่าค่าจริงเฉลี่ยเพียง</w:t>
      </w:r>
      <w:r>
        <w:t xml:space="preserve"> </w:t>
      </w:r>
      <m:oMath>
        <m:r>
          <m:rPr>
            <m:sty m:val="p"/>
          </m:rPr>
          <m:t>−</m:t>
        </m:r>
        <m:r>
          <m:t>0.47</m:t>
        </m:r>
        <m:r>
          <m:rPr>
            <m:nor/>
            <m:sty m:val="p"/>
          </m:rPr>
          <m:t> mg/kg</m:t>
        </m:r>
      </m:oMath>
      <w:r>
        <w:t xml:space="preserve"> </w:t>
      </w:r>
      <w:r>
        <w:t xml:space="preserve">ในช่วงความเข้มข้นสูง แต่เมื่อพิจารณาขนาดของผลต่างสัมพัทธ์พบว่าคิดเป็นความเอนเอียงเพียงร้อยละ</w:t>
      </w:r>
      <w:r>
        <w:t xml:space="preserve"> </w:t>
      </w:r>
      <m:oMath>
        <m:r>
          <m:rPr>
            <m:sty m:val="p"/>
          </m:rPr>
          <m:t>−</m:t>
        </m:r>
        <m:r>
          <m:t>1.26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ซึ่งต่ำกว่าเกณฑ์การยอมรับทางเคมีวิเคราะห์ที่ร้อยละ 5 อย่างมาก และเมื่อสร้างสมการถดถอยเชิงเส้นระหว่างผลการวัดทั้งสองวิธี ได้สมการดังนี้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ไนโตรเจนทั้งหมด:</w:t>
      </w:r>
      <w:r>
        <w:t xml:space="preserve"> </w:t>
      </w:r>
      <m:oMath>
        <m:sSub>
          <m:e>
            <m:r>
              <m:rPr>
                <m:nor/>
                <m:sty m:val="p"/>
              </m:rPr>
              <m:t>Total N</m:t>
            </m:r>
          </m:e>
          <m:sub>
            <m:r>
              <m:rPr>
                <m:nor/>
                <m:sty m:val="p"/>
              </m:rPr>
              <m:t>Kit</m:t>
            </m:r>
          </m:sub>
        </m:sSub>
        <m:r>
          <m:rPr>
            <m:sty m:val="p"/>
          </m:rPr>
          <m:t>=</m:t>
        </m:r>
        <m:r>
          <m:t>0.985</m:t>
        </m:r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Total N</m:t>
            </m:r>
          </m:e>
          <m:sub>
            <m:r>
              <m:rPr>
                <m:nor/>
                <m:sty m:val="p"/>
              </m:rPr>
              <m:t>Lab</m:t>
            </m:r>
          </m:sub>
        </m:sSub>
        <m:r>
          <m:rPr>
            <m:sty m:val="p"/>
          </m:rPr>
          <m:t>+</m:t>
        </m:r>
        <m:r>
          <m:t>0.027</m:t>
        </m:r>
        <m:r>
          <m:t> 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0.993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ฟอสฟอรัสที่เป็นประโยชน์:</w:t>
      </w:r>
      <w:r>
        <w:t xml:space="preserve"> </w:t>
      </w:r>
      <m:oMath>
        <m:sSub>
          <m:e>
            <m:r>
              <m:rPr>
                <m:nor/>
                <m:sty m:val="p"/>
              </m:rPr>
              <m:t>Available P</m:t>
            </m:r>
          </m:e>
          <m:sub>
            <m:r>
              <m:rPr>
                <m:nor/>
                <m:sty m:val="p"/>
              </m:rPr>
              <m:t>Kit</m:t>
            </m:r>
          </m:sub>
        </m:sSub>
        <m:r>
          <m:rPr>
            <m:sty m:val="p"/>
          </m:rPr>
          <m:t>=</m:t>
        </m:r>
        <m:r>
          <m:t>0.972</m:t>
        </m:r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Available P</m:t>
            </m:r>
          </m:e>
          <m:sub>
            <m:r>
              <m:rPr>
                <m:nor/>
                <m:sty m:val="p"/>
              </m:rPr>
              <m:t>Lab</m:t>
            </m:r>
          </m:sub>
        </m:sSub>
        <m:r>
          <m:rPr>
            <m:sty m:val="p"/>
          </m:rPr>
          <m:t>+</m:t>
        </m:r>
        <m:r>
          <m:t>0.568</m:t>
        </m:r>
        <m:r>
          <m:t> 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0.995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0.001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ค่าสัมประสิทธิ์การตัดสินใจที่สูงกว่า 0.99 ยืนยันความสัมพันธ์เชิงเส้นที่มีความสอดคล้องกันอย่างสมบูรณ์ และการวิเคราะห์ขีดจำกัดความสอดคล้องแบลนด์-อัลต์แมน (Bland-Altman 95% Limits of Agreement) พบว่า ตัวอย่างดินมากกว่าร้อยละ 94.3 (33 จาก 35 ตัวอย่าง) ตกอยู่ภายในช่วง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แสดงว่าชุดวิเคราะห์แบบพกพาสามารถใช้ทดแทนวิธีมาตรฐานห้องปฏิบัติการในการประเมินดินภาคสนามได้อย่างมั่นใจ</w:t>
      </w:r>
    </w:p>
    <w:bookmarkEnd w:id="21"/>
    <w:bookmarkStart w:id="22" w:name="X615e455e74ed11d575596ec86f34f3ae21fc228"/>
    <w:p>
      <w:pPr>
        <w:pStyle w:val="Heading3"/>
      </w:pPr>
      <w:r>
        <w:t xml:space="preserve">4.5.3 ผลการประเมินความสอดคล้องเชิงกลุ่มเปรียบเทียบกับชุดตรวจสอบดินภาคสนามเชิงเคมี</w:t>
      </w:r>
    </w:p>
    <w:p>
      <w:pPr>
        <w:pStyle w:val="FirstParagraph"/>
      </w:pPr>
      <w:r>
        <w:t xml:space="preserve">เมื่อนำผลการทำนายเชิงตัวเลขจากระบบต้นแบบมาแปลงเป็นระดับคุณภาพดิน 5 ระดับ (ต่ำมาก ต่ำ ปานกลาง สูง สูงมาก) ตามสถาปัตยกรรม Dual-Mode Output แล้วนำไปเปรียบเทียบกับผลการอ่านแถบสีด้วยสายตาของผู้เชี่ยวชาญจากชุดตรวจสอบดินกรมพัฒนาที่ดิน (LDD Test Kit) และชุดตรวจสอบ LaMotte STH Series ในตัวอย่างดินแปลงปลูกจริงทั้ง 35 แปลง พบผลสัมฤทธิ์ดังนี้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ความสอดคล้องเชิงกลุ่มของการจำแนก (Categorical Agreement)</w:t>
      </w:r>
      <w:r>
        <w:t xml:space="preserve"> </w:t>
      </w:r>
      <w:r>
        <w:t xml:space="preserve">ระบบต้นแบบให้ผลการจัดกลุ่มระดับคุณภาพดินตรงกับชุดตรวจสอบทางเคมีมาตรฐานถึง 33 จาก 35 แปลง คิดเป็นความสอดคล้องสูงถึงร้อยละ 94.3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การขจัดปัญหาความไม่แน่นอนบริเวณรอยต่อระดับ (Borderline Ambiguity)</w:t>
      </w:r>
      <w:r>
        <w:t xml:space="preserve"> </w:t>
      </w:r>
      <w:r>
        <w:t xml:space="preserve">ในตัวอย่างดิน 2 แปลงที่ผลการจำแนกแตกต่างกัน พบว่าเป็นตัวอย่างดินที่มีความเข้มข้นของฟอสฟอรัสคาบเกี่ยวอยู่บนเส้นแบ่งระหว่างระดับ</w:t>
      </w:r>
      <w:r>
        <w:t xml:space="preserve"> </w:t>
      </w:r>
      <w:r>
        <w:t xml:space="preserve">“ปานกลาง”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“สูง”</w:t>
      </w:r>
      <w:r>
        <w:t xml:space="preserve"> </w:t>
      </w:r>
      <w:r>
        <w:t xml:space="preserve">(29.5 mg/kg และ 31.2 mg/kg ตามลำดับ) ซึ่งการอ่านแถบสีทางเคมีด้วยสายตาของมนุษย์เกิดความผันแปรระหว่างผู้ประเมินเนื่องจากความล้าของสายตาและเฉดสีน้ำเงินที่ใกล้เคียงกันมาก ขณะที่ระบบสะท้อนแสงเชิงแสงร่วมกับ TinyML สามารถรายงานค่าตัวเลขที่ชัดเจนและจำแนกกลุ่มได้อย่างเที่ยงตรง ปราศจากอัตวิสัยของมนุษย์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การยอมรับของเกษตรกรต่อการแสดงผลแบบ Dual-Mode</w:t>
      </w:r>
      <w:r>
        <w:t xml:space="preserve"> </w:t>
      </w:r>
      <w:r>
        <w:t xml:space="preserve">เกษตรกรผู้ร่วมทดสอบร้อยละ 100 ระบุว่าการมีแถบสีดิจิทัล (Digital Color Badge Chip) แสดงเคียงข้างตัวเลขความเข้มข้นเชิงวิศวกรรม ช่วยให้เข้าใจสถานะความอุดมสมบูรณ์ของดินในแปลงได้ทันทีเช่นเดียวกับการใช้ชุดทดสอบเคมีดั้งเดิม แต่ได้รับความสะดวกและรวดเร็วกว่าโดยไม่ต้องสัมผัสกับสารเคมีอันตราย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a0caf25b8180764d03d9ee6fb470bd8d8b4394c"/>
    <w:p>
      <w:pPr>
        <w:pStyle w:val="Heading2"/>
      </w:pPr>
      <w:r>
        <w:t xml:space="preserve">4.6 การอภิปรายผลการวิจัยเชิงลึกและคุณค่าทางการเกษตรแม่นยำ</w:t>
      </w:r>
    </w:p>
    <w:bookmarkStart w:id="24" w:name="การอภปรายผลเชงฟสกสทศนศาสตรและเคมวเคราะห"/>
    <w:p>
      <w:pPr>
        <w:pStyle w:val="Heading3"/>
      </w:pPr>
      <w:r>
        <w:t xml:space="preserve">4.6.1 การอภิปรายผลเชิงฟิสิกส์ทัศนศาสตร์และเคมีวิเคราะห์</w:t>
      </w:r>
    </w:p>
    <w:p>
      <w:pPr>
        <w:pStyle w:val="FirstParagraph"/>
      </w:pPr>
      <w:r>
        <w:t xml:space="preserve">ความสำเร็จของชุดวิเคราะห์แบบพกพาในงานวิจัยนี้ เกิดจากการบูรณาการที่ลงตัวระหว่างฟิสิกส์เชิงหลักการแรก (First-Principles Physics) และวิศวกรรมการออกแบบ โดยมีปัจจัยสนับสนุนสำคัญ 3 ประการ ได้แก่</w:t>
      </w:r>
    </w:p>
    <w:p>
      <w:pPr>
        <w:pStyle w:val="BodyText"/>
      </w:pPr>
      <w:r>
        <w:t xml:space="preserve">ประการแรก การออกแบบกล่องทึบแสง (Dark Chamber) และระบบแสงพัลส์ตามลำดับ (Sequential Pulse) ช่วยกำจัดสัญญาณรบกวนหลัก 2 ประการที่เคยเป็นข้อจำกัดของงานวิจัยในอดีต (ดังที่ Kılıç et al., 2018 ได้ชี้ไว้) นั่นคือ ความผันผวนของแสงแวดล้อม และการรบกวนข้ามแถบคลื่น ทำให้สเปกตรัมที่บันทึกได้เป็นค่าการสะท้อนแสงแบบกระจาย (Diffuse Reflectance) ที่แท้จริง</w:t>
      </w:r>
    </w:p>
    <w:p>
      <w:pPr>
        <w:pStyle w:val="BodyText"/>
      </w:pPr>
      <w:r>
        <w:t xml:space="preserve">ประการที่สอง การแปลงสเปกตรัมด้วยทฤษฎีคูเบลกา-มังก์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ช่วยเปลี่ยนพฤติกรรมการสะท้อนแสงที่ซับซ้อนให้มีลักษณะเชิงสัดส่วนกับความเข้มข้นของพันธะดูดกลืนแสงในดิน ทำให้แบบจำลองปัญญาประดิษฐ์สามารถเรียนรู้รูปแบบความสัมพันธ์ได้ง่ายขึ้น โดยแถบคลื่น 465 และ 850 นาโนเมตร ตอบสนองต่อไนโตรเจนได้อย่างแม่นยำเนื่องจากตรงกับแถบดูดกลืนของสารประกอบฮิวมัสและโอเวอร์โทนของพันธะ</w:t>
      </w:r>
      <w:r>
        <w:t xml:space="preserve"> </w:t>
      </w:r>
      <m:oMath>
        <m:r>
          <m:rPr>
            <m:nor/>
            <m:sty m:val="p"/>
          </m:rPr>
          <m:t>N-H</m:t>
        </m:r>
      </m:oMath>
      <w:r>
        <w:t xml:space="preserve"> </w:t>
      </w:r>
      <w:r>
        <w:t xml:space="preserve">ขณะที่แถบ 525 และ 720 นาโนเมตร สัมพันธ์กับโครงสร้างสารประกอบเชิงซ้อนเหล็กฟอสเฟตในดินกรดภาคตะวันออก สอดคล้องกับข้อค้นพบของ Shin et al. (2025)</w:t>
      </w:r>
    </w:p>
    <w:p>
      <w:pPr>
        <w:pStyle w:val="BodyText"/>
      </w:pPr>
      <w:r>
        <w:t xml:space="preserve">ประการที่สาม การติดตั้งแถบความยาวคลื่น 940 นาโนเมตร เพื่อใช้เป็นแถบอ้างอิงชดเชยความชื้น (Moisture Reference Normalization) ช่วยลดอิทธิพลของน้ำในดิน ซึ่งเป็นตัวการสำคัญที่ทำให้การสะท้อนแสงผิดเพี้ยน ทำให้ชุดวิเคราะห์สามารถตรวจวัดดินที่มีความชื้นในแปลงปลูกจริงได้อย่างแม่นยำโดยไม่ต้องผ่านการอบแห้งในเตาอบที่ต้องใช้พลังงานสูง</w:t>
      </w:r>
    </w:p>
    <w:bookmarkEnd w:id="24"/>
    <w:bookmarkStart w:id="25" w:name="การเปรยบเทยบกบงานวจยในระดบสากล"/>
    <w:p>
      <w:pPr>
        <w:pStyle w:val="Heading3"/>
      </w:pPr>
      <w:r>
        <w:t xml:space="preserve">4.6.2 การเปรียบเทียบกับงานวิจัยในระดับสากล</w:t>
      </w:r>
    </w:p>
    <w:p>
      <w:pPr>
        <w:pStyle w:val="FirstParagraph"/>
      </w:pPr>
      <w:r>
        <w:t xml:space="preserve">เมื่อเปรียบเทียบกับงานวิจัยในระดับสากล เช่น งานวิจัยของ Mondal et al. (2025) ที่ใช้เครื่องสเปกโตรมิเตอร์ราคาแพงในห้องปฏิบัติการและได้ค่า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ของไนโตรเจนประมาณ 0.86 ถึง 0.89 ชุดวิเคราะห์แบบพกพาที่พัฒนาขึ้นในงานวิจัยนี้สามารถให้ค่า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สูงถึง 0.916 และ 0.993 บนชุดทดสอบภาคสนาม ด้วยต้นทุนฮาร์ดแวร์ที่ไม่เกิน 4,500 บาทต่อเครื่อง อีกทั้งเมื่อเทียบกับแอปพลิเคชัน GeaGrow ของ Folorunso et al. (2025) ซึ่งใช้ภาพถ่ายสมาร์ทโฟนโดยตรงโดยไม่มีกล่องควบคุมแสงและมีความคลาดเคลื่อนสูงเมื่อสภาพแสงเปลี่ยน ชุดวิเคราะห์แบบพกพาที่มีกล่อง Dark Chamber ในงานวิจัยนี้สามารถแก้ปัญหาดังกล่าวได้อย่างเด็ดขาด</w:t>
      </w:r>
    </w:p>
    <w:bookmarkEnd w:id="25"/>
    <w:bookmarkStart w:id="26" w:name="X28cd0ce8bd537402236fea9ef0a86b7c9bdc867"/>
    <w:p>
      <w:pPr>
        <w:pStyle w:val="Heading3"/>
      </w:pPr>
      <w:r>
        <w:t xml:space="preserve">4.6.3 คุณค่าทางเศรษฐกิจและการจัดการธาตุอาหารพืชอย่างยั่งยืน</w:t>
      </w:r>
    </w:p>
    <w:p>
      <w:pPr>
        <w:pStyle w:val="FirstParagraph"/>
      </w:pPr>
      <w:r>
        <w:t xml:space="preserve">การนำชุดวิเคราะห์นี้ไปประยุกต์ใช้ในการจัดการสวนทุเรียนในจังหวัดจันทบุรีและตราด จะช่วยปฏิวัติกระบวนการจัดการดินของเกษตรกร จากเดิมที่ต้องรอผลแล็บนาน 2 ถึง 4 สัปดาห์ และเสียค่าใช้จ่าย 1,000 ถึง 1,500 บาทต่อตัวอย่าง มาเป็นการตรวจวิเคราะห์ได้ทันทีในแปลงปลูกภายในเวลาไม่เกิน 5 นาทีต่อตัวอย่าง โดยมีต้นทุนต่อการทดสอบต่ำกว่า 5 บาท (เฉพาะค่าพลังงานไฟฟ้า)</w:t>
      </w:r>
    </w:p>
    <w:p>
      <w:pPr>
        <w:pStyle w:val="BodyText"/>
      </w:pPr>
      <w:r>
        <w:t xml:space="preserve">ข้อมูลเชิงปริมาณของ Total N และ Available P ที่ได้แบบทันท่วงที ช่วยให้เกษตรกรสามารถปรับเปลี่ยนสูตรปุ๋ยเคมีตามความต้องการที่แท้จริงของต้นทุเรียนในแต่ละระยะ เช่น การลดการใส่ปุ๋ยไนโตรเจนในระยะสะสมตาดอกเพื่อป้องกันการแตกใบอ่อน และการงดใส่ปุ๋ยฟอสฟอรัสในดินที่มีฟอสฟอรัสสะสมเกินเกณฑ์ ซึ่งคาดว่าจะช่วยลดต้นทุนค่าปุ๋ยเคมีของเกษตรกรลงได้ร้อยละ 15 ถึง 25 ต่อปี พร้อมทั้งช่วยปกป้องระบบนิเวศดินและแหล่งน้ำจากการชะล้างปุ๋ยส่วนเกิน สร้างความยั่งยืนให้แก่ภาคเกษตรกรรมของไทยอย่างเป็นรูปธรรม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2026-09-13T14:57:15Z</dcterms:created>
  <dcterms:modified xsi:type="dcterms:W3CDTF">2026-09-13T14:57:15Z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