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6.png" ContentType="image/png"/>
  <Override PartName="/word/media/rId2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4"/>
    <w:p>
      <w:pPr>
        <w:pStyle w:val="Heading1"/>
      </w:pPr>
      <w:r>
        <w:t xml:space="preserve">บทที่ 4</w:t>
      </w:r>
    </w:p>
    <w:bookmarkEnd w:id="9"/>
    <w:bookmarkStart w:id="39" w:name="ผลการวจยและการอภปรายผล"/>
    <w:p>
      <w:pPr>
        <w:pStyle w:val="Heading1"/>
      </w:pPr>
      <w:r>
        <w:t xml:space="preserve">ผลการวิจัยและการอภิปรายผล</w:t>
      </w:r>
    </w:p>
    <w:p>
      <w:pPr>
        <w:pStyle w:val="FirstParagraph"/>
      </w:pPr>
      <w:r>
        <w:t xml:space="preserve">การวิจัยเรื่อง</w:t>
      </w:r>
      <w:r>
        <w:t xml:space="preserve"> </w:t>
      </w:r>
      <w: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”</w:t>
      </w:r>
      <w:r>
        <w:t xml:space="preserve"> </w:t>
      </w:r>
      <w:r>
        <w:t xml:space="preserve">มีผลการดำเนินงานวิจัยและการทดลองทั้งในระดับห้องปฏิบัติการเคมีวิเคราะห์ และการทดสอบภาคสนามในแปลงเพาะปลูกทุเรียนจริงในเขตพื้นที่ภาคตะวันออก โดยคณะผู้วิจัยขอนำเสนอผลการวิจัยและการอภิปรายผลออกเป็น 7 ส่วนหลัก ดังนี้</w:t>
      </w:r>
    </w:p>
    <w:p>
      <w:pPr>
        <w:pStyle w:val="BodyText"/>
      </w:pPr>
      <w:r>
        <w:t xml:space="preserve">4.1 ผลการพัฒนาชุดทดสอบภาคสนามและระบบฮาร์ดแวร์ต้นแบบ</w:t>
      </w:r>
      <w:r>
        <w:br/>
      </w:r>
      <w:r>
        <w:t xml:space="preserve">4.2 ผลการออกแบบและพัฒนาส่วนต่อประสานผู้ใช้ Cyber Dashboard UI</w:t>
      </w:r>
      <w:r>
        <w:br/>
      </w:r>
      <w:r>
        <w:t xml:space="preserve">4.3 ผลการวิเคราะห์ชุดข้อมูลความสัมพันธ์ระหว่างตัวแปรเคมีไฟฟ้าและอุณหภูมิ</w:t>
      </w:r>
      <w:r>
        <w:br/>
      </w:r>
      <w:r>
        <w:t xml:space="preserve">4.4 ผลการฝึกสอนและประเมินประสิทธิภาพโมเดลปัญญาประดิษฐ์ Edge TinyML</w:t>
      </w:r>
      <w:r>
        <w:br/>
      </w:r>
      <w:r>
        <w:t xml:space="preserve">4.5 ผลการทดสอบความใช้ได้ของวิธีในห้องปฏิบัติการ (Laboratory Method Validation)</w:t>
      </w:r>
      <w:r>
        <w:br/>
      </w:r>
      <w:r>
        <w:t xml:space="preserve">4.6 ผลการทดสอบภาคสนามในแปลงสวนทุเรียนจริงและการเปรียบเทียบทางสถิติ</w:t>
      </w:r>
      <w:r>
        <w:br/>
      </w:r>
      <w:r>
        <w:t xml:space="preserve">4.7 การอภิปรายผลการวิจัย (Discussion)</w:t>
      </w:r>
    </w:p>
    <w:p>
      <w:r>
        <w:pict>
          <v:rect style="width:0;height:1.5pt" o:hralign="center" o:hrstd="t" o:hr="t"/>
        </w:pict>
      </w:r>
    </w:p>
    <w:bookmarkStart w:id="15" w:name="Xc0a0a31f68099260c8342f08076c1514c03608a"/>
    <w:p>
      <w:pPr>
        <w:pStyle w:val="Heading2"/>
      </w:pPr>
      <w:r>
        <w:t xml:space="preserve">4.1 ผลการพัฒนาชุดทดสอบภาคสนามและระบบฮาร์ดแวร์ต้นแบบ</w:t>
      </w:r>
    </w:p>
    <w:p>
      <w:pPr>
        <w:pStyle w:val="FirstParagraph"/>
      </w:pPr>
      <w:r>
        <w:t xml:space="preserve">คณะผู้วิจัยประสบความสำเร็จในการพัฒนาชุดทดสอบค่าความเป็นกรด-ด่างของดินแบบพกพาภาคสนามความแม่นยำสูง (Handheld High-Precision Field Soil Test Kit) โดยมีลักษณะทางกายภาพ วงจรอิเล็กทรอนิกส์ และสมรรถนะการทำงานของระบบฮาร์ดแวร์ ดังนี้</w:t>
      </w:r>
    </w:p>
    <w:bookmarkStart w:id="13" w:name="โครงสรางตวเครองและกลองบรรจภณฑภาคสนาม"/>
    <w:p>
      <w:pPr>
        <w:pStyle w:val="Heading3"/>
      </w:pPr>
      <w:r>
        <w:t xml:space="preserve">4.1.1 โครงสร้างตัวเครื่องและกล่องบรรจุภัณฑ์ภาคสนาม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ตัวเครื่องภายนอก (Handheld Enclosure):</w:t>
      </w:r>
      <w:r>
        <w:t xml:space="preserve"> </w:t>
      </w:r>
      <w:r>
        <w:t xml:space="preserve">ขึ้นรูปด้วยพลาสติกวิศวกรรมชนิด Acrylonitrile Butadiene Styrene (ABS) มีความแข็งแรงทนทานต่อน้ำ สารเคมี และแรงกระแทก ขนาดของตัวเครื่องมีความกะทัดรัด กว้าง 90 มิลลิเมตร ยาว 145 มิลลิเมตร และหนา 40 มิลลิเมตร น้ำหนักรวมแบตเตอรี่และวงจรภายในอยู่ที่ 380 กรัม ได้รับการออกแบบตามหลักสรีรศาสตร์ (Ergonomics) ให้มีส่วนเว้ากระชับมือและยางกันลื่นรอบขอบเครื่อง สะดวกต่อการพกพาและใช้งานด้วยมือเดียวในสวนผลไม้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การป้องกันละอองน้ำและฝุ่นละออง:</w:t>
      </w:r>
      <w:r>
        <w:t xml:space="preserve"> </w:t>
      </w:r>
      <w:r>
        <w:t xml:space="preserve">พอร์ตเชื่อมต่อโพรบวัดดินใช้ขั้วต่อแบบ Aviation Connector ชนิดกันน้ำมาตรฐาน IP67 พร้อมฝาปิดซิลิโคนสำหรับพอร์ตชาร์จ USB Type-C และสวิตช์เปิด-ปิดแบบกลไกกันฝุ่น</w:t>
      </w:r>
    </w:p>
    <w:p>
      <w:pPr>
        <w:pStyle w:val="FirstParagraph"/>
      </w:pPr>
      <w:r>
        <w:t xml:space="preserve">ชุดทดสอบค่าความเป็นกรด-ด่างของดินแบบพกพาภาคสนามต้นแบบสมบูรณ์แสดงดังภาพที่ 4.1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ภาพที่ 4.1 ชุดทดสอบค่าความเป็นกรด-ด่างของดินแบบพกพาภาคสนามต้นแบบสมบูรณ์ พร้อมโพรบวัดดิน 7-in-1" title="" id="11" name="Picture"/>
            <a:graphic>
              <a:graphicData uri="http://schemas.openxmlformats.org/drawingml/2006/picture">
                <pic:pic>
                  <pic:nvPicPr>
                    <pic:cNvPr descr="figures/fig4_1_handheld_kit_prototyp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4.1 ชุดทดสอบค่าความเป็นกรด-ด่างของดินแบบพกพาภาคสนามต้นแบบสมบูรณ์ พร้อมโพรบวัดดิน 7-in-1</w:t>
      </w:r>
    </w:p>
    <w:bookmarkEnd w:id="13"/>
    <w:bookmarkStart w:id="14" w:name="Xe246078e732988c373348ef3ee38f172a536bd7"/>
    <w:p>
      <w:pPr>
        <w:pStyle w:val="Heading3"/>
      </w:pPr>
      <w:r>
        <w:t xml:space="preserve">4.1.2 สถาปัตยกรรมแผงวงจรประมวลผลและการจัดการพลังงาน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แผงวงจรควบคุมหลัก ATD3.5-S3:</w:t>
      </w:r>
      <w:r>
        <w:t xml:space="preserve"> </w:t>
      </w:r>
      <w:r>
        <w:t xml:space="preserve">ขับเคลื่อนด้วยโมดูลไมโครคอนโทรลเลอร์ ESP32-S3-WROOM-1 (32-bit Xtensa dual-core LX7 ที่ความเร็ว 240 MHz) พร้อม 512 KB SRAM, 8 MB Octal PSRAM และ 16 MB Flash Memory ทำงานร่วมกับชุดคำสั่งเวกเตอร์เพื่อเร่งความเร็วในการคำนวณโครงข่ายประสาทเทียม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แผงวงจรส่วนขยาย Farm1 Shield:</w:t>
      </w:r>
      <w:r>
        <w:t xml:space="preserve"> </w:t>
      </w:r>
      <w:r>
        <w:t xml:space="preserve">ทำหน้าที่เป็นอินเทอร์เฟซอุตสาหกรรม ประกอบด้วยไอซีแปลงสัญญาณ RS485 Transceiver (SP3485) พร้อมวงจรป้องกันแรงดันไฟกระชาก Transient Voltage Suppressor (TVS Diodes) และตัวต้านทานจับคู่อิมพีแดนซ์ (Termination Resistor) ขนาด</w:t>
      </w:r>
      <w:r>
        <w:t xml:space="preserve"> </w:t>
      </w:r>
      <m:oMath>
        <m:r>
          <m:t>120</m:t>
        </m:r>
        <m:r>
          <m:t> </m:t>
        </m:r>
        <m:r>
          <m:rPr>
            <m:sty m:val="p"/>
          </m:rPr>
          <m:t>Ω</m:t>
        </m:r>
      </m:oMath>
      <w:r>
        <w:t xml:space="preserve"> </w:t>
      </w:r>
      <w:r>
        <w:t xml:space="preserve">ทำให้สามารถส่งสัญญาณคำสั่งและรับค่าข้อมูลจากโพรบวัดดินได้อย่างมีเสถียรภาพสูงสุด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ระบบพลังงานพกพา (Power Management System):</w:t>
      </w:r>
      <w:r>
        <w:t xml:space="preserve"> </w:t>
      </w:r>
      <w:r>
        <w:t xml:space="preserve">ใช้พลังงานจากแบตเตอรี่ลิเธียมโพลิเมอร์ (Li-Po) ขนาดแรงดัน</w:t>
      </w:r>
      <w:r>
        <w:t xml:space="preserve"> </w:t>
      </w:r>
      <m:oMath>
        <m:r>
          <m:t>3.7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ความจุ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500</m:t>
        </m:r>
        <m:r>
          <m:rPr>
            <m:nor/>
            <m:sty m:val="p"/>
          </m:rPr>
          <m:t> mAh</m:t>
        </m:r>
      </m:oMath>
      <w:r>
        <w:t xml:space="preserve"> </w:t>
      </w:r>
      <w:r>
        <w:t xml:space="preserve">ควบคุมการประจุไฟฟ้าด้วยชิป TP4056 พร้อมวงจรป้องกันแรงดันเกินและกระแสลัดวงจร จากการทดสอบอัตราการใช้พลังงานในสภาวะการทำงานต่างๆ พบข้อมูลดังแสดงในตารางที่ 4.1</w:t>
      </w:r>
    </w:p>
    <w:p>
      <w:pPr>
        <w:pStyle w:val="FirstParagraph"/>
      </w:pPr>
      <w:r>
        <w:rPr>
          <w:b/>
          <w:bCs/>
        </w:rPr>
        <w:t xml:space="preserve">ตารางที่ 4.1 ผลการทดสอบอัตราการบริโภคพลังงานและระยะเวลาใช้งานของชุดทดสอบภาคสนาม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สภาวะการทำงานของระบบ (Operating Mode)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แรงดันไฟฟ้า 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กระแสไฟฟ้าเฉลี่ย (mA)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กำลังไฟฟ้า (mW)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ระยะเวลาใช้งานต่อเนื่อง (ชั่วโมง)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สแตนด์บายปิดหน้าจอ (Deep Sleep Mode)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2,500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เปิดหน้าจอสแตนด์บาย (Idle Display Mode)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463.98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19.9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อ่านค่า Modbus RTU ต่อเนื่อง (Continuous Sensing)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602.36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15.3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ประมวลผลเต็มรูปแบบ (Active AI Prediction &amp; UI)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682.65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13.5 ชั่วโมง</w:t>
            </w:r>
          </w:p>
        </w:tc>
      </w:tr>
    </w:tbl>
    <w:p>
      <w:pPr>
        <w:pStyle w:val="BodyText"/>
      </w:pPr>
      <w:r>
        <w:t xml:space="preserve">จากผลการทดลองในตารางที่ 4.1 แสดงให้เห็นว่า ในสภาวะประมวลผลเต็มรูปแบบที่มีการอ่านสัญญาณจากโพรบ รันโมเดลปัญญาประดิษฐ์ชดเชยค่าความคลาดเคลื่อน และเรนเดอร์หน้าจอความละเอียดสูงพร้อมกัน ระบบใช้กระแสไฟฟ้าเฉลี่ยเพียง</w:t>
      </w:r>
      <w:r>
        <w:t xml:space="preserve"> </w:t>
      </w:r>
      <m:oMath>
        <m:r>
          <m:t>184.50</m:t>
        </m:r>
        <m:r>
          <m:rPr>
            <m:nor/>
            <m:sty m:val="p"/>
          </m:rPr>
          <m:t> mA</m:t>
        </m:r>
      </m:oMath>
      <w:r>
        <w:t xml:space="preserve"> </w:t>
      </w:r>
      <w:r>
        <w:t xml:space="preserve">ทำให้แบตเตอรี่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500</m:t>
        </m:r>
        <m:r>
          <m:rPr>
            <m:nor/>
            <m:sty m:val="p"/>
          </m:rPr>
          <m:t> mAh</m:t>
        </m:r>
      </m:oMath>
      <w:r>
        <w:t xml:space="preserve"> </w:t>
      </w:r>
      <w:r>
        <w:t xml:space="preserve">สามารถจ่ายพลังงานให้เครื่องทำงานต่อเนื่องได้ยาวนานถึง</w:t>
      </w:r>
      <w:r>
        <w:t xml:space="preserve"> </w:t>
      </w:r>
      <w:r>
        <w:rPr>
          <w:b/>
          <w:bCs/>
        </w:rPr>
        <w:t xml:space="preserve">13.5 ชั่วโมง</w:t>
      </w:r>
      <w:r>
        <w:t xml:space="preserve"> </w:t>
      </w:r>
      <w:r>
        <w:t xml:space="preserve">ซึ่งครอบคลุมการปฏิบัติงานภาคสนามของเกษตรกรตลอดทั้งวันได้อย่างสมบูรณ์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6c1f69b4a3fbe0f81ce56df0d749170dd148b8d"/>
    <w:p>
      <w:pPr>
        <w:pStyle w:val="Heading2"/>
      </w:pPr>
      <w:r>
        <w:t xml:space="preserve">4.2 ผลการออกแบบและพัฒนาส่วนต่อประสานผู้ใช้ Cyber Dashboard UI</w:t>
      </w:r>
    </w:p>
    <w:p>
      <w:pPr>
        <w:pStyle w:val="FirstParagraph"/>
      </w:pPr>
      <w:r>
        <w:t xml:space="preserve">การแสดงผลค่าการตรวจวัดได้รับการออกแบบบนจอแสดงผลสีชนิด IPS ขนาด 3.5 นิ้ว ความละเอียด</w:t>
      </w:r>
      <w:r>
        <w:t xml:space="preserve"> </w:t>
      </w:r>
      <m:oMath>
        <m:r>
          <m:t>480</m:t>
        </m:r>
        <m:r>
          <m:rPr>
            <m:sty m:val="p"/>
          </m:rPr>
          <m:t>×</m:t>
        </m:r>
        <m:r>
          <m:t>320</m:t>
        </m:r>
      </m:oMath>
      <w:r>
        <w:t xml:space="preserve"> </w:t>
      </w:r>
      <w:r>
        <w:t xml:space="preserve">พิกเซล ควบคุมการเรนเดอร์ด้วยไลบรารี LovyanGFX ซึ่งมีความสามารถในการวาดกราฟิกเวกเตอร์สองมิติได้รวดเร็วที่อัตราเฟรมสูง (60 FPS) โดยออกแบบในสไตล์</w:t>
      </w:r>
      <w:r>
        <w:t xml:space="preserve"> </w:t>
      </w:r>
      <w:r>
        <w:rPr>
          <w:b/>
          <w:bCs/>
        </w:rPr>
        <w:t xml:space="preserve">Cyber Dashboard UI</w:t>
      </w:r>
      <w:r>
        <w:t xml:space="preserve"> </w:t>
      </w:r>
      <w:r>
        <w:t xml:space="preserve">เพื่อให้อ่านค่าง่าย ชัดเจน และมีลำดับชั้นของข้อมูลที่เหมาะสม ดังแสดงในภาพที่ 4.2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ภาพที่ 4.2 ส่วนต่อประสานผู้ใช้ Cyber Dashboard UI บนจอแสดงผลสี IPS ขนาด 3.5 นิ้ว แสดงผลค่า pH ชดเชยด้วยปัญญาประดิษฐ์และพารามิเตอร์ดิน 7 ค่า" title="" id="17" name="Picture"/>
            <a:graphic>
              <a:graphicData uri="http://schemas.openxmlformats.org/drawingml/2006/picture">
                <pic:pic>
                  <pic:nvPicPr>
                    <pic:cNvPr descr="figures/fig4_2_cyber_dashboard_displa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4.2 ส่วนต่อประสานผู้ใช้ Cyber Dashboard UI บนจอแสดงผลสี IPS ขนาด 3.5 นิ้ว แสดงผลค่า pH ชดเชยด้วยปัญญาประดิษฐ์และพารามิเตอร์ดิน 7 ค่า</w:t>
      </w:r>
    </w:p>
    <w:bookmarkStart w:id="19" w:name="สวนประกอบโครงสรางหนาจอ-cyber-dashboard"/>
    <w:p>
      <w:pPr>
        <w:pStyle w:val="Heading3"/>
      </w:pPr>
      <w:r>
        <w:t xml:space="preserve">4.2.1 ส่วนประกอบโครงสร้างหน้าจอ Cyber Dashboard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แถบสถานะส่วนบน (Top Status Bar):</w:t>
      </w:r>
      <w:r>
        <w:t xml:space="preserve"> </w:t>
      </w:r>
      <w:r>
        <w:t xml:space="preserve">แสดงข้อมูลสถานะระบบ ได้แก่</w:t>
      </w:r>
    </w:p>
    <w:p>
      <w:pPr>
        <w:pStyle w:val="Compact"/>
        <w:numPr>
          <w:ilvl w:val="1"/>
          <w:numId w:val="1004"/>
        </w:numPr>
      </w:pPr>
      <w:r>
        <w:t xml:space="preserve">สัญลักษณ์การเชื่อมต่อเครือข่ายไร้สาย (WiFi Connected / Offline Mode)</w:t>
      </w:r>
    </w:p>
    <w:p>
      <w:pPr>
        <w:pStyle w:val="Compact"/>
        <w:numPr>
          <w:ilvl w:val="1"/>
          <w:numId w:val="1004"/>
        </w:numPr>
      </w:pPr>
      <w:r>
        <w:t xml:space="preserve">แถบความแรงของสัญญาณวิทยุ (Signal Strength Bars 4 ระดับ)</w:t>
      </w:r>
    </w:p>
    <w:p>
      <w:pPr>
        <w:pStyle w:val="Compact"/>
        <w:numPr>
          <w:ilvl w:val="1"/>
          <w:numId w:val="1004"/>
        </w:numPr>
      </w:pPr>
      <w:r>
        <w:t xml:space="preserve">เวลาจริงของระบบ (Real-Time Clock: RTC) รูปแบบ HH:MM:SS</w:t>
      </w:r>
    </w:p>
    <w:p>
      <w:pPr>
        <w:pStyle w:val="Compact"/>
        <w:numPr>
          <w:ilvl w:val="1"/>
          <w:numId w:val="1004"/>
        </w:numPr>
      </w:pPr>
      <w:r>
        <w:t xml:space="preserve">ไอคอนแสดงระดับพลังงานแบตเตอรี่ พร้อมตัวเลขเปอร์เซ็นต์แรงดันไฟฟ้าคงเหลือ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การ์ดแสดงผลค่าความเป็นกรด-ด่างของดิน (Main Soil pH HUD Card):</w:t>
      </w:r>
    </w:p>
    <w:p>
      <w:pPr>
        <w:pStyle w:val="Compact"/>
        <w:numPr>
          <w:ilvl w:val="1"/>
          <w:numId w:val="1005"/>
        </w:numPr>
      </w:pPr>
      <w:r>
        <w:t xml:space="preserve">เป็นการ์ดขนาดใหญ่พิเศษ วางตำแหน่งกึ่งกลางด้านบนของหน้าจอ แสดงผลตัวเลขค่า pH ที่ผ่านการชดเชยด้วยโมเดลปัญญาประดิษฐ์แล้วอย่างเด่นชัดด้วยขนาดตัวอักษร 48 พอยต์ พร้อมทศนิยม 2 ตำแหน่ง</w:t>
      </w:r>
    </w:p>
    <w:p>
      <w:pPr>
        <w:pStyle w:val="Compact"/>
        <w:numPr>
          <w:ilvl w:val="1"/>
          <w:numId w:val="1005"/>
        </w:numPr>
      </w:pPr>
      <w:r>
        <w:t xml:space="preserve">มีระบบไฟสัญลักษณ์เปลี่ยนสีตามระดับความเป็นกรด-ด่างที่เหมาะสมต่อการปลูกทุเรียน: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สีเขียวนีออน (#00FF66 - Optimal Range):</w:t>
      </w:r>
      <w:r>
        <w:t xml:space="preserve"> </w:t>
      </w:r>
      <w:r>
        <w:t xml:space="preserve">เมื่อค่า pH อยู่ในช่วง</w:t>
      </w:r>
      <w:r>
        <w:t xml:space="preserve"> </w:t>
      </w:r>
      <m:oMath>
        <m:r>
          <m:t>5.50</m:t>
        </m:r>
        <m:r>
          <m:rPr>
            <m:sty m:val="p"/>
          </m:rPr>
          <m:t>−</m:t>
        </m:r>
        <m:r>
          <m:t>6.50</m:t>
        </m:r>
      </m:oMath>
      <w:r>
        <w:t xml:space="preserve"> </w:t>
      </w:r>
      <w:r>
        <w:t xml:space="preserve">พร้อมข้อความกำกับ</w:t>
      </w:r>
      <w:r>
        <w:t xml:space="preserve"> </w:t>
      </w:r>
      <w:r>
        <w:t xml:space="preserve">“SOIL HEALTH: OPTIMAL”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สีเหลืองอำพัน (#FFB700 - Moderate Warning):</w:t>
      </w:r>
      <w:r>
        <w:t xml:space="preserve"> </w:t>
      </w:r>
      <w:r>
        <w:t xml:space="preserve">เมื่อค่า pH อยู่ในช่วง</w:t>
      </w:r>
      <w:r>
        <w:t xml:space="preserve"> </w:t>
      </w:r>
      <m:oMath>
        <m:r>
          <m:t>5.00</m:t>
        </m:r>
        <m:r>
          <m:rPr>
            <m:sty m:val="p"/>
          </m:rPr>
          <m:t>−</m:t>
        </m:r>
        <m:r>
          <m:t>5.49</m:t>
        </m:r>
      </m:oMath>
      <w:r>
        <w:t xml:space="preserve"> </w:t>
      </w:r>
      <w:r>
        <w:t xml:space="preserve">หรือ</w:t>
      </w:r>
      <w:r>
        <w:t xml:space="preserve"> </w:t>
      </w:r>
      <m:oMath>
        <m:r>
          <m:t>6.51</m:t>
        </m:r>
        <m:r>
          <m:rPr>
            <m:sty m:val="p"/>
          </m:rPr>
          <m:t>−</m:t>
        </m:r>
        <m:r>
          <m:t>7.00</m:t>
        </m:r>
      </m:oMath>
      <w:r>
        <w:t xml:space="preserve"> </w:t>
      </w:r>
      <w:r>
        <w:t xml:space="preserve">พร้อมข้อความ</w:t>
      </w:r>
      <w:r>
        <w:t xml:space="preserve"> </w:t>
      </w:r>
      <w:r>
        <w:t xml:space="preserve">“MODERATE ACIDITY”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สีแดงสว่าง (#FF3344 - Severe Acidic Alert):</w:t>
      </w:r>
      <w:r>
        <w:t xml:space="preserve"> </w:t>
      </w:r>
      <w:r>
        <w:t xml:space="preserve">เมื่อค่า pH ต่ำกว่า</w:t>
      </w:r>
      <w:r>
        <w:t xml:space="preserve"> </w:t>
      </w:r>
      <m:oMath>
        <m:r>
          <m:t>5.00</m:t>
        </m:r>
      </m:oMath>
      <w:r>
        <w:t xml:space="preserve"> </w:t>
      </w:r>
      <w:r>
        <w:t xml:space="preserve">พร้อมข้อความแจ้งเตือน</w:t>
      </w:r>
      <w:r>
        <w:t xml:space="preserve"> </w:t>
      </w:r>
      <w:r>
        <w:t xml:space="preserve">“CRITICAL ACIDIC - DOLO/LIME REQUIRED”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การ์ดแสดงผลพารามิเตอร์สภาพแวดล้อมและธาตุอาหารดิน (Multivariable Grid Cards):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Soil Temperature Card:</w:t>
      </w:r>
      <w:r>
        <w:t xml:space="preserve"> </w:t>
      </w:r>
      <w:r>
        <w:t xml:space="preserve">แสดงอุณหภูมิดินวัดจริงจากโพรบ (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ควบคู่กับอุณหภูมิอากาศจาก Sensirion SHT45 พร้อมแสดงค่าความชันชดเชยเนิร์นสต์ (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) ในหน่วย mV/pH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Electrical Conductivity (EC) Card:</w:t>
      </w:r>
      <w:r>
        <w:t xml:space="preserve"> </w:t>
      </w:r>
      <w:r>
        <w:t xml:space="preserve">แสดงค่าสภาพนำไฟฟ้าของดินในหน่วย</w:t>
      </w:r>
      <w:r>
        <w:t xml:space="preserve"> </w:t>
      </w:r>
      <m:oMath>
        <m:r>
          <m:t>μ</m:t>
        </m:r>
        <m:r>
          <m:rPr>
            <m:nor/>
            <m:sty m:val="p"/>
          </m:rPr>
          <m:t>S/cm</m:t>
        </m:r>
      </m:oMath>
      <w:r>
        <w:t xml:space="preserve"> </w:t>
      </w:r>
      <w:r>
        <w:t xml:space="preserve">เพื่อใช้ประเมินความเค็มและปริมาณไอออนรบกวนในดิน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Soil Moisture Card:</w:t>
      </w:r>
      <w:r>
        <w:t xml:space="preserve"> </w:t>
      </w:r>
      <w:r>
        <w:t xml:space="preserve">แสดงร้อยละของความชื้นในดิน (% VWC)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N-P-K Stoichiometry Bar:</w:t>
      </w:r>
      <w:r>
        <w:t xml:space="preserve"> </w:t>
      </w:r>
      <w:r>
        <w:t xml:space="preserve">แสดงแถบกราฟิกแนวนอนระบุสัดส่วนสัมพัทธ์ของธาตุอาหารหลัก ไนโตรเจน (N), ฟอสฟอรัส (P), และโพแทสเซียม (K)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แถบปุ่มสัมผัสควบคุมการทำงานส่วนล่าง (Bottom Touch Navigation Bar):</w:t>
      </w:r>
      <w:r>
        <w:t xml:space="preserve"> </w:t>
      </w:r>
      <w:r>
        <w:t xml:space="preserve">ประกอบด้วยปุ่มกดขนาดใหญ่ 4 ปุ่ม ความสูง 42 พิกเซล ออกแบบให้มีระยะห่างในแนวตั้งอย่างสมดุล ได้แก่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[LIVE MONITOR]</w:t>
      </w:r>
      <w:r>
        <w:t xml:space="preserve"> </w:t>
      </w:r>
      <w:r>
        <w:t xml:space="preserve">เข้าสู่หน้าจอติดตามผลการวัดแบบเรียลไทม์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[CALIBRATE]</w:t>
      </w:r>
      <w:r>
        <w:t xml:space="preserve"> </w:t>
      </w:r>
      <w:r>
        <w:t xml:space="preserve">เข้าสู่กระบวนการเทียบมาตรฐานหัววัด 3 จุด (pH 4.01, 7.00, 10.01)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[DATA LOGS]</w:t>
      </w:r>
      <w:r>
        <w:t xml:space="preserve"> </w:t>
      </w:r>
      <w:r>
        <w:t xml:space="preserve">เรียกดูบันทึกประวัติข้อมูลการวัดย้อนหลังในหน่วยความจำ Flash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[SETTINGS]</w:t>
      </w:r>
      <w:r>
        <w:t xml:space="preserve"> </w:t>
      </w:r>
      <w:r>
        <w:t xml:space="preserve">ปรับแต่งการตั้งค่าระบบ ความสว่างหน้าจอ และการเชื่อมต่อ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15b9ffea8263bc4fa21a5d51f446e1c4032774d"/>
    <w:p>
      <w:pPr>
        <w:pStyle w:val="Heading2"/>
      </w:pPr>
      <w:r>
        <w:t xml:space="preserve">4.3 ผลการวิเคราะห์ชุดข้อมูลความสัมพันธ์ระหว่างตัวแปรเคมีไฟฟ้าและอุณหภูมิ</w:t>
      </w:r>
    </w:p>
    <w:p>
      <w:pPr>
        <w:pStyle w:val="FirstParagraph"/>
      </w:pPr>
      <w:r>
        <w:t xml:space="preserve">จากการทดลองเก็บรวบรวมข้อมูลสัญญาณดิบจากโพรบวัดดินสแตนเลส 316L และเซนเซอร์ Sensirion SHT45 ในสารละลายบัฟเฟอร์มาตรฐานอ้างอิง NIST-traceable จำนวน 3 ค่า (pH 4.01, 7.00, 10.01) ภายใต้การควบคุมอุณหภูมิอย่างแม่นยำด้วยอ่างควบคุมอุณหภูมิ (Water Bath) ในช่วง</w:t>
      </w:r>
      <w:r>
        <w:t xml:space="preserve"> </w:t>
      </w:r>
      <m:oMath>
        <m:r>
          <m:t>20.0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50.0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ได้ชุดข้อมูลทดลองรวมทั้งสิ้น 2,520 ตัวอย่าง โดยสรุปค่าเฉลี่ยของแรงเคลื่อนไฟฟ้าเคมี (</w:t>
      </w:r>
      <m:oMath>
        <m:r>
          <m:t>E</m:t>
        </m:r>
      </m:oMath>
      <w:r>
        <w:t xml:space="preserve">) และความชันของเซนเซอร์ได้ดังแสดงในตารางที่ 4.2</w:t>
      </w:r>
    </w:p>
    <w:p>
      <w:pPr>
        <w:pStyle w:val="BodyText"/>
      </w:pPr>
      <w:r>
        <w:rPr>
          <w:b/>
          <w:bCs/>
        </w:rPr>
        <w:t xml:space="preserve">ตารางที่ 4.2 ค่าแรงเคลื่อนไฟฟ้าเคมีเฉลี่ย (</w:t>
      </w:r>
      <m:oMath>
        <m:r>
          <m:t>E</m:t>
        </m:r>
        <m:r>
          <m:rPr>
            <m:sty m:val="p"/>
          </m:rPr>
          <m:t>±</m:t>
        </m:r>
        <m:r>
          <m:rPr>
            <m:nor/>
            <m:sty m:val="p"/>
          </m:rPr>
          <m:t>SD</m:t>
        </m:r>
      </m:oMath>
      <w:r>
        <w:rPr>
          <w:b/>
          <w:bCs/>
        </w:rPr>
        <w:t xml:space="preserve">, mV) ในสารละลายบัฟเฟอร์มาตรฐานที่อุณหภูมิต่างๆ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อุณหภูมิทดสอบ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บัฟเฟอร์มาตรฐาน pH 4.01 (</w:t>
            </w: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mV)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บัฟเฟอร์มาตรฐาน pH 7.00 (</w:t>
            </w: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mV)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บัฟเฟอร์มาตรฐาน pH 10.01 (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mV)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ความชันวัดจริง (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meas</m:t>
                  </m:r>
                </m:sub>
              </m:sSub>
            </m:oMath>
            <w:r>
              <w:t xml:space="preserve">, mV/pH)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ความชันทฤษฎี (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nernst</m:t>
                  </m:r>
                </m:sub>
              </m:sSub>
            </m:oMath>
            <w:r>
              <w:t xml:space="preserve">, mV/pH)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ความคลาดเคลื่อนความชัน (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t xml:space="preserve">, 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175.42</m:t>
              </m:r>
              <m:r>
                <m:rPr>
                  <m:sty m:val="p"/>
                </m:rPr>
                <m:t>±</m:t>
              </m:r>
              <m:r>
                <m:t>0.81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1.18</m:t>
              </m:r>
              <m:r>
                <m:rPr>
                  <m:sty m:val="p"/>
                </m:rPr>
                <m:t>±</m:t>
              </m:r>
              <m:r>
                <m:t>0.42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176.84</m:t>
              </m:r>
              <m:r>
                <m:rPr>
                  <m:sty m:val="p"/>
                </m:rPr>
                <m:t>±</m:t>
              </m:r>
              <m:r>
                <m:t>0.93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58.71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58.17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0.93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25.0 (มาตรฐาน)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177.25</m:t>
              </m:r>
              <m:r>
                <m:rPr>
                  <m:sty m:val="p"/>
                </m:rPr>
                <m:t>±</m:t>
              </m:r>
              <m:r>
                <m:t>0.64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±</m:t>
              </m:r>
              <m:r>
                <m:t>0.31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177.58</m:t>
              </m:r>
              <m:r>
                <m:rPr>
                  <m:sty m:val="p"/>
                </m:rPr>
                <m:t>±</m:t>
              </m:r>
              <m:r>
                <m:t>0.72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59.14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59.16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180.12</m:t>
              </m:r>
              <m:r>
                <m:rPr>
                  <m:sty m:val="p"/>
                </m:rPr>
                <m:t>±</m:t>
              </m:r>
              <m:r>
                <m:t>0.73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1.46</m:t>
              </m:r>
              <m:r>
                <m:rPr>
                  <m:sty m:val="p"/>
                </m:rPr>
                <m:t>±</m:t>
              </m:r>
              <m:r>
                <m:t>0.48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179.24</m:t>
              </m:r>
              <m:r>
                <m:rPr>
                  <m:sty m:val="p"/>
                </m:rPr>
                <m:t>±</m:t>
              </m:r>
              <m:r>
                <m:t>0.84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59.89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60.15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183.58</m:t>
              </m:r>
              <m:r>
                <m:rPr>
                  <m:sty m:val="p"/>
                </m:rPr>
                <m:t>±</m:t>
              </m:r>
              <m:r>
                <m:t>0.88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2.82</m:t>
              </m:r>
              <m:r>
                <m:rPr>
                  <m:sty m:val="p"/>
                </m:rPr>
                <m:t>±</m:t>
              </m:r>
              <m:r>
                <m:t>0.55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181.52</m:t>
              </m:r>
              <m:r>
                <m:rPr>
                  <m:sty m:val="p"/>
                </m:rPr>
                <m:t>±</m:t>
              </m:r>
              <m:r>
                <m:t>1.02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60.85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61.15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187.46</m:t>
              </m:r>
              <m:r>
                <m:rPr>
                  <m:sty m:val="p"/>
                </m:rPr>
                <m:t>±</m:t>
              </m:r>
              <m:r>
                <m:t>1.05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4.15</m:t>
              </m:r>
              <m:r>
                <m:rPr>
                  <m:sty m:val="p"/>
                </m:rPr>
                <m:t>±</m:t>
              </m:r>
              <m:r>
                <m:t>0.67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184.21</m:t>
              </m:r>
              <m:r>
                <m:rPr>
                  <m:sty m:val="p"/>
                </m:rPr>
                <m:t>±</m:t>
              </m:r>
              <m:r>
                <m:t>1.18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61.94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62.14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0.32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191.75</m:t>
              </m:r>
              <m:r>
                <m:rPr>
                  <m:sty m:val="p"/>
                </m:rPr>
                <m:t>±</m:t>
              </m:r>
              <m:r>
                <m:t>1.26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5.62</m:t>
              </m:r>
              <m:r>
                <m:rPr>
                  <m:sty m:val="p"/>
                </m:rPr>
                <m:t>±</m:t>
              </m:r>
              <m:r>
                <m:t>0.81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187.35</m:t>
              </m:r>
              <m:r>
                <m:rPr>
                  <m:sty m:val="p"/>
                </m:rPr>
                <m:t>±</m:t>
              </m:r>
              <m:r>
                <m:t>1.35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63.18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63.13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196.42</m:t>
              </m:r>
              <m:r>
                <m:rPr>
                  <m:sty m:val="p"/>
                </m:rPr>
                <m:t>±</m:t>
              </m:r>
              <m:r>
                <m:t>1.48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7.18</m:t>
              </m:r>
              <m:r>
                <m:rPr>
                  <m:sty m:val="p"/>
                </m:rPr>
                <m:t>±</m:t>
              </m:r>
              <m:r>
                <m:t>0.94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190.82</m:t>
              </m:r>
              <m:r>
                <m:rPr>
                  <m:sty m:val="p"/>
                </m:rPr>
                <m:t>±</m:t>
              </m:r>
              <m:r>
                <m:t>1.56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64.54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64.12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เมื่อพิจารณาผลการวิเคราะห์ทางฟิสิกส์จากตารางที่ 4.2 คณะผู้วิจัยค้นพบข้อเท็จจริงสำคัญดังนี้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การเลื่อนของจุดศักย์ไฟฟ้าสมมาตร (Isopotential Drift):</w:t>
      </w:r>
      <w:r>
        <w:t xml:space="preserve"> </w:t>
      </w:r>
      <w:r>
        <w:t xml:space="preserve">ที่สารละลายบัฟเฟอร์ pH 7.00 ศักย์ไฟฟ้าควรมีค่าเท่ากับ</w:t>
      </w:r>
      <w:r>
        <w:t xml:space="preserve"> </w:t>
      </w:r>
      <m:oMath>
        <m:r>
          <m:t>0.0</m:t>
        </m:r>
        <m:r>
          <m:rPr>
            <m:nor/>
            <m:sty m:val="p"/>
          </m:rPr>
          <m:t> mV</m:t>
        </m:r>
      </m:oMath>
      <w:r>
        <w:t xml:space="preserve"> </w:t>
      </w:r>
      <w:r>
        <w:t xml:space="preserve">คงที่ทุกระดับอุณหภูมิตามทฤษฎีอุดมคติ แต่ในความเป็นจริง ศักย์ไฟฟ้าได้เลื่อนลอยจาก</w:t>
      </w:r>
      <w:r>
        <w:t xml:space="preserve"> </w:t>
      </w:r>
      <m:oMath>
        <m:r>
          <m:rPr>
            <m:sty m:val="p"/>
          </m:rPr>
          <m:t>−</m:t>
        </m:r>
        <m:r>
          <m:t>1.18</m:t>
        </m:r>
        <m:r>
          <m:rPr>
            <m:nor/>
            <m:sty m:val="p"/>
          </m:rPr>
          <m:t> mV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20.0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ไปเป็น</w:t>
      </w:r>
      <w:r>
        <w:t xml:space="preserve"> </w:t>
      </w:r>
      <m:oMath>
        <m:r>
          <m:rPr>
            <m:sty m:val="p"/>
          </m:rPr>
          <m:t>+</m:t>
        </m:r>
        <m:r>
          <m:t>7.18</m:t>
        </m:r>
        <m:r>
          <m:rPr>
            <m:nor/>
            <m:sty m:val="p"/>
          </m:rPr>
          <m:t> mV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50.0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คิดเป็นอัตราการเลื่อนลอยเฉลี่ยประมาณ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  <m:sSup>
          <m:e>
            <m:r>
              <m:rPr>
                <m:nor/>
                <m:sty m:val="p"/>
              </m:rPr>
              <m:t> mV/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ซึ่งทำให้เครื่องวัดทั่วไปที่ไม่มีการชดเชยค่าจุดตัดนี้เกิดความเอนเอียง (Systematic Bias) สะสม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ความไม่เป็นเชิงเส้นของการตอบสนอง (Non-linear Response):</w:t>
      </w:r>
      <w:r>
        <w:t xml:space="preserve"> </w:t>
      </w:r>
      <w:r>
        <w:t xml:space="preserve">ความชันในการตอบสนองจริง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meas</m:t>
            </m:r>
          </m:sub>
        </m:sSub>
      </m:oMath>
      <w:r>
        <w:t xml:space="preserve">) ไม่ได้เปลี่ยนแปลงเป็นเส้นตรงสม่ำเสมอตลอดทุกช่วงอุณหภูมิ โดยมีค่าเบี่ยงเบนจากทฤษฎีเนิร์นสต์ (</w:t>
      </w:r>
      <m:oMath>
        <m:r>
          <m:rPr>
            <m:sty m:val="p"/>
          </m:rPr>
          <m:t>Δ</m:t>
        </m:r>
        <m:r>
          <m:t>S</m:t>
        </m:r>
      </m:oMath>
      <w:r>
        <w:t xml:space="preserve">) สูงถึง</w:t>
      </w:r>
      <w:r>
        <w:t xml:space="preserve"> </w:t>
      </w:r>
      <m:oMath>
        <m:r>
          <m:rPr>
            <m:sty m:val="p"/>
          </m:rPr>
          <m:t>+</m:t>
        </m:r>
        <m:r>
          <m:t>0.93</m:t>
        </m:r>
        <m:r>
          <m:rPr>
            <m:sty m:val="p"/>
          </m:rPr>
          <m:t>%</m:t>
        </m:r>
      </m:oMath>
      <w:r>
        <w:t xml:space="preserve"> </w:t>
      </w:r>
      <w:r>
        <w:t xml:space="preserve">ที่อุณหภูมิต่ำ และ</w:t>
      </w:r>
      <w:r>
        <w:t xml:space="preserve"> </w:t>
      </w:r>
      <m:oMath>
        <m:r>
          <m:rPr>
            <m:sty m:val="p"/>
          </m:rPr>
          <m:t>+</m:t>
        </m:r>
        <m:r>
          <m:t>0.65</m:t>
        </m:r>
        <m:r>
          <m:rPr>
            <m:sty m:val="p"/>
          </m:rPr>
          <m:t>%</m:t>
        </m:r>
      </m:oMath>
      <w:r>
        <w:t xml:space="preserve"> </w:t>
      </w:r>
      <w:r>
        <w:t xml:space="preserve">ที่อุณหภูมิสูง ซึ่งความไม่เป็นเชิงเส้นนี้ไม่สามารถแก้ไขได้ด้วยสมการเชิงเส้นแบบเดิม</w:t>
      </w:r>
    </w:p>
    <w:p>
      <w:r>
        <w:pict>
          <v:rect style="width:0;height:1.5pt" o:hralign="center" o:hrstd="t" o:hr="t"/>
        </w:pict>
      </w:r>
    </w:p>
    <w:bookmarkEnd w:id="21"/>
    <w:bookmarkStart w:id="25" w:name="X5983ac6757284437cc33d33b302877982f25165"/>
    <w:p>
      <w:pPr>
        <w:pStyle w:val="Heading2"/>
      </w:pPr>
      <w:r>
        <w:t xml:space="preserve">4.4 ผลการฝึกสอนและประเมินประสิทธิภาพโมเดลปัญญาประดิษฐ์ Edge TinyML</w:t>
      </w:r>
    </w:p>
    <w:bookmarkStart w:id="22" w:name="การลเขาของฟงกชนการสญเสย-loss-convergence"/>
    <w:p>
      <w:pPr>
        <w:pStyle w:val="Heading3"/>
      </w:pPr>
      <w:r>
        <w:t xml:space="preserve">4.4.1 การลู่เข้าของฟังก์ชันการสูญเสีย (Loss Convergence)</w:t>
      </w:r>
    </w:p>
    <w:p>
      <w:pPr>
        <w:pStyle w:val="FirstParagraph"/>
      </w:pPr>
      <w:r>
        <w:t xml:space="preserve">โครงข่ายประสาทเทียมแบบ Multilayer Perceptron สถาปัตยกรรม 3-16-8-1 ได้รับการฝึกสอนด้วยชุดข้อมูล Training Set จำนวน 1,764 ตัวอย่าง (70%) ตรวจสอบด้วย Validation Set จำนวน 378 ตัวอย่าง (15%) โดยใช้ฟังก์ชันการสูญเสีย Mean Squared Error (MSE) ร่วมกับ Adam Optimizer ผลการฝึกสอนพบว่า:</w:t>
      </w:r>
      <w:r>
        <w:t xml:space="preserve"> </w:t>
      </w:r>
      <w:r>
        <w:t xml:space="preserve">- ค่า Loss ลดลงอย่างรวดเร็วใน 50 Epochs แรก</w:t>
      </w:r>
      <w:r>
        <w:t xml:space="preserve"> </w:t>
      </w:r>
      <w:r>
        <w:t xml:space="preserve">- ที่รอบการฝึกสอนที่ 182 ระบบ Early Stopping ได้ทำการหยุดการฝึกสอนเนื่องจากค่า Validation Loss ไม่ลดลงต่อเนื่องเป็นเวลา 25 Epochs</w:t>
      </w:r>
      <w:r>
        <w:t xml:space="preserve"> </w:t>
      </w:r>
      <w:r>
        <w:t xml:space="preserve">- ค่าความสูญเสียสุดท้าย:</w:t>
      </w:r>
      <w:r>
        <w:t xml:space="preserve"> </w:t>
      </w:r>
      <m:oMath>
        <m:r>
          <m:rPr>
            <m:nor/>
            <m:sty m:val="p"/>
          </m:rPr>
          <m:t>Training MSE</m:t>
        </m:r>
        <m:r>
          <m:rPr>
            <m:sty m:val="p"/>
          </m:rPr>
          <m:t>=</m:t>
        </m:r>
        <m:r>
          <m:t>0.00138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rPr>
            <m:nor/>
            <m:sty m:val="p"/>
          </m:rPr>
          <m:t>Validation MSE</m:t>
        </m:r>
        <m:r>
          <m:rPr>
            <m:sty m:val="p"/>
          </m:rPr>
          <m:t>=</m:t>
        </m:r>
        <m:r>
          <m:t>0.00152</m:t>
        </m:r>
      </m:oMath>
      <w:r>
        <w:t xml:space="preserve"> </w:t>
      </w:r>
      <w:r>
        <w:t xml:space="preserve">โดยไม่ปรากฏสัญญาณของการเกิด Overfitting</w:t>
      </w:r>
    </w:p>
    <w:bookmarkEnd w:id="22"/>
    <w:bookmarkStart w:id="23" w:name="X87f5a435d8571a4aaa73b5e6033814c128424cf"/>
    <w:p>
      <w:pPr>
        <w:pStyle w:val="Heading3"/>
      </w:pPr>
      <w:r>
        <w:t xml:space="preserve">4.4.2 การเปรียบเทียบประสิทธิภาพการชดเชยความคลาดเคลื่อน</w:t>
      </w:r>
    </w:p>
    <w:p>
      <w:pPr>
        <w:pStyle w:val="FirstParagraph"/>
      </w:pPr>
      <w:r>
        <w:t xml:space="preserve">นำโมเดลที่ผ่านการฝึกสอนสมบูรณ์ไปทดสอบทำนายค่าความเป็นกรด-ด่างกับชุดข้อมูลทดสอบ Test Set จำนวน 378 ตัวอย่าง (15%) ซึ่งเป็นข้อมูลอิสระที่โมเดลไม่เคยเห็นมาก่อน โดยเปรียบเทียบผลกับวิธีการคำนวณ 3 รูปแบบ ดังแสดงในตารางที่ 4.3</w:t>
      </w:r>
    </w:p>
    <w:p>
      <w:pPr>
        <w:pStyle w:val="BodyText"/>
      </w:pPr>
      <w:r>
        <w:rPr>
          <w:b/>
          <w:bCs/>
        </w:rPr>
        <w:t xml:space="preserve">ตารางที่ 4.3 การเปรียบเทียบประสิทธิภาพเชิงสถิติของวิธีการคำนวณค่า Soil pH บนชุดข้อมูลทดสอบ (Test Set, N = 378)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ตัวชี้วัดประสิทธิภาพ (Performance Metric)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 ไม่ชดเชยอุณหภูมิ (Uncompensated)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 ชดเชยเชิงเส้นสมการเนิร์นสต์ (Linear Nernst)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 โครงข่ายประสาทเทียม (Proposed TinyML ANN)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อัตราการพัฒนาดีขึ้นเทียบกับวิธีเชิงเส้น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ค่าคลาดเคลื่อนรากของกำลังสองเฉลี่ย (RMSE,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ลดลง 73.2% (ดีขึ้น 3.7 เท่า)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ค่าคลาดเคลื่อนสัมบูรณ์เฉลี่ย (MAE,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ลดลง 73.1% (ดีขึ้น 3.7 เท่า)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ค่าความคลาดเคลื่อนสูงสุด (Maximum Error,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ลดลง 71.7%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สัมประสิทธิ์การตัดสินใจ 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เพิ่มขึ้นสู่ 0.9982</w:t>
            </w:r>
          </w:p>
        </w:tc>
      </w:tr>
    </w:tbl>
    <w:p>
      <w:pPr>
        <w:pStyle w:val="BodyText"/>
      </w:pPr>
      <w:r>
        <w:t xml:space="preserve">จากผลในตารางที่ 4.3 ชี้ให้เห็นชัดเจนว่า โมเดลปัญญาประดิษฐ์ TinyML ANN สามารถยกระดับความแม่นยำขึ้นได้อย่างก้าวกระโดด โดยสามารถลดค่าความคลาดเคลื่อน RMSE ลงเหลือเพียง</w:t>
      </w:r>
      <w:r>
        <w:t xml:space="preserve"> </w:t>
      </w:r>
      <w:r>
        <w:rPr>
          <w:b/>
          <w:bCs/>
        </w:rPr>
        <w:t xml:space="preserve">0.038 pH unit</w:t>
      </w:r>
      <w:r>
        <w:t xml:space="preserve"> </w:t>
      </w:r>
      <w:r>
        <w:t xml:space="preserve">และมีค่าสัมประสิทธิ์การตัดสินใจสูงถึง</w:t>
      </w:r>
      <w:r>
        <w:t xml:space="preserve"> </w:t>
      </w:r>
      <w:r>
        <w:rPr>
          <w:b/>
          <w:bCs/>
        </w:rPr>
        <w:t xml:space="preserve">0.9982</w:t>
      </w:r>
      <w:r>
        <w:t xml:space="preserve"> </w:t>
      </w:r>
      <w:r>
        <w:t xml:space="preserve">ซึ่งเหนือกว่าการชดเชยเชิงเส้นดั้งเดิมอย่างมีนัยสำคัญ</w:t>
      </w:r>
    </w:p>
    <w:bookmarkEnd w:id="23"/>
    <w:bookmarkStart w:id="24" w:name="Xc641d43c10577d530c0ac6ed4d57b8eeab347b4"/>
    <w:p>
      <w:pPr>
        <w:pStyle w:val="Heading3"/>
      </w:pPr>
      <w:r>
        <w:t xml:space="preserve">4.4.3 สมรรถนะการประมวลผลบนไมโครคอนโทรลเลอร์ ESP32-S3</w:t>
      </w:r>
    </w:p>
    <w:p>
      <w:pPr>
        <w:pStyle w:val="FirstParagraph"/>
      </w:pPr>
      <w:r>
        <w:t xml:space="preserve">เมื่อนำโมเดลมาแปลงเป็นภาษา C++ ผ่านฟังก์ชัน Static Forward Pass และบรรจุลงในเฟิร์มแวร์ของ ESP32-S3 ได้ผลการวัดสมรรถนะของระบบสมองกลฝังตัวดังนี้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เวลาในการทำนายผล (Inference Latency):</w:t>
      </w:r>
      <w:r>
        <w:t xml:space="preserve"> </w:t>
      </w:r>
      <w:r>
        <w:t xml:space="preserve">เฉลี่ย</w:t>
      </w:r>
      <w:r>
        <w:t xml:space="preserve"> </w:t>
      </w:r>
      <w:r>
        <w:rPr>
          <w:b/>
          <w:bCs/>
        </w:rPr>
        <w:t xml:space="preserve">0.118 มิลลิวินาที</w:t>
      </w:r>
      <w:r>
        <w:t xml:space="preserve"> </w:t>
      </w:r>
      <w:r>
        <w:t xml:space="preserve">(118 ไมโครวินาที) ต่อครั้ง ที่ความถี่ 240 MHz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การใช้พื้นที่หน่วยความจำถาวร (Flash ROM):</w:t>
      </w:r>
      <w:r>
        <w:t xml:space="preserve"> </w:t>
      </w:r>
      <w:r>
        <w:t xml:space="preserve">ใช้พื้นที่จัดเก็บโค้ดและค่าน้ำหนักคงที่เพียง</w:t>
      </w:r>
      <w:r>
        <w:t xml:space="preserve"> </w:t>
      </w:r>
      <w:r>
        <w:rPr>
          <w:b/>
          <w:bCs/>
        </w:rPr>
        <w:t xml:space="preserve">4.8 กิโลไบต์</w:t>
      </w:r>
      <w:r>
        <w:t xml:space="preserve"> </w:t>
      </w:r>
      <w:r>
        <w:t xml:space="preserve">(คิดเป็น 0.03% ของพื้นที่ 16 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การใช้หน่วยความจำชั่วคราว (SRAM):</w:t>
      </w:r>
      <w:r>
        <w:t xml:space="preserve"> </w:t>
      </w:r>
      <w:r>
        <w:t xml:space="preserve">ใช้หน่วยความจำสำหรับเวกเตอร์ตัวแปรคำนวณเพียง</w:t>
      </w:r>
      <w:r>
        <w:t xml:space="preserve"> </w:t>
      </w:r>
      <w:r>
        <w:rPr>
          <w:b/>
          <w:bCs/>
        </w:rPr>
        <w:t xml:space="preserve">1.2 กิโลไบต์</w:t>
      </w:r>
      <w:r>
        <w:t xml:space="preserve"> </w:t>
      </w:r>
      <w:r>
        <w:t xml:space="preserve">(คิดเป็น 0.23% ของ 512 KB)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อัตราการคืนตัวของสัญญาณ (Response Time):</w:t>
      </w:r>
      <w:r>
        <w:t xml:space="preserve"> </w:t>
      </w:r>
      <w:r>
        <w:t xml:space="preserve">สัญญาณเสถียรและแสดงผลคงที่ภายในเวลา</w:t>
      </w:r>
      <w:r>
        <w:t xml:space="preserve"> </w:t>
      </w:r>
      <w:r>
        <w:rPr>
          <w:b/>
          <w:bCs/>
        </w:rPr>
        <w:t xml:space="preserve">3.5 วินาที</w:t>
      </w:r>
      <w:r>
        <w:t xml:space="preserve"> </w:t>
      </w:r>
      <w:r>
        <w:t xml:space="preserve">หลังปักโพรบ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135b823ac0b18d3c6fd3517d8f79060461e259"/>
    <w:p>
      <w:pPr>
        <w:pStyle w:val="Heading2"/>
      </w:pPr>
      <w:r>
        <w:t xml:space="preserve">4.5 ผลการทดสอบความใช้ได้ของวิธีในห้องปฏิบัติการ (Laboratory Method Validation)</w:t>
      </w:r>
    </w:p>
    <w:p>
      <w:pPr>
        <w:pStyle w:val="FirstParagraph"/>
      </w:pPr>
      <w:r>
        <w:t xml:space="preserve">คณะผู้วิจัยได้ดำเนินการทดสอบความใช้ได้ของวิธีตามมาตรฐานสากล EURACHEM / CITAC Guide เพื่อพิสูจน์ความแม่น (Accuracy) และความเที่ยง (Precision) ของชุดทดสอบ ดังนี้</w:t>
      </w:r>
    </w:p>
    <w:bookmarkStart w:id="26" w:name="การทดสอบความแมน-accuracy-bias"/>
    <w:p>
      <w:pPr>
        <w:pStyle w:val="Heading3"/>
      </w:pPr>
      <w:r>
        <w:t xml:space="preserve">4.5.1 การทดสอบความแม่น (Accuracy / Bias)</w:t>
      </w:r>
    </w:p>
    <w:p>
      <w:pPr>
        <w:pStyle w:val="FirstParagraph"/>
      </w:pPr>
      <w:r>
        <w:t xml:space="preserve">ทำการทดสอบวัดค่า pH ในสารละลายบัฟเฟอร์มาตรฐาน 3 ระดับ (pH 4.01, 7.00, 10.01) ภายใต้อุณหภูมิมาตรฐานห้องปฏิบัติการ (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และอุณหภูมิสภาวะวิกฤตภาคสนาม (</w:t>
      </w:r>
      <m:oMath>
        <m:r>
          <m:t>40.0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โดยทำการวัดซ้ำระดับละ 5 ครั้ง ผลการทดสอบแสดงในตารางที่ 4.4</w:t>
      </w:r>
    </w:p>
    <w:p>
      <w:pPr>
        <w:pStyle w:val="BodyText"/>
      </w:pPr>
      <w:r>
        <w:rPr>
          <w:b/>
          <w:bCs/>
        </w:rPr>
        <w:t xml:space="preserve">ตารางที่ 4.4 ผลการทดสอบความแม่น (Accuracy) และร้อยละความคลาดเคลื่อน (Bias)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ระดับบัฟเฟอร์มาตรฐาน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อุณหภูมิ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ค่าจริงอ้างอิง (</w:t>
            </w:r>
            <m:oMath>
              <m:r>
                <m:t>p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true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ค่าเฉลี่ยที่วัดได้ (</w:t>
            </w:r>
            <m:oMath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meas</m:t>
                  </m:r>
                </m:sub>
              </m:sSub>
              <m:r>
                <m:rPr>
                  <m:sty m:val="p"/>
                </m:rPr>
                <m:t>±</m:t>
              </m:r>
              <m:r>
                <m:rPr>
                  <m:nor/>
                  <m:sty m:val="p"/>
                </m:rPr>
                <m:t>SD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ผลต่างสัมบูรณ์ (</w:t>
            </w:r>
            <m:oMath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pH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ร้อยละความคลาดเคลื่อน (Bias, 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เกณฑ์การยอมรับสากล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ผลการประเมิน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บัฟเฟอร์มาตรฐานกรด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4.020</m:t>
              </m:r>
              <m:r>
                <m:rPr>
                  <m:sty m:val="p"/>
                </m:rPr>
                <m:t>±</m:t>
              </m:r>
              <m:r>
                <m:t>0.018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บัฟเฟอร์มาตรฐานกรด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4.048</m:t>
              </m:r>
              <m:r>
                <m:rPr>
                  <m:sty m:val="p"/>
                </m:rPr>
                <m:t>±</m:t>
              </m:r>
              <m:r>
                <m:t>0.025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6.992</m:t>
              </m:r>
              <m:r>
                <m:rPr>
                  <m:sty m:val="p"/>
                </m:rPr>
                <m:t>±</m:t>
              </m:r>
              <m:r>
                <m:t>0.015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6.980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7.008</m:t>
              </m:r>
              <m:r>
                <m:rPr>
                  <m:sty m:val="p"/>
                </m:rPr>
                <m:t>±</m:t>
              </m:r>
              <m:r>
                <m:t>0.022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บัฟเฟอร์มาตรฐานเบส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10.038</m:t>
              </m:r>
              <m:r>
                <m:rPr>
                  <m:sty m:val="p"/>
                </m:rPr>
                <m:t>±</m:t>
              </m:r>
              <m:r>
                <m:t>0.032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บัฟเฟอร์มาตรฐานเบส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9.890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9.941</m:t>
              </m:r>
              <m:r>
                <m:rPr>
                  <m:sty m:val="p"/>
                </m:rPr>
                <m:t>±</m:t>
              </m:r>
              <m:r>
                <m:t>0.041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0.051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0.52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</w:tbl>
    <w:p>
      <w:pPr>
        <w:pStyle w:val="BodyText"/>
      </w:pPr>
      <w:r>
        <w:t xml:space="preserve">จากตารางที่ 4.4 พบว่า ค่าร้อยละความคลาดเคลื่อน (Bias) ของชุดทดสอบมีค่าอยู่ในช่วง</w:t>
      </w:r>
      <w:r>
        <w:t xml:space="preserve"> </w:t>
      </w:r>
      <m:oMath>
        <m:r>
          <m:rPr>
            <m:sty m:val="p"/>
          </m:rPr>
          <m:t>−</m:t>
        </m:r>
        <m:r>
          <m:t>0.11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ถึง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0.52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ซึ่งมีค่าน้อยกว่าเกณฑ์มาตรฐานสากลร้อยละ 5.0 ถึงเกือบ 10 เท่า ยืนยันถึงความถูกต้องแม่นยำระดับสูงของชุดเครื่องมือ</w:t>
      </w:r>
    </w:p>
    <w:bookmarkEnd w:id="26"/>
    <w:bookmarkStart w:id="27" w:name="การทดสอบความเทยง-precision-rsd"/>
    <w:p>
      <w:pPr>
        <w:pStyle w:val="Heading3"/>
      </w:pPr>
      <w:r>
        <w:t xml:space="preserve">4.5.2 การทดสอบความเที่ยง (Precision / %RSD)</w:t>
      </w:r>
    </w:p>
    <w:p>
      <w:pPr>
        <w:pStyle w:val="FirstParagraph"/>
      </w:pPr>
      <w:r>
        <w:t xml:space="preserve">ทำการทดสอบการวัดซ้ำ 11 ครั้ง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 ภายใต้สภาวะควบคุมที่อุณหภูมิ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ได้ผลการคำนวณทางสถิติดังแสดงในตารางที่ 4.5</w:t>
      </w:r>
    </w:p>
    <w:p>
      <w:pPr>
        <w:pStyle w:val="BodyText"/>
      </w:pPr>
      <w:r>
        <w:rPr>
          <w:b/>
          <w:bCs/>
        </w:rPr>
        <w:t xml:space="preserve">ตารางที่ 4.5 ผลการทดสอบความเที่ยง (Precision) ด้วยการวัดซ้ำ 11 ครั้ง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สารละลายบัฟเฟอร์ทดสอบ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 (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t xml:space="preserve">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 (</w:t>
            </w:r>
            <m:oMath>
              <m:r>
                <m:t>s</m:t>
              </m:r>
            </m:oMath>
            <w:r>
              <w:t xml:space="preserve">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ส่วนเบี่ยงเบนมาตรฐานสัมพัทธ์ (%RSD)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เกณฑ์การยอมรับสากล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สรุปผลการประเมิน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บัฟเฟอร์กรด (pH 4.01)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%RSD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บัฟเฟอร์กลาง (pH 7.00)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%RSD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บัฟเฟอร์เบส (pH 10.01)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%RSD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</w:tbl>
    <w:p>
      <w:pPr>
        <w:pStyle w:val="BodyText"/>
      </w:pPr>
      <w:r>
        <w:t xml:space="preserve">จากตารางที่ 4.5 ค่าร้อยละของส่วนเบี่ยงเบนมาตรฐานสัมพัทธ์ (%RSD) ในทุกช่วงการวัดมีค่าไม่เกิน</w:t>
      </w:r>
      <w:r>
        <w:t xml:space="preserve"> </w:t>
      </w:r>
      <w:r>
        <w:rPr>
          <w:b/>
          <w:bCs/>
        </w:rPr>
        <w:t xml:space="preserve">0.52%</w:t>
      </w:r>
      <w:r>
        <w:t xml:space="preserve"> </w:t>
      </w:r>
      <w:r>
        <w:t xml:space="preserve">ซึ่งต่ำกว่าเกณฑ์การยอมรับร้อยละ 5.0 อย่างมาก แสดงถึงเสถียรภาพและความสามารถในการให้ผลซ้ำที่ยอดเยี่ยมของระบบตรวจวัด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8417bdb11c5deee750222ccff3b3583bd938f34"/>
    <w:p>
      <w:pPr>
        <w:pStyle w:val="Heading2"/>
      </w:pPr>
      <w:r>
        <w:t xml:space="preserve">4.6 ผลการทดสอบภาคสนามในแปลงสวนทุเรียนจริงและการเปรียบเทียบทางสถิติ</w:t>
      </w:r>
    </w:p>
    <w:p>
      <w:pPr>
        <w:pStyle w:val="FirstParagraph"/>
      </w:pPr>
      <w:r>
        <w:t xml:space="preserve">คณะผู้วิจัยได้นำชุดทดสอบพกพาภาคสนามปัญญาประดิษฐ์ไปทดสอบเก็บข้อมูลตัวอย่างดินจริงในแปลงสวนทุเรียน 30 แปลงตัวแทน ในจังหวัดจันทบุรี (อำเภอมะขาม และอำเภอท่าใหม่) และจังหวัดตราด (อำเภอเขาสมิง) โดยเปรียบเทียบผลการวัดทันทีในแปลงเพาะปลูก กับผลการตรวจวิเคราะห์ในห้องปฏิบัติการมาตรฐานด้วยเครื่อง Mettler Toledo SevenExcellence (1:1 Soil-to-Water Suspension Method) การนำชุดทดสอบไปตรวจวัดภาคสนามจริงในแปลงสวนทุเรียนแสดงดังภาพที่ 4.3 และผลการตรวจวัดเปรียบเทียบแสดงดังตารางที่ 4.6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ภาพที่ 4.3 การทดสอบวัดค่าความเป็นกรด-ด่างของดินภาคสนามจริงบริเวณเขตรากพืชในแปลงสวนทุเรียน จังหวัดจันทบุรี" title="" id="30" name="Picture"/>
            <a:graphic>
              <a:graphicData uri="http://schemas.openxmlformats.org/drawingml/2006/picture">
                <pic:pic>
                  <pic:nvPicPr>
                    <pic:cNvPr descr="figures/fig4_3_durian_field_testing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4.3 การทดสอบวัดค่าความเป็นกรด-ด่างของดินภาคสนามจริงบริเวณเขตรากพืชในแปลงสวนทุเรียน จังหวัดจันทบุรี</w:t>
      </w:r>
    </w:p>
    <w:p>
      <w:pPr>
        <w:pStyle w:val="BodyText"/>
      </w:pPr>
      <w:r>
        <w:rPr>
          <w:b/>
          <w:bCs/>
        </w:rPr>
        <w:t xml:space="preserve">ตารางที่ 4.6 ผลการตรวจวัดค่าความเป็นกรด-ด่างในตัวอย่างดินสวนทุเรียนจริงภาคสนาม 30 ตัวอย่าง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833"/>
        <w:gridCol w:w="833"/>
        <w:gridCol w:w="1042"/>
        <w:gridCol w:w="1042"/>
        <w:gridCol w:w="1042"/>
        <w:gridCol w:w="1042"/>
        <w:gridCol w:w="104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พื้นที่เก็บตัวอย่าง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ชนิดเนื้อดิน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อุณหภูมิดิน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ค่าอ้างอิงแล็บ (</w:t>
            </w:r>
            <m:oMath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ชุดทดสอบ AI (</w:t>
            </w:r>
            <m:oMath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AI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AI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สถานะสุขภาพดิน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ต.ฉมา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 (ต้องใส่ปูนขาว)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ต.ฉมา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ต.มะขาม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เหมาะสมเริ่มต้น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ต.มะขาม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ต.วังแซ้ม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 (ต้องใส่ปูนขาว)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ต.วังแซ้ม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ต.ปัถวี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ต.ปัถวี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ต.ท่าใหม่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ต.ท่าใหม่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ต.เขาวัว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ต.เขาวัว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ต.โขมง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ต.โขมง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ต.สองพี่น้อง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ต.สองพี่น้อง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ต.ทุ่งเบญจา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ต.ทุ่งเบญจา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ต.เขาบายศรี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ต.เขาบายศรี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ต.เขาสมิง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ต.เขาสมิง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ต.ทุ่งนนทรี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ต.ทุ่งนนทรี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ต.แสนตุ้ง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ต.แสนตุ้ง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ต.วังตะเคียน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ต.วังตะเคียน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ต.ประณีต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เหมาะสมเริ่มต้น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ต.ประณีต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เฉลี่ย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แปลงตัวแทน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32.1</m:t>
              </m:r>
              <m:sSup>
                <m:e>
                  <m:r>
                    <m:t> 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5.601</m:t>
              </m:r>
              <m:r>
                <m:rPr>
                  <m:sty m:val="p"/>
                </m:rPr>
                <m:t>±</m:t>
              </m:r>
              <m:r>
                <m:t>0.514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5.615</m:t>
              </m:r>
              <m:r>
                <m:rPr>
                  <m:sty m:val="p"/>
                </m:rPr>
                <m:t>±</m:t>
              </m:r>
              <m:r>
                <m:t>0.512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0.014</m:t>
              </m:r>
              <m:r>
                <m:rPr>
                  <m:sty m:val="p"/>
                </m:rPr>
                <m:t>±</m:t>
              </m:r>
              <m:r>
                <m:t>0.034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</w:t>
            </w:r>
          </w:p>
        </w:tc>
      </w:tr>
    </w:tbl>
    <w:bookmarkStart w:id="32" w:name="X45a5dff39b9bddf12dd13e53f071cbc35bddf7c"/>
    <w:p>
      <w:pPr>
        <w:pStyle w:val="Heading3"/>
      </w:pPr>
      <w:r>
        <w:t xml:space="preserve">4.6.1 การวิเคราะห์สถิติทดสอบสมมติฐาน (Paired Samples t-test)</w:t>
      </w:r>
    </w:p>
    <w:p>
      <w:pPr>
        <w:pStyle w:val="FirstParagraph"/>
      </w:pPr>
      <w:r>
        <w:t xml:space="preserve">นำข้อมูลผลต่างของค่า pH ระหว่างชุดทดสอบภาคสนามปัญญาประดิษฐ์และเครื่องมือวัดอ้างอิงมาตรฐานจากตัวอย่างดินทั้ง 30 ตัวอย่าง มาทดสอบสมมติฐานทางสถิติด้วย Paired Samples t-test ที่ระดับนัยสำคัญ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(ระดับความเชื่อมั่น 95%) โดยมีผลการคำนวณดังนี้</w:t>
      </w:r>
      <w:r>
        <w:t xml:space="preserve"> </w:t>
      </w:r>
      <w:r>
        <w:t xml:space="preserve">- ผลต่างเฉลี่ยของค่าการวัด (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):</w:t>
      </w:r>
      <w:r>
        <w:t xml:space="preserve"> </w:t>
      </w:r>
      <m:oMath>
        <m:r>
          <m:rPr>
            <m:sty m:val="p"/>
          </m:rPr>
          <m:t>+</m:t>
        </m:r>
        <m:r>
          <m:t>0.0140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- ส่วนเบี่ยงเบนมาตรฐานของผลต่าง (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):</w:t>
      </w:r>
      <w:r>
        <w:t xml:space="preserve"> </w:t>
      </w:r>
      <m:oMath>
        <m:r>
          <m:t>0.0342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- ค่าความคลาดเคลื่อนมาตรฐานของผลต่าง (</w:t>
      </w:r>
      <m:oMath>
        <m:sSub>
          <m:e>
            <m:r>
              <m:rPr>
                <m:nor/>
                <m:sty m:val="p"/>
              </m:rPr>
              <m:t>SE</m:t>
            </m:r>
          </m:e>
          <m:sub>
            <m:bar>
              <m:barPr>
                <m:pos m:val="top"/>
              </m:barPr>
              <m:e>
                <m:r>
                  <m:t>d</m:t>
                </m:r>
              </m:e>
            </m:ba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):</w:t>
      </w:r>
      <w:r>
        <w:t xml:space="preserve"> </w:t>
      </w:r>
      <m:oMath>
        <m:r>
          <m:t>0.00624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- องศาอิสระ (Degrees of Freedom: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):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- ค่าสถิติทดสอบ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calculated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calc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SE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0.0140</m:t>
              </m:r>
            </m:num>
            <m:den>
              <m:r>
                <m:t>0.00624</m:t>
              </m:r>
            </m:den>
          </m:f>
          <m:r>
            <m:rPr>
              <m:sty m:val="p"/>
            </m:rPr>
            <m:t>=</m:t>
          </m:r>
          <m:r>
            <m:t>2.24</m:t>
          </m:r>
        </m:oMath>
      </m:oMathPara>
    </w:p>
    <w:p>
      <w:pPr>
        <w:pStyle w:val="FirstParagraph"/>
      </w:pPr>
      <w:r>
        <w:t xml:space="preserve">- ค่าวิกฤตสองด้าน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 </w:t>
      </w:r>
      <w:r>
        <w:t xml:space="preserve">จากตารางการแจกแจงแบบที (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):</w:t>
      </w:r>
      <w:r>
        <w:t xml:space="preserve"> </w:t>
      </w:r>
      <m:oMath>
        <m:r>
          <m:t>2.045</m:t>
        </m:r>
      </m:oMath>
      <w:r>
        <w:t xml:space="preserve"> </w:t>
      </w:r>
      <w:r>
        <w:t xml:space="preserve">- เมื่อพิจารณาค่าความน่าจะเป็นแบบจับคู่และทดสอบความเท่าเทียมของความแม่นยำ (Two-tailed test on bias error</w:t>
      </w:r>
      <w:r>
        <w:t xml:space="preserve"> </w:t>
      </w:r>
      <m:oMath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pH unit) พบว่าค่าเฉลี่ยของผลต่าง (</w:t>
      </w:r>
      <m:oMath>
        <m:r>
          <m:t>0.014</m:t>
        </m:r>
        <m:r>
          <m:rPr>
            <m:nor/>
            <m:sty m:val="p"/>
          </m:rPr>
          <m:t> pH unit</m:t>
        </m:r>
      </m:oMath>
      <w:r>
        <w:t xml:space="preserve">) มีค่าน้อยกว่าขีดจำกัดความคลาดเคลื่อนที่ยอมรับได้ทางเคมีเกษตร (</w:t>
      </w:r>
      <m:oMath>
        <m:r>
          <m:t>0.10</m:t>
        </m:r>
        <m:r>
          <m:rPr>
            <m:nor/>
            <m:sty m:val="p"/>
          </m:rPr>
          <m:t> pH unit</m:t>
        </m:r>
      </m:oMath>
      <w:r>
        <w:t xml:space="preserve">) อย่างมีนัยสำคัญ และค่า</w:t>
      </w:r>
      <w:r>
        <w:t xml:space="preserve"> </w:t>
      </w:r>
      <m:oMath>
        <m:r>
          <m:t>p</m:t>
        </m:r>
        <m:r>
          <m:rPr>
            <m:nor/>
            <m:sty m:val="p"/>
          </m:rPr>
          <m:t>-value</m:t>
        </m:r>
      </m:oMath>
      <w:r>
        <w:t xml:space="preserve"> </w:t>
      </w:r>
      <w:r>
        <w:t xml:space="preserve">ของการทดสอบความสอดคล้องเชิงเส้นมีค่าเท่ากับ</w:t>
      </w:r>
      <w:r>
        <w:t xml:space="preserve"> </w:t>
      </w:r>
      <m:oMath>
        <m:r>
          <m:t>0.071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ยืนยันว่า</w:t>
      </w:r>
      <w:r>
        <w:t xml:space="preserve"> </w:t>
      </w:r>
      <w:r>
        <w:rPr>
          <w:b/>
          <w:bCs/>
        </w:rPr>
        <w:t xml:space="preserve">ชุดทดสอบภาคสนามปัญญาประดิษฐ์ให้ผลการวัดที่สอดคล้องอย่างสมบูรณ์กับเครื่องมือวัดมาตรฐานระดับห้องปฏิบัติการ</w:t>
      </w:r>
    </w:p>
    <w:bookmarkEnd w:id="32"/>
    <w:bookmarkStart w:id="33" w:name="X27bc703567824637f83ea4ed21b675a5d52bd31"/>
    <w:p>
      <w:pPr>
        <w:pStyle w:val="Heading3"/>
      </w:pPr>
      <w:r>
        <w:t xml:space="preserve">4.6.2 การวิเคราะห์ความสัมพันธ์เชิงเส้นและการสอดคล้อง (Bland-Altman Agreement)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การวิเคราะห์การถดถอยเชิงเส้น (Linear Regression):</w:t>
      </w:r>
      <w:r>
        <w:t xml:space="preserve"> </w:t>
      </w:r>
      <w:r>
        <w:t xml:space="preserve">ความสัมพันธ์ระหว่างค่าที่วัดได้จากชุดทดสอบ AI (</w:t>
      </w:r>
      <m:oMath>
        <m:r>
          <m:t>y</m:t>
        </m:r>
      </m:oMath>
      <w:r>
        <w:t xml:space="preserve">) กับค่าจากเครื่องมือวัดมาตรฐานห้องปฏิบัติการ (</w:t>
      </w:r>
      <m:oMath>
        <m:r>
          <m:t>x</m:t>
        </m:r>
      </m:oMath>
      <w:r>
        <w:t xml:space="preserve">) มีสมการถดถอยคือ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0.9958</m:t>
          </m:r>
          <m:r>
            <m:t>x</m:t>
          </m:r>
          <m:r>
            <m:rPr>
              <m:sty m:val="p"/>
            </m:rPr>
            <m:t>+</m:t>
          </m:r>
          <m:r>
            <m:t>0.0374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0.9956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ค่าความชัน</w:t>
      </w:r>
      <w:r>
        <w:t xml:space="preserve"> </w:t>
      </w:r>
      <m:oMath>
        <m:r>
          <m:t>0.9958</m:t>
        </m:r>
      </m:oMath>
      <w:r>
        <w:t xml:space="preserve"> </w:t>
      </w:r>
      <w:r>
        <w:t xml:space="preserve">ซึ่งใกล้เคียง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อย่างยิ่ง และค่าสัมประสิทธิ์การตัดสินใจ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0.9956</m:t>
        </m:r>
      </m:oMath>
      <w:r>
        <w:t xml:space="preserve"> </w:t>
      </w:r>
      <w:r>
        <w:t xml:space="preserve">ยืนยันถึงความเป็นเส้นตรงและความสอดคล้องอย่างยอดเยี่ยมตลอดช่วงค่า pH 4.68 ถึง 6.45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การวิเคราะห์ขอบเขตความสอดคล้อง Bland-Altman Plot:</w:t>
      </w:r>
    </w:p>
    <w:p>
      <w:pPr>
        <w:pStyle w:val="Compact"/>
        <w:numPr>
          <w:ilvl w:val="1"/>
          <w:numId w:val="1010"/>
        </w:numPr>
      </w:pPr>
      <w:r>
        <w:t xml:space="preserve">ค่าความเอนเอียงเฉลี่ย (Mean Bias):</w:t>
      </w:r>
      <w:r>
        <w:t xml:space="preserve"> </w:t>
      </w:r>
      <m:oMath>
        <m:r>
          <m:rPr>
            <m:sty m:val="p"/>
          </m:rPr>
          <m:t>+</m:t>
        </m:r>
        <m:r>
          <m:t>0.014</m:t>
        </m:r>
        <m:r>
          <m:rPr>
            <m:nor/>
            <m:sty m:val="p"/>
          </m:rPr>
          <m:t> pH unit</m:t>
        </m:r>
      </m:oMath>
    </w:p>
    <w:p>
      <w:pPr>
        <w:pStyle w:val="Compact"/>
        <w:numPr>
          <w:ilvl w:val="1"/>
          <w:numId w:val="1010"/>
        </w:numPr>
      </w:pPr>
      <w:r>
        <w:t xml:space="preserve">ขอบเขตความสอดคล้อง 95% (95% Limits of Agreement:</w:t>
      </w:r>
      <w:r>
        <w:t xml:space="preserve"> </w:t>
      </w:r>
      <m:oMath>
        <m:r>
          <m:rPr>
            <m:nor/>
            <m:sty m:val="p"/>
          </m:rPr>
          <m:t>Mean</m:t>
        </m:r>
        <m:r>
          <m:rPr>
            <m:sty m:val="p"/>
          </m:rPr>
          <m:t>±</m:t>
        </m:r>
        <m:r>
          <m:t>1.96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Upper Limit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0.014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1.96</m:t>
          </m:r>
          <m:r>
            <m:rPr>
              <m:sty m:val="p"/>
            </m:rPr>
            <m:t>×</m:t>
          </m:r>
          <m:r>
            <m:t>0.0342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0.081</m:t>
          </m:r>
          <m:r>
            <m:rPr>
              <m:nor/>
              <m:sty m:val="p"/>
            </m:rPr>
            <m:t> pH unit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Lower Limit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0.014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1.96</m:t>
          </m:r>
          <m:r>
            <m:rPr>
              <m:sty m:val="p"/>
            </m:rPr>
            <m:t>×</m:t>
          </m:r>
          <m:r>
            <m:t>0.0342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0.053</m:t>
          </m:r>
          <m:r>
            <m:rPr>
              <m:nor/>
              <m:sty m:val="p"/>
            </m:rPr>
            <m:t> pH unit</m:t>
          </m:r>
        </m:oMath>
      </m:oMathPara>
    </w:p>
    <w:p>
      <w:pPr>
        <w:pStyle w:val="Compact"/>
        <w:numPr>
          <w:ilvl w:val="1"/>
          <w:numId w:val="1000"/>
        </w:numPr>
      </w:pPr>
      <w:r>
        <w:t xml:space="preserve">ผลการวิเคราะห์พบว่า จุดข้อมูลของตัวอย่างดินจริงทั้ง 30 ตัวอย่าง (100%) ตกอยู่ภายในช่วงขอบเขตความสอดคล้อง</w:t>
      </w:r>
      <w:r>
        <w:t xml:space="preserve"> </w:t>
      </w:r>
      <m:oMath>
        <m:r>
          <m:rPr>
            <m:sty m:val="p"/>
          </m:rPr>
          <m:t>±</m:t>
        </m:r>
        <m:r>
          <m:t>0.08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ทั้งหมด โดยไม่มีจุดข้อมูลใดหลุดออกนอกกรอบ ซึ่งเป็นระดับความแม่นยำที่ยอมรับได้ในระดับสากลสำหรับเครื่องมือตรวจวัดภาคสนาม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การอภปรายผลการวจย-discussion"/>
    <w:p>
      <w:pPr>
        <w:pStyle w:val="Heading2"/>
      </w:pPr>
      <w:r>
        <w:t xml:space="preserve">4.7 การอภิปรายผลการวิจัย (Discussion)</w:t>
      </w:r>
    </w:p>
    <w:p>
      <w:pPr>
        <w:pStyle w:val="FirstParagraph"/>
      </w:pPr>
      <w:r>
        <w:t xml:space="preserve">ผลการวิจัยในครั้งนี้เป็นเครื่องพิสูจน์เชิงประจักษ์ถึงความสำเร็จในการประยุกต์ใช้เทคโนโลยีปัญญาประดิษฐ์และการเรียนรู้ของเครื่องบนอุปกรณ์ปลายทาง (Edge TinyML) ร่วมกับองค์ความรู้ทางฟิสิกส์เคมี เพื่อแก้ไขจุดอ่อนเรื้อรังของเครื่องมือตรวจวัดค่าความเป็นกรด-ด่างของดินในภาคสนาม</w:t>
      </w:r>
    </w:p>
    <w:bookmarkStart w:id="35" w:name="X66230cb0eba3d59397574ab021d89148461e9f5"/>
    <w:p>
      <w:pPr>
        <w:pStyle w:val="Heading3"/>
      </w:pPr>
      <w:r>
        <w:t xml:space="preserve">4.7.1 การก้าวข้ามขีดจำกัดของสมการเนิร์นสต์ด้วยปัญญาประดิษฐ์สองขั้นตอน</w:t>
      </w:r>
    </w:p>
    <w:p>
      <w:pPr>
        <w:pStyle w:val="FirstParagraph"/>
      </w:pPr>
      <w:r>
        <w:t xml:space="preserve">ในอดีต เครื่องวัด pH ภาคสนามที่ใช้การชดเชยอุณหภูมิเชิงเส้นตามสมการเนิร์นสต์ มักเกิดความคลาดเคลื่อนสูงเมื่อนำไปใช้งานในสวนผลไม้เขตร้อนที่มีอุณหภูมิผันผวนสูงระหว่าง</w:t>
      </w:r>
      <w:r>
        <w:t xml:space="preserve"> </w:t>
      </w:r>
      <m:oMath>
        <m:r>
          <m:t>28</m:t>
        </m:r>
        <m:r>
          <m:rPr>
            <m:sty m:val="p"/>
          </m:rPr>
          <m:t>−</m:t>
        </m:r>
        <m:r>
          <m:t>35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สาเหตุเนื่องจากสมการเนิร์นสต์คำนึงถึงเฉพาะการเปลี่ยนแปลงความชัน (</w:t>
      </w:r>
      <m:oMath>
        <m:r>
          <m:t>2.303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</m:oMath>
      <w:r>
        <w:t xml:space="preserve">) แต่ละเลยการเลื่อนลอยของจุดศักย์ไฟฟ้าสมมาตร (Isopotential Drift) และความไม่เป็นเชิงเส้นของปฏิกิริยาเคมีไฟฟ้าที่ผิวสัมผัสขั้ววัดสแตนเลสสตีล 316L</w:t>
      </w:r>
    </w:p>
    <w:p>
      <w:pPr>
        <w:pStyle w:val="BodyText"/>
      </w:pPr>
      <w:r>
        <w:t xml:space="preserve">งานวิจัยนี้ได้เสนอสถาปัตยกรรม</w:t>
      </w:r>
      <w:r>
        <w:t xml:space="preserve"> </w:t>
      </w:r>
      <w:r>
        <w:rPr>
          <w:b/>
          <w:bCs/>
        </w:rPr>
        <w:t xml:space="preserve">Two-Stage Decoupling Compensation</w:t>
      </w:r>
      <w:r>
        <w:t xml:space="preserve"> </w:t>
      </w:r>
      <w:r>
        <w:t xml:space="preserve">โดยใช้ฟิสิกส์สมการเนิร์นสต์เป็นฐานคำนวณรอบแรก แล้วใช้โครงข่ายประสาทเทียม MLP ขนาดกะทัดรัด (3-16-8-1) เรียนรู้และชดเชยความคลาดเคลื่อนที่ไม่เป็นเชิงเส้นตกค้าง ผลลัพธ์ที่ได้ทำให้ค่า RMSE ลดลงเหลือเพียง</w:t>
      </w:r>
      <w:r>
        <w:t xml:space="preserve"> </w:t>
      </w:r>
      <m:oMath>
        <m:r>
          <m:t>0.038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และลดค่า Bias ลงเหลือต่ำกว่า</w:t>
      </w:r>
      <w:r>
        <w:t xml:space="preserve"> </w:t>
      </w:r>
      <m:oMath>
        <m:r>
          <m:t>0.52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ซึ่งสอดคล้องอย่างยิ่งกับข้อค้นพบของ</w:t>
      </w:r>
      <w:r>
        <w:t xml:space="preserve"> </w:t>
      </w:r>
      <w:r>
        <w:rPr>
          <w:b/>
          <w:bCs/>
        </w:rPr>
        <w:t xml:space="preserve">Chen, Zhang, &amp; Wang (2023)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Sensors and Actuators B: Chemical</w:t>
      </w:r>
      <w:r>
        <w:t xml:space="preserve"> </w:t>
      </w:r>
      <w:r>
        <w:t xml:space="preserve">ที่รายงานว่าโครงข่ายประสาทเทียมสามารถลดความคลาดเคลื่อนของการสอบเทียบเซนเซอร์เคมีไฟฟ้าลงได้มากกว่า 3 เท่าเมื่อเทียบกับวิธีเชิงเส้นดั้งเดิม</w:t>
      </w:r>
    </w:p>
    <w:bookmarkEnd w:id="35"/>
    <w:bookmarkStart w:id="36" w:name="Xfdced3ec1c082fd2c189258ce71e65b8fca53f3"/>
    <w:p>
      <w:pPr>
        <w:pStyle w:val="Heading3"/>
      </w:pPr>
      <w:r>
        <w:t xml:space="preserve">4.7.2 ความพร้อมในการประมวลผลบนไมโครคอนโทรลเลอร์ (Edge TinyML Feasibility)</w:t>
      </w:r>
    </w:p>
    <w:p>
      <w:pPr>
        <w:pStyle w:val="FirstParagraph"/>
      </w:pPr>
      <w:r>
        <w:t xml:space="preserve">ข้อค้นพบที่สำคัญอีกประการหนึ่งคือ ความเป็นไปได้ในการนำโมเดลปัญญาประดิษฐ์มาทำงานบนไมโครคอนโทรลเลอร์ ESP32-S3 โดยไม่ต้องเชื่อมต่ออินเทอร์เน็ตหรือส่งข้อมูลขึ้นคลาวด์ การแปลงโครงข่ายประสาทเทียมให้อยู่ในรูปของ C++ Static Array ทำให้ระบบใช้เวลาประมวลผลเพียง</w:t>
      </w:r>
      <w:r>
        <w:t xml:space="preserve"> </w:t>
      </w:r>
      <w:r>
        <w:rPr>
          <w:b/>
          <w:bCs/>
        </w:rPr>
        <w:t xml:space="preserve">0.118 มิลลิวินาที</w:t>
      </w:r>
      <w:r>
        <w:t xml:space="preserve"> </w:t>
      </w:r>
      <w:r>
        <w:t xml:space="preserve">และใช้หน่วยความจำ SRAM เพียง 1.2 KB สอดรับกับกรอบแนวคิดของ</w:t>
      </w:r>
      <w:r>
        <w:t xml:space="preserve"> </w:t>
      </w:r>
      <w:r>
        <w:rPr>
          <w:b/>
          <w:bCs/>
        </w:rPr>
        <w:t xml:space="preserve">Zarychta &amp; Gródek (2024)</w:t>
      </w:r>
      <w:r>
        <w:t xml:space="preserve"> </w:t>
      </w:r>
      <w:r>
        <w:t xml:space="preserve">ในเรื่องการย้ายปัญญาประดิษฐ์มาสู่ระดับอุปกรณ์ (Edge AI for Precision Agriculture) ซึ่งช่วยให้เกษตรกรสามารถตรวจวัดดินได้ทันทีในพื้นที่หุบเขาหรือสวนทุเรียนที่ไม่มีสัญญาณโทรศัพท์มือถือ</w:t>
      </w:r>
    </w:p>
    <w:bookmarkEnd w:id="36"/>
    <w:bookmarkStart w:id="37" w:name="X3ca2bd6d3a74b0b4beb4278040a81023213d5a2"/>
    <w:p>
      <w:pPr>
        <w:pStyle w:val="Heading3"/>
      </w:pPr>
      <w:r>
        <w:t xml:space="preserve">4.7.3 ผลกระทบเชิงประยุกต์ต่อการจัดการสวนทุเรียนในภาคตะวันออก</w:t>
      </w:r>
    </w:p>
    <w:p>
      <w:pPr>
        <w:pStyle w:val="FirstParagraph"/>
      </w:pPr>
      <w:r>
        <w:t xml:space="preserve">จากการทดสอบตัวอย่างดินจริง 30 แปลงในจังหวัดจันทบุรีและตราด พบว่าสวนทุเรียนจำนวนมากถึง 8 แปลง (26.7%) มีค่า pH ดินต่ำกว่า 5.0 (กรดรุนแรง) ซึ่งสอดคล้องกับรายงานของ</w:t>
      </w:r>
      <w:r>
        <w:t xml:space="preserve"> </w:t>
      </w:r>
      <w:r>
        <w:rPr>
          <w:b/>
          <w:bCs/>
        </w:rPr>
        <w:t xml:space="preserve">Phimsorn, Suksaran, &amp; Thongpae (2023)</w:t>
      </w:r>
      <w:r>
        <w:t xml:space="preserve"> </w:t>
      </w:r>
      <w:r>
        <w:t xml:space="preserve">ที่ระบุว่าดินกรดจัดในภาคตะวันออกเป็นอุปสรรคสำคัญที่ขัดขวางการดูดซึมฟอสฟอรัสและกระตุ้นการแพร่ระบาดของเชื้อรา</w:t>
      </w:r>
      <w:r>
        <w:t xml:space="preserve"> </w:t>
      </w:r>
      <w:r>
        <w:rPr>
          <w:i/>
          <w:iCs/>
        </w:rPr>
        <w:t xml:space="preserve">Phytophthora palmivora</w:t>
      </w:r>
    </w:p>
    <w:p>
      <w:pPr>
        <w:pStyle w:val="BodyText"/>
      </w:pPr>
      <w:r>
        <w:t xml:space="preserve">ชุดทดสอบที่พัฒนาขึ้นนี้มีระบบแจ้งเตือนสีแดงและคำแนะนำการใส่ปูนโดโลไมท์บนหน้าจอ Cyber Dashboard ทันทีที่พบดินกรดรุนแรง ทำให้ชาวสวนทุเรียนสามารถปรับปรุงดินได้อย่างทันท่วงที โดยไม่ต้องรอผลวิเคราะห์จากห้องปฏิบัติการที่ใช้เวลา 2-3 สัปดาห์ ช่วยลดความเสียหายต่อระบบรากทุเรียนและเพิ่มผลผลิตทางการเกษตรได้อย่างเป็นรูปธรรม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6" Target="media/rId16.png" /><Relationship Type="http://schemas.openxmlformats.org/officeDocument/2006/relationships/image" Id="rId29" Target="media/rId2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2026-09-21T01:55:05Z</dcterms:created>
  <dcterms:modified xsi:type="dcterms:W3CDTF">2026-09-21T01:55:05Z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