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1"/>
    <w:p>
      <w:pPr>
        <w:pStyle w:val="Heading1"/>
      </w:pPr>
      <w:r>
        <w:t xml:space="preserve">บทที่ 1</w:t>
      </w:r>
    </w:p>
    <w:bookmarkEnd w:id="9"/>
    <w:bookmarkStart w:id="20" w:name="บทนำ"/>
    <w:p>
      <w:pPr>
        <w:pStyle w:val="Heading1"/>
      </w:pPr>
      <w:r>
        <w:t xml:space="preserve">บทนำ</w:t>
      </w:r>
    </w:p>
    <w:bookmarkStart w:id="10" w:name="ความเปนมาและความสำคญของปญหา"/>
    <w:p>
      <w:pPr>
        <w:pStyle w:val="Heading2"/>
      </w:pPr>
      <w:r>
        <w:t xml:space="preserve">1.1 ความเป็นมาและความสำคัญของปัญหา</w:t>
      </w:r>
    </w:p>
    <w:p>
      <w:pPr>
        <w:pStyle w:val="FirstParagraph"/>
      </w:pPr>
      <w:r>
        <w:t xml:space="preserve">ภาคเกษตรกรรมถือเป็นรากฐานที่มีความสำคัญยิ่งต่อระบบเศรษฐกิจ สังคม และความมั่นคงทางอาหารของประเทศไทย โดยเฉพาะอย่างยิ่งในภูมิภาคตะวันออก อันได้แก่ จังหวัดจันทบุรีและจังหวัดตราด ซึ่งเป็นแหล่งเพาะปลูกและส่งออกผลไม้เขตร้อนมูลค่าสูงระดับแนวหน้าของประเทศ โดยเฉพาะทุเรียน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มังคุด และเงาะ ในกระบวนการผลิตไม้ผลเศรษฐกิจเหล่านี้ การเจริญเติบโต การสร้างตาดอก การติดผล ตลอดจนคุณภาพและเนื้อสัมผัสของผลผลิต ล้วนขึ้นอยู่กับความสมดุลของธาตุอาหารหลักในดิน (Primary Soil Macronutrients) ได้แก่ ไนโตรเจน (Nitrogen หรือ N) ฟอสฟอรัส (Phosphorus หรือ P) และโพแทสเซียม (Potassium หรือ K) ซึ่งในบรรดาธาตุอาหารหลักดังกล่าว ธาตุไนโตรเจนทำหน้าที่เป็นองค์ประกอบโครงสร้างพื้นฐานของกรดอะมิโน โปรตีน และคลอโรฟิลล์ที่ใช้ในกระบวนการสังเคราะห์ด้วยแสง ขณะที่ธาตุฟอสฟอรัสมีบทบาทสำคัญในกระบวนการถ่ายโอนพลังงานระดับเซลล์ในรูปของสารประกอบอะดีโนซีนไตรฟอสเฟต (Adenosine Triphosphate หรือ ATP) การแบ่งเซลล์ และการพัฒนาระบบรากพืช</w:t>
      </w:r>
    </w:p>
    <w:p>
      <w:pPr>
        <w:pStyle w:val="BodyText"/>
      </w:pPr>
      <w:r>
        <w:t xml:space="preserve">อย่างไรก็ดี ในรอบหลายทศวรรษที่ผ่านมา เกษตรกรชาวสวนไม้ผลส่วนใหญ่ยังคงประสบปัญหาเชิงโครงสร้างด้านการจัดการธาตุอาหารพืช โดยนิยมใส่ปุ๋ยเคมีในปริมาณสูงเกินความต้องการที่แท้จริงของพืชอย่างต่อเนื่อง เนื่องจากขาดข้อมูลความอุดมสมบูรณ์ของดินเชิงปริมาณในแปลงปลูกแบบทันท่วงที พฤติกรรมการให้ปุ๋ยเคมีเกินขนาดนี้ส่งผลกระทบลูกโซ่อย่างรุนแรง ทั้งในมิติเศรษฐกิจที่ทำให้ต้นทุนค่าปุ๋ยของเกษตรกรพุ่งสูงขึ้นอย่างต่อเนื่อง และในมิตินิเวศวิทยาที่ส่งผลให้เกิดการสะสมของเกลือตกค้าง ดินกลายเป็นกรดจัด โครงสร้างทางกายภาพของดินเสื่อมโทรม ความหลากหลายของจุลินทรีย์ดินที่มีประโยชน์ลดลง ตลอดจนเกิดการชะล้างพังทลายของสารประกอบไนเตรต (Nitrate Leaching) และฟอสเฟตส่วนเกินลงสู่แหล่งน้ำผิวดินและน้ำใต้ดิน ก่อให้เกิดสภาวะยูโทรฟิเคชัน (Eutrophication) ซึ่งทำลายระบบนิเวศแหล่งน้ำธรรมชาติในพื้นที่เกษตรกรรมอย่างกว้างขวาง</w:t>
      </w:r>
    </w:p>
    <w:p>
      <w:pPr>
        <w:pStyle w:val="BodyText"/>
      </w:pPr>
      <w:r>
        <w:t xml:space="preserve">เพื่อแก้ไขปัญหาดังกล่าว หลักการทำเกษตรแม่นยำ (Precision Agriculture) จึงกำหนดให้การใส่ปุ๋ยต้องสอดคล้องกับความต้องการของพืชและระดับธาตุอาหารที่มีอยู่จริงในดิน (Site-Specific Nutrient Management) ทว่าอุปสรรคสำคัญที่สุดที่ทำให้แนวคิดนี้ไม่สามารถขยายผลสู่เกษตรกรในวงกว้างได้ คือ ข้อจำกัดของเทคโนโลยีและกระบวนการตรวจวิเคราะห์ดินที่มีอยู่ในปัจจุบัน โดยสามารถจำแนกปัญหาออกเป็น 2 แนวทางหลัก ได้แก่</w:t>
      </w:r>
    </w:p>
    <w:p>
      <w:pPr>
        <w:pStyle w:val="BodyText"/>
      </w:pPr>
      <w:r>
        <w:t xml:space="preserve">ประการแรก การวิเคราะห์ดินด้วยวิธีมาตรฐานทางเคมีในห้องปฏิบัติการ (Standard Analytical Laboratory Methods) แม้จะให้ผลที่มีความแม่นยำและความถูกต้องสูง เช่น การหาปริมาณไนโตรเจนทั้งหมด (Total Nitrogen) ด้วยวิธีเคจ์ลดาห์ล (Kjeldahl Method) และการหาปริมาณฟอสฟอรัสที่เป็นประโยชน์ (Available Phosphorus) ด้วยวิธีเบรย์ 2 (Bray II Method) หรือวิธีโอลเซน (Olsen Method) แต่กระบวนการดังกล่าวมีขั้นตอนยุ่งยาก ซับซ้อน ต้องใช้บุคลากรผู้เชี่ยวชาญ สารเคมีที่มีฤทธิ์กัดกร่อนสูง และเครื่องมือวิเคราะห์ทางวิทยาศาสตร์ที่มีราคาสูง ส่งผลให้มีระยะเวลารอคอยผลการทดสอบยาวนานถึง 2 ถึง 4 สัปดาห์ และมีค่าใช้จ่ายเฉลี่ยสูงถึง 1,000 ถึง 1,500 บาทต่อหนึ่งตัวอย่างดิน เกษตรกรจึงไม่สามารถนำผลวิเคราะห์มาปรับเปลี่ยนแผนการจัดการปุ๋ยได้อย่างทันท่วงทีตามระยะการเจริญเติบโตของพืช</w:t>
      </w:r>
    </w:p>
    <w:p>
      <w:pPr>
        <w:pStyle w:val="BodyText"/>
      </w:pPr>
      <w:r>
        <w:t xml:space="preserve">ประการที่สอง การใช้ชุดทดสอบภาคสนามแบบรวดเร็ว (Colorimetric Rapid Test Kits) ซึ่งอาศัยการสกัดดินด้วยสารเคมีแล้วเทียบแถบสีด้วยสายตามนุษย์ แม้จะช่วยลดระยะเวลาลงได้บ้าง แต่ก็ยังคงต้องสัมผัสกับสารเคมีอันตราย เกิดของเสียสารเคมี และผลลัพธ์มักมีความคลาดเคลื่อนสูงเนื่องจากความแปรปรวนของการรับรู้สีของสายตามนุษย์แต่ละบุคคล ประกอบกับการรบกวนของความขุ่นและสีตามธรรมชาติของอนุภาคคอลลอยด์ในดิน ขณะเดียวกัน แม้จะมีผู้พยายามพัฒนาการประมวลผลภาพถ่ายจากกล้องสมาร์ทโฟนเพื่ออ่านค่าสี แต่ก็ยังเผชิญกับอุปสรรคสำคัญยิ่งยวดจากความแปรปรวนของสภาพแสงแวดล้อมภายนอก (Ambient Light Fluctuation) ความไม่สม่ำเสมอของการสะท้อนแสง และความแตกต่างของค่าตอบสนองของเซนเซอร์รับภาพ (CMOS Sensor) ในสมาร์ทโฟนแต่ละรุ่น ซึ่งก่อให้เกิดความคลาดเคลื่อนในการทำนายเกินกว่าระดับที่ยอมรับได้ในทางเคมีวิเคราะห์</w:t>
      </w:r>
    </w:p>
    <w:p>
      <w:pPr>
        <w:pStyle w:val="BodyText"/>
      </w:pPr>
      <w:r>
        <w:t xml:space="preserve">จากสภาพปัญหาและข้อจำกัดดังกล่าว คณะผู้วิจัยจึงได้นำหลักการทางฟิสิกส์เกษตรเชิงทัศนศาสตร์ (Optical Agriphysics) มาบูรณาการร่วมกับระบบสมองกลฝังตัวและปัญญาประดิษฐ์ โดยอาศัยหลักการสะท้อนแสงแบบกระจาย (Diffuse Reflectance) ตามทฤษฎีคูเบลกา-มังก์ (Kubelka-Munk Theory) ซึ่งอธิบายว่า สารประกอบอินทรีย์ที่มีไนโตรเจนเป็นองค์ประกอบและสารประกอบฟอสเฟตเชิงซ้อนในดิน มีคุณสมบัติในการดูดกลืนและสะท้อนรังสีแม่เหล็กไฟฟ้าที่ความยาวคลื่นเฉพาะในย่านแสงที่ตามองเห็นและย่านใกล้อินฟราเรด (Visible and Near-Infrared หรือ VIS-NIR) ในช่วงความยาวคลื่น 450 ถึง 940 นาโนเมตร โดยลายพิมพ์สเปกตรัม (Spectral Fingerprint) ที่ได้จะแฝงข้อมูลความเข้มข้นของธาตุอาหารอยู่</w:t>
      </w:r>
    </w:p>
    <w:p>
      <w:pPr>
        <w:pStyle w:val="BodyText"/>
      </w:pPr>
      <w:r>
        <w:t xml:space="preserve">โครงการวิจัยนี้จึงมุ่งออกแบบและสร้างชุดวิเคราะห์ปริมาณไนโตรเจนและฟอสฟอรัสในดินแบบพกพา โดยออกแบบกล่องตรวจวัดแบบทึบแสง (Optical Dark Chamber) ที่ผลิตด้วยเทคโนโลยีการพิมพ์สามมิติและเคลือบผิวภายในด้วยสารดูดกลืนแสงแบบด้าน เพื่อขจัดแสงรบกวนจากภายนอกโดยสมบูรณ์ ร่วมกับการติดตั้งแหล่งกำเนิดแสงไดโอดเปล่งแสงหลายความยาวคลื่น (Multi-wavelength LED Array) ที่ถูกควบคุมการกระตุ้นแสงแบบตามลำดับ (Pulsed Sequential Illumination) และควบคุมระยะห่างเชิงแสงให้คงที่ ผสานเข้ากับการประมวลผลลายพิมพ์สเปกตรัมด้วยโครงข่ายประสาทเทียม (Artificial Neural Network หรือ ANN) และการถดถอยเวกเตอร์สนับสนุน (Support Vector Regression หรือ SVR) แบบ On-device TinyML บนไมโครคอนโทรลเลอร์สมรรถนะสูง ESP32-S3 และแอปพลิเคชันสมาร์ทโฟน ทำให้ได้เครื่องมือตรวจวิเคราะห์ปริมาณไนโตรเจนและฟอสฟอรัสในดินที่ให้ผลแม่นยำ รวดเร็ว ไม่ใช้สารเคมี ปลอดภัย และมีความสะดวกในการพกพาไปใช้งานในแปลงเกษตรกรรมจริง อันจะช่วยยกระดับขีดความสามารถของเกษตรกรไทยสู่การทำการเกษตรแม่นยำอย่างยั่งยืน</w:t>
      </w:r>
    </w:p>
    <w:p>
      <w:r>
        <w:pict>
          <v:rect style="width:0;height:1.5pt" o:hralign="center" o:hrstd="t" o:hr="t"/>
        </w:pict>
      </w:r>
    </w:p>
    <w:bookmarkEnd w:id="10"/>
    <w:bookmarkStart w:id="11" w:name="วตถประสงคของการวจย"/>
    <w:p>
      <w:pPr>
        <w:pStyle w:val="Heading2"/>
      </w:pPr>
      <w:r>
        <w:t xml:space="preserve">1.2 วัตถุประสงค์ของการวิจัย</w:t>
      </w:r>
    </w:p>
    <w:p>
      <w:pPr>
        <w:pStyle w:val="FirstParagraph"/>
      </w:pPr>
      <w:r>
        <w:t xml:space="preserve">การวิจัยนี้มีวัตถุประสงค์หลัก 3 ประการ ได้แก่</w:t>
      </w:r>
    </w:p>
    <w:p>
      <w:pPr>
        <w:pStyle w:val="Compact"/>
        <w:numPr>
          <w:ilvl w:val="0"/>
          <w:numId w:val="1001"/>
        </w:numPr>
      </w:pPr>
      <w:r>
        <w:t xml:space="preserve">เพื่อออกแบบและสร้างชุดวิเคราะห์ปริมาณไนโตรเจนทั้งหมดและฟอสฟอรัสที่เป็นประโยชน์ในดินแบบพกพา โดยใช้ระบบควบคุมสภาพแสงแบบทึบแสงร่วมกับแหล่งกำเนิดแสงหลายความยาวคลื่นและโมดูลตรวจวัดการสะท้อนแสงเชิงสเปกตรัม</w:t>
      </w:r>
    </w:p>
    <w:p>
      <w:pPr>
        <w:pStyle w:val="Compact"/>
        <w:numPr>
          <w:ilvl w:val="0"/>
          <w:numId w:val="1001"/>
        </w:numPr>
      </w:pPr>
      <w:r>
        <w:t xml:space="preserve">เพื่อสร้างชุดข้อมูลมาตรฐานความสัมพันธ์ระหว่างลายพิมพ์สเปกตรัมการสะท้อนแสงของดินกับค่าการวิเคราะห์ปริมาณไนโตรเจนทั้งหมดและฟอสฟอรัสที่เป็นประโยชน์จากห้องปฏิบัติการมาตรฐาน</w:t>
      </w:r>
    </w:p>
    <w:p>
      <w:pPr>
        <w:pStyle w:val="Compact"/>
        <w:numPr>
          <w:ilvl w:val="0"/>
          <w:numId w:val="1001"/>
        </w:numPr>
      </w:pPr>
      <w:r>
        <w:t xml:space="preserve">เพื่อพัฒนาและประเมินสมรรถนะแบบจำลองปัญญาประดิษฐ์โครงข่ายประสาทเทียมและการถดถอยเวกเตอร์สนับสนุนสำหรับการทำนายปริมาณไนโตรเจนและฟอสฟอรัสในดินแบบเรียลไทม์บนอุปกรณ์พกพา พร้อมระบบแปลผลและให้คำแนะนำการจัดการปุ๋ยเบื้องต้น</w:t>
      </w:r>
    </w:p>
    <w:p>
      <w:r>
        <w:pict>
          <v:rect style="width:0;height:1.5pt" o:hralign="center" o:hrstd="t" o:hr="t"/>
        </w:pict>
      </w:r>
    </w:p>
    <w:bookmarkEnd w:id="11"/>
    <w:bookmarkStart w:id="16" w:name="ขอบเขตของการวจย"/>
    <w:p>
      <w:pPr>
        <w:pStyle w:val="Heading2"/>
      </w:pPr>
      <w:r>
        <w:t xml:space="preserve">1.3 ขอบเขตของการวิจัย</w:t>
      </w:r>
    </w:p>
    <w:p>
      <w:pPr>
        <w:pStyle w:val="FirstParagraph"/>
      </w:pPr>
      <w:r>
        <w:t xml:space="preserve">การวิจัยนี้ได้กำหนดกรอบและขอบเขตการดำเนินงาน 4 ด้าน ดังนี้</w:t>
      </w:r>
    </w:p>
    <w:bookmarkStart w:id="12" w:name="ขอบเขตดานประชากรและกลมตวอยาง"/>
    <w:p>
      <w:pPr>
        <w:pStyle w:val="Heading3"/>
      </w:pPr>
      <w:r>
        <w:t xml:space="preserve">1.3.1 ขอบเขตด้านประชากรและกลุ่มตัวอย่าง</w:t>
      </w:r>
    </w:p>
    <w:p>
      <w:pPr>
        <w:pStyle w:val="FirstParagraph"/>
      </w:pPr>
      <w:r>
        <w:t xml:space="preserve">ประชากรที่ใช้ในการศึกษาคือ ดินในแปลงเพาะปลูกไม้ผลเศรษฐกิจ โดยเฉพาะสวนทุเรียนในเขตพื้นที่ภาคตะวันออกของประเทศไทย กลุ่มตัวอย่างที่ใช้ในการสร้างชุดข้อมูลมาตรฐานและการทดสอบความใช้ได้ของวิธีประกอบด้วย ตัวอย่างดินที่เก็บจากแปลงเกษตรกรรมจริงในพื้นที่ 3 อำเภอ ได้แก่ อำเภอมะขาม และอำเภอท่าใหม่ จังหวัดจันทบุรี ตลอดจนอำเภอเขาสมิง จังหวัดตราด จำนวนรวมทั้งสิ้น 50 ตัวอย่าง โดยจำแนกเป็นตัวอย่างดินสำหรับสร้างและฝึกสอนแบบจำลองปัญญาประดิษฐ์จำนวน 15 ตัวอย่างแรก และตัวอย่างดินสำหรับขยายผลทดสอบความแม่นยำภาคสนามจำนวน 35 ตัวอย่าง ครอบคลุมชุดดินหลากหลายลักษณะ ได้แก่ ชุดดินท่าใหม่ (Tha Mai series) ชุดดินห้วยโป่ง (Huai Pong series) และชุดดินเขาสมิง (Khao Saming series)</w:t>
      </w:r>
    </w:p>
    <w:bookmarkEnd w:id="12"/>
    <w:bookmarkStart w:id="13" w:name="ขอบเขตดานตวแปรทศกษา"/>
    <w:p>
      <w:pPr>
        <w:pStyle w:val="Heading3"/>
      </w:pPr>
      <w:r>
        <w:t xml:space="preserve">1.3.2 ขอบเขตด้านตัวแปรที่ศึกษา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ตัวแปรต้น (Independent Variables)</w:t>
      </w:r>
      <w:r>
        <w:t xml:space="preserve"> </w:t>
      </w:r>
      <w:r>
        <w:t xml:space="preserve">ประกอบด้วย ลายพิมพ์สเปกตรัมการสะท้อนแสงของดิน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และค่าฟังก์ชันคูเบลกา-มังก์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</m:oMath>
      <w:r>
        <w:t xml:space="preserve">) ภายใต้แสงกระตุ้น 6 แถบความยาวคลื่น ได้แก่ 465 นาโนเมตร (น้ำเงิน) 525 นาโนเมตร (เขียว) 660 นาโนเมตร (แดง) 720 นาโนเมตร (เรดเอจ) 850 นาโนเมตร (ใกล้อินฟราเรดตอนต้น) และ 940 นาโนเมตร (ใกล้อินฟราเรดอ้างอิงความชื้น) ตลอดจนค่าดัชนีสีในปริภูมิ RGB และ HSV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ตัวแปรตาม (Dependent Variables)</w:t>
      </w:r>
      <w:r>
        <w:t xml:space="preserve"> </w:t>
      </w:r>
      <w:r>
        <w:t xml:space="preserve">ประกอบด้วย ปริมาณไนโตรเจนทั้งหมด (Total Nitrogen) ในหน่วยกรัมต่อกิโลกรัม (g/kg) หรือร้อยละ (%) และปริมาณฟอสฟอรัสที่เป็นประโยชน์ (Available Phosphorus) ในหน่วยมิลลิกรัมต่อกิโลกรัม (mg/kg หรือ ppm) ที่ทำนายได้จากแบบจำลองปัญญาประดิษฐ์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ตัวแปรควบคุม (Controlled Variables)</w:t>
      </w:r>
      <w:r>
        <w:t xml:space="preserve"> </w:t>
      </w:r>
      <w:r>
        <w:t xml:space="preserve">ได้แก่ สภาพแสงแวดล้อมภายนอกโดยการควบคุมภายในกล่องทึบแสง ระยะห่างและมุมตกกระทบของแสงต่อพื้นผิวตัวอย่างดิน ความเข้มของกระแสไฟฟ้าที่ป้อนให้แก่ไดโอดเปล่งแสง ขนาดอนุภาคดินที่ร่อนผ่านตะแกรงขนาด 2 มิลลิเมตร และอุณหภูมิแวดล้อมขณะตรวจวัด</w:t>
      </w:r>
    </w:p>
    <w:bookmarkEnd w:id="13"/>
    <w:bookmarkStart w:id="14" w:name="ขอบเขตดานเทคโนโลยและเครองมอ"/>
    <w:p>
      <w:pPr>
        <w:pStyle w:val="Heading3"/>
      </w:pPr>
      <w:r>
        <w:t xml:space="preserve">1.3.3 ขอบเขตด้านเทคโนโลยีและเครื่องมือ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ระบบฮาร์ดแวร์</w:t>
      </w:r>
      <w:r>
        <w:t xml:space="preserve"> </w:t>
      </w:r>
      <w:r>
        <w:t xml:space="preserve">พัฒนาโครงสร้างกล่องวัดแบบทึบแสง (Optical Dark Chamber) ขนาดกะทัดรัดด้วยเครื่องพิมพ์สามมิติ วัสดุพอลิเมอร์ทนความร้อนเคลือบผิวด้านภายในเพื่อลดการสะท้อนแสง ติดตั้งโมดูลแหล่งกำเนิดแสง Multi-wavelength LED Array และแผ่นเทียบการสะท้อนแสงสีขาวมาตรฐาน (Standard White Reference Tile) ขับเคลื่อนด้วยบอร์ดไมโครคอนโทรลเลอร์ ESP32-S3 Dual-Core 240 MHz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ระบบซอฟต์แวร์และปัญญาประดิษฐ์</w:t>
      </w:r>
      <w:r>
        <w:t xml:space="preserve"> </w:t>
      </w:r>
      <w:r>
        <w:t xml:space="preserve">พัฒนาอัลกอริทึมการประมวลผลสัญญาณสเปกตรัมล่วงหน้าด้วยวิธี Standard Normal Variate (SNV) และฝึกสอนแบบจำลองโครงข่ายประสาทเทียม (ANN) และการถดถอยเวกเตอร์สนับสนุน (SVR) และแปลงเป็นโครงสร้างภาษา C++ แบบสถิต (Static Arrays) สำหรับประมวลผลแบบ TinyML และเชื่อมต่อแอปพลิเคชันบนสมาร์ทโฟน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วิธีมาตรฐานอ้างอิงทางห้องปฏิบัติการ</w:t>
      </w:r>
      <w:r>
        <w:t xml:space="preserve"> </w:t>
      </w:r>
      <w:r>
        <w:t xml:space="preserve">ตรวจวิเคราะห์ปริมาณไนโตรเจนทั้งหมดด้วยวิธี Micro-Kjeldahl Method ตามมาตรฐาน AOAC 978.02 และตรวจวิเคราะห์ฟอสฟอรัสที่เป็นประโยชน์ด้วยวิธี Bray II Method ร่วมกับเครื่องสเปกโตรโฟโตมิเตอร์ที่ความยาวคลื่น 880 นาโนเมตร</w:t>
      </w:r>
    </w:p>
    <w:bookmarkEnd w:id="14"/>
    <w:bookmarkStart w:id="15" w:name="ขอบเขตดานระยะเวลาและสถานท"/>
    <w:p>
      <w:pPr>
        <w:pStyle w:val="Heading3"/>
      </w:pPr>
      <w:r>
        <w:t xml:space="preserve">1.3.4 ขอบเขตด้านระยะเวลาและสถานที่</w:t>
      </w:r>
    </w:p>
    <w:p>
      <w:pPr>
        <w:pStyle w:val="FirstParagraph"/>
      </w:pPr>
      <w:r>
        <w:t xml:space="preserve">ดำเนินงานวิจัยระหว่างเดือนเมษายน พ.ศ. 2569 ถึงเดือนมีนาคม พ.ศ. 2570 โดยทำการทดลอง ณ ห้องปฏิบัติการฟิสิกส์ประยุกต์และห้องปฏิบัติการเคมี คณะวิทยาศาสตร์และเทคโนโลยี มหาวิทยาลัยราชภัฏรำไพพรรณี และเก็บตัวอย่างดินในแปลงเกษตรกรรมจังหวัดจันทบุรีและจังหวัดตราด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สมมตฐานของการวจย"/>
    <w:p>
      <w:pPr>
        <w:pStyle w:val="Heading2"/>
      </w:pPr>
      <w:r>
        <w:t xml:space="preserve">1.4 สมมติฐานของการวิจัย</w:t>
      </w:r>
    </w:p>
    <w:p>
      <w:pPr>
        <w:pStyle w:val="FirstParagraph"/>
      </w:pPr>
      <w:r>
        <w:t xml:space="preserve">การวิจัยนี้ได้กำหนดสมมติฐานเชิงปริมาณไว้ 3 ประการ ดังนี้</w:t>
      </w:r>
    </w:p>
    <w:p>
      <w:pPr>
        <w:pStyle w:val="Compact"/>
        <w:numPr>
          <w:ilvl w:val="0"/>
          <w:numId w:val="1004"/>
        </w:numPr>
      </w:pPr>
      <w:r>
        <w:t xml:space="preserve">สเปกตรัมการสะท้อนแสงแบบกระจายของดินที่สกัดจากระบบควบคุมสภาพแสงมีความสัมพันธ์เชิงฟังก์ชันที่ไม่เป็นเชิงเส้นอย่างมีนัยสำคัญทางสถิติกับปริมาณไนโตรเจนทั้งหมดและฟอสฟอรัสที่เป็นประโยชน์ที่วิเคราะห์ด้วยวิธีมาตรฐานในห้องปฏิบัติการ</w:t>
      </w:r>
    </w:p>
    <w:p>
      <w:pPr>
        <w:pStyle w:val="Compact"/>
        <w:numPr>
          <w:ilvl w:val="0"/>
          <w:numId w:val="1004"/>
        </w:numPr>
      </w:pPr>
      <w:r>
        <w:t xml:space="preserve">แบบจำลองปัญญาประดิษฐ์ที่พัฒนาขึ้น (ANN และ SVR) มีสมรรถนะในการทำนายปริมาณไนโตรเจนทั้งหมดและฟอสฟอรัสที่เป็นประโยชน์ในดินได้อย่างแม่นยำ โดยมีค่าสัมประสิทธิ์การตัดสินใจ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ไม่น้อยกว่า 0.88 สำหรับไนโตรเจน และไม่น้อยกว่า 0.85 สำหรับฟอสฟอรัส และมีค่าความคลาดเคลื่อนรากกำลังสองเฉลี่ย (RMSE) ต่ำกว่าการทำนายด้วยสมการถดถอยเชิงเส้นเชิงซ้อนทั่วไปไม่น้อยกว่าร้อยละ 40</w:t>
      </w:r>
    </w:p>
    <w:p>
      <w:pPr>
        <w:pStyle w:val="Compact"/>
        <w:numPr>
          <w:ilvl w:val="0"/>
          <w:numId w:val="1004"/>
        </w:numPr>
      </w:pPr>
      <w:r>
        <w:t xml:space="preserve">ผลการตรวจวิเคราะห์ปริมาณไนโตรเจนทั้งหมดและฟอสฟอรัสที่เป็นประโยชน์ในดินภาคสนามด้วยชุดวิเคราะห์แบบพกพาที่พัฒนาขึ้น ไม่มีความแตกต่างจากผลการวิเคราะห์ด้วยวิธีมาตรฐานทางเคมีในห้องปฏิบัติการอย่างมีนัยสำคัญทางสถิติที่ระดับความเชื่อมั่น 95% นั่นคือ ค่าความน่าจะเป็น (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) จากการทดสอบ Paired Samples t-test มีค่ามากกว่า 0.05 และมีค่าความเอนเอียง (Bias) ต่ำกว่าร้อยละ 5</w:t>
      </w:r>
    </w:p>
    <w:p>
      <w:r>
        <w:pict>
          <v:rect style="width:0;height:1.5pt" o:hralign="center" o:hrstd="t" o:hr="t"/>
        </w:pict>
      </w:r>
    </w:p>
    <w:bookmarkEnd w:id="17"/>
    <w:bookmarkStart w:id="18" w:name="นยามศพทเฉพาะ"/>
    <w:p>
      <w:pPr>
        <w:pStyle w:val="Heading2"/>
      </w:pPr>
      <w:r>
        <w:t xml:space="preserve">1.5 นิยามศัพท์เฉพาะ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ชุดวิเคราะห์ปริมาณไนโตรเจนและฟอสฟอรัสในดินแบบพกพา (Portable Soil N and P Analyzer)</w:t>
      </w:r>
      <w:r>
        <w:t xml:space="preserve"> </w:t>
      </w:r>
      <w:r>
        <w:t xml:space="preserve">หมายถึง อุปกรณ์ตรวจวัดขนาดกะทัดรัดที่ประกอบด้วยกล่องทึบแสงป้องกันแสงรบกวนภายนอก แหล่งกำเนิดแสงหลายความยาวคลื่น โมดูลเซนเซอร์ตรวจวัดการสะท้อนแสง และหน่วยประมวลผลสมองกลฝังตัวที่ทำงานร่วมกับสมาร์ทโฟน สามารถเคลื่อนย้ายไปตรวจวัดในแปลงเกษตรกรรมได้สะดวก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การสะท้อนแสงแบบกระจาย (Diffuse Reflectance)</w:t>
      </w:r>
      <w:r>
        <w:t xml:space="preserve"> </w:t>
      </w:r>
      <w:r>
        <w:t xml:space="preserve">หมายถึง ปรากฏการณ์ที่แสงตกกระทบลงบนอนุภาคดินแล้วเกิดการหักเห สะท้อน และกระเจิงแสงซ้ำไปซ้ำมาภายในเนื้อสารก่อนจะโผล่พ้นพื้นผิวกลับออกมา โดยแสงที่สะท้อนออกมาจะถูกดูดกลืนพลังงานบางส่วนตามธรรมชาติของพันธะเคมีและสารประกอบที่อยู่ในดิน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ทฤษฎีคูเบลกา-มังก์ (Kubelka-Munk Theory)</w:t>
      </w:r>
      <w:r>
        <w:t xml:space="preserve"> </w:t>
      </w:r>
      <w:r>
        <w:t xml:space="preserve">หมายถึง ทฤษฎีทางฟิสิกส์ทัศนศาสตร์ที่อธิบายความสัมพันธ์ระหว่างค่าการสะท้อนแสงแบบกระจายของตัวอย่างทึบแสง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กับสัมประสิทธิ์การดูดกลืนแสง (</w:t>
      </w:r>
      <m:oMath>
        <m:r>
          <m:t>K</m:t>
        </m:r>
      </m:oMath>
      <w:r>
        <w:t xml:space="preserve">) และสัมประสิทธิ์การกระเจิงแสง (</w:t>
      </w:r>
      <m:oMath>
        <m:r>
          <m:t>S</m:t>
        </m:r>
      </m:oMath>
      <w:r>
        <w:t xml:space="preserve">) ในรูปของฟังก์ชันคูเบลกา-มังก์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S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ลายพิมพ์สเปกตรัม (Spectral Fingerprint)</w:t>
      </w:r>
      <w:r>
        <w:t xml:space="preserve"> </w:t>
      </w:r>
      <w:r>
        <w:t xml:space="preserve">หมายถึง เวกเตอร์ของค่าความเข้มของการสะท้อนแสงของดินตัวอย่างที่บันทึกได้ภายใต้แถบความยาวคลื่นเฉพาะ 6 ย่านคลื่น (465, 525, 660, 720, 850 และ 940 นาโนเมตร) ซึ่งมีลักษณะเฉพาะตัวตามองค์ประกอบทางเคมีและกายภาพของดินตัวอย่างนั้น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ไนโตรเจนทั้งหมดในดิน (Total Soil Nitrogen หรือ Total N)</w:t>
      </w:r>
      <w:r>
        <w:t xml:space="preserve"> </w:t>
      </w:r>
      <w:r>
        <w:t xml:space="preserve">หมายถึง ปริมาณไนโตรเจนรวมทุกรูปที่มีอยู่ในดิน ทั้งในรูปสารประกอบอินทรีย์และอนินทรีย์ โดยวิธีมาตรฐานอ้างอิงในการวิเคราะห์คือวิธีเคจ์ลดาห์ล (Kjeldahl Method) มีหน่วยเป็นกรัมต่อกิโลกรัม (g/kg) หรือร้อยละ (%)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ฟอสฟอรัสที่เป็นประโยชน์ในดิน (Available Soil Phosphorus หรือ Available P)</w:t>
      </w:r>
      <w:r>
        <w:t xml:space="preserve"> </w:t>
      </w:r>
      <w:r>
        <w:t xml:space="preserve">หมายถึง ปริมาณฟอสฟอรัสในดินที่อยู่ในรูปสารละลายออร์โทฟอสเฟตที่พืชสามารถดูดกลืนไปใช้ประโยชน์ได้ โดยวิธีมาตรฐานอ้างอิงในการวิเคราะห์คือวิธีเบรย์ 2 (Bray II Method) มีหน่วยเป็นมิลลิกรัมต่อกิโลกรัม (mg/kg หรือ ppm)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แบบจำลองปัญญาประดิษฐ์บนอุปกรณ์ (On-device TinyML Model)</w:t>
      </w:r>
      <w:r>
        <w:t xml:space="preserve"> </w:t>
      </w:r>
      <w:r>
        <w:t xml:space="preserve">หมายถึง โครงข่ายประสาทเทียมหรือแบบจำลองการเรียนรู้ของเครื่องที่ผ่านการฝึกสอน ปรับพารามิเตอร์ และบีบอัดให้อยู่ในรูปของชุดข้อมูลคงที่ (Static Weight Arrays) เพื่อให้สามารถทำการอนุมาน (Inference) หาผลลัพธ์ได้อย่างรวดเร็วบนชิปไมโครคอนโทรลเลอร์หรือสมาร์ทโฟนโดยไม่ต้องเชื่อมต่อกับอินเทอร์เน็ตหรือเครื่องแม่ข่ายคลาวด์</w:t>
      </w:r>
    </w:p>
    <w:p>
      <w:r>
        <w:pict>
          <v:rect style="width:0;height:1.5pt" o:hralign="center" o:hrstd="t" o:hr="t"/>
        </w:pict>
      </w:r>
    </w:p>
    <w:bookmarkEnd w:id="18"/>
    <w:bookmarkStart w:id="19" w:name="ประโยชนทคาดวาจะไดรบ"/>
    <w:p>
      <w:pPr>
        <w:pStyle w:val="Heading2"/>
      </w:pPr>
      <w:r>
        <w:t xml:space="preserve">1.6 ประโยชน์ที่คาดว่าจะได้รับ</w:t>
      </w:r>
    </w:p>
    <w:p>
      <w:pPr>
        <w:pStyle w:val="Compact"/>
        <w:numPr>
          <w:ilvl w:val="0"/>
          <w:numId w:val="1006"/>
        </w:numPr>
      </w:pPr>
      <w:r>
        <w:t xml:space="preserve">ได้ต้นแบบชุดวิเคราะห์ปริมาณไนโตรเจนและฟอสฟอรัสในดินแบบพกพาที่ทำงานร่วมกับสมาร์ทโฟน มีความแม่นยำสูง รวดเร็ว และไม่ก่อให้เกิดขยะสารเคมีอันตราย</w:t>
      </w:r>
    </w:p>
    <w:p>
      <w:pPr>
        <w:pStyle w:val="Compact"/>
        <w:numPr>
          <w:ilvl w:val="0"/>
          <w:numId w:val="1006"/>
        </w:numPr>
      </w:pPr>
      <w:r>
        <w:t xml:space="preserve">ได้ชุดข้อมูลมาตรฐานเชิงสเปกตรัมของดินสวนไม้ผลในจังหวัดจันทบุรีและตราด ที่จับคู่กับค่าเคมีวิเคราะห์มาตรฐาน ซึ่งเป็นประโยชน์ต่อการวิจัยและต่อยอดด้านปัญญาประดิษฐ์ทางการเกษตร</w:t>
      </w:r>
    </w:p>
    <w:p>
      <w:pPr>
        <w:pStyle w:val="Compact"/>
        <w:numPr>
          <w:ilvl w:val="0"/>
          <w:numId w:val="1006"/>
        </w:numPr>
      </w:pPr>
      <w:r>
        <w:t xml:space="preserve">เกษตรกรชาวสวนทุเรียนและไม้ผลสามารถตรวจสอบระดับธาตุอาหาร N และ P ในดินได้ด้วยตนเองอย่างแม่นยำในแปลงปลูก ช่วยลดต้นทุนการซื้อปุ๋ยเคมีเกินความจำเป็นได้ร้อยละ 15 ถึง 25</w:t>
      </w:r>
    </w:p>
    <w:p>
      <w:pPr>
        <w:pStyle w:val="Compact"/>
        <w:numPr>
          <w:ilvl w:val="0"/>
          <w:numId w:val="1006"/>
        </w:numPr>
      </w:pPr>
      <w:r>
        <w:t xml:space="preserve">ช่วยลดผลกระทบเชิงลบต่อสิ่งแวดล้อม ป้องกันการสะสมของสารประกอบไนเตรตและฟอสเฟตในแหล่งน้ำธรรมชาติ และชะลอการเสื่อมโทรมของดินในเขตภาคตะวันออก</w:t>
      </w:r>
    </w:p>
    <w:p>
      <w:pPr>
        <w:pStyle w:val="Compact"/>
        <w:numPr>
          <w:ilvl w:val="0"/>
          <w:numId w:val="1006"/>
        </w:numPr>
      </w:pPr>
      <w:r>
        <w:t xml:space="preserve">ได้องค์ความรู้ใหม่ด้านการประยุกต์ทัศนศาสตร์ฟิสิกส์ร่วมกับปัญญาประดิษฐ์ขนาดเล็กสำหรับการเกษตรแม่นยำ ซึ่งพร้อมสำหรับการยื่นจดสิทธิบัตรหรืออนุสิทธิบัตร และการตีพิมพ์เผยแพร่ในวารสารวิชาการระดับนานาชาติ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2026-09-12T13:20:45Z</dcterms:created>
  <dcterms:modified xsi:type="dcterms:W3CDTF">2026-09-12T13:20:45Z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