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บทท-3"/>
    <w:p>
      <w:pPr>
        <w:pStyle w:val="Heading1"/>
      </w:pPr>
      <w:r>
        <w:t xml:space="preserve">บทที่ 3</w:t>
      </w:r>
    </w:p>
    <w:bookmarkEnd w:id="9"/>
    <w:bookmarkStart w:id="37" w:name="วธดำเนนการวจย"/>
    <w:p>
      <w:pPr>
        <w:pStyle w:val="Heading1"/>
      </w:pPr>
      <w:r>
        <w:t xml:space="preserve">วิธีดำเนินการวิจัย</w:t>
      </w:r>
    </w:p>
    <w:p>
      <w:pPr>
        <w:pStyle w:val="FirstParagraph"/>
      </w:pPr>
      <w:r>
        <w:t xml:space="preserve">การวิจัยเรื่อง</w:t>
      </w:r>
      <w:r>
        <w:t xml:space="preserve"> </w:t>
      </w:r>
      <w:r>
        <w:t xml:space="preserve">“การพัฒนาชุดทดสอบค่าความเป็นกรด-ด่างของดินแบบพกพาภาคสนามความแม่นยำสูงด้วยการชดเชยความคลาดเคลื่อนโดยปัญญาประดิษฐ์”</w:t>
      </w:r>
      <w:r>
        <w:t xml:space="preserve"> </w:t>
      </w:r>
      <w:r>
        <w:t xml:space="preserve">มีระเบียบวิธีวิจัยและขั้นตอนการดำเนินงานวิจัยที่ได้รับการออกแบบอย่างเป็นระบบ เพื่อให้ได้ชุดทดสอบที่มีความถูกต้อง แม่นยำ และมีความน่าเชื่อถือตามหลักการเคมีวิเคราะห์และวิศวกรรมคอมพิวเตอร์ โดยแบ่งวิธีดำเนินการวิจัยออกเป็น 8 ส่วนหลัก ดังนี้</w:t>
      </w:r>
    </w:p>
    <w:p>
      <w:pPr>
        <w:pStyle w:val="BodyText"/>
      </w:pPr>
      <w:r>
        <w:t xml:space="preserve">3.1 การออกแบบสถาปัตยกรรมระบบฮาร์ดแวร์และวงจรอิเล็กทรอนิกส์</w:t>
      </w:r>
      <w:r>
        <w:br/>
      </w:r>
      <w:r>
        <w:t xml:space="preserve">3.2 การเตรียมสารละลายบัฟเฟอร์มาตรฐานและอุปกรณ์ควบคุมสภาวะแวดล้อม</w:t>
      </w:r>
      <w:r>
        <w:br/>
      </w:r>
      <w:r>
        <w:t xml:space="preserve">3.3 กระบวนการเก็บรวบรวมข้อมูลและการสร้างชุดข้อมูล (Dataset Acquisition Pipeline)</w:t>
      </w:r>
      <w:r>
        <w:br/>
      </w:r>
      <w:r>
        <w:t xml:space="preserve">3.4 การจัดการและเตรียมข้อมูล (Data Preprocessing &amp; Splitting)</w:t>
      </w:r>
      <w:r>
        <w:br/>
      </w:r>
      <w:r>
        <w:t xml:space="preserve">3.5 การออกแบบและพัฒนาโครงข่ายประสาทเทียม (ANN Architecture &amp; Model Training)</w:t>
      </w:r>
      <w:r>
        <w:br/>
      </w:r>
      <w:r>
        <w:t xml:space="preserve">3.6 การแปลงโมเดลสู่ระบบสมองกลฝังตัว (Edge TinyML C++ Engine Deployment)</w:t>
      </w:r>
      <w:r>
        <w:br/>
      </w:r>
      <w:r>
        <w:t xml:space="preserve">3.7 การประเมินประสิทธิภาพและการทดสอบความใช้ได้ของวิธี (Method Validation)</w:t>
      </w:r>
      <w:r>
        <w:br/>
      </w:r>
      <w:r>
        <w:t xml:space="preserve">3.8 ระเบียบวิธีการทดสอบภาคสนามในสวนผลไม้และการวิเคราะห์ทางสถิติ</w:t>
      </w:r>
    </w:p>
    <w:p>
      <w:r>
        <w:pict>
          <v:rect style="width:0;height:1.5pt" o:hralign="center" o:hrstd="t" o:hr="t"/>
        </w:pict>
      </w:r>
    </w:p>
    <w:bookmarkStart w:id="14" w:name="Xa9df285505c50c9eea293e3bf3dd53194531079"/>
    <w:p>
      <w:pPr>
        <w:pStyle w:val="Heading2"/>
      </w:pPr>
      <w:r>
        <w:t xml:space="preserve">3.1 การออกแบบสถาปัตยกรรมระบบฮาร์ดแวร์และวงจรอิเล็กทรอนิกส์</w:t>
      </w:r>
    </w:p>
    <w:p>
      <w:pPr>
        <w:pStyle w:val="FirstParagraph"/>
      </w:pPr>
      <w:r>
        <w:t xml:space="preserve">ชุดทดสอบค่า Soil pH ภาคสนามที่พัฒนาขึ้น ได้รับการออกแบบให้เป็นอุปกรณ์พกพาขนาดกะทัดรัด (Handheld Portable Unit) ที่มีหน่วยประมวลผลประสิทธิภาพสูงและเซนเซอร์มาตรฐานอุตสาหกรรมในตัว ประกอบด้วยองค์ประกอบฮาร์ดแวร์และการกำหนดขาเชื่อมต่อ (Pin Assignment) ดังนี้</w:t>
      </w:r>
    </w:p>
    <w:bookmarkStart w:id="10" w:name="แผงวงจรควบคมหลก-atd3.5-s3"/>
    <w:p>
      <w:pPr>
        <w:pStyle w:val="Heading3"/>
      </w:pPr>
      <w:r>
        <w:t xml:space="preserve">3.1.1 แผงวงจรควบคุมหลัก ATD3.5-S3</w:t>
      </w:r>
    </w:p>
    <w:p>
      <w:pPr>
        <w:pStyle w:val="FirstParagraph"/>
      </w:pPr>
      <w:r>
        <w:t xml:space="preserve">แผงวงจรควบคุมหลักใช้บอร์ด</w:t>
      </w:r>
      <w:r>
        <w:t xml:space="preserve"> </w:t>
      </w:r>
      <w:r>
        <w:rPr>
          <w:b/>
          <w:bCs/>
        </w:rPr>
        <w:t xml:space="preserve">ATD3.5-S3</w:t>
      </w:r>
      <w:r>
        <w:t xml:space="preserve"> </w:t>
      </w:r>
      <w:r>
        <w:t xml:space="preserve">ขับเคลื่อนด้วยไมโครคอนโทรลเลอร์</w:t>
      </w:r>
      <w:r>
        <w:t xml:space="preserve"> </w:t>
      </w:r>
      <w:r>
        <w:rPr>
          <w:b/>
          <w:bCs/>
        </w:rPr>
        <w:t xml:space="preserve">ESP32-S3-WROOM-1</w:t>
      </w:r>
      <w:r>
        <w:t xml:space="preserve"> </w:t>
      </w:r>
      <w:r>
        <w:t xml:space="preserve">ซึ่งมีคุณสมบัติทางเทคนิคดังนี้</w:t>
      </w:r>
      <w:r>
        <w:t xml:space="preserve"> </w:t>
      </w:r>
      <w:r>
        <w:t xml:space="preserve">- หน่วยประมวลผล 32-bit Xtensa dual-core LX7 ความถี่สัญญาณนาฬิกาสูงสุด 240 MHz</w:t>
      </w:r>
      <w:r>
        <w:t xml:space="preserve"> </w:t>
      </w:r>
      <w:r>
        <w:t xml:space="preserve">- รองรับชุดคำสั่งเวกเตอร์ (Vector Instructions / SIMD) เหมาะสำหรับการคำนวณโครงข่ายประสาทเทียม (Neural Network Acceleration)</w:t>
      </w:r>
      <w:r>
        <w:t xml:space="preserve"> </w:t>
      </w:r>
      <w:r>
        <w:t xml:space="preserve">- หน่วยความจำภายในประกอบด้วย 512 KB SRAM, 384 KB ROM, พร้อมหน่วยความจำภายนอก 16 MB Flash Memory และ 8 MB Octal PSRAM รองรับการเก็บโมเดล AI และบัฟเฟอร์หน้าจอความละเอียดสูง</w:t>
      </w:r>
      <w:r>
        <w:t xml:space="preserve"> </w:t>
      </w:r>
      <w:r>
        <w:t xml:space="preserve">- จอแสดงผลสีชนิด IPS ขนาด 3.5 นิ้ว ความละเอียด</w:t>
      </w:r>
      <w:r>
        <w:t xml:space="preserve"> </w:t>
      </w:r>
      <m:oMath>
        <m:r>
          <m:t>480</m:t>
        </m:r>
        <m:r>
          <m:rPr>
            <m:sty m:val="p"/>
          </m:rPr>
          <m:t>×</m:t>
        </m:r>
        <m:r>
          <m:t>320</m:t>
        </m:r>
      </m:oMath>
      <w:r>
        <w:t xml:space="preserve"> </w:t>
      </w:r>
      <w:r>
        <w:t xml:space="preserve">พิกเซล ควบคุมด้วยไอซีไดรเวอร์ ST7796 ผ่านอินเทอร์เฟซขนาน 8-bit หรือ SPI ความเร็วสูง และระบบสัมผัส Capacitive Touch FT6336 ผ่าน I2C Bus</w:t>
      </w:r>
    </w:p>
    <w:bookmarkEnd w:id="10"/>
    <w:bookmarkStart w:id="11" w:name="X691691d6c068cb375b11cc13f05546e8c6d2339"/>
    <w:p>
      <w:pPr>
        <w:pStyle w:val="Heading3"/>
      </w:pPr>
      <w:r>
        <w:t xml:space="preserve">3.1.2 แผงวงจรขยายการเชื่อมต่อ Farm1 Shield และการกำหนดพิน GPIO</w:t>
      </w:r>
    </w:p>
    <w:p>
      <w:pPr>
        <w:pStyle w:val="FirstParagraph"/>
      </w:pPr>
      <w:r>
        <w:t xml:space="preserve">เพื่อเชื่อมต่อกับโพรบวัดดินอุตสาหกรรม คณะผู้วิจัยได้เชื่อมต่อบอร์ด ATD3.5-S3 ร่วมกับ</w:t>
      </w:r>
      <w:r>
        <w:t xml:space="preserve"> </w:t>
      </w:r>
      <w:r>
        <w:rPr>
          <w:b/>
          <w:bCs/>
        </w:rPr>
        <w:t xml:space="preserve">Farm1 Shield</w:t>
      </w:r>
      <w:r>
        <w:t xml:space="preserve"> </w:t>
      </w:r>
      <w:r>
        <w:t xml:space="preserve">โดยมีรายละเอียดการเชื่อมต่อพินและวงจรย่อยดังแสดงในตารางที่ 3.1</w:t>
      </w:r>
    </w:p>
    <w:p>
      <w:pPr>
        <w:pStyle w:val="BodyText"/>
      </w:pPr>
      <w:r>
        <w:rPr>
          <w:b/>
          <w:bCs/>
        </w:rPr>
        <w:t xml:space="preserve">ตารางที่ 3.1 การกำหนดขาเชื่อมต่อพิน (Pin Assignment) ระหว่าง ESP32-S3 และอุปกรณ์รอบข้าง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2200"/>
        <w:gridCol w:w="2200"/>
        <w:gridCol w:w="17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อุปกรณ์รอบข้าง (Peripheral)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พินสัญญาณ (Signal Name)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ขาไมโครคอนโทรลเลอร์ (ESP32-S3 GPIO)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หน้าที่การทำงาน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RS485 Transceiver (SP3485)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TXD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GPIO 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ส่งข้อมูลคำสั่ง Modbus RTU สู่โพรบ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RS485 Transceiver (SP3485)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RXD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GPIO 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รับข้อมูลตอบกลับ Modbus RTU จากโพรบ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RS485 Transceiver (SP3485)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 / 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GPIO 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ควบคุมทิศทางการส่ง/รับข้อมูล RS485 (Half-duplex)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Sensirion SHT45 Temp/Hum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GPIO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สายสัญญาณข้อมูล I2C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Sensirion SHT45 Temp/Hum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SCL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GPIO 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สายสัญญาณนาฬิกา I2C Clock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Capacitive Touch (FT6336)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TOUCH_SDA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GPIO 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ข้อมูลสัมผัส I2C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Capacitive Touch (FT6336)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TOUCH_SCL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GPIO 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สัญญาณนาฬิกาสัมผัส I2C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Capacitive Touch (FT6336)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TOUCH_INT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GPIO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สัญญาณขัดจังหวะการสัมผัส (Interrupt)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Battery Monitoring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BATT_ADC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GPIO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อ่านค่าแรงดันแบตเตอรี่ผ่านตัวแบ่งแรงดัน (Voltage Divider)</w:t>
            </w:r>
          </w:p>
        </w:tc>
      </w:tr>
    </w:tbl>
    <w:bookmarkEnd w:id="11"/>
    <w:bookmarkStart w:id="12" w:name="โพรบวดดนอตสาหกรรม-7-in-1-modbus-rs485"/>
    <w:p>
      <w:pPr>
        <w:pStyle w:val="Heading3"/>
      </w:pPr>
      <w:r>
        <w:t xml:space="preserve">3.1.3 โพรบวัดดินอุตสาหกรรม 7-in-1 Modbus RS485</w:t>
      </w:r>
    </w:p>
    <w:p>
      <w:pPr>
        <w:pStyle w:val="FirstParagraph"/>
      </w:pPr>
      <w:r>
        <w:t xml:space="preserve">ใช้โพรบตรวจวัดดินอุตสาหกรรมชนิดเข็มแท่งโลหะสแตนเลสสตีล 316L ทนต่อการกัดกร่อนของสารเคมีและกรดในดิน อ่านค่าพารามิเตอร์เคมีและฟิสิกส์ 7 ค่าพร้อมกัน ได้แก่ ค่าความเป็นกรด-ด่าง (Soil pH), อุณหภูมิดิน (Soil Temperature), ความชื้นในดิน (Soil Moisture), สภาพนำไฟฟ้า (EC), ไนโตรเจน (N), ฟอสฟอรัส (P), และโพแทสเซียม (K)</w:t>
      </w:r>
    </w:p>
    <w:bookmarkEnd w:id="12"/>
    <w:bookmarkStart w:id="13" w:name="เซนเซอรอณหภมอางอง-sensirion-sht45"/>
    <w:p>
      <w:pPr>
        <w:pStyle w:val="Heading3"/>
      </w:pPr>
      <w:r>
        <w:t xml:space="preserve">3.1.4 เซนเซอร์อุณหภูมิอ้างอิง Sensirion SHT45</w:t>
      </w:r>
    </w:p>
    <w:p>
      <w:pPr>
        <w:pStyle w:val="FirstParagraph"/>
      </w:pPr>
      <w:r>
        <w:t xml:space="preserve">ติดตั้งเซนเซอร์อุณหภูมิและความชื้นความแม่นยำสูงระดับอ้างอิง Sensirion SHT45 เชื่อมต่อผ่าน I2C Bus สำหรับอ่านค่าอุณหภูมิแวดล้อมและใช้เป็นค่าอ้างอิงในการสอบเทียบ มีความแม่นยำของอุณหภูมิสูงถึง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  <m:sSup>
          <m:e>
            <m:r>
              <m:t> 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nor/>
            <m:sty m:val="p"/>
          </m:rPr>
          <m:t>C</m:t>
        </m:r>
      </m:oMath>
    </w:p>
    <w:p>
      <w:r>
        <w:pict>
          <v:rect style="width:0;height:1.5pt" o:hralign="center" o:hrstd="t" o:hr="t"/>
        </w:pict>
      </w:r>
    </w:p>
    <w:bookmarkEnd w:id="13"/>
    <w:bookmarkEnd w:id="14"/>
    <w:bookmarkStart w:id="18" w:name="Xd8d39363a4dd73332fd0a998a8ba14ed2828ff2"/>
    <w:p>
      <w:pPr>
        <w:pStyle w:val="Heading2"/>
      </w:pPr>
      <w:r>
        <w:t xml:space="preserve">3.2 การเตรียมสารละลายบัฟเฟอร์มาตรฐานและอุปกรณ์ควบคุมสภาวะแวดล้อม</w:t>
      </w:r>
    </w:p>
    <w:bookmarkStart w:id="15" w:name="การเตรยมสารละลายบฟเฟอรมาตรฐานอางอง"/>
    <w:p>
      <w:pPr>
        <w:pStyle w:val="Heading3"/>
      </w:pPr>
      <w:r>
        <w:t xml:space="preserve">3.2.1 การเตรียมสารละลายบัฟเฟอร์มาตรฐานอ้างอิง</w:t>
      </w:r>
    </w:p>
    <w:p>
      <w:pPr>
        <w:pStyle w:val="FirstParagraph"/>
      </w:pPr>
      <w:r>
        <w:t xml:space="preserve">คณะผู้วิจัยได้จัดเตรียมสารละลายบัฟเฟอร์มาตรฐานที่ผ่านการรับรองมาตรฐานสากลและสามารถสอบกลับได้ตามมาตรฐาน NIST (NIST-traceable Standard Buffer Solutions) จำนวน 3 ระดับค่า pH ดังนี้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สารละลายบัฟเฟอร์มาตรฐานกรด:</w:t>
      </w:r>
      <w:r>
        <w:t xml:space="preserve"> </w:t>
      </w:r>
      <w:r>
        <w:t xml:space="preserve">สารละลาย Potassium hydrogen phthalate ค่า pH เท่ากับ</w:t>
      </w:r>
      <w:r>
        <w:t xml:space="preserve"> </w:t>
      </w:r>
      <w:r>
        <w:rPr>
          <w:b/>
          <w:bCs/>
        </w:rPr>
        <w:t xml:space="preserve">4.01 ที่ 25.0 องศาเซลเซียส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สารละลายบัฟเฟอร์มาตรฐานกลาง:</w:t>
      </w:r>
      <w:r>
        <w:t xml:space="preserve"> </w:t>
      </w:r>
      <w:r>
        <w:t xml:space="preserve">สารละลายผสม Potassium dihydrogen phosphate และ Disodium hydrogen phosphate ค่า pH เท่ากับ</w:t>
      </w:r>
      <w:r>
        <w:t xml:space="preserve"> </w:t>
      </w:r>
      <w:r>
        <w:rPr>
          <w:b/>
          <w:bCs/>
        </w:rPr>
        <w:t xml:space="preserve">7.00 ที่ 25.0 องศาเซลเซียส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สารละลายบัฟเฟอร์มาตรฐานเบส:</w:t>
      </w:r>
      <w:r>
        <w:t xml:space="preserve"> </w:t>
      </w:r>
      <w:r>
        <w:t xml:space="preserve">สารละลายผสม Sodium carbonate และ Sodium hydrogen carbonate ค่า pH เท่ากับ</w:t>
      </w:r>
      <w:r>
        <w:t xml:space="preserve"> </w:t>
      </w:r>
      <w:r>
        <w:rPr>
          <w:b/>
          <w:bCs/>
        </w:rPr>
        <w:t xml:space="preserve">10.01 ที่ 25.0 องศาเซลเซียส</w:t>
      </w:r>
    </w:p>
    <w:p>
      <w:pPr>
        <w:pStyle w:val="BodyText"/>
      </w:pPr>
      <w:r>
        <w:t xml:space="preserve">สารละลายบัฟเฟอร์ทั้งหมดถูกจัดเก็บในขวดพลาสติกโพลีเอทิลีนปิดสนิท และเก็บรักษาในตู้ควบคุมอุณหภูมิที่</w:t>
      </w:r>
      <w:r>
        <w:t xml:space="preserve"> </w:t>
      </w:r>
      <m:oMath>
        <m:r>
          <m:t>25.0</m:t>
        </m:r>
        <m:r>
          <m:rPr>
            <m:sty m:val="p"/>
          </m:rPr>
          <m:t>±</m:t>
        </m:r>
        <m:r>
          <m:t>1.0</m:t>
        </m:r>
        <m:sSup>
          <m:e>
            <m:r>
              <m:t> 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nor/>
            <m:sty m:val="p"/>
          </m:rPr>
          <m:t>C</m:t>
        </m:r>
      </m:oMath>
      <w:r>
        <w:t xml:space="preserve"> </w:t>
      </w:r>
      <w:r>
        <w:t xml:space="preserve">ก่อนนำมาใช้งาน</w:t>
      </w:r>
    </w:p>
    <w:bookmarkEnd w:id="15"/>
    <w:bookmarkStart w:id="16" w:name="อางควบคมอณหภม-precision-water-bath"/>
    <w:p>
      <w:pPr>
        <w:pStyle w:val="Heading3"/>
      </w:pPr>
      <w:r>
        <w:t xml:space="preserve">3.2.2 อ่างควบคุมอุณหภูมิ (Precision Water Bath)</w:t>
      </w:r>
    </w:p>
    <w:p>
      <w:pPr>
        <w:pStyle w:val="FirstParagraph"/>
      </w:pPr>
      <w:r>
        <w:t xml:space="preserve">ใช้อ่างควบคุมอุณหภูมิแบบควบคุมความร้อนสม่ำเสมอพร้อมระบบหมุนเวียนน้ำ (Circulating Water Bath) สามารถปรับตั้งและควบคุมอุณหภูมิของสารละลายทดสอบได้ในช่วง</w:t>
      </w:r>
      <w:r>
        <w:t xml:space="preserve"> </w:t>
      </w:r>
      <w:r>
        <w:rPr>
          <w:b/>
          <w:bCs/>
        </w:rPr>
        <w:t xml:space="preserve">20.0 ถึง 50.0 องศาเซลเซียส</w:t>
      </w:r>
      <w:r>
        <w:t xml:space="preserve"> </w:t>
      </w:r>
      <w:r>
        <w:t xml:space="preserve">โดยมีความแม่นยำในการรักษาอุณหภูมิคงที่อยู่ที่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  <m:sSup>
          <m:e>
            <m:r>
              <m:t> 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nor/>
            <m:sty m:val="p"/>
          </m:rPr>
          <m:t>C</m:t>
        </m:r>
      </m:oMath>
    </w:p>
    <w:bookmarkEnd w:id="16"/>
    <w:bookmarkStart w:id="17" w:name="X1fa1ba300813ac8409216c5541ffd00bc280fd7"/>
    <w:p>
      <w:pPr>
        <w:pStyle w:val="Heading3"/>
      </w:pPr>
      <w:r>
        <w:t xml:space="preserve">3.2.3 เครื่องมือวัดอ้างอิงระดับห้องปฏิบัติการ (Standard Reference Instrument)</w:t>
      </w:r>
    </w:p>
    <w:p>
      <w:pPr>
        <w:pStyle w:val="FirstParagraph"/>
      </w:pPr>
      <w:r>
        <w:t xml:space="preserve">ใช้เครื่องวัด pH meter ชนิดตั้งโต๊ะเกรดเคมีวิเคราะห์ (Benchtop Precision pH Meter) ยี่ห้อ Mettler Toledo รุ่น SevenExcellence พร้อมหัววัดแก้วผสม (Combination Glass Electrode) มีความละเอียดในการแสดงผล 0.001 pH unit และผ่านการปรับเทียบมาตรฐานแบบ 3 จุด (3-point calibration) ทุกครั้งก่อนเริ่มการทดลอง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1" w:name="X07b93aa9ec861c073b80fa00a553498a5356fe4"/>
    <w:p>
      <w:pPr>
        <w:pStyle w:val="Heading2"/>
      </w:pPr>
      <w:r>
        <w:t xml:space="preserve">3.3 กระบวนการเก็บรวบรวมข้อมูลและการสร้างชุดข้อมูล (Dataset Acquisition Pipeline)</w:t>
      </w:r>
    </w:p>
    <w:p>
      <w:pPr>
        <w:pStyle w:val="FirstParagraph"/>
      </w:pPr>
      <w:r>
        <w:t xml:space="preserve">การเก็บรวบรวมข้อมูลเพื่อสร้างชุดข้อมูล (Dataset) สำหรับฝึกสอนโมเดลปัญญาประดิษฐ์ ดำเนินการผ่านระบบเก็บข้อมูลอัตโนมัติ (Automated Data Acquisition Firmware) ดังมีขั้นตอนย่อยดังนี้</w:t>
      </w:r>
    </w:p>
    <w:bookmarkStart w:id="19" w:name="X793c1dcebcce993b30c488b2582e2aa0dbfb730"/>
    <w:p>
      <w:pPr>
        <w:pStyle w:val="Heading3"/>
      </w:pPr>
      <w:r>
        <w:t xml:space="preserve">3.3.1 โครงสร้างเฟรมคำสั่ง Modbus RTU และการตรวจสอบ CRC-16</w:t>
      </w:r>
    </w:p>
    <w:p>
      <w:pPr>
        <w:pStyle w:val="FirstParagraph"/>
      </w:pPr>
      <w:r>
        <w:t xml:space="preserve">การอ่านค่าจากโพรบวัดดินส่งคำสั่ง Request Frame ผ่านโปรโตคอล Modbus RTU ดังแสดงในตารางที่ 3.2</w:t>
      </w:r>
    </w:p>
    <w:p>
      <w:pPr>
        <w:pStyle w:val="BodyText"/>
      </w:pPr>
      <w:r>
        <w:rPr>
          <w:b/>
          <w:bCs/>
        </w:rPr>
        <w:t xml:space="preserve">ตารางที่ 3.2 โครงสร้างเฟรมข้อมูล Modbus RTU สำหรับอ่านค่าพารามิเตอร์ดิน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00"/>
        <w:gridCol w:w="1760"/>
        <w:gridCol w:w="2200"/>
        <w:gridCol w:w="17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ไบต์ที่ (Byte Offset)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ชื่อฟิลด์ (Field Name)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ค่าฐานสิบหก (Hex Value)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คำอธิบาย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Slave Address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0x01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แอดเดรสของโพรบวัดดิน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 Code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0x03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ฟังก์ชันอ่านค่า Holding Registers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3 - 4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Starting Address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0x00 0x00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ตำแหน่งรีจิสเตอร์เริ่มต้น (ความชื้น, อุณหภูมิ, EC, pH, N, P, K)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5 - 6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 of Points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0x00 0x07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จำนวนรีจิสเตอร์ที่ต้องการอ่าน (7 รีจิสเตอร์ = 14 ไบต์)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7 - 8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CRC-16 Checksum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0x04 0x08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รหัสตรวจสอบความถูกต้อง CRC-16 Modbus (LSB, MSB)</w:t>
            </w:r>
          </w:p>
        </w:tc>
      </w:tr>
    </w:tbl>
    <w:p>
      <w:pPr>
        <w:pStyle w:val="BodyText"/>
      </w:pPr>
      <w:r>
        <w:t xml:space="preserve">รหัสตรวจสอบความผิดพลาดคำนวณตามอัลกอริทึม</w:t>
      </w:r>
      <w:r>
        <w:t xml:space="preserve"> </w:t>
      </w:r>
      <w:r>
        <w:rPr>
          <w:b/>
          <w:bCs/>
        </w:rPr>
        <w:t xml:space="preserve">CRC-16 Modbus (Generating Polynomial 0xA001)</w:t>
      </w:r>
      <w:r>
        <w:t xml:space="preserve"> </w:t>
      </w:r>
      <w:r>
        <w:t xml:space="preserve">ในเฟิร์มแวร์ C++:</w:t>
      </w:r>
    </w:p>
    <w:p>
      <w:pPr>
        <w:pStyle w:val="SourceCode"/>
      </w:pPr>
      <w:r>
        <w:rPr>
          <w:rStyle w:val="DataTypeTok"/>
        </w:rPr>
        <w:t xml:space="preserve">uint16_t</w:t>
      </w:r>
      <w:r>
        <w:rPr>
          <w:rStyle w:val="NormalTok"/>
        </w:rPr>
        <w:t xml:space="preserve"> calculateCRC16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crc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0xFFFF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pos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pos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crc </w:t>
      </w:r>
      <w:r>
        <w:rPr>
          <w:rStyle w:val="OperatorTok"/>
        </w:rPr>
        <w:t xml:space="preserve">^=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uint16_t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pos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--)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crc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0x0001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crc </w:t>
      </w:r>
      <w:r>
        <w:rPr>
          <w:rStyle w:val="OperatorTok"/>
        </w:rPr>
        <w:t xml:space="preserve">&gt;&gt;=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crc </w:t>
      </w:r>
      <w:r>
        <w:rPr>
          <w:rStyle w:val="OperatorTok"/>
        </w:rPr>
        <w:t xml:space="preserve">^=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0xA001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crc </w:t>
      </w:r>
      <w:r>
        <w:rPr>
          <w:rStyle w:val="OperatorTok"/>
        </w:rPr>
        <w:t xml:space="preserve">&gt;&gt;=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crc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19"/>
    <w:bookmarkStart w:id="20" w:name="ขนตอนการทดลองเกบขอมลในหองปฏบตการ"/>
    <w:p>
      <w:pPr>
        <w:pStyle w:val="Heading3"/>
      </w:pPr>
      <w:r>
        <w:t xml:space="preserve">3.3.2 ขั้นตอนการทดลองเก็บข้อมูลในห้องปฏิบัติการ</w:t>
      </w:r>
    </w:p>
    <w:p>
      <w:pPr>
        <w:pStyle w:val="Compact"/>
        <w:numPr>
          <w:ilvl w:val="0"/>
          <w:numId w:val="1001"/>
        </w:numPr>
      </w:pPr>
      <w:r>
        <w:t xml:space="preserve">นำโพรบวัดดิน 7-in-1 และหัววัดอุณหภูมิ SHT45 จุ่มลงในสารละลายบัฟเฟอร์มาตรฐานชุดแรก (บัฟเฟอร์ pH 4.01) ในอ่างควบคุมอุณหภูมิ</w:t>
      </w:r>
    </w:p>
    <w:p>
      <w:pPr>
        <w:pStyle w:val="Compact"/>
        <w:numPr>
          <w:ilvl w:val="0"/>
          <w:numId w:val="1001"/>
        </w:numPr>
      </w:pPr>
      <w:r>
        <w:t xml:space="preserve">เริ่มต้นควบคุมอุณหภูมิของสารละลายที่</w:t>
      </w:r>
      <w:r>
        <w:t xml:space="preserve"> </w:t>
      </w:r>
      <m:oMath>
        <m:r>
          <m:t>20.0</m:t>
        </m:r>
        <m:sSup>
          <m:e>
            <m:r>
              <m:t> 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nor/>
            <m:sty m:val="p"/>
          </m:rPr>
          <m:t>C</m:t>
        </m:r>
      </m:oMath>
      <w:r>
        <w:t xml:space="preserve"> </w:t>
      </w:r>
      <w:r>
        <w:t xml:space="preserve">รอจนกระทั่งระบบเข้าสู่สมดุลทางความร้อนและเคมีไฟฟ้าเป็นเวลา 3 นาที</w:t>
      </w:r>
    </w:p>
    <w:p>
      <w:pPr>
        <w:pStyle w:val="Compact"/>
        <w:numPr>
          <w:ilvl w:val="0"/>
          <w:numId w:val="1001"/>
        </w:numPr>
      </w:pPr>
      <w:r>
        <w:t xml:space="preserve">บันทึกข้อมูลสัญญาณดิบของเซนเซอร์ (</w:t>
      </w:r>
      <m:oMath>
        <m:sSub>
          <m:e>
            <m:r>
              <m:t>E</m:t>
            </m:r>
          </m:e>
          <m:sub>
            <m:r>
              <m:rPr>
                <m:nor/>
                <m:sty m:val="p"/>
              </m:rPr>
              <m:t>raw</m:t>
            </m:r>
          </m:sub>
        </m:sSub>
      </m:oMath>
      <w:r>
        <w:t xml:space="preserve">), ค่าอุณหภูมิ (</w:t>
      </w:r>
      <m:oMath>
        <m:r>
          <m:t>T</m:t>
        </m:r>
      </m:oMath>
      <w:r>
        <w:t xml:space="preserve">), ค่าสภาพนำไฟฟ้า (EC), และค่า pH มาตรฐาน (</w:t>
      </w:r>
      <m:oMath>
        <m:r>
          <m:t>p</m:t>
        </m:r>
        <m:sSub>
          <m:e>
            <m:r>
              <m:t>H</m:t>
            </m:r>
          </m:e>
          <m:sub>
            <m:r>
              <m:rPr>
                <m:nor/>
                <m:sty m:val="p"/>
              </m:rPr>
              <m:t>standard</m:t>
            </m:r>
          </m:sub>
        </m:sSub>
      </m:oMath>
      <w:r>
        <w:t xml:space="preserve">) อย่างต่อเนื่องเป็นเวลา 2 นาที ด้วยความถี่ 1 Hz (ได้ข้อมูล 120 เวกเตอร์ต่ออุณหภูมิ)</w:t>
      </w:r>
    </w:p>
    <w:p>
      <w:pPr>
        <w:pStyle w:val="Compact"/>
        <w:numPr>
          <w:ilvl w:val="0"/>
          <w:numId w:val="1001"/>
        </w:numPr>
      </w:pPr>
      <w:r>
        <w:t xml:space="preserve">ปรับเพิ่มอุณหภูมิของอ่างน้ำเป็น</w:t>
      </w:r>
      <w:r>
        <w:t xml:space="preserve"> </w:t>
      </w:r>
      <m:oMath>
        <m:r>
          <m:t>25.0</m:t>
        </m:r>
        <m:r>
          <m:rPr>
            <m:sty m:val="p"/>
          </m:rPr>
          <m:t>,</m:t>
        </m:r>
        <m:r>
          <m:t>30.0</m:t>
        </m:r>
        <m:r>
          <m:rPr>
            <m:sty m:val="p"/>
          </m:rPr>
          <m:t>,</m:t>
        </m:r>
        <m:r>
          <m:t>35.0</m:t>
        </m:r>
        <m:r>
          <m:rPr>
            <m:sty m:val="p"/>
          </m:rPr>
          <m:t>,</m:t>
        </m:r>
        <m:r>
          <m:t>40.0</m:t>
        </m:r>
        <m:r>
          <m:rPr>
            <m:sty m:val="p"/>
          </m:rPr>
          <m:t>,</m:t>
        </m:r>
        <m:r>
          <m:t>45.0</m:t>
        </m:r>
      </m:oMath>
      <w:r>
        <w:t xml:space="preserve"> </w:t>
      </w:r>
      <w:r>
        <w:t xml:space="preserve">และ</w:t>
      </w:r>
      <w:r>
        <w:t xml:space="preserve"> </w:t>
      </w:r>
      <m:oMath>
        <m:r>
          <m:t>50.0</m:t>
        </m:r>
        <m:sSup>
          <m:e>
            <m:r>
              <m:t> 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nor/>
            <m:sty m:val="p"/>
          </m:rPr>
          <m:t>C</m:t>
        </m:r>
      </m:oMath>
      <w:r>
        <w:t xml:space="preserve"> </w:t>
      </w:r>
      <w:r>
        <w:t xml:space="preserve">ตามลำดับ โดยทำซ้ำกระบวนการบันทึกข้อมูลในทุกระดับอุณหภูมิ</w:t>
      </w:r>
    </w:p>
    <w:p>
      <w:pPr>
        <w:pStyle w:val="Compact"/>
        <w:numPr>
          <w:ilvl w:val="0"/>
          <w:numId w:val="1001"/>
        </w:numPr>
      </w:pPr>
      <w:r>
        <w:t xml:space="preserve">ล้างทำความสะอาดโพรบด้วยน้ำปราศจากไอออน (Deionized Water) ซับให้แห้งด้วยกระดาษไร้ขุย แล้วนำไปทำซ้ำกระบวนการเดิมกับสารละลายบัฟเฟอร์ pH 7.00 และ pH 10.01 จนครบถ้วน ได้ชุดข้อมูลรวมทั้งสิ้น 2,520 ตัวอย่าง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Xb57aabea01a831eed09643df5bbc33610150cbb"/>
    <w:p>
      <w:pPr>
        <w:pStyle w:val="Heading2"/>
      </w:pPr>
      <w:r>
        <w:t xml:space="preserve">3.4 การจัดการและเตรียมข้อมูล (Data Preprocessing &amp; Splitting)</w:t>
      </w:r>
    </w:p>
    <w:p>
      <w:pPr>
        <w:pStyle w:val="FirstParagraph"/>
      </w:pPr>
      <w:r>
        <w:t xml:space="preserve">ก่อนนำชุดข้อมูลเข้าสู่กระบวนการฝึกสอนโมเดลปัญญาประดิษฐ์ คณะผู้วิจัยได้ดำเนินการเตรียมข้อมูลตามขั้นตอนมาตรฐาน ดังนี้</w:t>
      </w:r>
    </w:p>
    <w:bookmarkStart w:id="22" w:name="X9c4106c6b833556748a47d20c1e9f584a330374"/>
    <w:p>
      <w:pPr>
        <w:pStyle w:val="Heading3"/>
      </w:pPr>
      <w:r>
        <w:t xml:space="preserve">3.4.1 การตรวจสอบและกำจัดข้อมูลผิดปกติ (Data Cleaning &amp; Outlier Removal)</w:t>
      </w:r>
    </w:p>
    <w:p>
      <w:pPr>
        <w:pStyle w:val="FirstParagraph"/>
      </w:pPr>
      <w:r>
        <w:t xml:space="preserve">ตรวจสอบการกระจายตัวของข้อมูลด้วยแผนภาพกล่อง (Box Plot) และใช้วิธี Interquartile Range (IQR) เพื่อกำจัดข้อมูลที่มีสัญญาณผิดปกติอันเกิดจากความไม่เสถียรของอุณหภูมิในช่วงเริ่มเปลี่ยนระดับความร้อน โดยกำหนดช่วงข้อมูลปกติให้อยู่ระหว่าง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1.5</m:t>
        </m:r>
        <m:r>
          <m:rPr>
            <m:nor/>
            <m:sty m:val="p"/>
          </m:rPr>
          <m:t>IQR</m:t>
        </m:r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1.5</m:t>
        </m:r>
        <m:r>
          <m:rPr>
            <m:nor/>
            <m:sty m:val="p"/>
          </m:rPr>
          <m:t>IQR</m:t>
        </m:r>
        <m:r>
          <m:rPr>
            <m:sty m:val="p"/>
          </m:rPr>
          <m:t>]</m:t>
        </m:r>
      </m:oMath>
    </w:p>
    <w:bookmarkEnd w:id="22"/>
    <w:bookmarkStart w:id="23" w:name="การปรบมาตราสวนขอมล-feature-scaling"/>
    <w:p>
      <w:pPr>
        <w:pStyle w:val="Heading3"/>
      </w:pPr>
      <w:r>
        <w:t xml:space="preserve">3.4.2 การปรับมาตราส่วนข้อมูล (Feature Scaling)</w:t>
      </w:r>
    </w:p>
    <w:p>
      <w:pPr>
        <w:pStyle w:val="FirstParagraph"/>
      </w:pPr>
      <w:r>
        <w:t xml:space="preserve">เนื่องจากตัวแปรอินพุตมีหน่วยและช่วงของค่าที่แตกต่างกันอย่างมาก จึงทำการปรับค่าให้อยู่ในช่วงมาตรฐาน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ด้วยวิธี Min-Max Normalization: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nor/>
                  <m:sty m:val="p"/>
                </m:rPr>
                <m:t>norm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bookmarkEnd w:id="23"/>
    <w:bookmarkStart w:id="24" w:name="การแบงชดขอมล-data-splitting"/>
    <w:p>
      <w:pPr>
        <w:pStyle w:val="Heading3"/>
      </w:pPr>
      <w:r>
        <w:t xml:space="preserve">3.4.3 การแบ่งชุดข้อมูล (Data Splitting)</w:t>
      </w:r>
    </w:p>
    <w:p>
      <w:pPr>
        <w:pStyle w:val="FirstParagraph"/>
      </w:pPr>
      <w:r>
        <w:t xml:space="preserve">ชุดข้อมูลที่ผ่านการทำความสะอาดแล้ว จะถูกสุ่มแบ่งแบบแบ่งชั้น (Stratified Random Split) ออกเป็น 3 ส่วนอิสระจากกัน: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ชุดข้อมูลสำหรับฝึกสอน (Training Set, 70%):</w:t>
      </w:r>
      <w:r>
        <w:t xml:space="preserve"> </w:t>
      </w:r>
      <w:r>
        <w:t xml:space="preserve">จำนวน 1,764 ตัวอย่าง ใช้สำหรับปรับค่าน้ำหนัก (Weights) และค่าไบแอส (Biases) ในโครงข่ายประสาทเทียม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ชุดข้อมูลสำหรับตรวจสอบ (Validation Set, 15%):</w:t>
      </w:r>
      <w:r>
        <w:t xml:space="preserve"> </w:t>
      </w:r>
      <w:r>
        <w:t xml:space="preserve">จำนวน 378 ตัวอย่าง ใช้สำหรับปรับจูนไฮเปอร์พารามิเตอร์และตรวจสอบการเรียนรู้ในแต่ละ Epoch เพื่อป้องกันการเกิด Overfitting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ชุดข้อมูลสำหรับทดสอบ (Test Set, 15%):</w:t>
      </w:r>
      <w:r>
        <w:t xml:space="preserve"> </w:t>
      </w:r>
      <w:r>
        <w:t xml:space="preserve">จำนวน 378 ตัวอย่าง เป็นข้อมูลที่โมเดลไม่เคยเห็นมาก่อน ใช้สำหรับประเมินประสิทธิภาพครั้งสุดท้าย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Xe533299949cfd2d0fd42c71c4cdca2a38eb946e"/>
    <w:p>
      <w:pPr>
        <w:pStyle w:val="Heading2"/>
      </w:pPr>
      <w:r>
        <w:t xml:space="preserve">3.5 การออกแบบและพัฒนาโครงข่ายประสาทเทียม (ANN / MLP Architecture)</w:t>
      </w:r>
    </w:p>
    <w:bookmarkStart w:id="26" w:name="โครงสรางสถาปตยกรรมโครงขายประสาทเทยม"/>
    <w:p>
      <w:pPr>
        <w:pStyle w:val="Heading3"/>
      </w:pPr>
      <w:r>
        <w:t xml:space="preserve">3.5.1 โครงสร้างสถาปัตยกรรมโครงข่ายประสาทเทียม</w:t>
      </w:r>
    </w:p>
    <w:p>
      <w:pPr>
        <w:pStyle w:val="FirstParagraph"/>
      </w:pPr>
      <w:r>
        <w:t xml:space="preserve">สถาปัตยกรรมโมเดลที่ได้รับการออกแบบและคัดเลือก คือ โครงข่ายประสาทเทียมแบบเพอร์เซปตรอนหลายชั้น (Multilayer Perceptron หรือ MLP) โดยมีโครงสร้างทางคณิตศาสตร์ดังนี้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Input Layer (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จำนวน 3 โหนด รับค่าอินพุตมาตรฐาน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r>
              <m:t>E</m:t>
            </m:r>
          </m:e>
          <m:sub>
            <m:r>
              <m:rPr>
                <m:nor/>
                <m:sty m:val="p"/>
              </m:rPr>
              <m:t>norm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rPr>
                <m:nor/>
                <m:sty m:val="p"/>
              </m:rPr>
              <m:t>norm</m:t>
            </m:r>
          </m:sub>
        </m:sSub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EC</m:t>
            </m:r>
          </m:e>
          <m:sub>
            <m:r>
              <m:rPr>
                <m:nor/>
                <m:sty m:val="p"/>
              </m:rPr>
              <m:t>norm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Hidden Layer 1 (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จำนวน 16 โหนด ใช้ฟังก์ชันกระตุ้นชนิด</w:t>
      </w:r>
      <w:r>
        <w:t xml:space="preserve"> </w:t>
      </w:r>
      <w:r>
        <w:rPr>
          <w:b/>
          <w:bCs/>
        </w:rPr>
        <w:t xml:space="preserve">ReLU</w:t>
      </w:r>
      <w:r>
        <w:t xml:space="preserve"> </w:t>
      </w:r>
      <w:r>
        <w:t xml:space="preserve">(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z</m:t>
              </m:r>
            </m:e>
            <m:sup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]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W</m:t>
              </m:r>
            </m:e>
            <m:sup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]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]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]</m:t>
              </m:r>
            </m:sup>
          </m:sSup>
          <m:r>
            <m:rPr>
              <m:sty m:val="p"/>
            </m:rPr>
            <m:t>=</m:t>
          </m:r>
          <m:r>
            <m:rPr>
              <m:nor/>
              <m:sty m:val="p"/>
            </m:rPr>
            <m:t>ReLU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z</m:t>
              </m:r>
            </m:e>
            <m:sup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]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-</w:t>
      </w:r>
      <w:r>
        <w:t xml:space="preserve"> </w:t>
      </w:r>
      <w:r>
        <w:rPr>
          <w:b/>
          <w:bCs/>
        </w:rPr>
        <w:t xml:space="preserve">Hidden Layer 2 (</w:t>
      </w:r>
      <m:oMath>
        <m:r>
          <m:t>l</m:t>
        </m:r>
        <m:r>
          <m:rPr>
            <m:sty m:val="p"/>
          </m:rPr>
          <m:t>=</m:t>
        </m:r>
        <m:r>
          <m:t>2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จำนวน 8 โหนด ใช้ฟังก์ชันกระตุ้นชนิด</w:t>
      </w:r>
      <w:r>
        <w:t xml:space="preserve"> </w:t>
      </w:r>
      <w:r>
        <w:rPr>
          <w:b/>
          <w:bCs/>
        </w:rPr>
        <w:t xml:space="preserve">ReLU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z</m:t>
              </m:r>
            </m:e>
            <m:sup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]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W</m:t>
              </m:r>
            </m:e>
            <m:sup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]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]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]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]</m:t>
              </m:r>
            </m:sup>
          </m:sSup>
          <m:r>
            <m:rPr>
              <m:sty m:val="p"/>
            </m:rPr>
            <m:t>=</m:t>
          </m:r>
          <m:r>
            <m:rPr>
              <m:nor/>
              <m:sty m:val="p"/>
            </m:rPr>
            <m:t>ReLU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z</m:t>
              </m:r>
            </m:e>
            <m:sup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]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-</w:t>
      </w:r>
      <w:r>
        <w:t xml:space="preserve"> </w:t>
      </w:r>
      <w:r>
        <w:rPr>
          <w:b/>
          <w:bCs/>
        </w:rPr>
        <w:t xml:space="preserve">Output Layer (</w:t>
      </w:r>
      <m:oMath>
        <m:r>
          <m:t>l</m:t>
        </m:r>
        <m:r>
          <m:rPr>
            <m:sty m:val="p"/>
          </m:rPr>
          <m:t>=</m:t>
        </m:r>
        <m:r>
          <m:t>3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จำนวน 1 โหนด ใช้ฟังก์ชันกระตุ้นแบบ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(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z</m:t>
        </m:r>
      </m:oMath>
      <w:r>
        <w:t xml:space="preserve">) ให้ค่าผลลัพธ์คือ</w:t>
      </w:r>
      <w:r>
        <w:t xml:space="preserve"> </w:t>
      </w:r>
      <m:oMath>
        <m:sSub>
          <m:e>
            <m:r>
              <m:rPr>
                <m:nor/>
                <m:sty m:val="p"/>
              </m:rPr>
              <m:t>pH</m:t>
            </m:r>
          </m:e>
          <m:sub>
            <m:r>
              <m:rPr>
                <m:nor/>
                <m:sty m:val="p"/>
              </m:rPr>
              <m:t>predicted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W</m:t>
              </m:r>
            </m:e>
            <m:sup>
              <m:r>
                <m:rPr>
                  <m:sty m:val="p"/>
                </m:rPr>
                <m:t>[</m:t>
              </m:r>
              <m:r>
                <m:t>3</m:t>
              </m:r>
              <m:r>
                <m:rPr>
                  <m:sty m:val="p"/>
                </m:rPr>
                <m:t>]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]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[</m:t>
              </m:r>
              <m:r>
                <m:t>3</m:t>
              </m:r>
              <m:r>
                <m:rPr>
                  <m:sty m:val="p"/>
                </m:rPr>
                <m:t>]</m:t>
              </m:r>
            </m:sup>
          </m:sSup>
        </m:oMath>
      </m:oMathPara>
    </w:p>
    <w:bookmarkEnd w:id="26"/>
    <w:bookmarkStart w:id="27" w:name="พารามเตอรการฝกสอนโมเดล-hyperparameters"/>
    <w:p>
      <w:pPr>
        <w:pStyle w:val="Heading3"/>
      </w:pPr>
      <w:r>
        <w:t xml:space="preserve">3.5.2 พารามิเตอร์การฝึกสอนโมเดล (Hyperparameters)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Optimizer:</w:t>
      </w:r>
      <w:r>
        <w:t xml:space="preserve"> </w:t>
      </w:r>
      <w:r>
        <w:t xml:space="preserve">Adam (Adaptive Moment Estimation) ด้วยค่า Learning Rate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0.001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0.999</m:t>
        </m:r>
      </m:oMath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Loss Function:</w:t>
      </w:r>
      <w:r>
        <w:t xml:space="preserve"> </w:t>
      </w:r>
      <w:r>
        <w:t xml:space="preserve">Mean Squared Error (MSE)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Batch Size:</w:t>
      </w:r>
      <w:r>
        <w:t xml:space="preserve"> </w:t>
      </w:r>
      <w:r>
        <w:t xml:space="preserve">32 ตัวอย่าง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Epochs:</w:t>
      </w:r>
      <w:r>
        <w:t xml:space="preserve"> </w:t>
      </w:r>
      <w:r>
        <w:t xml:space="preserve">สูงสุด 500 รอบการฝึกสอน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Regularization:</w:t>
      </w:r>
      <w:r>
        <w:t xml:space="preserve"> </w:t>
      </w:r>
      <w:r>
        <w:t xml:space="preserve">ใช้ Early Stopping โดยหยุดการฝึกสอนเมื่อค่า Loss ของ Validation Set ไม่ลดลงติดต่อกัน 25 Epochs พร้อมบันทึกค่าน้ำหนักที่ดีที่สุด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X4f687df53bab1983527fc82db0b5da3b483b6d0"/>
    <w:p>
      <w:pPr>
        <w:pStyle w:val="Heading2"/>
      </w:pPr>
      <w:r>
        <w:t xml:space="preserve">3.6 การแปลงโมเดลสู่ระบบสมองกลฝังตัว (Edge TinyML C++ Engine Deployment)</w:t>
      </w:r>
    </w:p>
    <w:p>
      <w:pPr>
        <w:pStyle w:val="FirstParagraph"/>
      </w:pPr>
      <w:r>
        <w:t xml:space="preserve">เพื่อนำโมเดลปัญญาประดิษฐ์ไปประมวลผลบนไมโครคอนโทรลเลอร์ ESP32-S3 ในภาคสนามได้อย่างสมบูรณ์ คณะผู้วิจัยได้พัฒนากระบวนการแปลงโมเดลสู่ภาษา C++ (TinyML Deployment):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การสกัดค่าน้ำหนัก (Weight Extraction):</w:t>
      </w:r>
      <w:r>
        <w:t xml:space="preserve"> </w:t>
      </w:r>
      <w:r>
        <w:t xml:space="preserve">สกัดค่าน้ำหนักเชื่อมโยง (Weight Matrices:</w:t>
      </w:r>
      <w:r>
        <w:t xml:space="preserve"> </w:t>
      </w:r>
      <m:oMath>
        <m:sSub>
          <m:e>
            <m:r>
              <m:rPr>
                <m:sty m:val="bi"/>
              </m:rP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ty m:val="bi"/>
              </m:rP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ty m:val="bi"/>
              </m:rPr>
              <m:t>W</m:t>
            </m:r>
          </m:e>
          <m:sub>
            <m:r>
              <m:t>3</m:t>
            </m:r>
          </m:sub>
        </m:sSub>
      </m:oMath>
      <w:r>
        <w:t xml:space="preserve">) และเวกเตอร์ไบแอส (</w:t>
      </w:r>
      <m:oMath>
        <m:sSub>
          <m:e>
            <m:r>
              <m:rPr>
                <m:sty m:val="bi"/>
              </m:rP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ty m:val="bi"/>
              </m:rP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ty m:val="bi"/>
              </m:rPr>
              <m:t>b</m:t>
            </m:r>
          </m:e>
          <m:sub>
            <m:r>
              <m:t>3</m:t>
            </m:r>
          </m:sub>
        </m:sSub>
      </m:oMath>
      <w:r>
        <w:t xml:space="preserve">) จากโมเดลที่ฝึกสอนสมบูรณ์แล้ว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การแปลงเป็น Static C++ Array:</w:t>
      </w:r>
      <w:r>
        <w:t xml:space="preserve"> </w:t>
      </w:r>
      <w:r>
        <w:t xml:space="preserve">แปลงค่าน้ำหนักให้อยู่ในรูปตัวแปรคงที่แบบ</w:t>
      </w:r>
      <w:r>
        <w:t xml:space="preserve"> </w:t>
      </w:r>
      <w:r>
        <w:rPr>
          <w:rStyle w:val="VerbatimChar"/>
        </w:rPr>
        <w:t xml:space="preserve">const float</w:t>
      </w:r>
      <w:r>
        <w:t xml:space="preserve"> </w:t>
      </w:r>
      <w:r>
        <w:t xml:space="preserve">จัดเก็บไว้ในหน่วยความจำโปรแกรม (Flash ROM) ของ ESP32-S3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การสร้างฟังก์ชันคำนวณแบบ Forward Pass:</w:t>
      </w:r>
      <w:r>
        <w:t xml:space="preserve"> </w:t>
      </w:r>
      <w:r>
        <w:t xml:space="preserve">เขียนอัลกอริทึมการคูณเมทริกซ์และเวกเตอร์ (Matrix-Vector Multiplication) และฟังก์ชัน ReLU เป็นภาษา C++ ภายในโมดูล</w:t>
      </w:r>
      <w:r>
        <w:t xml:space="preserve"> </w:t>
      </w:r>
      <w:r>
        <w:rPr>
          <w:rStyle w:val="VerbatimChar"/>
        </w:rPr>
        <w:t xml:space="preserve">TinyML_PHEngine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โครงสร้างการชดเชยสองขั้นตอน (Two-Stage Decoupling Architecture):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ขั้นตอนที่ 1 (Physical Compensation):</w:t>
      </w:r>
      <w:r>
        <w:t xml:space="preserve"> </w:t>
      </w:r>
      <w:r>
        <w:t xml:space="preserve">คำนวณค่า pH พื้นฐานตามทฤษฎีสมการเนิร์นสต์ร่วมกับค่าอุณหภูมิวัดจริง</w:t>
      </w:r>
      <w:r>
        <w:t xml:space="preserve"> </w:t>
      </w:r>
      <m:oMath>
        <m:r>
          <m:t>T</m:t>
        </m:r>
      </m:oMath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ขั้นตอนที่ 2 (AI Residual Error Compensation):</w:t>
      </w:r>
      <w:r>
        <w:t xml:space="preserve"> </w:t>
      </w:r>
      <w:r>
        <w:t xml:space="preserve">ส่งค่าผลลัพธ์พร้อมสัญญาณดิบเข้าสู่โมเดล TinyML ANN เพื่อชดเชยค่าความไม่เป็นเชิงเส้นและค่าเลื่อนลอยที่เหลือ (Residual Non-linearities)</w:t>
      </w:r>
    </w:p>
    <w:p>
      <w:pPr>
        <w:pStyle w:val="SourceCode"/>
      </w:pPr>
      <w:r>
        <w:rPr>
          <w:rStyle w:val="CommentTok"/>
        </w:rPr>
        <w:t xml:space="preserve">// โครงสร้างฟังก์ชัน C++ Inference Engine บน ESP32-S3</w:t>
      </w:r>
      <w:r>
        <w:br/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predictSoilPH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rawEMF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tempC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ec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1. Min-Max Normalization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norm_e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rawEMF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E_MIN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E_MAX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E_MIN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norm_t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tempC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T_MIN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T_MAX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T_MIN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norm_ec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ec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EC_MIN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EC_MAX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EC_MIN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2. Hidden Layer 1 (16 nodes with ReLU)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h1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b1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norm_e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w1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norm_t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w1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norm_ec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w1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h1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sum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ReLU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3. Hidden Layer 2 (8 nodes with ReLU)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h2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b2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h1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w2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h2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sum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ReLU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4. Output Layer (Linear)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ph_pred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b3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ph_pred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h2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w3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5. Denormalization to pH Unit (0 - 14)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ph_pred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PH_MAX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PH_MIN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PH_MIN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9"/>
    <w:bookmarkStart w:id="33" w:name="X661a91476ab9832f85769bd3eed2e2ac54b199d"/>
    <w:p>
      <w:pPr>
        <w:pStyle w:val="Heading2"/>
      </w:pPr>
      <w:r>
        <w:t xml:space="preserve">3.7 การประเมินประสิทธิภาพและการทดสอบความใช้ได้ของวิธี (Method Validation)</w:t>
      </w:r>
    </w:p>
    <w:p>
      <w:pPr>
        <w:pStyle w:val="FirstParagraph"/>
      </w:pPr>
      <w:r>
        <w:t xml:space="preserve">การประเมินคุณภาพและความน่าเชื่อถือของชุดทดสอบที่พัฒนาขึ้น ดำเนินการตามแนวทางมาตรฐานการตรวจสอบความใช้ได้ของวิธีเคมีวิเคราะห์ (EURACHEM / CITAC Guidelines) ดังนี้</w:t>
      </w:r>
    </w:p>
    <w:bookmarkStart w:id="30" w:name="การทดสอบความแมน-accuracy-bias"/>
    <w:p>
      <w:pPr>
        <w:pStyle w:val="Heading3"/>
      </w:pPr>
      <w:r>
        <w:t xml:space="preserve">3.7.1 การทดสอบความแม่น (Accuracy / Bias)</w:t>
      </w:r>
    </w:p>
    <w:p>
      <w:pPr>
        <w:pStyle w:val="FirstParagraph"/>
      </w:pPr>
      <w:r>
        <w:t xml:space="preserve">ทดสอบโดยนำชุดทดสอบไปวัดค่า pH ในสารละลายบัฟเฟอร์มาตรฐาน (pH 4.01, 7.00, 10.01) ที่อุณหภูมิต่างๆ เปรียบเทียบกับค่าจริงของสารละลายบัฟเฟอร์ แล้วคำนวณค่าร้อยละความคลาดเคลื่อน (Bias):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Bias (%)</m:t>
          </m:r>
          <m:r>
            <m:rPr>
              <m:sty m:val="p"/>
            </m:rPr>
            <m:t>=</m:t>
          </m:r>
          <m:d>
            <m:dPr>
              <m:begChr m:val="|"/>
              <m:sepChr m:val=""/>
              <m:endChr m:val="|"/>
              <m:grow/>
            </m:dPr>
            <m:e>
              <m:f>
                <m:fPr>
                  <m:type m:val="bar"/>
                </m:fPr>
                <m:num>
                  <m:sSub>
                    <m:e>
                      <m:bar>
                        <m:barPr>
                          <m:pos m:val="top"/>
                        </m:barPr>
                        <m:e>
                          <m:r>
                            <m:rPr>
                              <m:nor/>
                              <m:sty m:val="p"/>
                            </m:rPr>
                            <m:t>pH</m:t>
                          </m:r>
                        </m:e>
                      </m:bar>
                    </m:e>
                    <m:sub>
                      <m:r>
                        <m:rPr>
                          <m:nor/>
                          <m:sty m:val="p"/>
                        </m:rPr>
                        <m:t>measured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nor/>
                          <m:sty m:val="p"/>
                        </m:rPr>
                        <m:t>pH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standard</m:t>
                      </m:r>
                    </m:sub>
                  </m:sSub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pH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standard</m:t>
                      </m:r>
                    </m:sub>
                  </m:sSub>
                </m:den>
              </m:f>
            </m:e>
          </m:d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%</m:t>
          </m:r>
        </m:oMath>
      </m:oMathPara>
    </w:p>
    <w:p>
      <w:pPr>
        <w:pStyle w:val="FirstParagraph"/>
      </w:pPr>
      <w:r>
        <w:rPr>
          <w:b/>
          <w:bCs/>
        </w:rPr>
        <w:t xml:space="preserve">เกณฑ์การยอมรับ:</w:t>
      </w:r>
      <w:r>
        <w:t xml:space="preserve"> </w:t>
      </w:r>
      <w:r>
        <w:t xml:space="preserve">ค่าร้อยละความคลาดเคลื่อน (Bias) ต้องน้อยกว่าร้อยละ 5.0</w:t>
      </w:r>
    </w:p>
    <w:bookmarkEnd w:id="30"/>
    <w:bookmarkStart w:id="31" w:name="การทดสอบความเทยง-precision-rsd"/>
    <w:p>
      <w:pPr>
        <w:pStyle w:val="Heading3"/>
      </w:pPr>
      <w:r>
        <w:t xml:space="preserve">3.7.2 การทดสอบความเที่ยง (Precision / %RSD)</w:t>
      </w:r>
    </w:p>
    <w:p>
      <w:pPr>
        <w:pStyle w:val="FirstParagraph"/>
      </w:pPr>
      <w:r>
        <w:t xml:space="preserve">ทดสอบความสามารถในการให้ผลซ้ำ โดยนำชุดทดสอบไปวัดค่าในสารละลายบัฟเฟอร์มาตรฐานซ้ำกัน 11 ครั้ง (</w:t>
      </w:r>
      <m:oMath>
        <m:r>
          <m:t>n</m:t>
        </m:r>
        <m:r>
          <m:rPr>
            <m:sty m:val="p"/>
          </m:rPr>
          <m:t>=</m:t>
        </m:r>
        <m:r>
          <m:t>11</m:t>
        </m:r>
      </m:oMath>
      <w:r>
        <w:t xml:space="preserve">) ภายใต้สภาวะเดียวกัน แล้วคำนวณค่าเบี่ยงเบนมาตรฐานสัมพัทธ์ (%RSD):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%</m:t>
          </m:r>
          <m:r>
            <m:rPr>
              <m:nor/>
              <m:sty m:val="p"/>
            </m:rPr>
            <m:t>RSD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s</m:t>
                  </m:r>
                </m:num>
                <m:den>
                  <m:bar>
                    <m:barPr>
                      <m:pos m:val="top"/>
                    </m:barPr>
                    <m:e>
                      <m:r>
                        <m:rPr>
                          <m:nor/>
                          <m:sty m:val="p"/>
                        </m:rPr>
                        <m:t>pH</m:t>
                      </m:r>
                    </m:e>
                  </m:bar>
                </m:den>
              </m:f>
            </m:e>
          </m:d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%</m:t>
          </m:r>
        </m:oMath>
      </m:oMathPara>
    </w:p>
    <w:p>
      <w:pPr>
        <w:pStyle w:val="FirstParagraph"/>
      </w:pPr>
      <w:r>
        <w:t xml:space="preserve">โดยที่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คือ ส่วนเบี่ยงเบนมาตรฐาน (Standard Deviation) และ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pH</m:t>
            </m:r>
          </m:e>
        </m:bar>
      </m:oMath>
      <w:r>
        <w:t xml:space="preserve"> </w:t>
      </w:r>
      <w:r>
        <w:t xml:space="preserve">คือ ค่าเฉลี่ยของการวัด</w:t>
      </w:r>
      <w:r>
        <w:br/>
      </w:r>
      <w:r>
        <w:rPr>
          <w:b/>
          <w:bCs/>
        </w:rPr>
        <w:t xml:space="preserve">เกณฑ์การยอมรับ:</w:t>
      </w:r>
      <w:r>
        <w:t xml:space="preserve"> </w:t>
      </w:r>
      <w:r>
        <w:t xml:space="preserve">ค่า %RSD ต้องน้อยกว่าร้อยละ 5.0</w:t>
      </w:r>
    </w:p>
    <w:bookmarkEnd w:id="31"/>
    <w:bookmarkStart w:id="32" w:name="ตวชวดประสทธภาพของโมเดลปญญาประดษฐ"/>
    <w:p>
      <w:pPr>
        <w:pStyle w:val="Heading3"/>
      </w:pPr>
      <w:r>
        <w:t xml:space="preserve">3.7.3 ตัวชี้วัดประสิทธิภาพของโมเดลปัญญาประดิษฐ์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Root Mean Square Error (RMSE):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nor/>
              <m:sty m:val="p"/>
            </m:rPr>
            <m:t>RMSE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pH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standard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pH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i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rad>
        </m:oMath>
      </m:oMathPara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Mean Absolute Error (MAE):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nor/>
              <m:sty m:val="p"/>
            </m:rPr>
            <m:t>MAE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rPr>
                          <m:nor/>
                          <m:sty m:val="p"/>
                        </m:rPr>
                        <m:t>pH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standard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nor/>
                          <m:sty m:val="p"/>
                        </m:rPr>
                        <m:t>pH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i</m:t>
                      </m:r>
                    </m:sub>
                  </m:sSub>
                </m:e>
              </m:d>
            </m:e>
          </m:nary>
        </m:oMath>
      </m:oMathPara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Coefficient of Determination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):</w:t>
      </w:r>
    </w:p>
    <w:p>
      <w:pPr>
        <w:pStyle w:val="Compac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nor/>
                      <m:sty m:val="p"/>
                    </m:rPr>
                    <m:t>pH</m:t>
                  </m:r>
                </m:e>
                <m:sub>
                  <m:r>
                    <m:rPr>
                      <m:nor/>
                      <m:sty m:val="p"/>
                    </m:rPr>
                    <m:t>standard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pH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nor/>
                      <m:sty m:val="p"/>
                    </m:rPr>
                    <m:t>pH</m:t>
                  </m:r>
                </m:e>
                <m:sub>
                  <m:r>
                    <m:rPr>
                      <m:nor/>
                      <m:sty m:val="p"/>
                    </m:rPr>
                    <m:t>standard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bar>
                    <m:barPr>
                      <m:pos m:val="top"/>
                    </m:barPr>
                    <m:e>
                      <m:r>
                        <m:rPr>
                          <m:nor/>
                          <m:sty m:val="p"/>
                        </m:rPr>
                        <m:t>pH</m:t>
                      </m:r>
                    </m:e>
                  </m:bar>
                </m:e>
                <m:sub>
                  <m:r>
                    <m:rPr>
                      <m:nor/>
                      <m:sty m:val="p"/>
                    </m:rPr>
                    <m:t>standard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X1b49d1bac06deef0e9aa446153498d1ac266fcb"/>
    <w:p>
      <w:pPr>
        <w:pStyle w:val="Heading2"/>
      </w:pPr>
      <w:r>
        <w:t xml:space="preserve">3.8 ระเบียบวิธีการทดสอบภาคสนามในสวนผลไม้และการวิเคราะห์ทางสถิติ</w:t>
      </w:r>
    </w:p>
    <w:bookmarkStart w:id="34" w:name="การเกบตวอยางดนจรงในแปลงสวนทเรยน"/>
    <w:p>
      <w:pPr>
        <w:pStyle w:val="Heading3"/>
      </w:pPr>
      <w:r>
        <w:t xml:space="preserve">3.8.1 การเก็บตัวอย่างดินจริงในแปลงสวนทุเรียน</w:t>
      </w:r>
    </w:p>
    <w:p>
      <w:pPr>
        <w:pStyle w:val="FirstParagraph"/>
      </w:pPr>
      <w:r>
        <w:t xml:space="preserve">ดำเนินการเก็บตัวอย่างดินในแปลงปลูกทุเรียนตัวแทน 3 อำเภอในจังหวัดจันทบุรีและตราด ได้แก่</w:t>
      </w:r>
      <w:r>
        <w:t xml:space="preserve"> </w:t>
      </w:r>
      <w:r>
        <w:t xml:space="preserve">1. อำเภอมะขาม จังหวัดจันทบุรี (ดินร่วนปนทราย/ดินดาน)</w:t>
      </w:r>
      <w:r>
        <w:t xml:space="preserve"> </w:t>
      </w:r>
      <w:r>
        <w:t xml:space="preserve">2. อำเภอท่าใหม่ จังหวัดจันทบุรี (ดินร่วนเหนียวสีแดง)</w:t>
      </w:r>
      <w:r>
        <w:t xml:space="preserve"> </w:t>
      </w:r>
      <w:r>
        <w:t xml:space="preserve">3. อำเภอเขาสมิง จังหวัดตราด (ดินร่วนปนดินเหนียว)</w:t>
      </w:r>
    </w:p>
    <w:p>
      <w:pPr>
        <w:pStyle w:val="BodyText"/>
      </w:pPr>
      <w:r>
        <w:t xml:space="preserve">เก็บตัวอย่างดินที่ระดับความลึก</w:t>
      </w:r>
      <w:r>
        <w:t xml:space="preserve"> </w:t>
      </w:r>
      <m:oMath>
        <m:r>
          <m:t>15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เซนติเมตร (ระดับความลึกของรากหาอาหารทุเรียน) รวมจำนวน 30 แปลงตัวแทน โดยในแต่ละจุดตัวอย่าง ดำเนินการแบ่งตัวอย่างออกเป็น 2 ส่วนเท่าๆ กัน: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ส่วนที่ 1:</w:t>
      </w:r>
      <w:r>
        <w:t xml:space="preserve"> </w:t>
      </w:r>
      <w:r>
        <w:t xml:space="preserve">วัดค่าทันทีในแปลงด้วยชุดทดสอบพกพาภาคสนามปัญญาประดิษฐ์ที่พัฒนาขึ้น โดยปักโพรบลงในดินที่ผสมน้ำสะอาดตามอัตราส่วน 1:1 และอ่านผลผ่านหน้าจอ Cyber Dashboard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ส่วนที่ 2:</w:t>
      </w:r>
      <w:r>
        <w:t xml:space="preserve"> </w:t>
      </w:r>
      <w:r>
        <w:t xml:space="preserve">บรรจุใส่ถุงพลาสติกปิดสนิท นำส่งห้องปฏิบัติการมาตรฐานเพื่ออบแห้ง บด ร่อน และตรวจวัดค่า pH ด้วยเครื่องวัดมาตรฐาน Mettler Toledo SevenExcellence (Method 1:1 Soil-to-Water Suspension)</w:t>
      </w:r>
    </w:p>
    <w:bookmarkEnd w:id="34"/>
    <w:bookmarkStart w:id="35" w:name="X4e9b541e5e16a483b208a46802fde1b07ad849b"/>
    <w:p>
      <w:pPr>
        <w:pStyle w:val="Heading3"/>
      </w:pPr>
      <w:r>
        <w:t xml:space="preserve">3.8.2 การวิเคราะห์ผลเปรียบเทียบทางสถิติ (Statistical Analysis)</w:t>
      </w:r>
    </w:p>
    <w:p>
      <w:pPr>
        <w:pStyle w:val="FirstParagraph"/>
      </w:pPr>
      <w:r>
        <w:t xml:space="preserve">นำผลการวัดค่า Soil pH จากชุดทดสอบที่พัฒนาขึ้น มาเปรียบเทียบกับค่าวิเคราะห์มาตรฐานจากห้องปฏิบัติการ โดยทำการวิเคราะห์ข้อมูลดังนี้</w:t>
      </w:r>
      <w:r>
        <w:t xml:space="preserve"> </w:t>
      </w:r>
      <w:r>
        <w:t xml:space="preserve">1. การทดสอบการแจกแจงแบบปกติ (Normality Test) ด้วย Shapiro-Wilk Test</w:t>
      </w:r>
      <w:r>
        <w:t xml:space="preserve"> </w:t>
      </w:r>
      <w:r>
        <w:t xml:space="preserve">2. การทดสอบความแตกต่างของค่าเฉลี่ยคู่ตัวอย่างด้วย</w:t>
      </w:r>
      <w:r>
        <w:t xml:space="preserve"> </w:t>
      </w:r>
      <w:r>
        <w:rPr>
          <w:b/>
          <w:bCs/>
        </w:rPr>
        <w:t xml:space="preserve">Paired Samples t-test</w:t>
      </w:r>
      <w:r>
        <w:t xml:space="preserve"> </w:t>
      </w:r>
      <w:r>
        <w:t xml:space="preserve">ที่ระดับนัยสำคัญ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(หาก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0.05</m:t>
        </m:r>
      </m:oMath>
      <w:r>
        <w:t xml:space="preserve"> </w:t>
      </w:r>
      <w:r>
        <w:t xml:space="preserve">แสดงว่าไม่มีความแตกต่างอย่างมีนัยสำคัญทางสถิติ)</w:t>
      </w:r>
      <w:r>
        <w:t xml:space="preserve"> </w:t>
      </w:r>
      <w:r>
        <w:t xml:space="preserve">3. การวิเคราะห์ความสัมพันธ์เชิงเส้น (Linear Regression Analysis) และแผนภาพความสอดคล้อง Bland-Altman Plot เพื่อประเมินขอบเขตของความสอดคล้อง (Limits of Agreement: LoA)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2026-09-12T13:05:43Z</dcterms:created>
  <dcterms:modified xsi:type="dcterms:W3CDTF">2026-09-12T13:05:43Z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