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Manual: PlayCanvas for High-End Virtual Labs</w:t>
      </w:r>
      <w:r/>
    </w:p>
    <w:p>
      <w:r/>
      <w:r>
        <w:t>PlayCanvas is a high-performance, WebGL-native engine with a visual editor. It is ideal for "Microbiology" where organic shapes and complex laboratory interactions are required.</w:t>
      </w:r>
      <w:r/>
    </w:p>
    <w:p>
      <w:pPr>
        <w:pStyle w:val="Heading2"/>
      </w:pPr>
      <w:r>
        <w:t>Key Features</w:t>
      </w:r>
      <w:r/>
      <w:r/>
    </w:p>
    <w:p>
      <w:pPr>
        <w:pStyle w:val="ListBullet"/>
        <w:spacing w:line="240" w:lineRule="auto"/>
        <w:ind w:left="720"/>
      </w:pPr>
      <w:r/>
      <w:r>
        <w:rPr>
          <w:b/>
        </w:rPr>
        <w:t>Visual Editor:</w:t>
      </w:r>
      <w:r>
        <w:t xml:space="preserve"> Real-time WYSIWYG editor for lighting, particles, and physics.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Performance:</w:t>
      </w:r>
      <w:r>
        <w:t xml:space="preserve"> Faster loading and run-time than Unity-to-WebGL exports.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Asset Management:</w:t>
      </w:r>
      <w:r>
        <w:t xml:space="preserve"> Drag and drop 3D models of bacteria, petri dishes, and microscopes.</w:t>
      </w:r>
      <w:r/>
      <w:r/>
    </w:p>
    <w:p>
      <w:pPr>
        <w:pStyle w:val="Heading2"/>
      </w:pPr>
      <w:r>
        <w:t>Case Study: Microbial Growth (Bacterial Colony Simulation)</w:t>
      </w:r>
      <w:r/>
    </w:p>
    <w:p>
      <w:r/>
      <w:r>
        <w:t xml:space="preserve">Simulating the growth of </w:t>
      </w:r>
      <w:r>
        <w:rPr>
          <w:i/>
        </w:rPr>
        <w:t>E. coli</w:t>
      </w:r>
      <w:r>
        <w:t xml:space="preserve"> on an agar plate using a script that scales models over time.</w:t>
      </w:r>
      <w:r/>
    </w:p>
    <w:p>
      <w:pPr>
        <w:pStyle w:val="Heading3"/>
      </w:pPr>
      <w:r>
        <w:t>Sample Code: Bacterial Growth Script (PlayCanvas JS)</w:t>
      </w:r>
      <w:r/>
    </w:p>
    <w:p>
      <w:r/>
      <w:r>
        <w:rPr>
          <w:rFonts w:ascii="Courier" w:hAnsi="Courier"/>
        </w:rPr>
        <w:t>var BacterialGrowth = pc.createScript('bacterialGrowth');</w:t>
        <w:br/>
        <w:br/>
        <w:t>BacterialGrowth.attributes.add('growthRate', { type: 'number', default: 0.05 });</w:t>
        <w:br/>
        <w:t>BacterialGrowth.attributes.add('maxScale', { type: 'number', default: 5 });</w:t>
        <w:br/>
        <w:br/>
        <w:t>BacterialGrowth.prototype.update = function(dt) {</w:t>
        <w:br/>
        <w:t xml:space="preserve">    // 1. Get current scale of the colony</w:t>
        <w:br/>
        <w:t xml:space="preserve">    var currentScale = this.entity.getLocalScale();</w:t>
        <w:br/>
        <w:br/>
        <w:t xml:space="preserve">    // 2. Linear growth logic (Simplified science)</w:t>
        <w:br/>
        <w:t xml:space="preserve">    if (currentScale.x &lt; this.maxScale) {</w:t>
        <w:br/>
        <w:t xml:space="preserve">        var newScale = currentScale.x + (this.growthRate * dt);</w:t>
        <w:br/>
        <w:t xml:space="preserve">        this.entity.setLocalScale(newScale, newScale, newScale);</w:t>
        <w:br/>
        <w:t xml:space="preserve">    }</w:t>
        <w:br/>
        <w:br/>
        <w:t xml:space="preserve">    // 3. Visualization: Change color as colony matures</w:t>
        <w:br/>
        <w:t xml:space="preserve">    var material = this.entity.render.meshInstances[0].material;</w:t>
        <w:br/>
        <w:t xml:space="preserve">    material.diffuse.set(1, 1 - (currentScale.x / 10), 0); // Becomes redder</w:t>
        <w:br/>
        <w:t xml:space="preserve">    material.update();</w:t>
        <w:br/>
        <w:t>};</w:t>
        <w:br/>
      </w:r>
      <w:r/>
    </w:p>
    <w:p>
      <w:pPr>
        <w:pStyle w:val="Heading2"/>
      </w:pPr>
      <w:r>
        <w:t>Pros vs Cons for Microbiology</w:t>
      </w:r>
      <w:r/>
      <w:r/>
    </w:p>
    <w:p>
      <w:pPr>
        <w:pStyle w:val="ListBullet"/>
        <w:spacing w:line="240" w:lineRule="auto"/>
        <w:ind w:left="720"/>
      </w:pPr>
      <w:r/>
      <w:r>
        <w:rPr>
          <w:b/>
        </w:rPr>
        <w:t>Pros:</w:t>
      </w:r>
      <w:r>
        <w:t xml:space="preserve"> Best visual quality for organic materials; built-in animation system.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Cons:</w:t>
      </w:r>
      <w:r>
        <w:t xml:space="preserve"> Higher file size for complex labs; require hosting on PlayCanvas (or self-hosting).</w:t>
      </w:r>
      <w:r/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