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AE39A6" w14:textId="5DE680AD" w:rsidR="001A6C4D" w:rsidRPr="001A6C4D" w:rsidRDefault="001A6C4D" w:rsidP="001044F0">
      <w:pPr>
        <w:spacing w:after="240" w:line="360" w:lineRule="auto"/>
        <w:rPr>
          <w:rFonts w:ascii="Times New Roman" w:hAnsi="Times New Roman"/>
          <w:lang w:val="en-US"/>
        </w:rPr>
      </w:pPr>
      <w:r w:rsidRPr="001A6C4D">
        <w:rPr>
          <w:rFonts w:ascii="Times New Roman" w:hAnsi="Times New Roman"/>
          <w:lang w:val="en-US"/>
        </w:rPr>
        <w:t xml:space="preserve">Overview </w:t>
      </w:r>
    </w:p>
    <w:p w14:paraId="7057D4E4" w14:textId="545A859C" w:rsidR="001A6C4D" w:rsidRPr="001044F0" w:rsidRDefault="001A6C4D" w:rsidP="001044F0">
      <w:pPr>
        <w:spacing w:after="240" w:line="360" w:lineRule="auto"/>
        <w:rPr>
          <w:lang w:val="en-US"/>
        </w:rPr>
      </w:pPr>
      <w:r w:rsidRPr="001A6C4D">
        <w:rPr>
          <w:lang w:val="en-US"/>
        </w:rPr>
        <w:drawing>
          <wp:inline distT="0" distB="0" distL="0" distR="0" wp14:anchorId="7056AB1E" wp14:editId="38B77136">
            <wp:extent cx="6110737" cy="3445329"/>
            <wp:effectExtent l="0" t="0" r="0" b="0"/>
            <wp:docPr id="316288787" name="Picture 1" descr="A table with text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288787" name="Picture 1" descr="A table with text on i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5819" cy="3448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0C438" w14:textId="77777777" w:rsidR="001044F0" w:rsidRDefault="001044F0" w:rsidP="001044F0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</w:p>
    <w:p w14:paraId="41E32DCA" w14:textId="1C0DED2E" w:rsidR="001A6C4D" w:rsidRPr="001A6C4D" w:rsidRDefault="001A6C4D" w:rsidP="001044F0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r>
        <w:rPr>
          <w:rFonts w:ascii="Times New Roman" w:eastAsiaTheme="minorEastAsia" w:hAnsi="Times New Roman"/>
          <w:b/>
          <w:bCs/>
          <w14:ligatures w14:val="standardContextual"/>
        </w:rPr>
        <w:t xml:space="preserve">1. </w:t>
      </w:r>
      <w:r w:rsidRPr="001A6C4D">
        <w:rPr>
          <w:rFonts w:ascii="Times New Roman" w:eastAsiaTheme="minorEastAsia" w:hAnsi="Times New Roman"/>
          <w:b/>
          <w:bCs/>
          <w14:ligatures w14:val="standardContextual"/>
        </w:rPr>
        <w:t>Context and Scope</w:t>
      </w:r>
    </w:p>
    <w:p w14:paraId="43607B85" w14:textId="77777777" w:rsidR="001A6C4D" w:rsidRPr="001A6C4D" w:rsidRDefault="001A6C4D" w:rsidP="001044F0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r w:rsidRPr="001A6C4D">
        <w:rPr>
          <w:rFonts w:ascii="Times New Roman" w:eastAsiaTheme="minorEastAsia" w:hAnsi="Times New Roman"/>
          <w:b/>
          <w:bCs/>
          <w14:ligatures w14:val="standardContextual"/>
        </w:rPr>
        <w:t>Cybersecurity in AI-Based Medical Devices:</w:t>
      </w:r>
    </w:p>
    <w:p w14:paraId="676F6EB0" w14:textId="1D453E3A" w:rsidR="001A6C4D" w:rsidRPr="001A6C4D" w:rsidRDefault="001A6C4D" w:rsidP="001044F0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1A6C4D">
        <w:rPr>
          <w:rFonts w:ascii="Times New Roman" w:eastAsiaTheme="minorEastAsia" w:hAnsi="Times New Roman"/>
          <w:b/>
          <w:bCs/>
          <w14:ligatures w14:val="standardContextual"/>
        </w:rPr>
        <w:t>Problem</w:t>
      </w:r>
      <w:r w:rsidRPr="001A6C4D">
        <w:rPr>
          <w:rFonts w:ascii="Times New Roman" w:eastAsiaTheme="minorEastAsia" w:hAnsi="Times New Roman"/>
          <w14:ligatures w14:val="standardContextual"/>
        </w:rPr>
        <w:t>: AI-based medical devices (e.g., insulin pumps, imaging systems) face rising cybersecurity threats, such as ransomware attacks (e.g., WannaCry), which disrupt healthcare and endanger patient safety.</w:t>
      </w:r>
    </w:p>
    <w:p w14:paraId="38F639D1" w14:textId="77777777" w:rsidR="001A6C4D" w:rsidRPr="001A6C4D" w:rsidRDefault="001A6C4D" w:rsidP="001044F0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1A6C4D">
        <w:rPr>
          <w:rFonts w:ascii="Times New Roman" w:eastAsiaTheme="minorEastAsia" w:hAnsi="Times New Roman"/>
          <w:b/>
          <w:bCs/>
          <w14:ligatures w14:val="standardContextual"/>
        </w:rPr>
        <w:t>Challenges</w:t>
      </w:r>
      <w:r w:rsidRPr="001A6C4D">
        <w:rPr>
          <w:rFonts w:ascii="Times New Roman" w:eastAsiaTheme="minorEastAsia" w:hAnsi="Times New Roman"/>
          <w14:ligatures w14:val="standardContextual"/>
        </w:rPr>
        <w:t>:</w:t>
      </w:r>
    </w:p>
    <w:p w14:paraId="5914E5A2" w14:textId="7EF36B37" w:rsidR="001A6C4D" w:rsidRPr="001A6C4D" w:rsidRDefault="001A6C4D" w:rsidP="001044F0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14:ligatures w14:val="standardContextual"/>
        </w:rPr>
        <w:t xml:space="preserve">- </w:t>
      </w:r>
      <w:r w:rsidRPr="001A6C4D">
        <w:rPr>
          <w:rFonts w:ascii="Times New Roman" w:eastAsiaTheme="minorEastAsia" w:hAnsi="Times New Roman"/>
          <w14:ligatures w14:val="standardContextual"/>
        </w:rPr>
        <w:t>Evolving technology (AI, machine learning) creates unique vulnerabilities.</w:t>
      </w:r>
    </w:p>
    <w:p w14:paraId="11BA6879" w14:textId="4E2517EA" w:rsidR="001A6C4D" w:rsidRPr="001A6C4D" w:rsidRDefault="001A6C4D" w:rsidP="001044F0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14:ligatures w14:val="standardContextual"/>
        </w:rPr>
        <w:t xml:space="preserve">- </w:t>
      </w:r>
      <w:r w:rsidRPr="001A6C4D">
        <w:rPr>
          <w:rFonts w:ascii="Times New Roman" w:eastAsiaTheme="minorEastAsia" w:hAnsi="Times New Roman"/>
          <w14:ligatures w14:val="standardContextual"/>
        </w:rPr>
        <w:t xml:space="preserve">Current frameworks inadequately address lifecycle risks like </w:t>
      </w:r>
      <w:r w:rsidRPr="001A6C4D">
        <w:rPr>
          <w:rFonts w:ascii="Times New Roman" w:eastAsiaTheme="minorEastAsia" w:hAnsi="Times New Roman"/>
          <w:b/>
          <w:bCs/>
          <w14:ligatures w14:val="standardContextual"/>
        </w:rPr>
        <w:t>data poisoning</w:t>
      </w:r>
      <w:r w:rsidRPr="001A6C4D">
        <w:rPr>
          <w:rFonts w:ascii="Times New Roman" w:eastAsiaTheme="minorEastAsia" w:hAnsi="Times New Roman"/>
          <w14:ligatures w14:val="standardContextual"/>
        </w:rPr>
        <w:t xml:space="preserve"> or outdated software updates.</w:t>
      </w:r>
    </w:p>
    <w:p w14:paraId="37469DA9" w14:textId="77777777" w:rsidR="001A6C4D" w:rsidRPr="001A6C4D" w:rsidRDefault="001A6C4D" w:rsidP="001044F0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1A6C4D">
        <w:rPr>
          <w:rFonts w:ascii="Times New Roman" w:eastAsiaTheme="minorEastAsia" w:hAnsi="Times New Roman"/>
          <w:b/>
          <w:bCs/>
          <w14:ligatures w14:val="standardContextual"/>
        </w:rPr>
        <w:t>Goal</w:t>
      </w:r>
      <w:r w:rsidRPr="001A6C4D">
        <w:rPr>
          <w:rFonts w:ascii="Times New Roman" w:eastAsiaTheme="minorEastAsia" w:hAnsi="Times New Roman"/>
          <w14:ligatures w14:val="standardContextual"/>
        </w:rPr>
        <w:t>: Strengthen regulatory approaches to ensure AI-based devices remain safe and secure while fostering innovation.</w:t>
      </w:r>
    </w:p>
    <w:p w14:paraId="20C7622C" w14:textId="77777777" w:rsidR="001044F0" w:rsidRPr="001A6C4D" w:rsidRDefault="001044F0" w:rsidP="001044F0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</w:p>
    <w:p w14:paraId="4A2559B3" w14:textId="772A5DDE" w:rsidR="001A6C4D" w:rsidRPr="001A6C4D" w:rsidRDefault="001A6C4D" w:rsidP="001044F0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r>
        <w:rPr>
          <w:rFonts w:ascii="Times New Roman" w:eastAsiaTheme="minorEastAsia" w:hAnsi="Times New Roman"/>
          <w:b/>
          <w:bCs/>
          <w14:ligatures w14:val="standardContextual"/>
        </w:rPr>
        <w:lastRenderedPageBreak/>
        <w:t xml:space="preserve">2. </w:t>
      </w:r>
      <w:r w:rsidRPr="001A6C4D">
        <w:rPr>
          <w:rFonts w:ascii="Times New Roman" w:eastAsiaTheme="minorEastAsia" w:hAnsi="Times New Roman"/>
          <w:b/>
          <w:bCs/>
          <w14:ligatures w14:val="standardContextual"/>
        </w:rPr>
        <w:t>Hard Law vs Soft Law in Regulatory Frameworks</w:t>
      </w:r>
    </w:p>
    <w:p w14:paraId="15EEF761" w14:textId="77777777" w:rsidR="001A6C4D" w:rsidRPr="001044F0" w:rsidRDefault="001A6C4D" w:rsidP="001044F0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:u w:val="single"/>
          <w14:ligatures w14:val="standardContextual"/>
        </w:rPr>
      </w:pPr>
      <w:r w:rsidRPr="001044F0">
        <w:rPr>
          <w:rFonts w:ascii="Times New Roman" w:eastAsiaTheme="minorEastAsia" w:hAnsi="Times New Roman"/>
          <w:b/>
          <w:bCs/>
          <w:u w:val="single"/>
          <w14:ligatures w14:val="standardContextual"/>
        </w:rPr>
        <w:t>Hard Law:</w:t>
      </w:r>
    </w:p>
    <w:p w14:paraId="0B95056E" w14:textId="77777777" w:rsidR="001A6C4D" w:rsidRPr="001A6C4D" w:rsidRDefault="001A6C4D" w:rsidP="001044F0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1A6C4D">
        <w:rPr>
          <w:rFonts w:ascii="Times New Roman" w:eastAsiaTheme="minorEastAsia" w:hAnsi="Times New Roman"/>
          <w14:ligatures w14:val="standardContextual"/>
        </w:rPr>
        <w:t>Binding legal instruments, such as directives, regulations, and statutes. Examples:</w:t>
      </w:r>
    </w:p>
    <w:p w14:paraId="6EFE017C" w14:textId="77777777" w:rsidR="001A6C4D" w:rsidRPr="001A6C4D" w:rsidRDefault="001A6C4D" w:rsidP="001044F0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1A6C4D">
        <w:rPr>
          <w:rFonts w:ascii="Times New Roman" w:eastAsiaTheme="minorEastAsia" w:hAnsi="Times New Roman"/>
          <w:b/>
          <w:bCs/>
          <w14:ligatures w14:val="standardContextual"/>
        </w:rPr>
        <w:t>EU</w:t>
      </w:r>
      <w:r w:rsidRPr="001A6C4D">
        <w:rPr>
          <w:rFonts w:ascii="Times New Roman" w:eastAsiaTheme="minorEastAsia" w:hAnsi="Times New Roman"/>
          <w14:ligatures w14:val="standardContextual"/>
        </w:rPr>
        <w:t>:</w:t>
      </w:r>
    </w:p>
    <w:p w14:paraId="218BD88D" w14:textId="61A153AE" w:rsidR="001A6C4D" w:rsidRPr="001A6C4D" w:rsidRDefault="001A6C4D" w:rsidP="001044F0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:b/>
          <w:bCs/>
          <w14:ligatures w14:val="standardContextual"/>
        </w:rPr>
        <w:t xml:space="preserve">1. </w:t>
      </w:r>
      <w:r w:rsidRPr="001A6C4D">
        <w:rPr>
          <w:rFonts w:ascii="Times New Roman" w:eastAsiaTheme="minorEastAsia" w:hAnsi="Times New Roman"/>
          <w:b/>
          <w:bCs/>
          <w14:ligatures w14:val="standardContextual"/>
        </w:rPr>
        <w:t>Medical Device Regulation (MDR)</w:t>
      </w:r>
      <w:r w:rsidRPr="001A6C4D">
        <w:rPr>
          <w:rFonts w:ascii="Times New Roman" w:eastAsiaTheme="minorEastAsia" w:hAnsi="Times New Roman"/>
          <w14:ligatures w14:val="standardContextual"/>
        </w:rPr>
        <w:t xml:space="preserve"> and </w:t>
      </w:r>
      <w:r w:rsidRPr="001A6C4D">
        <w:rPr>
          <w:rFonts w:ascii="Times New Roman" w:eastAsiaTheme="minorEastAsia" w:hAnsi="Times New Roman"/>
          <w:b/>
          <w:bCs/>
          <w14:ligatures w14:val="standardContextual"/>
        </w:rPr>
        <w:t>In Vitro Diagnostic Regulation (IVDR)</w:t>
      </w:r>
      <w:r w:rsidRPr="001A6C4D">
        <w:rPr>
          <w:rFonts w:ascii="Times New Roman" w:eastAsiaTheme="minorEastAsia" w:hAnsi="Times New Roman"/>
          <w14:ligatures w14:val="standardContextual"/>
        </w:rPr>
        <w:t>:</w:t>
      </w:r>
    </w:p>
    <w:p w14:paraId="0CFF5F49" w14:textId="76F0A434" w:rsidR="001A6C4D" w:rsidRPr="001A6C4D" w:rsidRDefault="001A6C4D" w:rsidP="001044F0">
      <w:pPr>
        <w:tabs>
          <w:tab w:val="left" w:pos="1660"/>
          <w:tab w:val="left" w:pos="216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14:ligatures w14:val="standardContextual"/>
        </w:rPr>
        <w:t xml:space="preserve">- </w:t>
      </w:r>
      <w:r w:rsidRPr="001A6C4D">
        <w:rPr>
          <w:rFonts w:ascii="Times New Roman" w:eastAsiaTheme="minorEastAsia" w:hAnsi="Times New Roman"/>
          <w14:ligatures w14:val="standardContextual"/>
        </w:rPr>
        <w:t>Set binding safety and performance standards for devices.</w:t>
      </w:r>
    </w:p>
    <w:p w14:paraId="3BF720A0" w14:textId="3080D97C" w:rsidR="001A6C4D" w:rsidRPr="001A6C4D" w:rsidRDefault="001A6C4D" w:rsidP="001044F0">
      <w:pPr>
        <w:tabs>
          <w:tab w:val="left" w:pos="1660"/>
          <w:tab w:val="left" w:pos="216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14:ligatures w14:val="standardContextual"/>
        </w:rPr>
        <w:t xml:space="preserve">- </w:t>
      </w:r>
      <w:r w:rsidRPr="001A6C4D">
        <w:rPr>
          <w:rFonts w:ascii="Times New Roman" w:eastAsiaTheme="minorEastAsia" w:hAnsi="Times New Roman"/>
          <w14:ligatures w14:val="standardContextual"/>
        </w:rPr>
        <w:t xml:space="preserve">Include cybersecurity requirements (e.g., Annex I </w:t>
      </w:r>
      <w:proofErr w:type="gramStart"/>
      <w:r w:rsidRPr="001A6C4D">
        <w:rPr>
          <w:rFonts w:ascii="Times New Roman" w:eastAsiaTheme="minorEastAsia" w:hAnsi="Times New Roman"/>
          <w14:ligatures w14:val="standardContextual"/>
        </w:rPr>
        <w:t>demands</w:t>
      </w:r>
      <w:proofErr w:type="gramEnd"/>
      <w:r w:rsidRPr="001A6C4D">
        <w:rPr>
          <w:rFonts w:ascii="Times New Roman" w:eastAsiaTheme="minorEastAsia" w:hAnsi="Times New Roman"/>
          <w14:ligatures w14:val="standardContextual"/>
        </w:rPr>
        <w:t xml:space="preserve"> risk management, state-of-the-art IT security).</w:t>
      </w:r>
    </w:p>
    <w:p w14:paraId="12AB814E" w14:textId="26EC21C1" w:rsidR="001A6C4D" w:rsidRPr="001A6C4D" w:rsidRDefault="001A6C4D" w:rsidP="001044F0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:b/>
          <w:bCs/>
          <w14:ligatures w14:val="standardContextual"/>
        </w:rPr>
        <w:t xml:space="preserve">2. </w:t>
      </w:r>
      <w:r w:rsidRPr="001A6C4D">
        <w:rPr>
          <w:rFonts w:ascii="Times New Roman" w:eastAsiaTheme="minorEastAsia" w:hAnsi="Times New Roman"/>
          <w:b/>
          <w:bCs/>
          <w14:ligatures w14:val="standardContextual"/>
        </w:rPr>
        <w:t>NIS2 Directive</w:t>
      </w:r>
      <w:r w:rsidRPr="001A6C4D">
        <w:rPr>
          <w:rFonts w:ascii="Times New Roman" w:eastAsiaTheme="minorEastAsia" w:hAnsi="Times New Roman"/>
          <w14:ligatures w14:val="standardContextual"/>
        </w:rPr>
        <w:t>: Imposes risk management and incident reporting obligations on critical healthcare infrastructure, including device manufacturers.</w:t>
      </w:r>
    </w:p>
    <w:p w14:paraId="588C4562" w14:textId="16B4D9C3" w:rsidR="001A6C4D" w:rsidRPr="001A6C4D" w:rsidRDefault="001A6C4D" w:rsidP="001044F0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:b/>
          <w:bCs/>
          <w14:ligatures w14:val="standardContextual"/>
        </w:rPr>
        <w:t xml:space="preserve">3. </w:t>
      </w:r>
      <w:r w:rsidRPr="001A6C4D">
        <w:rPr>
          <w:rFonts w:ascii="Times New Roman" w:eastAsiaTheme="minorEastAsia" w:hAnsi="Times New Roman"/>
          <w:b/>
          <w:bCs/>
          <w14:ligatures w14:val="standardContextual"/>
        </w:rPr>
        <w:t>Draft AI Act</w:t>
      </w:r>
      <w:r w:rsidRPr="001A6C4D">
        <w:rPr>
          <w:rFonts w:ascii="Times New Roman" w:eastAsiaTheme="minorEastAsia" w:hAnsi="Times New Roman"/>
          <w14:ligatures w14:val="standardContextual"/>
        </w:rPr>
        <w:t>: Horizontal legislation classifying high-risk AI systems (including AI-based medical devices) with additional safety and cybersecurity measures.</w:t>
      </w:r>
    </w:p>
    <w:p w14:paraId="3B0E1B7E" w14:textId="7E846F42" w:rsidR="001A6C4D" w:rsidRPr="001044F0" w:rsidRDefault="001A6C4D" w:rsidP="001044F0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:b/>
          <w:bCs/>
          <w14:ligatures w14:val="standardContextual"/>
        </w:rPr>
        <w:t xml:space="preserve">4. </w:t>
      </w:r>
      <w:r w:rsidRPr="001A6C4D">
        <w:rPr>
          <w:rFonts w:ascii="Times New Roman" w:eastAsiaTheme="minorEastAsia" w:hAnsi="Times New Roman"/>
          <w:b/>
          <w:bCs/>
          <w14:ligatures w14:val="standardContextual"/>
        </w:rPr>
        <w:t>Cybersecurity Act</w:t>
      </w:r>
      <w:r w:rsidRPr="001A6C4D">
        <w:rPr>
          <w:rFonts w:ascii="Times New Roman" w:eastAsiaTheme="minorEastAsia" w:hAnsi="Times New Roman"/>
          <w14:ligatures w14:val="standardContextual"/>
        </w:rPr>
        <w:t>: Establishes voluntary certification schemes for device manufacturers.</w:t>
      </w:r>
    </w:p>
    <w:p w14:paraId="19C43B85" w14:textId="5A243B91" w:rsidR="001A6C4D" w:rsidRPr="001A6C4D" w:rsidRDefault="001A6C4D" w:rsidP="001044F0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1A6C4D">
        <w:rPr>
          <w:rFonts w:ascii="Times New Roman" w:eastAsiaTheme="minorEastAsia" w:hAnsi="Times New Roman"/>
          <w:b/>
          <w:bCs/>
          <w14:ligatures w14:val="standardContextual"/>
        </w:rPr>
        <w:t>US</w:t>
      </w:r>
      <w:r w:rsidRPr="001A6C4D">
        <w:rPr>
          <w:rFonts w:ascii="Times New Roman" w:eastAsiaTheme="minorEastAsia" w:hAnsi="Times New Roman"/>
          <w14:ligatures w14:val="standardContextual"/>
        </w:rPr>
        <w:t>:</w:t>
      </w:r>
    </w:p>
    <w:p w14:paraId="182C1C09" w14:textId="02FB300F" w:rsidR="001A6C4D" w:rsidRPr="001A6C4D" w:rsidRDefault="001A6C4D" w:rsidP="001044F0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:b/>
          <w:bCs/>
          <w14:ligatures w14:val="standardContextual"/>
        </w:rPr>
        <w:t xml:space="preserve">1. </w:t>
      </w:r>
      <w:r w:rsidRPr="001A6C4D">
        <w:rPr>
          <w:rFonts w:ascii="Times New Roman" w:eastAsiaTheme="minorEastAsia" w:hAnsi="Times New Roman"/>
          <w:b/>
          <w:bCs/>
          <w14:ligatures w14:val="standardContextual"/>
        </w:rPr>
        <w:t>Food, Drug, and Cosmetic Act (FD&amp;C Act)</w:t>
      </w:r>
      <w:r w:rsidRPr="001A6C4D">
        <w:rPr>
          <w:rFonts w:ascii="Times New Roman" w:eastAsiaTheme="minorEastAsia" w:hAnsi="Times New Roman"/>
          <w14:ligatures w14:val="standardContextual"/>
        </w:rPr>
        <w:t>:</w:t>
      </w:r>
    </w:p>
    <w:p w14:paraId="748AA6DB" w14:textId="4163CD93" w:rsidR="001A6C4D" w:rsidRPr="001A6C4D" w:rsidRDefault="001A6C4D" w:rsidP="001044F0">
      <w:pPr>
        <w:tabs>
          <w:tab w:val="left" w:pos="1660"/>
          <w:tab w:val="left" w:pos="216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14:ligatures w14:val="standardContextual"/>
        </w:rPr>
        <w:t xml:space="preserve">- </w:t>
      </w:r>
      <w:r w:rsidRPr="001A6C4D">
        <w:rPr>
          <w:rFonts w:ascii="Times New Roman" w:eastAsiaTheme="minorEastAsia" w:hAnsi="Times New Roman"/>
          <w14:ligatures w14:val="standardContextual"/>
        </w:rPr>
        <w:t>Section 360n–2 specifies mandatory cybersecurity measures for devices.</w:t>
      </w:r>
    </w:p>
    <w:p w14:paraId="68784A4C" w14:textId="56BE42C9" w:rsidR="001A6C4D" w:rsidRPr="001044F0" w:rsidRDefault="001A6C4D" w:rsidP="001044F0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:b/>
          <w:bCs/>
          <w14:ligatures w14:val="standardContextual"/>
        </w:rPr>
        <w:t xml:space="preserve">2. </w:t>
      </w:r>
      <w:r w:rsidRPr="001A6C4D">
        <w:rPr>
          <w:rFonts w:ascii="Times New Roman" w:eastAsiaTheme="minorEastAsia" w:hAnsi="Times New Roman"/>
          <w:b/>
          <w:bCs/>
          <w14:ligatures w14:val="standardContextual"/>
        </w:rPr>
        <w:t>CIRCIA (2022)</w:t>
      </w:r>
      <w:r w:rsidRPr="001A6C4D">
        <w:rPr>
          <w:rFonts w:ascii="Times New Roman" w:eastAsiaTheme="minorEastAsia" w:hAnsi="Times New Roman"/>
          <w14:ligatures w14:val="standardContextual"/>
        </w:rPr>
        <w:t>: Requires incident reporting for critical infrastructure, indirectly covering medical devices.</w:t>
      </w:r>
    </w:p>
    <w:p w14:paraId="0030C2BA" w14:textId="43853613" w:rsidR="001A6C4D" w:rsidRPr="001044F0" w:rsidRDefault="001A6C4D" w:rsidP="001044F0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:u w:val="single"/>
          <w14:ligatures w14:val="standardContextual"/>
        </w:rPr>
      </w:pPr>
      <w:r w:rsidRPr="001044F0">
        <w:rPr>
          <w:rFonts w:ascii="Times New Roman" w:eastAsiaTheme="minorEastAsia" w:hAnsi="Times New Roman"/>
          <w:b/>
          <w:bCs/>
          <w:u w:val="single"/>
          <w14:ligatures w14:val="standardContextual"/>
        </w:rPr>
        <w:t>Soft Law:</w:t>
      </w:r>
    </w:p>
    <w:p w14:paraId="69AB12AA" w14:textId="77777777" w:rsidR="001A6C4D" w:rsidRPr="001A6C4D" w:rsidRDefault="001A6C4D" w:rsidP="001044F0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1A6C4D">
        <w:rPr>
          <w:rFonts w:ascii="Times New Roman" w:eastAsiaTheme="minorEastAsia" w:hAnsi="Times New Roman"/>
          <w14:ligatures w14:val="standardContextual"/>
        </w:rPr>
        <w:t>Non-binding guidelines and recommendations. Examples:</w:t>
      </w:r>
    </w:p>
    <w:p w14:paraId="62F7ED55" w14:textId="77777777" w:rsidR="001A6C4D" w:rsidRPr="001A6C4D" w:rsidRDefault="001A6C4D" w:rsidP="001044F0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1A6C4D">
        <w:rPr>
          <w:rFonts w:ascii="Times New Roman" w:eastAsiaTheme="minorEastAsia" w:hAnsi="Times New Roman"/>
          <w:b/>
          <w:bCs/>
          <w14:ligatures w14:val="standardContextual"/>
        </w:rPr>
        <w:t>EU</w:t>
      </w:r>
      <w:r w:rsidRPr="001A6C4D">
        <w:rPr>
          <w:rFonts w:ascii="Times New Roman" w:eastAsiaTheme="minorEastAsia" w:hAnsi="Times New Roman"/>
          <w14:ligatures w14:val="standardContextual"/>
        </w:rPr>
        <w:t>:</w:t>
      </w:r>
    </w:p>
    <w:p w14:paraId="5C58BB7B" w14:textId="77777777" w:rsidR="001A6C4D" w:rsidRPr="001A6C4D" w:rsidRDefault="001A6C4D" w:rsidP="001044F0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1A6C4D">
        <w:rPr>
          <w:rFonts w:ascii="Times New Roman" w:eastAsiaTheme="minorEastAsia" w:hAnsi="Times New Roman"/>
          <w:b/>
          <w:bCs/>
          <w14:ligatures w14:val="standardContextual"/>
        </w:rPr>
        <w:t>MDCG Cybersecurity Guidance (2019)</w:t>
      </w:r>
      <w:r w:rsidRPr="001A6C4D">
        <w:rPr>
          <w:rFonts w:ascii="Times New Roman" w:eastAsiaTheme="minorEastAsia" w:hAnsi="Times New Roman"/>
          <w14:ligatures w14:val="standardContextual"/>
        </w:rPr>
        <w:t>: Explains how MDR/IVDR safety requirements apply to cybersecurity but does not address AI-specific challenges.</w:t>
      </w:r>
    </w:p>
    <w:p w14:paraId="531D4336" w14:textId="77777777" w:rsidR="001A6C4D" w:rsidRPr="001A6C4D" w:rsidRDefault="001A6C4D" w:rsidP="001044F0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1A6C4D">
        <w:rPr>
          <w:rFonts w:ascii="Times New Roman" w:eastAsiaTheme="minorEastAsia" w:hAnsi="Times New Roman"/>
          <w:b/>
          <w:bCs/>
          <w14:ligatures w14:val="standardContextual"/>
        </w:rPr>
        <w:lastRenderedPageBreak/>
        <w:t>US</w:t>
      </w:r>
      <w:r w:rsidRPr="001A6C4D">
        <w:rPr>
          <w:rFonts w:ascii="Times New Roman" w:eastAsiaTheme="minorEastAsia" w:hAnsi="Times New Roman"/>
          <w14:ligatures w14:val="standardContextual"/>
        </w:rPr>
        <w:t>:</w:t>
      </w:r>
    </w:p>
    <w:p w14:paraId="24A84D2E" w14:textId="38924DE0" w:rsidR="001A6C4D" w:rsidRPr="001A6C4D" w:rsidRDefault="001A6C4D" w:rsidP="001044F0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:b/>
          <w:bCs/>
          <w14:ligatures w14:val="standardContextual"/>
        </w:rPr>
        <w:t xml:space="preserve">1. </w:t>
      </w:r>
      <w:r w:rsidRPr="001A6C4D">
        <w:rPr>
          <w:rFonts w:ascii="Times New Roman" w:eastAsiaTheme="minorEastAsia" w:hAnsi="Times New Roman"/>
          <w:b/>
          <w:bCs/>
          <w14:ligatures w14:val="standardContextual"/>
        </w:rPr>
        <w:t>FDA Cybersecurity Guidance (2005–2023)</w:t>
      </w:r>
      <w:r w:rsidRPr="001A6C4D">
        <w:rPr>
          <w:rFonts w:ascii="Times New Roman" w:eastAsiaTheme="minorEastAsia" w:hAnsi="Times New Roman"/>
          <w14:ligatures w14:val="standardContextual"/>
        </w:rPr>
        <w:t>: Continuous updates on cybersecurity best practices (e.g., pre-market submissions, post-market surveillance).</w:t>
      </w:r>
    </w:p>
    <w:p w14:paraId="67A59A07" w14:textId="22EABD85" w:rsidR="001A6C4D" w:rsidRPr="001A6C4D" w:rsidRDefault="001A6C4D" w:rsidP="001044F0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:b/>
          <w:bCs/>
          <w14:ligatures w14:val="standardContextual"/>
        </w:rPr>
        <w:t xml:space="preserve">2. </w:t>
      </w:r>
      <w:r w:rsidRPr="001A6C4D">
        <w:rPr>
          <w:rFonts w:ascii="Times New Roman" w:eastAsiaTheme="minorEastAsia" w:hAnsi="Times New Roman"/>
          <w:b/>
          <w:bCs/>
          <w14:ligatures w14:val="standardContextual"/>
        </w:rPr>
        <w:t>FDA AI/ML Action Plan (2021)</w:t>
      </w:r>
      <w:r w:rsidRPr="001A6C4D">
        <w:rPr>
          <w:rFonts w:ascii="Times New Roman" w:eastAsiaTheme="minorEastAsia" w:hAnsi="Times New Roman"/>
          <w14:ligatures w14:val="standardContextual"/>
        </w:rPr>
        <w:t>: Details regulatory approaches for AI-based software as a medical device (</w:t>
      </w:r>
      <w:proofErr w:type="spellStart"/>
      <w:r w:rsidRPr="001A6C4D">
        <w:rPr>
          <w:rFonts w:ascii="Times New Roman" w:eastAsiaTheme="minorEastAsia" w:hAnsi="Times New Roman"/>
          <w14:ligatures w14:val="standardContextual"/>
        </w:rPr>
        <w:t>SaMD</w:t>
      </w:r>
      <w:proofErr w:type="spellEnd"/>
      <w:r w:rsidRPr="001A6C4D">
        <w:rPr>
          <w:rFonts w:ascii="Times New Roman" w:eastAsiaTheme="minorEastAsia" w:hAnsi="Times New Roman"/>
          <w14:ligatures w14:val="standardContextual"/>
        </w:rPr>
        <w:t>), emphasizing security.</w:t>
      </w:r>
    </w:p>
    <w:p w14:paraId="5712E0D9" w14:textId="77777777" w:rsidR="001A6C4D" w:rsidRPr="001A6C4D" w:rsidRDefault="001A6C4D" w:rsidP="001044F0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</w:p>
    <w:p w14:paraId="0A48CAAA" w14:textId="5AC4823D" w:rsidR="001A6C4D" w:rsidRPr="001A6C4D" w:rsidRDefault="001044F0" w:rsidP="001044F0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r>
        <w:rPr>
          <w:rFonts w:ascii="Times New Roman" w:eastAsiaTheme="minorEastAsia" w:hAnsi="Times New Roman"/>
          <w:b/>
          <w:bCs/>
          <w14:ligatures w14:val="standardContextual"/>
        </w:rPr>
        <w:t xml:space="preserve">3. </w:t>
      </w:r>
      <w:r w:rsidR="001A6C4D" w:rsidRPr="001A6C4D">
        <w:rPr>
          <w:rFonts w:ascii="Times New Roman" w:eastAsiaTheme="minorEastAsia" w:hAnsi="Times New Roman"/>
          <w:b/>
          <w:bCs/>
          <w14:ligatures w14:val="standardContextual"/>
        </w:rPr>
        <w:t>EU Legal Framework</w:t>
      </w:r>
    </w:p>
    <w:p w14:paraId="25938977" w14:textId="77777777" w:rsidR="001A6C4D" w:rsidRPr="001A6C4D" w:rsidRDefault="001A6C4D" w:rsidP="001044F0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r w:rsidRPr="001A6C4D">
        <w:rPr>
          <w:rFonts w:ascii="Times New Roman" w:eastAsiaTheme="minorEastAsia" w:hAnsi="Times New Roman"/>
          <w:b/>
          <w:bCs/>
          <w14:ligatures w14:val="standardContextual"/>
        </w:rPr>
        <w:t>Medical Device Regulation (MDR) and In Vitro Diagnostic Regulation (IVDR):</w:t>
      </w:r>
    </w:p>
    <w:p w14:paraId="280D6C6E" w14:textId="0AAEA94F" w:rsidR="001A6C4D" w:rsidRPr="001A6C4D" w:rsidRDefault="001A6C4D" w:rsidP="001044F0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14:ligatures w14:val="standardContextual"/>
        </w:rPr>
        <w:t xml:space="preserve">- </w:t>
      </w:r>
      <w:r w:rsidRPr="001A6C4D">
        <w:rPr>
          <w:rFonts w:ascii="Times New Roman" w:eastAsiaTheme="minorEastAsia" w:hAnsi="Times New Roman"/>
          <w14:ligatures w14:val="standardContextual"/>
        </w:rPr>
        <w:t>Central hard laws regulating device safety and performance.</w:t>
      </w:r>
    </w:p>
    <w:p w14:paraId="26057567" w14:textId="0230DC3E" w:rsidR="001A6C4D" w:rsidRPr="001A6C4D" w:rsidRDefault="001A6C4D" w:rsidP="001044F0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14:ligatures w14:val="standardContextual"/>
        </w:rPr>
        <w:t xml:space="preserve">- </w:t>
      </w:r>
      <w:r w:rsidRPr="001A6C4D">
        <w:rPr>
          <w:rFonts w:ascii="Times New Roman" w:eastAsiaTheme="minorEastAsia" w:hAnsi="Times New Roman"/>
          <w14:ligatures w14:val="standardContextual"/>
        </w:rPr>
        <w:t>Include cybersecurity as part of safety obligations, requiring manufacturers to:</w:t>
      </w:r>
    </w:p>
    <w:p w14:paraId="3A75C829" w14:textId="2AFB91F5" w:rsidR="001A6C4D" w:rsidRPr="001A6C4D" w:rsidRDefault="001A6C4D" w:rsidP="001044F0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14:ligatures w14:val="standardContextual"/>
        </w:rPr>
        <w:t xml:space="preserve">1. </w:t>
      </w:r>
      <w:r w:rsidRPr="001A6C4D">
        <w:rPr>
          <w:rFonts w:ascii="Times New Roman" w:eastAsiaTheme="minorEastAsia" w:hAnsi="Times New Roman"/>
          <w14:ligatures w14:val="standardContextual"/>
        </w:rPr>
        <w:t>Manage cybersecurity risks throughout the lifecycle.</w:t>
      </w:r>
    </w:p>
    <w:p w14:paraId="538C9B45" w14:textId="065DBB1E" w:rsidR="001A6C4D" w:rsidRPr="001A6C4D" w:rsidRDefault="001A6C4D" w:rsidP="001044F0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14:ligatures w14:val="standardContextual"/>
        </w:rPr>
        <w:t xml:space="preserve">2. </w:t>
      </w:r>
      <w:r w:rsidRPr="001A6C4D">
        <w:rPr>
          <w:rFonts w:ascii="Times New Roman" w:eastAsiaTheme="minorEastAsia" w:hAnsi="Times New Roman"/>
          <w14:ligatures w14:val="standardContextual"/>
        </w:rPr>
        <w:t>Implement state-of-the-art IT security measures (Annex I).</w:t>
      </w:r>
    </w:p>
    <w:p w14:paraId="542D7FC1" w14:textId="32A4519F" w:rsidR="001A6C4D" w:rsidRPr="001A6C4D" w:rsidRDefault="001A6C4D" w:rsidP="001044F0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14:ligatures w14:val="standardContextual"/>
        </w:rPr>
        <w:t xml:space="preserve">- </w:t>
      </w:r>
      <w:r w:rsidRPr="001A6C4D">
        <w:rPr>
          <w:rFonts w:ascii="Times New Roman" w:eastAsiaTheme="minorEastAsia" w:hAnsi="Times New Roman"/>
          <w14:ligatures w14:val="standardContextual"/>
        </w:rPr>
        <w:t>Flexible, principle-based rules allow adaptation to evolving technology.</w:t>
      </w:r>
    </w:p>
    <w:p w14:paraId="708AF936" w14:textId="77777777" w:rsidR="001A6C4D" w:rsidRPr="001A6C4D" w:rsidRDefault="001A6C4D" w:rsidP="001044F0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r w:rsidRPr="001A6C4D">
        <w:rPr>
          <w:rFonts w:ascii="Times New Roman" w:eastAsiaTheme="minorEastAsia" w:hAnsi="Times New Roman"/>
          <w:b/>
          <w:bCs/>
          <w14:ligatures w14:val="standardContextual"/>
        </w:rPr>
        <w:t>Draft AI Act:</w:t>
      </w:r>
    </w:p>
    <w:p w14:paraId="1E876E40" w14:textId="08EC8A91" w:rsidR="001A6C4D" w:rsidRPr="001A6C4D" w:rsidRDefault="001A6C4D" w:rsidP="001044F0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14:ligatures w14:val="standardContextual"/>
        </w:rPr>
        <w:t xml:space="preserve">1. </w:t>
      </w:r>
      <w:r w:rsidRPr="001A6C4D">
        <w:rPr>
          <w:rFonts w:ascii="Times New Roman" w:eastAsiaTheme="minorEastAsia" w:hAnsi="Times New Roman"/>
          <w14:ligatures w14:val="standardContextual"/>
        </w:rPr>
        <w:t>Introduces obligations for high-risk AI systems, including:</w:t>
      </w:r>
    </w:p>
    <w:p w14:paraId="4C9D5ACD" w14:textId="2B9A2451" w:rsidR="001A6C4D" w:rsidRPr="001A6C4D" w:rsidRDefault="001A6C4D" w:rsidP="001044F0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14:ligatures w14:val="standardContextual"/>
        </w:rPr>
        <w:t xml:space="preserve">- </w:t>
      </w:r>
      <w:r w:rsidRPr="001A6C4D">
        <w:rPr>
          <w:rFonts w:ascii="Times New Roman" w:eastAsiaTheme="minorEastAsia" w:hAnsi="Times New Roman"/>
          <w14:ligatures w14:val="standardContextual"/>
        </w:rPr>
        <w:t>Risk management and accountability for AI developers.</w:t>
      </w:r>
    </w:p>
    <w:p w14:paraId="4BB1443D" w14:textId="0B8D03D0" w:rsidR="001A6C4D" w:rsidRPr="001A6C4D" w:rsidRDefault="001A6C4D" w:rsidP="001044F0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14:ligatures w14:val="standardContextual"/>
        </w:rPr>
        <w:t xml:space="preserve">- </w:t>
      </w:r>
      <w:r w:rsidRPr="001A6C4D">
        <w:rPr>
          <w:rFonts w:ascii="Times New Roman" w:eastAsiaTheme="minorEastAsia" w:hAnsi="Times New Roman"/>
          <w14:ligatures w14:val="standardContextual"/>
        </w:rPr>
        <w:t>Security measures to prevent manipulation or misuse.</w:t>
      </w:r>
    </w:p>
    <w:p w14:paraId="6A93A2DD" w14:textId="68FFD6E9" w:rsidR="001A6C4D" w:rsidRPr="001A6C4D" w:rsidRDefault="001A6C4D" w:rsidP="001044F0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14:ligatures w14:val="standardContextual"/>
        </w:rPr>
        <w:t xml:space="preserve">2. </w:t>
      </w:r>
      <w:r w:rsidRPr="001A6C4D">
        <w:rPr>
          <w:rFonts w:ascii="Times New Roman" w:eastAsiaTheme="minorEastAsia" w:hAnsi="Times New Roman"/>
          <w14:ligatures w14:val="standardContextual"/>
        </w:rPr>
        <w:t xml:space="preserve">Devices certified under the </w:t>
      </w:r>
      <w:r w:rsidRPr="001A6C4D">
        <w:rPr>
          <w:rFonts w:ascii="Times New Roman" w:eastAsiaTheme="minorEastAsia" w:hAnsi="Times New Roman"/>
          <w:b/>
          <w:bCs/>
          <w14:ligatures w14:val="standardContextual"/>
        </w:rPr>
        <w:t>Cybersecurity Act</w:t>
      </w:r>
      <w:r w:rsidRPr="001A6C4D">
        <w:rPr>
          <w:rFonts w:ascii="Times New Roman" w:eastAsiaTheme="minorEastAsia" w:hAnsi="Times New Roman"/>
          <w14:ligatures w14:val="standardContextual"/>
        </w:rPr>
        <w:t xml:space="preserve"> benefit from presumptions of conformity.</w:t>
      </w:r>
    </w:p>
    <w:p w14:paraId="3CDBD5CC" w14:textId="77777777" w:rsidR="001A6C4D" w:rsidRPr="001A6C4D" w:rsidRDefault="001A6C4D" w:rsidP="001044F0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r w:rsidRPr="001A6C4D">
        <w:rPr>
          <w:rFonts w:ascii="Times New Roman" w:eastAsiaTheme="minorEastAsia" w:hAnsi="Times New Roman"/>
          <w:b/>
          <w:bCs/>
          <w14:ligatures w14:val="standardContextual"/>
        </w:rPr>
        <w:t>NIS2 Directive:</w:t>
      </w:r>
    </w:p>
    <w:p w14:paraId="58A5C0F5" w14:textId="79C8DA21" w:rsidR="001A6C4D" w:rsidRPr="001A6C4D" w:rsidRDefault="001A6C4D" w:rsidP="001044F0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14:ligatures w14:val="standardContextual"/>
        </w:rPr>
        <w:t xml:space="preserve">1. </w:t>
      </w:r>
      <w:r w:rsidRPr="001A6C4D">
        <w:rPr>
          <w:rFonts w:ascii="Times New Roman" w:eastAsiaTheme="minorEastAsia" w:hAnsi="Times New Roman"/>
          <w14:ligatures w14:val="standardContextual"/>
        </w:rPr>
        <w:t>Focuses on critical infrastructure, including healthcare.</w:t>
      </w:r>
    </w:p>
    <w:p w14:paraId="69E86CA4" w14:textId="20AFDCA1" w:rsidR="001A6C4D" w:rsidRPr="001A6C4D" w:rsidRDefault="001A6C4D" w:rsidP="001044F0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14:ligatures w14:val="standardContextual"/>
        </w:rPr>
        <w:t xml:space="preserve">2. </w:t>
      </w:r>
      <w:r w:rsidRPr="001A6C4D">
        <w:rPr>
          <w:rFonts w:ascii="Times New Roman" w:eastAsiaTheme="minorEastAsia" w:hAnsi="Times New Roman"/>
          <w14:ligatures w14:val="standardContextual"/>
        </w:rPr>
        <w:t>Requires device manufacturers to:</w:t>
      </w:r>
    </w:p>
    <w:p w14:paraId="149CB02A" w14:textId="15FC0F05" w:rsidR="001A6C4D" w:rsidRPr="001A6C4D" w:rsidRDefault="001A6C4D" w:rsidP="001044F0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14:ligatures w14:val="standardContextual"/>
        </w:rPr>
        <w:t xml:space="preserve">- </w:t>
      </w:r>
      <w:r w:rsidRPr="001A6C4D">
        <w:rPr>
          <w:rFonts w:ascii="Times New Roman" w:eastAsiaTheme="minorEastAsia" w:hAnsi="Times New Roman"/>
          <w14:ligatures w14:val="standardContextual"/>
        </w:rPr>
        <w:t>Report cyber incidents within 24 hours.</w:t>
      </w:r>
    </w:p>
    <w:p w14:paraId="5A1EF3E7" w14:textId="7C8E344E" w:rsidR="001A6C4D" w:rsidRPr="001A6C4D" w:rsidRDefault="001A6C4D" w:rsidP="001044F0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14:ligatures w14:val="standardContextual"/>
        </w:rPr>
        <w:lastRenderedPageBreak/>
        <w:t xml:space="preserve">- </w:t>
      </w:r>
      <w:r w:rsidRPr="001A6C4D">
        <w:rPr>
          <w:rFonts w:ascii="Times New Roman" w:eastAsiaTheme="minorEastAsia" w:hAnsi="Times New Roman"/>
          <w14:ligatures w14:val="standardContextual"/>
        </w:rPr>
        <w:t>Implement robust cybersecurity risk management.</w:t>
      </w:r>
    </w:p>
    <w:p w14:paraId="707FCB0B" w14:textId="77777777" w:rsidR="001A6C4D" w:rsidRPr="001A6C4D" w:rsidRDefault="001A6C4D" w:rsidP="001044F0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r w:rsidRPr="001A6C4D">
        <w:rPr>
          <w:rFonts w:ascii="Times New Roman" w:eastAsiaTheme="minorEastAsia" w:hAnsi="Times New Roman"/>
          <w:b/>
          <w:bCs/>
          <w14:ligatures w14:val="standardContextual"/>
        </w:rPr>
        <w:t>Key Gaps:</w:t>
      </w:r>
    </w:p>
    <w:p w14:paraId="719D54F0" w14:textId="02AB212B" w:rsidR="001A6C4D" w:rsidRPr="001A6C4D" w:rsidRDefault="001A6C4D" w:rsidP="001044F0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14:ligatures w14:val="standardContextual"/>
        </w:rPr>
        <w:t xml:space="preserve">1. </w:t>
      </w:r>
      <w:r w:rsidRPr="001A6C4D">
        <w:rPr>
          <w:rFonts w:ascii="Times New Roman" w:eastAsiaTheme="minorEastAsia" w:hAnsi="Times New Roman"/>
          <w14:ligatures w14:val="standardContextual"/>
        </w:rPr>
        <w:t>Limited AI-specific guidance (e.g., no MDCG equivalent to FDA AI/ML frameworks).</w:t>
      </w:r>
    </w:p>
    <w:p w14:paraId="3BD06343" w14:textId="1FB4FDE7" w:rsidR="001A6C4D" w:rsidRPr="001A6C4D" w:rsidRDefault="001A6C4D" w:rsidP="001044F0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14:ligatures w14:val="standardContextual"/>
        </w:rPr>
        <w:t xml:space="preserve">2. </w:t>
      </w:r>
      <w:r w:rsidRPr="001A6C4D">
        <w:rPr>
          <w:rFonts w:ascii="Times New Roman" w:eastAsiaTheme="minorEastAsia" w:hAnsi="Times New Roman"/>
          <w14:ligatures w14:val="standardContextual"/>
        </w:rPr>
        <w:t>Decentralized oversight by notified bodies limits consistency in cybersecurity enforcement.</w:t>
      </w:r>
    </w:p>
    <w:p w14:paraId="447CE6B8" w14:textId="77777777" w:rsidR="001A6C4D" w:rsidRPr="001A6C4D" w:rsidRDefault="001A6C4D" w:rsidP="001044F0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</w:p>
    <w:p w14:paraId="06ABF178" w14:textId="558DFA5D" w:rsidR="001A6C4D" w:rsidRPr="001A6C4D" w:rsidRDefault="001044F0" w:rsidP="001044F0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r>
        <w:rPr>
          <w:rFonts w:ascii="Times New Roman" w:eastAsiaTheme="minorEastAsia" w:hAnsi="Times New Roman"/>
          <w:b/>
          <w:bCs/>
          <w14:ligatures w14:val="standardContextual"/>
        </w:rPr>
        <w:t xml:space="preserve">4. </w:t>
      </w:r>
      <w:r w:rsidR="001A6C4D" w:rsidRPr="001A6C4D">
        <w:rPr>
          <w:rFonts w:ascii="Times New Roman" w:eastAsiaTheme="minorEastAsia" w:hAnsi="Times New Roman"/>
          <w:b/>
          <w:bCs/>
          <w14:ligatures w14:val="standardContextual"/>
        </w:rPr>
        <w:t>US Legal Framework</w:t>
      </w:r>
    </w:p>
    <w:p w14:paraId="0D5B4D28" w14:textId="006243E2" w:rsidR="001A6C4D" w:rsidRPr="001A6C4D" w:rsidRDefault="001044F0" w:rsidP="001044F0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r>
        <w:rPr>
          <w:rFonts w:ascii="Times New Roman" w:eastAsiaTheme="minorEastAsia" w:hAnsi="Times New Roman"/>
          <w:b/>
          <w:bCs/>
          <w14:ligatures w14:val="standardContextual"/>
        </w:rPr>
        <w:t xml:space="preserve">1. </w:t>
      </w:r>
      <w:r w:rsidR="001A6C4D" w:rsidRPr="001A6C4D">
        <w:rPr>
          <w:rFonts w:ascii="Times New Roman" w:eastAsiaTheme="minorEastAsia" w:hAnsi="Times New Roman"/>
          <w:b/>
          <w:bCs/>
          <w14:ligatures w14:val="standardContextual"/>
        </w:rPr>
        <w:t>Food, Drug, and Cosmetic Act (FD&amp;C Act):</w:t>
      </w:r>
    </w:p>
    <w:p w14:paraId="02ABB2BB" w14:textId="3565002D" w:rsidR="001A6C4D" w:rsidRPr="001A6C4D" w:rsidRDefault="001044F0" w:rsidP="001044F0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14:ligatures w14:val="standardContextual"/>
        </w:rPr>
        <w:t xml:space="preserve">1. </w:t>
      </w:r>
      <w:r w:rsidR="001A6C4D" w:rsidRPr="001A6C4D">
        <w:rPr>
          <w:rFonts w:ascii="Times New Roman" w:eastAsiaTheme="minorEastAsia" w:hAnsi="Times New Roman"/>
          <w14:ligatures w14:val="standardContextual"/>
        </w:rPr>
        <w:t>Governs medical device safety through risk-based classification:</w:t>
      </w:r>
    </w:p>
    <w:p w14:paraId="0FF45015" w14:textId="77777777" w:rsidR="001A6C4D" w:rsidRPr="001A6C4D" w:rsidRDefault="001A6C4D" w:rsidP="001044F0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1A6C4D">
        <w:rPr>
          <w:rFonts w:ascii="Times New Roman" w:eastAsiaTheme="minorEastAsia" w:hAnsi="Times New Roman"/>
          <w14:ligatures w14:val="standardContextual"/>
        </w:rPr>
        <w:t>Class I: Low risk (e.g., bandages).</w:t>
      </w:r>
    </w:p>
    <w:p w14:paraId="2AB0E630" w14:textId="77777777" w:rsidR="001A6C4D" w:rsidRPr="001A6C4D" w:rsidRDefault="001A6C4D" w:rsidP="001044F0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1A6C4D">
        <w:rPr>
          <w:rFonts w:ascii="Times New Roman" w:eastAsiaTheme="minorEastAsia" w:hAnsi="Times New Roman"/>
          <w14:ligatures w14:val="standardContextual"/>
        </w:rPr>
        <w:t>Class II: Moderate risk (e.g., X-ray machines).</w:t>
      </w:r>
    </w:p>
    <w:p w14:paraId="5F7B7E87" w14:textId="77777777" w:rsidR="001A6C4D" w:rsidRPr="001A6C4D" w:rsidRDefault="001A6C4D" w:rsidP="001044F0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1A6C4D">
        <w:rPr>
          <w:rFonts w:ascii="Times New Roman" w:eastAsiaTheme="minorEastAsia" w:hAnsi="Times New Roman"/>
          <w14:ligatures w14:val="standardContextual"/>
        </w:rPr>
        <w:t>Class III: High risk (e.g., pacemakers).</w:t>
      </w:r>
    </w:p>
    <w:p w14:paraId="1FB1D8A3" w14:textId="7EF70C2B" w:rsidR="001A6C4D" w:rsidRPr="001A6C4D" w:rsidRDefault="001044F0" w:rsidP="001044F0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14:ligatures w14:val="standardContextual"/>
        </w:rPr>
        <w:t xml:space="preserve">2. </w:t>
      </w:r>
      <w:r w:rsidR="001A6C4D" w:rsidRPr="001A6C4D">
        <w:rPr>
          <w:rFonts w:ascii="Times New Roman" w:eastAsiaTheme="minorEastAsia" w:hAnsi="Times New Roman"/>
          <w14:ligatures w14:val="standardContextual"/>
        </w:rPr>
        <w:t>Section 360n–2 mandates device-specific cybersecurity standards, including:</w:t>
      </w:r>
    </w:p>
    <w:p w14:paraId="04D0A5A8" w14:textId="5A24DCDA" w:rsidR="001A6C4D" w:rsidRPr="001A6C4D" w:rsidRDefault="001044F0" w:rsidP="001044F0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14:ligatures w14:val="standardContextual"/>
        </w:rPr>
        <w:t xml:space="preserve">- </w:t>
      </w:r>
      <w:r w:rsidR="001A6C4D" w:rsidRPr="001A6C4D">
        <w:rPr>
          <w:rFonts w:ascii="Times New Roman" w:eastAsiaTheme="minorEastAsia" w:hAnsi="Times New Roman"/>
          <w14:ligatures w14:val="standardContextual"/>
        </w:rPr>
        <w:t>Risk management plans.</w:t>
      </w:r>
    </w:p>
    <w:p w14:paraId="536FD999" w14:textId="5EE5CA1A" w:rsidR="001A6C4D" w:rsidRPr="001A6C4D" w:rsidRDefault="001044F0" w:rsidP="001044F0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14:ligatures w14:val="standardContextual"/>
        </w:rPr>
        <w:t xml:space="preserve">- </w:t>
      </w:r>
      <w:r w:rsidR="001A6C4D" w:rsidRPr="001A6C4D">
        <w:rPr>
          <w:rFonts w:ascii="Times New Roman" w:eastAsiaTheme="minorEastAsia" w:hAnsi="Times New Roman"/>
          <w14:ligatures w14:val="standardContextual"/>
        </w:rPr>
        <w:t>Post-market vulnerability disclosures.</w:t>
      </w:r>
    </w:p>
    <w:p w14:paraId="04FBABEF" w14:textId="718E3A86" w:rsidR="001A6C4D" w:rsidRPr="001A6C4D" w:rsidRDefault="001044F0" w:rsidP="001044F0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r>
        <w:rPr>
          <w:rFonts w:ascii="Times New Roman" w:eastAsiaTheme="minorEastAsia" w:hAnsi="Times New Roman"/>
          <w:b/>
          <w:bCs/>
          <w14:ligatures w14:val="standardContextual"/>
        </w:rPr>
        <w:t xml:space="preserve">2. </w:t>
      </w:r>
      <w:r w:rsidR="001A6C4D" w:rsidRPr="001A6C4D">
        <w:rPr>
          <w:rFonts w:ascii="Times New Roman" w:eastAsiaTheme="minorEastAsia" w:hAnsi="Times New Roman"/>
          <w:b/>
          <w:bCs/>
          <w14:ligatures w14:val="standardContextual"/>
        </w:rPr>
        <w:t>510(k) Pathway:</w:t>
      </w:r>
    </w:p>
    <w:p w14:paraId="23DA98E3" w14:textId="4B3D642C" w:rsidR="005975A0" w:rsidRPr="005975A0" w:rsidRDefault="005975A0" w:rsidP="001044F0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5975A0">
        <w:rPr>
          <w:rFonts w:ascii="Times New Roman" w:eastAsiaTheme="minorEastAsia" w:hAnsi="Times New Roman"/>
          <w14:ligatures w14:val="standardContextual"/>
        </w:rPr>
        <w:t>The 510(k) pathway</w:t>
      </w:r>
      <w:r>
        <w:rPr>
          <w:rFonts w:ascii="Times New Roman" w:eastAsiaTheme="minorEastAsia" w:hAnsi="Times New Roman"/>
          <w14:ligatures w14:val="standardContextual"/>
        </w:rPr>
        <w:t>—</w:t>
      </w:r>
      <w:r w:rsidRPr="005975A0">
        <w:rPr>
          <w:rFonts w:ascii="Times New Roman" w:eastAsiaTheme="minorEastAsia" w:hAnsi="Times New Roman"/>
          <w14:ligatures w14:val="standardContextual"/>
        </w:rPr>
        <w:t>which may apply to class I, II</w:t>
      </w:r>
      <w:r>
        <w:rPr>
          <w:rFonts w:ascii="Times New Roman" w:eastAsiaTheme="minorEastAsia" w:hAnsi="Times New Roman"/>
          <w14:ligatures w14:val="standardContextual"/>
        </w:rPr>
        <w:t>,</w:t>
      </w:r>
      <w:r w:rsidRPr="005975A0">
        <w:rPr>
          <w:rFonts w:ascii="Times New Roman" w:eastAsiaTheme="minorEastAsia" w:hAnsi="Times New Roman"/>
          <w14:ligatures w14:val="standardContextual"/>
        </w:rPr>
        <w:t xml:space="preserve"> and III medical devices for which pre-market approval is not indicated</w:t>
      </w:r>
      <w:r>
        <w:rPr>
          <w:rFonts w:ascii="Times New Roman" w:eastAsiaTheme="minorEastAsia" w:hAnsi="Times New Roman"/>
          <w14:ligatures w14:val="standardContextual"/>
        </w:rPr>
        <w:t>—</w:t>
      </w:r>
      <w:r w:rsidRPr="005975A0">
        <w:rPr>
          <w:rFonts w:ascii="Times New Roman" w:eastAsiaTheme="minorEastAsia" w:hAnsi="Times New Roman"/>
          <w14:ligatures w14:val="standardContextual"/>
        </w:rPr>
        <w:t xml:space="preserve">allows the evaluation procedure to be based on </w:t>
      </w:r>
      <w:r>
        <w:rPr>
          <w:rFonts w:ascii="Times New Roman" w:eastAsiaTheme="minorEastAsia" w:hAnsi="Times New Roman"/>
          <w14:ligatures w14:val="standardContextual"/>
        </w:rPr>
        <w:t>comparing</w:t>
      </w:r>
      <w:r w:rsidRPr="005975A0">
        <w:rPr>
          <w:rFonts w:ascii="Times New Roman" w:eastAsiaTheme="minorEastAsia" w:hAnsi="Times New Roman"/>
          <w14:ligatures w14:val="standardContextual"/>
        </w:rPr>
        <w:t xml:space="preserve"> a device to one or more similar legally marketed devices (predicate device)</w:t>
      </w:r>
      <w:r w:rsidRPr="005975A0">
        <w:rPr>
          <w:rStyle w:val="FootnoteReference"/>
          <w:rFonts w:ascii="Times New Roman" w:eastAsiaTheme="minorEastAsia" w:hAnsi="Times New Roman"/>
          <w14:ligatures w14:val="standardContextual"/>
        </w:rPr>
        <w:footnoteReference w:id="1"/>
      </w:r>
      <w:r>
        <w:rPr>
          <w:rFonts w:ascii="Times New Roman" w:eastAsiaTheme="minorEastAsia" w:hAnsi="Times New Roman"/>
          <w14:ligatures w14:val="standardContextual"/>
        </w:rPr>
        <w:t>.</w:t>
      </w:r>
    </w:p>
    <w:p w14:paraId="09460E7F" w14:textId="3DCE0675" w:rsidR="001A6C4D" w:rsidRPr="001A6C4D" w:rsidRDefault="001A6C4D" w:rsidP="001044F0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1A6C4D">
        <w:rPr>
          <w:rFonts w:ascii="Times New Roman" w:eastAsiaTheme="minorEastAsia" w:hAnsi="Times New Roman"/>
          <w:b/>
          <w:bCs/>
          <w14:ligatures w14:val="standardContextual"/>
        </w:rPr>
        <w:t>Criticism</w:t>
      </w:r>
      <w:r w:rsidRPr="001A6C4D">
        <w:rPr>
          <w:rFonts w:ascii="Times New Roman" w:eastAsiaTheme="minorEastAsia" w:hAnsi="Times New Roman"/>
          <w14:ligatures w14:val="standardContextual"/>
        </w:rPr>
        <w:t>:</w:t>
      </w:r>
    </w:p>
    <w:p w14:paraId="34743C26" w14:textId="74021E66" w:rsidR="005975A0" w:rsidRDefault="001044F0" w:rsidP="005975A0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14:ligatures w14:val="standardContextual"/>
        </w:rPr>
        <w:lastRenderedPageBreak/>
        <w:t xml:space="preserve">- </w:t>
      </w:r>
      <w:r w:rsidR="005975A0">
        <w:rPr>
          <w:rFonts w:ascii="Times New Roman" w:eastAsiaTheme="minorEastAsia" w:hAnsi="Times New Roman"/>
          <w14:ligatures w14:val="standardContextual"/>
        </w:rPr>
        <w:t>S</w:t>
      </w:r>
      <w:r w:rsidR="005975A0" w:rsidRPr="005975A0">
        <w:rPr>
          <w:rFonts w:ascii="Times New Roman" w:eastAsiaTheme="minorEastAsia" w:hAnsi="Times New Roman"/>
          <w14:ligatures w14:val="standardContextual"/>
        </w:rPr>
        <w:t xml:space="preserve">ecurity of former devices </w:t>
      </w:r>
      <w:r w:rsidR="005975A0">
        <w:rPr>
          <w:rFonts w:ascii="Times New Roman" w:eastAsiaTheme="minorEastAsia" w:hAnsi="Times New Roman"/>
          <w14:ligatures w14:val="standardContextual"/>
        </w:rPr>
        <w:t>is</w:t>
      </w:r>
      <w:r w:rsidR="005975A0" w:rsidRPr="005975A0">
        <w:rPr>
          <w:rFonts w:ascii="Times New Roman" w:eastAsiaTheme="minorEastAsia" w:hAnsi="Times New Roman"/>
          <w14:ligatures w14:val="standardContextual"/>
        </w:rPr>
        <w:t xml:space="preserve"> likely to have different and lower cybersecurity standards, this may lower security standards for AI-based medical devices.</w:t>
      </w:r>
    </w:p>
    <w:p w14:paraId="1ED2798D" w14:textId="008975AE" w:rsidR="001A6C4D" w:rsidRDefault="001044F0" w:rsidP="005975A0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r>
        <w:rPr>
          <w:rFonts w:ascii="Times New Roman" w:eastAsiaTheme="minorEastAsia" w:hAnsi="Times New Roman"/>
          <w:b/>
          <w:bCs/>
          <w14:ligatures w14:val="standardContextual"/>
        </w:rPr>
        <w:t xml:space="preserve">3. </w:t>
      </w:r>
      <w:r w:rsidR="001A6C4D" w:rsidRPr="001A6C4D">
        <w:rPr>
          <w:rFonts w:ascii="Times New Roman" w:eastAsiaTheme="minorEastAsia" w:hAnsi="Times New Roman"/>
          <w:b/>
          <w:bCs/>
          <w14:ligatures w14:val="standardContextual"/>
        </w:rPr>
        <w:t>CIRCIA:</w:t>
      </w:r>
    </w:p>
    <w:p w14:paraId="1A08EB01" w14:textId="552AF8BB" w:rsidR="005975A0" w:rsidRPr="005975A0" w:rsidRDefault="005975A0" w:rsidP="005975A0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5975A0">
        <w:rPr>
          <w:rFonts w:ascii="Times New Roman" w:eastAsiaTheme="minorEastAsia" w:hAnsi="Times New Roman"/>
          <w14:ligatures w14:val="standardContextual"/>
        </w:rPr>
        <w:t xml:space="preserve">- </w:t>
      </w:r>
      <w:r w:rsidRPr="005975A0">
        <w:rPr>
          <w:rFonts w:ascii="Times New Roman" w:eastAsiaTheme="minorEastAsia" w:hAnsi="Times New Roman"/>
          <w14:ligatures w14:val="standardContextual"/>
        </w:rPr>
        <w:t xml:space="preserve">Imposes incident reporting requirements for </w:t>
      </w:r>
      <w:r>
        <w:rPr>
          <w:rFonts w:ascii="Times New Roman" w:eastAsiaTheme="minorEastAsia" w:hAnsi="Times New Roman"/>
          <w14:ligatures w14:val="standardContextual"/>
        </w:rPr>
        <w:t xml:space="preserve">cyber incidents for critical infrastructure. </w:t>
      </w:r>
    </w:p>
    <w:p w14:paraId="7F0AAF8E" w14:textId="77777777" w:rsidR="001A6C4D" w:rsidRPr="001A6C4D" w:rsidRDefault="001A6C4D" w:rsidP="001044F0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r w:rsidRPr="001A6C4D">
        <w:rPr>
          <w:rFonts w:ascii="Times New Roman" w:eastAsiaTheme="minorEastAsia" w:hAnsi="Times New Roman"/>
          <w:b/>
          <w:bCs/>
          <w14:ligatures w14:val="standardContextual"/>
        </w:rPr>
        <w:t>Key Strengths:</w:t>
      </w:r>
    </w:p>
    <w:p w14:paraId="57FDE08E" w14:textId="6E18E092" w:rsidR="001A6C4D" w:rsidRPr="001A6C4D" w:rsidRDefault="005975A0" w:rsidP="001044F0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14:ligatures w14:val="standardContextual"/>
        </w:rPr>
        <w:t xml:space="preserve">- </w:t>
      </w:r>
      <w:r w:rsidR="001A6C4D" w:rsidRPr="001A6C4D">
        <w:rPr>
          <w:rFonts w:ascii="Times New Roman" w:eastAsiaTheme="minorEastAsia" w:hAnsi="Times New Roman"/>
          <w14:ligatures w14:val="standardContextual"/>
        </w:rPr>
        <w:t>FDA’s centrali</w:t>
      </w:r>
      <w:r>
        <w:rPr>
          <w:rFonts w:ascii="Times New Roman" w:eastAsiaTheme="minorEastAsia" w:hAnsi="Times New Roman"/>
          <w14:ligatures w14:val="standardContextual"/>
        </w:rPr>
        <w:t>s</w:t>
      </w:r>
      <w:r w:rsidR="001A6C4D" w:rsidRPr="001A6C4D">
        <w:rPr>
          <w:rFonts w:ascii="Times New Roman" w:eastAsiaTheme="minorEastAsia" w:hAnsi="Times New Roman"/>
          <w14:ligatures w14:val="standardContextual"/>
        </w:rPr>
        <w:t>ed approval ensures uniform oversight across all states.</w:t>
      </w:r>
    </w:p>
    <w:p w14:paraId="419C9F19" w14:textId="12E1D245" w:rsidR="001A6C4D" w:rsidRPr="001A6C4D" w:rsidRDefault="005975A0" w:rsidP="001044F0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14:ligatures w14:val="standardContextual"/>
        </w:rPr>
        <w:t xml:space="preserve">- </w:t>
      </w:r>
      <w:r w:rsidR="001A6C4D" w:rsidRPr="001A6C4D">
        <w:rPr>
          <w:rFonts w:ascii="Times New Roman" w:eastAsiaTheme="minorEastAsia" w:hAnsi="Times New Roman"/>
          <w14:ligatures w14:val="standardContextual"/>
        </w:rPr>
        <w:t>Frequent updates to FDA guidance adapt quickly to emerging threats.</w:t>
      </w:r>
    </w:p>
    <w:p w14:paraId="3090510F" w14:textId="77777777" w:rsidR="001A6C4D" w:rsidRPr="001A6C4D" w:rsidRDefault="001A6C4D" w:rsidP="001044F0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</w:p>
    <w:p w14:paraId="2B827129" w14:textId="12218EBC" w:rsidR="001A6C4D" w:rsidRPr="001A6C4D" w:rsidRDefault="001044F0" w:rsidP="001044F0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r>
        <w:rPr>
          <w:rFonts w:ascii="Times New Roman" w:eastAsiaTheme="minorEastAsia" w:hAnsi="Times New Roman"/>
          <w:b/>
          <w:bCs/>
          <w14:ligatures w14:val="standardContextual"/>
        </w:rPr>
        <w:t xml:space="preserve">5. </w:t>
      </w:r>
      <w:r w:rsidR="001A6C4D" w:rsidRPr="001A6C4D">
        <w:rPr>
          <w:rFonts w:ascii="Times New Roman" w:eastAsiaTheme="minorEastAsia" w:hAnsi="Times New Roman"/>
          <w:b/>
          <w:bCs/>
          <w14:ligatures w14:val="standardContextual"/>
        </w:rPr>
        <w:t>Comparative Analysis</w:t>
      </w:r>
    </w:p>
    <w:p w14:paraId="463BFB06" w14:textId="77777777" w:rsidR="001A6C4D" w:rsidRPr="001A6C4D" w:rsidRDefault="001A6C4D" w:rsidP="001044F0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r w:rsidRPr="001A6C4D">
        <w:rPr>
          <w:rFonts w:ascii="Times New Roman" w:eastAsiaTheme="minorEastAsia" w:hAnsi="Times New Roman"/>
          <w:b/>
          <w:bCs/>
          <w14:ligatures w14:val="standardContextual"/>
        </w:rPr>
        <w:t>Regulatory Approach:</w:t>
      </w:r>
    </w:p>
    <w:p w14:paraId="0619F9D0" w14:textId="77777777" w:rsidR="001A6C4D" w:rsidRPr="001A6C4D" w:rsidRDefault="001A6C4D" w:rsidP="001044F0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1A6C4D">
        <w:rPr>
          <w:rFonts w:ascii="Times New Roman" w:eastAsiaTheme="minorEastAsia" w:hAnsi="Times New Roman"/>
          <w:b/>
          <w:bCs/>
          <w14:ligatures w14:val="standardContextual"/>
        </w:rPr>
        <w:t>EU</w:t>
      </w:r>
      <w:r w:rsidRPr="001A6C4D">
        <w:rPr>
          <w:rFonts w:ascii="Times New Roman" w:eastAsiaTheme="minorEastAsia" w:hAnsi="Times New Roman"/>
          <w14:ligatures w14:val="standardContextual"/>
        </w:rPr>
        <w:t>:</w:t>
      </w:r>
    </w:p>
    <w:p w14:paraId="2D9151DE" w14:textId="77777777" w:rsidR="001A6C4D" w:rsidRPr="001A6C4D" w:rsidRDefault="001A6C4D" w:rsidP="001044F0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1A6C4D">
        <w:rPr>
          <w:rFonts w:ascii="Times New Roman" w:eastAsiaTheme="minorEastAsia" w:hAnsi="Times New Roman"/>
          <w:b/>
          <w:bCs/>
          <w14:ligatures w14:val="standardContextual"/>
        </w:rPr>
        <w:t>Principle-Based</w:t>
      </w:r>
      <w:r w:rsidRPr="001A6C4D">
        <w:rPr>
          <w:rFonts w:ascii="Times New Roman" w:eastAsiaTheme="minorEastAsia" w:hAnsi="Times New Roman"/>
          <w14:ligatures w14:val="standardContextual"/>
        </w:rPr>
        <w:t>:</w:t>
      </w:r>
    </w:p>
    <w:p w14:paraId="3AFE790E" w14:textId="51A2665B" w:rsidR="001A6C4D" w:rsidRPr="001A6C4D" w:rsidRDefault="001044F0" w:rsidP="001044F0">
      <w:pPr>
        <w:tabs>
          <w:tab w:val="left" w:pos="1660"/>
          <w:tab w:val="left" w:pos="216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14:ligatures w14:val="standardContextual"/>
        </w:rPr>
        <w:t xml:space="preserve">- </w:t>
      </w:r>
      <w:r w:rsidR="001A6C4D" w:rsidRPr="001A6C4D">
        <w:rPr>
          <w:rFonts w:ascii="Times New Roman" w:eastAsiaTheme="minorEastAsia" w:hAnsi="Times New Roman"/>
          <w14:ligatures w14:val="standardContextual"/>
        </w:rPr>
        <w:t>Broad principles focus on safety, flexibility, and technology neutrality.</w:t>
      </w:r>
    </w:p>
    <w:p w14:paraId="4F76EBE5" w14:textId="7BACF836" w:rsidR="001A6C4D" w:rsidRPr="001A6C4D" w:rsidRDefault="001044F0" w:rsidP="001044F0">
      <w:pPr>
        <w:tabs>
          <w:tab w:val="left" w:pos="1660"/>
          <w:tab w:val="left" w:pos="216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14:ligatures w14:val="standardContextual"/>
        </w:rPr>
        <w:t xml:space="preserve">- </w:t>
      </w:r>
      <w:r w:rsidR="001A6C4D" w:rsidRPr="001A6C4D">
        <w:rPr>
          <w:rFonts w:ascii="Times New Roman" w:eastAsiaTheme="minorEastAsia" w:hAnsi="Times New Roman"/>
          <w14:ligatures w14:val="standardContextual"/>
        </w:rPr>
        <w:t>Specificity delegated to harmonized standards and notified bodies.</w:t>
      </w:r>
    </w:p>
    <w:p w14:paraId="204499EB" w14:textId="2F62DF2F" w:rsidR="001A6C4D" w:rsidRPr="001A6C4D" w:rsidRDefault="001044F0" w:rsidP="001044F0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14:ligatures w14:val="standardContextual"/>
        </w:rPr>
        <w:t xml:space="preserve">- </w:t>
      </w:r>
      <w:r w:rsidR="001A6C4D" w:rsidRPr="001A6C4D">
        <w:rPr>
          <w:rFonts w:ascii="Times New Roman" w:eastAsiaTheme="minorEastAsia" w:hAnsi="Times New Roman"/>
          <w14:ligatures w14:val="standardContextual"/>
        </w:rPr>
        <w:t>Limited cybersecurity and AI-specific guidance.</w:t>
      </w:r>
    </w:p>
    <w:p w14:paraId="02D18B2A" w14:textId="77777777" w:rsidR="001A6C4D" w:rsidRPr="001A6C4D" w:rsidRDefault="001A6C4D" w:rsidP="001044F0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1A6C4D">
        <w:rPr>
          <w:rFonts w:ascii="Times New Roman" w:eastAsiaTheme="minorEastAsia" w:hAnsi="Times New Roman"/>
          <w:b/>
          <w:bCs/>
          <w14:ligatures w14:val="standardContextual"/>
        </w:rPr>
        <w:t>US</w:t>
      </w:r>
      <w:r w:rsidRPr="001A6C4D">
        <w:rPr>
          <w:rFonts w:ascii="Times New Roman" w:eastAsiaTheme="minorEastAsia" w:hAnsi="Times New Roman"/>
          <w14:ligatures w14:val="standardContextual"/>
        </w:rPr>
        <w:t>:</w:t>
      </w:r>
    </w:p>
    <w:p w14:paraId="3BD485FA" w14:textId="77777777" w:rsidR="001A6C4D" w:rsidRPr="001A6C4D" w:rsidRDefault="001A6C4D" w:rsidP="001044F0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1A6C4D">
        <w:rPr>
          <w:rFonts w:ascii="Times New Roman" w:eastAsiaTheme="minorEastAsia" w:hAnsi="Times New Roman"/>
          <w:b/>
          <w:bCs/>
          <w14:ligatures w14:val="standardContextual"/>
        </w:rPr>
        <w:t>Rule-Based</w:t>
      </w:r>
      <w:r w:rsidRPr="001A6C4D">
        <w:rPr>
          <w:rFonts w:ascii="Times New Roman" w:eastAsiaTheme="minorEastAsia" w:hAnsi="Times New Roman"/>
          <w14:ligatures w14:val="standardContextual"/>
        </w:rPr>
        <w:t>:</w:t>
      </w:r>
    </w:p>
    <w:p w14:paraId="632498BE" w14:textId="55F368B1" w:rsidR="001A6C4D" w:rsidRPr="001A6C4D" w:rsidRDefault="001044F0" w:rsidP="001044F0">
      <w:pPr>
        <w:tabs>
          <w:tab w:val="left" w:pos="1660"/>
          <w:tab w:val="left" w:pos="216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14:ligatures w14:val="standardContextual"/>
        </w:rPr>
        <w:t xml:space="preserve">- </w:t>
      </w:r>
      <w:r w:rsidR="001A6C4D" w:rsidRPr="001A6C4D">
        <w:rPr>
          <w:rFonts w:ascii="Times New Roman" w:eastAsiaTheme="minorEastAsia" w:hAnsi="Times New Roman"/>
          <w14:ligatures w14:val="standardContextual"/>
        </w:rPr>
        <w:t>Detailed, prescriptive rules issued by the FDA.</w:t>
      </w:r>
    </w:p>
    <w:p w14:paraId="0E04A876" w14:textId="15D91708" w:rsidR="001A6C4D" w:rsidRPr="001A6C4D" w:rsidRDefault="001044F0" w:rsidP="001044F0">
      <w:pPr>
        <w:tabs>
          <w:tab w:val="left" w:pos="1660"/>
          <w:tab w:val="left" w:pos="216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14:ligatures w14:val="standardContextual"/>
        </w:rPr>
        <w:t xml:space="preserve">- </w:t>
      </w:r>
      <w:r w:rsidR="001A6C4D" w:rsidRPr="001A6C4D">
        <w:rPr>
          <w:rFonts w:ascii="Times New Roman" w:eastAsiaTheme="minorEastAsia" w:hAnsi="Times New Roman"/>
          <w14:ligatures w14:val="standardContextual"/>
        </w:rPr>
        <w:t>Continuous updates ensure alignment with technological advances.</w:t>
      </w:r>
    </w:p>
    <w:p w14:paraId="63BF7EDF" w14:textId="77777777" w:rsidR="001A6C4D" w:rsidRPr="001A6C4D" w:rsidRDefault="001A6C4D" w:rsidP="001044F0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r w:rsidRPr="001A6C4D">
        <w:rPr>
          <w:rFonts w:ascii="Times New Roman" w:eastAsiaTheme="minorEastAsia" w:hAnsi="Times New Roman"/>
          <w:b/>
          <w:bCs/>
          <w14:ligatures w14:val="standardContextual"/>
        </w:rPr>
        <w:t>Oversight:</w:t>
      </w:r>
    </w:p>
    <w:p w14:paraId="44732035" w14:textId="77777777" w:rsidR="001A6C4D" w:rsidRPr="001A6C4D" w:rsidRDefault="001A6C4D" w:rsidP="001044F0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1A6C4D">
        <w:rPr>
          <w:rFonts w:ascii="Times New Roman" w:eastAsiaTheme="minorEastAsia" w:hAnsi="Times New Roman"/>
          <w:b/>
          <w:bCs/>
          <w14:ligatures w14:val="standardContextual"/>
        </w:rPr>
        <w:t>EU</w:t>
      </w:r>
      <w:r w:rsidRPr="001A6C4D">
        <w:rPr>
          <w:rFonts w:ascii="Times New Roman" w:eastAsiaTheme="minorEastAsia" w:hAnsi="Times New Roman"/>
          <w14:ligatures w14:val="standardContextual"/>
        </w:rPr>
        <w:t>:</w:t>
      </w:r>
    </w:p>
    <w:p w14:paraId="0FA75A03" w14:textId="784BB6EF" w:rsidR="001A6C4D" w:rsidRPr="001A6C4D" w:rsidRDefault="001044F0" w:rsidP="001044F0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14:ligatures w14:val="standardContextual"/>
        </w:rPr>
        <w:t xml:space="preserve">1. </w:t>
      </w:r>
      <w:r w:rsidR="001A6C4D" w:rsidRPr="001A6C4D">
        <w:rPr>
          <w:rFonts w:ascii="Times New Roman" w:eastAsiaTheme="minorEastAsia" w:hAnsi="Times New Roman"/>
          <w14:ligatures w14:val="standardContextual"/>
        </w:rPr>
        <w:t>Decentralized: Notified bodies and national health authorities share oversight.</w:t>
      </w:r>
    </w:p>
    <w:p w14:paraId="2234E6E1" w14:textId="2CC8F9BF" w:rsidR="001A6C4D" w:rsidRPr="001A6C4D" w:rsidRDefault="001044F0" w:rsidP="001044F0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14:ligatures w14:val="standardContextual"/>
        </w:rPr>
        <w:lastRenderedPageBreak/>
        <w:t xml:space="preserve">2. </w:t>
      </w:r>
      <w:r w:rsidR="001A6C4D" w:rsidRPr="001A6C4D">
        <w:rPr>
          <w:rFonts w:ascii="Times New Roman" w:eastAsiaTheme="minorEastAsia" w:hAnsi="Times New Roman"/>
          <w14:ligatures w14:val="standardContextual"/>
        </w:rPr>
        <w:t>Risk: Fragmented enforcement undermines consistency.</w:t>
      </w:r>
    </w:p>
    <w:p w14:paraId="628A0BA5" w14:textId="77777777" w:rsidR="001A6C4D" w:rsidRPr="001A6C4D" w:rsidRDefault="001A6C4D" w:rsidP="001044F0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1A6C4D">
        <w:rPr>
          <w:rFonts w:ascii="Times New Roman" w:eastAsiaTheme="minorEastAsia" w:hAnsi="Times New Roman"/>
          <w:b/>
          <w:bCs/>
          <w14:ligatures w14:val="standardContextual"/>
        </w:rPr>
        <w:t>US</w:t>
      </w:r>
      <w:r w:rsidRPr="001A6C4D">
        <w:rPr>
          <w:rFonts w:ascii="Times New Roman" w:eastAsiaTheme="minorEastAsia" w:hAnsi="Times New Roman"/>
          <w14:ligatures w14:val="standardContextual"/>
        </w:rPr>
        <w:t>:</w:t>
      </w:r>
    </w:p>
    <w:p w14:paraId="64EDA4D6" w14:textId="3B0F50DF" w:rsidR="001A6C4D" w:rsidRPr="001A6C4D" w:rsidRDefault="001044F0" w:rsidP="001044F0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14:ligatures w14:val="standardContextual"/>
        </w:rPr>
        <w:t xml:space="preserve">1. </w:t>
      </w:r>
      <w:r w:rsidR="001A6C4D" w:rsidRPr="001A6C4D">
        <w:rPr>
          <w:rFonts w:ascii="Times New Roman" w:eastAsiaTheme="minorEastAsia" w:hAnsi="Times New Roman"/>
          <w14:ligatures w14:val="standardContextual"/>
        </w:rPr>
        <w:t>Centralized: FDA oversees compliance throughout the device lifecycle.</w:t>
      </w:r>
    </w:p>
    <w:p w14:paraId="0BD9952A" w14:textId="1BBF433C" w:rsidR="001A6C4D" w:rsidRPr="001A6C4D" w:rsidRDefault="001044F0" w:rsidP="001044F0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14:ligatures w14:val="standardContextual"/>
        </w:rPr>
        <w:t xml:space="preserve">2. </w:t>
      </w:r>
      <w:r w:rsidR="001A6C4D" w:rsidRPr="001A6C4D">
        <w:rPr>
          <w:rFonts w:ascii="Times New Roman" w:eastAsiaTheme="minorEastAsia" w:hAnsi="Times New Roman"/>
          <w14:ligatures w14:val="standardContextual"/>
        </w:rPr>
        <w:t>Strength: Continuous post-market monitoring ensures real-time adjustments.</w:t>
      </w:r>
    </w:p>
    <w:p w14:paraId="353C238E" w14:textId="77777777" w:rsidR="001A6C4D" w:rsidRPr="001A6C4D" w:rsidRDefault="001A6C4D" w:rsidP="001044F0">
      <w:pPr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:b/>
          <w:bCs/>
          <w14:ligatures w14:val="standardContextual"/>
        </w:rPr>
      </w:pPr>
      <w:r w:rsidRPr="001A6C4D">
        <w:rPr>
          <w:rFonts w:ascii="Times New Roman" w:eastAsiaTheme="minorEastAsia" w:hAnsi="Times New Roman"/>
          <w:b/>
          <w:bCs/>
          <w14:ligatures w14:val="standardContextual"/>
        </w:rPr>
        <w:t>AI Governance:</w:t>
      </w:r>
    </w:p>
    <w:p w14:paraId="5F2CDA5F" w14:textId="77777777" w:rsidR="001A6C4D" w:rsidRPr="001A6C4D" w:rsidRDefault="001A6C4D" w:rsidP="001044F0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1A6C4D">
        <w:rPr>
          <w:rFonts w:ascii="Times New Roman" w:eastAsiaTheme="minorEastAsia" w:hAnsi="Times New Roman"/>
          <w:b/>
          <w:bCs/>
          <w14:ligatures w14:val="standardContextual"/>
        </w:rPr>
        <w:t>EU</w:t>
      </w:r>
      <w:r w:rsidRPr="001A6C4D">
        <w:rPr>
          <w:rFonts w:ascii="Times New Roman" w:eastAsiaTheme="minorEastAsia" w:hAnsi="Times New Roman"/>
          <w14:ligatures w14:val="standardContextual"/>
        </w:rPr>
        <w:t>:</w:t>
      </w:r>
    </w:p>
    <w:p w14:paraId="56C25BE8" w14:textId="01A49811" w:rsidR="001A6C4D" w:rsidRPr="001A6C4D" w:rsidRDefault="001044F0" w:rsidP="001044F0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14:ligatures w14:val="standardContextual"/>
        </w:rPr>
        <w:t xml:space="preserve">- </w:t>
      </w:r>
      <w:r w:rsidR="001A6C4D" w:rsidRPr="001A6C4D">
        <w:rPr>
          <w:rFonts w:ascii="Times New Roman" w:eastAsiaTheme="minorEastAsia" w:hAnsi="Times New Roman"/>
          <w14:ligatures w14:val="standardContextual"/>
        </w:rPr>
        <w:t>Draft AI Act creates the first horizontal AI regulation globally.</w:t>
      </w:r>
    </w:p>
    <w:p w14:paraId="794CB49C" w14:textId="77777777" w:rsidR="001A6C4D" w:rsidRPr="001A6C4D" w:rsidRDefault="001A6C4D" w:rsidP="001044F0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1A6C4D">
        <w:rPr>
          <w:rFonts w:ascii="Times New Roman" w:eastAsiaTheme="minorEastAsia" w:hAnsi="Times New Roman"/>
          <w14:ligatures w14:val="standardContextual"/>
        </w:rPr>
        <w:t>Gaps: No sector-specific pathways for AI-based medical devices.</w:t>
      </w:r>
    </w:p>
    <w:p w14:paraId="0EB9C301" w14:textId="77777777" w:rsidR="001A6C4D" w:rsidRPr="001A6C4D" w:rsidRDefault="001A6C4D" w:rsidP="001044F0">
      <w:pPr>
        <w:tabs>
          <w:tab w:val="left" w:pos="220"/>
          <w:tab w:val="left" w:pos="72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1A6C4D">
        <w:rPr>
          <w:rFonts w:ascii="Times New Roman" w:eastAsiaTheme="minorEastAsia" w:hAnsi="Times New Roman"/>
          <w:b/>
          <w:bCs/>
          <w14:ligatures w14:val="standardContextual"/>
        </w:rPr>
        <w:t>US</w:t>
      </w:r>
      <w:r w:rsidRPr="001A6C4D">
        <w:rPr>
          <w:rFonts w:ascii="Times New Roman" w:eastAsiaTheme="minorEastAsia" w:hAnsi="Times New Roman"/>
          <w14:ligatures w14:val="standardContextual"/>
        </w:rPr>
        <w:t>:</w:t>
      </w:r>
    </w:p>
    <w:p w14:paraId="077ABA49" w14:textId="695A94E4" w:rsidR="001A6C4D" w:rsidRPr="001A6C4D" w:rsidRDefault="001044F0" w:rsidP="001044F0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>
        <w:rPr>
          <w:rFonts w:ascii="Times New Roman" w:eastAsiaTheme="minorEastAsia" w:hAnsi="Times New Roman"/>
          <w14:ligatures w14:val="standardContextual"/>
        </w:rPr>
        <w:t xml:space="preserve">- </w:t>
      </w:r>
      <w:r w:rsidR="001A6C4D" w:rsidRPr="001A6C4D">
        <w:rPr>
          <w:rFonts w:ascii="Times New Roman" w:eastAsiaTheme="minorEastAsia" w:hAnsi="Times New Roman"/>
          <w14:ligatures w14:val="standardContextual"/>
        </w:rPr>
        <w:t>Executive orders provide AI safety and security guidance but lack binding federal laws.</w:t>
      </w:r>
    </w:p>
    <w:p w14:paraId="0A49297C" w14:textId="77777777" w:rsidR="001A6C4D" w:rsidRPr="001A6C4D" w:rsidRDefault="001A6C4D" w:rsidP="001044F0">
      <w:pPr>
        <w:tabs>
          <w:tab w:val="left" w:pos="940"/>
          <w:tab w:val="left" w:pos="1440"/>
        </w:tabs>
        <w:autoSpaceDE w:val="0"/>
        <w:autoSpaceDN w:val="0"/>
        <w:adjustRightInd w:val="0"/>
        <w:spacing w:after="240" w:line="360" w:lineRule="auto"/>
        <w:rPr>
          <w:rFonts w:ascii="Times New Roman" w:eastAsiaTheme="minorEastAsia" w:hAnsi="Times New Roman"/>
          <w14:ligatures w14:val="standardContextual"/>
        </w:rPr>
      </w:pPr>
      <w:r w:rsidRPr="001A6C4D">
        <w:rPr>
          <w:rFonts w:ascii="Times New Roman" w:eastAsiaTheme="minorEastAsia" w:hAnsi="Times New Roman"/>
          <w14:ligatures w14:val="standardContextual"/>
        </w:rPr>
        <w:t>Gaps: AI governance heavily relies on FDA interpretation.</w:t>
      </w:r>
    </w:p>
    <w:p w14:paraId="0E405E18" w14:textId="77777777" w:rsidR="001A6C4D" w:rsidRPr="001A6C4D" w:rsidRDefault="001A6C4D" w:rsidP="001044F0">
      <w:pPr>
        <w:spacing w:after="240" w:line="360" w:lineRule="auto"/>
        <w:rPr>
          <w:rFonts w:ascii="Times New Roman" w:hAnsi="Times New Roman"/>
          <w:lang w:val="en-US"/>
        </w:rPr>
      </w:pPr>
    </w:p>
    <w:sectPr w:rsidR="001A6C4D" w:rsidRPr="001A6C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D524449" w14:textId="77777777" w:rsidR="00503A66" w:rsidRDefault="00503A66" w:rsidP="001A6C4D">
      <w:r>
        <w:separator/>
      </w:r>
    </w:p>
  </w:endnote>
  <w:endnote w:type="continuationSeparator" w:id="0">
    <w:p w14:paraId="4BBF5BFA" w14:textId="77777777" w:rsidR="00503A66" w:rsidRDefault="00503A66" w:rsidP="001A6C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B018690" w14:textId="77777777" w:rsidR="00503A66" w:rsidRDefault="00503A66" w:rsidP="001A6C4D">
      <w:r>
        <w:separator/>
      </w:r>
    </w:p>
  </w:footnote>
  <w:footnote w:type="continuationSeparator" w:id="0">
    <w:p w14:paraId="5B0CBAC5" w14:textId="77777777" w:rsidR="00503A66" w:rsidRDefault="00503A66" w:rsidP="001A6C4D">
      <w:r>
        <w:continuationSeparator/>
      </w:r>
    </w:p>
  </w:footnote>
  <w:footnote w:id="1">
    <w:p w14:paraId="544DF6FE" w14:textId="200FD98D" w:rsidR="005975A0" w:rsidRPr="005975A0" w:rsidRDefault="005975A0" w:rsidP="005975A0">
      <w:pPr>
        <w:pStyle w:val="FootnoteText"/>
        <w:spacing w:after="240" w:line="360" w:lineRule="auto"/>
        <w:rPr>
          <w:rFonts w:ascii="Times New Roman" w:hAnsi="Times New Roman"/>
          <w:sz w:val="24"/>
          <w:szCs w:val="24"/>
          <w:vertAlign w:val="superscript"/>
          <w:lang w:val="en-US"/>
        </w:rPr>
      </w:pPr>
      <w:r w:rsidRPr="005975A0">
        <w:rPr>
          <w:rStyle w:val="FootnoteReference"/>
          <w:rFonts w:ascii="Times New Roman" w:hAnsi="Times New Roman"/>
          <w:sz w:val="24"/>
          <w:szCs w:val="24"/>
        </w:rPr>
        <w:footnoteRef/>
      </w:r>
      <w:r w:rsidRPr="005975A0">
        <w:rPr>
          <w:rFonts w:ascii="Times New Roman" w:hAnsi="Times New Roman"/>
          <w:sz w:val="24"/>
          <w:szCs w:val="24"/>
          <w:vertAlign w:val="superscript"/>
        </w:rPr>
        <w:t xml:space="preserve"> </w:t>
      </w:r>
      <w:r w:rsidRPr="005975A0">
        <w:rPr>
          <w:rFonts w:ascii="Times New Roman" w:hAnsi="Times New Roman"/>
          <w:color w:val="001D35"/>
          <w:sz w:val="24"/>
          <w:szCs w:val="24"/>
          <w:shd w:val="clear" w:color="auto" w:fill="FFFFFF"/>
          <w:vertAlign w:val="superscript"/>
        </w:rPr>
        <w:t>A predicate device is </w:t>
      </w:r>
      <w:r w:rsidRPr="005975A0">
        <w:rPr>
          <w:rFonts w:ascii="Times New Roman" w:hAnsi="Times New Roman"/>
          <w:sz w:val="24"/>
          <w:szCs w:val="24"/>
          <w:vertAlign w:val="superscript"/>
        </w:rPr>
        <w:t>a medical device that is legally marketed in the United States and is used as a point of comparison for new medical devices seeking FDA approval</w:t>
      </w:r>
      <w:r w:rsidRPr="005975A0">
        <w:rPr>
          <w:rFonts w:ascii="Times New Roman" w:hAnsi="Times New Roman"/>
          <w:color w:val="001D35"/>
          <w:sz w:val="24"/>
          <w:szCs w:val="24"/>
          <w:shd w:val="clear" w:color="auto" w:fill="FFFFFF"/>
          <w:vertAlign w:val="superscript"/>
        </w:rPr>
        <w:t>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00000002">
      <w:start w:val="1"/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00000066">
      <w:start w:val="1"/>
      <w:numFmt w:val="bullet"/>
      <w:lvlText w:val="◦"/>
      <w:lvlJc w:val="left"/>
      <w:pPr>
        <w:ind w:left="1440" w:hanging="360"/>
      </w:pPr>
    </w:lvl>
    <w:lvl w:ilvl="2" w:tplc="00000067">
      <w:start w:val="1"/>
      <w:numFmt w:val="bullet"/>
      <w:lvlText w:val="▪"/>
      <w:lvlJc w:val="left"/>
      <w:pPr>
        <w:ind w:left="2160" w:hanging="360"/>
      </w:p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000000CA">
      <w:start w:val="1"/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0000012E">
      <w:start w:val="1"/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bullet"/>
      <w:lvlText w:val="•"/>
      <w:lvlJc w:val="left"/>
      <w:pPr>
        <w:ind w:left="720" w:hanging="360"/>
      </w:pPr>
    </w:lvl>
    <w:lvl w:ilvl="1" w:tplc="00000192">
      <w:start w:val="1"/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000001F5">
      <w:start w:val="1"/>
      <w:numFmt w:val="bullet"/>
      <w:lvlText w:val="•"/>
      <w:lvlJc w:val="left"/>
      <w:pPr>
        <w:ind w:left="720" w:hanging="360"/>
      </w:pPr>
    </w:lvl>
    <w:lvl w:ilvl="1" w:tplc="000001F6">
      <w:start w:val="1"/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FFFFFFFF"/>
    <w:lvl w:ilvl="0" w:tplc="0000025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FFFFFFFF"/>
    <w:lvl w:ilvl="0" w:tplc="000002BD">
      <w:start w:val="1"/>
      <w:numFmt w:val="bullet"/>
      <w:lvlText w:val="•"/>
      <w:lvlJc w:val="left"/>
      <w:pPr>
        <w:ind w:left="720" w:hanging="360"/>
      </w:pPr>
    </w:lvl>
    <w:lvl w:ilvl="1" w:tplc="000002BE">
      <w:start w:val="1"/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0000009"/>
    <w:multiLevelType w:val="hybridMultilevel"/>
    <w:tmpl w:val="FFFFFFFF"/>
    <w:lvl w:ilvl="0" w:tplc="00000321">
      <w:start w:val="1"/>
      <w:numFmt w:val="bullet"/>
      <w:lvlText w:val="•"/>
      <w:lvlJc w:val="left"/>
      <w:pPr>
        <w:ind w:left="720" w:hanging="360"/>
      </w:pPr>
    </w:lvl>
    <w:lvl w:ilvl="1" w:tplc="00000322">
      <w:start w:val="1"/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000000A"/>
    <w:multiLevelType w:val="hybridMultilevel"/>
    <w:tmpl w:val="FFFFFFFF"/>
    <w:lvl w:ilvl="0" w:tplc="0000038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0000000B"/>
    <w:multiLevelType w:val="hybridMultilevel"/>
    <w:tmpl w:val="FFFFFFFF"/>
    <w:lvl w:ilvl="0" w:tplc="000003E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0000000C"/>
    <w:multiLevelType w:val="hybridMultilevel"/>
    <w:tmpl w:val="FFFFFFFF"/>
    <w:lvl w:ilvl="0" w:tplc="0000044D">
      <w:start w:val="1"/>
      <w:numFmt w:val="bullet"/>
      <w:lvlText w:val="•"/>
      <w:lvlJc w:val="left"/>
      <w:pPr>
        <w:ind w:left="720" w:hanging="360"/>
      </w:pPr>
    </w:lvl>
    <w:lvl w:ilvl="1" w:tplc="0000044E">
      <w:start w:val="1"/>
      <w:numFmt w:val="bullet"/>
      <w:lvlText w:val="◦"/>
      <w:lvlJc w:val="left"/>
      <w:pPr>
        <w:ind w:left="1440" w:hanging="360"/>
      </w:pPr>
    </w:lvl>
    <w:lvl w:ilvl="2" w:tplc="0000044F">
      <w:start w:val="1"/>
      <w:numFmt w:val="bullet"/>
      <w:lvlText w:val="▪"/>
      <w:lvlJc w:val="left"/>
      <w:pPr>
        <w:ind w:left="2160" w:hanging="360"/>
      </w:p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0000000D"/>
    <w:multiLevelType w:val="hybridMultilevel"/>
    <w:tmpl w:val="FFFFFFFF"/>
    <w:lvl w:ilvl="0" w:tplc="000004B1">
      <w:start w:val="1"/>
      <w:numFmt w:val="bullet"/>
      <w:lvlText w:val="•"/>
      <w:lvlJc w:val="left"/>
      <w:pPr>
        <w:ind w:left="720" w:hanging="360"/>
      </w:pPr>
    </w:lvl>
    <w:lvl w:ilvl="1" w:tplc="000004B2">
      <w:start w:val="1"/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0000000E"/>
    <w:multiLevelType w:val="hybridMultilevel"/>
    <w:tmpl w:val="FFFFFFFF"/>
    <w:lvl w:ilvl="0" w:tplc="00000515">
      <w:start w:val="1"/>
      <w:numFmt w:val="bullet"/>
      <w:lvlText w:val="•"/>
      <w:lvlJc w:val="left"/>
      <w:pPr>
        <w:ind w:left="720" w:hanging="360"/>
      </w:pPr>
    </w:lvl>
    <w:lvl w:ilvl="1" w:tplc="00000516">
      <w:start w:val="1"/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1A5A31B7"/>
    <w:multiLevelType w:val="hybridMultilevel"/>
    <w:tmpl w:val="E2D49F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FD6813"/>
    <w:multiLevelType w:val="hybridMultilevel"/>
    <w:tmpl w:val="D9900EA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8120391">
    <w:abstractNumId w:val="0"/>
  </w:num>
  <w:num w:numId="2" w16cid:durableId="1137062841">
    <w:abstractNumId w:val="1"/>
  </w:num>
  <w:num w:numId="3" w16cid:durableId="181363256">
    <w:abstractNumId w:val="2"/>
  </w:num>
  <w:num w:numId="4" w16cid:durableId="1396783057">
    <w:abstractNumId w:val="3"/>
  </w:num>
  <w:num w:numId="5" w16cid:durableId="413479676">
    <w:abstractNumId w:val="4"/>
  </w:num>
  <w:num w:numId="6" w16cid:durableId="853961174">
    <w:abstractNumId w:val="5"/>
  </w:num>
  <w:num w:numId="7" w16cid:durableId="1951156589">
    <w:abstractNumId w:val="6"/>
  </w:num>
  <w:num w:numId="8" w16cid:durableId="487289555">
    <w:abstractNumId w:val="7"/>
  </w:num>
  <w:num w:numId="9" w16cid:durableId="1638531865">
    <w:abstractNumId w:val="8"/>
  </w:num>
  <w:num w:numId="10" w16cid:durableId="334839867">
    <w:abstractNumId w:val="9"/>
  </w:num>
  <w:num w:numId="11" w16cid:durableId="1758669841">
    <w:abstractNumId w:val="10"/>
  </w:num>
  <w:num w:numId="12" w16cid:durableId="1322008794">
    <w:abstractNumId w:val="11"/>
  </w:num>
  <w:num w:numId="13" w16cid:durableId="481585663">
    <w:abstractNumId w:val="12"/>
  </w:num>
  <w:num w:numId="14" w16cid:durableId="645671960">
    <w:abstractNumId w:val="13"/>
  </w:num>
  <w:num w:numId="15" w16cid:durableId="1210529809">
    <w:abstractNumId w:val="14"/>
  </w:num>
  <w:num w:numId="16" w16cid:durableId="55443556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3AE"/>
    <w:rsid w:val="000147A9"/>
    <w:rsid w:val="00042755"/>
    <w:rsid w:val="0006107D"/>
    <w:rsid w:val="000623A3"/>
    <w:rsid w:val="00094D65"/>
    <w:rsid w:val="000A2074"/>
    <w:rsid w:val="000A3F4D"/>
    <w:rsid w:val="000C4ABC"/>
    <w:rsid w:val="000C58D7"/>
    <w:rsid w:val="000E15ED"/>
    <w:rsid w:val="00101CCF"/>
    <w:rsid w:val="001044F0"/>
    <w:rsid w:val="0019260C"/>
    <w:rsid w:val="001A6C4D"/>
    <w:rsid w:val="001B0E31"/>
    <w:rsid w:val="001D360C"/>
    <w:rsid w:val="001E2584"/>
    <w:rsid w:val="00223837"/>
    <w:rsid w:val="00243CED"/>
    <w:rsid w:val="00257540"/>
    <w:rsid w:val="0026510F"/>
    <w:rsid w:val="002D715D"/>
    <w:rsid w:val="002E46F2"/>
    <w:rsid w:val="002F1DB1"/>
    <w:rsid w:val="002F53C9"/>
    <w:rsid w:val="003048A0"/>
    <w:rsid w:val="0031138E"/>
    <w:rsid w:val="0031474F"/>
    <w:rsid w:val="00315815"/>
    <w:rsid w:val="003278F5"/>
    <w:rsid w:val="00330665"/>
    <w:rsid w:val="00361975"/>
    <w:rsid w:val="00376E23"/>
    <w:rsid w:val="0039416B"/>
    <w:rsid w:val="003A1271"/>
    <w:rsid w:val="003A5DF7"/>
    <w:rsid w:val="003B3510"/>
    <w:rsid w:val="003C116C"/>
    <w:rsid w:val="003E1CAA"/>
    <w:rsid w:val="0040210F"/>
    <w:rsid w:val="004222FD"/>
    <w:rsid w:val="004319FA"/>
    <w:rsid w:val="0048097D"/>
    <w:rsid w:val="0048175B"/>
    <w:rsid w:val="004845CE"/>
    <w:rsid w:val="004B1048"/>
    <w:rsid w:val="004D01FE"/>
    <w:rsid w:val="004E458E"/>
    <w:rsid w:val="004F0E12"/>
    <w:rsid w:val="004F5A36"/>
    <w:rsid w:val="00503A66"/>
    <w:rsid w:val="00542B57"/>
    <w:rsid w:val="00557B52"/>
    <w:rsid w:val="0058416B"/>
    <w:rsid w:val="00595357"/>
    <w:rsid w:val="005975A0"/>
    <w:rsid w:val="005C50B3"/>
    <w:rsid w:val="005D57DA"/>
    <w:rsid w:val="005E7702"/>
    <w:rsid w:val="00605F8E"/>
    <w:rsid w:val="006075B5"/>
    <w:rsid w:val="00650543"/>
    <w:rsid w:val="00654D8B"/>
    <w:rsid w:val="00661136"/>
    <w:rsid w:val="0068027B"/>
    <w:rsid w:val="006C42B8"/>
    <w:rsid w:val="006C50C7"/>
    <w:rsid w:val="00713CA9"/>
    <w:rsid w:val="007455C6"/>
    <w:rsid w:val="007475C7"/>
    <w:rsid w:val="0075265A"/>
    <w:rsid w:val="0075498E"/>
    <w:rsid w:val="00757BE5"/>
    <w:rsid w:val="00760E46"/>
    <w:rsid w:val="007643D2"/>
    <w:rsid w:val="007678B2"/>
    <w:rsid w:val="0078776B"/>
    <w:rsid w:val="00796A93"/>
    <w:rsid w:val="007E1559"/>
    <w:rsid w:val="007F776E"/>
    <w:rsid w:val="00830C88"/>
    <w:rsid w:val="00861B11"/>
    <w:rsid w:val="008829C2"/>
    <w:rsid w:val="008A54BE"/>
    <w:rsid w:val="008C7B0A"/>
    <w:rsid w:val="008D0642"/>
    <w:rsid w:val="008E745B"/>
    <w:rsid w:val="008F4EA7"/>
    <w:rsid w:val="008F5A10"/>
    <w:rsid w:val="00905ED0"/>
    <w:rsid w:val="0093405B"/>
    <w:rsid w:val="00966189"/>
    <w:rsid w:val="00974434"/>
    <w:rsid w:val="00977514"/>
    <w:rsid w:val="009A48B0"/>
    <w:rsid w:val="009B24D6"/>
    <w:rsid w:val="009B2F21"/>
    <w:rsid w:val="009C6498"/>
    <w:rsid w:val="009E62AF"/>
    <w:rsid w:val="00A03BBD"/>
    <w:rsid w:val="00A37AB0"/>
    <w:rsid w:val="00A4085F"/>
    <w:rsid w:val="00A45953"/>
    <w:rsid w:val="00A93FBA"/>
    <w:rsid w:val="00A95C7E"/>
    <w:rsid w:val="00AB609D"/>
    <w:rsid w:val="00AC3AB8"/>
    <w:rsid w:val="00AE4348"/>
    <w:rsid w:val="00AE4BAF"/>
    <w:rsid w:val="00B03D5A"/>
    <w:rsid w:val="00B23297"/>
    <w:rsid w:val="00B360EE"/>
    <w:rsid w:val="00B473AE"/>
    <w:rsid w:val="00B53B6F"/>
    <w:rsid w:val="00B651D9"/>
    <w:rsid w:val="00B67231"/>
    <w:rsid w:val="00B73742"/>
    <w:rsid w:val="00B914E6"/>
    <w:rsid w:val="00BC4186"/>
    <w:rsid w:val="00BC5F25"/>
    <w:rsid w:val="00BD7714"/>
    <w:rsid w:val="00BD7C9B"/>
    <w:rsid w:val="00C072F8"/>
    <w:rsid w:val="00C17D79"/>
    <w:rsid w:val="00C24A8A"/>
    <w:rsid w:val="00C54722"/>
    <w:rsid w:val="00C65F70"/>
    <w:rsid w:val="00C96A36"/>
    <w:rsid w:val="00CA350B"/>
    <w:rsid w:val="00CA3F60"/>
    <w:rsid w:val="00CC2EFF"/>
    <w:rsid w:val="00CC4FEF"/>
    <w:rsid w:val="00CD39F1"/>
    <w:rsid w:val="00CF74EF"/>
    <w:rsid w:val="00D02AC8"/>
    <w:rsid w:val="00D0623C"/>
    <w:rsid w:val="00D07271"/>
    <w:rsid w:val="00D16917"/>
    <w:rsid w:val="00DA31CB"/>
    <w:rsid w:val="00DA4488"/>
    <w:rsid w:val="00DC0040"/>
    <w:rsid w:val="00DC495B"/>
    <w:rsid w:val="00DC7181"/>
    <w:rsid w:val="00DD6F5C"/>
    <w:rsid w:val="00DE6C87"/>
    <w:rsid w:val="00E14A1A"/>
    <w:rsid w:val="00E14E1F"/>
    <w:rsid w:val="00E2730E"/>
    <w:rsid w:val="00E438AC"/>
    <w:rsid w:val="00E60DF5"/>
    <w:rsid w:val="00E80D33"/>
    <w:rsid w:val="00E95D8D"/>
    <w:rsid w:val="00EA6ED5"/>
    <w:rsid w:val="00EB7051"/>
    <w:rsid w:val="00EC68EB"/>
    <w:rsid w:val="00EC7C43"/>
    <w:rsid w:val="00F012E4"/>
    <w:rsid w:val="00F248D2"/>
    <w:rsid w:val="00F27F00"/>
    <w:rsid w:val="00F41AA1"/>
    <w:rsid w:val="00F71153"/>
    <w:rsid w:val="00F858D4"/>
    <w:rsid w:val="00FB2653"/>
    <w:rsid w:val="00FC7B56"/>
    <w:rsid w:val="00FE5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16A44F"/>
  <w15:chartTrackingRefBased/>
  <w15:docId w15:val="{02E1E9AE-28B4-844D-BE51-81CF439BE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0DF5"/>
    <w:rPr>
      <w:rFonts w:ascii="Arial" w:eastAsia="Times New Roman" w:hAnsi="Arial" w:cs="Times New Roman"/>
      <w:kern w:val="0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73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73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73A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73A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73A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73A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73A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73A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73A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73AE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val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73AE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73AE"/>
    <w:rPr>
      <w:rFonts w:eastAsiaTheme="majorEastAsia" w:cstheme="majorBidi"/>
      <w:color w:val="2F5496" w:themeColor="accent1" w:themeShade="BF"/>
      <w:kern w:val="0"/>
      <w:sz w:val="28"/>
      <w:szCs w:val="28"/>
      <w:lang w:val="en-GB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73AE"/>
    <w:rPr>
      <w:rFonts w:eastAsiaTheme="majorEastAsia" w:cstheme="majorBidi"/>
      <w:i/>
      <w:iCs/>
      <w:color w:val="2F5496" w:themeColor="accent1" w:themeShade="BF"/>
      <w:kern w:val="0"/>
      <w:lang w:val="en-GB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73AE"/>
    <w:rPr>
      <w:rFonts w:eastAsiaTheme="majorEastAsia" w:cstheme="majorBidi"/>
      <w:color w:val="2F5496" w:themeColor="accent1" w:themeShade="BF"/>
      <w:kern w:val="0"/>
      <w:lang w:val="en-GB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73AE"/>
    <w:rPr>
      <w:rFonts w:eastAsiaTheme="majorEastAsia" w:cstheme="majorBidi"/>
      <w:i/>
      <w:iCs/>
      <w:color w:val="595959" w:themeColor="text1" w:themeTint="A6"/>
      <w:kern w:val="0"/>
      <w:lang w:val="en-GB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73AE"/>
    <w:rPr>
      <w:rFonts w:eastAsiaTheme="majorEastAsia" w:cstheme="majorBidi"/>
      <w:color w:val="595959" w:themeColor="text1" w:themeTint="A6"/>
      <w:kern w:val="0"/>
      <w:lang w:val="en-GB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73AE"/>
    <w:rPr>
      <w:rFonts w:eastAsiaTheme="majorEastAsia" w:cstheme="majorBidi"/>
      <w:i/>
      <w:iCs/>
      <w:color w:val="272727" w:themeColor="text1" w:themeTint="D8"/>
      <w:kern w:val="0"/>
      <w:lang w:val="en-GB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73AE"/>
    <w:rPr>
      <w:rFonts w:eastAsiaTheme="majorEastAsia" w:cstheme="majorBidi"/>
      <w:color w:val="272727" w:themeColor="text1" w:themeTint="D8"/>
      <w:kern w:val="0"/>
      <w:lang w:val="en-GB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B473A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73AE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73A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73AE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val="en-GB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B473A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73AE"/>
    <w:rPr>
      <w:rFonts w:ascii="Arial" w:eastAsia="Times New Roman" w:hAnsi="Arial" w:cs="Times New Roman"/>
      <w:i/>
      <w:iCs/>
      <w:color w:val="404040" w:themeColor="text1" w:themeTint="BF"/>
      <w:kern w:val="0"/>
      <w:lang w:val="en-GB"/>
      <w14:ligatures w14:val="none"/>
    </w:rPr>
  </w:style>
  <w:style w:type="paragraph" w:styleId="ListParagraph">
    <w:name w:val="List Paragraph"/>
    <w:basedOn w:val="Normal"/>
    <w:uiPriority w:val="34"/>
    <w:qFormat/>
    <w:rsid w:val="00B473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73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73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73AE"/>
    <w:rPr>
      <w:rFonts w:ascii="Arial" w:eastAsia="Times New Roman" w:hAnsi="Arial" w:cs="Times New Roman"/>
      <w:i/>
      <w:iCs/>
      <w:color w:val="2F5496" w:themeColor="accent1" w:themeShade="BF"/>
      <w:kern w:val="0"/>
      <w:lang w:val="en-GB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B473A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A6C4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A6C4D"/>
    <w:rPr>
      <w:rFonts w:ascii="Arial" w:eastAsia="Times New Roman" w:hAnsi="Arial" w:cs="Times New Roman"/>
      <w:kern w:val="0"/>
      <w:lang w:val="en-GB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A6C4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A6C4D"/>
    <w:rPr>
      <w:rFonts w:ascii="Arial" w:eastAsia="Times New Roman" w:hAnsi="Arial" w:cs="Times New Roman"/>
      <w:kern w:val="0"/>
      <w:lang w:val="en-GB"/>
      <w14:ligatures w14:val="non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975A0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975A0"/>
    <w:rPr>
      <w:rFonts w:ascii="Arial" w:eastAsia="Times New Roman" w:hAnsi="Arial" w:cs="Times New Roman"/>
      <w:kern w:val="0"/>
      <w:sz w:val="20"/>
      <w:szCs w:val="20"/>
      <w:lang w:val="en-GB"/>
      <w14:ligatures w14:val="none"/>
    </w:rPr>
  </w:style>
  <w:style w:type="character" w:styleId="FootnoteReference">
    <w:name w:val="footnote reference"/>
    <w:basedOn w:val="DefaultParagraphFont"/>
    <w:uiPriority w:val="99"/>
    <w:semiHidden/>
    <w:unhideWhenUsed/>
    <w:rsid w:val="005975A0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CB3EAD8-74D4-4F4A-B378-BEF3C51E49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6</Pages>
  <Words>799</Words>
  <Characters>4560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TSANG, AGNES H.L. (Student)</dc:creator>
  <cp:keywords/>
  <dc:description/>
  <cp:lastModifiedBy>TSANG, AGNES H.L. (Student)</cp:lastModifiedBy>
  <cp:revision>4</cp:revision>
  <dcterms:created xsi:type="dcterms:W3CDTF">2024-11-27T15:21:00Z</dcterms:created>
  <dcterms:modified xsi:type="dcterms:W3CDTF">2024-11-27T15:44:00Z</dcterms:modified>
</cp:coreProperties>
</file>