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6EF6A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Key Terms</w:t>
      </w:r>
    </w:p>
    <w:p w14:paraId="793B6E00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Medical Devices</w:t>
      </w:r>
      <w:r w:rsidRPr="003309B8">
        <w:rPr>
          <w:rFonts w:ascii="Times New Roman" w:eastAsiaTheme="minorEastAsia" w:hAnsi="Times New Roman"/>
          <w14:ligatures w14:val="standardContextual"/>
        </w:rPr>
        <w:t>: Instruments, apparatus, software, or materials used in healthcare for diagnosis, prevention, monitoring, or treatment of diseases.</w:t>
      </w:r>
    </w:p>
    <w:p w14:paraId="77F7F48D" w14:textId="388103F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UKCA Mark</w:t>
      </w:r>
      <w:r w:rsidRPr="003309B8">
        <w:rPr>
          <w:rFonts w:ascii="Times New Roman" w:eastAsiaTheme="minorEastAsia" w:hAnsi="Times New Roman"/>
          <w14:ligatures w14:val="standardContextual"/>
        </w:rPr>
        <w:t xml:space="preserve">: </w:t>
      </w:r>
      <w:r w:rsidRPr="00D570A0">
        <w:rPr>
          <w:rFonts w:ascii="Times New Roman" w:eastAsiaTheme="minorEastAsia" w:hAnsi="Times New Roman"/>
          <w:u w:val="single"/>
          <w14:ligatures w14:val="standardContextual"/>
        </w:rPr>
        <w:t>The UK Conformity Assessed mark</w:t>
      </w:r>
      <w:r w:rsidRPr="003309B8">
        <w:rPr>
          <w:rFonts w:ascii="Times New Roman" w:eastAsiaTheme="minorEastAsia" w:hAnsi="Times New Roman"/>
          <w14:ligatures w14:val="standardContextual"/>
        </w:rPr>
        <w:t xml:space="preserve"> replacing the EU CE mark</w:t>
      </w:r>
      <w:r w:rsidR="00D570A0">
        <w:rPr>
          <w:rStyle w:val="FootnoteReference"/>
          <w:rFonts w:ascii="Times New Roman" w:eastAsiaTheme="minorEastAsia" w:hAnsi="Times New Roman"/>
          <w14:ligatures w14:val="standardContextual"/>
        </w:rPr>
        <w:footnoteReference w:id="1"/>
      </w:r>
      <w:r w:rsidRPr="003309B8">
        <w:rPr>
          <w:rFonts w:ascii="Times New Roman" w:eastAsiaTheme="minorEastAsia" w:hAnsi="Times New Roman"/>
          <w14:ligatures w14:val="standardContextual"/>
        </w:rPr>
        <w:t xml:space="preserve"> for medical devices in Great Britain, signifying compliance with UK-specific regulatory requirements.</w:t>
      </w:r>
    </w:p>
    <w:p w14:paraId="7E6DBD7B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Post-Market Surveillance (PMS)</w:t>
      </w:r>
      <w:r w:rsidRPr="003309B8">
        <w:rPr>
          <w:rFonts w:ascii="Times New Roman" w:eastAsiaTheme="minorEastAsia" w:hAnsi="Times New Roman"/>
          <w14:ligatures w14:val="standardContextual"/>
        </w:rPr>
        <w:t>: Activities conducted after a device is placed on the market to monitor its performance and safety.</w:t>
      </w:r>
    </w:p>
    <w:p w14:paraId="530B060D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Mutual Recognition Agreements (MRAs)</w:t>
      </w:r>
      <w:r w:rsidRPr="003309B8">
        <w:rPr>
          <w:rFonts w:ascii="Times New Roman" w:eastAsiaTheme="minorEastAsia" w:hAnsi="Times New Roman"/>
          <w14:ligatures w14:val="standardContextual"/>
        </w:rPr>
        <w:t>: Agreements between countries to recognize each other's conformity assessments for regulatory approvals.</w:t>
      </w:r>
    </w:p>
    <w:p w14:paraId="68F40FFD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61652FF" w14:textId="7E29584D" w:rsidR="00087529" w:rsidRP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:b/>
          <w:bCs/>
          <w14:ligatures w14:val="standardContextual"/>
        </w:rPr>
        <w:t>Objectives and Methodology</w:t>
      </w:r>
    </w:p>
    <w:p w14:paraId="517AE4AA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Objective</w:t>
      </w:r>
      <w:r w:rsidRPr="003309B8">
        <w:rPr>
          <w:rFonts w:ascii="Times New Roman" w:eastAsiaTheme="minorEastAsia" w:hAnsi="Times New Roman"/>
          <w14:ligatures w14:val="standardContextual"/>
        </w:rPr>
        <w:t>: Evaluate the UK's post-Brexit regulatory reforms for medical devices, identifying opportunities, risks, and stakeholder recommendations.</w:t>
      </w:r>
    </w:p>
    <w:p w14:paraId="72A33A7A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Methods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7B0749A9" w14:textId="28AB43B4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:b/>
          <w:bCs/>
          <w14:ligatures w14:val="standardContextual"/>
        </w:rPr>
        <w:t>Literature Review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: Focused on the implications of transitioning from the EU CE mark to the UKCA mark and alternative regulatory models.</w:t>
      </w:r>
    </w:p>
    <w:p w14:paraId="61A1D573" w14:textId="068B3AF2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:b/>
          <w:bCs/>
          <w14:ligatures w14:val="standardContextual"/>
        </w:rPr>
        <w:t>Stakeholder Engagement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: Included 32 participants from diverse roles (e.g., regulators, manufacturers, academics).</w:t>
      </w:r>
    </w:p>
    <w:p w14:paraId="18867CC3" w14:textId="054DD62A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:b/>
          <w:bCs/>
          <w14:ligatures w14:val="standardContextual"/>
        </w:rPr>
        <w:t>Workshops and Surveys</w:t>
      </w:r>
      <w:r w:rsidR="00087529" w:rsidRPr="003309B8">
        <w:rPr>
          <w:rFonts w:ascii="Times New Roman" w:eastAsiaTheme="minorEastAsia" w:hAnsi="Times New Roman"/>
          <w14:ligatures w14:val="standardContextual"/>
        </w:rPr>
        <w:t xml:space="preserve">: Used to explore areas of consensus and </w:t>
      </w:r>
      <w:proofErr w:type="gramStart"/>
      <w:r w:rsidR="00087529" w:rsidRPr="003309B8">
        <w:rPr>
          <w:rFonts w:ascii="Times New Roman" w:eastAsiaTheme="minorEastAsia" w:hAnsi="Times New Roman"/>
          <w14:ligatures w14:val="standardContextual"/>
        </w:rPr>
        <w:t>disagreement, and</w:t>
      </w:r>
      <w:proofErr w:type="gramEnd"/>
      <w:r w:rsidR="00087529" w:rsidRPr="003309B8">
        <w:rPr>
          <w:rFonts w:ascii="Times New Roman" w:eastAsiaTheme="minorEastAsia" w:hAnsi="Times New Roman"/>
          <w14:ligatures w14:val="standardContextual"/>
        </w:rPr>
        <w:t xml:space="preserve"> refine recommendations.</w:t>
      </w:r>
    </w:p>
    <w:p w14:paraId="7A6D1276" w14:textId="77777777" w:rsidR="00087529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56A3FF7" w14:textId="27D48AD4" w:rsidR="00087529" w:rsidRP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2. </w:t>
      </w:r>
      <w:r w:rsidR="00087529" w:rsidRPr="003309B8">
        <w:rPr>
          <w:rFonts w:ascii="Times New Roman" w:eastAsiaTheme="minorEastAsia" w:hAnsi="Times New Roman"/>
          <w:b/>
          <w:bCs/>
          <w14:ligatures w14:val="standardContextual"/>
        </w:rPr>
        <w:t>Key Themes and Findings</w:t>
      </w:r>
    </w:p>
    <w:p w14:paraId="1824AD64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Theme 1: Opportunities and Risks</w:t>
      </w:r>
    </w:p>
    <w:p w14:paraId="521C93D1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Opportunities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2D5FA580" w14:textId="23826220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Streamlined UK-specific processes to improve efficiency and device availability.</w:t>
      </w:r>
    </w:p>
    <w:p w14:paraId="495CDA8B" w14:textId="240FA9D2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Enhanced innovation leveraging NHS data for AI-driven and machine-learning-based devices.</w:t>
      </w:r>
    </w:p>
    <w:p w14:paraId="0A38E56F" w14:textId="1F55A163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Focus on high-risk, complex devices to strengthen global competitiveness.</w:t>
      </w:r>
    </w:p>
    <w:p w14:paraId="43C68C1F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Risks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32FA4EF7" w14:textId="328B64E8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Regulatory divergence may increase costs, delays, and complexity for manufacturers.</w:t>
      </w:r>
    </w:p>
    <w:p w14:paraId="47B41B11" w14:textId="6AE915F2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Reduced availability of devices for UK patients, especially those with rare conditions.</w:t>
      </w:r>
    </w:p>
    <w:p w14:paraId="637F4400" w14:textId="5DB65520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Potential loss of international market share for UK device manufacturers.</w:t>
      </w:r>
    </w:p>
    <w:p w14:paraId="24609243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7D7DB26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Theme 2: Recommendations for Investment, Innovation, and Safety</w:t>
      </w:r>
    </w:p>
    <w:p w14:paraId="1EFF0D3C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Encouraging International Investment:</w:t>
      </w:r>
    </w:p>
    <w:p w14:paraId="39AB74C3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Regulatory Changes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01AB3F00" w14:textId="1A7722CB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Align UK regulations with global standards (e.g., US FDA, EU CE).</w:t>
      </w:r>
    </w:p>
    <w:p w14:paraId="219C9488" w14:textId="7A611FEC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Foster mutual recognition agreements for easier market entry.</w:t>
      </w:r>
    </w:p>
    <w:p w14:paraId="0EFADB5C" w14:textId="658240CA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Prioritize early support for high-risk device development.</w:t>
      </w:r>
    </w:p>
    <w:p w14:paraId="48BE1A82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Non-Regulatory Changes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400BCF02" w14:textId="21B0D426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Provide clear guidance on new regulations.</w:t>
      </w:r>
    </w:p>
    <w:p w14:paraId="20115B24" w14:textId="109D69F4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Incentivize investment with grants, tax credits, and infrastructure support.</w:t>
      </w:r>
    </w:p>
    <w:p w14:paraId="54E23EA1" w14:textId="4D06000C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lastRenderedPageBreak/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Improve NHS procurement and data accessibility to attract international collaborators.</w:t>
      </w:r>
    </w:p>
    <w:p w14:paraId="06899C6E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Promoting Innovation:</w:t>
      </w:r>
    </w:p>
    <w:p w14:paraId="6842D7B0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Regulatory Changes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67596FD3" w14:textId="6A05D869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Reduce clinical evidence requirements for market entry where feasible.</w:t>
      </w:r>
    </w:p>
    <w:p w14:paraId="6D23D947" w14:textId="3B35EEED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Introduce accelerated pathways like the US FDA’s Breakthrough Device Designation.</w:t>
      </w:r>
    </w:p>
    <w:p w14:paraId="13535AA7" w14:textId="092B3A81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Use NHS data for targeted research and development.</w:t>
      </w:r>
    </w:p>
    <w:p w14:paraId="7FC974AF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Non-Regulatory Changes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6E8E4A5E" w14:textId="7AAAE828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Strengthen partnerships between industry and academia.</w:t>
      </w:r>
    </w:p>
    <w:p w14:paraId="63C7EE75" w14:textId="37B06F48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Provide funding for small and medium-sized enterprises (SMEs) to innovate.</w:t>
      </w:r>
    </w:p>
    <w:p w14:paraId="0813F784" w14:textId="3C616106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Establish clear regulatory routes for novel technologies.</w:t>
      </w:r>
    </w:p>
    <w:p w14:paraId="010B43D8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Improving Patient Safety:</w:t>
      </w:r>
    </w:p>
    <w:p w14:paraId="2836747C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Regulatory Changes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4C1F89AC" w14:textId="3278C083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Strengthen PMS to monitor device performance.</w:t>
      </w:r>
    </w:p>
    <w:p w14:paraId="70F15B8B" w14:textId="45FFCF37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Introduce national device databases with unique identifiers.</w:t>
      </w:r>
    </w:p>
    <w:p w14:paraId="7651D3BC" w14:textId="7FC67FA2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Implement transition periods post-approval for additional safety data collection.</w:t>
      </w:r>
    </w:p>
    <w:p w14:paraId="3C34D73F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Non-Regulatory Changes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523260C8" w14:textId="3E1AF08F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Promote patient involvement in device design and clinical trials.</w:t>
      </w:r>
    </w:p>
    <w:p w14:paraId="71B7AAC6" w14:textId="5F1BAB05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Foster a culture of learning from incidents to improve safety without blame.</w:t>
      </w:r>
    </w:p>
    <w:p w14:paraId="2E1F7121" w14:textId="77777777" w:rsidR="00087529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67F2BC5" w14:textId="77777777" w:rsidR="003309B8" w:rsidRP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743DAEE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Theme 3: Key Implications and Mitigation Works for the Move to the UKCA Mark</w:t>
      </w:r>
    </w:p>
    <w:p w14:paraId="51328B11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14:ligatures w14:val="standardContextual"/>
        </w:rPr>
        <w:t>The move to the UKCA mark requires significant adjustments across stakeholders. The implications and proposed mitigations are:</w:t>
      </w:r>
    </w:p>
    <w:p w14:paraId="1B0DE445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Regulators:</w:t>
      </w:r>
    </w:p>
    <w:p w14:paraId="7EFADD6A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Implications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790D2E1B" w14:textId="2909F65D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Surge in demand for UK Conformity Assessment Bodies (UK-CABs), exceeding capacity.</w:t>
      </w:r>
    </w:p>
    <w:p w14:paraId="09AEB2BB" w14:textId="62C1D78C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Reduced international influence of UK regulations.</w:t>
      </w:r>
    </w:p>
    <w:p w14:paraId="0E0B5939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Mitigations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646A9667" w14:textId="48D030B0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Expand the number and scope of UK-CABs to handle high-risk devices.</w:t>
      </w:r>
    </w:p>
    <w:p w14:paraId="6818DE2F" w14:textId="74474E67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Encourage EU-based Notified Bodies (NBs) to conduct UKCA and EU CE assessments in parallel.</w:t>
      </w:r>
    </w:p>
    <w:p w14:paraId="1D109914" w14:textId="05C9A615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Improve coordination among regulators, health assessors, and procurers.</w:t>
      </w:r>
    </w:p>
    <w:p w14:paraId="20CD4C3D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Manufacturers:</w:t>
      </w:r>
    </w:p>
    <w:p w14:paraId="7EF28DEF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Implications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3A3BF87E" w14:textId="78047DF8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Dual regulatory requirements increase costs and burden.</w:t>
      </w:r>
    </w:p>
    <w:p w14:paraId="29B8DE8E" w14:textId="1981FDF3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Small manufacturers face greater challenges than large enterprises.</w:t>
      </w:r>
    </w:p>
    <w:p w14:paraId="343EACD4" w14:textId="5ADBF0FA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Decline in medical device R&amp;D within the UK.</w:t>
      </w:r>
    </w:p>
    <w:p w14:paraId="6379002E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Mitigations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3408C346" w14:textId="36D87155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Provide unified, transparent guidance on requirements.</w:t>
      </w:r>
    </w:p>
    <w:p w14:paraId="4F3810BF" w14:textId="01B9591F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Extend transition periods for compliance.</w:t>
      </w:r>
    </w:p>
    <w:p w14:paraId="34E751B2" w14:textId="17D91521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Incentivize UK market participation with supportive policies.</w:t>
      </w:r>
    </w:p>
    <w:p w14:paraId="2935D921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Patients and Public:</w:t>
      </w:r>
    </w:p>
    <w:p w14:paraId="11D79B10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Implications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176460A6" w14:textId="039E9BE2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Decreased availability and diversity of devices.</w:t>
      </w:r>
    </w:p>
    <w:p w14:paraId="00DC7DC0" w14:textId="32AA8A5C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Greater impact on patients with rare conditions.</w:t>
      </w:r>
    </w:p>
    <w:p w14:paraId="25D0E021" w14:textId="08B5DC2C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Anxiety and confusion over regulatory changes.</w:t>
      </w:r>
    </w:p>
    <w:p w14:paraId="5933205D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Mitigations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196D74FA" w14:textId="1906EAE9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Educate patients on the new regulations with accessible information.</w:t>
      </w:r>
    </w:p>
    <w:p w14:paraId="172D6D3F" w14:textId="64672122" w:rsidR="00087529" w:rsidRPr="003309B8" w:rsidRDefault="003309B8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Ensure equitable access to high-quality devices for all patient groups.</w:t>
      </w:r>
    </w:p>
    <w:p w14:paraId="44C4B5DF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981F764" w14:textId="77777777" w:rsidR="00087529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Theme 4: Learning from International Frameworks</w:t>
      </w:r>
    </w:p>
    <w:p w14:paraId="19FC86D4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Medical Device Single Audit Program (MDSAP)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07CD4225" w14:textId="77777777" w:rsidR="00087529" w:rsidRPr="003309B8" w:rsidRDefault="00087529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14:ligatures w14:val="standardContextual"/>
        </w:rPr>
        <w:t>Facilitates multi-market access through unified quality audits but lacks comprehensive regulatory approval coverage.</w:t>
      </w:r>
    </w:p>
    <w:p w14:paraId="686F31B9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US FDA 510(k) Pathway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0CD36D76" w14:textId="77777777" w:rsidR="00087529" w:rsidRPr="003309B8" w:rsidRDefault="00087529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14:ligatures w14:val="standardContextual"/>
        </w:rPr>
        <w:t>Accelerates market entry by approving devices based on substantial equivalence but may compromise safety.</w:t>
      </w:r>
    </w:p>
    <w:p w14:paraId="261B06E2" w14:textId="77777777" w:rsidR="00087529" w:rsidRPr="003309B8" w:rsidRDefault="00087529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Mutual Recognition Agreements (MRAs)</w:t>
      </w:r>
      <w:r w:rsidRPr="003309B8">
        <w:rPr>
          <w:rFonts w:ascii="Times New Roman" w:eastAsiaTheme="minorEastAsia" w:hAnsi="Times New Roman"/>
          <w14:ligatures w14:val="standardContextual"/>
        </w:rPr>
        <w:t>:</w:t>
      </w:r>
    </w:p>
    <w:p w14:paraId="75E3DCB9" w14:textId="693623A0" w:rsidR="00087529" w:rsidRPr="003309B8" w:rsidRDefault="00087529" w:rsidP="003309B8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14:ligatures w14:val="standardContextual"/>
        </w:rPr>
        <w:t>Simplifies trade by harmoni</w:t>
      </w:r>
      <w:r w:rsidR="003309B8">
        <w:rPr>
          <w:rFonts w:ascii="Times New Roman" w:eastAsiaTheme="minorEastAsia" w:hAnsi="Times New Roman"/>
          <w14:ligatures w14:val="standardContextual"/>
        </w:rPr>
        <w:t>s</w:t>
      </w:r>
      <w:r w:rsidRPr="003309B8">
        <w:rPr>
          <w:rFonts w:ascii="Times New Roman" w:eastAsiaTheme="minorEastAsia" w:hAnsi="Times New Roman"/>
          <w14:ligatures w14:val="standardContextual"/>
        </w:rPr>
        <w:t>ing regulations but requires trust-building between countries.</w:t>
      </w:r>
    </w:p>
    <w:p w14:paraId="41979021" w14:textId="77777777" w:rsidR="00087529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35BE7F1" w14:textId="77777777" w:rsid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3C1E4D7" w14:textId="77777777" w:rsidR="003309B8" w:rsidRP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677BA84" w14:textId="41391005" w:rsidR="003309B8" w:rsidRPr="003309B8" w:rsidRDefault="00087529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Key Proposals</w:t>
      </w:r>
    </w:p>
    <w:p w14:paraId="6B40583C" w14:textId="7AF4C30D" w:rsidR="00087529" w:rsidRPr="003309B8" w:rsidRDefault="003309B8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Develop a hybrid UK regulatory system balancing EU safety rigor with simplified approval processes.</w:t>
      </w:r>
    </w:p>
    <w:p w14:paraId="1E85EEF5" w14:textId="1B5BD9A1" w:rsidR="00087529" w:rsidRPr="003309B8" w:rsidRDefault="003309B8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Focus resources on complex, high-risk devices to foster innovation and competitiveness.</w:t>
      </w:r>
    </w:p>
    <w:p w14:paraId="132CFBE8" w14:textId="0CD060DB" w:rsidR="00087529" w:rsidRPr="003309B8" w:rsidRDefault="003309B8" w:rsidP="003309B8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3. </w:t>
      </w:r>
      <w:r w:rsidR="00087529" w:rsidRPr="003309B8">
        <w:rPr>
          <w:rFonts w:ascii="Times New Roman" w:eastAsiaTheme="minorEastAsia" w:hAnsi="Times New Roman"/>
          <w14:ligatures w14:val="standardContextual"/>
        </w:rPr>
        <w:t>Enhance collaboration across sectors, leveraging NHS data to support cutting-edge research.</w:t>
      </w:r>
    </w:p>
    <w:p w14:paraId="45285F04" w14:textId="77777777" w:rsidR="003309B8" w:rsidRP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309B8">
        <w:rPr>
          <w:rFonts w:ascii="Times New Roman" w:eastAsiaTheme="minorEastAsia" w:hAnsi="Times New Roman"/>
          <w:b/>
          <w:bCs/>
          <w14:ligatures w14:val="standardContextual"/>
        </w:rPr>
        <w:t>Purpose of the Proposal</w:t>
      </w:r>
    </w:p>
    <w:p w14:paraId="3FC8B106" w14:textId="749DB274" w:rsidR="00087529" w:rsidRPr="003309B8" w:rsidRDefault="003309B8" w:rsidP="003309B8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309B8">
        <w:rPr>
          <w:rFonts w:ascii="Times New Roman" w:eastAsiaTheme="minorEastAsia" w:hAnsi="Times New Roman"/>
          <w14:ligatures w14:val="standardContextual"/>
        </w:rPr>
        <w:t>The document aims to create a moderni</w:t>
      </w:r>
      <w:r>
        <w:rPr>
          <w:rFonts w:ascii="Times New Roman" w:eastAsiaTheme="minorEastAsia" w:hAnsi="Times New Roman"/>
          <w14:ligatures w14:val="standardContextual"/>
        </w:rPr>
        <w:t>s</w:t>
      </w:r>
      <w:r w:rsidRPr="003309B8">
        <w:rPr>
          <w:rFonts w:ascii="Times New Roman" w:eastAsiaTheme="minorEastAsia" w:hAnsi="Times New Roman"/>
          <w14:ligatures w14:val="standardContextual"/>
        </w:rPr>
        <w:t>ed, patient-centric regulatory framework that balances the UK's independent policies with global harmonization to boost innovation, safety, and market growth.</w:t>
      </w:r>
    </w:p>
    <w:p w14:paraId="115073CF" w14:textId="77777777" w:rsidR="00CD39F1" w:rsidRPr="003309B8" w:rsidRDefault="00CD39F1" w:rsidP="003309B8">
      <w:pPr>
        <w:spacing w:after="240" w:line="360" w:lineRule="auto"/>
        <w:rPr>
          <w:rFonts w:ascii="Times New Roman" w:hAnsi="Times New Roman"/>
        </w:rPr>
      </w:pPr>
    </w:p>
    <w:sectPr w:rsidR="00CD39F1" w:rsidRPr="003309B8" w:rsidSect="000875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8548B" w14:textId="77777777" w:rsidR="00A940C9" w:rsidRDefault="00A940C9" w:rsidP="00D570A0">
      <w:r>
        <w:separator/>
      </w:r>
    </w:p>
  </w:endnote>
  <w:endnote w:type="continuationSeparator" w:id="0">
    <w:p w14:paraId="6477E951" w14:textId="77777777" w:rsidR="00A940C9" w:rsidRDefault="00A940C9" w:rsidP="00D57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8BE2A" w14:textId="77777777" w:rsidR="00A940C9" w:rsidRDefault="00A940C9" w:rsidP="00D570A0">
      <w:r>
        <w:separator/>
      </w:r>
    </w:p>
  </w:footnote>
  <w:footnote w:type="continuationSeparator" w:id="0">
    <w:p w14:paraId="3E00F28B" w14:textId="77777777" w:rsidR="00A940C9" w:rsidRDefault="00A940C9" w:rsidP="00D570A0">
      <w:r>
        <w:continuationSeparator/>
      </w:r>
    </w:p>
  </w:footnote>
  <w:footnote w:id="1">
    <w:p w14:paraId="3AF06852" w14:textId="7F199E50" w:rsidR="00D570A0" w:rsidRPr="00D570A0" w:rsidRDefault="00D570A0" w:rsidP="00D570A0">
      <w:pPr>
        <w:shd w:val="clear" w:color="auto" w:fill="FFFFFF"/>
        <w:spacing w:line="360" w:lineRule="atLeast"/>
        <w:rPr>
          <w:rFonts w:ascii="Times New Roman" w:hAnsi="Times New Roman"/>
          <w:color w:val="001D35"/>
          <w:vertAlign w:val="superscript"/>
          <w:lang w:val="en-HK"/>
        </w:rPr>
      </w:pPr>
      <w:r w:rsidRPr="00D570A0">
        <w:rPr>
          <w:rStyle w:val="FootnoteReference"/>
          <w:rFonts w:ascii="Times New Roman" w:hAnsi="Times New Roman"/>
        </w:rPr>
        <w:footnoteRef/>
      </w:r>
      <w:r w:rsidRPr="00D570A0">
        <w:rPr>
          <w:rFonts w:ascii="Times New Roman" w:hAnsi="Times New Roman"/>
          <w:vertAlign w:val="superscript"/>
        </w:rPr>
        <w:t xml:space="preserve"> </w:t>
      </w:r>
      <w:r w:rsidRPr="00D570A0">
        <w:rPr>
          <w:rFonts w:ascii="Times New Roman" w:hAnsi="Times New Roman"/>
          <w:color w:val="001D35"/>
          <w:vertAlign w:val="superscript"/>
          <w:lang w:val="en-HK"/>
        </w:rPr>
        <w:t>The CE marking is a symbol that indicates a product meets the European Union's (EU) safety, health, and environmental requirements</w:t>
      </w:r>
      <w:r>
        <w:rPr>
          <w:rFonts w:ascii="Times New Roman" w:hAnsi="Times New Roman"/>
          <w:color w:val="001D35"/>
          <w:vertAlign w:val="superscript"/>
          <w:lang w:val="en-HK"/>
        </w:rPr>
        <w:t xml:space="preserve">. </w:t>
      </w:r>
    </w:p>
    <w:p w14:paraId="4881F04D" w14:textId="33DED36D" w:rsidR="00D570A0" w:rsidRPr="00D570A0" w:rsidRDefault="00D570A0">
      <w:pPr>
        <w:pStyle w:val="FootnoteText"/>
        <w:rPr>
          <w:rFonts w:ascii="Times New Roman" w:hAnsi="Times New Roman"/>
          <w:sz w:val="24"/>
          <w:szCs w:val="24"/>
          <w:vertAlign w:val="superscript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A3C6F3A"/>
    <w:multiLevelType w:val="hybridMultilevel"/>
    <w:tmpl w:val="CEAC4C84"/>
    <w:lvl w:ilvl="0" w:tplc="755CE7B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F64E05"/>
    <w:multiLevelType w:val="hybridMultilevel"/>
    <w:tmpl w:val="F29E4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86935"/>
    <w:multiLevelType w:val="hybridMultilevel"/>
    <w:tmpl w:val="B1D85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501467">
    <w:abstractNumId w:val="0"/>
  </w:num>
  <w:num w:numId="2" w16cid:durableId="1464736899">
    <w:abstractNumId w:val="1"/>
  </w:num>
  <w:num w:numId="3" w16cid:durableId="73019684">
    <w:abstractNumId w:val="2"/>
  </w:num>
  <w:num w:numId="4" w16cid:durableId="11877945">
    <w:abstractNumId w:val="3"/>
  </w:num>
  <w:num w:numId="5" w16cid:durableId="1243687064">
    <w:abstractNumId w:val="4"/>
  </w:num>
  <w:num w:numId="6" w16cid:durableId="8416496">
    <w:abstractNumId w:val="5"/>
  </w:num>
  <w:num w:numId="7" w16cid:durableId="214975591">
    <w:abstractNumId w:val="6"/>
  </w:num>
  <w:num w:numId="8" w16cid:durableId="1960800082">
    <w:abstractNumId w:val="7"/>
  </w:num>
  <w:num w:numId="9" w16cid:durableId="2021227929">
    <w:abstractNumId w:val="8"/>
  </w:num>
  <w:num w:numId="10" w16cid:durableId="543061344">
    <w:abstractNumId w:val="9"/>
  </w:num>
  <w:num w:numId="11" w16cid:durableId="578906456">
    <w:abstractNumId w:val="10"/>
  </w:num>
  <w:num w:numId="12" w16cid:durableId="831264005">
    <w:abstractNumId w:val="11"/>
  </w:num>
  <w:num w:numId="13" w16cid:durableId="195776658">
    <w:abstractNumId w:val="12"/>
  </w:num>
  <w:num w:numId="14" w16cid:durableId="1058090786">
    <w:abstractNumId w:val="13"/>
  </w:num>
  <w:num w:numId="15" w16cid:durableId="2004580673">
    <w:abstractNumId w:val="16"/>
  </w:num>
  <w:num w:numId="16" w16cid:durableId="1645503687">
    <w:abstractNumId w:val="15"/>
  </w:num>
  <w:num w:numId="17" w16cid:durableId="981039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9A"/>
    <w:rsid w:val="000147A9"/>
    <w:rsid w:val="00042755"/>
    <w:rsid w:val="0006107D"/>
    <w:rsid w:val="000623A3"/>
    <w:rsid w:val="00087529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A379A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309B8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40C9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43B91"/>
    <w:rsid w:val="00D570A0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061C0"/>
  <w15:chartTrackingRefBased/>
  <w15:docId w15:val="{0935907F-6F45-CC49-B8E6-1D45F606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9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9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9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9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9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9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9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9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9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A37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9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9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A3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9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2A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9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A379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70A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70A0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570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2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161006-12DC-DF48-949A-0109B1CE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2024-11-27T10:48:00Z</dcterms:created>
  <dcterms:modified xsi:type="dcterms:W3CDTF">2024-11-27T12:15:00Z</dcterms:modified>
</cp:coreProperties>
</file>