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BCE57" w14:textId="12BD2323" w:rsidR="00CD39F1" w:rsidRPr="00035D6A" w:rsidRDefault="00E122C2" w:rsidP="00035D6A">
      <w:pPr>
        <w:spacing w:after="240" w:line="360" w:lineRule="auto"/>
        <w:rPr>
          <w:rFonts w:ascii="Times New Roman" w:hAnsi="Times New Roman"/>
        </w:rPr>
      </w:pPr>
      <w:r w:rsidRPr="00035D6A">
        <w:rPr>
          <w:rFonts w:ascii="Times New Roman" w:hAnsi="Times New Roman"/>
        </w:rPr>
        <w:drawing>
          <wp:inline distT="0" distB="0" distL="0" distR="0" wp14:anchorId="7CF9A212" wp14:editId="1425B8EC">
            <wp:extent cx="5845810" cy="2284095"/>
            <wp:effectExtent l="0" t="0" r="0" b="1905"/>
            <wp:docPr id="932862126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2126" name="Picture 1" descr="A white paper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7453" cy="228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B7BC" w14:textId="77777777" w:rsidR="00E122C2" w:rsidRPr="00035D6A" w:rsidRDefault="00E122C2" w:rsidP="00035D6A">
      <w:pPr>
        <w:spacing w:after="240" w:line="360" w:lineRule="auto"/>
        <w:rPr>
          <w:rFonts w:ascii="Times New Roman" w:hAnsi="Times New Roman"/>
        </w:rPr>
      </w:pPr>
    </w:p>
    <w:p w14:paraId="04B644B7" w14:textId="77777777" w:rsidR="00E122C2" w:rsidRPr="00035D6A" w:rsidRDefault="00E122C2" w:rsidP="00035D6A">
      <w:pPr>
        <w:spacing w:after="240" w:line="360" w:lineRule="auto"/>
        <w:rPr>
          <w:rFonts w:ascii="Times New Roman" w:hAnsi="Times New Roman"/>
        </w:rPr>
      </w:pPr>
    </w:p>
    <w:p w14:paraId="3D6C3215" w14:textId="6BE4D6AB" w:rsidR="00E122C2" w:rsidRPr="00035D6A" w:rsidRDefault="00E122C2" w:rsidP="00035D6A">
      <w:pPr>
        <w:spacing w:after="240" w:line="360" w:lineRule="auto"/>
        <w:rPr>
          <w:rFonts w:ascii="Times New Roman" w:hAnsi="Times New Roman"/>
        </w:rPr>
      </w:pPr>
      <w:r w:rsidRPr="00035D6A">
        <w:rPr>
          <w:rFonts w:ascii="Times New Roman" w:hAnsi="Times New Roman"/>
        </w:rPr>
        <w:drawing>
          <wp:inline distT="0" distB="0" distL="0" distR="0" wp14:anchorId="43B4BC42" wp14:editId="73E6477A">
            <wp:extent cx="5731510" cy="2333625"/>
            <wp:effectExtent l="0" t="0" r="0" b="3175"/>
            <wp:docPr id="1949065690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65690" name="Picture 1" descr="A close-up of a pap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DEC3" w14:textId="6F35385C" w:rsidR="00E122C2" w:rsidRPr="00035D6A" w:rsidRDefault="00E122C2" w:rsidP="00035D6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035D6A">
        <w:rPr>
          <w:rFonts w:ascii="Times New Roman" w:eastAsiaTheme="minorEastAsia" w:hAnsi="Times New Roman"/>
          <w:b/>
          <w:bCs/>
          <w14:ligatures w14:val="standardContextual"/>
        </w:rPr>
        <w:t>General Data Protection Regulation (GDPR</w:t>
      </w:r>
      <w:r w:rsidRPr="00035D6A">
        <w:rPr>
          <w:rFonts w:ascii="Times New Roman" w:eastAsiaTheme="minorEastAsia" w:hAnsi="Times New Roman"/>
          <w:b/>
          <w:bCs/>
          <w14:ligatures w14:val="standardContextual"/>
        </w:rPr>
        <w:t>)</w:t>
      </w:r>
    </w:p>
    <w:p w14:paraId="24385516" w14:textId="67C007D9" w:rsidR="00E122C2" w:rsidRPr="00035D6A" w:rsidRDefault="00E122C2" w:rsidP="00035D6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proofErr w:type="spellStart"/>
      <w:r w:rsidRPr="00035D6A">
        <w:rPr>
          <w:rFonts w:ascii="Times New Roman" w:eastAsiaTheme="minorEastAsia" w:hAnsi="Times New Roman"/>
          <w:b/>
          <w:bCs/>
          <w14:ligatures w14:val="standardContextual"/>
        </w:rPr>
        <w:t>ePrivacy</w:t>
      </w:r>
      <w:proofErr w:type="spellEnd"/>
      <w:r w:rsidRPr="00035D6A">
        <w:rPr>
          <w:rFonts w:ascii="Times New Roman" w:eastAsiaTheme="minorEastAsia" w:hAnsi="Times New Roman"/>
          <w:b/>
          <w:bCs/>
          <w14:ligatures w14:val="standardContextual"/>
        </w:rPr>
        <w:t xml:space="preserve"> Directive (PECD</w:t>
      </w:r>
    </w:p>
    <w:p w14:paraId="52756A65" w14:textId="390E150C" w:rsidR="00E122C2" w:rsidRPr="00035D6A" w:rsidRDefault="00E122C2" w:rsidP="00035D6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035D6A">
        <w:rPr>
          <w:rFonts w:ascii="Times New Roman" w:eastAsiaTheme="minorEastAsia" w:hAnsi="Times New Roman"/>
          <w:b/>
          <w:bCs/>
          <w14:ligatures w14:val="standardContextual"/>
        </w:rPr>
        <w:t xml:space="preserve">Proposed </w:t>
      </w:r>
      <w:proofErr w:type="spellStart"/>
      <w:r w:rsidRPr="00035D6A">
        <w:rPr>
          <w:rFonts w:ascii="Times New Roman" w:eastAsiaTheme="minorEastAsia" w:hAnsi="Times New Roman"/>
          <w:b/>
          <w:bCs/>
          <w14:ligatures w14:val="standardContextual"/>
        </w:rPr>
        <w:t>ePrivacy</w:t>
      </w:r>
      <w:proofErr w:type="spellEnd"/>
      <w:r w:rsidRPr="00035D6A">
        <w:rPr>
          <w:rFonts w:ascii="Times New Roman" w:eastAsiaTheme="minorEastAsia" w:hAnsi="Times New Roman"/>
          <w:b/>
          <w:bCs/>
          <w14:ligatures w14:val="standardContextual"/>
        </w:rPr>
        <w:t xml:space="preserve"> Regulation (EPR</w:t>
      </w:r>
      <w:r w:rsidRPr="00035D6A">
        <w:rPr>
          <w:rFonts w:ascii="Times New Roman" w:eastAsiaTheme="minorEastAsia" w:hAnsi="Times New Roman"/>
          <w:b/>
          <w:bCs/>
          <w14:ligatures w14:val="standardContextual"/>
        </w:rPr>
        <w:t xml:space="preserve">) </w:t>
      </w:r>
    </w:p>
    <w:p w14:paraId="3A719D93" w14:textId="11D6AA22" w:rsidR="00E122C2" w:rsidRPr="00035D6A" w:rsidRDefault="00E122C2" w:rsidP="00035D6A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035D6A">
        <w:rPr>
          <w:rFonts w:ascii="Times New Roman" w:eastAsiaTheme="minorEastAsia" w:hAnsi="Times New Roman"/>
          <w:b/>
          <w:bCs/>
          <w14:ligatures w14:val="standardContextual"/>
        </w:rPr>
        <w:t>Medical Device Regulation (MDR</w:t>
      </w:r>
      <w:r w:rsidRPr="00035D6A">
        <w:rPr>
          <w:rFonts w:ascii="Times New Roman" w:eastAsiaTheme="minorEastAsia" w:hAnsi="Times New Roman"/>
          <w:b/>
          <w:bCs/>
          <w14:ligatures w14:val="standardContextual"/>
        </w:rPr>
        <w:t xml:space="preserve">) </w:t>
      </w:r>
    </w:p>
    <w:p w14:paraId="6A3FB3C0" w14:textId="563A4CE4" w:rsidR="00E122C2" w:rsidRDefault="00035D6A" w:rsidP="00035D6A">
      <w:pPr>
        <w:pStyle w:val="NormalWeb"/>
        <w:spacing w:after="240" w:afterAutospacing="0" w:line="360" w:lineRule="auto"/>
        <w:rPr>
          <w:b/>
          <w:bCs/>
        </w:rPr>
      </w:pPr>
      <w:r w:rsidRPr="00035D6A">
        <w:rPr>
          <w:b/>
          <w:bCs/>
        </w:rPr>
        <w:t xml:space="preserve">ICT-connected Implantable Medical Devices </w:t>
      </w:r>
      <w:r w:rsidRPr="00035D6A">
        <w:rPr>
          <w:b/>
          <w:bCs/>
        </w:rPr>
        <w:t xml:space="preserve"> </w:t>
      </w:r>
      <w:r>
        <w:rPr>
          <w:b/>
          <w:bCs/>
        </w:rPr>
        <w:t>(</w:t>
      </w:r>
      <w:r w:rsidR="00E122C2" w:rsidRPr="00E122C2">
        <w:rPr>
          <w:b/>
          <w:bCs/>
        </w:rPr>
        <w:t>ICTIMD</w:t>
      </w:r>
      <w:r>
        <w:rPr>
          <w:b/>
          <w:bCs/>
        </w:rPr>
        <w:t>)</w:t>
      </w:r>
    </w:p>
    <w:p w14:paraId="5D5527A5" w14:textId="0037D75B" w:rsidR="00035D6A" w:rsidRDefault="00035D6A" w:rsidP="00035D6A">
      <w:pPr>
        <w:pStyle w:val="NormalWeb"/>
      </w:pPr>
      <w:r w:rsidRPr="00035D6A">
        <w:rPr>
          <w:b/>
          <w:bCs/>
        </w:rPr>
        <w:t>Article 29 Data Protection Working Party</w:t>
      </w:r>
      <w:r w:rsidRPr="00035D6A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</w:rPr>
        <w:t>WP 29</w:t>
      </w:r>
      <w:r>
        <w:rPr>
          <w:b/>
          <w:bCs/>
        </w:rPr>
        <w:t>)</w:t>
      </w:r>
    </w:p>
    <w:p w14:paraId="051E5841" w14:textId="26DEBE68" w:rsidR="00035D6A" w:rsidRPr="00035D6A" w:rsidRDefault="00035D6A" w:rsidP="00035D6A">
      <w:pPr>
        <w:pStyle w:val="NormalWeb"/>
        <w:spacing w:after="240" w:afterAutospacing="0" w:line="360" w:lineRule="auto"/>
        <w:rPr>
          <w:b/>
          <w:bCs/>
        </w:rPr>
      </w:pPr>
    </w:p>
    <w:p w14:paraId="714B3D9A" w14:textId="0614F96F" w:rsidR="00E122C2" w:rsidRPr="00E122C2" w:rsidRDefault="00035D6A" w:rsidP="00035D6A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lastRenderedPageBreak/>
        <w:t xml:space="preserve">1. </w:t>
      </w:r>
      <w:r w:rsidR="00E122C2" w:rsidRPr="00E122C2">
        <w:rPr>
          <w:rFonts w:ascii="Times New Roman" w:hAnsi="Times New Roman"/>
          <w:b/>
          <w:bCs/>
          <w:lang w:val="en-HK"/>
        </w:rPr>
        <w:t xml:space="preserve"> Applying the GDPR and the </w:t>
      </w:r>
      <w:proofErr w:type="spellStart"/>
      <w:r w:rsidR="00E122C2" w:rsidRPr="00E122C2">
        <w:rPr>
          <w:rFonts w:ascii="Times New Roman" w:hAnsi="Times New Roman"/>
          <w:b/>
          <w:bCs/>
          <w:lang w:val="en-HK"/>
        </w:rPr>
        <w:t>ePrivacy</w:t>
      </w:r>
      <w:proofErr w:type="spellEnd"/>
      <w:r w:rsidR="00E122C2" w:rsidRPr="00E122C2">
        <w:rPr>
          <w:rFonts w:ascii="Times New Roman" w:hAnsi="Times New Roman"/>
          <w:b/>
          <w:bCs/>
          <w:lang w:val="en-HK"/>
        </w:rPr>
        <w:t xml:space="preserve"> Rules to ICTIMD Environments</w:t>
      </w:r>
    </w:p>
    <w:p w14:paraId="6E874144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A. ICTIMD Environments – An Introduction</w:t>
      </w:r>
    </w:p>
    <w:p w14:paraId="55DFC55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Definition of ICTIMDs:</w:t>
      </w:r>
    </w:p>
    <w:p w14:paraId="04A35DC6" w14:textId="57735B04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Devices like pacemakers, nerve stimulators, and biosensors implanted in the human body, often capable of transferring data to external systems.</w:t>
      </w:r>
    </w:p>
    <w:p w14:paraId="0A51385E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Data Flow Characteristics:</w:t>
      </w:r>
    </w:p>
    <w:p w14:paraId="68EC33E8" w14:textId="28C83229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Continuous and remote data collection using cloud services.</w:t>
      </w:r>
    </w:p>
    <w:p w14:paraId="4890293E" w14:textId="5D9582C0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Lack of cybersecurity in many devices increases risks of breaches.</w:t>
      </w:r>
    </w:p>
    <w:p w14:paraId="5D8B00D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B. GDPR’s Applicability</w:t>
      </w:r>
    </w:p>
    <w:p w14:paraId="38AB5533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Personal Data (Article 4(1)):</w:t>
      </w:r>
    </w:p>
    <w:p w14:paraId="1FF0685C" w14:textId="07D81D2C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Includes identifiable information such as names, medical conditions, and location data.</w:t>
      </w:r>
    </w:p>
    <w:p w14:paraId="64E05B4D" w14:textId="08ED4120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Health Data (Article 4(15)):</w:t>
      </w:r>
    </w:p>
    <w:p w14:paraId="0E1B7690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Defined as data related to the physical or mental health of an individual, including:</w:t>
      </w:r>
    </w:p>
    <w:p w14:paraId="4EA020C4" w14:textId="319C795D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Testing or examination results.</w:t>
      </w:r>
    </w:p>
    <w:p w14:paraId="7015F0B8" w14:textId="2AD2353C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Medical histories or treatments.</w:t>
      </w:r>
    </w:p>
    <w:p w14:paraId="14C0A3CE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Special Categories (Article 9):</w:t>
      </w:r>
    </w:p>
    <w:p w14:paraId="3D58CAF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Health data is classified as sensitive, requiring explicit legal grounds for processing.</w:t>
      </w:r>
    </w:p>
    <w:p w14:paraId="126F10E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Processing Definition (Article 4(2)):</w:t>
      </w:r>
    </w:p>
    <w:p w14:paraId="49E7C64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Broadly includes activities like storage, collection, and dissemination.</w:t>
      </w:r>
    </w:p>
    <w:p w14:paraId="5BAE8E9F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 xml:space="preserve">C. </w:t>
      </w:r>
      <w:proofErr w:type="spellStart"/>
      <w:r w:rsidRPr="00E122C2">
        <w:rPr>
          <w:rFonts w:ascii="Times New Roman" w:hAnsi="Times New Roman"/>
          <w:b/>
          <w:bCs/>
          <w:lang w:val="en-HK"/>
        </w:rPr>
        <w:t>ePrivacy</w:t>
      </w:r>
      <w:proofErr w:type="spellEnd"/>
      <w:r w:rsidRPr="00E122C2">
        <w:rPr>
          <w:rFonts w:ascii="Times New Roman" w:hAnsi="Times New Roman"/>
          <w:b/>
          <w:bCs/>
          <w:lang w:val="en-HK"/>
        </w:rPr>
        <w:t xml:space="preserve"> Directive (PECD) and </w:t>
      </w:r>
      <w:proofErr w:type="spellStart"/>
      <w:r w:rsidRPr="00E122C2">
        <w:rPr>
          <w:rFonts w:ascii="Times New Roman" w:hAnsi="Times New Roman"/>
          <w:b/>
          <w:bCs/>
          <w:lang w:val="en-HK"/>
        </w:rPr>
        <w:t>ePrivacy</w:t>
      </w:r>
      <w:proofErr w:type="spellEnd"/>
      <w:r w:rsidRPr="00E122C2">
        <w:rPr>
          <w:rFonts w:ascii="Times New Roman" w:hAnsi="Times New Roman"/>
          <w:b/>
          <w:bCs/>
          <w:lang w:val="en-HK"/>
        </w:rPr>
        <w:t xml:space="preserve"> Regulation (EPR)</w:t>
      </w:r>
    </w:p>
    <w:p w14:paraId="52A25B2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PECD Article 5(3):</w:t>
      </w:r>
    </w:p>
    <w:p w14:paraId="398ED402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lastRenderedPageBreak/>
        <w:t>Governs data stored in terminal equipment, requiring consent or necessity.</w:t>
      </w:r>
    </w:p>
    <w:p w14:paraId="3768347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EPR Article 8:</w:t>
      </w:r>
    </w:p>
    <w:p w14:paraId="33B13D47" w14:textId="261E52C4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Expands protections to metadata and electronic communications content.</w:t>
      </w:r>
    </w:p>
    <w:p w14:paraId="31889F4A" w14:textId="3B141B9A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Covers devices like ICTIMDs that connect to public or private networks.</w:t>
      </w:r>
    </w:p>
    <w:p w14:paraId="6153B33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D. Obligations for Stakeholders</w:t>
      </w:r>
    </w:p>
    <w:p w14:paraId="630E72C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Data Controllers (GDPR Article 4(7)):</w:t>
      </w:r>
    </w:p>
    <w:p w14:paraId="3C5658E5" w14:textId="2A918E8A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Entities determining purposes and means of data processing (e.g., hospitals or device manufacturers).</w:t>
      </w:r>
    </w:p>
    <w:p w14:paraId="579D14CB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Data Processors (Article 4(8)):</w:t>
      </w:r>
    </w:p>
    <w:p w14:paraId="40339426" w14:textId="4374B78B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Entities processing data on behalf of controllers (e.g., cloud services).</w:t>
      </w:r>
    </w:p>
    <w:p w14:paraId="15C75EE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PECD Obligations:</w:t>
      </w:r>
    </w:p>
    <w:p w14:paraId="1C91A43C" w14:textId="22A34600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Apply to all entities accessing data, regardless of their role as controller, processor, or third party.</w:t>
      </w:r>
    </w:p>
    <w:p w14:paraId="1A56481F" w14:textId="1A6BA994" w:rsidR="00E122C2" w:rsidRPr="00E122C2" w:rsidRDefault="00E122C2" w:rsidP="00035D6A">
      <w:pPr>
        <w:spacing w:after="240" w:line="360" w:lineRule="auto"/>
        <w:rPr>
          <w:rFonts w:ascii="Times New Roman" w:hAnsi="Times New Roman"/>
          <w:lang w:val="en-HK"/>
        </w:rPr>
      </w:pPr>
    </w:p>
    <w:p w14:paraId="7B199B2F" w14:textId="179FA137" w:rsidR="00E122C2" w:rsidRPr="00E122C2" w:rsidRDefault="00035D6A" w:rsidP="00035D6A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2. </w:t>
      </w:r>
      <w:r w:rsidR="00E122C2" w:rsidRPr="00E122C2">
        <w:rPr>
          <w:rFonts w:ascii="Times New Roman" w:hAnsi="Times New Roman"/>
          <w:b/>
          <w:bCs/>
          <w:lang w:val="en-HK"/>
        </w:rPr>
        <w:t xml:space="preserve"> Mapping the Legal Grounds for Processing ICTIMD Data</w:t>
      </w:r>
    </w:p>
    <w:p w14:paraId="206356AF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A. GDPR Legal Grounds</w:t>
      </w:r>
    </w:p>
    <w:p w14:paraId="1E012DC0" w14:textId="16BD219F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 xml:space="preserve">- </w:t>
      </w:r>
      <w:r w:rsidR="00E122C2" w:rsidRPr="00E122C2">
        <w:rPr>
          <w:rFonts w:ascii="Times New Roman" w:hAnsi="Times New Roman"/>
          <w:b/>
          <w:bCs/>
          <w:lang w:val="en-HK"/>
        </w:rPr>
        <w:t>Article 6(1):</w:t>
      </w:r>
      <w:r w:rsidR="00E122C2" w:rsidRPr="00E122C2">
        <w:rPr>
          <w:rFonts w:ascii="Times New Roman" w:hAnsi="Times New Roman"/>
          <w:lang w:val="en-HK"/>
        </w:rPr>
        <w:t xml:space="preserve"> Processing is lawful if based on:</w:t>
      </w:r>
    </w:p>
    <w:p w14:paraId="2E44DEBD" w14:textId="001294E3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Consent, legal obligations, vital interests, or contractual necessity.</w:t>
      </w:r>
    </w:p>
    <w:p w14:paraId="2321D72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Article 9(2):</w:t>
      </w:r>
      <w:r w:rsidRPr="00E122C2">
        <w:rPr>
          <w:rFonts w:ascii="Times New Roman" w:hAnsi="Times New Roman"/>
          <w:lang w:val="en-HK"/>
        </w:rPr>
        <w:t xml:space="preserve"> Exceptions to health data processing prohibition include:</w:t>
      </w:r>
    </w:p>
    <w:p w14:paraId="64478227" w14:textId="23072817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Explicit consent (Article 9(2)(a)).</w:t>
      </w:r>
    </w:p>
    <w:p w14:paraId="2658F899" w14:textId="796636C0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Protection of vital interests (Article 9(2)(c)).</w:t>
      </w:r>
    </w:p>
    <w:p w14:paraId="3E45C4AC" w14:textId="3DAED9E8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lastRenderedPageBreak/>
        <w:t xml:space="preserve">- </w:t>
      </w:r>
      <w:r w:rsidR="00E122C2" w:rsidRPr="00E122C2">
        <w:rPr>
          <w:rFonts w:ascii="Times New Roman" w:hAnsi="Times New Roman"/>
          <w:lang w:val="en-HK"/>
        </w:rPr>
        <w:t>Processing for medical purposes by healthcare professionals (Article 9(2)(h)).</w:t>
      </w:r>
    </w:p>
    <w:p w14:paraId="1596D214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 xml:space="preserve">B. </w:t>
      </w:r>
      <w:proofErr w:type="spellStart"/>
      <w:r w:rsidRPr="00E122C2">
        <w:rPr>
          <w:rFonts w:ascii="Times New Roman" w:hAnsi="Times New Roman"/>
          <w:b/>
          <w:bCs/>
          <w:lang w:val="en-HK"/>
        </w:rPr>
        <w:t>ePrivacy</w:t>
      </w:r>
      <w:proofErr w:type="spellEnd"/>
      <w:r w:rsidRPr="00E122C2">
        <w:rPr>
          <w:rFonts w:ascii="Times New Roman" w:hAnsi="Times New Roman"/>
          <w:b/>
          <w:bCs/>
          <w:lang w:val="en-HK"/>
        </w:rPr>
        <w:t xml:space="preserve"> Legal Grounds</w:t>
      </w:r>
    </w:p>
    <w:p w14:paraId="560609B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PECD Article 5(3) and EPR Article 8:</w:t>
      </w:r>
    </w:p>
    <w:p w14:paraId="40AF2052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Require consent or necessity for processing terminal equipment data.</w:t>
      </w:r>
    </w:p>
    <w:p w14:paraId="1977D32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EPR Article 8(1)(f):</w:t>
      </w:r>
    </w:p>
    <w:p w14:paraId="24EBCE6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Allows processing for emergency location services.</w:t>
      </w:r>
    </w:p>
    <w:p w14:paraId="0559A2A8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C. Cumulative Application</w:t>
      </w:r>
    </w:p>
    <w:p w14:paraId="44A507B4" w14:textId="77777777" w:rsidR="00035D6A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 xml:space="preserve">Lex </w:t>
      </w:r>
      <w:proofErr w:type="spellStart"/>
      <w:r w:rsidRPr="00E122C2">
        <w:rPr>
          <w:rFonts w:ascii="Times New Roman" w:hAnsi="Times New Roman"/>
          <w:b/>
          <w:bCs/>
          <w:lang w:val="en-HK"/>
        </w:rPr>
        <w:t>Specialis</w:t>
      </w:r>
      <w:proofErr w:type="spellEnd"/>
      <w:r w:rsidRPr="00E122C2">
        <w:rPr>
          <w:rFonts w:ascii="Times New Roman" w:hAnsi="Times New Roman"/>
          <w:b/>
          <w:bCs/>
          <w:lang w:val="en-HK"/>
        </w:rPr>
        <w:t xml:space="preserve"> Principle:</w:t>
      </w:r>
    </w:p>
    <w:p w14:paraId="537EF185" w14:textId="7601F871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E122C2">
        <w:rPr>
          <w:rFonts w:ascii="Times New Roman" w:hAnsi="Times New Roman"/>
          <w:lang w:val="en-HK"/>
        </w:rPr>
        <w:t>ePrivacy</w:t>
      </w:r>
      <w:proofErr w:type="spellEnd"/>
      <w:r w:rsidRPr="00E122C2">
        <w:rPr>
          <w:rFonts w:ascii="Times New Roman" w:hAnsi="Times New Roman"/>
          <w:lang w:val="en-HK"/>
        </w:rPr>
        <w:t xml:space="preserve"> rules override GDPR where applicable but must be applied cumulatively for ICTIMDs.</w:t>
      </w:r>
    </w:p>
    <w:p w14:paraId="480466B0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Ensuring Compliance:</w:t>
      </w:r>
    </w:p>
    <w:p w14:paraId="6BE452F0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 xml:space="preserve">Both GDPR and </w:t>
      </w:r>
      <w:proofErr w:type="spellStart"/>
      <w:r w:rsidRPr="00E122C2">
        <w:rPr>
          <w:rFonts w:ascii="Times New Roman" w:hAnsi="Times New Roman"/>
          <w:lang w:val="en-HK"/>
        </w:rPr>
        <w:t>ePrivacy</w:t>
      </w:r>
      <w:proofErr w:type="spellEnd"/>
      <w:r w:rsidRPr="00E122C2">
        <w:rPr>
          <w:rFonts w:ascii="Times New Roman" w:hAnsi="Times New Roman"/>
          <w:lang w:val="en-HK"/>
        </w:rPr>
        <w:t xml:space="preserve"> regulations must be satisfied for lawful data processing.</w:t>
      </w:r>
    </w:p>
    <w:p w14:paraId="314EBBB2" w14:textId="713F09E6" w:rsidR="00E122C2" w:rsidRPr="00E122C2" w:rsidRDefault="00E122C2" w:rsidP="00035D6A">
      <w:pPr>
        <w:spacing w:after="240" w:line="360" w:lineRule="auto"/>
        <w:rPr>
          <w:rFonts w:ascii="Times New Roman" w:hAnsi="Times New Roman"/>
          <w:lang w:val="en-HK"/>
        </w:rPr>
      </w:pPr>
    </w:p>
    <w:p w14:paraId="653987EC" w14:textId="55EA971F" w:rsidR="00E122C2" w:rsidRPr="00E122C2" w:rsidRDefault="00035D6A" w:rsidP="00035D6A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t>3</w:t>
      </w:r>
      <w:r w:rsidR="00E122C2" w:rsidRPr="00E122C2">
        <w:rPr>
          <w:rFonts w:ascii="Times New Roman" w:hAnsi="Times New Roman"/>
          <w:b/>
          <w:bCs/>
          <w:lang w:val="en-HK"/>
        </w:rPr>
        <w:t>. Consent as a Legal Ground for Processing ICTIMD Data</w:t>
      </w:r>
    </w:p>
    <w:p w14:paraId="6B2063C4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A. The Conditions for Valid Consent</w:t>
      </w:r>
    </w:p>
    <w:p w14:paraId="54A039C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Definition and Basis:</w:t>
      </w:r>
    </w:p>
    <w:p w14:paraId="21D596EF" w14:textId="5CABBE2E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Consent is grounded in principles of self-determination, individual integrity, and fostering informed decision-making.</w:t>
      </w:r>
    </w:p>
    <w:p w14:paraId="1A0C0A2C" w14:textId="317D516D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 xml:space="preserve">The </w:t>
      </w:r>
      <w:r w:rsidR="00E122C2" w:rsidRPr="00E122C2">
        <w:rPr>
          <w:rFonts w:ascii="Times New Roman" w:hAnsi="Times New Roman"/>
          <w:b/>
          <w:bCs/>
          <w:lang w:val="en-HK"/>
        </w:rPr>
        <w:t>EPR Article 9</w:t>
      </w:r>
      <w:r w:rsidR="00E122C2" w:rsidRPr="00E122C2">
        <w:rPr>
          <w:rFonts w:ascii="Times New Roman" w:hAnsi="Times New Roman"/>
          <w:lang w:val="en-HK"/>
        </w:rPr>
        <w:t xml:space="preserve"> incorporates the GDPR’s definitions of consent from Articles 4(11) and 7.</w:t>
      </w:r>
    </w:p>
    <w:p w14:paraId="5AEEE810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Article 4(11):</w:t>
      </w:r>
    </w:p>
    <w:p w14:paraId="1A49A2DA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lastRenderedPageBreak/>
        <w:t>Defines consent as "freely given, specific, informed, and unambiguous indication of the data subject’s wishes by which he or she, by a statement or by a clear affirmative action, signifies agreement to the processing of personal data."</w:t>
      </w:r>
    </w:p>
    <w:p w14:paraId="15F9546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Special Categories of Data (GDPR Article 9(2)(a)):</w:t>
      </w:r>
    </w:p>
    <w:p w14:paraId="1927804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Consent must be explicit for processing data related to health or other sensitive personal data categories.</w:t>
      </w:r>
    </w:p>
    <w:p w14:paraId="1B72137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Application to ICTIMD Data:</w:t>
      </w:r>
    </w:p>
    <w:p w14:paraId="0261A1F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The complexities of ICTIMD environments require consent to meet cumulative conditions across GDPR, PECD, and EPR.</w:t>
      </w:r>
    </w:p>
    <w:p w14:paraId="76900DA5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B. Freely Given Consent</w:t>
      </w:r>
    </w:p>
    <w:p w14:paraId="0F686FA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Article 7(3) and Recital 42:</w:t>
      </w:r>
    </w:p>
    <w:p w14:paraId="348F211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The data subject must have a genuine choice, with no adverse consequences for refusal or withdrawal of consent.</w:t>
      </w:r>
    </w:p>
    <w:p w14:paraId="71F66D7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Challenges in ICTIMD Contexts:</w:t>
      </w:r>
    </w:p>
    <w:p w14:paraId="15D33C57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Patients are often in a vulnerable position, such as dependence on essential medical services, which limits their ability to refuse.</w:t>
      </w:r>
    </w:p>
    <w:p w14:paraId="63BE86A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WP29's Perspective:</w:t>
      </w:r>
    </w:p>
    <w:p w14:paraId="1F41C07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Consent given under the threat of reduced medical quality or non-treatment is invalid.</w:t>
      </w:r>
    </w:p>
    <w:p w14:paraId="388072D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Situational Imbalance:</w:t>
      </w:r>
    </w:p>
    <w:p w14:paraId="32C34A8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Vulnerabilities arise due to poor health, hierarchical dependencies, and reliance on healthcare providers or manufacturers.</w:t>
      </w:r>
    </w:p>
    <w:p w14:paraId="090EC00A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Transparency and Information:</w:t>
      </w:r>
    </w:p>
    <w:p w14:paraId="15E9EC7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lastRenderedPageBreak/>
        <w:t>While providing detailed information can partially address these imbalances, it alone does not ensure the legitimacy of consent.</w:t>
      </w:r>
    </w:p>
    <w:p w14:paraId="4A20765A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C. Informed Consent</w:t>
      </w:r>
    </w:p>
    <w:p w14:paraId="5A694997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Articles 13 and 14 and Recital 39:</w:t>
      </w:r>
    </w:p>
    <w:p w14:paraId="1438F91B" w14:textId="7EDDDA01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Data subjects must receive clear, accessible information, including:</w:t>
      </w:r>
    </w:p>
    <w:p w14:paraId="68B92CB7" w14:textId="7058F148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The origin of data, identity of the controller, categories of recipients, purposes of processing, risks, and rights.</w:t>
      </w:r>
    </w:p>
    <w:p w14:paraId="22F55341" w14:textId="19C93C04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Automated decision-making details (Article 22), such as profiling, logic involved, and consequences.</w:t>
      </w:r>
    </w:p>
    <w:p w14:paraId="3887B83C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Importance for ICTIMD:</w:t>
      </w:r>
    </w:p>
    <w:p w14:paraId="49B3A48C" w14:textId="60F2F4C3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Complexity and multi-stakeholder systems often obscure the full data journey.</w:t>
      </w:r>
    </w:p>
    <w:p w14:paraId="0BBC650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Challenges Noted by WP29:</w:t>
      </w:r>
    </w:p>
    <w:p w14:paraId="557C9309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Increasing use of personal data has become opaque for individuals, especially in complex ecosystems like ICTIMDs.</w:t>
      </w:r>
    </w:p>
    <w:p w14:paraId="2721A3C7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Examples:</w:t>
      </w:r>
    </w:p>
    <w:p w14:paraId="5094C529" w14:textId="63A4D82C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he Norwegian Consumer Council reported lengthy, difficult-to-understand consent terms for health apps (e.g., 6,653 words on average).</w:t>
      </w:r>
    </w:p>
    <w:p w14:paraId="765C94C0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D. Specified Purposes</w:t>
      </w:r>
    </w:p>
    <w:p w14:paraId="58C3884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Article 9(2)(a) and 5(1)(b):</w:t>
      </w:r>
    </w:p>
    <w:p w14:paraId="6050EA3B" w14:textId="26C277E5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Consent must be explicit for one or more specific and legitimate purposes.</w:t>
      </w:r>
    </w:p>
    <w:p w14:paraId="1B36C7BB" w14:textId="420F35C1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General purposes like “improving user experience” or “IT-security purposes” are insufficient.</w:t>
      </w:r>
    </w:p>
    <w:p w14:paraId="1F9912CC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ICTIMD-Specific Applications:</w:t>
      </w:r>
    </w:p>
    <w:p w14:paraId="4E72E8FC" w14:textId="231733DC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lastRenderedPageBreak/>
        <w:t>Devices like pacemakers are designed for specific purposes (e.g., heart rhythm monitoring). However, additional purposes like remote monitoring or device maintenance require detailed consent specifications.</w:t>
      </w:r>
    </w:p>
    <w:p w14:paraId="2960F353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Discovery-Driven Approaches:</w:t>
      </w:r>
    </w:p>
    <w:p w14:paraId="0763809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Broad data purposes, common with big data technologies, pose challenges for specificity.</w:t>
      </w:r>
    </w:p>
    <w:p w14:paraId="0F48AE4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Proposed Solutions:</w:t>
      </w:r>
    </w:p>
    <w:p w14:paraId="7252543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Adoption of dynamic consent models, where broad initial consent evolves into user-specified preferences.</w:t>
      </w:r>
    </w:p>
    <w:p w14:paraId="5B76E427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E. Explicit Consent</w:t>
      </w:r>
    </w:p>
    <w:p w14:paraId="7B1BA25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Requirements:</w:t>
      </w:r>
    </w:p>
    <w:p w14:paraId="6E2F5B83" w14:textId="022348FB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Implied or opt-out consent is inadequate for sensitive data.</w:t>
      </w:r>
    </w:p>
    <w:p w14:paraId="29D6991E" w14:textId="6839A545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Controllers must ensure robust methods of obtaining explicit consent (e.g., written or digital agreements).</w:t>
      </w:r>
    </w:p>
    <w:p w14:paraId="28BCD65D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EPR Article 9(2):</w:t>
      </w:r>
    </w:p>
    <w:p w14:paraId="6F7865AE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Permits technical settings in software to enable user consent, with transparency about privacy settings during installation.</w:t>
      </w:r>
    </w:p>
    <w:p w14:paraId="78E1B16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Concerns:</w:t>
      </w:r>
    </w:p>
    <w:p w14:paraId="055EC91B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Proposed EPR amendments (e.g., Article 4a(2a)) allow technical protocols to suffice when data subjects cannot be identified, raising risks of circumvention.</w:t>
      </w:r>
    </w:p>
    <w:p w14:paraId="2055D5D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F. Timing of Consent</w:t>
      </w:r>
    </w:p>
    <w:p w14:paraId="17F897E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GDPR Article 13(1):</w:t>
      </w:r>
    </w:p>
    <w:p w14:paraId="36E9599B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Consent must be obtained before data collection begins to ensure transparency.</w:t>
      </w:r>
    </w:p>
    <w:p w14:paraId="311F6879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Duration and Renewal:</w:t>
      </w:r>
    </w:p>
    <w:p w14:paraId="1CF7C9A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lastRenderedPageBreak/>
        <w:t>GDPR does not specify how long consent remains valid, but WP29 recommends refreshing consent periodically.</w:t>
      </w:r>
    </w:p>
    <w:p w14:paraId="68FF70B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EPR Proposals:</w:t>
      </w:r>
    </w:p>
    <w:p w14:paraId="2A93278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Early drafts suggested 6-month reminders, later revised to 12 months. These timeframes are considered insufficient for sensitive ICTIMD data, which may require updates every 6 months.</w:t>
      </w:r>
    </w:p>
    <w:p w14:paraId="6A5FDE6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Operational Challenges:</w:t>
      </w:r>
    </w:p>
    <w:p w14:paraId="7AE3DB0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ICTIMDs often process data continuously, necessitating systems to notify users regularly and update consent terms as needed.</w:t>
      </w:r>
    </w:p>
    <w:p w14:paraId="5CD7BD08" w14:textId="0E807617" w:rsidR="00E122C2" w:rsidRPr="00E122C2" w:rsidRDefault="00E122C2" w:rsidP="00035D6A">
      <w:pPr>
        <w:spacing w:after="240" w:line="360" w:lineRule="auto"/>
        <w:rPr>
          <w:rFonts w:ascii="Times New Roman" w:hAnsi="Times New Roman"/>
          <w:lang w:val="en-HK"/>
        </w:rPr>
      </w:pPr>
    </w:p>
    <w:p w14:paraId="5B7BCD7F" w14:textId="47D45138" w:rsidR="00E122C2" w:rsidRPr="00E122C2" w:rsidRDefault="00035D6A" w:rsidP="00035D6A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>
        <w:rPr>
          <w:rFonts w:ascii="Times New Roman" w:hAnsi="Times New Roman"/>
          <w:b/>
          <w:bCs/>
          <w:lang w:val="en-HK"/>
        </w:rPr>
        <w:t>4</w:t>
      </w:r>
      <w:r w:rsidR="00E122C2" w:rsidRPr="00E122C2">
        <w:rPr>
          <w:rFonts w:ascii="Times New Roman" w:hAnsi="Times New Roman"/>
          <w:b/>
          <w:bCs/>
          <w:lang w:val="en-HK"/>
        </w:rPr>
        <w:t>. Necessity as a Legal Ground for Processing ICTIMD Data</w:t>
      </w:r>
    </w:p>
    <w:p w14:paraId="679D07C8" w14:textId="77777777" w:rsidR="00035D6A" w:rsidRPr="00035D6A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A. Basis for Necessity</w:t>
      </w:r>
    </w:p>
    <w:p w14:paraId="21D7553B" w14:textId="69DD3DE9" w:rsidR="00035D6A" w:rsidRPr="00035D6A" w:rsidRDefault="00035D6A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35D6A">
        <w:rPr>
          <w:rFonts w:ascii="Times New Roman" w:hAnsi="Times New Roman"/>
        </w:rPr>
        <w:t xml:space="preserve">The GDPR Article 9(2) and PECD Article 5(3) or EPR Article 8 set forth some slightly differing purposes, of which the most relevant in our context is: </w:t>
      </w:r>
    </w:p>
    <w:p w14:paraId="5CED69E3" w14:textId="2DF5D672" w:rsidR="00035D6A" w:rsidRPr="00035D6A" w:rsidRDefault="00035D6A" w:rsidP="00035D6A">
      <w:pPr>
        <w:pStyle w:val="NormalWeb"/>
        <w:spacing w:after="240" w:afterAutospacing="0" w:line="360" w:lineRule="auto"/>
        <w:rPr>
          <w:position w:val="2"/>
        </w:rPr>
      </w:pPr>
      <w:r>
        <w:rPr>
          <w:position w:val="2"/>
        </w:rPr>
        <w:t xml:space="preserve">- </w:t>
      </w:r>
      <w:r w:rsidRPr="00035D6A">
        <w:rPr>
          <w:position w:val="2"/>
        </w:rPr>
        <w:t xml:space="preserve">Provision of a service requested by the user </w:t>
      </w:r>
    </w:p>
    <w:p w14:paraId="1B03FED0" w14:textId="230F23D5" w:rsidR="00035D6A" w:rsidRPr="00035D6A" w:rsidRDefault="00035D6A" w:rsidP="00035D6A">
      <w:pPr>
        <w:pStyle w:val="NormalWeb"/>
        <w:spacing w:after="240" w:afterAutospacing="0" w:line="360" w:lineRule="auto"/>
        <w:rPr>
          <w:position w:val="2"/>
        </w:rPr>
      </w:pPr>
      <w:r>
        <w:rPr>
          <w:position w:val="2"/>
        </w:rPr>
        <w:t xml:space="preserve">- </w:t>
      </w:r>
      <w:r w:rsidRPr="00035D6A">
        <w:rPr>
          <w:position w:val="2"/>
        </w:rPr>
        <w:t xml:space="preserve">Medical purposes based on law or contract with a healthcare professional </w:t>
      </w:r>
    </w:p>
    <w:p w14:paraId="035320C5" w14:textId="6F8FAAAE" w:rsidR="00035D6A" w:rsidRPr="00035D6A" w:rsidRDefault="00035D6A" w:rsidP="00035D6A">
      <w:pPr>
        <w:pStyle w:val="NormalWeb"/>
        <w:spacing w:after="240" w:afterAutospacing="0" w:line="360" w:lineRule="auto"/>
        <w:rPr>
          <w:position w:val="2"/>
        </w:rPr>
      </w:pPr>
      <w:r>
        <w:rPr>
          <w:position w:val="2"/>
        </w:rPr>
        <w:t xml:space="preserve">- </w:t>
      </w:r>
      <w:r w:rsidRPr="00035D6A">
        <w:rPr>
          <w:position w:val="2"/>
        </w:rPr>
        <w:t xml:space="preserve">Protecting the vital interests of the data subject </w:t>
      </w:r>
    </w:p>
    <w:p w14:paraId="711527B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B. Assessing Necessity</w:t>
      </w:r>
    </w:p>
    <w:p w14:paraId="53A0C77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Guidelines from EDPB:</w:t>
      </w:r>
    </w:p>
    <w:p w14:paraId="5A10ADA4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Necessity must be evaluated in light of privacy and data protection objectives.</w:t>
      </w:r>
    </w:p>
    <w:p w14:paraId="4CE25A1F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Data Minimization (GDPR Article 5(1)):</w:t>
      </w:r>
    </w:p>
    <w:p w14:paraId="22A84688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Processing is unnecessary if less intrusive alternatives exist.</w:t>
      </w:r>
    </w:p>
    <w:p w14:paraId="2CA69F2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lastRenderedPageBreak/>
        <w:t>C. Application to ICTIMDs</w:t>
      </w:r>
    </w:p>
    <w:p w14:paraId="0F339905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Examples:</w:t>
      </w:r>
    </w:p>
    <w:p w14:paraId="49821B19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Monitoring heart conditions or delivering essential medical alerts.</w:t>
      </w:r>
    </w:p>
    <w:p w14:paraId="1F567676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Challenges:</w:t>
      </w:r>
    </w:p>
    <w:p w14:paraId="530B4151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Determining necessity in complex, evolving healthcare systems.</w:t>
      </w:r>
    </w:p>
    <w:p w14:paraId="71D59FF5" w14:textId="2003EAF2" w:rsidR="00E122C2" w:rsidRPr="00E122C2" w:rsidRDefault="00E122C2" w:rsidP="00035D6A">
      <w:pPr>
        <w:spacing w:after="240" w:line="360" w:lineRule="auto"/>
        <w:rPr>
          <w:rFonts w:ascii="Times New Roman" w:hAnsi="Times New Roman"/>
          <w:lang w:val="en-HK"/>
        </w:rPr>
      </w:pPr>
    </w:p>
    <w:p w14:paraId="2B666A8C" w14:textId="77777777" w:rsidR="00E122C2" w:rsidRPr="00E122C2" w:rsidRDefault="00E122C2" w:rsidP="00035D6A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VI. Framework Suitability for ICTIMD Processing</w:t>
      </w:r>
    </w:p>
    <w:p w14:paraId="13124FF5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A. Gaps in Current Regulations</w:t>
      </w:r>
    </w:p>
    <w:p w14:paraId="40922E57" w14:textId="5FDCA68C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 xml:space="preserve">Lack of a vital interest exception in </w:t>
      </w:r>
      <w:proofErr w:type="spellStart"/>
      <w:r w:rsidR="00E122C2" w:rsidRPr="00E122C2">
        <w:rPr>
          <w:rFonts w:ascii="Times New Roman" w:hAnsi="Times New Roman"/>
          <w:lang w:val="en-HK"/>
        </w:rPr>
        <w:t>ePrivacy</w:t>
      </w:r>
      <w:proofErr w:type="spellEnd"/>
      <w:r w:rsidR="00E122C2" w:rsidRPr="00E122C2">
        <w:rPr>
          <w:rFonts w:ascii="Times New Roman" w:hAnsi="Times New Roman"/>
          <w:lang w:val="en-HK"/>
        </w:rPr>
        <w:t xml:space="preserve"> rules.</w:t>
      </w:r>
    </w:p>
    <w:p w14:paraId="43088C42" w14:textId="02C1272A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Challenges in obtaining and maintaining valid consent over time.</w:t>
      </w:r>
    </w:p>
    <w:p w14:paraId="39F992D9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B. Recommendations</w:t>
      </w:r>
    </w:p>
    <w:p w14:paraId="368364A0" w14:textId="065A4138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Dynamic Consent:</w:t>
      </w:r>
    </w:p>
    <w:p w14:paraId="69B82723" w14:textId="361D91FD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A flexible model allowing data subjects to refine preferences over time.</w:t>
      </w:r>
    </w:p>
    <w:p w14:paraId="58C261D3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Enhanced Integration:</w:t>
      </w:r>
    </w:p>
    <w:p w14:paraId="342FBC03" w14:textId="77777777" w:rsidR="00E122C2" w:rsidRPr="00E122C2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 xml:space="preserve">Stronger alignment between GDPR and </w:t>
      </w:r>
      <w:proofErr w:type="spellStart"/>
      <w:r w:rsidRPr="00E122C2">
        <w:rPr>
          <w:rFonts w:ascii="Times New Roman" w:hAnsi="Times New Roman"/>
          <w:lang w:val="en-HK"/>
        </w:rPr>
        <w:t>ePrivacy</w:t>
      </w:r>
      <w:proofErr w:type="spellEnd"/>
      <w:r w:rsidRPr="00E122C2">
        <w:rPr>
          <w:rFonts w:ascii="Times New Roman" w:hAnsi="Times New Roman"/>
          <w:lang w:val="en-HK"/>
        </w:rPr>
        <w:t xml:space="preserve"> provisions for seamless application.</w:t>
      </w:r>
    </w:p>
    <w:p w14:paraId="264C8932" w14:textId="77777777" w:rsidR="00E122C2" w:rsidRPr="00E122C2" w:rsidRDefault="00E122C2" w:rsidP="00035D6A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E122C2">
        <w:rPr>
          <w:rFonts w:ascii="Times New Roman" w:hAnsi="Times New Roman"/>
          <w:b/>
          <w:bCs/>
          <w:lang w:val="en-HK"/>
        </w:rPr>
        <w:t>C. Future Considerations</w:t>
      </w:r>
    </w:p>
    <w:p w14:paraId="61380F4A" w14:textId="30227916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Increasing reliance on AI and big data necessitates robust updates to privacy frameworks.</w:t>
      </w:r>
    </w:p>
    <w:p w14:paraId="3EAF78B4" w14:textId="4C92AB4D" w:rsidR="00E122C2" w:rsidRPr="00E122C2" w:rsidRDefault="00035D6A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lang w:val="en-HK"/>
        </w:rPr>
        <w:t xml:space="preserve">- </w:t>
      </w:r>
      <w:r w:rsidR="00E122C2" w:rsidRPr="00E122C2">
        <w:rPr>
          <w:rFonts w:ascii="Times New Roman" w:hAnsi="Times New Roman"/>
          <w:lang w:val="en-HK"/>
        </w:rPr>
        <w:t>Data Protection Impact Assessments (DPIAs):</w:t>
      </w:r>
    </w:p>
    <w:p w14:paraId="2EFBA056" w14:textId="794D5E6D" w:rsidR="00E122C2" w:rsidRPr="00035D6A" w:rsidRDefault="00E122C2" w:rsidP="00035D6A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E122C2">
        <w:rPr>
          <w:rFonts w:ascii="Times New Roman" w:hAnsi="Times New Roman"/>
          <w:lang w:val="en-HK"/>
        </w:rPr>
        <w:t>Proposed as a requirement for stakeholders processing ICTIMD data.</w:t>
      </w:r>
    </w:p>
    <w:p w14:paraId="4D1A0C75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307D81F4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47577C3E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57644C5B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41FAC23F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6B6BA6FE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06C55B6B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2276486E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p w14:paraId="64B24A1B" w14:textId="77777777" w:rsidR="00E122C2" w:rsidRPr="00035D6A" w:rsidRDefault="00E122C2" w:rsidP="00035D6A">
      <w:pPr>
        <w:spacing w:after="240" w:line="360" w:lineRule="auto"/>
        <w:rPr>
          <w:rFonts w:ascii="Times New Roman" w:hAnsi="Times New Roman"/>
        </w:rPr>
      </w:pPr>
    </w:p>
    <w:p w14:paraId="5C96B26D" w14:textId="77777777" w:rsidR="00E122C2" w:rsidRPr="00035D6A" w:rsidRDefault="00E122C2" w:rsidP="00035D6A">
      <w:pPr>
        <w:spacing w:after="240" w:line="360" w:lineRule="auto"/>
        <w:ind w:firstLine="720"/>
        <w:rPr>
          <w:rFonts w:ascii="Times New Roman" w:hAnsi="Times New Roman"/>
        </w:rPr>
      </w:pPr>
    </w:p>
    <w:sectPr w:rsidR="00E122C2" w:rsidRPr="00035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627F5"/>
    <w:multiLevelType w:val="multilevel"/>
    <w:tmpl w:val="19E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43F9"/>
    <w:multiLevelType w:val="multilevel"/>
    <w:tmpl w:val="CCB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F4F43"/>
    <w:multiLevelType w:val="multilevel"/>
    <w:tmpl w:val="09F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5118"/>
    <w:multiLevelType w:val="multilevel"/>
    <w:tmpl w:val="AC52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37D8"/>
    <w:multiLevelType w:val="multilevel"/>
    <w:tmpl w:val="39D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14228"/>
    <w:multiLevelType w:val="multilevel"/>
    <w:tmpl w:val="6D0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B23F5"/>
    <w:multiLevelType w:val="multilevel"/>
    <w:tmpl w:val="5942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1404F"/>
    <w:multiLevelType w:val="multilevel"/>
    <w:tmpl w:val="B51A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73B01"/>
    <w:multiLevelType w:val="multilevel"/>
    <w:tmpl w:val="B2A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C2F12"/>
    <w:multiLevelType w:val="multilevel"/>
    <w:tmpl w:val="F6B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A79BF"/>
    <w:multiLevelType w:val="multilevel"/>
    <w:tmpl w:val="BC6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C614C"/>
    <w:multiLevelType w:val="multilevel"/>
    <w:tmpl w:val="C70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32D73"/>
    <w:multiLevelType w:val="multilevel"/>
    <w:tmpl w:val="9C4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D7E7D"/>
    <w:multiLevelType w:val="multilevel"/>
    <w:tmpl w:val="953E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A7C21"/>
    <w:multiLevelType w:val="multilevel"/>
    <w:tmpl w:val="C43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06CFF"/>
    <w:multiLevelType w:val="multilevel"/>
    <w:tmpl w:val="76E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85237"/>
    <w:multiLevelType w:val="multilevel"/>
    <w:tmpl w:val="7B16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54296"/>
    <w:multiLevelType w:val="multilevel"/>
    <w:tmpl w:val="819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77F08"/>
    <w:multiLevelType w:val="multilevel"/>
    <w:tmpl w:val="6DD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44F82"/>
    <w:multiLevelType w:val="multilevel"/>
    <w:tmpl w:val="F14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331254">
    <w:abstractNumId w:val="6"/>
  </w:num>
  <w:num w:numId="2" w16cid:durableId="546187258">
    <w:abstractNumId w:val="14"/>
  </w:num>
  <w:num w:numId="3" w16cid:durableId="562133441">
    <w:abstractNumId w:val="17"/>
  </w:num>
  <w:num w:numId="4" w16cid:durableId="118762586">
    <w:abstractNumId w:val="9"/>
  </w:num>
  <w:num w:numId="5" w16cid:durableId="1262034233">
    <w:abstractNumId w:val="5"/>
  </w:num>
  <w:num w:numId="6" w16cid:durableId="1583102991">
    <w:abstractNumId w:val="11"/>
  </w:num>
  <w:num w:numId="7" w16cid:durableId="202527093">
    <w:abstractNumId w:val="12"/>
  </w:num>
  <w:num w:numId="8" w16cid:durableId="1027371842">
    <w:abstractNumId w:val="10"/>
  </w:num>
  <w:num w:numId="9" w16cid:durableId="2067679843">
    <w:abstractNumId w:val="18"/>
  </w:num>
  <w:num w:numId="10" w16cid:durableId="1624918721">
    <w:abstractNumId w:val="19"/>
  </w:num>
  <w:num w:numId="11" w16cid:durableId="917640153">
    <w:abstractNumId w:val="3"/>
  </w:num>
  <w:num w:numId="12" w16cid:durableId="445320240">
    <w:abstractNumId w:val="1"/>
  </w:num>
  <w:num w:numId="13" w16cid:durableId="1969361298">
    <w:abstractNumId w:val="13"/>
  </w:num>
  <w:num w:numId="14" w16cid:durableId="858351769">
    <w:abstractNumId w:val="15"/>
  </w:num>
  <w:num w:numId="15" w16cid:durableId="416445001">
    <w:abstractNumId w:val="2"/>
  </w:num>
  <w:num w:numId="16" w16cid:durableId="573442316">
    <w:abstractNumId w:val="4"/>
  </w:num>
  <w:num w:numId="17" w16cid:durableId="1181313187">
    <w:abstractNumId w:val="16"/>
  </w:num>
  <w:num w:numId="18" w16cid:durableId="1703557224">
    <w:abstractNumId w:val="0"/>
  </w:num>
  <w:num w:numId="19" w16cid:durableId="671950532">
    <w:abstractNumId w:val="8"/>
  </w:num>
  <w:num w:numId="20" w16cid:durableId="54668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72"/>
    <w:rsid w:val="000147A9"/>
    <w:rsid w:val="00035D6A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55472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22C2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BD2"/>
  <w15:chartTrackingRefBased/>
  <w15:docId w15:val="{70B14814-7F26-5E40-943E-C25FADCAE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4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4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7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547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5547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7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7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7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7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7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55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7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7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55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7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15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7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5547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22C2"/>
    <w:rPr>
      <w:b/>
      <w:bCs/>
    </w:rPr>
  </w:style>
  <w:style w:type="paragraph" w:styleId="NormalWeb">
    <w:name w:val="Normal (Web)"/>
    <w:basedOn w:val="Normal"/>
    <w:uiPriority w:val="99"/>
    <w:unhideWhenUsed/>
    <w:rsid w:val="00E122C2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E122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4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1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9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2024-11-27T15:45:00Z</dcterms:created>
  <dcterms:modified xsi:type="dcterms:W3CDTF">2024-11-27T16:22:00Z</dcterms:modified>
</cp:coreProperties>
</file>