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5D1BB" w14:textId="7DE1FB37" w:rsidR="0068380C" w:rsidRPr="003E1CB7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:u w:val="single"/>
          <w14:ligatures w14:val="standardContextual"/>
        </w:rPr>
      </w:pPr>
      <w:r w:rsidRPr="003E1CB7">
        <w:rPr>
          <w:rFonts w:ascii="Times New Roman" w:eastAsiaTheme="minorEastAsia" w:hAnsi="Times New Roman"/>
          <w:b/>
          <w:bCs/>
          <w:u w:val="single"/>
          <w14:ligatures w14:val="standardContextual"/>
        </w:rPr>
        <w:t>1. The Medical Devices Directive (MDD)</w:t>
      </w:r>
    </w:p>
    <w:p w14:paraId="0ECBBB8B" w14:textId="77777777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Definition and Purpose:</w:t>
      </w:r>
    </w:p>
    <w:p w14:paraId="38E67759" w14:textId="77777777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The MDD (Directive 93/42/EEC) provides the regulatory framework for medical devices within the EU.</w:t>
      </w:r>
    </w:p>
    <w:p w14:paraId="7C7D5F7B" w14:textId="77777777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Purpose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70C4DCD4" w14:textId="3A67DF11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1. Harmonize regulations across Member States to ensure the free movement of medical devices within the EU.</w:t>
      </w:r>
    </w:p>
    <w:p w14:paraId="4B58A77A" w14:textId="4D8EE272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2. Protect public health by setting minimum safety and performance standards for medical devices.</w:t>
      </w:r>
    </w:p>
    <w:p w14:paraId="231DD3E8" w14:textId="77777777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Scope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4A5723ED" w14:textId="2C12DD64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Covers instruments, appliances, software, and other devices intended by manufacturers for medical purposes, such as diagnosis, prevention, treatment, or alleviation of diseases.</w:t>
      </w:r>
    </w:p>
    <w:p w14:paraId="0C0A213A" w14:textId="332BD453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Includes devices used for monitoring and controlling conception.</w:t>
      </w:r>
    </w:p>
    <w:p w14:paraId="7BA977A6" w14:textId="77777777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Usage:</w:t>
      </w:r>
    </w:p>
    <w:p w14:paraId="2F600362" w14:textId="7A586FB3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 xml:space="preserve">- Devices that meet the directive's requirements are awarded a </w:t>
      </w: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CE marking</w:t>
      </w:r>
      <w:r w:rsidRPr="00B64A1A">
        <w:rPr>
          <w:rFonts w:ascii="Times New Roman" w:eastAsiaTheme="minorEastAsia" w:hAnsi="Times New Roman"/>
          <w14:ligatures w14:val="standardContextual"/>
        </w:rPr>
        <w:t>, which allows them to be marketed across the EU without additional national barriers.</w:t>
      </w:r>
    </w:p>
    <w:p w14:paraId="116E859F" w14:textId="08BDBF97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The directive applies to both physical devices and stand-alone software, provided they serve a specific medical purpose.</w:t>
      </w:r>
    </w:p>
    <w:p w14:paraId="3AB7B521" w14:textId="402551B0" w:rsidR="003E1CB7" w:rsidRPr="00B64A1A" w:rsidRDefault="003E1CB7" w:rsidP="003E1CB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E1CB7">
        <w:rPr>
          <w:rFonts w:ascii="Times New Roman" w:eastAsiaTheme="minorEastAsia" w:hAnsi="Times New Roman"/>
          <w:b/>
          <w:bCs/>
          <w14:ligatures w14:val="standardContextual"/>
        </w:rPr>
        <w:sym w:font="Wingdings" w:char="F0E0"/>
      </w: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 </w:t>
      </w: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Core Interpretation of Article 1(1) and 1(2)(a) of the MDD</w:t>
      </w:r>
    </w:p>
    <w:p w14:paraId="34AC7AEC" w14:textId="77777777" w:rsidR="003E1CB7" w:rsidRPr="00B64A1A" w:rsidRDefault="003E1CB7" w:rsidP="003E1CB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General Scope:</w:t>
      </w:r>
    </w:p>
    <w:p w14:paraId="57F47198" w14:textId="77777777" w:rsidR="003E1CB7" w:rsidRPr="00B64A1A" w:rsidRDefault="003E1CB7" w:rsidP="003E1CB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Article 1(1)</w:t>
      </w:r>
      <w:r w:rsidRPr="00B64A1A">
        <w:rPr>
          <w:rFonts w:ascii="Times New Roman" w:eastAsiaTheme="minorEastAsia" w:hAnsi="Times New Roman"/>
          <w14:ligatures w14:val="standardContextual"/>
        </w:rPr>
        <w:t xml:space="preserve"> defines the directive's scope, stating that it applies to medical devices intended by the manufacturer for specific medical purposes, such as diagnosis, prevention, monitoring, or treatment of diseases.</w:t>
      </w:r>
    </w:p>
    <w:p w14:paraId="57B6C775" w14:textId="77777777" w:rsidR="003E1CB7" w:rsidRPr="00B64A1A" w:rsidRDefault="003E1CB7" w:rsidP="003E1CB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lastRenderedPageBreak/>
        <w:t>- This scope covers all types of medical devices, including physical instruments, tools, and stand-alone software.</w:t>
      </w:r>
    </w:p>
    <w:p w14:paraId="1A0EBB48" w14:textId="77777777" w:rsidR="003E1CB7" w:rsidRPr="00B64A1A" w:rsidRDefault="003E1CB7" w:rsidP="003E1CB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Specific Relevance to Software:</w:t>
      </w:r>
    </w:p>
    <w:p w14:paraId="42338296" w14:textId="77777777" w:rsidR="003E1CB7" w:rsidRPr="00B64A1A" w:rsidRDefault="003E1CB7" w:rsidP="003E1CB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Article 1(2)(a)</w:t>
      </w:r>
      <w:r w:rsidRPr="00B64A1A">
        <w:rPr>
          <w:rFonts w:ascii="Times New Roman" w:eastAsiaTheme="minorEastAsia" w:hAnsi="Times New Roman"/>
          <w14:ligatures w14:val="standardContextual"/>
        </w:rPr>
        <w:t xml:space="preserve"> provides a definition of what constitutes a "medical device." It states that any instrument, apparatus, or software intended for medical purposes qualifies as a medical device.</w:t>
      </w:r>
    </w:p>
    <w:p w14:paraId="4D258EA1" w14:textId="77777777" w:rsidR="003E1CB7" w:rsidRPr="00B64A1A" w:rsidRDefault="003E1CB7" w:rsidP="003E1CB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1. Uses patient-specific data: The software must process data tailored to individual patients.</w:t>
      </w:r>
    </w:p>
    <w:p w14:paraId="34DDA409" w14:textId="77777777" w:rsidR="003E1CB7" w:rsidRPr="00B64A1A" w:rsidRDefault="003E1CB7" w:rsidP="003E1CB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2. Serves a medical purpose: For example, detecting contraindications, drug interactions, or excessive dosages.</w:t>
      </w:r>
    </w:p>
    <w:p w14:paraId="35EAB62D" w14:textId="77777777" w:rsidR="003E1CB7" w:rsidRPr="00B64A1A" w:rsidRDefault="003E1CB7" w:rsidP="003E1CB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3. Does not act directly in or on the human body: Unlike traditional medical devices like implants or surgical tools, software may operate indirectly by providing diagnostic or decision-support information.</w:t>
      </w:r>
    </w:p>
    <w:p w14:paraId="2541A339" w14:textId="77777777" w:rsidR="003E1CB7" w:rsidRDefault="003E1CB7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4FADDBD" w14:textId="72BBAF51" w:rsidR="0068380C" w:rsidRPr="003E1CB7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:u w:val="single"/>
          <w14:ligatures w14:val="standardContextual"/>
        </w:rPr>
      </w:pPr>
      <w:r w:rsidRPr="003E1CB7">
        <w:rPr>
          <w:rFonts w:ascii="Times New Roman" w:eastAsiaTheme="minorEastAsia" w:hAnsi="Times New Roman"/>
          <w:b/>
          <w:bCs/>
          <w:u w:val="single"/>
          <w14:ligatures w14:val="standardContextual"/>
        </w:rPr>
        <w:t>2. The Medical Devices Regulation (MDR)</w:t>
      </w:r>
    </w:p>
    <w:p w14:paraId="07197D38" w14:textId="77777777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Adopted in 2017, the MDR replaced the MDD in 2020.</w:t>
      </w:r>
    </w:p>
    <w:p w14:paraId="77E593D9" w14:textId="626D34A3" w:rsidR="0068380C" w:rsidRDefault="003E1CB7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u w:val="single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Art.2: </w:t>
      </w:r>
      <w:r w:rsidR="0068380C" w:rsidRPr="00B64A1A">
        <w:rPr>
          <w:rFonts w:ascii="Times New Roman" w:eastAsiaTheme="minorEastAsia" w:hAnsi="Times New Roman"/>
          <w14:ligatures w14:val="standardContextual"/>
        </w:rPr>
        <w:t xml:space="preserve">Expanded definitions to include software used for </w:t>
      </w:r>
      <w:r w:rsidR="0068380C" w:rsidRPr="003E1CB7">
        <w:rPr>
          <w:rFonts w:ascii="Times New Roman" w:eastAsiaTheme="minorEastAsia" w:hAnsi="Times New Roman"/>
          <w:u w:val="single"/>
          <w14:ligatures w14:val="standardContextual"/>
        </w:rPr>
        <w:t>prediction and prognosis in healthcare.</w:t>
      </w:r>
    </w:p>
    <w:p w14:paraId="3647E719" w14:textId="3C73CA9F" w:rsidR="003E1CB7" w:rsidRPr="003E1CB7" w:rsidRDefault="003E1CB7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E1CB7">
        <w:rPr>
          <w:rFonts w:ascii="Times New Roman" w:eastAsiaTheme="minorEastAsia" w:hAnsi="Times New Roman"/>
          <w14:ligatures w14:val="standardContextual"/>
        </w:rPr>
        <w:t>2. MDR states in its Recital 19 that ‘software for general purposes, even when used in a health care setting, or software intended for lifestyle and well-being purposes is not a medical device’</w:t>
      </w:r>
      <w:r>
        <w:rPr>
          <w:rFonts w:ascii="Times New Roman" w:eastAsiaTheme="minorEastAsia" w:hAnsi="Times New Roman"/>
          <w14:ligatures w14:val="standardContextual"/>
        </w:rPr>
        <w:t xml:space="preserve">. </w:t>
      </w:r>
    </w:p>
    <w:p w14:paraId="09ACCBFD" w14:textId="77777777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469FEDD6" w14:textId="50C52000" w:rsidR="00B64A1A" w:rsidRDefault="00B64A1A" w:rsidP="003E1CB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5E84F224" w14:textId="77777777" w:rsidR="00B64A1A" w:rsidRDefault="00B64A1A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F20CF37" w14:textId="77777777" w:rsidR="003E1CB7" w:rsidRDefault="003E1CB7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451A6334" w14:textId="7023AC9A" w:rsidR="0068380C" w:rsidRPr="003E1CB7" w:rsidRDefault="003E1CB7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:u w:val="single"/>
          <w14:ligatures w14:val="standardContextual"/>
        </w:rPr>
      </w:pPr>
      <w:r w:rsidRPr="003E1CB7">
        <w:rPr>
          <w:rFonts w:ascii="Times New Roman" w:eastAsiaTheme="minorEastAsia" w:hAnsi="Times New Roman"/>
          <w:b/>
          <w:bCs/>
          <w:u w:val="single"/>
          <w14:ligatures w14:val="standardContextual"/>
        </w:rPr>
        <w:lastRenderedPageBreak/>
        <w:t>3</w:t>
      </w:r>
      <w:r w:rsidR="0068380C" w:rsidRPr="003E1CB7">
        <w:rPr>
          <w:rFonts w:ascii="Times New Roman" w:eastAsiaTheme="minorEastAsia" w:hAnsi="Times New Roman"/>
          <w:b/>
          <w:bCs/>
          <w:u w:val="single"/>
          <w14:ligatures w14:val="standardContextual"/>
        </w:rPr>
        <w:t>. SNITEM Case: Facts, Issues, and Arguments</w:t>
      </w:r>
    </w:p>
    <w:p w14:paraId="205CA7DF" w14:textId="77777777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Facts:</w:t>
      </w:r>
    </w:p>
    <w:p w14:paraId="1DA0D1A8" w14:textId="77777777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Parties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3D97E3FC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SNITEM</w:t>
      </w:r>
      <w:r w:rsidRPr="00B64A1A">
        <w:rPr>
          <w:rFonts w:ascii="Times New Roman" w:eastAsiaTheme="minorEastAsia" w:hAnsi="Times New Roman"/>
          <w14:ligatures w14:val="standardContextual"/>
        </w:rPr>
        <w:t>: A French medical technology association.</w:t>
      </w:r>
    </w:p>
    <w:p w14:paraId="07121F1B" w14:textId="62F9314B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Philips France</w:t>
      </w:r>
      <w:r w:rsidRPr="00B64A1A">
        <w:rPr>
          <w:rFonts w:ascii="Times New Roman" w:eastAsiaTheme="minorEastAsia" w:hAnsi="Times New Roman"/>
          <w14:ligatures w14:val="standardContextual"/>
        </w:rPr>
        <w:t xml:space="preserve">: A manufacturer of the </w:t>
      </w:r>
      <w:proofErr w:type="spellStart"/>
      <w:r w:rsidRPr="00B64A1A">
        <w:rPr>
          <w:rFonts w:ascii="Times New Roman" w:eastAsiaTheme="minorEastAsia" w:hAnsi="Times New Roman"/>
          <w:i/>
          <w:iCs/>
          <w14:ligatures w14:val="standardContextual"/>
        </w:rPr>
        <w:t>Intellispace</w:t>
      </w:r>
      <w:proofErr w:type="spellEnd"/>
      <w:r w:rsidRPr="00B64A1A">
        <w:rPr>
          <w:rFonts w:ascii="Times New Roman" w:eastAsiaTheme="minorEastAsia" w:hAnsi="Times New Roman"/>
          <w:i/>
          <w:iCs/>
          <w14:ligatures w14:val="standardContextual"/>
        </w:rPr>
        <w:t xml:space="preserve"> Critical Care and </w:t>
      </w:r>
      <w:proofErr w:type="spellStart"/>
      <w:r w:rsidRPr="00B64A1A">
        <w:rPr>
          <w:rFonts w:ascii="Times New Roman" w:eastAsiaTheme="minorEastAsia" w:hAnsi="Times New Roman"/>
          <w:i/>
          <w:iCs/>
          <w14:ligatures w14:val="standardContextual"/>
        </w:rPr>
        <w:t>Anesthesia</w:t>
      </w:r>
      <w:proofErr w:type="spellEnd"/>
      <w:r w:rsidRPr="00B64A1A">
        <w:rPr>
          <w:rFonts w:ascii="Times New Roman" w:eastAsiaTheme="minorEastAsia" w:hAnsi="Times New Roman"/>
          <w14:ligatures w14:val="standardContextual"/>
        </w:rPr>
        <w:t xml:space="preserve"> (ICCA) software.</w:t>
      </w:r>
    </w:p>
    <w:p w14:paraId="5D3FF924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 xml:space="preserve">French government and its Haute </w:t>
      </w:r>
      <w:proofErr w:type="spellStart"/>
      <w:r w:rsidRPr="00B64A1A">
        <w:rPr>
          <w:rFonts w:ascii="Times New Roman" w:eastAsiaTheme="minorEastAsia" w:hAnsi="Times New Roman"/>
          <w14:ligatures w14:val="standardContextual"/>
        </w:rPr>
        <w:t>Autorité</w:t>
      </w:r>
      <w:proofErr w:type="spellEnd"/>
      <w:r w:rsidRPr="00B64A1A">
        <w:rPr>
          <w:rFonts w:ascii="Times New Roman" w:eastAsiaTheme="minorEastAsia" w:hAnsi="Times New Roman"/>
          <w14:ligatures w14:val="standardContextual"/>
        </w:rPr>
        <w:t xml:space="preserve"> de </w:t>
      </w:r>
      <w:proofErr w:type="spellStart"/>
      <w:r w:rsidRPr="00B64A1A">
        <w:rPr>
          <w:rFonts w:ascii="Times New Roman" w:eastAsiaTheme="minorEastAsia" w:hAnsi="Times New Roman"/>
          <w14:ligatures w14:val="standardContextual"/>
        </w:rPr>
        <w:t>Santé</w:t>
      </w:r>
      <w:proofErr w:type="spellEnd"/>
      <w:r w:rsidRPr="00B64A1A">
        <w:rPr>
          <w:rFonts w:ascii="Times New Roman" w:eastAsiaTheme="minorEastAsia" w:hAnsi="Times New Roman"/>
          <w14:ligatures w14:val="standardContextual"/>
        </w:rPr>
        <w:t xml:space="preserve"> (High Health Authority), which required additional certification for CE-marked medical software.</w:t>
      </w:r>
    </w:p>
    <w:p w14:paraId="7A45CBF7" w14:textId="77777777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Dispute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62AEC687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 xml:space="preserve">ICCA is a prescription assistance software that </w:t>
      </w:r>
      <w:proofErr w:type="spellStart"/>
      <w:r w:rsidRPr="00B64A1A">
        <w:rPr>
          <w:rFonts w:ascii="Times New Roman" w:eastAsiaTheme="minorEastAsia" w:hAnsi="Times New Roman"/>
          <w14:ligatures w14:val="standardContextual"/>
        </w:rPr>
        <w:t>analyzes</w:t>
      </w:r>
      <w:proofErr w:type="spellEnd"/>
      <w:r w:rsidRPr="00B64A1A">
        <w:rPr>
          <w:rFonts w:ascii="Times New Roman" w:eastAsiaTheme="minorEastAsia" w:hAnsi="Times New Roman"/>
          <w14:ligatures w14:val="standardContextual"/>
        </w:rPr>
        <w:t xml:space="preserve"> patient data to detect contraindications, interactions, and dosages.</w:t>
      </w:r>
    </w:p>
    <w:p w14:paraId="6603165D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While the software had a CE marking, the French decree required it to undergo additional national certification.</w:t>
      </w:r>
    </w:p>
    <w:p w14:paraId="1F7DC827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SNITEM and Philips France argued this breached the MDD, which prohibits Member States from imposing barriers to CE-marked devices.</w:t>
      </w:r>
    </w:p>
    <w:p w14:paraId="377435E4" w14:textId="77777777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Legal Question:</w:t>
      </w:r>
    </w:p>
    <w:p w14:paraId="00444EBD" w14:textId="77777777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Does software that does not act directly on the human body but supports medical decisions qualify as a medical device under Article 1(2)(a) of the MDD?</w:t>
      </w:r>
    </w:p>
    <w:p w14:paraId="4595E013" w14:textId="77777777" w:rsidR="0068380C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35F5C0B5" w14:textId="77777777" w:rsidR="00B64A1A" w:rsidRDefault="00B64A1A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43BCEEC" w14:textId="77777777" w:rsidR="00B64A1A" w:rsidRDefault="00B64A1A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44BB1A06" w14:textId="77777777" w:rsidR="00B64A1A" w:rsidRPr="00B64A1A" w:rsidRDefault="00B64A1A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3BB8BE8" w14:textId="629580EF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Advocate General’s (AG) Opinion</w:t>
      </w:r>
    </w:p>
    <w:p w14:paraId="2CF326DD" w14:textId="77777777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The Advocate General, Campos Sánchez-</w:t>
      </w:r>
      <w:proofErr w:type="spellStart"/>
      <w:r w:rsidRPr="00B64A1A">
        <w:rPr>
          <w:rFonts w:ascii="Times New Roman" w:eastAsiaTheme="minorEastAsia" w:hAnsi="Times New Roman"/>
          <w14:ligatures w14:val="standardContextual"/>
        </w:rPr>
        <w:t>Bordona</w:t>
      </w:r>
      <w:proofErr w:type="spellEnd"/>
      <w:r w:rsidRPr="00B64A1A">
        <w:rPr>
          <w:rFonts w:ascii="Times New Roman" w:eastAsiaTheme="minorEastAsia" w:hAnsi="Times New Roman"/>
          <w14:ligatures w14:val="standardContextual"/>
        </w:rPr>
        <w:t>, issued a non-binding opinion that guided the court’s decision.</w:t>
      </w:r>
    </w:p>
    <w:p w14:paraId="0726AF20" w14:textId="77777777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Key Points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721912FF" w14:textId="6229C8D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1. Definition of a Medical Device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46FABF91" w14:textId="412AC117" w:rsidR="0068380C" w:rsidRPr="00B64A1A" w:rsidRDefault="0068380C" w:rsidP="00B64A1A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 xml:space="preserve">- Must have a medical purpose, such as use in humans for the purposes of diagnosis, prevention, monitoring, treatment, or alleviation of disease. </w:t>
      </w:r>
    </w:p>
    <w:p w14:paraId="1C93EBFA" w14:textId="27B42B7C" w:rsidR="0068380C" w:rsidRPr="00B64A1A" w:rsidRDefault="0068380C" w:rsidP="00B64A1A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In particular by means of calculation, quantification or comparison of the recorded data against certain references in order to provide information about a particular patient.</w:t>
      </w:r>
    </w:p>
    <w:p w14:paraId="639BA0B9" w14:textId="27B1E82D" w:rsidR="0068380C" w:rsidRPr="00B64A1A" w:rsidRDefault="00FC6D78" w:rsidP="00B64A1A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Includes software for the ‘prediction’ and ‘</w:t>
      </w:r>
      <w:proofErr w:type="gramStart"/>
      <w:r w:rsidRPr="00B64A1A">
        <w:rPr>
          <w:rFonts w:ascii="Times New Roman" w:eastAsiaTheme="minorEastAsia" w:hAnsi="Times New Roman"/>
          <w14:ligatures w14:val="standardContextual"/>
        </w:rPr>
        <w:t>prognosis’</w:t>
      </w:r>
      <w:proofErr w:type="gramEnd"/>
      <w:r w:rsidRPr="00B64A1A">
        <w:rPr>
          <w:rFonts w:ascii="Times New Roman" w:eastAsiaTheme="minorEastAsia" w:hAnsi="Times New Roman"/>
          <w14:ligatures w14:val="standardContextual"/>
        </w:rPr>
        <w:t xml:space="preserve"> of disease in the medical device definition in Article 2 MDR</w:t>
      </w:r>
    </w:p>
    <w:p w14:paraId="71D0A88A" w14:textId="42DE170C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2. CE Marking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6CDEA45A" w14:textId="3DD8A284" w:rsidR="0068380C" w:rsidRPr="00B64A1A" w:rsidRDefault="0068380C" w:rsidP="00B64A1A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Implies conformity with EU standards, allowing free movement within the EU.</w:t>
      </w:r>
    </w:p>
    <w:p w14:paraId="3453F207" w14:textId="2B5D83C1" w:rsidR="0068380C" w:rsidRPr="00B64A1A" w:rsidRDefault="0068380C" w:rsidP="00B64A1A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 xml:space="preserve">- </w:t>
      </w:r>
      <w:r w:rsidRPr="00B64A1A">
        <w:rPr>
          <w:rFonts w:ascii="Times New Roman" w:eastAsiaTheme="minorEastAsia" w:hAnsi="Times New Roman"/>
          <w:u w:val="single"/>
          <w14:ligatures w14:val="standardContextual"/>
        </w:rPr>
        <w:t>Additional</w:t>
      </w:r>
      <w:r w:rsidRPr="00B64A1A">
        <w:rPr>
          <w:rFonts w:ascii="Times New Roman" w:eastAsiaTheme="minorEastAsia" w:hAnsi="Times New Roman"/>
          <w14:ligatures w14:val="standardContextual"/>
        </w:rPr>
        <w:t xml:space="preserve"> national certification undermines the directive’s harmonization goal.</w:t>
      </w:r>
    </w:p>
    <w:p w14:paraId="1378CE96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Analysis of ICCA Software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1C9A1461" w14:textId="14F0AFE7" w:rsidR="0068380C" w:rsidRPr="00B64A1A" w:rsidRDefault="0068380C" w:rsidP="00B64A1A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 xml:space="preserve">- The ICCA software aids in prescribing drugs by </w:t>
      </w:r>
      <w:proofErr w:type="spellStart"/>
      <w:r w:rsidRPr="00B64A1A">
        <w:rPr>
          <w:rFonts w:ascii="Times New Roman" w:eastAsiaTheme="minorEastAsia" w:hAnsi="Times New Roman"/>
          <w14:ligatures w14:val="standardContextual"/>
        </w:rPr>
        <w:t>analyzing</w:t>
      </w:r>
      <w:proofErr w:type="spellEnd"/>
      <w:r w:rsidRPr="00B64A1A">
        <w:rPr>
          <w:rFonts w:ascii="Times New Roman" w:eastAsiaTheme="minorEastAsia" w:hAnsi="Times New Roman"/>
          <w14:ligatures w14:val="standardContextual"/>
        </w:rPr>
        <w:t xml:space="preserve"> patient-specific data, aligning with the directive’s purpose.</w:t>
      </w:r>
    </w:p>
    <w:p w14:paraId="23F458A6" w14:textId="06E0DC5F" w:rsidR="0068380C" w:rsidRPr="00B64A1A" w:rsidRDefault="0068380C" w:rsidP="00B64A1A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Goes beyond simple data storage, providing actionable medical information.</w:t>
      </w:r>
    </w:p>
    <w:p w14:paraId="000C8EFC" w14:textId="77777777" w:rsidR="00B64A1A" w:rsidRDefault="00B64A1A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760DB95C" w14:textId="77777777" w:rsidR="00B64A1A" w:rsidRDefault="00B64A1A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45EEBEDC" w14:textId="77777777" w:rsidR="00B64A1A" w:rsidRDefault="00B64A1A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339F903F" w14:textId="77777777" w:rsidR="00B64A1A" w:rsidRPr="00B64A1A" w:rsidRDefault="00B64A1A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6FF9ABD9" w14:textId="7B72D970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CJEU Judgment</w:t>
      </w:r>
    </w:p>
    <w:p w14:paraId="584291FA" w14:textId="77777777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The CJEU followed the AG’s reasoning and ruled that:</w:t>
      </w:r>
    </w:p>
    <w:p w14:paraId="0CE6FE1D" w14:textId="25DC2B4F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1. Intended Purpose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14AF4D4B" w14:textId="77777777" w:rsidR="0068380C" w:rsidRPr="00B64A1A" w:rsidRDefault="0068380C" w:rsidP="00B64A1A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Software qualifies as a medical device if the manufacturer declares a medical purpose, such as diagnosis or treatment, even if it does not act directly on the human body.</w:t>
      </w:r>
    </w:p>
    <w:p w14:paraId="2434F6E9" w14:textId="542BD7CC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2. Free Movement of Goods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1EF1191F" w14:textId="77777777" w:rsidR="0068380C" w:rsidRPr="00B64A1A" w:rsidRDefault="0068380C" w:rsidP="00B64A1A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CE-marked devices must circulate freely across the EU without additional national barriers unless public health risks are established.</w:t>
      </w:r>
    </w:p>
    <w:p w14:paraId="225D70E3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Application to ICCA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73C49EAC" w14:textId="7CD5FF3C" w:rsidR="0068380C" w:rsidRPr="00B64A1A" w:rsidRDefault="0068380C" w:rsidP="00B64A1A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The ICCA software met the criteria as it processed patient-specific data to assist in diagnosing and prescribing, fulfilling a therapeutic purpose.</w:t>
      </w:r>
    </w:p>
    <w:p w14:paraId="590830E2" w14:textId="7237DB91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</w:p>
    <w:p w14:paraId="2CF79CD0" w14:textId="66441115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1. Manufacturer's Intent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32479049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The intended use of the device, as defined by the manufacturer, determines whether it qualifies as a medical device.</w:t>
      </w:r>
    </w:p>
    <w:p w14:paraId="7E770740" w14:textId="260EC48B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2. Functionality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375E0E13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Stand-alone software that processes data to provide medical insights is distinct from software performing administrative tasks like storage or communication.</w:t>
      </w:r>
    </w:p>
    <w:p w14:paraId="2E4EB111" w14:textId="4407D689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3. Regulatory Harmonization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1BEB9B91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Additional certification undermines the harmonization goals of the MDD, as CE marking already ensures compliance with EU standards.</w:t>
      </w:r>
    </w:p>
    <w:p w14:paraId="38BBBA9B" w14:textId="36EB1F01" w:rsidR="0068380C" w:rsidRPr="00B64A1A" w:rsidRDefault="00B64A1A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sym w:font="Wingdings" w:char="F0E0"/>
      </w: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 </w:t>
      </w:r>
      <w:r w:rsidR="0068380C" w:rsidRPr="00B64A1A">
        <w:rPr>
          <w:rFonts w:ascii="Times New Roman" w:eastAsiaTheme="minorEastAsia" w:hAnsi="Times New Roman"/>
          <w:b/>
          <w:bCs/>
          <w14:ligatures w14:val="standardContextual"/>
        </w:rPr>
        <w:t>Supporting Case Law:</w:t>
      </w:r>
    </w:p>
    <w:p w14:paraId="14F2973D" w14:textId="325FA402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1. Brain Products Case (C-219/11)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39A0CB37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Established that software must serve a medical purpose to qualify as a medical device.</w:t>
      </w:r>
    </w:p>
    <w:p w14:paraId="68A0BE77" w14:textId="25E378B1" w:rsidR="0068380C" w:rsidRPr="00B64A1A" w:rsidRDefault="00FC6D78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="0068380C" w:rsidRPr="00B64A1A">
        <w:rPr>
          <w:rFonts w:ascii="Times New Roman" w:eastAsiaTheme="minorEastAsia" w:hAnsi="Times New Roman"/>
          <w:b/>
          <w:bCs/>
          <w14:ligatures w14:val="standardContextual"/>
        </w:rPr>
        <w:t>Oliver Medical Case (C-547/13)</w:t>
      </w:r>
      <w:r w:rsidR="0068380C"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4B20C338" w14:textId="0B72E7FB" w:rsidR="0068380C" w:rsidRPr="00B64A1A" w:rsidRDefault="00FC6D78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CE marking would imply that the product is for medical use</w:t>
      </w:r>
    </w:p>
    <w:p w14:paraId="7EADCD4A" w14:textId="3BC3F6DD" w:rsidR="00FC6D78" w:rsidRPr="00B64A1A" w:rsidRDefault="00FC6D78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3. James Elliott Construction Case (C-613/14)</w:t>
      </w:r>
    </w:p>
    <w:p w14:paraId="6BE2C376" w14:textId="38AD88A6" w:rsidR="00FC6D78" w:rsidRPr="00B64A1A" w:rsidRDefault="00FC6D78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The CJEU ruled that the CE marking creates a presumption of conformity with the essential requirements of the applicable EU directive</w:t>
      </w:r>
    </w:p>
    <w:p w14:paraId="42EE1CD3" w14:textId="418D7C35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Implications of the Decision</w:t>
      </w:r>
    </w:p>
    <w:p w14:paraId="43D4B08E" w14:textId="6B6DD413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1. For Manufacturers:</w:t>
      </w:r>
    </w:p>
    <w:p w14:paraId="518612A0" w14:textId="653561A4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Software developers must clearly define the medical purpose of their products to qualify as medical devices.</w:t>
      </w:r>
    </w:p>
    <w:p w14:paraId="1F855234" w14:textId="44EDD698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CE marking ensures access to the EU market without additional national requirements.</w:t>
      </w:r>
    </w:p>
    <w:p w14:paraId="58AF52B5" w14:textId="48563007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3. For Regulators:</w:t>
      </w:r>
    </w:p>
    <w:p w14:paraId="5904BDF9" w14:textId="3C0323CD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National authorities must adhere to EU harmonization principles and cannot impose unnecessary barriers.</w:t>
      </w:r>
    </w:p>
    <w:p w14:paraId="25F8D998" w14:textId="7C73846A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Regulators must balance safety concerns with innovation and market accessibility.</w:t>
      </w:r>
    </w:p>
    <w:p w14:paraId="56C0516B" w14:textId="32F63303" w:rsidR="0068380C" w:rsidRPr="00B64A1A" w:rsidRDefault="0068380C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3. For Digital Health:</w:t>
      </w:r>
    </w:p>
    <w:p w14:paraId="2B004E5D" w14:textId="3D395803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The decision sets a precedent for regulating AI and machine learning in healthcare.</w:t>
      </w:r>
    </w:p>
    <w:p w14:paraId="498DAFDB" w14:textId="1FF5C360" w:rsidR="003E1CB7" w:rsidRPr="003E1CB7" w:rsidRDefault="0068380C" w:rsidP="003E1CB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- Encourages innovation by providing legal clarity for stand-alone medical software.</w:t>
      </w:r>
    </w:p>
    <w:p w14:paraId="582F6015" w14:textId="5DABB96F" w:rsidR="00FC6D78" w:rsidRPr="00B64A1A" w:rsidRDefault="003E1CB7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>4</w:t>
      </w:r>
      <w:r w:rsidR="00FC6D78" w:rsidRPr="00B64A1A">
        <w:rPr>
          <w:rFonts w:ascii="Times New Roman" w:eastAsiaTheme="minorEastAsia" w:hAnsi="Times New Roman"/>
          <w:b/>
          <w:bCs/>
          <w14:ligatures w14:val="standardContextual"/>
        </w:rPr>
        <w:t xml:space="preserve">. National Impact: French Conseil </w:t>
      </w:r>
      <w:proofErr w:type="spellStart"/>
      <w:r w:rsidR="00FC6D78" w:rsidRPr="00B64A1A">
        <w:rPr>
          <w:rFonts w:ascii="Times New Roman" w:eastAsiaTheme="minorEastAsia" w:hAnsi="Times New Roman"/>
          <w:b/>
          <w:bCs/>
          <w14:ligatures w14:val="standardContextual"/>
        </w:rPr>
        <w:t>d’État</w:t>
      </w:r>
      <w:proofErr w:type="spellEnd"/>
      <w:r w:rsidR="00FC6D78" w:rsidRPr="00B64A1A">
        <w:rPr>
          <w:rFonts w:ascii="Times New Roman" w:eastAsiaTheme="minorEastAsia" w:hAnsi="Times New Roman"/>
          <w:b/>
          <w:bCs/>
          <w14:ligatures w14:val="standardContextual"/>
        </w:rPr>
        <w:t xml:space="preserve"> Decision</w:t>
      </w:r>
    </w:p>
    <w:p w14:paraId="2C85E9A9" w14:textId="77777777" w:rsidR="00FC6D78" w:rsidRPr="00B64A1A" w:rsidRDefault="00FC6D78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lastRenderedPageBreak/>
        <w:t xml:space="preserve">Following the CJEU ruling, France’s Conseil </w:t>
      </w:r>
      <w:proofErr w:type="spellStart"/>
      <w:r w:rsidRPr="00B64A1A">
        <w:rPr>
          <w:rFonts w:ascii="Times New Roman" w:eastAsiaTheme="minorEastAsia" w:hAnsi="Times New Roman"/>
          <w14:ligatures w14:val="standardContextual"/>
        </w:rPr>
        <w:t>d’État</w:t>
      </w:r>
      <w:proofErr w:type="spellEnd"/>
      <w:r w:rsidRPr="00B64A1A">
        <w:rPr>
          <w:rFonts w:ascii="Times New Roman" w:eastAsiaTheme="minorEastAsia" w:hAnsi="Times New Roman"/>
          <w14:ligatures w14:val="standardContextual"/>
        </w:rPr>
        <w:t xml:space="preserve"> annulled parts of Decree No. 2014-1359 that imposed additional certification requirements on CE-marked software.</w:t>
      </w:r>
    </w:p>
    <w:p w14:paraId="2861BEAE" w14:textId="77777777" w:rsidR="00FC6D78" w:rsidRPr="00B64A1A" w:rsidRDefault="00FC6D78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This decision aligned French law with EU principles, ensuring the free movement of medical devices.</w:t>
      </w:r>
    </w:p>
    <w:p w14:paraId="0D8F940D" w14:textId="77777777" w:rsidR="00FC6D78" w:rsidRPr="00B64A1A" w:rsidRDefault="00FC6D78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6B195681" w14:textId="7EB52C47" w:rsidR="0068380C" w:rsidRPr="003E1CB7" w:rsidRDefault="003E1CB7" w:rsidP="00B64A1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:u w:val="single"/>
          <w14:ligatures w14:val="standardContextual"/>
        </w:rPr>
      </w:pPr>
      <w:r w:rsidRPr="003E1CB7">
        <w:rPr>
          <w:rFonts w:ascii="Times New Roman" w:eastAsiaTheme="minorEastAsia" w:hAnsi="Times New Roman"/>
          <w:b/>
          <w:bCs/>
          <w:u w:val="single"/>
          <w14:ligatures w14:val="standardContextual"/>
        </w:rPr>
        <w:t>4</w:t>
      </w:r>
      <w:r w:rsidR="00B64A1A" w:rsidRPr="003E1CB7">
        <w:rPr>
          <w:rFonts w:ascii="Times New Roman" w:eastAsiaTheme="minorEastAsia" w:hAnsi="Times New Roman"/>
          <w:b/>
          <w:bCs/>
          <w:u w:val="single"/>
          <w14:ligatures w14:val="standardContextual"/>
        </w:rPr>
        <w:t xml:space="preserve">. </w:t>
      </w:r>
      <w:r w:rsidR="0068380C" w:rsidRPr="003E1CB7">
        <w:rPr>
          <w:rFonts w:ascii="Times New Roman" w:eastAsiaTheme="minorEastAsia" w:hAnsi="Times New Roman"/>
          <w:b/>
          <w:bCs/>
          <w:u w:val="single"/>
          <w14:ligatures w14:val="standardContextual"/>
        </w:rPr>
        <w:t>Broader Impact</w:t>
      </w:r>
    </w:p>
    <w:p w14:paraId="461877A4" w14:textId="3F3187A4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1. Legal Clarity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33B2B442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The ruling strengthens the regulatory framework for digital health tools, aligning with the MDR’s expanded definitions.</w:t>
      </w:r>
    </w:p>
    <w:p w14:paraId="69BA0E1B" w14:textId="3BDFA824" w:rsidR="0068380C" w:rsidRPr="00B64A1A" w:rsidRDefault="0068380C" w:rsidP="00B64A1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:b/>
          <w:bCs/>
          <w14:ligatures w14:val="standardContextual"/>
        </w:rPr>
        <w:t>2. Emerging Technologies</w:t>
      </w:r>
      <w:r w:rsidRPr="00B64A1A">
        <w:rPr>
          <w:rFonts w:ascii="Times New Roman" w:eastAsiaTheme="minorEastAsia" w:hAnsi="Times New Roman"/>
          <w14:ligatures w14:val="standardContextual"/>
        </w:rPr>
        <w:t>:</w:t>
      </w:r>
    </w:p>
    <w:p w14:paraId="21BC229D" w14:textId="77777777" w:rsidR="0068380C" w:rsidRPr="00B64A1A" w:rsidRDefault="0068380C" w:rsidP="00B64A1A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64A1A">
        <w:rPr>
          <w:rFonts w:ascii="Times New Roman" w:eastAsiaTheme="minorEastAsia" w:hAnsi="Times New Roman"/>
          <w14:ligatures w14:val="standardContextual"/>
        </w:rPr>
        <w:t>AI-driven software and big data applications in healthcare will benefit from the clarified criteria for classification as medical devices.</w:t>
      </w:r>
    </w:p>
    <w:p w14:paraId="356DA8B5" w14:textId="77777777" w:rsidR="00CD39F1" w:rsidRPr="00B64A1A" w:rsidRDefault="00CD39F1" w:rsidP="00B64A1A">
      <w:pPr>
        <w:spacing w:after="240" w:line="360" w:lineRule="auto"/>
        <w:rPr>
          <w:rFonts w:ascii="Times New Roman" w:hAnsi="Times New Roman"/>
        </w:rPr>
      </w:pPr>
    </w:p>
    <w:sectPr w:rsidR="00CD39F1" w:rsidRPr="00B64A1A" w:rsidSect="0068380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decimal"/>
      <w:lvlText w:val="%2"/>
      <w:lvlJc w:val="left"/>
      <w:pPr>
        <w:ind w:left="1440" w:hanging="360"/>
      </w:pPr>
    </w:lvl>
    <w:lvl w:ilvl="2" w:tplc="00000193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decimal"/>
      <w:lvlText w:val="%2"/>
      <w:lvlJc w:val="left"/>
      <w:pPr>
        <w:ind w:left="1440" w:hanging="360"/>
      </w:pPr>
    </w:lvl>
    <w:lvl w:ilvl="2" w:tplc="000001F7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"/>
      <w:lvlJc w:val="left"/>
      <w:pPr>
        <w:ind w:left="720" w:hanging="360"/>
      </w:pPr>
    </w:lvl>
    <w:lvl w:ilvl="1" w:tplc="0000025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0000044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B721A5B"/>
    <w:multiLevelType w:val="hybridMultilevel"/>
    <w:tmpl w:val="99723D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A3149"/>
    <w:multiLevelType w:val="hybridMultilevel"/>
    <w:tmpl w:val="01325B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03EDE"/>
    <w:multiLevelType w:val="hybridMultilevel"/>
    <w:tmpl w:val="B2086228"/>
    <w:lvl w:ilvl="0" w:tplc="867246C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251996">
    <w:abstractNumId w:val="0"/>
  </w:num>
  <w:num w:numId="2" w16cid:durableId="1500198491">
    <w:abstractNumId w:val="1"/>
  </w:num>
  <w:num w:numId="3" w16cid:durableId="2062555362">
    <w:abstractNumId w:val="2"/>
  </w:num>
  <w:num w:numId="4" w16cid:durableId="1268193781">
    <w:abstractNumId w:val="3"/>
  </w:num>
  <w:num w:numId="5" w16cid:durableId="2005353302">
    <w:abstractNumId w:val="4"/>
  </w:num>
  <w:num w:numId="6" w16cid:durableId="139467419">
    <w:abstractNumId w:val="5"/>
  </w:num>
  <w:num w:numId="7" w16cid:durableId="1484273071">
    <w:abstractNumId w:val="6"/>
  </w:num>
  <w:num w:numId="8" w16cid:durableId="1004358562">
    <w:abstractNumId w:val="7"/>
  </w:num>
  <w:num w:numId="9" w16cid:durableId="1199780869">
    <w:abstractNumId w:val="8"/>
  </w:num>
  <w:num w:numId="10" w16cid:durableId="1941792661">
    <w:abstractNumId w:val="9"/>
  </w:num>
  <w:num w:numId="11" w16cid:durableId="155387517">
    <w:abstractNumId w:val="10"/>
  </w:num>
  <w:num w:numId="12" w16cid:durableId="671489654">
    <w:abstractNumId w:val="11"/>
  </w:num>
  <w:num w:numId="13" w16cid:durableId="1412854503">
    <w:abstractNumId w:val="12"/>
  </w:num>
  <w:num w:numId="14" w16cid:durableId="181674286">
    <w:abstractNumId w:val="14"/>
  </w:num>
  <w:num w:numId="15" w16cid:durableId="227571698">
    <w:abstractNumId w:val="13"/>
  </w:num>
  <w:num w:numId="16" w16cid:durableId="6086579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DA"/>
    <w:rsid w:val="000147A9"/>
    <w:rsid w:val="00042755"/>
    <w:rsid w:val="0006107D"/>
    <w:rsid w:val="000623A3"/>
    <w:rsid w:val="00094D65"/>
    <w:rsid w:val="000A2074"/>
    <w:rsid w:val="000A3F4D"/>
    <w:rsid w:val="000C4ABC"/>
    <w:rsid w:val="000C58D7"/>
    <w:rsid w:val="000D2CCF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3E1CB7"/>
    <w:rsid w:val="0040210F"/>
    <w:rsid w:val="004222FD"/>
    <w:rsid w:val="004319FA"/>
    <w:rsid w:val="0048097D"/>
    <w:rsid w:val="0048175B"/>
    <w:rsid w:val="004845CE"/>
    <w:rsid w:val="004B1048"/>
    <w:rsid w:val="004D01FE"/>
    <w:rsid w:val="004E458E"/>
    <w:rsid w:val="004F0E12"/>
    <w:rsid w:val="004F5A36"/>
    <w:rsid w:val="00542B57"/>
    <w:rsid w:val="00557B52"/>
    <w:rsid w:val="00570F6A"/>
    <w:rsid w:val="0058416B"/>
    <w:rsid w:val="00595357"/>
    <w:rsid w:val="005C50B3"/>
    <w:rsid w:val="005D57DA"/>
    <w:rsid w:val="005E7702"/>
    <w:rsid w:val="00605F8E"/>
    <w:rsid w:val="00650543"/>
    <w:rsid w:val="00654D8B"/>
    <w:rsid w:val="00661136"/>
    <w:rsid w:val="0068027B"/>
    <w:rsid w:val="0068380C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423DA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4A1A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0040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95D8D"/>
    <w:rsid w:val="00EA6ED5"/>
    <w:rsid w:val="00EB7051"/>
    <w:rsid w:val="00EC68EB"/>
    <w:rsid w:val="00EC7C43"/>
    <w:rsid w:val="00F012E4"/>
    <w:rsid w:val="00F248D2"/>
    <w:rsid w:val="00F27F00"/>
    <w:rsid w:val="00F71153"/>
    <w:rsid w:val="00F858D4"/>
    <w:rsid w:val="00FB2653"/>
    <w:rsid w:val="00FC6D78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EECD9"/>
  <w15:chartTrackingRefBased/>
  <w15:docId w15:val="{8D561904-FEEF-9448-B2E1-4EBF536E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3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3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3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3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3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3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3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3D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3D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3DA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3DA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3DA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3DA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3DA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3DA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3DA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423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3D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3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3D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423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3DA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942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3DA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423D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6D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2024-11-27T13:41:00Z</dcterms:created>
  <dcterms:modified xsi:type="dcterms:W3CDTF">2024-11-27T13:41:00Z</dcterms:modified>
</cp:coreProperties>
</file>