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48810" w14:textId="4FB768C5" w:rsidR="00CD39F1" w:rsidRPr="00243B94" w:rsidRDefault="000D27A5" w:rsidP="00243B94">
      <w:pPr>
        <w:spacing w:before="240" w:after="240" w:line="360" w:lineRule="auto"/>
        <w:rPr>
          <w:rFonts w:ascii="Times New Roman" w:hAnsi="Times New Roman"/>
        </w:rPr>
      </w:pPr>
      <w:r w:rsidRPr="00243B94">
        <w:rPr>
          <w:rFonts w:ascii="Times New Roman" w:hAnsi="Times New Roman"/>
        </w:rPr>
        <w:drawing>
          <wp:inline distT="0" distB="0" distL="0" distR="0" wp14:anchorId="4A3B34BE" wp14:editId="3ED9BD40">
            <wp:extent cx="5731510" cy="2969260"/>
            <wp:effectExtent l="0" t="0" r="0" b="2540"/>
            <wp:docPr id="870884232" name="Picture 1" descr="A diagram of a legal frame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84232" name="Picture 1" descr="A diagram of a legal framework&#10;&#10;Description automatically generated"/>
                    <pic:cNvPicPr/>
                  </pic:nvPicPr>
                  <pic:blipFill>
                    <a:blip r:embed="rId8"/>
                    <a:stretch>
                      <a:fillRect/>
                    </a:stretch>
                  </pic:blipFill>
                  <pic:spPr>
                    <a:xfrm>
                      <a:off x="0" y="0"/>
                      <a:ext cx="5731510" cy="2969260"/>
                    </a:xfrm>
                    <a:prstGeom prst="rect">
                      <a:avLst/>
                    </a:prstGeom>
                  </pic:spPr>
                </pic:pic>
              </a:graphicData>
            </a:graphic>
          </wp:inline>
        </w:drawing>
      </w:r>
    </w:p>
    <w:p w14:paraId="62B27F14" w14:textId="77777777" w:rsidR="000D27A5" w:rsidRPr="00243B94" w:rsidRDefault="000D27A5" w:rsidP="00243B94">
      <w:pPr>
        <w:spacing w:before="240" w:after="240" w:line="360" w:lineRule="auto"/>
        <w:rPr>
          <w:rFonts w:ascii="Times New Roman" w:hAnsi="Times New Roman"/>
        </w:rPr>
      </w:pPr>
    </w:p>
    <w:p w14:paraId="53DCC7DB" w14:textId="77777777" w:rsidR="000D27A5" w:rsidRPr="00243B94" w:rsidRDefault="000D27A5" w:rsidP="00243B94">
      <w:pPr>
        <w:spacing w:before="240" w:after="240" w:line="360" w:lineRule="auto"/>
        <w:rPr>
          <w:rFonts w:ascii="Times New Roman" w:hAnsi="Times New Roman"/>
        </w:rPr>
      </w:pPr>
    </w:p>
    <w:p w14:paraId="12AEB4DA" w14:textId="77777777" w:rsidR="000D27A5" w:rsidRPr="00243B94" w:rsidRDefault="000D27A5" w:rsidP="00243B94">
      <w:pPr>
        <w:spacing w:before="240" w:after="240" w:line="360" w:lineRule="auto"/>
        <w:rPr>
          <w:rFonts w:ascii="Times New Roman" w:hAnsi="Times New Roman"/>
        </w:rPr>
      </w:pPr>
    </w:p>
    <w:p w14:paraId="274C21AD" w14:textId="4486C5A6" w:rsidR="000D27A5" w:rsidRPr="00243B94" w:rsidRDefault="000D27A5" w:rsidP="00243B94">
      <w:pPr>
        <w:spacing w:before="240" w:after="240" w:line="360" w:lineRule="auto"/>
        <w:rPr>
          <w:rFonts w:ascii="Times New Roman" w:hAnsi="Times New Roman"/>
        </w:rPr>
      </w:pPr>
      <w:r w:rsidRPr="00243B94">
        <w:rPr>
          <w:rFonts w:ascii="Times New Roman" w:hAnsi="Times New Roman"/>
        </w:rPr>
        <w:drawing>
          <wp:inline distT="0" distB="0" distL="0" distR="0" wp14:anchorId="01595470" wp14:editId="21F963EE">
            <wp:extent cx="5731510" cy="3996055"/>
            <wp:effectExtent l="0" t="0" r="0" b="4445"/>
            <wp:docPr id="30569798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97986" name="Picture 1" descr="A diagram of a diagram&#10;&#10;Description automatically generated"/>
                    <pic:cNvPicPr/>
                  </pic:nvPicPr>
                  <pic:blipFill>
                    <a:blip r:embed="rId9"/>
                    <a:stretch>
                      <a:fillRect/>
                    </a:stretch>
                  </pic:blipFill>
                  <pic:spPr>
                    <a:xfrm>
                      <a:off x="0" y="0"/>
                      <a:ext cx="5731510" cy="3996055"/>
                    </a:xfrm>
                    <a:prstGeom prst="rect">
                      <a:avLst/>
                    </a:prstGeom>
                  </pic:spPr>
                </pic:pic>
              </a:graphicData>
            </a:graphic>
          </wp:inline>
        </w:drawing>
      </w:r>
    </w:p>
    <w:p w14:paraId="2DAE03D2" w14:textId="77777777" w:rsidR="00622AA9" w:rsidRPr="00622AA9" w:rsidRDefault="00622AA9" w:rsidP="00243B94">
      <w:pPr>
        <w:spacing w:before="240" w:after="240" w:line="360" w:lineRule="auto"/>
        <w:outlineLvl w:val="2"/>
        <w:rPr>
          <w:rFonts w:ascii="Times New Roman" w:hAnsi="Times New Roman"/>
          <w:b/>
          <w:bCs/>
          <w:u w:val="single"/>
          <w:lang w:val="en-HK"/>
        </w:rPr>
      </w:pPr>
      <w:r w:rsidRPr="00622AA9">
        <w:rPr>
          <w:rFonts w:ascii="Times New Roman" w:hAnsi="Times New Roman"/>
          <w:b/>
          <w:bCs/>
          <w:u w:val="single"/>
          <w:lang w:val="en-HK"/>
        </w:rPr>
        <w:lastRenderedPageBreak/>
        <w:t>Existing Legislation</w:t>
      </w:r>
    </w:p>
    <w:p w14:paraId="07D55653" w14:textId="77777777" w:rsidR="00622AA9" w:rsidRPr="00622AA9" w:rsidRDefault="00622AA9" w:rsidP="00243B94">
      <w:pPr>
        <w:spacing w:before="240" w:after="240" w:line="360" w:lineRule="auto"/>
        <w:outlineLvl w:val="3"/>
        <w:rPr>
          <w:rFonts w:ascii="Times New Roman" w:hAnsi="Times New Roman"/>
          <w:b/>
          <w:bCs/>
          <w:lang w:val="en-HK"/>
        </w:rPr>
      </w:pPr>
      <w:r w:rsidRPr="00622AA9">
        <w:rPr>
          <w:rFonts w:ascii="Times New Roman" w:hAnsi="Times New Roman"/>
          <w:b/>
          <w:bCs/>
          <w:lang w:val="en-HK"/>
        </w:rPr>
        <w:t>1. Medical Device Regulation (MDR) (Regulation (EU) 2017/745)</w:t>
      </w:r>
    </w:p>
    <w:p w14:paraId="1E5D6920"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Definition of Medical Device</w:t>
      </w:r>
      <w:r w:rsidRPr="00622AA9">
        <w:rPr>
          <w:rFonts w:ascii="Times New Roman" w:hAnsi="Times New Roman"/>
          <w:lang w:val="en-HK"/>
        </w:rPr>
        <w:t>:</w:t>
      </w:r>
    </w:p>
    <w:p w14:paraId="0096A23B" w14:textId="77777777" w:rsidR="00622AA9" w:rsidRPr="00622AA9" w:rsidRDefault="00622AA9" w:rsidP="00243B94">
      <w:pPr>
        <w:numPr>
          <w:ilvl w:val="1"/>
          <w:numId w:val="12"/>
        </w:numPr>
        <w:spacing w:before="240" w:after="240" w:line="360" w:lineRule="auto"/>
        <w:rPr>
          <w:rFonts w:ascii="Times New Roman" w:hAnsi="Times New Roman"/>
          <w:lang w:val="en-HK"/>
        </w:rPr>
      </w:pPr>
      <w:r w:rsidRPr="00622AA9">
        <w:rPr>
          <w:rFonts w:ascii="Times New Roman" w:hAnsi="Times New Roman"/>
          <w:b/>
          <w:bCs/>
          <w:lang w:val="en-HK"/>
        </w:rPr>
        <w:t>Article 2(1)</w:t>
      </w:r>
      <w:r w:rsidRPr="00622AA9">
        <w:rPr>
          <w:rFonts w:ascii="Times New Roman" w:hAnsi="Times New Roman"/>
          <w:lang w:val="en-HK"/>
        </w:rPr>
        <w:t>: Defines a medical device as:</w:t>
      </w:r>
    </w:p>
    <w:p w14:paraId="2DDA6E5A"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lang w:val="en-HK"/>
        </w:rPr>
        <w:t>“Any instrument, apparatus, appliance, software, implant, reagent, material, or other article intended by the manufacturer to be used, alone or in combination, for human beings for one or more of the following specific medical purposes:</w:t>
      </w:r>
    </w:p>
    <w:p w14:paraId="2FC84006" w14:textId="77777777" w:rsidR="00622AA9" w:rsidRPr="00622AA9" w:rsidRDefault="00622AA9" w:rsidP="00243B94">
      <w:pPr>
        <w:numPr>
          <w:ilvl w:val="2"/>
          <w:numId w:val="12"/>
        </w:numPr>
        <w:spacing w:before="240" w:after="240" w:line="360" w:lineRule="auto"/>
        <w:rPr>
          <w:rFonts w:ascii="Times New Roman" w:hAnsi="Times New Roman"/>
          <w:lang w:val="en-HK"/>
        </w:rPr>
      </w:pPr>
      <w:r w:rsidRPr="00622AA9">
        <w:rPr>
          <w:rFonts w:ascii="Times New Roman" w:hAnsi="Times New Roman"/>
          <w:lang w:val="en-HK"/>
        </w:rPr>
        <w:t>Diagnosis, prevention, monitoring, prediction, prognosis, treatment, or alleviation of disease.</w:t>
      </w:r>
    </w:p>
    <w:p w14:paraId="304CF68B" w14:textId="77777777" w:rsidR="00622AA9" w:rsidRPr="00622AA9" w:rsidRDefault="00622AA9" w:rsidP="00243B94">
      <w:pPr>
        <w:numPr>
          <w:ilvl w:val="2"/>
          <w:numId w:val="12"/>
        </w:numPr>
        <w:spacing w:before="240" w:after="240" w:line="360" w:lineRule="auto"/>
        <w:rPr>
          <w:rFonts w:ascii="Times New Roman" w:hAnsi="Times New Roman"/>
          <w:lang w:val="en-HK"/>
        </w:rPr>
      </w:pPr>
      <w:r w:rsidRPr="00622AA9">
        <w:rPr>
          <w:rFonts w:ascii="Times New Roman" w:hAnsi="Times New Roman"/>
          <w:lang w:val="en-HK"/>
        </w:rPr>
        <w:t>Investigation, replacement, or modification of the anatomy or a physiological or pathological process.</w:t>
      </w:r>
    </w:p>
    <w:p w14:paraId="139AF1DA" w14:textId="77777777" w:rsidR="00622AA9" w:rsidRPr="00622AA9" w:rsidRDefault="00622AA9" w:rsidP="00243B94">
      <w:pPr>
        <w:numPr>
          <w:ilvl w:val="2"/>
          <w:numId w:val="12"/>
        </w:numPr>
        <w:spacing w:before="240" w:after="240" w:line="360" w:lineRule="auto"/>
        <w:rPr>
          <w:rFonts w:ascii="Times New Roman" w:hAnsi="Times New Roman"/>
          <w:lang w:val="en-HK"/>
        </w:rPr>
      </w:pPr>
      <w:r w:rsidRPr="00622AA9">
        <w:rPr>
          <w:rFonts w:ascii="Times New Roman" w:hAnsi="Times New Roman"/>
          <w:lang w:val="en-HK"/>
        </w:rPr>
        <w:t>Providing information by means of in vitro examination of specimens derived from the human body, including organ donation.”</w:t>
      </w:r>
    </w:p>
    <w:p w14:paraId="3A3CEEA2" w14:textId="77777777" w:rsidR="00622AA9" w:rsidRPr="00622AA9" w:rsidRDefault="00622AA9" w:rsidP="00243B94">
      <w:pPr>
        <w:numPr>
          <w:ilvl w:val="1"/>
          <w:numId w:val="12"/>
        </w:numPr>
        <w:spacing w:before="240" w:after="240" w:line="360" w:lineRule="auto"/>
        <w:rPr>
          <w:rFonts w:ascii="Times New Roman" w:hAnsi="Times New Roman"/>
          <w:lang w:val="en-HK"/>
        </w:rPr>
      </w:pPr>
      <w:r w:rsidRPr="00622AA9">
        <w:rPr>
          <w:rFonts w:ascii="Times New Roman" w:hAnsi="Times New Roman"/>
          <w:lang w:val="en-HK"/>
        </w:rPr>
        <w:t xml:space="preserve">This broad definition ensures that </w:t>
      </w:r>
      <w:r w:rsidRPr="00622AA9">
        <w:rPr>
          <w:rFonts w:ascii="Times New Roman" w:hAnsi="Times New Roman"/>
          <w:b/>
          <w:bCs/>
          <w:lang w:val="en-HK"/>
        </w:rPr>
        <w:t>software integrated into medical devices</w:t>
      </w:r>
      <w:r w:rsidRPr="00622AA9">
        <w:rPr>
          <w:rFonts w:ascii="Times New Roman" w:hAnsi="Times New Roman"/>
          <w:lang w:val="en-HK"/>
        </w:rPr>
        <w:t xml:space="preserve"> is also included, addressing cybersecurity concerns for digital systems.</w:t>
      </w:r>
    </w:p>
    <w:p w14:paraId="4E9B820C"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Cybersecurity-Related Provisions</w:t>
      </w:r>
      <w:r w:rsidRPr="00622AA9">
        <w:rPr>
          <w:rFonts w:ascii="Times New Roman" w:hAnsi="Times New Roman"/>
          <w:lang w:val="en-HK"/>
        </w:rPr>
        <w:t>:</w:t>
      </w:r>
    </w:p>
    <w:p w14:paraId="3ED8E9A4"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Annex I, Section 17</w:t>
      </w:r>
      <w:r w:rsidRPr="00622AA9">
        <w:rPr>
          <w:rFonts w:ascii="Times New Roman" w:hAnsi="Times New Roman"/>
          <w:lang w:val="en-HK"/>
        </w:rPr>
        <w:t xml:space="preserve"> (General Safety and Performance Requirements - GSPR):</w:t>
      </w:r>
    </w:p>
    <w:p w14:paraId="228805E8"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17.2</w:t>
      </w:r>
      <w:r w:rsidRPr="00622AA9">
        <w:rPr>
          <w:rFonts w:ascii="Times New Roman" w:hAnsi="Times New Roman"/>
          <w:lang w:val="en-HK"/>
        </w:rPr>
        <w:t xml:space="preserve">: Mandates that devices are designed and manufactured to ensure protection against </w:t>
      </w:r>
      <w:r w:rsidRPr="00622AA9">
        <w:rPr>
          <w:rFonts w:ascii="Times New Roman" w:hAnsi="Times New Roman"/>
          <w:b/>
          <w:bCs/>
          <w:lang w:val="en-HK"/>
        </w:rPr>
        <w:t>unauthorized access</w:t>
      </w:r>
      <w:r w:rsidRPr="00622AA9">
        <w:rPr>
          <w:rFonts w:ascii="Times New Roman" w:hAnsi="Times New Roman"/>
          <w:lang w:val="en-HK"/>
        </w:rPr>
        <w:t xml:space="preserve"> and cyber risks that could compromise device performance or data integrity.</w:t>
      </w:r>
    </w:p>
    <w:p w14:paraId="57575A24"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17.4</w:t>
      </w:r>
      <w:r w:rsidRPr="00622AA9">
        <w:rPr>
          <w:rFonts w:ascii="Times New Roman" w:hAnsi="Times New Roman"/>
          <w:lang w:val="en-HK"/>
        </w:rPr>
        <w:t xml:space="preserve">: Requires devices to maintain </w:t>
      </w:r>
      <w:r w:rsidRPr="00622AA9">
        <w:rPr>
          <w:rFonts w:ascii="Times New Roman" w:hAnsi="Times New Roman"/>
          <w:b/>
          <w:bCs/>
          <w:lang w:val="en-HK"/>
        </w:rPr>
        <w:t>confidentiality, integrity, and availability</w:t>
      </w:r>
      <w:r w:rsidRPr="00622AA9">
        <w:rPr>
          <w:rFonts w:ascii="Times New Roman" w:hAnsi="Times New Roman"/>
          <w:lang w:val="en-HK"/>
        </w:rPr>
        <w:t xml:space="preserve"> of data through state-of-the-art cybersecurity measures, including encryption and secure user authentication.</w:t>
      </w:r>
    </w:p>
    <w:p w14:paraId="4D29EE25"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Guidance</w:t>
      </w:r>
      <w:r w:rsidRPr="00622AA9">
        <w:rPr>
          <w:rFonts w:ascii="Times New Roman" w:hAnsi="Times New Roman"/>
          <w:lang w:val="en-HK"/>
        </w:rPr>
        <w:t>:</w:t>
      </w:r>
    </w:p>
    <w:p w14:paraId="5CA1DDD4"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MDCG 2019-16</w:t>
      </w:r>
      <w:r w:rsidRPr="00622AA9">
        <w:rPr>
          <w:rFonts w:ascii="Times New Roman" w:hAnsi="Times New Roman"/>
          <w:lang w:val="en-HK"/>
        </w:rPr>
        <w:t>:</w:t>
      </w:r>
    </w:p>
    <w:p w14:paraId="48C7E66E" w14:textId="77777777" w:rsidR="00622AA9" w:rsidRPr="00622AA9" w:rsidRDefault="00622AA9" w:rsidP="00243B94">
      <w:pPr>
        <w:numPr>
          <w:ilvl w:val="2"/>
          <w:numId w:val="12"/>
        </w:numPr>
        <w:spacing w:before="240" w:after="240" w:line="360" w:lineRule="auto"/>
        <w:rPr>
          <w:rFonts w:ascii="Times New Roman" w:hAnsi="Times New Roman"/>
          <w:lang w:val="en-HK"/>
        </w:rPr>
      </w:pPr>
      <w:r w:rsidRPr="00622AA9">
        <w:rPr>
          <w:rFonts w:ascii="Times New Roman" w:hAnsi="Times New Roman"/>
          <w:lang w:val="en-HK"/>
        </w:rPr>
        <w:lastRenderedPageBreak/>
        <w:t>Clarifies pre-market and post-market cybersecurity requirements for medical devices.</w:t>
      </w:r>
    </w:p>
    <w:p w14:paraId="37DFF0B0" w14:textId="77777777" w:rsidR="00622AA9" w:rsidRPr="00622AA9" w:rsidRDefault="00622AA9" w:rsidP="00243B94">
      <w:pPr>
        <w:numPr>
          <w:ilvl w:val="2"/>
          <w:numId w:val="12"/>
        </w:numPr>
        <w:spacing w:before="240" w:after="240" w:line="360" w:lineRule="auto"/>
        <w:rPr>
          <w:rFonts w:ascii="Times New Roman" w:hAnsi="Times New Roman"/>
          <w:lang w:val="en-HK"/>
        </w:rPr>
      </w:pPr>
      <w:r w:rsidRPr="00622AA9">
        <w:rPr>
          <w:rFonts w:ascii="Times New Roman" w:hAnsi="Times New Roman"/>
          <w:lang w:val="en-HK"/>
        </w:rPr>
        <w:t xml:space="preserve">Highlights the need for a </w:t>
      </w:r>
      <w:r w:rsidRPr="00622AA9">
        <w:rPr>
          <w:rFonts w:ascii="Times New Roman" w:hAnsi="Times New Roman"/>
          <w:b/>
          <w:bCs/>
          <w:lang w:val="en-HK"/>
        </w:rPr>
        <w:t>risk management system</w:t>
      </w:r>
      <w:r w:rsidRPr="00622AA9">
        <w:rPr>
          <w:rFonts w:ascii="Times New Roman" w:hAnsi="Times New Roman"/>
          <w:lang w:val="en-HK"/>
        </w:rPr>
        <w:t xml:space="preserve"> addressing cybersecurity risks during the product lifecycle.</w:t>
      </w:r>
    </w:p>
    <w:p w14:paraId="25216AE7" w14:textId="77777777" w:rsidR="00622AA9" w:rsidRPr="00622AA9" w:rsidRDefault="00622AA9" w:rsidP="00243B94">
      <w:pPr>
        <w:numPr>
          <w:ilvl w:val="2"/>
          <w:numId w:val="12"/>
        </w:numPr>
        <w:spacing w:before="240" w:after="240" w:line="360" w:lineRule="auto"/>
        <w:rPr>
          <w:rFonts w:ascii="Times New Roman" w:hAnsi="Times New Roman"/>
          <w:lang w:val="en-HK"/>
        </w:rPr>
      </w:pPr>
      <w:r w:rsidRPr="00622AA9">
        <w:rPr>
          <w:rFonts w:ascii="Times New Roman" w:hAnsi="Times New Roman"/>
          <w:lang w:val="en-HK"/>
        </w:rPr>
        <w:t>Recommends incident reporting protocols for serious cybersecurity breaches affecting device safety or performance.</w:t>
      </w:r>
    </w:p>
    <w:p w14:paraId="0E0EE707"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pict w14:anchorId="3CA2905F">
          <v:rect id="_x0000_i1040" alt="" style="width:451.3pt;height:.05pt;mso-width-percent:0;mso-height-percent:0;mso-width-percent:0;mso-height-percent:0" o:hralign="center" o:hrstd="t" o:hr="t" fillcolor="#a0a0a0" stroked="f"/>
        </w:pict>
      </w:r>
    </w:p>
    <w:p w14:paraId="6CC1B97A" w14:textId="77777777" w:rsidR="00622AA9" w:rsidRPr="00622AA9" w:rsidRDefault="00622AA9" w:rsidP="00243B94">
      <w:pPr>
        <w:spacing w:before="240" w:after="240" w:line="360" w:lineRule="auto"/>
        <w:outlineLvl w:val="3"/>
        <w:rPr>
          <w:rFonts w:ascii="Times New Roman" w:hAnsi="Times New Roman"/>
          <w:b/>
          <w:bCs/>
          <w:lang w:val="en-HK"/>
        </w:rPr>
      </w:pPr>
      <w:r w:rsidRPr="00622AA9">
        <w:rPr>
          <w:rFonts w:ascii="Times New Roman" w:hAnsi="Times New Roman"/>
          <w:b/>
          <w:bCs/>
          <w:lang w:val="en-HK"/>
        </w:rPr>
        <w:t>2. Network and Information Systems (NIS2) Directive (Directive (EU) 2022/2555)</w:t>
      </w:r>
    </w:p>
    <w:p w14:paraId="5EF57787"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Definition of Critical Entities</w:t>
      </w:r>
      <w:r w:rsidRPr="00622AA9">
        <w:rPr>
          <w:rFonts w:ascii="Times New Roman" w:hAnsi="Times New Roman"/>
          <w:lang w:val="en-HK"/>
        </w:rPr>
        <w:t>:</w:t>
      </w:r>
    </w:p>
    <w:p w14:paraId="2F5B54D2" w14:textId="77777777" w:rsidR="00243B94" w:rsidRPr="00243B94"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Article 3</w:t>
      </w:r>
      <w:r w:rsidRPr="00622AA9">
        <w:rPr>
          <w:rFonts w:ascii="Times New Roman" w:hAnsi="Times New Roman"/>
          <w:lang w:val="en-HK"/>
        </w:rPr>
        <w:t>: Defines “essential entities,” including:</w:t>
      </w:r>
    </w:p>
    <w:p w14:paraId="713BD1B3" w14:textId="3D924484"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lang w:val="en-HK"/>
        </w:rPr>
        <w:t>"Entities involved in the manufacturing of medical devices and in vitro diagnostic devices listed under Annex II of the directive."</w:t>
      </w:r>
    </w:p>
    <w:p w14:paraId="1EE8B8E4"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Cybersecurity-Related Requirements</w:t>
      </w:r>
      <w:r w:rsidRPr="00622AA9">
        <w:rPr>
          <w:rFonts w:ascii="Times New Roman" w:hAnsi="Times New Roman"/>
          <w:lang w:val="en-HK"/>
        </w:rPr>
        <w:t>:</w:t>
      </w:r>
    </w:p>
    <w:p w14:paraId="40469347"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Article 21</w:t>
      </w:r>
      <w:r w:rsidRPr="00622AA9">
        <w:rPr>
          <w:rFonts w:ascii="Times New Roman" w:hAnsi="Times New Roman"/>
          <w:lang w:val="en-HK"/>
        </w:rPr>
        <w:t>: Outlines cybersecurity risk management measures, including:</w:t>
      </w:r>
    </w:p>
    <w:p w14:paraId="6E8CEAC6" w14:textId="77777777" w:rsidR="00622AA9" w:rsidRPr="00622AA9" w:rsidRDefault="00622AA9" w:rsidP="00243B94">
      <w:pPr>
        <w:numPr>
          <w:ilvl w:val="2"/>
          <w:numId w:val="13"/>
        </w:numPr>
        <w:spacing w:before="240" w:after="240" w:line="360" w:lineRule="auto"/>
        <w:rPr>
          <w:rFonts w:ascii="Times New Roman" w:hAnsi="Times New Roman"/>
          <w:lang w:val="en-HK"/>
        </w:rPr>
      </w:pPr>
      <w:r w:rsidRPr="00622AA9">
        <w:rPr>
          <w:rFonts w:ascii="Times New Roman" w:hAnsi="Times New Roman"/>
          <w:lang w:val="en-HK"/>
        </w:rPr>
        <w:t>Adoption of policies addressing technical, organizational, and operational risks.</w:t>
      </w:r>
    </w:p>
    <w:p w14:paraId="2F17A1EC" w14:textId="77777777" w:rsidR="00622AA9" w:rsidRPr="00622AA9" w:rsidRDefault="00622AA9" w:rsidP="00243B94">
      <w:pPr>
        <w:numPr>
          <w:ilvl w:val="2"/>
          <w:numId w:val="13"/>
        </w:numPr>
        <w:spacing w:before="240" w:after="240" w:line="360" w:lineRule="auto"/>
        <w:rPr>
          <w:rFonts w:ascii="Times New Roman" w:hAnsi="Times New Roman"/>
          <w:lang w:val="en-HK"/>
        </w:rPr>
      </w:pPr>
      <w:r w:rsidRPr="00622AA9">
        <w:rPr>
          <w:rFonts w:ascii="Times New Roman" w:hAnsi="Times New Roman"/>
          <w:lang w:val="en-HK"/>
        </w:rPr>
        <w:t>Regular assessments of vulnerabilities in medical devices and systems.</w:t>
      </w:r>
    </w:p>
    <w:p w14:paraId="38AB951B" w14:textId="77777777" w:rsidR="00622AA9" w:rsidRPr="00622AA9" w:rsidRDefault="00622AA9" w:rsidP="00243B94">
      <w:pPr>
        <w:numPr>
          <w:ilvl w:val="2"/>
          <w:numId w:val="13"/>
        </w:numPr>
        <w:spacing w:before="240" w:after="240" w:line="360" w:lineRule="auto"/>
        <w:rPr>
          <w:rFonts w:ascii="Times New Roman" w:hAnsi="Times New Roman"/>
          <w:lang w:val="en-HK"/>
        </w:rPr>
      </w:pPr>
      <w:r w:rsidRPr="00622AA9">
        <w:rPr>
          <w:rFonts w:ascii="Times New Roman" w:hAnsi="Times New Roman"/>
          <w:lang w:val="en-HK"/>
        </w:rPr>
        <w:t>Reporting obligations for cybersecurity incidents to national authorities within 24 hours of detection.</w:t>
      </w:r>
    </w:p>
    <w:p w14:paraId="284AD9E9" w14:textId="65DC06F5"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Annex II</w:t>
      </w:r>
      <w:r w:rsidRPr="00622AA9">
        <w:rPr>
          <w:rFonts w:ascii="Times New Roman" w:hAnsi="Times New Roman"/>
          <w:lang w:val="en-HK"/>
        </w:rPr>
        <w:t>: Lists "essential and important entities," including medical device manufacturers, requiring them to comply with NIS2 measures for supply chain security and incident reporting.</w:t>
      </w:r>
    </w:p>
    <w:p w14:paraId="5A967A2A"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pict w14:anchorId="43895544">
          <v:rect id="_x0000_i1039" alt="" style="width:451.3pt;height:.05pt;mso-width-percent:0;mso-height-percent:0;mso-width-percent:0;mso-height-percent:0" o:hralign="center" o:hrstd="t" o:hr="t" fillcolor="#a0a0a0" stroked="f"/>
        </w:pict>
      </w:r>
    </w:p>
    <w:p w14:paraId="59D971C7" w14:textId="77777777" w:rsidR="00622AA9" w:rsidRPr="00622AA9" w:rsidRDefault="00622AA9" w:rsidP="00243B94">
      <w:pPr>
        <w:spacing w:before="240" w:after="240" w:line="360" w:lineRule="auto"/>
        <w:outlineLvl w:val="3"/>
        <w:rPr>
          <w:rFonts w:ascii="Times New Roman" w:hAnsi="Times New Roman"/>
          <w:b/>
          <w:bCs/>
          <w:lang w:val="en-HK"/>
        </w:rPr>
      </w:pPr>
      <w:r w:rsidRPr="00622AA9">
        <w:rPr>
          <w:rFonts w:ascii="Times New Roman" w:hAnsi="Times New Roman"/>
          <w:b/>
          <w:bCs/>
          <w:lang w:val="en-HK"/>
        </w:rPr>
        <w:t>3. Cybersecurity Act (CSA) (Regulation (EU) 2019/881)</w:t>
      </w:r>
    </w:p>
    <w:p w14:paraId="05EEB4F1"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Definition of Cybersecurity</w:t>
      </w:r>
      <w:r w:rsidRPr="00622AA9">
        <w:rPr>
          <w:rFonts w:ascii="Times New Roman" w:hAnsi="Times New Roman"/>
          <w:lang w:val="en-HK"/>
        </w:rPr>
        <w:t>:</w:t>
      </w:r>
    </w:p>
    <w:p w14:paraId="31A02644"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Article 2(1)</w:t>
      </w:r>
      <w:r w:rsidRPr="00622AA9">
        <w:rPr>
          <w:rFonts w:ascii="Times New Roman" w:hAnsi="Times New Roman"/>
          <w:lang w:val="en-HK"/>
        </w:rPr>
        <w:t>: Defines cybersecurity as:</w:t>
      </w:r>
    </w:p>
    <w:p w14:paraId="67E8D8B1"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lang w:val="en-HK"/>
        </w:rPr>
        <w:lastRenderedPageBreak/>
        <w:t>“The activities necessary to protect network and information systems, the users of such systems, and other persons affected by cyber threats.”</w:t>
      </w:r>
    </w:p>
    <w:p w14:paraId="6ACDDDE8" w14:textId="3D44248E" w:rsidR="00622AA9" w:rsidRPr="00622AA9" w:rsidRDefault="00243B94" w:rsidP="00243B94">
      <w:pPr>
        <w:spacing w:before="240" w:after="240" w:line="360" w:lineRule="auto"/>
        <w:rPr>
          <w:rFonts w:ascii="Times New Roman" w:hAnsi="Times New Roman"/>
          <w:lang w:val="en-HK"/>
        </w:rPr>
      </w:pPr>
      <w:r w:rsidRPr="00243B94">
        <w:rPr>
          <w:rFonts w:ascii="Times New Roman" w:hAnsi="Times New Roman"/>
          <w:lang w:val="en-HK"/>
        </w:rPr>
        <w:t xml:space="preserve">- </w:t>
      </w:r>
      <w:r w:rsidR="00622AA9" w:rsidRPr="00622AA9">
        <w:rPr>
          <w:rFonts w:ascii="Times New Roman" w:hAnsi="Times New Roman"/>
          <w:lang w:val="en-HK"/>
        </w:rPr>
        <w:t xml:space="preserve">This definition emphasizes </w:t>
      </w:r>
      <w:r w:rsidR="00622AA9" w:rsidRPr="00622AA9">
        <w:rPr>
          <w:rFonts w:ascii="Times New Roman" w:hAnsi="Times New Roman"/>
          <w:b/>
          <w:bCs/>
          <w:lang w:val="en-HK"/>
        </w:rPr>
        <w:t>both technical and user protections</w:t>
      </w:r>
      <w:r w:rsidR="00622AA9" w:rsidRPr="00622AA9">
        <w:rPr>
          <w:rFonts w:ascii="Times New Roman" w:hAnsi="Times New Roman"/>
          <w:lang w:val="en-HK"/>
        </w:rPr>
        <w:t>, aligning with a broader understanding of cybersecurity.</w:t>
      </w:r>
    </w:p>
    <w:p w14:paraId="76C704CA"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Cybersecurity Certification</w:t>
      </w:r>
      <w:r w:rsidRPr="00622AA9">
        <w:rPr>
          <w:rFonts w:ascii="Times New Roman" w:hAnsi="Times New Roman"/>
          <w:lang w:val="en-HK"/>
        </w:rPr>
        <w:t>:</w:t>
      </w:r>
    </w:p>
    <w:p w14:paraId="4C0FAECC" w14:textId="77777777" w:rsidR="00622AA9" w:rsidRPr="00622AA9" w:rsidRDefault="00622AA9" w:rsidP="00243B94">
      <w:pPr>
        <w:numPr>
          <w:ilvl w:val="1"/>
          <w:numId w:val="14"/>
        </w:numPr>
        <w:spacing w:before="240" w:after="240" w:line="360" w:lineRule="auto"/>
        <w:rPr>
          <w:rFonts w:ascii="Times New Roman" w:hAnsi="Times New Roman"/>
          <w:lang w:val="en-HK"/>
        </w:rPr>
      </w:pPr>
      <w:r w:rsidRPr="00622AA9">
        <w:rPr>
          <w:rFonts w:ascii="Times New Roman" w:hAnsi="Times New Roman"/>
          <w:lang w:val="en-HK"/>
        </w:rPr>
        <w:t>Establishes a voluntary certification framework for ICT products, including medical devices.</w:t>
      </w:r>
    </w:p>
    <w:p w14:paraId="10B193DD" w14:textId="77777777" w:rsidR="00622AA9" w:rsidRPr="00622AA9" w:rsidRDefault="00622AA9" w:rsidP="00243B94">
      <w:pPr>
        <w:numPr>
          <w:ilvl w:val="1"/>
          <w:numId w:val="14"/>
        </w:numPr>
        <w:spacing w:before="240" w:after="240" w:line="360" w:lineRule="auto"/>
        <w:rPr>
          <w:rFonts w:ascii="Times New Roman" w:hAnsi="Times New Roman"/>
          <w:lang w:val="en-HK"/>
        </w:rPr>
      </w:pPr>
      <w:r w:rsidRPr="00622AA9">
        <w:rPr>
          <w:rFonts w:ascii="Times New Roman" w:hAnsi="Times New Roman"/>
          <w:lang w:val="en-HK"/>
        </w:rPr>
        <w:t>Certifications ensure compliance with EU cybersecurity standards, promoting user trust in certified devices.</w:t>
      </w:r>
    </w:p>
    <w:p w14:paraId="07825144"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pict w14:anchorId="0698F9DB">
          <v:rect id="_x0000_i1038" alt="" style="width:451.3pt;height:.05pt;mso-width-percent:0;mso-height-percent:0;mso-width-percent:0;mso-height-percent:0" o:hralign="center" o:hrstd="t" o:hr="t" fillcolor="#a0a0a0" stroked="f"/>
        </w:pict>
      </w:r>
    </w:p>
    <w:p w14:paraId="2D745839" w14:textId="77777777" w:rsidR="00622AA9" w:rsidRPr="00622AA9" w:rsidRDefault="00622AA9" w:rsidP="00243B94">
      <w:pPr>
        <w:spacing w:before="240" w:after="240" w:line="360" w:lineRule="auto"/>
        <w:outlineLvl w:val="3"/>
        <w:rPr>
          <w:rFonts w:ascii="Times New Roman" w:hAnsi="Times New Roman"/>
          <w:b/>
          <w:bCs/>
          <w:lang w:val="en-HK"/>
        </w:rPr>
      </w:pPr>
      <w:r w:rsidRPr="00622AA9">
        <w:rPr>
          <w:rFonts w:ascii="Times New Roman" w:hAnsi="Times New Roman"/>
          <w:b/>
          <w:bCs/>
          <w:lang w:val="en-HK"/>
        </w:rPr>
        <w:t>4. General Data Protection Regulation (GDPR) (Regulation (EU) 2016/679)</w:t>
      </w:r>
    </w:p>
    <w:p w14:paraId="6A521F00"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Key Provisions</w:t>
      </w:r>
      <w:r w:rsidRPr="00622AA9">
        <w:rPr>
          <w:rFonts w:ascii="Times New Roman" w:hAnsi="Times New Roman"/>
          <w:lang w:val="en-HK"/>
        </w:rPr>
        <w:t>:</w:t>
      </w:r>
    </w:p>
    <w:p w14:paraId="6B7C38DC"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Article 32</w:t>
      </w:r>
      <w:r w:rsidRPr="00622AA9">
        <w:rPr>
          <w:rFonts w:ascii="Times New Roman" w:hAnsi="Times New Roman"/>
          <w:lang w:val="en-HK"/>
        </w:rPr>
        <w:t>: Mandates technical and organizational measures to protect personal data, including encryption, pseudonymization, and access controls.</w:t>
      </w:r>
    </w:p>
    <w:p w14:paraId="179E456A"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Articles 33-35</w:t>
      </w:r>
      <w:r w:rsidRPr="00622AA9">
        <w:rPr>
          <w:rFonts w:ascii="Times New Roman" w:hAnsi="Times New Roman"/>
          <w:lang w:val="en-HK"/>
        </w:rPr>
        <w:t>: Requires data breach notifications within 72 hours and impact assessments for high-risk processing activities, such as medical device operations.</w:t>
      </w:r>
    </w:p>
    <w:p w14:paraId="24A8E442"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pict w14:anchorId="35B60C78">
          <v:rect id="_x0000_i1037" alt="" style="width:451.3pt;height:.05pt;mso-width-percent:0;mso-height-percent:0;mso-width-percent:0;mso-height-percent:0" o:hralign="center" o:hrstd="t" o:hr="t" fillcolor="#a0a0a0" stroked="f"/>
        </w:pict>
      </w:r>
    </w:p>
    <w:p w14:paraId="7E4986F3" w14:textId="77777777" w:rsidR="00622AA9" w:rsidRPr="00622AA9" w:rsidRDefault="00622AA9" w:rsidP="00243B94">
      <w:pPr>
        <w:spacing w:before="240" w:after="240" w:line="360" w:lineRule="auto"/>
        <w:outlineLvl w:val="3"/>
        <w:rPr>
          <w:rFonts w:ascii="Times New Roman" w:hAnsi="Times New Roman"/>
          <w:b/>
          <w:bCs/>
          <w:lang w:val="en-HK"/>
        </w:rPr>
      </w:pPr>
      <w:r w:rsidRPr="00622AA9">
        <w:rPr>
          <w:rFonts w:ascii="Times New Roman" w:hAnsi="Times New Roman"/>
          <w:b/>
          <w:bCs/>
          <w:lang w:val="en-HK"/>
        </w:rPr>
        <w:t>5. Data Governance Act (DGA) (Regulation (EU) 2022/868)</w:t>
      </w:r>
    </w:p>
    <w:p w14:paraId="65CB0359"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Secure Processing Environments</w:t>
      </w:r>
      <w:r w:rsidRPr="00622AA9">
        <w:rPr>
          <w:rFonts w:ascii="Times New Roman" w:hAnsi="Times New Roman"/>
          <w:lang w:val="en-HK"/>
        </w:rPr>
        <w:t>:</w:t>
      </w:r>
    </w:p>
    <w:p w14:paraId="384C5CE7"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Article 2(14)</w:t>
      </w:r>
      <w:r w:rsidRPr="00622AA9">
        <w:rPr>
          <w:rFonts w:ascii="Times New Roman" w:hAnsi="Times New Roman"/>
          <w:lang w:val="en-HK"/>
        </w:rPr>
        <w:t>: Defines a secure processing environment as:</w:t>
      </w:r>
    </w:p>
    <w:p w14:paraId="6494CF26"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lang w:val="en-HK"/>
        </w:rPr>
        <w:t>“A physical or virtual environment and organizational means ensuring compliance with Union law, particularly in regard to data subjects’ rights, intellectual property rights, and commercial confidentiality.”</w:t>
      </w:r>
    </w:p>
    <w:p w14:paraId="3BDBDEB7" w14:textId="6AFE6647" w:rsidR="00622AA9" w:rsidRPr="00622AA9" w:rsidRDefault="00243B94" w:rsidP="00243B94">
      <w:pPr>
        <w:spacing w:before="240" w:after="240" w:line="360" w:lineRule="auto"/>
        <w:rPr>
          <w:rFonts w:ascii="Times New Roman" w:hAnsi="Times New Roman"/>
          <w:lang w:val="en-HK"/>
        </w:rPr>
      </w:pPr>
      <w:r w:rsidRPr="00243B94">
        <w:rPr>
          <w:rFonts w:ascii="Times New Roman" w:hAnsi="Times New Roman"/>
          <w:lang w:val="en-HK"/>
        </w:rPr>
        <w:t xml:space="preserve">- </w:t>
      </w:r>
      <w:r w:rsidR="00622AA9" w:rsidRPr="00622AA9">
        <w:rPr>
          <w:rFonts w:ascii="Times New Roman" w:hAnsi="Times New Roman"/>
          <w:lang w:val="en-HK"/>
        </w:rPr>
        <w:t>These environments are essential for public sector data reuse and include health data processed by medical devices.</w:t>
      </w:r>
    </w:p>
    <w:p w14:paraId="7CFBDA42"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lastRenderedPageBreak/>
        <w:pict w14:anchorId="24091D21">
          <v:rect id="_x0000_i1036" alt="" style="width:451.3pt;height:.05pt;mso-width-percent:0;mso-height-percent:0;mso-width-percent:0;mso-height-percent:0" o:hralign="center" o:hrstd="t" o:hr="t" fillcolor="#a0a0a0" stroked="f"/>
        </w:pict>
      </w:r>
    </w:p>
    <w:p w14:paraId="64F116A0" w14:textId="77777777" w:rsidR="00622AA9" w:rsidRPr="00622AA9" w:rsidRDefault="00622AA9" w:rsidP="00243B94">
      <w:pPr>
        <w:spacing w:before="240" w:after="240" w:line="360" w:lineRule="auto"/>
        <w:outlineLvl w:val="2"/>
        <w:rPr>
          <w:rFonts w:ascii="Times New Roman" w:hAnsi="Times New Roman"/>
          <w:b/>
          <w:bCs/>
          <w:lang w:val="en-HK"/>
        </w:rPr>
      </w:pPr>
      <w:r w:rsidRPr="00622AA9">
        <w:rPr>
          <w:rFonts w:ascii="Times New Roman" w:hAnsi="Times New Roman"/>
          <w:b/>
          <w:bCs/>
          <w:lang w:val="en-HK"/>
        </w:rPr>
        <w:t>Forthcoming Legislation</w:t>
      </w:r>
    </w:p>
    <w:p w14:paraId="0FFDF3AF" w14:textId="77777777" w:rsidR="00622AA9" w:rsidRPr="00622AA9" w:rsidRDefault="00622AA9" w:rsidP="00243B94">
      <w:pPr>
        <w:spacing w:before="240" w:after="240" w:line="360" w:lineRule="auto"/>
        <w:outlineLvl w:val="3"/>
        <w:rPr>
          <w:rFonts w:ascii="Times New Roman" w:hAnsi="Times New Roman"/>
          <w:b/>
          <w:bCs/>
          <w:lang w:val="en-HK"/>
        </w:rPr>
      </w:pPr>
      <w:r w:rsidRPr="00622AA9">
        <w:rPr>
          <w:rFonts w:ascii="Times New Roman" w:hAnsi="Times New Roman"/>
          <w:b/>
          <w:bCs/>
          <w:lang w:val="en-HK"/>
        </w:rPr>
        <w:t>1. Artificial Intelligence Act (AI Act) (Proposal COM/2021/206 final)</w:t>
      </w:r>
    </w:p>
    <w:p w14:paraId="1C7A4835"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Definition of High-Risk AI Systems</w:t>
      </w:r>
      <w:r w:rsidRPr="00622AA9">
        <w:rPr>
          <w:rFonts w:ascii="Times New Roman" w:hAnsi="Times New Roman"/>
          <w:lang w:val="en-HK"/>
        </w:rPr>
        <w:t>:</w:t>
      </w:r>
    </w:p>
    <w:p w14:paraId="60E548AB" w14:textId="728CDA50"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Article 6</w:t>
      </w:r>
      <w:r w:rsidRPr="00622AA9">
        <w:rPr>
          <w:rFonts w:ascii="Times New Roman" w:hAnsi="Times New Roman"/>
          <w:lang w:val="en-HK"/>
        </w:rPr>
        <w:t xml:space="preserve">: Categorizes medical device AI as "high-risk" if it </w:t>
      </w:r>
      <w:proofErr w:type="spellStart"/>
      <w:r w:rsidRPr="00622AA9">
        <w:rPr>
          <w:rFonts w:ascii="Times New Roman" w:hAnsi="Times New Roman"/>
          <w:lang w:val="en-HK"/>
        </w:rPr>
        <w:t>constitutes:“A</w:t>
      </w:r>
      <w:proofErr w:type="spellEnd"/>
      <w:r w:rsidRPr="00622AA9">
        <w:rPr>
          <w:rFonts w:ascii="Times New Roman" w:hAnsi="Times New Roman"/>
          <w:lang w:val="en-HK"/>
        </w:rPr>
        <w:t xml:space="preserve"> product or safety component of a product covered under EU safety legislation listed in Annex II.”</w:t>
      </w:r>
    </w:p>
    <w:p w14:paraId="5721AE66" w14:textId="28861D99" w:rsidR="00622AA9" w:rsidRPr="00622AA9" w:rsidRDefault="00243B94" w:rsidP="00243B94">
      <w:pPr>
        <w:spacing w:before="240" w:after="240" w:line="360" w:lineRule="auto"/>
        <w:rPr>
          <w:rFonts w:ascii="Times New Roman" w:hAnsi="Times New Roman"/>
          <w:lang w:val="en-HK"/>
        </w:rPr>
      </w:pPr>
      <w:r w:rsidRPr="00243B94">
        <w:rPr>
          <w:rFonts w:ascii="Times New Roman" w:hAnsi="Times New Roman"/>
          <w:lang w:val="en-HK"/>
        </w:rPr>
        <w:t xml:space="preserve">- </w:t>
      </w:r>
      <w:r w:rsidR="00622AA9" w:rsidRPr="00622AA9">
        <w:rPr>
          <w:rFonts w:ascii="Times New Roman" w:hAnsi="Times New Roman"/>
          <w:lang w:val="en-HK"/>
        </w:rPr>
        <w:t>Includes systems used for diagnostics, monitoring, or treatment that require conformity assessments under MDR.</w:t>
      </w:r>
    </w:p>
    <w:p w14:paraId="422C5692"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Cybersecurity-Related Provisions</w:t>
      </w:r>
      <w:r w:rsidRPr="00622AA9">
        <w:rPr>
          <w:rFonts w:ascii="Times New Roman" w:hAnsi="Times New Roman"/>
          <w:lang w:val="en-HK"/>
        </w:rPr>
        <w:t>:</w:t>
      </w:r>
    </w:p>
    <w:p w14:paraId="3A01FEDF"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Article 15(1)</w:t>
      </w:r>
      <w:r w:rsidRPr="00622AA9">
        <w:rPr>
          <w:rFonts w:ascii="Times New Roman" w:hAnsi="Times New Roman"/>
          <w:lang w:val="en-HK"/>
        </w:rPr>
        <w:t>: Requires high-risk AI systems to achieve an “appropriate level of accuracy, robustness, and cybersecurity.”</w:t>
      </w:r>
    </w:p>
    <w:p w14:paraId="799B9710" w14:textId="77777777" w:rsidR="00622AA9" w:rsidRPr="00243B94"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Article 15(4)</w:t>
      </w:r>
      <w:r w:rsidRPr="00622AA9">
        <w:rPr>
          <w:rFonts w:ascii="Times New Roman" w:hAnsi="Times New Roman"/>
          <w:lang w:val="en-HK"/>
        </w:rPr>
        <w:t>: Mandates resilience against unauthorized access and exploitation, with measures addressing data poisoning, adversarial examples, and other vulnerabilities.</w:t>
      </w:r>
    </w:p>
    <w:p w14:paraId="3D77CBE2" w14:textId="1523FF72" w:rsidR="00622AA9" w:rsidRPr="00243B94" w:rsidRDefault="00243B94" w:rsidP="00243B94">
      <w:pPr>
        <w:pStyle w:val="NormalWeb"/>
        <w:spacing w:before="240" w:beforeAutospacing="0" w:after="240" w:afterAutospacing="0" w:line="360" w:lineRule="auto"/>
      </w:pPr>
      <w:r w:rsidRPr="00243B94">
        <w:t xml:space="preserve">- </w:t>
      </w:r>
      <w:r w:rsidR="00622AA9" w:rsidRPr="00243B94">
        <w:rPr>
          <w:b/>
          <w:bCs/>
        </w:rPr>
        <w:t xml:space="preserve">Recital 5a of the </w:t>
      </w:r>
      <w:r w:rsidR="00622AA9" w:rsidRPr="00243B94">
        <w:rPr>
          <w:rStyle w:val="Strong"/>
          <w:rFonts w:eastAsiaTheme="majorEastAsia"/>
        </w:rPr>
        <w:t>Artificial Intelligence Act (AI Act</w:t>
      </w:r>
      <w:r w:rsidRPr="00243B94">
        <w:rPr>
          <w:rStyle w:val="Strong"/>
          <w:rFonts w:eastAsiaTheme="majorEastAsia"/>
        </w:rPr>
        <w:t xml:space="preserve">): </w:t>
      </w:r>
    </w:p>
    <w:p w14:paraId="1A384112" w14:textId="16DEC306" w:rsidR="00622AA9" w:rsidRPr="00622AA9" w:rsidRDefault="00622AA9" w:rsidP="00243B94">
      <w:pPr>
        <w:pStyle w:val="NormalWeb"/>
        <w:spacing w:before="240" w:beforeAutospacing="0" w:after="240" w:afterAutospacing="0" w:line="360" w:lineRule="auto"/>
      </w:pPr>
      <w:r w:rsidRPr="00243B94">
        <w:t>It is necessary to address ‘cybersecurity concerns’ to ensure that AI systems are in line with EU values.</w:t>
      </w:r>
      <w:r w:rsidR="00243B94" w:rsidRPr="00243B94">
        <w:rPr>
          <w:rStyle w:val="FootnoteReference"/>
        </w:rPr>
        <w:footnoteReference w:id="1"/>
      </w:r>
    </w:p>
    <w:p w14:paraId="60FF29C9"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pict w14:anchorId="0CAF440C">
          <v:rect id="_x0000_i1035" alt="" style="width:451.3pt;height:.05pt;mso-width-percent:0;mso-height-percent:0;mso-width-percent:0;mso-height-percent:0" o:hralign="center" o:hrstd="t" o:hr="t" fillcolor="#a0a0a0" stroked="f"/>
        </w:pict>
      </w:r>
    </w:p>
    <w:p w14:paraId="27A4D459" w14:textId="77777777" w:rsidR="00622AA9" w:rsidRPr="00622AA9" w:rsidRDefault="00622AA9" w:rsidP="00243B94">
      <w:pPr>
        <w:spacing w:before="240" w:after="240" w:line="360" w:lineRule="auto"/>
        <w:outlineLvl w:val="3"/>
        <w:rPr>
          <w:rFonts w:ascii="Times New Roman" w:hAnsi="Times New Roman"/>
          <w:b/>
          <w:bCs/>
          <w:lang w:val="en-HK"/>
        </w:rPr>
      </w:pPr>
      <w:r w:rsidRPr="00622AA9">
        <w:rPr>
          <w:rFonts w:ascii="Times New Roman" w:hAnsi="Times New Roman"/>
          <w:b/>
          <w:bCs/>
          <w:lang w:val="en-HK"/>
        </w:rPr>
        <w:t>2. European Health Data Space Regulation (EHDS) (Proposal COM/2022/197 final)</w:t>
      </w:r>
    </w:p>
    <w:p w14:paraId="797321F6"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lastRenderedPageBreak/>
        <w:t>Key Provisions</w:t>
      </w:r>
      <w:r w:rsidRPr="00622AA9">
        <w:rPr>
          <w:rFonts w:ascii="Times New Roman" w:hAnsi="Times New Roman"/>
          <w:lang w:val="en-HK"/>
        </w:rPr>
        <w:t>:</w:t>
      </w:r>
    </w:p>
    <w:p w14:paraId="50EACD15" w14:textId="0E65967E" w:rsidR="00622AA9" w:rsidRPr="00622AA9" w:rsidRDefault="00243B94" w:rsidP="00243B94">
      <w:pPr>
        <w:spacing w:before="240" w:after="240" w:line="360" w:lineRule="auto"/>
        <w:rPr>
          <w:rFonts w:ascii="Times New Roman" w:hAnsi="Times New Roman"/>
          <w:lang w:val="en-HK"/>
        </w:rPr>
      </w:pPr>
      <w:r w:rsidRPr="00243B94">
        <w:rPr>
          <w:rFonts w:ascii="Times New Roman" w:hAnsi="Times New Roman"/>
          <w:b/>
          <w:bCs/>
          <w:lang w:val="en-HK"/>
        </w:rPr>
        <w:t xml:space="preserve">1. </w:t>
      </w:r>
      <w:r w:rsidR="00622AA9" w:rsidRPr="00622AA9">
        <w:rPr>
          <w:rFonts w:ascii="Times New Roman" w:hAnsi="Times New Roman"/>
          <w:b/>
          <w:bCs/>
          <w:lang w:val="en-HK"/>
        </w:rPr>
        <w:t>Article 2(2)(n)</w:t>
      </w:r>
      <w:r w:rsidR="00622AA9" w:rsidRPr="00622AA9">
        <w:rPr>
          <w:rFonts w:ascii="Times New Roman" w:hAnsi="Times New Roman"/>
          <w:lang w:val="en-HK"/>
        </w:rPr>
        <w:t>: Defines electronic health record (EHR) systems as appliances or software intended for handling health data (e.g., storage, editing, or viewing).</w:t>
      </w:r>
    </w:p>
    <w:p w14:paraId="5ACA7C10" w14:textId="157221F2" w:rsidR="00622AA9" w:rsidRPr="00622AA9" w:rsidRDefault="00243B94" w:rsidP="00243B94">
      <w:pPr>
        <w:spacing w:before="240" w:after="240" w:line="360" w:lineRule="auto"/>
        <w:rPr>
          <w:rFonts w:ascii="Times New Roman" w:hAnsi="Times New Roman"/>
          <w:lang w:val="en-HK"/>
        </w:rPr>
      </w:pPr>
      <w:r w:rsidRPr="00243B94">
        <w:rPr>
          <w:rFonts w:ascii="Times New Roman" w:hAnsi="Times New Roman"/>
          <w:b/>
          <w:bCs/>
          <w:lang w:val="en-HK"/>
        </w:rPr>
        <w:t xml:space="preserve">2. </w:t>
      </w:r>
      <w:r w:rsidR="00622AA9" w:rsidRPr="00622AA9">
        <w:rPr>
          <w:rFonts w:ascii="Times New Roman" w:hAnsi="Times New Roman"/>
          <w:b/>
          <w:bCs/>
          <w:lang w:val="en-HK"/>
        </w:rPr>
        <w:t>Article 50</w:t>
      </w:r>
      <w:r w:rsidR="00622AA9" w:rsidRPr="00622AA9">
        <w:rPr>
          <w:rFonts w:ascii="Times New Roman" w:hAnsi="Times New Roman"/>
          <w:lang w:val="en-HK"/>
        </w:rPr>
        <w:t>: Specifies measures for secure processing environments to safeguard shared health data:</w:t>
      </w:r>
    </w:p>
    <w:p w14:paraId="25065F0F" w14:textId="77777777" w:rsidR="00622AA9" w:rsidRPr="00622AA9" w:rsidRDefault="00622AA9" w:rsidP="00243B94">
      <w:pPr>
        <w:numPr>
          <w:ilvl w:val="2"/>
          <w:numId w:val="22"/>
        </w:numPr>
        <w:spacing w:before="240" w:after="240" w:line="360" w:lineRule="auto"/>
        <w:rPr>
          <w:rFonts w:ascii="Times New Roman" w:hAnsi="Times New Roman"/>
          <w:lang w:val="en-HK"/>
        </w:rPr>
      </w:pPr>
      <w:r w:rsidRPr="00622AA9">
        <w:rPr>
          <w:rFonts w:ascii="Times New Roman" w:hAnsi="Times New Roman"/>
          <w:b/>
          <w:bCs/>
          <w:lang w:val="en-HK"/>
        </w:rPr>
        <w:t>Access Management</w:t>
      </w:r>
      <w:r w:rsidRPr="00622AA9">
        <w:rPr>
          <w:rFonts w:ascii="Times New Roman" w:hAnsi="Times New Roman"/>
          <w:lang w:val="en-HK"/>
        </w:rPr>
        <w:t>:</w:t>
      </w:r>
    </w:p>
    <w:p w14:paraId="007995D9" w14:textId="77777777" w:rsidR="00622AA9" w:rsidRPr="00622AA9" w:rsidRDefault="00622AA9" w:rsidP="00243B94">
      <w:pPr>
        <w:numPr>
          <w:ilvl w:val="3"/>
          <w:numId w:val="22"/>
        </w:numPr>
        <w:spacing w:before="240" w:after="240" w:line="360" w:lineRule="auto"/>
        <w:rPr>
          <w:rFonts w:ascii="Times New Roman" w:hAnsi="Times New Roman"/>
          <w:lang w:val="en-HK"/>
        </w:rPr>
      </w:pPr>
      <w:r w:rsidRPr="00622AA9">
        <w:rPr>
          <w:rFonts w:ascii="Times New Roman" w:hAnsi="Times New Roman"/>
          <w:lang w:val="en-HK"/>
        </w:rPr>
        <w:t>Data access must be restricted to authorized personnel, with role-based access controls.</w:t>
      </w:r>
    </w:p>
    <w:p w14:paraId="53765FAD" w14:textId="77777777" w:rsidR="00622AA9" w:rsidRPr="00622AA9" w:rsidRDefault="00622AA9" w:rsidP="00243B94">
      <w:pPr>
        <w:numPr>
          <w:ilvl w:val="2"/>
          <w:numId w:val="22"/>
        </w:numPr>
        <w:spacing w:before="240" w:after="240" w:line="360" w:lineRule="auto"/>
        <w:rPr>
          <w:rFonts w:ascii="Times New Roman" w:hAnsi="Times New Roman"/>
          <w:lang w:val="en-HK"/>
        </w:rPr>
      </w:pPr>
      <w:r w:rsidRPr="00622AA9">
        <w:rPr>
          <w:rFonts w:ascii="Times New Roman" w:hAnsi="Times New Roman"/>
          <w:b/>
          <w:bCs/>
          <w:lang w:val="en-HK"/>
        </w:rPr>
        <w:t>Logging Mechanisms</w:t>
      </w:r>
      <w:r w:rsidRPr="00622AA9">
        <w:rPr>
          <w:rFonts w:ascii="Times New Roman" w:hAnsi="Times New Roman"/>
          <w:lang w:val="en-HK"/>
        </w:rPr>
        <w:t>:</w:t>
      </w:r>
    </w:p>
    <w:p w14:paraId="7F415260" w14:textId="77777777" w:rsidR="00622AA9" w:rsidRPr="00622AA9" w:rsidRDefault="00622AA9" w:rsidP="00243B94">
      <w:pPr>
        <w:numPr>
          <w:ilvl w:val="3"/>
          <w:numId w:val="22"/>
        </w:numPr>
        <w:spacing w:before="240" w:after="240" w:line="360" w:lineRule="auto"/>
        <w:rPr>
          <w:rFonts w:ascii="Times New Roman" w:hAnsi="Times New Roman"/>
          <w:lang w:val="en-HK"/>
        </w:rPr>
      </w:pPr>
      <w:r w:rsidRPr="00622AA9">
        <w:rPr>
          <w:rFonts w:ascii="Times New Roman" w:hAnsi="Times New Roman"/>
          <w:lang w:val="en-HK"/>
        </w:rPr>
        <w:t>Every data access, modification, or deletion must be recorded for traceability.</w:t>
      </w:r>
    </w:p>
    <w:p w14:paraId="08023313" w14:textId="77777777" w:rsidR="00622AA9" w:rsidRPr="00622AA9" w:rsidRDefault="00622AA9" w:rsidP="00243B94">
      <w:pPr>
        <w:numPr>
          <w:ilvl w:val="2"/>
          <w:numId w:val="22"/>
        </w:numPr>
        <w:spacing w:before="240" w:after="240" w:line="360" w:lineRule="auto"/>
        <w:rPr>
          <w:rFonts w:ascii="Times New Roman" w:hAnsi="Times New Roman"/>
          <w:lang w:val="en-HK"/>
        </w:rPr>
      </w:pPr>
      <w:r w:rsidRPr="00622AA9">
        <w:rPr>
          <w:rFonts w:ascii="Times New Roman" w:hAnsi="Times New Roman"/>
          <w:b/>
          <w:bCs/>
          <w:lang w:val="en-HK"/>
        </w:rPr>
        <w:t>Digital Signature Support</w:t>
      </w:r>
      <w:r w:rsidRPr="00622AA9">
        <w:rPr>
          <w:rFonts w:ascii="Times New Roman" w:hAnsi="Times New Roman"/>
          <w:lang w:val="en-HK"/>
        </w:rPr>
        <w:t>:</w:t>
      </w:r>
    </w:p>
    <w:p w14:paraId="576E1FAA" w14:textId="77777777" w:rsidR="00622AA9" w:rsidRPr="00622AA9" w:rsidRDefault="00622AA9" w:rsidP="00243B94">
      <w:pPr>
        <w:numPr>
          <w:ilvl w:val="3"/>
          <w:numId w:val="22"/>
        </w:numPr>
        <w:spacing w:before="240" w:after="240" w:line="360" w:lineRule="auto"/>
        <w:rPr>
          <w:rFonts w:ascii="Times New Roman" w:hAnsi="Times New Roman"/>
          <w:lang w:val="en-HK"/>
        </w:rPr>
      </w:pPr>
      <w:r w:rsidRPr="00622AA9">
        <w:rPr>
          <w:rFonts w:ascii="Times New Roman" w:hAnsi="Times New Roman"/>
          <w:lang w:val="en-HK"/>
        </w:rPr>
        <w:t>Data systems must support digital signatures to authenticate users and ensure data integrity.</w:t>
      </w:r>
    </w:p>
    <w:p w14:paraId="36C1ACB4" w14:textId="77777777" w:rsidR="00622AA9" w:rsidRPr="00622AA9" w:rsidRDefault="00622AA9" w:rsidP="00243B94">
      <w:pPr>
        <w:numPr>
          <w:ilvl w:val="2"/>
          <w:numId w:val="22"/>
        </w:numPr>
        <w:spacing w:before="240" w:after="240" w:line="360" w:lineRule="auto"/>
        <w:rPr>
          <w:rFonts w:ascii="Times New Roman" w:hAnsi="Times New Roman"/>
          <w:lang w:val="en-HK"/>
        </w:rPr>
      </w:pPr>
      <w:r w:rsidRPr="00622AA9">
        <w:rPr>
          <w:rFonts w:ascii="Times New Roman" w:hAnsi="Times New Roman"/>
          <w:b/>
          <w:bCs/>
          <w:lang w:val="en-HK"/>
        </w:rPr>
        <w:t>Retention and Access Rules</w:t>
      </w:r>
      <w:r w:rsidRPr="00622AA9">
        <w:rPr>
          <w:rFonts w:ascii="Times New Roman" w:hAnsi="Times New Roman"/>
          <w:lang w:val="en-HK"/>
        </w:rPr>
        <w:t>:</w:t>
      </w:r>
    </w:p>
    <w:p w14:paraId="3F0B371A" w14:textId="77777777" w:rsidR="00622AA9" w:rsidRPr="00622AA9" w:rsidRDefault="00622AA9" w:rsidP="00243B94">
      <w:pPr>
        <w:numPr>
          <w:ilvl w:val="3"/>
          <w:numId w:val="22"/>
        </w:numPr>
        <w:spacing w:before="240" w:after="240" w:line="360" w:lineRule="auto"/>
        <w:rPr>
          <w:rFonts w:ascii="Times New Roman" w:hAnsi="Times New Roman"/>
          <w:lang w:val="en-HK"/>
        </w:rPr>
      </w:pPr>
      <w:r w:rsidRPr="00622AA9">
        <w:rPr>
          <w:rFonts w:ascii="Times New Roman" w:hAnsi="Times New Roman"/>
          <w:lang w:val="en-HK"/>
        </w:rPr>
        <w:t>Data storage must adhere to defined retention periods and differentiated access rights for various user roles.</w:t>
      </w:r>
    </w:p>
    <w:p w14:paraId="2C4DC5C0" w14:textId="77777777" w:rsidR="00622AA9" w:rsidRPr="00622AA9" w:rsidRDefault="00622AA9" w:rsidP="00243B94">
      <w:pPr>
        <w:numPr>
          <w:ilvl w:val="2"/>
          <w:numId w:val="22"/>
        </w:numPr>
        <w:spacing w:before="240" w:after="240" w:line="360" w:lineRule="auto"/>
        <w:rPr>
          <w:rFonts w:ascii="Times New Roman" w:hAnsi="Times New Roman"/>
          <w:lang w:val="en-HK"/>
        </w:rPr>
      </w:pPr>
      <w:r w:rsidRPr="00622AA9">
        <w:rPr>
          <w:rFonts w:ascii="Times New Roman" w:hAnsi="Times New Roman"/>
          <w:b/>
          <w:bCs/>
          <w:lang w:val="en-HK"/>
        </w:rPr>
        <w:t>Monitoring Mechanisms</w:t>
      </w:r>
      <w:r w:rsidRPr="00622AA9">
        <w:rPr>
          <w:rFonts w:ascii="Times New Roman" w:hAnsi="Times New Roman"/>
          <w:lang w:val="en-HK"/>
        </w:rPr>
        <w:t>:</w:t>
      </w:r>
    </w:p>
    <w:p w14:paraId="3EA82068" w14:textId="77777777" w:rsidR="00622AA9" w:rsidRPr="00622AA9" w:rsidRDefault="00622AA9" w:rsidP="00243B94">
      <w:pPr>
        <w:numPr>
          <w:ilvl w:val="3"/>
          <w:numId w:val="22"/>
        </w:numPr>
        <w:spacing w:before="240" w:after="240" w:line="360" w:lineRule="auto"/>
        <w:rPr>
          <w:rFonts w:ascii="Times New Roman" w:hAnsi="Times New Roman"/>
          <w:lang w:val="en-HK"/>
        </w:rPr>
      </w:pPr>
      <w:r w:rsidRPr="00622AA9">
        <w:rPr>
          <w:rFonts w:ascii="Times New Roman" w:hAnsi="Times New Roman"/>
          <w:lang w:val="en-HK"/>
        </w:rPr>
        <w:t>Systems must continuously monitor for unauthorized access and cybersecurity breaches.</w:t>
      </w:r>
    </w:p>
    <w:p w14:paraId="52EFFE76" w14:textId="77777777" w:rsidR="00622AA9" w:rsidRPr="00622AA9" w:rsidRDefault="00622AA9" w:rsidP="00243B94">
      <w:pPr>
        <w:numPr>
          <w:ilvl w:val="2"/>
          <w:numId w:val="22"/>
        </w:numPr>
        <w:spacing w:before="240" w:after="240" w:line="360" w:lineRule="auto"/>
        <w:rPr>
          <w:rFonts w:ascii="Times New Roman" w:hAnsi="Times New Roman"/>
          <w:lang w:val="en-HK"/>
        </w:rPr>
      </w:pPr>
      <w:r w:rsidRPr="00622AA9">
        <w:rPr>
          <w:rFonts w:ascii="Times New Roman" w:hAnsi="Times New Roman"/>
          <w:b/>
          <w:bCs/>
          <w:lang w:val="en-HK"/>
        </w:rPr>
        <w:t>Encryption and Pseudonymization</w:t>
      </w:r>
      <w:r w:rsidRPr="00622AA9">
        <w:rPr>
          <w:rFonts w:ascii="Times New Roman" w:hAnsi="Times New Roman"/>
          <w:lang w:val="en-HK"/>
        </w:rPr>
        <w:t>:</w:t>
      </w:r>
    </w:p>
    <w:p w14:paraId="5C01D60C" w14:textId="77777777" w:rsidR="00622AA9" w:rsidRPr="00622AA9" w:rsidRDefault="00622AA9" w:rsidP="00243B94">
      <w:pPr>
        <w:numPr>
          <w:ilvl w:val="3"/>
          <w:numId w:val="22"/>
        </w:numPr>
        <w:spacing w:before="240" w:after="240" w:line="360" w:lineRule="auto"/>
        <w:rPr>
          <w:rFonts w:ascii="Times New Roman" w:hAnsi="Times New Roman"/>
          <w:lang w:val="en-HK"/>
        </w:rPr>
      </w:pPr>
      <w:r w:rsidRPr="00622AA9">
        <w:rPr>
          <w:rFonts w:ascii="Times New Roman" w:hAnsi="Times New Roman"/>
          <w:lang w:val="en-HK"/>
        </w:rPr>
        <w:t>Data shared or processed in these environments must be encrypted and, where possible, pseudonymized to protect patient identities.</w:t>
      </w:r>
    </w:p>
    <w:p w14:paraId="61DB0345" w14:textId="02197A47" w:rsidR="00622AA9" w:rsidRPr="00622AA9" w:rsidRDefault="00243B94" w:rsidP="00243B94">
      <w:pPr>
        <w:spacing w:before="240" w:after="240" w:line="360" w:lineRule="auto"/>
        <w:rPr>
          <w:rFonts w:ascii="Times New Roman" w:hAnsi="Times New Roman"/>
          <w:lang w:val="en-HK"/>
        </w:rPr>
      </w:pPr>
      <w:r w:rsidRPr="00243B94">
        <w:rPr>
          <w:rFonts w:ascii="Times New Roman" w:hAnsi="Times New Roman"/>
          <w:b/>
          <w:bCs/>
          <w:lang w:val="en-HK"/>
        </w:rPr>
        <w:t xml:space="preserve">3. </w:t>
      </w:r>
      <w:r w:rsidR="00622AA9" w:rsidRPr="00622AA9">
        <w:rPr>
          <w:rFonts w:ascii="Times New Roman" w:hAnsi="Times New Roman"/>
          <w:b/>
          <w:bCs/>
          <w:lang w:val="en-HK"/>
        </w:rPr>
        <w:t>Annex II</w:t>
      </w:r>
      <w:r w:rsidR="00622AA9" w:rsidRPr="00622AA9">
        <w:rPr>
          <w:rFonts w:ascii="Times New Roman" w:hAnsi="Times New Roman"/>
          <w:lang w:val="en-HK"/>
        </w:rPr>
        <w:t>: Includes cybersecurity requirements for health data handling, specifying that systems must adhere to common specifications issued by the European Commission.</w:t>
      </w:r>
    </w:p>
    <w:p w14:paraId="01B2B475"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pict w14:anchorId="3AD237A8">
          <v:rect id="_x0000_i1034" alt="" style="width:451.3pt;height:.05pt;mso-width-percent:0;mso-height-percent:0;mso-width-percent:0;mso-height-percent:0" o:hralign="center" o:hrstd="t" o:hr="t" fillcolor="#a0a0a0" stroked="f"/>
        </w:pict>
      </w:r>
    </w:p>
    <w:p w14:paraId="3FC198C9" w14:textId="77777777" w:rsidR="00622AA9" w:rsidRPr="00622AA9" w:rsidRDefault="00622AA9" w:rsidP="00243B94">
      <w:pPr>
        <w:spacing w:before="240" w:after="240" w:line="360" w:lineRule="auto"/>
        <w:outlineLvl w:val="3"/>
        <w:rPr>
          <w:rFonts w:ascii="Times New Roman" w:hAnsi="Times New Roman"/>
          <w:b/>
          <w:bCs/>
          <w:lang w:val="en-HK"/>
        </w:rPr>
      </w:pPr>
      <w:r w:rsidRPr="00622AA9">
        <w:rPr>
          <w:rFonts w:ascii="Times New Roman" w:hAnsi="Times New Roman"/>
          <w:b/>
          <w:bCs/>
          <w:lang w:val="en-HK"/>
        </w:rPr>
        <w:t>3. Data Act (Proposal COM/2022/68 final)</w:t>
      </w:r>
    </w:p>
    <w:p w14:paraId="1A22C9B3"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lastRenderedPageBreak/>
        <w:t>Key Provisions</w:t>
      </w:r>
      <w:r w:rsidRPr="00622AA9">
        <w:rPr>
          <w:rFonts w:ascii="Times New Roman" w:hAnsi="Times New Roman"/>
          <w:lang w:val="en-HK"/>
        </w:rPr>
        <w:t>:</w:t>
      </w:r>
    </w:p>
    <w:p w14:paraId="43A0903A"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Article 14</w:t>
      </w:r>
      <w:r w:rsidRPr="00622AA9">
        <w:rPr>
          <w:rFonts w:ascii="Times New Roman" w:hAnsi="Times New Roman"/>
          <w:lang w:val="en-HK"/>
        </w:rPr>
        <w:t>: Mandates data sharing with public authorities during emergencies, such as major cybersecurity incidents or natural disasters.</w:t>
      </w:r>
    </w:p>
    <w:p w14:paraId="01C9C8E5"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Article 15</w:t>
      </w:r>
      <w:r w:rsidRPr="00622AA9">
        <w:rPr>
          <w:rFonts w:ascii="Times New Roman" w:hAnsi="Times New Roman"/>
          <w:lang w:val="en-HK"/>
        </w:rPr>
        <w:t>: Specifies conditions for sharing, including:</w:t>
      </w:r>
    </w:p>
    <w:p w14:paraId="352C9D75" w14:textId="77777777" w:rsidR="00622AA9" w:rsidRPr="00622AA9" w:rsidRDefault="00622AA9" w:rsidP="00243B94">
      <w:pPr>
        <w:numPr>
          <w:ilvl w:val="1"/>
          <w:numId w:val="23"/>
        </w:numPr>
        <w:spacing w:before="240" w:after="240" w:line="360" w:lineRule="auto"/>
        <w:rPr>
          <w:rFonts w:ascii="Times New Roman" w:hAnsi="Times New Roman"/>
          <w:lang w:val="en-HK"/>
        </w:rPr>
      </w:pPr>
      <w:r w:rsidRPr="00622AA9">
        <w:rPr>
          <w:rFonts w:ascii="Times New Roman" w:hAnsi="Times New Roman"/>
          <w:lang w:val="en-HK"/>
        </w:rPr>
        <w:t>Data protection through encryption during transit and at rest.</w:t>
      </w:r>
    </w:p>
    <w:p w14:paraId="0BA1680D" w14:textId="77777777" w:rsidR="00622AA9" w:rsidRPr="00622AA9" w:rsidRDefault="00622AA9" w:rsidP="00243B94">
      <w:pPr>
        <w:numPr>
          <w:ilvl w:val="1"/>
          <w:numId w:val="23"/>
        </w:numPr>
        <w:spacing w:before="240" w:after="240" w:line="360" w:lineRule="auto"/>
        <w:rPr>
          <w:rFonts w:ascii="Times New Roman" w:hAnsi="Times New Roman"/>
          <w:lang w:val="en-HK"/>
        </w:rPr>
      </w:pPr>
      <w:r w:rsidRPr="00622AA9">
        <w:rPr>
          <w:rFonts w:ascii="Times New Roman" w:hAnsi="Times New Roman"/>
          <w:lang w:val="en-HK"/>
        </w:rPr>
        <w:t>Access restrictions ensuring only relevant authorities can view sensitive information.</w:t>
      </w:r>
    </w:p>
    <w:p w14:paraId="4A217D55"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Article 2(10)</w:t>
      </w:r>
      <w:r w:rsidRPr="00622AA9">
        <w:rPr>
          <w:rFonts w:ascii="Times New Roman" w:hAnsi="Times New Roman"/>
          <w:lang w:val="en-HK"/>
        </w:rPr>
        <w:t>: Defines public emergencies as situations negatively affecting populations or economic stability, including cybersecurity incidents.</w:t>
      </w:r>
    </w:p>
    <w:p w14:paraId="37F70ACF"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pict w14:anchorId="7D7D7B6C">
          <v:rect id="_x0000_i1033" alt="" style="width:451.3pt;height:.05pt;mso-width-percent:0;mso-height-percent:0;mso-width-percent:0;mso-height-percent:0" o:hralign="center" o:hrstd="t" o:hr="t" fillcolor="#a0a0a0" stroked="f"/>
        </w:pict>
      </w:r>
    </w:p>
    <w:p w14:paraId="7303059E" w14:textId="77777777" w:rsidR="00622AA9" w:rsidRPr="00622AA9" w:rsidRDefault="00622AA9" w:rsidP="00243B94">
      <w:pPr>
        <w:spacing w:before="240" w:after="240" w:line="360" w:lineRule="auto"/>
        <w:outlineLvl w:val="3"/>
        <w:rPr>
          <w:rFonts w:ascii="Times New Roman" w:hAnsi="Times New Roman"/>
          <w:b/>
          <w:bCs/>
          <w:u w:val="single"/>
          <w:lang w:val="en-HK"/>
        </w:rPr>
      </w:pPr>
      <w:r w:rsidRPr="00622AA9">
        <w:rPr>
          <w:rFonts w:ascii="Times New Roman" w:hAnsi="Times New Roman"/>
          <w:b/>
          <w:bCs/>
          <w:u w:val="single"/>
          <w:lang w:val="en-HK"/>
        </w:rPr>
        <w:t>Challenges in Current Legislation</w:t>
      </w:r>
    </w:p>
    <w:p w14:paraId="55FB77B5" w14:textId="77777777" w:rsidR="00622AA9" w:rsidRPr="00622AA9" w:rsidRDefault="00622AA9" w:rsidP="00243B94">
      <w:pPr>
        <w:numPr>
          <w:ilvl w:val="0"/>
          <w:numId w:val="3"/>
        </w:numPr>
        <w:spacing w:before="240" w:after="240" w:line="360" w:lineRule="auto"/>
        <w:rPr>
          <w:rFonts w:ascii="Times New Roman" w:hAnsi="Times New Roman"/>
          <w:lang w:val="en-HK"/>
        </w:rPr>
      </w:pPr>
      <w:r w:rsidRPr="00622AA9">
        <w:rPr>
          <w:rFonts w:ascii="Times New Roman" w:hAnsi="Times New Roman"/>
          <w:b/>
          <w:bCs/>
          <w:lang w:val="en-HK"/>
        </w:rPr>
        <w:t>Fragmentation and Lack of Harmonization</w:t>
      </w:r>
      <w:r w:rsidRPr="00622AA9">
        <w:rPr>
          <w:rFonts w:ascii="Times New Roman" w:hAnsi="Times New Roman"/>
          <w:lang w:val="en-HK"/>
        </w:rPr>
        <w:t>:</w:t>
      </w:r>
    </w:p>
    <w:p w14:paraId="2B2C3797"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Challenge</w:t>
      </w:r>
      <w:r w:rsidRPr="00622AA9">
        <w:rPr>
          <w:rFonts w:ascii="Times New Roman" w:hAnsi="Times New Roman"/>
          <w:lang w:val="en-HK"/>
        </w:rPr>
        <w:t>:</w:t>
      </w:r>
    </w:p>
    <w:p w14:paraId="5A5D77B7" w14:textId="77777777" w:rsidR="00622AA9" w:rsidRPr="00622AA9" w:rsidRDefault="00622AA9" w:rsidP="00243B94">
      <w:pPr>
        <w:numPr>
          <w:ilvl w:val="2"/>
          <w:numId w:val="3"/>
        </w:numPr>
        <w:spacing w:before="240" w:after="240" w:line="360" w:lineRule="auto"/>
        <w:rPr>
          <w:rFonts w:ascii="Times New Roman" w:hAnsi="Times New Roman"/>
          <w:lang w:val="en-HK"/>
        </w:rPr>
      </w:pPr>
      <w:r w:rsidRPr="00622AA9">
        <w:rPr>
          <w:rFonts w:ascii="Times New Roman" w:hAnsi="Times New Roman"/>
          <w:lang w:val="en-HK"/>
        </w:rPr>
        <w:t>Multiple overlapping laws (MDR, NIS2, GDPR, EHDS) lead to inconsistencies in requirements and enforcement.</w:t>
      </w:r>
    </w:p>
    <w:p w14:paraId="4EC69BD8" w14:textId="77777777" w:rsidR="00622AA9" w:rsidRPr="00622AA9" w:rsidRDefault="00622AA9" w:rsidP="00243B94">
      <w:pPr>
        <w:numPr>
          <w:ilvl w:val="2"/>
          <w:numId w:val="3"/>
        </w:numPr>
        <w:spacing w:before="240" w:after="240" w:line="360" w:lineRule="auto"/>
        <w:rPr>
          <w:rFonts w:ascii="Times New Roman" w:hAnsi="Times New Roman"/>
          <w:lang w:val="en-HK"/>
        </w:rPr>
      </w:pPr>
      <w:r w:rsidRPr="00622AA9">
        <w:rPr>
          <w:rFonts w:ascii="Times New Roman" w:hAnsi="Times New Roman"/>
          <w:lang w:val="en-HK"/>
        </w:rPr>
        <w:t>Fragmentation arises due to national-level implementation of directives like NIS2, causing varied cybersecurity standards across EU member states.</w:t>
      </w:r>
    </w:p>
    <w:p w14:paraId="34558AAE"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Example</w:t>
      </w:r>
      <w:r w:rsidRPr="00622AA9">
        <w:rPr>
          <w:rFonts w:ascii="Times New Roman" w:hAnsi="Times New Roman"/>
          <w:lang w:val="en-HK"/>
        </w:rPr>
        <w:t>:</w:t>
      </w:r>
    </w:p>
    <w:p w14:paraId="50B60D8D"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Case</w:t>
      </w:r>
      <w:r w:rsidRPr="00622AA9">
        <w:rPr>
          <w:rFonts w:ascii="Times New Roman" w:hAnsi="Times New Roman"/>
          <w:lang w:val="en-HK"/>
        </w:rPr>
        <w:t xml:space="preserve">: </w:t>
      </w:r>
      <w:r w:rsidRPr="00622AA9">
        <w:rPr>
          <w:rFonts w:ascii="Times New Roman" w:hAnsi="Times New Roman"/>
          <w:i/>
          <w:iCs/>
          <w:lang w:val="en-HK"/>
        </w:rPr>
        <w:t>Single Resolution Board v. European Data Protection Supervisor (2023)</w:t>
      </w:r>
      <w:r w:rsidRPr="00622AA9">
        <w:rPr>
          <w:rFonts w:ascii="Times New Roman" w:hAnsi="Times New Roman"/>
          <w:lang w:val="en-HK"/>
        </w:rPr>
        <w:t>:</w:t>
      </w:r>
    </w:p>
    <w:p w14:paraId="7332B9FA"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Facts</w:t>
      </w:r>
      <w:r w:rsidRPr="00622AA9">
        <w:rPr>
          <w:rFonts w:ascii="Times New Roman" w:hAnsi="Times New Roman"/>
          <w:lang w:val="en-HK"/>
        </w:rPr>
        <w:t>: A dispute on how anonymization under GDPR was interpreted across different jurisdictions.</w:t>
      </w:r>
    </w:p>
    <w:p w14:paraId="7C15B144"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Held</w:t>
      </w:r>
      <w:r w:rsidRPr="00622AA9">
        <w:rPr>
          <w:rFonts w:ascii="Times New Roman" w:hAnsi="Times New Roman"/>
          <w:lang w:val="en-HK"/>
        </w:rPr>
        <w:t>: The European Court of Justice (ECJ) expanded the interpretation of anonymized data, considering the potential for re-identification only by the data-sharing entity.</w:t>
      </w:r>
    </w:p>
    <w:p w14:paraId="673E6ADF"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Outcome</w:t>
      </w:r>
      <w:r w:rsidRPr="00622AA9">
        <w:rPr>
          <w:rFonts w:ascii="Times New Roman" w:hAnsi="Times New Roman"/>
          <w:lang w:val="en-HK"/>
        </w:rPr>
        <w:t>: Highlighted the risks of inconsistent application of laws across the EU.</w:t>
      </w:r>
    </w:p>
    <w:p w14:paraId="6096DFE0"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Scholar’s Opinion</w:t>
      </w:r>
      <w:r w:rsidRPr="00622AA9">
        <w:rPr>
          <w:rFonts w:ascii="Times New Roman" w:hAnsi="Times New Roman"/>
          <w:lang w:val="en-HK"/>
        </w:rPr>
        <w:t>:</w:t>
      </w:r>
    </w:p>
    <w:p w14:paraId="17177FAD" w14:textId="77777777" w:rsidR="00622AA9" w:rsidRPr="00622AA9" w:rsidRDefault="00622AA9" w:rsidP="00243B94">
      <w:pPr>
        <w:spacing w:before="240" w:after="240" w:line="360" w:lineRule="auto"/>
        <w:rPr>
          <w:rFonts w:ascii="Times New Roman" w:hAnsi="Times New Roman"/>
          <w:lang w:val="en-HK"/>
        </w:rPr>
      </w:pPr>
      <w:proofErr w:type="spellStart"/>
      <w:r w:rsidRPr="00622AA9">
        <w:rPr>
          <w:rFonts w:ascii="Times New Roman" w:hAnsi="Times New Roman"/>
          <w:b/>
          <w:bCs/>
          <w:lang w:val="en-HK"/>
        </w:rPr>
        <w:lastRenderedPageBreak/>
        <w:t>Biasin</w:t>
      </w:r>
      <w:proofErr w:type="spellEnd"/>
      <w:r w:rsidRPr="00622AA9">
        <w:rPr>
          <w:rFonts w:ascii="Times New Roman" w:hAnsi="Times New Roman"/>
          <w:b/>
          <w:bCs/>
          <w:lang w:val="en-HK"/>
        </w:rPr>
        <w:t xml:space="preserve"> (2023)</w:t>
      </w:r>
      <w:r w:rsidRPr="00622AA9">
        <w:rPr>
          <w:rFonts w:ascii="Times New Roman" w:hAnsi="Times New Roman"/>
          <w:lang w:val="en-HK"/>
        </w:rPr>
        <w:t>: Argues that the EU's fragmented legal framework hinders the goal of achieving uniform cybersecurity for medical devices.</w:t>
      </w:r>
    </w:p>
    <w:p w14:paraId="7B89C784"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pict w14:anchorId="6B2E79D0">
          <v:rect id="_x0000_i1032" alt="" style="width:451.3pt;height:.05pt;mso-width-percent:0;mso-height-percent:0;mso-width-percent:0;mso-height-percent:0" o:hralign="center" o:hrstd="t" o:hr="t" fillcolor="#a0a0a0" stroked="f"/>
        </w:pict>
      </w:r>
    </w:p>
    <w:p w14:paraId="6FB81194" w14:textId="77777777" w:rsidR="00622AA9" w:rsidRPr="00622AA9" w:rsidRDefault="00622AA9" w:rsidP="00243B94">
      <w:pPr>
        <w:numPr>
          <w:ilvl w:val="0"/>
          <w:numId w:val="4"/>
        </w:numPr>
        <w:spacing w:before="240" w:after="240" w:line="360" w:lineRule="auto"/>
        <w:rPr>
          <w:rFonts w:ascii="Times New Roman" w:hAnsi="Times New Roman"/>
          <w:lang w:val="en-HK"/>
        </w:rPr>
      </w:pPr>
      <w:r w:rsidRPr="00622AA9">
        <w:rPr>
          <w:rFonts w:ascii="Times New Roman" w:hAnsi="Times New Roman"/>
          <w:b/>
          <w:bCs/>
          <w:lang w:val="en-HK"/>
        </w:rPr>
        <w:t>Overlapping and Conflicting Provisions</w:t>
      </w:r>
      <w:r w:rsidRPr="00622AA9">
        <w:rPr>
          <w:rFonts w:ascii="Times New Roman" w:hAnsi="Times New Roman"/>
          <w:lang w:val="en-HK"/>
        </w:rPr>
        <w:t>:</w:t>
      </w:r>
    </w:p>
    <w:p w14:paraId="038759EC"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Challenge</w:t>
      </w:r>
      <w:r w:rsidRPr="00622AA9">
        <w:rPr>
          <w:rFonts w:ascii="Times New Roman" w:hAnsi="Times New Roman"/>
          <w:lang w:val="en-HK"/>
        </w:rPr>
        <w:t>:</w:t>
      </w:r>
    </w:p>
    <w:p w14:paraId="7A916FA6" w14:textId="77777777" w:rsidR="00622AA9" w:rsidRPr="00622AA9" w:rsidRDefault="00622AA9" w:rsidP="00243B94">
      <w:pPr>
        <w:numPr>
          <w:ilvl w:val="2"/>
          <w:numId w:val="4"/>
        </w:numPr>
        <w:spacing w:before="240" w:after="240" w:line="360" w:lineRule="auto"/>
        <w:rPr>
          <w:rFonts w:ascii="Times New Roman" w:hAnsi="Times New Roman"/>
          <w:lang w:val="en-HK"/>
        </w:rPr>
      </w:pPr>
      <w:r w:rsidRPr="00622AA9">
        <w:rPr>
          <w:rFonts w:ascii="Times New Roman" w:hAnsi="Times New Roman"/>
          <w:lang w:val="en-HK"/>
        </w:rPr>
        <w:t>MDR and EHDS overlap in defining health data security and the scope of medical devices.</w:t>
      </w:r>
    </w:p>
    <w:p w14:paraId="387526FF" w14:textId="77777777" w:rsidR="00622AA9" w:rsidRPr="00622AA9" w:rsidRDefault="00622AA9" w:rsidP="00243B94">
      <w:pPr>
        <w:numPr>
          <w:ilvl w:val="2"/>
          <w:numId w:val="4"/>
        </w:numPr>
        <w:spacing w:before="240" w:after="240" w:line="360" w:lineRule="auto"/>
        <w:rPr>
          <w:rFonts w:ascii="Times New Roman" w:hAnsi="Times New Roman"/>
          <w:lang w:val="en-HK"/>
        </w:rPr>
      </w:pPr>
      <w:r w:rsidRPr="00622AA9">
        <w:rPr>
          <w:rFonts w:ascii="Times New Roman" w:hAnsi="Times New Roman"/>
          <w:lang w:val="en-HK"/>
        </w:rPr>
        <w:t>Manufacturer intent in the EHDS regulation leaves room for circumvention; devices that process health data may evade regulation if not explicitly declared as EHR systems by manufacturers.</w:t>
      </w:r>
    </w:p>
    <w:p w14:paraId="0165C980"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Scholar’s Opinion</w:t>
      </w:r>
      <w:r w:rsidRPr="00622AA9">
        <w:rPr>
          <w:rFonts w:ascii="Times New Roman" w:hAnsi="Times New Roman"/>
          <w:lang w:val="en-HK"/>
        </w:rPr>
        <w:t>:</w:t>
      </w:r>
    </w:p>
    <w:p w14:paraId="38EFE434" w14:textId="77777777" w:rsidR="00622AA9" w:rsidRPr="00622AA9" w:rsidRDefault="00622AA9" w:rsidP="00243B94">
      <w:pPr>
        <w:spacing w:before="240" w:after="240" w:line="360" w:lineRule="auto"/>
        <w:rPr>
          <w:rFonts w:ascii="Times New Roman" w:hAnsi="Times New Roman"/>
          <w:lang w:val="en-HK"/>
        </w:rPr>
      </w:pPr>
      <w:proofErr w:type="spellStart"/>
      <w:r w:rsidRPr="00622AA9">
        <w:rPr>
          <w:rFonts w:ascii="Times New Roman" w:hAnsi="Times New Roman"/>
          <w:b/>
          <w:bCs/>
          <w:lang w:val="en-HK"/>
        </w:rPr>
        <w:t>Kamenjašević</w:t>
      </w:r>
      <w:proofErr w:type="spellEnd"/>
      <w:r w:rsidRPr="00622AA9">
        <w:rPr>
          <w:rFonts w:ascii="Times New Roman" w:hAnsi="Times New Roman"/>
          <w:lang w:val="en-HK"/>
        </w:rPr>
        <w:t>: Points out the ambiguity in the EHDS regulation regarding whether medical devices qualify as EHR systems, leading to unclear compliance obligations.</w:t>
      </w:r>
    </w:p>
    <w:p w14:paraId="66127B47"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pict w14:anchorId="71041E97">
          <v:rect id="_x0000_i1031" alt="" style="width:451.3pt;height:.05pt;mso-width-percent:0;mso-height-percent:0;mso-width-percent:0;mso-height-percent:0" o:hralign="center" o:hrstd="t" o:hr="t" fillcolor="#a0a0a0" stroked="f"/>
        </w:pict>
      </w:r>
    </w:p>
    <w:p w14:paraId="6E1036AB" w14:textId="77777777" w:rsidR="00622AA9" w:rsidRPr="00622AA9" w:rsidRDefault="00622AA9" w:rsidP="00243B94">
      <w:pPr>
        <w:numPr>
          <w:ilvl w:val="0"/>
          <w:numId w:val="5"/>
        </w:numPr>
        <w:spacing w:before="240" w:after="240" w:line="360" w:lineRule="auto"/>
        <w:rPr>
          <w:rFonts w:ascii="Times New Roman" w:hAnsi="Times New Roman"/>
          <w:lang w:val="en-HK"/>
        </w:rPr>
      </w:pPr>
      <w:r w:rsidRPr="00622AA9">
        <w:rPr>
          <w:rFonts w:ascii="Times New Roman" w:hAnsi="Times New Roman"/>
          <w:b/>
          <w:bCs/>
          <w:lang w:val="en-HK"/>
        </w:rPr>
        <w:t>Inadequate Scope of Security Requirements</w:t>
      </w:r>
      <w:r w:rsidRPr="00622AA9">
        <w:rPr>
          <w:rFonts w:ascii="Times New Roman" w:hAnsi="Times New Roman"/>
          <w:lang w:val="en-HK"/>
        </w:rPr>
        <w:t>:</w:t>
      </w:r>
    </w:p>
    <w:p w14:paraId="7F0E4331"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Challenge</w:t>
      </w:r>
      <w:r w:rsidRPr="00622AA9">
        <w:rPr>
          <w:rFonts w:ascii="Times New Roman" w:hAnsi="Times New Roman"/>
          <w:lang w:val="en-HK"/>
        </w:rPr>
        <w:t>:</w:t>
      </w:r>
    </w:p>
    <w:p w14:paraId="61349F6B" w14:textId="77777777" w:rsidR="00622AA9" w:rsidRPr="00622AA9" w:rsidRDefault="00622AA9" w:rsidP="00243B94">
      <w:pPr>
        <w:numPr>
          <w:ilvl w:val="2"/>
          <w:numId w:val="5"/>
        </w:numPr>
        <w:spacing w:before="240" w:after="240" w:line="360" w:lineRule="auto"/>
        <w:rPr>
          <w:rFonts w:ascii="Times New Roman" w:hAnsi="Times New Roman"/>
          <w:lang w:val="en-HK"/>
        </w:rPr>
      </w:pPr>
      <w:r w:rsidRPr="00622AA9">
        <w:rPr>
          <w:rFonts w:ascii="Times New Roman" w:hAnsi="Times New Roman"/>
          <w:lang w:val="en-HK"/>
        </w:rPr>
        <w:t>MDR and GDPR emphasize safety and data privacy but lack provisions for advanced threats like adversarial AI attacks.</w:t>
      </w:r>
    </w:p>
    <w:p w14:paraId="3AD4A603" w14:textId="77777777" w:rsidR="00622AA9" w:rsidRPr="00622AA9" w:rsidRDefault="00622AA9" w:rsidP="00243B94">
      <w:pPr>
        <w:numPr>
          <w:ilvl w:val="2"/>
          <w:numId w:val="5"/>
        </w:numPr>
        <w:spacing w:before="240" w:after="240" w:line="360" w:lineRule="auto"/>
        <w:rPr>
          <w:rFonts w:ascii="Times New Roman" w:hAnsi="Times New Roman"/>
          <w:lang w:val="en-HK"/>
        </w:rPr>
      </w:pPr>
      <w:r w:rsidRPr="00622AA9">
        <w:rPr>
          <w:rFonts w:ascii="Times New Roman" w:hAnsi="Times New Roman"/>
          <w:lang w:val="en-HK"/>
        </w:rPr>
        <w:t>The AI Act proposal requires technical solutions but does not mandate organizational measures like impact assessments.</w:t>
      </w:r>
    </w:p>
    <w:p w14:paraId="0AF18846"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Example</w:t>
      </w:r>
      <w:r w:rsidRPr="00622AA9">
        <w:rPr>
          <w:rFonts w:ascii="Times New Roman" w:hAnsi="Times New Roman"/>
          <w:lang w:val="en-HK"/>
        </w:rPr>
        <w:t>:</w:t>
      </w:r>
    </w:p>
    <w:p w14:paraId="6F05AE55"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Case</w:t>
      </w:r>
      <w:r w:rsidRPr="00622AA9">
        <w:rPr>
          <w:rFonts w:ascii="Times New Roman" w:hAnsi="Times New Roman"/>
          <w:lang w:val="en-HK"/>
        </w:rPr>
        <w:t xml:space="preserve">: </w:t>
      </w:r>
      <w:r w:rsidRPr="00622AA9">
        <w:rPr>
          <w:rFonts w:ascii="Times New Roman" w:hAnsi="Times New Roman"/>
          <w:i/>
          <w:iCs/>
          <w:lang w:val="en-HK"/>
        </w:rPr>
        <w:t>Cambridge Analytica Data Breach</w:t>
      </w:r>
      <w:r w:rsidRPr="00622AA9">
        <w:rPr>
          <w:rFonts w:ascii="Times New Roman" w:hAnsi="Times New Roman"/>
          <w:lang w:val="en-HK"/>
        </w:rPr>
        <w:t>:</w:t>
      </w:r>
    </w:p>
    <w:p w14:paraId="47FDE8F7"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Facts</w:t>
      </w:r>
      <w:r w:rsidRPr="00622AA9">
        <w:rPr>
          <w:rFonts w:ascii="Times New Roman" w:hAnsi="Times New Roman"/>
          <w:lang w:val="en-HK"/>
        </w:rPr>
        <w:t>: Highlights the lack of organizational measures in securing data systems.</w:t>
      </w:r>
    </w:p>
    <w:p w14:paraId="72DF2FC2"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lastRenderedPageBreak/>
        <w:t>Outcome</w:t>
      </w:r>
      <w:r w:rsidRPr="00622AA9">
        <w:rPr>
          <w:rFonts w:ascii="Times New Roman" w:hAnsi="Times New Roman"/>
          <w:lang w:val="en-HK"/>
        </w:rPr>
        <w:t>: Demonstrated that technical measures alone are insufficient without robust governance and oversight.</w:t>
      </w:r>
    </w:p>
    <w:p w14:paraId="7738121F"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Scholar’s Opinion</w:t>
      </w:r>
      <w:r w:rsidRPr="00622AA9">
        <w:rPr>
          <w:rFonts w:ascii="Times New Roman" w:hAnsi="Times New Roman"/>
          <w:lang w:val="en-HK"/>
        </w:rPr>
        <w:t>:</w:t>
      </w:r>
    </w:p>
    <w:p w14:paraId="3D1C17A3"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 xml:space="preserve">Orlando and </w:t>
      </w:r>
      <w:proofErr w:type="spellStart"/>
      <w:r w:rsidRPr="00622AA9">
        <w:rPr>
          <w:rFonts w:ascii="Times New Roman" w:hAnsi="Times New Roman"/>
          <w:b/>
          <w:bCs/>
          <w:lang w:val="en-HK"/>
        </w:rPr>
        <w:t>Dewitte</w:t>
      </w:r>
      <w:proofErr w:type="spellEnd"/>
      <w:r w:rsidRPr="00622AA9">
        <w:rPr>
          <w:rFonts w:ascii="Times New Roman" w:hAnsi="Times New Roman"/>
          <w:lang w:val="en-HK"/>
        </w:rPr>
        <w:t>: Advocate for including interdisciplinary measures to address security challenges comprehensively.</w:t>
      </w:r>
    </w:p>
    <w:p w14:paraId="79C3A31A"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pict w14:anchorId="461674A0">
          <v:rect id="_x0000_i1030" alt="" style="width:451.3pt;height:.05pt;mso-width-percent:0;mso-height-percent:0;mso-width-percent:0;mso-height-percent:0" o:hralign="center" o:hrstd="t" o:hr="t" fillcolor="#a0a0a0" stroked="f"/>
        </w:pict>
      </w:r>
    </w:p>
    <w:p w14:paraId="615502F2" w14:textId="77777777" w:rsidR="00622AA9" w:rsidRPr="00622AA9" w:rsidRDefault="00622AA9" w:rsidP="00243B94">
      <w:pPr>
        <w:numPr>
          <w:ilvl w:val="0"/>
          <w:numId w:val="6"/>
        </w:numPr>
        <w:spacing w:before="240" w:after="240" w:line="360" w:lineRule="auto"/>
        <w:rPr>
          <w:rFonts w:ascii="Times New Roman" w:hAnsi="Times New Roman"/>
          <w:lang w:val="en-HK"/>
        </w:rPr>
      </w:pPr>
      <w:r w:rsidRPr="00622AA9">
        <w:rPr>
          <w:rFonts w:ascii="Times New Roman" w:hAnsi="Times New Roman"/>
          <w:b/>
          <w:bCs/>
          <w:lang w:val="en-HK"/>
        </w:rPr>
        <w:t>Insufficient Security for Data Sharing</w:t>
      </w:r>
      <w:r w:rsidRPr="00622AA9">
        <w:rPr>
          <w:rFonts w:ascii="Times New Roman" w:hAnsi="Times New Roman"/>
          <w:lang w:val="en-HK"/>
        </w:rPr>
        <w:t>:</w:t>
      </w:r>
    </w:p>
    <w:p w14:paraId="155EEA57"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Challenge</w:t>
      </w:r>
      <w:r w:rsidRPr="00622AA9">
        <w:rPr>
          <w:rFonts w:ascii="Times New Roman" w:hAnsi="Times New Roman"/>
          <w:lang w:val="en-HK"/>
        </w:rPr>
        <w:t>:</w:t>
      </w:r>
    </w:p>
    <w:p w14:paraId="7550B8B6" w14:textId="77777777" w:rsidR="00622AA9" w:rsidRPr="00622AA9" w:rsidRDefault="00622AA9" w:rsidP="00243B94">
      <w:pPr>
        <w:numPr>
          <w:ilvl w:val="2"/>
          <w:numId w:val="6"/>
        </w:numPr>
        <w:spacing w:before="240" w:after="240" w:line="360" w:lineRule="auto"/>
        <w:rPr>
          <w:rFonts w:ascii="Times New Roman" w:hAnsi="Times New Roman"/>
          <w:lang w:val="en-HK"/>
        </w:rPr>
      </w:pPr>
      <w:r w:rsidRPr="00622AA9">
        <w:rPr>
          <w:rFonts w:ascii="Times New Roman" w:hAnsi="Times New Roman"/>
          <w:lang w:val="en-HK"/>
        </w:rPr>
        <w:t>EHDS’s provisions for secure processing environments are vague, leaving gaps in protecting health data against re-identification risks.</w:t>
      </w:r>
    </w:p>
    <w:p w14:paraId="34CB054B" w14:textId="77777777" w:rsidR="00622AA9" w:rsidRPr="00622AA9" w:rsidRDefault="00622AA9" w:rsidP="00243B94">
      <w:pPr>
        <w:numPr>
          <w:ilvl w:val="2"/>
          <w:numId w:val="6"/>
        </w:numPr>
        <w:spacing w:before="240" w:after="240" w:line="360" w:lineRule="auto"/>
        <w:rPr>
          <w:rFonts w:ascii="Times New Roman" w:hAnsi="Times New Roman"/>
          <w:lang w:val="en-HK"/>
        </w:rPr>
      </w:pPr>
      <w:r w:rsidRPr="00622AA9">
        <w:rPr>
          <w:rFonts w:ascii="Times New Roman" w:hAnsi="Times New Roman"/>
          <w:lang w:val="en-HK"/>
        </w:rPr>
        <w:t>The Data Act’s notion of “major cybersecurity incidents” lacks clarity, creating uncertainty around emergency response protocols.</w:t>
      </w:r>
    </w:p>
    <w:p w14:paraId="6B96ECBA"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Example</w:t>
      </w:r>
      <w:r w:rsidRPr="00622AA9">
        <w:rPr>
          <w:rFonts w:ascii="Times New Roman" w:hAnsi="Times New Roman"/>
          <w:lang w:val="en-HK"/>
        </w:rPr>
        <w:t>:</w:t>
      </w:r>
    </w:p>
    <w:p w14:paraId="18049DA6"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Case</w:t>
      </w:r>
      <w:r w:rsidRPr="00622AA9">
        <w:rPr>
          <w:rFonts w:ascii="Times New Roman" w:hAnsi="Times New Roman"/>
          <w:lang w:val="en-HK"/>
        </w:rPr>
        <w:t xml:space="preserve">: </w:t>
      </w:r>
      <w:r w:rsidRPr="00622AA9">
        <w:rPr>
          <w:rFonts w:ascii="Times New Roman" w:hAnsi="Times New Roman"/>
          <w:i/>
          <w:iCs/>
          <w:lang w:val="en-HK"/>
        </w:rPr>
        <w:t>Equifax Data Breach</w:t>
      </w:r>
      <w:r w:rsidRPr="00622AA9">
        <w:rPr>
          <w:rFonts w:ascii="Times New Roman" w:hAnsi="Times New Roman"/>
          <w:lang w:val="en-HK"/>
        </w:rPr>
        <w:t>:</w:t>
      </w:r>
    </w:p>
    <w:p w14:paraId="0420A95F"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Facts</w:t>
      </w:r>
      <w:r w:rsidRPr="00622AA9">
        <w:rPr>
          <w:rFonts w:ascii="Times New Roman" w:hAnsi="Times New Roman"/>
          <w:lang w:val="en-HK"/>
        </w:rPr>
        <w:t>: Poorly defined security standards led to a major data leak impacting millions of individuals.</w:t>
      </w:r>
    </w:p>
    <w:p w14:paraId="740E6099"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Outcome</w:t>
      </w:r>
      <w:r w:rsidRPr="00622AA9">
        <w:rPr>
          <w:rFonts w:ascii="Times New Roman" w:hAnsi="Times New Roman"/>
          <w:lang w:val="en-HK"/>
        </w:rPr>
        <w:t>: Highlighted the need for precise definitions and protocols in handling cybersecurity incidents.</w:t>
      </w:r>
    </w:p>
    <w:p w14:paraId="669CCB89"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Scholar’s Opinion</w:t>
      </w:r>
      <w:r w:rsidRPr="00622AA9">
        <w:rPr>
          <w:rFonts w:ascii="Times New Roman" w:hAnsi="Times New Roman"/>
          <w:lang w:val="en-HK"/>
        </w:rPr>
        <w:t>:</w:t>
      </w:r>
    </w:p>
    <w:p w14:paraId="28392DA6" w14:textId="77777777" w:rsidR="00622AA9" w:rsidRPr="00622AA9" w:rsidRDefault="00622AA9" w:rsidP="00243B94">
      <w:pPr>
        <w:spacing w:before="240" w:after="240" w:line="360" w:lineRule="auto"/>
        <w:rPr>
          <w:rFonts w:ascii="Times New Roman" w:hAnsi="Times New Roman"/>
          <w:lang w:val="en-HK"/>
        </w:rPr>
      </w:pPr>
      <w:proofErr w:type="spellStart"/>
      <w:r w:rsidRPr="00622AA9">
        <w:rPr>
          <w:rFonts w:ascii="Times New Roman" w:hAnsi="Times New Roman"/>
          <w:b/>
          <w:bCs/>
          <w:lang w:val="en-HK"/>
        </w:rPr>
        <w:t>Papakonstantinou</w:t>
      </w:r>
      <w:proofErr w:type="spellEnd"/>
      <w:r w:rsidRPr="00622AA9">
        <w:rPr>
          <w:rFonts w:ascii="Times New Roman" w:hAnsi="Times New Roman"/>
          <w:lang w:val="en-HK"/>
        </w:rPr>
        <w:t>: Criticizes the limited focus on re-identification risks, emphasizing the need for stricter anonymization standards.</w:t>
      </w:r>
    </w:p>
    <w:p w14:paraId="3498FBD8"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pict w14:anchorId="6684FC02">
          <v:rect id="_x0000_i1029" alt="" style="width:451.3pt;height:.05pt;mso-width-percent:0;mso-height-percent:0;mso-width-percent:0;mso-height-percent:0" o:hralign="center" o:hrstd="t" o:hr="t" fillcolor="#a0a0a0" stroked="f"/>
        </w:pict>
      </w:r>
    </w:p>
    <w:p w14:paraId="6C024C55" w14:textId="77777777" w:rsidR="00622AA9" w:rsidRPr="00622AA9" w:rsidRDefault="00622AA9" w:rsidP="00243B94">
      <w:pPr>
        <w:spacing w:before="240" w:after="240" w:line="360" w:lineRule="auto"/>
        <w:outlineLvl w:val="3"/>
        <w:rPr>
          <w:rFonts w:ascii="Times New Roman" w:hAnsi="Times New Roman"/>
          <w:b/>
          <w:bCs/>
          <w:u w:val="single"/>
          <w:lang w:val="en-HK"/>
        </w:rPr>
      </w:pPr>
      <w:r w:rsidRPr="00622AA9">
        <w:rPr>
          <w:rFonts w:ascii="Times New Roman" w:hAnsi="Times New Roman"/>
          <w:b/>
          <w:bCs/>
          <w:u w:val="single"/>
          <w:lang w:val="en-HK"/>
        </w:rPr>
        <w:t>Proposals to Address Challenges</w:t>
      </w:r>
    </w:p>
    <w:p w14:paraId="2F3741EE" w14:textId="5D2C9219" w:rsidR="00622AA9" w:rsidRPr="00622AA9" w:rsidRDefault="00243B94" w:rsidP="00243B94">
      <w:pPr>
        <w:spacing w:before="240" w:after="240" w:line="360" w:lineRule="auto"/>
        <w:rPr>
          <w:rFonts w:ascii="Times New Roman" w:hAnsi="Times New Roman"/>
          <w:lang w:val="en-HK"/>
        </w:rPr>
      </w:pPr>
      <w:r>
        <w:rPr>
          <w:rFonts w:ascii="Times New Roman" w:hAnsi="Times New Roman"/>
          <w:b/>
          <w:bCs/>
          <w:lang w:val="en-HK"/>
        </w:rPr>
        <w:t xml:space="preserve">1. </w:t>
      </w:r>
      <w:r w:rsidR="00622AA9" w:rsidRPr="00622AA9">
        <w:rPr>
          <w:rFonts w:ascii="Times New Roman" w:hAnsi="Times New Roman"/>
          <w:b/>
          <w:bCs/>
          <w:lang w:val="en-HK"/>
        </w:rPr>
        <w:t>Harmonize Definitions and Frameworks</w:t>
      </w:r>
      <w:r w:rsidR="00622AA9" w:rsidRPr="00622AA9">
        <w:rPr>
          <w:rFonts w:ascii="Times New Roman" w:hAnsi="Times New Roman"/>
          <w:lang w:val="en-HK"/>
        </w:rPr>
        <w:t>:</w:t>
      </w:r>
    </w:p>
    <w:p w14:paraId="75E91442"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lastRenderedPageBreak/>
        <w:t>Proposal</w:t>
      </w:r>
      <w:r w:rsidRPr="00622AA9">
        <w:rPr>
          <w:rFonts w:ascii="Times New Roman" w:hAnsi="Times New Roman"/>
          <w:lang w:val="en-HK"/>
        </w:rPr>
        <w:t>:</w:t>
      </w:r>
    </w:p>
    <w:p w14:paraId="09BB2F27" w14:textId="77777777" w:rsidR="00622AA9" w:rsidRPr="00622AA9" w:rsidRDefault="00622AA9" w:rsidP="00243B94">
      <w:pPr>
        <w:numPr>
          <w:ilvl w:val="2"/>
          <w:numId w:val="7"/>
        </w:numPr>
        <w:spacing w:before="240" w:after="240" w:line="360" w:lineRule="auto"/>
        <w:rPr>
          <w:rFonts w:ascii="Times New Roman" w:hAnsi="Times New Roman"/>
          <w:lang w:val="en-HK"/>
        </w:rPr>
      </w:pPr>
      <w:r w:rsidRPr="00622AA9">
        <w:rPr>
          <w:rFonts w:ascii="Times New Roman" w:hAnsi="Times New Roman"/>
          <w:lang w:val="en-HK"/>
        </w:rPr>
        <w:t>Align definitions (e.g., cybersecurity, anonymization) across CSA, NIS2, and GDPR to ensure consistency.</w:t>
      </w:r>
    </w:p>
    <w:p w14:paraId="6D0C925A" w14:textId="77777777" w:rsidR="00622AA9" w:rsidRPr="00622AA9" w:rsidRDefault="00622AA9" w:rsidP="00243B94">
      <w:pPr>
        <w:numPr>
          <w:ilvl w:val="2"/>
          <w:numId w:val="7"/>
        </w:numPr>
        <w:spacing w:before="240" w:after="240" w:line="360" w:lineRule="auto"/>
        <w:rPr>
          <w:rFonts w:ascii="Times New Roman" w:hAnsi="Times New Roman"/>
          <w:lang w:val="en-HK"/>
        </w:rPr>
      </w:pPr>
      <w:r w:rsidRPr="00622AA9">
        <w:rPr>
          <w:rFonts w:ascii="Times New Roman" w:hAnsi="Times New Roman"/>
          <w:lang w:val="en-HK"/>
        </w:rPr>
        <w:t>Clarify overlaps between MDR and EHDS to define clear boundaries for cybersecurity responsibilities.</w:t>
      </w:r>
    </w:p>
    <w:p w14:paraId="165786D3"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Scholar’s Opinion</w:t>
      </w:r>
      <w:r w:rsidRPr="00622AA9">
        <w:rPr>
          <w:rFonts w:ascii="Times New Roman" w:hAnsi="Times New Roman"/>
          <w:lang w:val="en-HK"/>
        </w:rPr>
        <w:t>:</w:t>
      </w:r>
    </w:p>
    <w:p w14:paraId="36DC175B" w14:textId="77777777" w:rsidR="00622AA9" w:rsidRPr="00622AA9" w:rsidRDefault="00622AA9" w:rsidP="00243B94">
      <w:pPr>
        <w:spacing w:before="240" w:after="240" w:line="360" w:lineRule="auto"/>
        <w:rPr>
          <w:rFonts w:ascii="Times New Roman" w:hAnsi="Times New Roman"/>
          <w:lang w:val="en-HK"/>
        </w:rPr>
      </w:pPr>
      <w:proofErr w:type="spellStart"/>
      <w:r w:rsidRPr="00622AA9">
        <w:rPr>
          <w:rFonts w:ascii="Times New Roman" w:hAnsi="Times New Roman"/>
          <w:b/>
          <w:bCs/>
          <w:lang w:val="en-HK"/>
        </w:rPr>
        <w:t>Fuster</w:t>
      </w:r>
      <w:proofErr w:type="spellEnd"/>
      <w:r w:rsidRPr="00622AA9">
        <w:rPr>
          <w:rFonts w:ascii="Times New Roman" w:hAnsi="Times New Roman"/>
          <w:lang w:val="en-HK"/>
        </w:rPr>
        <w:t>: Recommends a unified framework to prevent legal conflicts and duplication of efforts.</w:t>
      </w:r>
    </w:p>
    <w:p w14:paraId="3478DB92"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pict w14:anchorId="16C4C96C">
          <v:rect id="_x0000_i1028" alt="" style="width:451.3pt;height:.05pt;mso-width-percent:0;mso-height-percent:0;mso-width-percent:0;mso-height-percent:0" o:hralign="center" o:hrstd="t" o:hr="t" fillcolor="#a0a0a0" stroked="f"/>
        </w:pict>
      </w:r>
    </w:p>
    <w:p w14:paraId="1B8C3DE4" w14:textId="4336B09B" w:rsidR="00622AA9" w:rsidRPr="00622AA9" w:rsidRDefault="00243B94" w:rsidP="00243B94">
      <w:pPr>
        <w:spacing w:before="240" w:after="240" w:line="360" w:lineRule="auto"/>
        <w:rPr>
          <w:rFonts w:ascii="Times New Roman" w:hAnsi="Times New Roman"/>
          <w:lang w:val="en-HK"/>
        </w:rPr>
      </w:pPr>
      <w:r>
        <w:rPr>
          <w:rFonts w:ascii="Times New Roman" w:hAnsi="Times New Roman"/>
          <w:b/>
          <w:bCs/>
          <w:lang w:val="en-HK"/>
        </w:rPr>
        <w:t xml:space="preserve">2. </w:t>
      </w:r>
      <w:r w:rsidR="00622AA9" w:rsidRPr="00622AA9">
        <w:rPr>
          <w:rFonts w:ascii="Times New Roman" w:hAnsi="Times New Roman"/>
          <w:b/>
          <w:bCs/>
          <w:lang w:val="en-HK"/>
        </w:rPr>
        <w:t>Include Organizational Measures in Security Requirements</w:t>
      </w:r>
      <w:r w:rsidR="00622AA9" w:rsidRPr="00622AA9">
        <w:rPr>
          <w:rFonts w:ascii="Times New Roman" w:hAnsi="Times New Roman"/>
          <w:lang w:val="en-HK"/>
        </w:rPr>
        <w:t>:</w:t>
      </w:r>
    </w:p>
    <w:p w14:paraId="6E2F231A"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Proposal</w:t>
      </w:r>
      <w:r w:rsidRPr="00622AA9">
        <w:rPr>
          <w:rFonts w:ascii="Times New Roman" w:hAnsi="Times New Roman"/>
          <w:lang w:val="en-HK"/>
        </w:rPr>
        <w:t>:</w:t>
      </w:r>
    </w:p>
    <w:p w14:paraId="21627D08" w14:textId="77777777" w:rsidR="00622AA9" w:rsidRPr="00622AA9" w:rsidRDefault="00622AA9" w:rsidP="00243B94">
      <w:pPr>
        <w:numPr>
          <w:ilvl w:val="2"/>
          <w:numId w:val="8"/>
        </w:numPr>
        <w:spacing w:before="240" w:after="240" w:line="360" w:lineRule="auto"/>
        <w:rPr>
          <w:rFonts w:ascii="Times New Roman" w:hAnsi="Times New Roman"/>
          <w:lang w:val="en-HK"/>
        </w:rPr>
      </w:pPr>
      <w:r w:rsidRPr="00622AA9">
        <w:rPr>
          <w:rFonts w:ascii="Times New Roman" w:hAnsi="Times New Roman"/>
          <w:lang w:val="en-HK"/>
        </w:rPr>
        <w:t>Extend the AI Act to mandate organizational measures like impact assessments, institutional oversight, and complaint mechanisms.</w:t>
      </w:r>
    </w:p>
    <w:p w14:paraId="5A6354A0" w14:textId="77777777" w:rsidR="00622AA9" w:rsidRPr="00622AA9" w:rsidRDefault="00622AA9" w:rsidP="00243B94">
      <w:pPr>
        <w:numPr>
          <w:ilvl w:val="2"/>
          <w:numId w:val="8"/>
        </w:numPr>
        <w:spacing w:before="240" w:after="240" w:line="360" w:lineRule="auto"/>
        <w:rPr>
          <w:rFonts w:ascii="Times New Roman" w:hAnsi="Times New Roman"/>
          <w:lang w:val="en-HK"/>
        </w:rPr>
      </w:pPr>
      <w:r w:rsidRPr="00622AA9">
        <w:rPr>
          <w:rFonts w:ascii="Times New Roman" w:hAnsi="Times New Roman"/>
          <w:lang w:val="en-HK"/>
        </w:rPr>
        <w:t>Enhance MDR to require interdisciplinary collaboration between engineers and legal professionals.</w:t>
      </w:r>
    </w:p>
    <w:p w14:paraId="2FB26B39"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Scholar’s Opinion</w:t>
      </w:r>
      <w:r w:rsidRPr="00622AA9">
        <w:rPr>
          <w:rFonts w:ascii="Times New Roman" w:hAnsi="Times New Roman"/>
          <w:lang w:val="en-HK"/>
        </w:rPr>
        <w:t>:</w:t>
      </w:r>
    </w:p>
    <w:p w14:paraId="6AC82F2A"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Bygrave</w:t>
      </w:r>
      <w:r w:rsidRPr="00622AA9">
        <w:rPr>
          <w:rFonts w:ascii="Times New Roman" w:hAnsi="Times New Roman"/>
          <w:lang w:val="en-HK"/>
        </w:rPr>
        <w:t>: Advocates for integrating security-by-design principles into organizational policies, not just technical systems.</w:t>
      </w:r>
    </w:p>
    <w:p w14:paraId="1CC646B6"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pict w14:anchorId="166FEEE8">
          <v:rect id="_x0000_i1027" alt="" style="width:451.3pt;height:.05pt;mso-width-percent:0;mso-height-percent:0;mso-width-percent:0;mso-height-percent:0" o:hralign="center" o:hrstd="t" o:hr="t" fillcolor="#a0a0a0" stroked="f"/>
        </w:pict>
      </w:r>
    </w:p>
    <w:p w14:paraId="7D936F88" w14:textId="750B55C3" w:rsidR="00622AA9" w:rsidRPr="00622AA9" w:rsidRDefault="00243B94" w:rsidP="00243B94">
      <w:pPr>
        <w:spacing w:before="240" w:after="240" w:line="360" w:lineRule="auto"/>
        <w:rPr>
          <w:rFonts w:ascii="Times New Roman" w:hAnsi="Times New Roman"/>
          <w:lang w:val="en-HK"/>
        </w:rPr>
      </w:pPr>
      <w:r>
        <w:rPr>
          <w:rFonts w:ascii="Times New Roman" w:hAnsi="Times New Roman"/>
          <w:b/>
          <w:bCs/>
          <w:lang w:val="en-HK"/>
        </w:rPr>
        <w:t xml:space="preserve">3. </w:t>
      </w:r>
      <w:r w:rsidR="00622AA9" w:rsidRPr="00622AA9">
        <w:rPr>
          <w:rFonts w:ascii="Times New Roman" w:hAnsi="Times New Roman"/>
          <w:b/>
          <w:bCs/>
          <w:lang w:val="en-HK"/>
        </w:rPr>
        <w:t>Strengthen Anonymization and Data Security Standards</w:t>
      </w:r>
      <w:r w:rsidR="00622AA9" w:rsidRPr="00622AA9">
        <w:rPr>
          <w:rFonts w:ascii="Times New Roman" w:hAnsi="Times New Roman"/>
          <w:lang w:val="en-HK"/>
        </w:rPr>
        <w:t>:</w:t>
      </w:r>
    </w:p>
    <w:p w14:paraId="1C2AB62F"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Proposal</w:t>
      </w:r>
      <w:r w:rsidRPr="00622AA9">
        <w:rPr>
          <w:rFonts w:ascii="Times New Roman" w:hAnsi="Times New Roman"/>
          <w:lang w:val="en-HK"/>
        </w:rPr>
        <w:t>:</w:t>
      </w:r>
    </w:p>
    <w:p w14:paraId="2D9BF3A1" w14:textId="77777777" w:rsidR="00622AA9" w:rsidRPr="00622AA9" w:rsidRDefault="00622AA9" w:rsidP="00243B94">
      <w:pPr>
        <w:numPr>
          <w:ilvl w:val="2"/>
          <w:numId w:val="9"/>
        </w:numPr>
        <w:spacing w:before="240" w:after="240" w:line="360" w:lineRule="auto"/>
        <w:rPr>
          <w:rFonts w:ascii="Times New Roman" w:hAnsi="Times New Roman"/>
          <w:lang w:val="en-HK"/>
        </w:rPr>
      </w:pPr>
      <w:r w:rsidRPr="00622AA9">
        <w:rPr>
          <w:rFonts w:ascii="Times New Roman" w:hAnsi="Times New Roman"/>
          <w:lang w:val="en-HK"/>
        </w:rPr>
        <w:t>Tighten EHDS’s provisions for secure processing environments to include mandatory re-identification risk assessments.</w:t>
      </w:r>
    </w:p>
    <w:p w14:paraId="52DE3710" w14:textId="77777777" w:rsidR="00622AA9" w:rsidRPr="00622AA9" w:rsidRDefault="00622AA9" w:rsidP="00243B94">
      <w:pPr>
        <w:numPr>
          <w:ilvl w:val="2"/>
          <w:numId w:val="9"/>
        </w:numPr>
        <w:spacing w:before="240" w:after="240" w:line="360" w:lineRule="auto"/>
        <w:rPr>
          <w:rFonts w:ascii="Times New Roman" w:hAnsi="Times New Roman"/>
          <w:lang w:val="en-HK"/>
        </w:rPr>
      </w:pPr>
      <w:r w:rsidRPr="00622AA9">
        <w:rPr>
          <w:rFonts w:ascii="Times New Roman" w:hAnsi="Times New Roman"/>
          <w:lang w:val="en-HK"/>
        </w:rPr>
        <w:lastRenderedPageBreak/>
        <w:t>Expand Article 45(4) of EHDS to apply stricter safeguards to both anonymized and pseudonymized data.</w:t>
      </w:r>
    </w:p>
    <w:p w14:paraId="31F336E8"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Example</w:t>
      </w:r>
      <w:r w:rsidRPr="00622AA9">
        <w:rPr>
          <w:rFonts w:ascii="Times New Roman" w:hAnsi="Times New Roman"/>
          <w:lang w:val="en-HK"/>
        </w:rPr>
        <w:t>:</w:t>
      </w:r>
    </w:p>
    <w:p w14:paraId="5A8E30CE"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Case</w:t>
      </w:r>
      <w:r w:rsidRPr="00622AA9">
        <w:rPr>
          <w:rFonts w:ascii="Times New Roman" w:hAnsi="Times New Roman"/>
          <w:lang w:val="en-HK"/>
        </w:rPr>
        <w:t xml:space="preserve">: </w:t>
      </w:r>
      <w:r w:rsidRPr="00622AA9">
        <w:rPr>
          <w:rFonts w:ascii="Times New Roman" w:hAnsi="Times New Roman"/>
          <w:i/>
          <w:iCs/>
          <w:lang w:val="en-HK"/>
        </w:rPr>
        <w:t xml:space="preserve">Google Spain SL v. </w:t>
      </w:r>
      <w:proofErr w:type="spellStart"/>
      <w:r w:rsidRPr="00622AA9">
        <w:rPr>
          <w:rFonts w:ascii="Times New Roman" w:hAnsi="Times New Roman"/>
          <w:i/>
          <w:iCs/>
          <w:lang w:val="en-HK"/>
        </w:rPr>
        <w:t>Agencia</w:t>
      </w:r>
      <w:proofErr w:type="spellEnd"/>
      <w:r w:rsidRPr="00622AA9">
        <w:rPr>
          <w:rFonts w:ascii="Times New Roman" w:hAnsi="Times New Roman"/>
          <w:i/>
          <w:iCs/>
          <w:lang w:val="en-HK"/>
        </w:rPr>
        <w:t xml:space="preserve"> Española de </w:t>
      </w:r>
      <w:proofErr w:type="spellStart"/>
      <w:r w:rsidRPr="00622AA9">
        <w:rPr>
          <w:rFonts w:ascii="Times New Roman" w:hAnsi="Times New Roman"/>
          <w:i/>
          <w:iCs/>
          <w:lang w:val="en-HK"/>
        </w:rPr>
        <w:t>Protección</w:t>
      </w:r>
      <w:proofErr w:type="spellEnd"/>
      <w:r w:rsidRPr="00622AA9">
        <w:rPr>
          <w:rFonts w:ascii="Times New Roman" w:hAnsi="Times New Roman"/>
          <w:i/>
          <w:iCs/>
          <w:lang w:val="en-HK"/>
        </w:rPr>
        <w:t xml:space="preserve"> de Datos (2014)</w:t>
      </w:r>
      <w:r w:rsidRPr="00622AA9">
        <w:rPr>
          <w:rFonts w:ascii="Times New Roman" w:hAnsi="Times New Roman"/>
          <w:lang w:val="en-HK"/>
        </w:rPr>
        <w:t>:</w:t>
      </w:r>
    </w:p>
    <w:p w14:paraId="1BF33677"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Facts</w:t>
      </w:r>
      <w:r w:rsidRPr="00622AA9">
        <w:rPr>
          <w:rFonts w:ascii="Times New Roman" w:hAnsi="Times New Roman"/>
          <w:lang w:val="en-HK"/>
        </w:rPr>
        <w:t>: Revolved around data privacy and re-identification risks.</w:t>
      </w:r>
    </w:p>
    <w:p w14:paraId="5C7D2EB9"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Held</w:t>
      </w:r>
      <w:r w:rsidRPr="00622AA9">
        <w:rPr>
          <w:rFonts w:ascii="Times New Roman" w:hAnsi="Times New Roman"/>
          <w:lang w:val="en-HK"/>
        </w:rPr>
        <w:t>: ECJ emphasized the necessity of protecting personal data under GDPR.</w:t>
      </w:r>
    </w:p>
    <w:p w14:paraId="49765196"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Outcome</w:t>
      </w:r>
      <w:r w:rsidRPr="00622AA9">
        <w:rPr>
          <w:rFonts w:ascii="Times New Roman" w:hAnsi="Times New Roman"/>
          <w:lang w:val="en-HK"/>
        </w:rPr>
        <w:t>: Set a precedent for enhancing anonymization standards.</w:t>
      </w:r>
    </w:p>
    <w:p w14:paraId="5B24D449"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Scholar’s Opinion</w:t>
      </w:r>
      <w:r w:rsidRPr="00622AA9">
        <w:rPr>
          <w:rFonts w:ascii="Times New Roman" w:hAnsi="Times New Roman"/>
          <w:lang w:val="en-HK"/>
        </w:rPr>
        <w:t>:</w:t>
      </w:r>
    </w:p>
    <w:p w14:paraId="2EF0EAD5" w14:textId="77777777" w:rsidR="00622AA9" w:rsidRPr="00622AA9" w:rsidRDefault="00622AA9" w:rsidP="00243B94">
      <w:pPr>
        <w:spacing w:before="240" w:after="240" w:line="360" w:lineRule="auto"/>
        <w:rPr>
          <w:rFonts w:ascii="Times New Roman" w:hAnsi="Times New Roman"/>
          <w:lang w:val="en-HK"/>
        </w:rPr>
      </w:pPr>
      <w:proofErr w:type="spellStart"/>
      <w:r w:rsidRPr="00622AA9">
        <w:rPr>
          <w:rFonts w:ascii="Times New Roman" w:hAnsi="Times New Roman"/>
          <w:b/>
          <w:bCs/>
          <w:lang w:val="en-HK"/>
        </w:rPr>
        <w:t>Michalec</w:t>
      </w:r>
      <w:proofErr w:type="spellEnd"/>
      <w:r w:rsidRPr="00622AA9">
        <w:rPr>
          <w:rFonts w:ascii="Times New Roman" w:hAnsi="Times New Roman"/>
          <w:lang w:val="en-HK"/>
        </w:rPr>
        <w:t>: Suggests a proactive approach to anonymization, given the increasing sophistication of re-identification technologies.</w:t>
      </w:r>
    </w:p>
    <w:p w14:paraId="6B6DBFF3"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pict w14:anchorId="5F2CF65F">
          <v:rect id="_x0000_i1026" alt="" style="width:451.3pt;height:.05pt;mso-width-percent:0;mso-height-percent:0;mso-width-percent:0;mso-height-percent:0" o:hralign="center" o:hrstd="t" o:hr="t" fillcolor="#a0a0a0" stroked="f"/>
        </w:pict>
      </w:r>
    </w:p>
    <w:p w14:paraId="6C69AD8F" w14:textId="2568EEC8" w:rsidR="00622AA9" w:rsidRPr="00622AA9" w:rsidRDefault="00243B94" w:rsidP="00243B94">
      <w:pPr>
        <w:spacing w:before="240" w:after="240" w:line="360" w:lineRule="auto"/>
        <w:rPr>
          <w:rFonts w:ascii="Times New Roman" w:hAnsi="Times New Roman"/>
          <w:lang w:val="en-HK"/>
        </w:rPr>
      </w:pPr>
      <w:r>
        <w:rPr>
          <w:rFonts w:ascii="Times New Roman" w:hAnsi="Times New Roman"/>
          <w:b/>
          <w:bCs/>
          <w:lang w:val="en-HK"/>
        </w:rPr>
        <w:t xml:space="preserve">4. </w:t>
      </w:r>
      <w:r w:rsidR="00622AA9" w:rsidRPr="00622AA9">
        <w:rPr>
          <w:rFonts w:ascii="Times New Roman" w:hAnsi="Times New Roman"/>
          <w:b/>
          <w:bCs/>
          <w:lang w:val="en-HK"/>
        </w:rPr>
        <w:t>Clarify Emergency Protocols in the Data Act</w:t>
      </w:r>
      <w:r w:rsidR="00622AA9" w:rsidRPr="00622AA9">
        <w:rPr>
          <w:rFonts w:ascii="Times New Roman" w:hAnsi="Times New Roman"/>
          <w:lang w:val="en-HK"/>
        </w:rPr>
        <w:t>:</w:t>
      </w:r>
    </w:p>
    <w:p w14:paraId="2D343086"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Proposal</w:t>
      </w:r>
      <w:r w:rsidRPr="00622AA9">
        <w:rPr>
          <w:rFonts w:ascii="Times New Roman" w:hAnsi="Times New Roman"/>
          <w:lang w:val="en-HK"/>
        </w:rPr>
        <w:t>:</w:t>
      </w:r>
    </w:p>
    <w:p w14:paraId="46365BF9" w14:textId="77777777" w:rsidR="00622AA9" w:rsidRPr="00622AA9" w:rsidRDefault="00622AA9" w:rsidP="00243B94">
      <w:pPr>
        <w:numPr>
          <w:ilvl w:val="2"/>
          <w:numId w:val="10"/>
        </w:numPr>
        <w:spacing w:before="240" w:after="240" w:line="360" w:lineRule="auto"/>
        <w:rPr>
          <w:rFonts w:ascii="Times New Roman" w:hAnsi="Times New Roman"/>
          <w:lang w:val="en-HK"/>
        </w:rPr>
      </w:pPr>
      <w:r w:rsidRPr="00622AA9">
        <w:rPr>
          <w:rFonts w:ascii="Times New Roman" w:hAnsi="Times New Roman"/>
          <w:lang w:val="en-HK"/>
        </w:rPr>
        <w:t>Define “major cybersecurity incidents” with specific criteria aligned with NIS2 or CSA.</w:t>
      </w:r>
    </w:p>
    <w:p w14:paraId="2E732A63" w14:textId="77777777" w:rsidR="00622AA9" w:rsidRPr="00622AA9" w:rsidRDefault="00622AA9" w:rsidP="00243B94">
      <w:pPr>
        <w:numPr>
          <w:ilvl w:val="2"/>
          <w:numId w:val="10"/>
        </w:numPr>
        <w:spacing w:before="240" w:after="240" w:line="360" w:lineRule="auto"/>
        <w:rPr>
          <w:rFonts w:ascii="Times New Roman" w:hAnsi="Times New Roman"/>
          <w:lang w:val="en-HK"/>
        </w:rPr>
      </w:pPr>
      <w:r w:rsidRPr="00622AA9">
        <w:rPr>
          <w:rFonts w:ascii="Times New Roman" w:hAnsi="Times New Roman"/>
          <w:lang w:val="en-HK"/>
        </w:rPr>
        <w:t>Introduce notification duties for health data access bodies under EHDS.</w:t>
      </w:r>
    </w:p>
    <w:p w14:paraId="132DE405"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Scholar’s Opinion</w:t>
      </w:r>
      <w:r w:rsidRPr="00622AA9">
        <w:rPr>
          <w:rFonts w:ascii="Times New Roman" w:hAnsi="Times New Roman"/>
          <w:lang w:val="en-HK"/>
        </w:rPr>
        <w:t>:</w:t>
      </w:r>
    </w:p>
    <w:p w14:paraId="6291554D" w14:textId="77777777" w:rsidR="00622AA9" w:rsidRPr="00622AA9" w:rsidRDefault="00622AA9" w:rsidP="00243B94">
      <w:pPr>
        <w:spacing w:before="240" w:after="240" w:line="360" w:lineRule="auto"/>
        <w:rPr>
          <w:rFonts w:ascii="Times New Roman" w:hAnsi="Times New Roman"/>
          <w:lang w:val="en-HK"/>
        </w:rPr>
      </w:pPr>
      <w:proofErr w:type="spellStart"/>
      <w:r w:rsidRPr="00622AA9">
        <w:rPr>
          <w:rFonts w:ascii="Times New Roman" w:hAnsi="Times New Roman"/>
          <w:b/>
          <w:bCs/>
          <w:lang w:val="en-HK"/>
        </w:rPr>
        <w:t>Ducuing</w:t>
      </w:r>
      <w:proofErr w:type="spellEnd"/>
      <w:r w:rsidRPr="00622AA9">
        <w:rPr>
          <w:rFonts w:ascii="Times New Roman" w:hAnsi="Times New Roman"/>
          <w:lang w:val="en-HK"/>
        </w:rPr>
        <w:t>: Warns against vague emergency provisions, which may undermine trust in data-sharing systems.</w:t>
      </w:r>
    </w:p>
    <w:p w14:paraId="7C8261BB" w14:textId="77777777" w:rsidR="00622AA9" w:rsidRPr="00622AA9" w:rsidRDefault="00E6575C" w:rsidP="00243B94">
      <w:pPr>
        <w:spacing w:before="240" w:after="240" w:line="360" w:lineRule="auto"/>
        <w:rPr>
          <w:rFonts w:ascii="Times New Roman" w:hAnsi="Times New Roman"/>
          <w:lang w:val="en-HK"/>
        </w:rPr>
      </w:pPr>
      <w:r w:rsidRPr="00E6575C">
        <w:rPr>
          <w:rFonts w:ascii="Times New Roman" w:hAnsi="Times New Roman"/>
          <w:noProof/>
          <w:lang w:val="en-HK"/>
          <w14:ligatures w14:val="standardContextual"/>
        </w:rPr>
        <w:pict w14:anchorId="5AF48E46">
          <v:rect id="_x0000_i1025" alt="" style="width:451.3pt;height:.05pt;mso-width-percent:0;mso-height-percent:0;mso-width-percent:0;mso-height-percent:0" o:hralign="center" o:hrstd="t" o:hr="t" fillcolor="#a0a0a0" stroked="f"/>
        </w:pict>
      </w:r>
    </w:p>
    <w:p w14:paraId="30EC3F51" w14:textId="0D8967DD" w:rsidR="00622AA9" w:rsidRPr="00622AA9" w:rsidRDefault="00243B94" w:rsidP="00243B94">
      <w:pPr>
        <w:spacing w:before="240" w:after="240" w:line="360" w:lineRule="auto"/>
        <w:rPr>
          <w:rFonts w:ascii="Times New Roman" w:hAnsi="Times New Roman"/>
          <w:lang w:val="en-HK"/>
        </w:rPr>
      </w:pPr>
      <w:r>
        <w:rPr>
          <w:rFonts w:ascii="Times New Roman" w:hAnsi="Times New Roman"/>
          <w:b/>
          <w:bCs/>
          <w:lang w:val="en-HK"/>
        </w:rPr>
        <w:t xml:space="preserve">5. </w:t>
      </w:r>
      <w:r w:rsidR="00622AA9" w:rsidRPr="00622AA9">
        <w:rPr>
          <w:rFonts w:ascii="Times New Roman" w:hAnsi="Times New Roman"/>
          <w:b/>
          <w:bCs/>
          <w:lang w:val="en-HK"/>
        </w:rPr>
        <w:t>Promote Interdisciplinary Collaboration</w:t>
      </w:r>
      <w:r w:rsidR="00622AA9" w:rsidRPr="00622AA9">
        <w:rPr>
          <w:rFonts w:ascii="Times New Roman" w:hAnsi="Times New Roman"/>
          <w:lang w:val="en-HK"/>
        </w:rPr>
        <w:t>:</w:t>
      </w:r>
    </w:p>
    <w:p w14:paraId="7245CDFB"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Proposal</w:t>
      </w:r>
      <w:r w:rsidRPr="00622AA9">
        <w:rPr>
          <w:rFonts w:ascii="Times New Roman" w:hAnsi="Times New Roman"/>
          <w:lang w:val="en-HK"/>
        </w:rPr>
        <w:t>:</w:t>
      </w:r>
    </w:p>
    <w:p w14:paraId="7AFC01ED" w14:textId="77777777" w:rsidR="00622AA9" w:rsidRPr="00622AA9" w:rsidRDefault="00622AA9" w:rsidP="00243B94">
      <w:pPr>
        <w:numPr>
          <w:ilvl w:val="2"/>
          <w:numId w:val="11"/>
        </w:numPr>
        <w:spacing w:before="240" w:after="240" w:line="360" w:lineRule="auto"/>
        <w:rPr>
          <w:rFonts w:ascii="Times New Roman" w:hAnsi="Times New Roman"/>
          <w:lang w:val="en-HK"/>
        </w:rPr>
      </w:pPr>
      <w:r w:rsidRPr="00622AA9">
        <w:rPr>
          <w:rFonts w:ascii="Times New Roman" w:hAnsi="Times New Roman"/>
          <w:lang w:val="en-HK"/>
        </w:rPr>
        <w:t>Foster collaboration between technical and legal experts to ensure holistic cybersecurity.</w:t>
      </w:r>
    </w:p>
    <w:p w14:paraId="30E2E8F2" w14:textId="77777777" w:rsidR="00622AA9" w:rsidRPr="00622AA9" w:rsidRDefault="00622AA9" w:rsidP="00243B94">
      <w:pPr>
        <w:numPr>
          <w:ilvl w:val="2"/>
          <w:numId w:val="11"/>
        </w:numPr>
        <w:spacing w:before="240" w:after="240" w:line="360" w:lineRule="auto"/>
        <w:rPr>
          <w:rFonts w:ascii="Times New Roman" w:hAnsi="Times New Roman"/>
          <w:lang w:val="en-HK"/>
        </w:rPr>
      </w:pPr>
      <w:r w:rsidRPr="00622AA9">
        <w:rPr>
          <w:rFonts w:ascii="Times New Roman" w:hAnsi="Times New Roman"/>
          <w:lang w:val="en-HK"/>
        </w:rPr>
        <w:t>Mandate cross-disciplinary training for entities handling medical device cybersecurity.</w:t>
      </w:r>
    </w:p>
    <w:p w14:paraId="0C0F4B88"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lastRenderedPageBreak/>
        <w:t>Scholar’s Opinion</w:t>
      </w:r>
      <w:r w:rsidRPr="00622AA9">
        <w:rPr>
          <w:rFonts w:ascii="Times New Roman" w:hAnsi="Times New Roman"/>
          <w:lang w:val="en-HK"/>
        </w:rPr>
        <w:t>:</w:t>
      </w:r>
    </w:p>
    <w:p w14:paraId="41D15C0D" w14:textId="77777777" w:rsidR="00622AA9" w:rsidRPr="00622AA9" w:rsidRDefault="00622AA9" w:rsidP="00243B94">
      <w:pPr>
        <w:spacing w:before="240" w:after="240" w:line="360" w:lineRule="auto"/>
        <w:rPr>
          <w:rFonts w:ascii="Times New Roman" w:hAnsi="Times New Roman"/>
          <w:lang w:val="en-HK"/>
        </w:rPr>
      </w:pPr>
      <w:r w:rsidRPr="00622AA9">
        <w:rPr>
          <w:rFonts w:ascii="Times New Roman" w:hAnsi="Times New Roman"/>
          <w:b/>
          <w:bCs/>
          <w:lang w:val="en-HK"/>
        </w:rPr>
        <w:t xml:space="preserve">Orlando and </w:t>
      </w:r>
      <w:proofErr w:type="spellStart"/>
      <w:r w:rsidRPr="00622AA9">
        <w:rPr>
          <w:rFonts w:ascii="Times New Roman" w:hAnsi="Times New Roman"/>
          <w:b/>
          <w:bCs/>
          <w:lang w:val="en-HK"/>
        </w:rPr>
        <w:t>Dewitte</w:t>
      </w:r>
      <w:proofErr w:type="spellEnd"/>
      <w:r w:rsidRPr="00622AA9">
        <w:rPr>
          <w:rFonts w:ascii="Times New Roman" w:hAnsi="Times New Roman"/>
          <w:lang w:val="en-HK"/>
        </w:rPr>
        <w:t>: Highlight the necessity of interdisciplinary strategies to address the complexity of cybersecurity in medical devices.</w:t>
      </w:r>
    </w:p>
    <w:p w14:paraId="05310C6B" w14:textId="77777777" w:rsidR="00622AA9" w:rsidRPr="00243B94" w:rsidRDefault="00622AA9" w:rsidP="00243B94">
      <w:pPr>
        <w:tabs>
          <w:tab w:val="left" w:pos="1941"/>
        </w:tabs>
        <w:spacing w:before="240" w:after="240" w:line="360" w:lineRule="auto"/>
        <w:rPr>
          <w:rFonts w:ascii="Times New Roman" w:hAnsi="Times New Roman"/>
        </w:rPr>
      </w:pPr>
    </w:p>
    <w:sectPr w:rsidR="00622AA9" w:rsidRPr="00243B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3F2B94" w14:textId="77777777" w:rsidR="00E6575C" w:rsidRDefault="00E6575C" w:rsidP="00243B94">
      <w:r>
        <w:separator/>
      </w:r>
    </w:p>
  </w:endnote>
  <w:endnote w:type="continuationSeparator" w:id="0">
    <w:p w14:paraId="7B25FDAC" w14:textId="77777777" w:rsidR="00E6575C" w:rsidRDefault="00E6575C" w:rsidP="00243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CC6123" w14:textId="77777777" w:rsidR="00E6575C" w:rsidRDefault="00E6575C" w:rsidP="00243B94">
      <w:r>
        <w:separator/>
      </w:r>
    </w:p>
  </w:footnote>
  <w:footnote w:type="continuationSeparator" w:id="0">
    <w:p w14:paraId="54ED1631" w14:textId="77777777" w:rsidR="00E6575C" w:rsidRDefault="00E6575C" w:rsidP="00243B94">
      <w:r>
        <w:continuationSeparator/>
      </w:r>
    </w:p>
  </w:footnote>
  <w:footnote w:id="1">
    <w:p w14:paraId="17ED5F8D" w14:textId="52A512B0" w:rsidR="00243B94" w:rsidRPr="00243B94" w:rsidRDefault="00243B94" w:rsidP="00243B94">
      <w:pPr>
        <w:pStyle w:val="NormalWeb"/>
        <w:spacing w:before="0" w:beforeAutospacing="0" w:after="0" w:afterAutospacing="0" w:line="360" w:lineRule="auto"/>
        <w:rPr>
          <w:color w:val="000000" w:themeColor="text1"/>
          <w:vertAlign w:val="superscript"/>
        </w:rPr>
      </w:pPr>
      <w:r w:rsidRPr="00243B94">
        <w:rPr>
          <w:rStyle w:val="FootnoteReference"/>
          <w:color w:val="000000" w:themeColor="text1"/>
        </w:rPr>
        <w:footnoteRef/>
      </w:r>
      <w:r w:rsidRPr="00243B94">
        <w:rPr>
          <w:color w:val="000000" w:themeColor="text1"/>
          <w:vertAlign w:val="superscript"/>
        </w:rPr>
        <w:t xml:space="preserve"> </w:t>
      </w:r>
      <w:r w:rsidRPr="00243B94">
        <w:rPr>
          <w:color w:val="000000" w:themeColor="text1"/>
          <w:vertAlign w:val="superscript"/>
        </w:rPr>
        <w:t xml:space="preserve">European Parliament, Draft Compromise Amendments on the Draft Report, 16 May 2023, Recital 5a. </w:t>
      </w:r>
    </w:p>
    <w:p w14:paraId="7E6BB0EE" w14:textId="1C7D40F2" w:rsidR="00243B94" w:rsidRPr="00243B94" w:rsidRDefault="00243B94" w:rsidP="00243B94">
      <w:pPr>
        <w:pStyle w:val="NormalWeb"/>
        <w:spacing w:before="0" w:beforeAutospacing="0" w:after="0" w:afterAutospacing="0" w:line="360" w:lineRule="auto"/>
        <w:rPr>
          <w:color w:val="000000" w:themeColor="text1"/>
          <w:vertAlign w:val="superscript"/>
        </w:rPr>
      </w:pPr>
      <w:r w:rsidRPr="00243B94">
        <w:rPr>
          <w:color w:val="000000" w:themeColor="text1"/>
          <w:vertAlign w:val="superscript"/>
        </w:rPr>
        <w:sym w:font="Wingdings" w:char="F0E0"/>
      </w:r>
      <w:r w:rsidRPr="00243B94">
        <w:rPr>
          <w:color w:val="000000" w:themeColor="text1"/>
          <w:vertAlign w:val="superscript"/>
        </w:rPr>
        <w:t xml:space="preserve"> </w:t>
      </w:r>
      <w:r w:rsidRPr="00243B94">
        <w:rPr>
          <w:color w:val="000000" w:themeColor="text1"/>
          <w:vertAlign w:val="superscript"/>
        </w:rPr>
        <w:t>Recital 5a serves as interpretive guidance, emphasizing the importance of cybersecurity in aligning AI systems with foundational EU principles such as safety, human rights, and technological reliability.</w:t>
      </w:r>
    </w:p>
    <w:p w14:paraId="23D7806A" w14:textId="16B16283" w:rsidR="00243B94" w:rsidRPr="00243B94" w:rsidRDefault="00243B94" w:rsidP="00243B94">
      <w:pPr>
        <w:pStyle w:val="NormalWeb"/>
        <w:spacing w:before="0" w:beforeAutospacing="0" w:after="0" w:afterAutospacing="0" w:line="360" w:lineRule="auto"/>
        <w:rPr>
          <w:color w:val="000000" w:themeColor="text1"/>
          <w:vertAlign w:val="superscript"/>
        </w:rPr>
      </w:pPr>
      <w:r>
        <w:rPr>
          <w:color w:val="000000" w:themeColor="text1"/>
          <w:shd w:val="clear" w:color="auto" w:fill="FFFFFF"/>
          <w:vertAlign w:val="superscript"/>
        </w:rPr>
        <w:t xml:space="preserve">Original 5a: </w:t>
      </w:r>
      <w:r w:rsidRPr="00243B94">
        <w:rPr>
          <w:color w:val="000000" w:themeColor="text1"/>
          <w:shd w:val="clear" w:color="auto" w:fill="FFFFFF"/>
          <w:vertAlign w:val="superscript"/>
        </w:rPr>
        <w:t>At the same time, depending on the circumstances regarding its specific application, use, and level of technological development, AI may generate risks and cause harm to public interests and fundamental rights that are protected by Union law. Such harm might be material or immaterial, including physical, psychological, societal or economic harm.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20CFD"/>
    <w:multiLevelType w:val="multilevel"/>
    <w:tmpl w:val="AC06F56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6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1B90"/>
    <w:multiLevelType w:val="multilevel"/>
    <w:tmpl w:val="7CE00676"/>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7B1E84"/>
    <w:multiLevelType w:val="multilevel"/>
    <w:tmpl w:val="2F1A4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decimal"/>
      <w:lvlText w:val="%3."/>
      <w:lvlJc w:val="left"/>
      <w:pPr>
        <w:ind w:left="360" w:hanging="360"/>
      </w:pPr>
    </w:lvl>
    <w:lvl w:ilvl="3">
      <w:numFmt w:val="bullet"/>
      <w:lvlText w:val="-"/>
      <w:lvlJc w:val="left"/>
      <w:pPr>
        <w:ind w:left="360" w:hanging="360"/>
      </w:pPr>
      <w:rPr>
        <w:rFonts w:ascii="Times New Roman" w:eastAsia="Times New Roman"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55124"/>
    <w:multiLevelType w:val="multilevel"/>
    <w:tmpl w:val="449C7C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6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E1D3C"/>
    <w:multiLevelType w:val="multilevel"/>
    <w:tmpl w:val="47EEF60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60" w:hanging="360"/>
      </w:pPr>
      <w:rPr>
        <w:rFonts w:ascii="Times New Roman" w:eastAsia="Times New Roman" w:hAnsi="Times New Roman" w:cs="Times New Roman" w:hint="default"/>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224C0"/>
    <w:multiLevelType w:val="multilevel"/>
    <w:tmpl w:val="1C7C0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A5314"/>
    <w:multiLevelType w:val="multilevel"/>
    <w:tmpl w:val="CB6C6F74"/>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C855070"/>
    <w:multiLevelType w:val="multilevel"/>
    <w:tmpl w:val="2B0CF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21BD9"/>
    <w:multiLevelType w:val="multilevel"/>
    <w:tmpl w:val="09AA0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46FF3"/>
    <w:multiLevelType w:val="multilevel"/>
    <w:tmpl w:val="5BD203E8"/>
    <w:lvl w:ilvl="0">
      <w:start w:val="2"/>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numFmt w:val="bullet"/>
      <w:lvlText w:val="-"/>
      <w:lvlJc w:val="left"/>
      <w:pPr>
        <w:ind w:left="360" w:hanging="360"/>
      </w:pPr>
      <w:rPr>
        <w:rFonts w:ascii="Times New Roman" w:eastAsia="Times New Roman" w:hAnsi="Times New Roman" w:cs="Times New Roman"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1AA732B"/>
    <w:multiLevelType w:val="multilevel"/>
    <w:tmpl w:val="6B1CAA9E"/>
    <w:lvl w:ilvl="0">
      <w:start w:val="3"/>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numFmt w:val="bullet"/>
      <w:lvlText w:val="-"/>
      <w:lvlJc w:val="left"/>
      <w:pPr>
        <w:ind w:left="360" w:hanging="360"/>
      </w:pPr>
      <w:rPr>
        <w:rFonts w:ascii="Times New Roman" w:eastAsia="Times New Roman" w:hAnsi="Times New Roman" w:cs="Times New Roman"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E9A62BF"/>
    <w:multiLevelType w:val="multilevel"/>
    <w:tmpl w:val="196A3E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F2B0F45"/>
    <w:multiLevelType w:val="multilevel"/>
    <w:tmpl w:val="E3EC8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4168B"/>
    <w:multiLevelType w:val="multilevel"/>
    <w:tmpl w:val="5C5CAB5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numFmt w:val="bullet"/>
      <w:lvlText w:val="-"/>
      <w:lvlJc w:val="left"/>
      <w:pPr>
        <w:ind w:left="360" w:hanging="360"/>
      </w:pPr>
      <w:rPr>
        <w:rFonts w:ascii="Times New Roman" w:eastAsia="Times New Roman" w:hAnsi="Times New Roman" w:cs="Times New Roman"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C49490C"/>
    <w:multiLevelType w:val="multilevel"/>
    <w:tmpl w:val="399E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61B14"/>
    <w:multiLevelType w:val="multilevel"/>
    <w:tmpl w:val="E7BA6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143CA"/>
    <w:multiLevelType w:val="multilevel"/>
    <w:tmpl w:val="3760BB32"/>
    <w:lvl w:ilvl="0">
      <w:start w:val="4"/>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numFmt w:val="bullet"/>
      <w:lvlText w:val="-"/>
      <w:lvlJc w:val="left"/>
      <w:pPr>
        <w:ind w:left="360" w:hanging="360"/>
      </w:pPr>
      <w:rPr>
        <w:rFonts w:ascii="Times New Roman" w:eastAsia="Times New Roman" w:hAnsi="Times New Roman" w:cs="Times New Roman"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A6A54BC"/>
    <w:multiLevelType w:val="multilevel"/>
    <w:tmpl w:val="CB704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decimal"/>
      <w:lvlText w:val="%3."/>
      <w:lvlJc w:val="left"/>
      <w:pPr>
        <w:ind w:left="360" w:hanging="360"/>
      </w:pPr>
      <w:rPr>
        <w:rFonts w:hint="default"/>
        <w:sz w:val="24"/>
        <w:szCs w:val="24"/>
      </w:rPr>
    </w:lvl>
    <w:lvl w:ilvl="3">
      <w:numFmt w:val="bullet"/>
      <w:lvlText w:val="-"/>
      <w:lvlJc w:val="left"/>
      <w:pPr>
        <w:ind w:left="36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929A8"/>
    <w:multiLevelType w:val="multilevel"/>
    <w:tmpl w:val="B6EE5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E53DA3"/>
    <w:multiLevelType w:val="multilevel"/>
    <w:tmpl w:val="2F1A4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decimal"/>
      <w:lvlText w:val="%3."/>
      <w:lvlJc w:val="left"/>
      <w:pPr>
        <w:ind w:left="360" w:hanging="360"/>
      </w:pPr>
      <w:rPr>
        <w:rFonts w:hint="default"/>
      </w:rPr>
    </w:lvl>
    <w:lvl w:ilvl="3">
      <w:numFmt w:val="bullet"/>
      <w:lvlText w:val="-"/>
      <w:lvlJc w:val="left"/>
      <w:pPr>
        <w:ind w:left="360" w:hanging="360"/>
      </w:pPr>
      <w:rPr>
        <w:rFonts w:ascii="Times New Roman" w:eastAsia="Times New Roman"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221A3"/>
    <w:multiLevelType w:val="multilevel"/>
    <w:tmpl w:val="2F1A4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decimal"/>
      <w:lvlText w:val="%3."/>
      <w:lvlJc w:val="left"/>
      <w:pPr>
        <w:ind w:left="360" w:hanging="360"/>
      </w:pPr>
      <w:rPr>
        <w:rFonts w:hint="default"/>
      </w:rPr>
    </w:lvl>
    <w:lvl w:ilvl="3">
      <w:numFmt w:val="bullet"/>
      <w:lvlText w:val="-"/>
      <w:lvlJc w:val="left"/>
      <w:pPr>
        <w:ind w:left="360" w:hanging="360"/>
      </w:pPr>
      <w:rPr>
        <w:rFonts w:ascii="Times New Roman" w:eastAsia="Times New Roman"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478F0"/>
    <w:multiLevelType w:val="multilevel"/>
    <w:tmpl w:val="A3AED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decimal"/>
      <w:lvlText w:val="%3."/>
      <w:lvlJc w:val="left"/>
      <w:pPr>
        <w:ind w:left="360" w:hanging="360"/>
      </w:pPr>
      <w:rPr>
        <w:rFonts w:hint="default"/>
        <w:sz w:val="24"/>
        <w:szCs w:val="24"/>
      </w:rPr>
    </w:lvl>
    <w:lvl w:ilvl="3">
      <w:numFmt w:val="bullet"/>
      <w:lvlText w:val="-"/>
      <w:lvlJc w:val="left"/>
      <w:pPr>
        <w:ind w:left="360" w:hanging="360"/>
      </w:pPr>
      <w:rPr>
        <w:rFonts w:ascii="Times New Roman" w:eastAsia="Times New Roman"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A377FD"/>
    <w:multiLevelType w:val="multilevel"/>
    <w:tmpl w:val="7D522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decimal"/>
      <w:lvlText w:val="%3."/>
      <w:lvlJc w:val="left"/>
      <w:pPr>
        <w:ind w:left="360" w:hanging="360"/>
      </w:pPr>
      <w:rPr>
        <w:rFonts w:hint="default"/>
        <w:sz w:val="24"/>
        <w:szCs w:val="24"/>
      </w:rPr>
    </w:lvl>
    <w:lvl w:ilvl="3">
      <w:numFmt w:val="bullet"/>
      <w:lvlText w:val="-"/>
      <w:lvlJc w:val="left"/>
      <w:pPr>
        <w:ind w:left="360" w:hanging="360"/>
      </w:pPr>
      <w:rPr>
        <w:rFonts w:ascii="Times New Roman" w:eastAsia="Times New Roman"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757969">
    <w:abstractNumId w:val="1"/>
  </w:num>
  <w:num w:numId="2" w16cid:durableId="2057658367">
    <w:abstractNumId w:val="6"/>
  </w:num>
  <w:num w:numId="3" w16cid:durableId="1884704987">
    <w:abstractNumId w:val="13"/>
  </w:num>
  <w:num w:numId="4" w16cid:durableId="851605322">
    <w:abstractNumId w:val="9"/>
  </w:num>
  <w:num w:numId="5" w16cid:durableId="2120250988">
    <w:abstractNumId w:val="10"/>
  </w:num>
  <w:num w:numId="6" w16cid:durableId="920916901">
    <w:abstractNumId w:val="16"/>
  </w:num>
  <w:num w:numId="7" w16cid:durableId="1467040434">
    <w:abstractNumId w:val="20"/>
  </w:num>
  <w:num w:numId="8" w16cid:durableId="724840800">
    <w:abstractNumId w:val="19"/>
  </w:num>
  <w:num w:numId="9" w16cid:durableId="493375302">
    <w:abstractNumId w:val="17"/>
  </w:num>
  <w:num w:numId="10" w16cid:durableId="1586187805">
    <w:abstractNumId w:val="21"/>
  </w:num>
  <w:num w:numId="11" w16cid:durableId="74791760">
    <w:abstractNumId w:val="22"/>
  </w:num>
  <w:num w:numId="12" w16cid:durableId="1123113030">
    <w:abstractNumId w:val="4"/>
  </w:num>
  <w:num w:numId="13" w16cid:durableId="514462233">
    <w:abstractNumId w:val="12"/>
  </w:num>
  <w:num w:numId="14" w16cid:durableId="1695810675">
    <w:abstractNumId w:val="0"/>
  </w:num>
  <w:num w:numId="15" w16cid:durableId="713963278">
    <w:abstractNumId w:val="7"/>
  </w:num>
  <w:num w:numId="16" w16cid:durableId="517426995">
    <w:abstractNumId w:val="15"/>
  </w:num>
  <w:num w:numId="17" w16cid:durableId="1972052066">
    <w:abstractNumId w:val="8"/>
  </w:num>
  <w:num w:numId="18" w16cid:durableId="1040667198">
    <w:abstractNumId w:val="14"/>
  </w:num>
  <w:num w:numId="19" w16cid:durableId="1580140468">
    <w:abstractNumId w:val="18"/>
  </w:num>
  <w:num w:numId="20" w16cid:durableId="1455712074">
    <w:abstractNumId w:val="5"/>
  </w:num>
  <w:num w:numId="21" w16cid:durableId="1227952226">
    <w:abstractNumId w:val="11"/>
  </w:num>
  <w:num w:numId="22" w16cid:durableId="646129020">
    <w:abstractNumId w:val="2"/>
  </w:num>
  <w:num w:numId="23" w16cid:durableId="11796552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DE9"/>
    <w:rsid w:val="000147A9"/>
    <w:rsid w:val="00042755"/>
    <w:rsid w:val="0006107D"/>
    <w:rsid w:val="000623A3"/>
    <w:rsid w:val="000719DA"/>
    <w:rsid w:val="00094D65"/>
    <w:rsid w:val="000A2074"/>
    <w:rsid w:val="000A3F4D"/>
    <w:rsid w:val="000C4ABC"/>
    <w:rsid w:val="000C58D7"/>
    <w:rsid w:val="000D27A5"/>
    <w:rsid w:val="000E15ED"/>
    <w:rsid w:val="00101CCF"/>
    <w:rsid w:val="0019260C"/>
    <w:rsid w:val="001B0E31"/>
    <w:rsid w:val="001D360C"/>
    <w:rsid w:val="001E2584"/>
    <w:rsid w:val="00223837"/>
    <w:rsid w:val="00243B94"/>
    <w:rsid w:val="00243CED"/>
    <w:rsid w:val="00257540"/>
    <w:rsid w:val="0026510F"/>
    <w:rsid w:val="00291F37"/>
    <w:rsid w:val="00297C6E"/>
    <w:rsid w:val="002D715D"/>
    <w:rsid w:val="002E46F2"/>
    <w:rsid w:val="002F1DB1"/>
    <w:rsid w:val="002F53C9"/>
    <w:rsid w:val="003048A0"/>
    <w:rsid w:val="0031138E"/>
    <w:rsid w:val="0031474F"/>
    <w:rsid w:val="00315815"/>
    <w:rsid w:val="003278F5"/>
    <w:rsid w:val="00330665"/>
    <w:rsid w:val="00361975"/>
    <w:rsid w:val="00376E23"/>
    <w:rsid w:val="0039416B"/>
    <w:rsid w:val="003A1271"/>
    <w:rsid w:val="003A5DF7"/>
    <w:rsid w:val="003B3510"/>
    <w:rsid w:val="003C116C"/>
    <w:rsid w:val="003E1CAA"/>
    <w:rsid w:val="0040210F"/>
    <w:rsid w:val="004222FD"/>
    <w:rsid w:val="004319FA"/>
    <w:rsid w:val="0048097D"/>
    <w:rsid w:val="0048175B"/>
    <w:rsid w:val="004845CE"/>
    <w:rsid w:val="004A553E"/>
    <w:rsid w:val="004B1048"/>
    <w:rsid w:val="004D01FE"/>
    <w:rsid w:val="004E458E"/>
    <w:rsid w:val="004F0E12"/>
    <w:rsid w:val="004F5A36"/>
    <w:rsid w:val="00542B57"/>
    <w:rsid w:val="00557B52"/>
    <w:rsid w:val="0058416B"/>
    <w:rsid w:val="00595357"/>
    <w:rsid w:val="005B34ED"/>
    <w:rsid w:val="005C50B3"/>
    <w:rsid w:val="005D57DA"/>
    <w:rsid w:val="005E7702"/>
    <w:rsid w:val="00605F8E"/>
    <w:rsid w:val="00622AA9"/>
    <w:rsid w:val="00650543"/>
    <w:rsid w:val="00654D8B"/>
    <w:rsid w:val="00661136"/>
    <w:rsid w:val="0068027B"/>
    <w:rsid w:val="006C42B8"/>
    <w:rsid w:val="006C50C7"/>
    <w:rsid w:val="00713CA9"/>
    <w:rsid w:val="007455C6"/>
    <w:rsid w:val="007475C7"/>
    <w:rsid w:val="0075265A"/>
    <w:rsid w:val="0075498E"/>
    <w:rsid w:val="00757BE5"/>
    <w:rsid w:val="00760E46"/>
    <w:rsid w:val="007643D2"/>
    <w:rsid w:val="007678B2"/>
    <w:rsid w:val="0078776B"/>
    <w:rsid w:val="00796A93"/>
    <w:rsid w:val="007B48C2"/>
    <w:rsid w:val="007E1559"/>
    <w:rsid w:val="007F776E"/>
    <w:rsid w:val="00830C88"/>
    <w:rsid w:val="00841A06"/>
    <w:rsid w:val="00850DE9"/>
    <w:rsid w:val="00861B11"/>
    <w:rsid w:val="008829C2"/>
    <w:rsid w:val="008A54BE"/>
    <w:rsid w:val="008C7B0A"/>
    <w:rsid w:val="008D0642"/>
    <w:rsid w:val="008E745B"/>
    <w:rsid w:val="008F4EA7"/>
    <w:rsid w:val="008F5A10"/>
    <w:rsid w:val="00905ED0"/>
    <w:rsid w:val="0093405B"/>
    <w:rsid w:val="00966189"/>
    <w:rsid w:val="00974434"/>
    <w:rsid w:val="00977514"/>
    <w:rsid w:val="009A48B0"/>
    <w:rsid w:val="009B24D6"/>
    <w:rsid w:val="009B2F21"/>
    <w:rsid w:val="009C6498"/>
    <w:rsid w:val="009E62AF"/>
    <w:rsid w:val="00A03BBD"/>
    <w:rsid w:val="00A37AB0"/>
    <w:rsid w:val="00A4085F"/>
    <w:rsid w:val="00A45953"/>
    <w:rsid w:val="00A93FBA"/>
    <w:rsid w:val="00A95C7E"/>
    <w:rsid w:val="00AB609D"/>
    <w:rsid w:val="00AC3AB8"/>
    <w:rsid w:val="00AE4348"/>
    <w:rsid w:val="00AE4BAF"/>
    <w:rsid w:val="00B03D5A"/>
    <w:rsid w:val="00B23297"/>
    <w:rsid w:val="00B360EE"/>
    <w:rsid w:val="00B53B6F"/>
    <w:rsid w:val="00B651D9"/>
    <w:rsid w:val="00B67231"/>
    <w:rsid w:val="00B73742"/>
    <w:rsid w:val="00B914E6"/>
    <w:rsid w:val="00BC4186"/>
    <w:rsid w:val="00BC5F25"/>
    <w:rsid w:val="00BD7714"/>
    <w:rsid w:val="00BD7C9B"/>
    <w:rsid w:val="00C072F8"/>
    <w:rsid w:val="00C17D79"/>
    <w:rsid w:val="00C24A8A"/>
    <w:rsid w:val="00C54722"/>
    <w:rsid w:val="00C65F70"/>
    <w:rsid w:val="00C96A36"/>
    <w:rsid w:val="00CA350B"/>
    <w:rsid w:val="00CA3F60"/>
    <w:rsid w:val="00CC2EFF"/>
    <w:rsid w:val="00CC4FEF"/>
    <w:rsid w:val="00CD39F1"/>
    <w:rsid w:val="00CF74EF"/>
    <w:rsid w:val="00D02AC8"/>
    <w:rsid w:val="00D0623C"/>
    <w:rsid w:val="00D07271"/>
    <w:rsid w:val="00D16917"/>
    <w:rsid w:val="00DA31CB"/>
    <w:rsid w:val="00DA4488"/>
    <w:rsid w:val="00DC0040"/>
    <w:rsid w:val="00DC0B7B"/>
    <w:rsid w:val="00DC495B"/>
    <w:rsid w:val="00DC7181"/>
    <w:rsid w:val="00DD6F5C"/>
    <w:rsid w:val="00DE6C87"/>
    <w:rsid w:val="00E14A1A"/>
    <w:rsid w:val="00E14E1F"/>
    <w:rsid w:val="00E2730E"/>
    <w:rsid w:val="00E438AC"/>
    <w:rsid w:val="00E60DF5"/>
    <w:rsid w:val="00E6575C"/>
    <w:rsid w:val="00E80D33"/>
    <w:rsid w:val="00E95D8D"/>
    <w:rsid w:val="00EA6ED5"/>
    <w:rsid w:val="00EB7051"/>
    <w:rsid w:val="00EC68EB"/>
    <w:rsid w:val="00EC7C43"/>
    <w:rsid w:val="00F012E4"/>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A3678"/>
  <w15:chartTrackingRefBased/>
  <w15:docId w15:val="{6C3AB4B0-77CC-9947-B73D-F77393093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850D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D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0DE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50DE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50DE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50DE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0DE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0DE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0DE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DE9"/>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850DE9"/>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850DE9"/>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850DE9"/>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850DE9"/>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850DE9"/>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850DE9"/>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850DE9"/>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850DE9"/>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850D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DE9"/>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850DE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DE9"/>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850D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0DE9"/>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850DE9"/>
    <w:pPr>
      <w:ind w:left="720"/>
      <w:contextualSpacing/>
    </w:pPr>
  </w:style>
  <w:style w:type="character" w:styleId="IntenseEmphasis">
    <w:name w:val="Intense Emphasis"/>
    <w:basedOn w:val="DefaultParagraphFont"/>
    <w:uiPriority w:val="21"/>
    <w:qFormat/>
    <w:rsid w:val="00850DE9"/>
    <w:rPr>
      <w:i/>
      <w:iCs/>
      <w:color w:val="2F5496" w:themeColor="accent1" w:themeShade="BF"/>
    </w:rPr>
  </w:style>
  <w:style w:type="paragraph" w:styleId="IntenseQuote">
    <w:name w:val="Intense Quote"/>
    <w:basedOn w:val="Normal"/>
    <w:next w:val="Normal"/>
    <w:link w:val="IntenseQuoteChar"/>
    <w:uiPriority w:val="30"/>
    <w:qFormat/>
    <w:rsid w:val="00850D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DE9"/>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850DE9"/>
    <w:rPr>
      <w:b/>
      <w:bCs/>
      <w:smallCaps/>
      <w:color w:val="2F5496" w:themeColor="accent1" w:themeShade="BF"/>
      <w:spacing w:val="5"/>
    </w:rPr>
  </w:style>
  <w:style w:type="character" w:styleId="Strong">
    <w:name w:val="Strong"/>
    <w:basedOn w:val="DefaultParagraphFont"/>
    <w:uiPriority w:val="22"/>
    <w:qFormat/>
    <w:rsid w:val="00622AA9"/>
    <w:rPr>
      <w:b/>
      <w:bCs/>
    </w:rPr>
  </w:style>
  <w:style w:type="paragraph" w:styleId="NormalWeb">
    <w:name w:val="Normal (Web)"/>
    <w:basedOn w:val="Normal"/>
    <w:uiPriority w:val="99"/>
    <w:unhideWhenUsed/>
    <w:rsid w:val="00622AA9"/>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622AA9"/>
    <w:rPr>
      <w:i/>
      <w:iCs/>
    </w:rPr>
  </w:style>
  <w:style w:type="paragraph" w:styleId="FootnoteText">
    <w:name w:val="footnote text"/>
    <w:basedOn w:val="Normal"/>
    <w:link w:val="FootnoteTextChar"/>
    <w:uiPriority w:val="99"/>
    <w:semiHidden/>
    <w:unhideWhenUsed/>
    <w:rsid w:val="00243B94"/>
    <w:rPr>
      <w:sz w:val="20"/>
      <w:szCs w:val="20"/>
    </w:rPr>
  </w:style>
  <w:style w:type="character" w:customStyle="1" w:styleId="FootnoteTextChar">
    <w:name w:val="Footnote Text Char"/>
    <w:basedOn w:val="DefaultParagraphFont"/>
    <w:link w:val="FootnoteText"/>
    <w:uiPriority w:val="99"/>
    <w:semiHidden/>
    <w:rsid w:val="00243B94"/>
    <w:rPr>
      <w:rFonts w:ascii="Arial" w:eastAsia="Times New Roman" w:hAnsi="Arial" w:cs="Times New Roman"/>
      <w:kern w:val="0"/>
      <w:sz w:val="20"/>
      <w:szCs w:val="20"/>
      <w:lang w:val="en-GB"/>
      <w14:ligatures w14:val="none"/>
    </w:rPr>
  </w:style>
  <w:style w:type="character" w:styleId="FootnoteReference">
    <w:name w:val="footnote reference"/>
    <w:basedOn w:val="DefaultParagraphFont"/>
    <w:uiPriority w:val="99"/>
    <w:semiHidden/>
    <w:unhideWhenUsed/>
    <w:rsid w:val="00243B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441574">
      <w:bodyDiv w:val="1"/>
      <w:marLeft w:val="0"/>
      <w:marRight w:val="0"/>
      <w:marTop w:val="0"/>
      <w:marBottom w:val="0"/>
      <w:divBdr>
        <w:top w:val="none" w:sz="0" w:space="0" w:color="auto"/>
        <w:left w:val="none" w:sz="0" w:space="0" w:color="auto"/>
        <w:bottom w:val="none" w:sz="0" w:space="0" w:color="auto"/>
        <w:right w:val="none" w:sz="0" w:space="0" w:color="auto"/>
      </w:divBdr>
    </w:div>
    <w:div w:id="680669937">
      <w:bodyDiv w:val="1"/>
      <w:marLeft w:val="0"/>
      <w:marRight w:val="0"/>
      <w:marTop w:val="0"/>
      <w:marBottom w:val="0"/>
      <w:divBdr>
        <w:top w:val="none" w:sz="0" w:space="0" w:color="auto"/>
        <w:left w:val="none" w:sz="0" w:space="0" w:color="auto"/>
        <w:bottom w:val="none" w:sz="0" w:space="0" w:color="auto"/>
        <w:right w:val="none" w:sz="0" w:space="0" w:color="auto"/>
      </w:divBdr>
    </w:div>
    <w:div w:id="820535809">
      <w:bodyDiv w:val="1"/>
      <w:marLeft w:val="0"/>
      <w:marRight w:val="0"/>
      <w:marTop w:val="0"/>
      <w:marBottom w:val="0"/>
      <w:divBdr>
        <w:top w:val="none" w:sz="0" w:space="0" w:color="auto"/>
        <w:left w:val="none" w:sz="0" w:space="0" w:color="auto"/>
        <w:bottom w:val="none" w:sz="0" w:space="0" w:color="auto"/>
        <w:right w:val="none" w:sz="0" w:space="0" w:color="auto"/>
      </w:divBdr>
    </w:div>
    <w:div w:id="876621422">
      <w:bodyDiv w:val="1"/>
      <w:marLeft w:val="0"/>
      <w:marRight w:val="0"/>
      <w:marTop w:val="0"/>
      <w:marBottom w:val="0"/>
      <w:divBdr>
        <w:top w:val="none" w:sz="0" w:space="0" w:color="auto"/>
        <w:left w:val="none" w:sz="0" w:space="0" w:color="auto"/>
        <w:bottom w:val="none" w:sz="0" w:space="0" w:color="auto"/>
        <w:right w:val="none" w:sz="0" w:space="0" w:color="auto"/>
      </w:divBdr>
    </w:div>
    <w:div w:id="993492384">
      <w:bodyDiv w:val="1"/>
      <w:marLeft w:val="0"/>
      <w:marRight w:val="0"/>
      <w:marTop w:val="0"/>
      <w:marBottom w:val="0"/>
      <w:divBdr>
        <w:top w:val="none" w:sz="0" w:space="0" w:color="auto"/>
        <w:left w:val="none" w:sz="0" w:space="0" w:color="auto"/>
        <w:bottom w:val="none" w:sz="0" w:space="0" w:color="auto"/>
        <w:right w:val="none" w:sz="0" w:space="0" w:color="auto"/>
      </w:divBdr>
    </w:div>
    <w:div w:id="1388333658">
      <w:bodyDiv w:val="1"/>
      <w:marLeft w:val="0"/>
      <w:marRight w:val="0"/>
      <w:marTop w:val="0"/>
      <w:marBottom w:val="0"/>
      <w:divBdr>
        <w:top w:val="none" w:sz="0" w:space="0" w:color="auto"/>
        <w:left w:val="none" w:sz="0" w:space="0" w:color="auto"/>
        <w:bottom w:val="none" w:sz="0" w:space="0" w:color="auto"/>
        <w:right w:val="none" w:sz="0" w:space="0" w:color="auto"/>
      </w:divBdr>
      <w:divsChild>
        <w:div w:id="980234529">
          <w:marLeft w:val="0"/>
          <w:marRight w:val="0"/>
          <w:marTop w:val="0"/>
          <w:marBottom w:val="0"/>
          <w:divBdr>
            <w:top w:val="none" w:sz="0" w:space="0" w:color="auto"/>
            <w:left w:val="none" w:sz="0" w:space="0" w:color="auto"/>
            <w:bottom w:val="none" w:sz="0" w:space="0" w:color="auto"/>
            <w:right w:val="none" w:sz="0" w:space="0" w:color="auto"/>
          </w:divBdr>
          <w:divsChild>
            <w:div w:id="1346445966">
              <w:marLeft w:val="0"/>
              <w:marRight w:val="0"/>
              <w:marTop w:val="0"/>
              <w:marBottom w:val="0"/>
              <w:divBdr>
                <w:top w:val="none" w:sz="0" w:space="0" w:color="auto"/>
                <w:left w:val="none" w:sz="0" w:space="0" w:color="auto"/>
                <w:bottom w:val="none" w:sz="0" w:space="0" w:color="auto"/>
                <w:right w:val="none" w:sz="0" w:space="0" w:color="auto"/>
              </w:divBdr>
              <w:divsChild>
                <w:div w:id="1237781981">
                  <w:marLeft w:val="0"/>
                  <w:marRight w:val="0"/>
                  <w:marTop w:val="0"/>
                  <w:marBottom w:val="0"/>
                  <w:divBdr>
                    <w:top w:val="none" w:sz="0" w:space="0" w:color="auto"/>
                    <w:left w:val="none" w:sz="0" w:space="0" w:color="auto"/>
                    <w:bottom w:val="none" w:sz="0" w:space="0" w:color="auto"/>
                    <w:right w:val="none" w:sz="0" w:space="0" w:color="auto"/>
                  </w:divBdr>
                  <w:divsChild>
                    <w:div w:id="1338658233">
                      <w:marLeft w:val="0"/>
                      <w:marRight w:val="0"/>
                      <w:marTop w:val="0"/>
                      <w:marBottom w:val="0"/>
                      <w:divBdr>
                        <w:top w:val="none" w:sz="0" w:space="0" w:color="auto"/>
                        <w:left w:val="none" w:sz="0" w:space="0" w:color="auto"/>
                        <w:bottom w:val="none" w:sz="0" w:space="0" w:color="auto"/>
                        <w:right w:val="none" w:sz="0" w:space="0" w:color="auto"/>
                      </w:divBdr>
                      <w:divsChild>
                        <w:div w:id="848980217">
                          <w:marLeft w:val="0"/>
                          <w:marRight w:val="0"/>
                          <w:marTop w:val="0"/>
                          <w:marBottom w:val="0"/>
                          <w:divBdr>
                            <w:top w:val="none" w:sz="0" w:space="0" w:color="auto"/>
                            <w:left w:val="none" w:sz="0" w:space="0" w:color="auto"/>
                            <w:bottom w:val="none" w:sz="0" w:space="0" w:color="auto"/>
                            <w:right w:val="none" w:sz="0" w:space="0" w:color="auto"/>
                          </w:divBdr>
                          <w:divsChild>
                            <w:div w:id="1242372549">
                              <w:marLeft w:val="0"/>
                              <w:marRight w:val="0"/>
                              <w:marTop w:val="0"/>
                              <w:marBottom w:val="0"/>
                              <w:divBdr>
                                <w:top w:val="none" w:sz="0" w:space="0" w:color="auto"/>
                                <w:left w:val="none" w:sz="0" w:space="0" w:color="auto"/>
                                <w:bottom w:val="none" w:sz="0" w:space="0" w:color="auto"/>
                                <w:right w:val="none" w:sz="0" w:space="0" w:color="auto"/>
                              </w:divBdr>
                              <w:divsChild>
                                <w:div w:id="91753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468246">
      <w:bodyDiv w:val="1"/>
      <w:marLeft w:val="0"/>
      <w:marRight w:val="0"/>
      <w:marTop w:val="0"/>
      <w:marBottom w:val="0"/>
      <w:divBdr>
        <w:top w:val="none" w:sz="0" w:space="0" w:color="auto"/>
        <w:left w:val="none" w:sz="0" w:space="0" w:color="auto"/>
        <w:bottom w:val="none" w:sz="0" w:space="0" w:color="auto"/>
        <w:right w:val="none" w:sz="0" w:space="0" w:color="auto"/>
      </w:divBdr>
    </w:div>
    <w:div w:id="1630741855">
      <w:bodyDiv w:val="1"/>
      <w:marLeft w:val="0"/>
      <w:marRight w:val="0"/>
      <w:marTop w:val="0"/>
      <w:marBottom w:val="0"/>
      <w:divBdr>
        <w:top w:val="none" w:sz="0" w:space="0" w:color="auto"/>
        <w:left w:val="none" w:sz="0" w:space="0" w:color="auto"/>
        <w:bottom w:val="none" w:sz="0" w:space="0" w:color="auto"/>
        <w:right w:val="none" w:sz="0" w:space="0" w:color="auto"/>
      </w:divBdr>
      <w:divsChild>
        <w:div w:id="1569802364">
          <w:marLeft w:val="0"/>
          <w:marRight w:val="0"/>
          <w:marTop w:val="0"/>
          <w:marBottom w:val="0"/>
          <w:divBdr>
            <w:top w:val="none" w:sz="0" w:space="0" w:color="auto"/>
            <w:left w:val="none" w:sz="0" w:space="0" w:color="auto"/>
            <w:bottom w:val="none" w:sz="0" w:space="0" w:color="auto"/>
            <w:right w:val="none" w:sz="0" w:space="0" w:color="auto"/>
          </w:divBdr>
          <w:divsChild>
            <w:div w:id="810243784">
              <w:marLeft w:val="0"/>
              <w:marRight w:val="0"/>
              <w:marTop w:val="0"/>
              <w:marBottom w:val="0"/>
              <w:divBdr>
                <w:top w:val="none" w:sz="0" w:space="0" w:color="auto"/>
                <w:left w:val="none" w:sz="0" w:space="0" w:color="auto"/>
                <w:bottom w:val="none" w:sz="0" w:space="0" w:color="auto"/>
                <w:right w:val="none" w:sz="0" w:space="0" w:color="auto"/>
              </w:divBdr>
              <w:divsChild>
                <w:div w:id="6929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793697">
      <w:bodyDiv w:val="1"/>
      <w:marLeft w:val="0"/>
      <w:marRight w:val="0"/>
      <w:marTop w:val="0"/>
      <w:marBottom w:val="0"/>
      <w:divBdr>
        <w:top w:val="none" w:sz="0" w:space="0" w:color="auto"/>
        <w:left w:val="none" w:sz="0" w:space="0" w:color="auto"/>
        <w:bottom w:val="none" w:sz="0" w:space="0" w:color="auto"/>
        <w:right w:val="none" w:sz="0" w:space="0" w:color="auto"/>
      </w:divBdr>
      <w:divsChild>
        <w:div w:id="1067455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944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957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92831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387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30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676661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E9D19-50DC-4C44-A3BF-11366DDEB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1776</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2024-12-04T15:05:00Z</dcterms:created>
  <dcterms:modified xsi:type="dcterms:W3CDTF">2024-12-04T16:08:00Z</dcterms:modified>
</cp:coreProperties>
</file>